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67" w:beforeLines="50" w:after="167" w:afterLines="50" w:line="720" w:lineRule="auto"/>
        <w:jc w:val="left"/>
        <w:textAlignment w:val="auto"/>
        <w:rPr>
          <w:rFonts w:hint="eastAsia" w:ascii="宋体" w:hAnsi="宋体"/>
          <w:b/>
          <w:sz w:val="52"/>
          <w:szCs w:val="52"/>
        </w:rPr>
      </w:pPr>
      <w:r>
        <w:rPr>
          <w:rFonts w:hint="eastAsia" w:ascii="宋体" w:hAnsi="宋体"/>
          <w:b/>
          <w:sz w:val="52"/>
          <w:szCs w:val="52"/>
          <w:lang w:eastAsia="zh-CN"/>
        </w:rPr>
        <w:t>2025年东阳市图书馆新增图书采购项目</w:t>
      </w:r>
    </w:p>
    <w:p>
      <w:pPr>
        <w:spacing w:beforeLines="50" w:line="720" w:lineRule="auto"/>
        <w:jc w:val="center"/>
        <w:rPr>
          <w:rFonts w:hint="eastAsia" w:eastAsia="宋体"/>
          <w:sz w:val="52"/>
          <w:szCs w:val="52"/>
          <w:lang w:eastAsia="zh-CN"/>
        </w:rPr>
      </w:pPr>
      <w:r>
        <w:rPr>
          <w:rFonts w:hint="eastAsia" w:ascii="宋体" w:hAnsi="宋体"/>
          <w:b/>
          <w:sz w:val="72"/>
          <w:szCs w:val="72"/>
          <w:lang w:val="en-US" w:eastAsia="zh-CN"/>
        </w:rPr>
        <w:t xml:space="preserve"> </w:t>
      </w:r>
      <w:r>
        <w:rPr>
          <w:rFonts w:hint="eastAsia" w:ascii="宋体" w:hAnsi="宋体"/>
          <w:b/>
          <w:sz w:val="72"/>
          <w:szCs w:val="72"/>
        </w:rPr>
        <w:t>公开招标采购文件</w:t>
      </w:r>
    </w:p>
    <w:p>
      <w:pPr>
        <w:spacing w:beforeLines="50" w:line="720" w:lineRule="auto"/>
        <w:jc w:val="center"/>
        <w:rPr>
          <w:rFonts w:ascii="宋体"/>
          <w:sz w:val="30"/>
          <w:szCs w:val="72"/>
        </w:rPr>
      </w:pPr>
    </w:p>
    <w:p>
      <w:pPr>
        <w:spacing w:beforeLines="50" w:line="720" w:lineRule="auto"/>
        <w:jc w:val="center"/>
        <w:rPr>
          <w:rFonts w:ascii="宋体"/>
          <w:sz w:val="30"/>
          <w:szCs w:val="72"/>
        </w:rPr>
      </w:pPr>
      <w:r>
        <w:rPr>
          <w:rFonts w:ascii="宋体"/>
          <w:sz w:val="30"/>
          <w:szCs w:val="72"/>
        </w:rPr>
        <w:drawing>
          <wp:inline distT="0" distB="0" distL="114300" distR="114300">
            <wp:extent cx="2314575" cy="2095500"/>
            <wp:effectExtent l="0" t="0" r="1905" b="7620"/>
            <wp:docPr id="10"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aigou"/>
                    <pic:cNvPicPr>
                      <a:picLocks noChangeAspect="1"/>
                    </pic:cNvPicPr>
                  </pic:nvPicPr>
                  <pic:blipFill>
                    <a:blip r:embed="rId17"/>
                    <a:stretch>
                      <a:fillRect/>
                    </a:stretch>
                  </pic:blipFill>
                  <pic:spPr>
                    <a:xfrm>
                      <a:off x="0" y="0"/>
                      <a:ext cx="2314575" cy="2095500"/>
                    </a:xfrm>
                    <a:prstGeom prst="rect">
                      <a:avLst/>
                    </a:prstGeom>
                    <a:noFill/>
                    <a:ln>
                      <a:noFill/>
                    </a:ln>
                  </pic:spPr>
                </pic:pic>
              </a:graphicData>
            </a:graphic>
          </wp:inline>
        </w:drawing>
      </w:r>
      <w:bookmarkStart w:id="11" w:name="_GoBack"/>
      <w:bookmarkEnd w:id="11"/>
    </w:p>
    <w:p>
      <w:pPr>
        <w:pStyle w:val="27"/>
        <w:snapToGrid w:val="0"/>
        <w:spacing w:before="166" w:after="166" w:line="600" w:lineRule="exact"/>
        <w:ind w:firstLine="321" w:firstLineChars="100"/>
        <w:rPr>
          <w:rFonts w:hint="eastAsia" w:hAnsi="宋体"/>
          <w:b/>
          <w:bCs/>
          <w:sz w:val="32"/>
          <w:szCs w:val="32"/>
        </w:rPr>
      </w:pPr>
    </w:p>
    <w:p>
      <w:pPr>
        <w:pStyle w:val="27"/>
        <w:snapToGrid w:val="0"/>
        <w:spacing w:before="166" w:after="166" w:line="600" w:lineRule="exact"/>
        <w:ind w:firstLine="321" w:firstLineChars="100"/>
        <w:rPr>
          <w:rFonts w:hint="eastAsia" w:hAnsi="宋体"/>
          <w:b/>
          <w:bCs/>
          <w:sz w:val="32"/>
          <w:szCs w:val="32"/>
        </w:rPr>
      </w:pPr>
    </w:p>
    <w:p>
      <w:pPr>
        <w:pStyle w:val="27"/>
        <w:snapToGrid w:val="0"/>
        <w:spacing w:before="166" w:after="166" w:line="600" w:lineRule="exact"/>
        <w:ind w:firstLine="321" w:firstLineChars="100"/>
        <w:rPr>
          <w:rFonts w:hint="default" w:hAnsi="宋体" w:eastAsia="宋体"/>
          <w:b/>
          <w:bCs/>
          <w:sz w:val="32"/>
          <w:szCs w:val="32"/>
          <w:lang w:val="en-US" w:eastAsia="zh-CN"/>
        </w:rPr>
      </w:pPr>
      <w:r>
        <w:rPr>
          <w:rFonts w:hint="eastAsia" w:hAnsi="宋体"/>
          <w:b/>
          <w:bCs/>
          <w:sz w:val="32"/>
          <w:szCs w:val="32"/>
        </w:rPr>
        <w:t>项目编号：</w:t>
      </w:r>
      <w:r>
        <w:rPr>
          <w:rFonts w:hint="eastAsia" w:hAnsi="宋体"/>
          <w:b/>
          <w:bCs/>
          <w:sz w:val="32"/>
          <w:szCs w:val="32"/>
          <w:lang w:val="en-US" w:eastAsia="zh-CN"/>
        </w:rPr>
        <w:t>JCZFCG2025-Z19-A364</w:t>
      </w:r>
    </w:p>
    <w:p>
      <w:pPr>
        <w:spacing w:beforeLines="50" w:line="600" w:lineRule="exact"/>
        <w:ind w:left="1929" w:leftChars="154" w:hanging="1606" w:hangingChars="500"/>
        <w:rPr>
          <w:rFonts w:hint="eastAsia" w:eastAsia="宋体"/>
          <w:b/>
          <w:bCs/>
          <w:sz w:val="32"/>
          <w:szCs w:val="32"/>
          <w:lang w:eastAsia="zh-CN"/>
        </w:rPr>
      </w:pPr>
      <w:r>
        <w:rPr>
          <w:rFonts w:hint="eastAsia"/>
          <w:b/>
          <w:bCs/>
          <w:sz w:val="32"/>
          <w:szCs w:val="32"/>
        </w:rPr>
        <w:t>项目名称：</w:t>
      </w:r>
      <w:r>
        <w:rPr>
          <w:rFonts w:hint="eastAsia" w:ascii="宋体" w:hAnsi="宋体" w:cs="宋体"/>
          <w:b/>
          <w:bCs/>
          <w:sz w:val="32"/>
          <w:szCs w:val="32"/>
          <w:lang w:eastAsia="zh-CN"/>
        </w:rPr>
        <w:t>2025年东阳市图书馆新增图书采购项目</w:t>
      </w:r>
    </w:p>
    <w:p>
      <w:pPr>
        <w:spacing w:beforeLines="50" w:line="600" w:lineRule="exact"/>
        <w:ind w:firstLine="321" w:firstLineChars="100"/>
        <w:rPr>
          <w:rFonts w:hint="eastAsia" w:hAnsi="宋体" w:eastAsia="宋体" w:cs="宋体"/>
          <w:b/>
          <w:bCs/>
          <w:sz w:val="32"/>
          <w:szCs w:val="32"/>
          <w:lang w:eastAsia="zh-CN"/>
        </w:rPr>
      </w:pPr>
      <w:r>
        <w:rPr>
          <w:rFonts w:hint="eastAsia" w:hAnsi="宋体"/>
          <w:b/>
          <w:bCs/>
          <w:sz w:val="32"/>
          <w:szCs w:val="32"/>
        </w:rPr>
        <w:t>采购单位：</w:t>
      </w:r>
      <w:r>
        <w:rPr>
          <w:rFonts w:hint="eastAsia"/>
          <w:b/>
          <w:bCs/>
          <w:sz w:val="32"/>
          <w:szCs w:val="32"/>
          <w:lang w:eastAsia="zh-CN"/>
        </w:rPr>
        <w:t>东阳市图书馆</w:t>
      </w:r>
    </w:p>
    <w:p>
      <w:pPr>
        <w:pStyle w:val="27"/>
        <w:snapToGrid w:val="0"/>
        <w:spacing w:before="166" w:after="166" w:line="600" w:lineRule="exact"/>
        <w:ind w:firstLine="305" w:firstLineChars="100"/>
        <w:rPr>
          <w:rFonts w:hint="default" w:hAnsi="宋体"/>
          <w:b/>
          <w:bCs/>
          <w:sz w:val="32"/>
          <w:szCs w:val="32"/>
          <w:lang w:val="en-US"/>
        </w:rPr>
      </w:pPr>
      <w:r>
        <w:rPr>
          <w:rFonts w:hint="eastAsia" w:hAnsi="宋体"/>
          <w:b/>
          <w:bCs/>
          <w:w w:val="95"/>
          <w:sz w:val="32"/>
          <w:szCs w:val="32"/>
        </w:rPr>
        <w:t>招标机构：</w:t>
      </w:r>
      <w:r>
        <w:rPr>
          <w:rFonts w:hint="eastAsia" w:hAnsi="宋体"/>
          <w:b/>
          <w:bCs/>
          <w:sz w:val="32"/>
          <w:szCs w:val="32"/>
        </w:rPr>
        <w:t>金华市金诚招投标代理有限公司</w:t>
      </w:r>
    </w:p>
    <w:p>
      <w:pPr>
        <w:pStyle w:val="27"/>
        <w:snapToGrid w:val="0"/>
        <w:spacing w:before="166" w:after="166" w:line="600" w:lineRule="exact"/>
        <w:rPr>
          <w:rFonts w:hint="eastAsia" w:ascii="宋体" w:hAnsi="宋体" w:cs="宋体"/>
          <w:w w:val="95"/>
          <w:sz w:val="32"/>
          <w:szCs w:val="32"/>
          <w:lang w:val="en-US" w:eastAsia="zh-CN"/>
        </w:rPr>
      </w:pPr>
      <w:r>
        <w:rPr>
          <w:rFonts w:hint="eastAsia" w:ascii="宋体" w:hAnsi="宋体" w:cs="宋体"/>
          <w:w w:val="95"/>
          <w:sz w:val="32"/>
          <w:szCs w:val="32"/>
          <w:lang w:val="en-US" w:eastAsia="zh-CN"/>
        </w:rPr>
        <w:t xml:space="preserve">                 </w:t>
      </w:r>
    </w:p>
    <w:p>
      <w:pPr>
        <w:snapToGrid w:val="0"/>
        <w:spacing w:beforeLines="50" w:line="360" w:lineRule="auto"/>
        <w:jc w:val="center"/>
        <w:rPr>
          <w:rFonts w:hint="eastAsia" w:ascii="宋体" w:hAnsi="宋体" w:cs="宋体"/>
          <w:b/>
          <w:bCs/>
          <w:w w:val="95"/>
          <w:sz w:val="32"/>
          <w:szCs w:val="32"/>
          <w:lang w:eastAsia="zh-CN"/>
        </w:rPr>
        <w:sectPr>
          <w:headerReference r:id="rId4" w:type="first"/>
          <w:footerReference r:id="rId7" w:type="first"/>
          <w:headerReference r:id="rId3" w:type="default"/>
          <w:footerReference r:id="rId5" w:type="default"/>
          <w:footerReference r:id="rId6" w:type="even"/>
          <w:pgSz w:w="11906" w:h="16838"/>
          <w:pgMar w:top="1361" w:right="1474" w:bottom="1361" w:left="1474" w:header="851" w:footer="992" w:gutter="0"/>
          <w:pgNumType w:fmt="numberInDash"/>
          <w:cols w:space="720" w:num="1"/>
          <w:titlePg/>
          <w:docGrid w:type="lines" w:linePitch="332" w:charSpace="0"/>
        </w:sectPr>
      </w:pPr>
      <w:r>
        <w:rPr>
          <w:rFonts w:hint="eastAsia" w:ascii="宋体" w:hAnsi="宋体" w:cs="宋体"/>
          <w:w w:val="95"/>
          <w:sz w:val="32"/>
          <w:szCs w:val="32"/>
          <w:lang w:val="en-US" w:eastAsia="zh-CN"/>
        </w:rPr>
        <w:t xml:space="preserve">                       </w:t>
      </w:r>
      <w:r>
        <w:rPr>
          <w:rFonts w:hint="eastAsia" w:ascii="宋体" w:hAnsi="宋体" w:cs="宋体"/>
          <w:b/>
          <w:bCs/>
          <w:w w:val="95"/>
          <w:sz w:val="32"/>
          <w:szCs w:val="32"/>
          <w:lang w:eastAsia="zh-CN"/>
        </w:rPr>
        <w:t>202</w:t>
      </w:r>
      <w:r>
        <w:rPr>
          <w:rFonts w:hint="eastAsia" w:ascii="宋体" w:hAnsi="宋体" w:cs="宋体"/>
          <w:b/>
          <w:bCs/>
          <w:w w:val="95"/>
          <w:sz w:val="32"/>
          <w:szCs w:val="32"/>
          <w:lang w:val="en-US" w:eastAsia="zh-CN"/>
        </w:rPr>
        <w:t>5</w:t>
      </w:r>
      <w:r>
        <w:rPr>
          <w:rFonts w:hint="eastAsia" w:ascii="宋体" w:hAnsi="宋体" w:cs="宋体"/>
          <w:b/>
          <w:bCs/>
          <w:w w:val="95"/>
          <w:sz w:val="32"/>
          <w:szCs w:val="32"/>
          <w:lang w:eastAsia="zh-CN"/>
        </w:rPr>
        <w:t>年</w:t>
      </w:r>
      <w:r>
        <w:rPr>
          <w:rFonts w:hint="eastAsia" w:ascii="宋体" w:hAnsi="宋体" w:cs="宋体"/>
          <w:b/>
          <w:bCs/>
          <w:w w:val="95"/>
          <w:sz w:val="32"/>
          <w:szCs w:val="32"/>
          <w:lang w:val="en-US" w:eastAsia="zh-CN"/>
        </w:rPr>
        <w:t>4</w:t>
      </w:r>
      <w:r>
        <w:rPr>
          <w:rFonts w:hint="eastAsia" w:ascii="宋体" w:hAnsi="宋体" w:cs="宋体"/>
          <w:b/>
          <w:bCs/>
          <w:w w:val="95"/>
          <w:sz w:val="32"/>
          <w:szCs w:val="32"/>
          <w:lang w:eastAsia="zh-CN"/>
        </w:rPr>
        <w:t>月</w:t>
      </w:r>
      <w:r>
        <w:rPr>
          <w:rFonts w:hint="eastAsia" w:ascii="宋体" w:hAnsi="宋体" w:cs="宋体"/>
          <w:b/>
          <w:bCs/>
          <w:w w:val="95"/>
          <w:sz w:val="32"/>
          <w:szCs w:val="32"/>
          <w:lang w:val="en-US" w:eastAsia="zh-CN"/>
        </w:rPr>
        <w:t>28</w:t>
      </w:r>
      <w:r>
        <w:rPr>
          <w:rFonts w:hint="eastAsia" w:ascii="宋体" w:hAnsi="宋体" w:cs="宋体"/>
          <w:b/>
          <w:bCs/>
          <w:w w:val="95"/>
          <w:sz w:val="32"/>
          <w:szCs w:val="32"/>
          <w:lang w:eastAsia="zh-CN"/>
        </w:rPr>
        <w:t>日</w:t>
      </w:r>
    </w:p>
    <w:p>
      <w:pPr>
        <w:snapToGrid w:val="0"/>
        <w:spacing w:beforeLines="50" w:line="360" w:lineRule="auto"/>
        <w:jc w:val="center"/>
        <w:rPr>
          <w:rFonts w:ascii="创艺简标宋" w:hAnsi="宋体" w:eastAsia="创艺简标宋"/>
          <w:sz w:val="32"/>
          <w:szCs w:val="32"/>
        </w:rPr>
      </w:pPr>
      <w:r>
        <w:rPr>
          <w:rFonts w:hint="eastAsia" w:ascii="宋体" w:hAnsi="宋体" w:cs="宋体"/>
          <w:sz w:val="48"/>
          <w:szCs w:val="48"/>
        </w:rPr>
        <w:t>目</w:t>
      </w:r>
      <w:r>
        <w:rPr>
          <w:rFonts w:hint="eastAsia" w:ascii="宋体" w:hAnsi="宋体" w:cs="宋体"/>
          <w:sz w:val="48"/>
          <w:szCs w:val="48"/>
          <w:lang w:val="en-US" w:eastAsia="zh-CN"/>
        </w:rPr>
        <w:t xml:space="preserve">  </w:t>
      </w:r>
      <w:r>
        <w:rPr>
          <w:rFonts w:hint="eastAsia" w:ascii="宋体" w:hAnsi="宋体" w:cs="宋体"/>
          <w:sz w:val="48"/>
          <w:szCs w:val="48"/>
        </w:rPr>
        <w:t>录</w:t>
      </w:r>
    </w:p>
    <w:p>
      <w:pPr>
        <w:numPr>
          <w:ilvl w:val="0"/>
          <w:numId w:val="2"/>
        </w:numPr>
        <w:spacing w:beforeLines="50" w:line="480" w:lineRule="auto"/>
        <w:rPr>
          <w:rFonts w:ascii="宋体"/>
          <w:sz w:val="32"/>
          <w:szCs w:val="32"/>
        </w:rPr>
      </w:pPr>
      <w:r>
        <w:rPr>
          <w:rFonts w:hint="eastAsia" w:ascii="宋体" w:hAnsi="宋体"/>
          <w:sz w:val="32"/>
          <w:szCs w:val="32"/>
        </w:rPr>
        <w:t>公开招标采购公告</w:t>
      </w:r>
    </w:p>
    <w:p>
      <w:pPr>
        <w:numPr>
          <w:ilvl w:val="0"/>
          <w:numId w:val="2"/>
        </w:numPr>
        <w:spacing w:beforeLines="50" w:line="480" w:lineRule="auto"/>
        <w:rPr>
          <w:rFonts w:ascii="宋体"/>
          <w:sz w:val="32"/>
          <w:szCs w:val="32"/>
        </w:rPr>
      </w:pPr>
      <w:r>
        <w:rPr>
          <w:rFonts w:hint="eastAsia" w:ascii="宋体" w:hAnsi="宋体"/>
          <w:sz w:val="32"/>
          <w:szCs w:val="32"/>
        </w:rPr>
        <w:t>招标需求</w:t>
      </w:r>
    </w:p>
    <w:p>
      <w:pPr>
        <w:numPr>
          <w:ilvl w:val="0"/>
          <w:numId w:val="2"/>
        </w:numPr>
        <w:spacing w:beforeLines="50" w:line="480" w:lineRule="auto"/>
        <w:rPr>
          <w:rFonts w:ascii="宋体"/>
          <w:sz w:val="32"/>
          <w:szCs w:val="32"/>
        </w:rPr>
      </w:pPr>
      <w:r>
        <w:rPr>
          <w:rFonts w:hint="eastAsia" w:ascii="宋体" w:hAnsi="宋体"/>
          <w:sz w:val="32"/>
          <w:szCs w:val="32"/>
        </w:rPr>
        <w:t>投标人须知</w:t>
      </w:r>
    </w:p>
    <w:p>
      <w:pPr>
        <w:numPr>
          <w:ilvl w:val="0"/>
          <w:numId w:val="2"/>
        </w:numPr>
        <w:spacing w:beforeLines="50" w:line="480" w:lineRule="auto"/>
        <w:rPr>
          <w:rFonts w:ascii="宋体"/>
          <w:sz w:val="32"/>
          <w:szCs w:val="32"/>
        </w:rPr>
      </w:pPr>
      <w:r>
        <w:rPr>
          <w:rFonts w:hint="eastAsia" w:ascii="宋体" w:hAnsi="宋体"/>
          <w:sz w:val="32"/>
          <w:szCs w:val="32"/>
        </w:rPr>
        <w:t>评标办法及评分标准</w:t>
      </w:r>
    </w:p>
    <w:p>
      <w:pPr>
        <w:numPr>
          <w:ilvl w:val="0"/>
          <w:numId w:val="2"/>
        </w:numPr>
        <w:spacing w:beforeLines="50" w:line="480" w:lineRule="auto"/>
        <w:rPr>
          <w:rFonts w:ascii="宋体"/>
          <w:sz w:val="32"/>
          <w:szCs w:val="32"/>
        </w:rPr>
      </w:pPr>
      <w:r>
        <w:rPr>
          <w:rFonts w:hint="eastAsia" w:ascii="宋体" w:hAnsi="宋体"/>
          <w:sz w:val="32"/>
          <w:szCs w:val="32"/>
        </w:rPr>
        <w:t>政府采购合同主要条款</w:t>
      </w:r>
    </w:p>
    <w:p>
      <w:pPr>
        <w:numPr>
          <w:ilvl w:val="0"/>
          <w:numId w:val="2"/>
        </w:numPr>
        <w:spacing w:beforeLines="50" w:line="480" w:lineRule="auto"/>
        <w:rPr>
          <w:rFonts w:ascii="宋体"/>
          <w:sz w:val="32"/>
          <w:szCs w:val="32"/>
        </w:rPr>
      </w:pPr>
      <w:r>
        <w:rPr>
          <w:rFonts w:hint="eastAsia" w:ascii="宋体" w:hAnsi="宋体"/>
          <w:sz w:val="32"/>
          <w:szCs w:val="32"/>
        </w:rPr>
        <w:t>投标文件格式</w:t>
      </w:r>
    </w:p>
    <w:p>
      <w:pPr>
        <w:pStyle w:val="27"/>
        <w:snapToGrid w:val="0"/>
        <w:spacing w:before="166" w:after="166" w:line="480" w:lineRule="auto"/>
        <w:outlineLvl w:val="0"/>
        <w:rPr>
          <w:rFonts w:hAnsi="宋体"/>
          <w:sz w:val="32"/>
          <w:szCs w:val="32"/>
        </w:rPr>
        <w:sectPr>
          <w:pgSz w:w="11906" w:h="16838"/>
          <w:pgMar w:top="1361" w:right="1474" w:bottom="1361" w:left="1531" w:header="851" w:footer="992" w:gutter="0"/>
          <w:pgNumType w:fmt="numberInDash"/>
          <w:cols w:space="720" w:num="1"/>
          <w:titlePg/>
          <w:docGrid w:type="lines" w:linePitch="332" w:charSpace="0"/>
        </w:sectPr>
      </w:pPr>
    </w:p>
    <w:p>
      <w:pPr>
        <w:pStyle w:val="27"/>
        <w:snapToGrid w:val="0"/>
        <w:spacing w:before="156" w:after="156" w:line="360" w:lineRule="auto"/>
        <w:outlineLvl w:val="0"/>
        <w:rPr>
          <w:rFonts w:hAnsi="宋体"/>
          <w:sz w:val="36"/>
          <w:szCs w:val="36"/>
        </w:rPr>
      </w:pPr>
    </w:p>
    <w:p>
      <w:pPr>
        <w:rPr>
          <w:sz w:val="36"/>
          <w:szCs w:val="36"/>
        </w:rPr>
      </w:pPr>
    </w:p>
    <w:p/>
    <w:p/>
    <w:p/>
    <w:p/>
    <w:p/>
    <w:p/>
    <w:p/>
    <w:p/>
    <w:p>
      <w:pPr>
        <w:spacing w:line="360" w:lineRule="auto"/>
        <w:rPr>
          <w:rFonts w:hint="eastAsia" w:ascii="宋体" w:hAnsi="宋体" w:cs="宋体"/>
          <w:bCs/>
          <w:sz w:val="30"/>
          <w:szCs w:val="30"/>
        </w:rPr>
      </w:pPr>
    </w:p>
    <w:p>
      <w:pPr>
        <w:spacing w:line="360" w:lineRule="auto"/>
        <w:rPr>
          <w:rFonts w:hint="eastAsia" w:ascii="宋体" w:hAnsi="宋体" w:cs="宋体"/>
          <w:bCs/>
          <w:sz w:val="30"/>
          <w:szCs w:val="30"/>
        </w:rPr>
      </w:pPr>
    </w:p>
    <w:p>
      <w:pPr>
        <w:spacing w:line="360" w:lineRule="auto"/>
        <w:rPr>
          <w:rFonts w:ascii="宋体" w:cs="宋体"/>
          <w:bCs/>
          <w:sz w:val="30"/>
          <w:szCs w:val="30"/>
        </w:rPr>
      </w:pPr>
      <w:r>
        <w:rPr>
          <w:rFonts w:hint="eastAsia" w:ascii="宋体" w:hAnsi="宋体" w:cs="宋体"/>
          <w:bCs/>
          <w:sz w:val="30"/>
          <w:szCs w:val="30"/>
        </w:rPr>
        <w:t>温馨提示：</w:t>
      </w:r>
    </w:p>
    <w:p>
      <w:pPr>
        <w:spacing w:line="360" w:lineRule="auto"/>
        <w:ind w:firstLine="600" w:firstLineChars="200"/>
        <w:rPr>
          <w:rFonts w:ascii="宋体" w:cs="宋体"/>
          <w:bCs/>
          <w:sz w:val="30"/>
          <w:szCs w:val="30"/>
        </w:rPr>
      </w:pPr>
      <w:r>
        <w:rPr>
          <w:rFonts w:hint="eastAsia" w:ascii="宋体" w:hAnsi="宋体" w:cs="宋体"/>
          <w:bCs/>
          <w:sz w:val="30"/>
          <w:szCs w:val="30"/>
        </w:rPr>
        <w:t>请认真阅读此招标文件，并按规定制作投标文件。投标供应商不得向采购人、代理公司工作人员、评标专家行贿，违者一经查实，将列入政府采购黑名单！</w:t>
      </w:r>
    </w:p>
    <w:p>
      <w:pPr>
        <w:pStyle w:val="27"/>
        <w:snapToGrid w:val="0"/>
        <w:spacing w:before="156" w:after="156" w:line="360" w:lineRule="auto"/>
        <w:outlineLvl w:val="0"/>
        <w:rPr>
          <w:rFonts w:hAnsi="宋体" w:cs="宋体"/>
          <w:sz w:val="30"/>
          <w:szCs w:val="30"/>
        </w:rPr>
        <w:sectPr>
          <w:headerReference r:id="rId9" w:type="first"/>
          <w:footerReference r:id="rId12" w:type="first"/>
          <w:headerReference r:id="rId8" w:type="default"/>
          <w:footerReference r:id="rId10" w:type="default"/>
          <w:footerReference r:id="rId11" w:type="even"/>
          <w:type w:val="continuous"/>
          <w:pgSz w:w="11906" w:h="16838"/>
          <w:pgMar w:top="1417" w:right="1417" w:bottom="1417" w:left="1531" w:header="851" w:footer="992" w:gutter="0"/>
          <w:pgNumType w:fmt="numberInDash"/>
          <w:cols w:space="720" w:num="1"/>
          <w:docGrid w:type="linesAndChars" w:linePitch="312" w:charSpace="0"/>
        </w:sectPr>
      </w:pPr>
    </w:p>
    <w:p>
      <w:pPr>
        <w:pStyle w:val="27"/>
        <w:keepNext w:val="0"/>
        <w:keepLines w:val="0"/>
        <w:pageBreakBefore w:val="0"/>
        <w:kinsoku/>
        <w:overflowPunct/>
        <w:topLinePunct w:val="0"/>
        <w:autoSpaceDE/>
        <w:autoSpaceDN/>
        <w:bidi w:val="0"/>
        <w:adjustRightInd/>
        <w:snapToGrid/>
        <w:spacing w:beforeLines="0" w:afterLines="0" w:line="420" w:lineRule="exact"/>
        <w:ind w:left="0" w:leftChars="0"/>
        <w:jc w:val="center"/>
        <w:textAlignment w:val="auto"/>
        <w:outlineLvl w:val="0"/>
        <w:rPr>
          <w:rFonts w:hAnsi="宋体" w:cs="宋体"/>
          <w:b/>
          <w:sz w:val="36"/>
          <w:szCs w:val="36"/>
        </w:rPr>
      </w:pPr>
      <w:r>
        <w:rPr>
          <w:rFonts w:hint="eastAsia" w:hAnsi="宋体" w:cs="宋体"/>
          <w:b/>
          <w:sz w:val="36"/>
          <w:szCs w:val="36"/>
        </w:rPr>
        <w:t>第一章</w:t>
      </w:r>
      <w:r>
        <w:rPr>
          <w:rFonts w:hint="eastAsia" w:hAnsi="宋体" w:cs="宋体"/>
          <w:b/>
          <w:sz w:val="36"/>
          <w:szCs w:val="36"/>
          <w:lang w:val="en-US" w:eastAsia="zh-CN"/>
        </w:rPr>
        <w:t xml:space="preserve">   </w:t>
      </w:r>
      <w:r>
        <w:rPr>
          <w:rFonts w:hint="eastAsia" w:hAnsi="宋体" w:cs="宋体"/>
          <w:b/>
          <w:sz w:val="36"/>
          <w:szCs w:val="36"/>
        </w:rPr>
        <w:t>公开招标采购公告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left="0" w:leftChars="0" w:firstLine="480" w:firstLineChars="200"/>
        <w:textAlignment w:val="auto"/>
        <w:rPr>
          <w:rFonts w:ascii="仿宋" w:hAnsi="仿宋" w:eastAsia="仿宋"/>
          <w:sz w:val="24"/>
        </w:rPr>
      </w:pPr>
      <w:r>
        <w:rPr>
          <w:rFonts w:hint="eastAsia" w:ascii="仿宋" w:hAnsi="仿宋" w:eastAsia="仿宋"/>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left="0" w:leftChars="0" w:firstLine="480" w:firstLineChars="200"/>
        <w:textAlignment w:val="auto"/>
        <w:rPr>
          <w:rFonts w:ascii="仿宋" w:hAnsi="仿宋" w:eastAsia="仿宋"/>
          <w:color w:val="auto"/>
          <w:sz w:val="24"/>
        </w:rPr>
      </w:pPr>
      <w:r>
        <w:rPr>
          <w:rFonts w:hint="eastAsia" w:ascii="仿宋" w:hAnsi="仿宋" w:eastAsia="仿宋"/>
          <w:sz w:val="24"/>
          <w:u w:val="single"/>
        </w:rPr>
        <w:t>根据《中华人民共和国政府采购法》、《政府采购货物和服务招标投标管理办法》</w:t>
      </w:r>
      <w:r>
        <w:rPr>
          <w:rFonts w:hint="eastAsia" w:ascii="仿宋" w:hAnsi="仿宋" w:eastAsia="仿宋"/>
          <w:sz w:val="24"/>
          <w:u w:val="single"/>
          <w:lang w:eastAsia="zh-CN"/>
        </w:rPr>
        <w:t>、</w:t>
      </w:r>
      <w:r>
        <w:rPr>
          <w:rFonts w:hint="eastAsia" w:ascii="仿宋" w:hAnsi="仿宋" w:eastAsia="仿宋"/>
          <w:sz w:val="24"/>
          <w:u w:val="single"/>
        </w:rPr>
        <w:t>《浙江省财政厅关于印发浙江省政府采购项目电子交易管理暂行办法的通知》等规定，经</w:t>
      </w:r>
      <w:r>
        <w:rPr>
          <w:rFonts w:hint="eastAsia" w:ascii="仿宋" w:hAnsi="仿宋" w:eastAsia="仿宋"/>
          <w:b/>
          <w:bCs/>
          <w:color w:val="auto"/>
          <w:sz w:val="24"/>
          <w:u w:val="single"/>
        </w:rPr>
        <w:t>东阳市财政局</w:t>
      </w:r>
      <w:r>
        <w:rPr>
          <w:rFonts w:hint="eastAsia" w:ascii="仿宋" w:hAnsi="仿宋" w:eastAsia="仿宋"/>
          <w:b/>
          <w:bCs/>
          <w:color w:val="auto"/>
          <w:sz w:val="24"/>
          <w:u w:val="single"/>
          <w:lang w:val="en-US" w:eastAsia="zh-CN"/>
        </w:rPr>
        <w:t>[2025]733、734、735</w:t>
      </w:r>
      <w:r>
        <w:rPr>
          <w:rFonts w:hint="eastAsia" w:ascii="仿宋" w:hAnsi="仿宋" w:eastAsia="仿宋"/>
          <w:b/>
          <w:bCs/>
          <w:color w:val="auto"/>
          <w:sz w:val="24"/>
          <w:u w:val="single"/>
        </w:rPr>
        <w:t>号</w:t>
      </w:r>
      <w:r>
        <w:rPr>
          <w:rFonts w:hint="eastAsia" w:ascii="仿宋" w:hAnsi="仿宋" w:eastAsia="仿宋"/>
          <w:b/>
          <w:bCs/>
          <w:color w:val="auto"/>
          <w:sz w:val="24"/>
          <w:u w:val="single"/>
          <w:lang w:eastAsia="zh-CN"/>
        </w:rPr>
        <w:t>政府采购计划书</w:t>
      </w:r>
      <w:r>
        <w:rPr>
          <w:rFonts w:hint="eastAsia" w:ascii="仿宋" w:hAnsi="仿宋" w:eastAsia="仿宋"/>
          <w:color w:val="auto"/>
          <w:sz w:val="24"/>
          <w:u w:val="single"/>
        </w:rPr>
        <w:t>批准。现就</w:t>
      </w:r>
      <w:r>
        <w:rPr>
          <w:rFonts w:hint="eastAsia" w:ascii="仿宋" w:hAnsi="仿宋" w:eastAsia="仿宋" w:cs="Times New Roman"/>
          <w:b/>
          <w:bCs/>
          <w:color w:val="auto"/>
          <w:sz w:val="24"/>
          <w:u w:val="single"/>
          <w:lang w:eastAsia="zh-CN"/>
        </w:rPr>
        <w:t>2025年东阳市图书馆新增图书采购项目</w:t>
      </w:r>
      <w:r>
        <w:rPr>
          <w:rFonts w:hint="eastAsia" w:ascii="仿宋" w:hAnsi="仿宋" w:eastAsia="仿宋"/>
          <w:color w:val="auto"/>
          <w:sz w:val="24"/>
          <w:u w:val="none"/>
        </w:rPr>
        <w:t>进行公开招</w:t>
      </w:r>
      <w:r>
        <w:rPr>
          <w:rFonts w:hint="eastAsia" w:ascii="仿宋" w:hAnsi="仿宋" w:eastAsia="仿宋"/>
          <w:sz w:val="24"/>
          <w:u w:val="none"/>
        </w:rPr>
        <w:t>标采购。</w:t>
      </w:r>
      <w:r>
        <w:rPr>
          <w:rFonts w:hint="eastAsia" w:ascii="仿宋" w:hAnsi="仿宋" w:eastAsia="仿宋"/>
          <w:sz w:val="24"/>
          <w:u w:val="single"/>
        </w:rPr>
        <w:t>（</w:t>
      </w:r>
      <w:r>
        <w:rPr>
          <w:rFonts w:hint="eastAsia" w:ascii="仿宋" w:hAnsi="仿宋" w:eastAsia="仿宋" w:cs="Times New Roman"/>
          <w:b/>
          <w:bCs/>
          <w:sz w:val="24"/>
          <w:u w:val="single"/>
          <w:lang w:eastAsia="zh-CN"/>
        </w:rPr>
        <w:t>2025年东阳市图书馆新增图书采购项目</w:t>
      </w:r>
      <w:r>
        <w:rPr>
          <w:rFonts w:ascii="仿宋" w:hAnsi="仿宋" w:eastAsia="仿宋"/>
          <w:sz w:val="24"/>
          <w:u w:val="single"/>
        </w:rPr>
        <w:t>)</w:t>
      </w:r>
      <w:r>
        <w:rPr>
          <w:rFonts w:hint="eastAsia" w:ascii="仿宋" w:hAnsi="仿宋" w:eastAsia="仿宋"/>
          <w:sz w:val="24"/>
        </w:rPr>
        <w:t xml:space="preserve"> 招标项目的潜在投标人应在</w:t>
      </w:r>
      <w:r>
        <w:rPr>
          <w:rFonts w:hint="eastAsia" w:ascii="仿宋" w:hAnsi="仿宋" w:eastAsia="仿宋"/>
          <w:sz w:val="24"/>
          <w:u w:val="single"/>
        </w:rPr>
        <w:t>（网址</w:t>
      </w:r>
      <w:r>
        <w:rPr>
          <w:rFonts w:hint="eastAsia" w:ascii="仿宋" w:hAnsi="仿宋" w:eastAsia="仿宋"/>
          <w:sz w:val="24"/>
          <w:u w:val="single"/>
          <w:lang w:eastAsia="zh-CN"/>
        </w:rPr>
        <w:t>：</w:t>
      </w:r>
      <w:r>
        <w:rPr>
          <w:rFonts w:hint="eastAsia" w:ascii="仿宋" w:hAnsi="仿宋" w:eastAsia="仿宋" w:cs="Times New Roman"/>
          <w:b/>
          <w:sz w:val="24"/>
          <w:u w:val="single"/>
        </w:rPr>
        <w:t>浙江政府采购网(https://zfcg.czt.zj.gov.cn/)</w:t>
      </w:r>
      <w:r>
        <w:rPr>
          <w:rFonts w:hint="eastAsia" w:ascii="仿宋" w:hAnsi="仿宋" w:eastAsia="仿宋" w:cs="Times New Roman"/>
          <w:b/>
          <w:sz w:val="24"/>
          <w:u w:val="single"/>
          <w:lang w:eastAsia="zh-CN"/>
        </w:rPr>
        <w:t>、</w:t>
      </w:r>
      <w:r>
        <w:rPr>
          <w:rFonts w:hint="eastAsia" w:ascii="仿宋" w:hAnsi="仿宋" w:eastAsia="仿宋" w:cs="Times New Roman"/>
          <w:b/>
          <w:sz w:val="24"/>
          <w:u w:val="single"/>
        </w:rPr>
        <w:t>东阳市公共资源交易网(</w:t>
      </w:r>
      <w:r>
        <w:rPr>
          <w:rFonts w:hint="eastAsia" w:ascii="仿宋" w:hAnsi="仿宋" w:eastAsia="仿宋" w:cs="Times New Roman"/>
          <w:b/>
          <w:sz w:val="24"/>
          <w:u w:val="single"/>
          <w:lang w:eastAsia="zh-CN"/>
        </w:rPr>
        <w:t>http://www.dongyang.gov.cn/ggzyjy/</w:t>
      </w:r>
      <w:r>
        <w:rPr>
          <w:rFonts w:hint="eastAsia" w:ascii="仿宋" w:hAnsi="仿宋" w:eastAsia="仿宋" w:cs="Times New Roman"/>
          <w:b/>
          <w:sz w:val="24"/>
          <w:u w:val="single"/>
        </w:rPr>
        <w:t>)</w:t>
      </w:r>
      <w:r>
        <w:rPr>
          <w:rFonts w:hint="eastAsia" w:ascii="仿宋" w:hAnsi="仿宋" w:eastAsia="仿宋"/>
          <w:sz w:val="24"/>
          <w:u w:val="single"/>
        </w:rPr>
        <w:t>）</w:t>
      </w:r>
      <w:r>
        <w:rPr>
          <w:rFonts w:hint="eastAsia" w:ascii="仿宋" w:hAnsi="仿宋" w:eastAsia="仿宋"/>
          <w:sz w:val="24"/>
        </w:rPr>
        <w:t>获取</w:t>
      </w:r>
      <w:r>
        <w:rPr>
          <w:rFonts w:hint="eastAsia" w:ascii="仿宋" w:hAnsi="仿宋" w:eastAsia="仿宋"/>
          <w:color w:val="auto"/>
          <w:sz w:val="24"/>
        </w:rPr>
        <w:t>招标文件，并于</w:t>
      </w:r>
      <w:r>
        <w:rPr>
          <w:rFonts w:hint="eastAsia" w:ascii="仿宋" w:hAnsi="仿宋" w:eastAsia="仿宋"/>
          <w:b/>
          <w:bCs/>
          <w:color w:val="auto"/>
          <w:sz w:val="24"/>
          <w:u w:val="single"/>
          <w:lang w:val="en-US" w:eastAsia="zh-CN"/>
        </w:rPr>
        <w:t>2025</w:t>
      </w:r>
      <w:r>
        <w:rPr>
          <w:rFonts w:hint="eastAsia" w:ascii="仿宋" w:hAnsi="仿宋" w:eastAsia="仿宋"/>
          <w:b/>
          <w:bCs/>
          <w:color w:val="auto"/>
          <w:sz w:val="24"/>
          <w:u w:val="single"/>
        </w:rPr>
        <w:t>年</w:t>
      </w:r>
      <w:r>
        <w:rPr>
          <w:rFonts w:hint="eastAsia" w:ascii="仿宋" w:hAnsi="仿宋" w:eastAsia="仿宋"/>
          <w:b/>
          <w:bCs/>
          <w:color w:val="auto"/>
          <w:sz w:val="24"/>
          <w:u w:val="single"/>
          <w:lang w:val="en-US" w:eastAsia="zh-CN"/>
        </w:rPr>
        <w:t>5</w:t>
      </w:r>
      <w:r>
        <w:rPr>
          <w:rFonts w:hint="eastAsia" w:ascii="仿宋" w:hAnsi="仿宋" w:eastAsia="仿宋"/>
          <w:b/>
          <w:bCs/>
          <w:color w:val="auto"/>
          <w:sz w:val="24"/>
          <w:u w:val="single"/>
        </w:rPr>
        <w:t>月</w:t>
      </w:r>
      <w:r>
        <w:rPr>
          <w:rFonts w:hint="eastAsia" w:ascii="仿宋" w:hAnsi="仿宋" w:eastAsia="仿宋"/>
          <w:b/>
          <w:bCs/>
          <w:color w:val="auto"/>
          <w:sz w:val="24"/>
          <w:u w:val="single"/>
          <w:lang w:val="en-US" w:eastAsia="zh-CN"/>
        </w:rPr>
        <w:t>21</w:t>
      </w:r>
      <w:r>
        <w:rPr>
          <w:rFonts w:hint="eastAsia" w:ascii="仿宋" w:hAnsi="仿宋" w:eastAsia="仿宋"/>
          <w:b/>
          <w:bCs/>
          <w:color w:val="auto"/>
          <w:sz w:val="24"/>
          <w:u w:val="single"/>
        </w:rPr>
        <w:t>日</w:t>
      </w:r>
      <w:r>
        <w:rPr>
          <w:rFonts w:hint="eastAsia" w:ascii="仿宋" w:hAnsi="仿宋" w:eastAsia="仿宋"/>
          <w:b/>
          <w:bCs/>
          <w:color w:val="auto"/>
          <w:sz w:val="24"/>
          <w:u w:val="single"/>
          <w:lang w:val="en-US" w:eastAsia="zh-CN"/>
        </w:rPr>
        <w:t>8</w:t>
      </w:r>
      <w:r>
        <w:rPr>
          <w:rFonts w:hint="eastAsia" w:ascii="仿宋" w:hAnsi="仿宋" w:eastAsia="仿宋"/>
          <w:b/>
          <w:bCs/>
          <w:color w:val="auto"/>
          <w:sz w:val="24"/>
          <w:u w:val="single"/>
        </w:rPr>
        <w:t>点</w:t>
      </w:r>
      <w:r>
        <w:rPr>
          <w:rFonts w:hint="eastAsia" w:ascii="仿宋" w:hAnsi="仿宋" w:eastAsia="仿宋"/>
          <w:b/>
          <w:bCs/>
          <w:color w:val="auto"/>
          <w:sz w:val="24"/>
          <w:u w:val="single"/>
          <w:lang w:val="en-US" w:eastAsia="zh-CN"/>
        </w:rPr>
        <w:t>30</w:t>
      </w:r>
      <w:r>
        <w:rPr>
          <w:rFonts w:hint="eastAsia" w:ascii="仿宋" w:hAnsi="仿宋" w:eastAsia="仿宋"/>
          <w:b/>
          <w:bCs/>
          <w:color w:val="auto"/>
          <w:sz w:val="24"/>
          <w:u w:val="single"/>
        </w:rPr>
        <w:t>分</w:t>
      </w:r>
      <w:r>
        <w:rPr>
          <w:rFonts w:hint="eastAsia" w:ascii="仿宋" w:hAnsi="仿宋" w:eastAsia="仿宋"/>
          <w:bCs/>
          <w:color w:val="auto"/>
          <w:sz w:val="24"/>
        </w:rPr>
        <w:t>（北京时间）前递交投标</w:t>
      </w:r>
      <w:r>
        <w:rPr>
          <w:rFonts w:ascii="仿宋" w:hAnsi="仿宋" w:eastAsia="仿宋"/>
          <w:bCs/>
          <w:color w:val="auto"/>
          <w:sz w:val="24"/>
        </w:rPr>
        <w:t>文件</w:t>
      </w:r>
      <w:r>
        <w:rPr>
          <w:rFonts w:hint="eastAsia" w:ascii="仿宋" w:hAnsi="仿宋" w:eastAsia="仿宋"/>
          <w:color w:val="auto"/>
          <w:sz w:val="24"/>
        </w:rPr>
        <w:t>。</w:t>
      </w:r>
    </w:p>
    <w:p>
      <w:pPr>
        <w:pStyle w:val="249"/>
        <w:keepNext w:val="0"/>
        <w:keepLines w:val="0"/>
        <w:pageBreakBefore w:val="0"/>
        <w:numPr>
          <w:ilvl w:val="0"/>
          <w:numId w:val="0"/>
        </w:numPr>
        <w:kinsoku/>
        <w:wordWrap/>
        <w:overflowPunct/>
        <w:topLinePunct w:val="0"/>
        <w:autoSpaceDE/>
        <w:autoSpaceDN/>
        <w:bidi w:val="0"/>
        <w:adjustRightInd/>
        <w:snapToGrid/>
        <w:spacing w:afterLines="0" w:line="360" w:lineRule="auto"/>
        <w:ind w:leftChars="0"/>
        <w:textAlignment w:val="auto"/>
        <w:rPr>
          <w:rFonts w:hint="eastAsia" w:ascii="宋体" w:hAnsi="宋体" w:cs="宋体"/>
          <w:b/>
          <w:bCs/>
          <w:sz w:val="24"/>
          <w:szCs w:val="24"/>
          <w:u w:val="none"/>
          <w:lang w:eastAsia="zh-CN"/>
        </w:rPr>
      </w:pPr>
      <w:r>
        <w:rPr>
          <w:rFonts w:hint="eastAsia" w:ascii="宋体" w:hAnsi="宋体" w:cs="宋体"/>
          <w:b/>
          <w:bCs/>
          <w:sz w:val="24"/>
          <w:szCs w:val="24"/>
          <w:u w:val="none"/>
          <w:lang w:eastAsia="zh-CN"/>
        </w:rPr>
        <w:t>一、</w:t>
      </w:r>
      <w:r>
        <w:rPr>
          <w:rFonts w:hint="eastAsia" w:ascii="宋体" w:hAnsi="宋体" w:eastAsia="宋体" w:cs="宋体"/>
          <w:b/>
          <w:bCs/>
          <w:sz w:val="24"/>
          <w:szCs w:val="24"/>
          <w:u w:val="none"/>
          <w:lang w:eastAsia="zh-CN"/>
        </w:rPr>
        <w:t>项目基本情况</w:t>
      </w:r>
      <w:r>
        <w:rPr>
          <w:rFonts w:hint="eastAsia" w:ascii="宋体" w:hAnsi="宋体" w:cs="宋体"/>
          <w:b/>
          <w:bCs/>
          <w:sz w:val="24"/>
          <w:szCs w:val="24"/>
          <w:u w:val="none"/>
          <w:lang w:eastAsia="zh-CN"/>
        </w:rPr>
        <w:t>：</w:t>
      </w:r>
    </w:p>
    <w:p>
      <w:pPr>
        <w:pStyle w:val="249"/>
        <w:keepNext w:val="0"/>
        <w:keepLines w:val="0"/>
        <w:pageBreakBefore w:val="0"/>
        <w:numPr>
          <w:ilvl w:val="0"/>
          <w:numId w:val="0"/>
        </w:numPr>
        <w:kinsoku/>
        <w:wordWrap/>
        <w:overflowPunct/>
        <w:topLinePunct w:val="0"/>
        <w:autoSpaceDE/>
        <w:autoSpaceDN/>
        <w:bidi w:val="0"/>
        <w:adjustRightInd/>
        <w:snapToGrid/>
        <w:spacing w:afterLines="0" w:line="360" w:lineRule="auto"/>
        <w:ind w:left="0" w:leftChars="0" w:firstLine="480" w:firstLineChars="200"/>
        <w:textAlignment w:val="auto"/>
        <w:rPr>
          <w:rFonts w:hint="default" w:ascii="宋体" w:hAnsi="宋体" w:eastAsia="宋体" w:cs="宋体"/>
          <w:b/>
          <w:bCs/>
          <w:kern w:val="0"/>
          <w:sz w:val="24"/>
          <w:szCs w:val="24"/>
          <w:u w:val="none"/>
          <w:lang w:val="en-US" w:eastAsia="zh-CN" w:bidi="ar-SA"/>
        </w:rPr>
      </w:pPr>
      <w:r>
        <w:rPr>
          <w:rFonts w:hint="eastAsia" w:ascii="宋体" w:hAnsi="宋体" w:eastAsia="宋体" w:cs="宋体"/>
          <w:b/>
          <w:bCs/>
          <w:kern w:val="0"/>
          <w:sz w:val="24"/>
          <w:szCs w:val="24"/>
          <w:u w:val="none"/>
          <w:lang w:val="en-US" w:eastAsia="zh-CN" w:bidi="ar-SA"/>
        </w:rPr>
        <w:t>项目编号：</w:t>
      </w:r>
      <w:r>
        <w:rPr>
          <w:rFonts w:hint="eastAsia" w:ascii="宋体" w:hAnsi="宋体" w:cs="宋体"/>
          <w:b/>
          <w:bCs/>
          <w:kern w:val="0"/>
          <w:sz w:val="24"/>
          <w:szCs w:val="24"/>
          <w:u w:val="none"/>
          <w:lang w:val="en-US" w:eastAsia="zh-CN" w:bidi="ar-SA"/>
        </w:rPr>
        <w:t>JCZFCG2025-Z19-A364</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hAnsi="宋体" w:cs="宋体"/>
          <w:b w:val="0"/>
          <w:bCs w:val="0"/>
          <w:kern w:val="0"/>
          <w:sz w:val="24"/>
          <w:szCs w:val="24"/>
          <w:u w:val="none"/>
          <w:lang w:val="en-US" w:eastAsia="zh-CN" w:bidi="ar-SA"/>
        </w:rPr>
      </w:pPr>
      <w:r>
        <w:rPr>
          <w:rFonts w:hint="eastAsia" w:ascii="宋体" w:hAnsi="宋体" w:eastAsia="宋体" w:cs="宋体"/>
          <w:b/>
          <w:bCs/>
          <w:sz w:val="24"/>
          <w:szCs w:val="24"/>
          <w:u w:val="none"/>
          <w:lang w:eastAsia="zh-CN"/>
        </w:rPr>
        <w:t>项目名称</w:t>
      </w:r>
      <w:r>
        <w:rPr>
          <w:rFonts w:hint="eastAsia" w:ascii="宋体" w:hAnsi="宋体" w:eastAsia="宋体" w:cs="宋体"/>
          <w:b w:val="0"/>
          <w:bCs w:val="0"/>
          <w:sz w:val="24"/>
          <w:szCs w:val="24"/>
          <w:u w:val="none"/>
          <w:lang w:eastAsia="zh-CN"/>
        </w:rPr>
        <w:t>：</w:t>
      </w:r>
      <w:r>
        <w:rPr>
          <w:rFonts w:hint="eastAsia" w:hAnsi="宋体" w:cs="宋体"/>
          <w:b w:val="0"/>
          <w:bCs w:val="0"/>
          <w:sz w:val="24"/>
          <w:szCs w:val="24"/>
          <w:u w:val="none"/>
          <w:lang w:val="en-US" w:eastAsia="zh-CN"/>
        </w:rPr>
        <w:t>2025年东阳市图书馆新增图书采购项目</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预算金额</w:t>
      </w:r>
      <w:r>
        <w:rPr>
          <w:rFonts w:hint="eastAsia" w:ascii="宋体" w:hAnsi="宋体" w:eastAsia="宋体" w:cs="宋体"/>
          <w:b w:val="0"/>
          <w:bCs w:val="0"/>
          <w:color w:val="auto"/>
          <w:sz w:val="24"/>
          <w:szCs w:val="24"/>
          <w:u w:val="none"/>
          <w:lang w:eastAsia="zh-CN"/>
        </w:rPr>
        <w:t>：</w:t>
      </w:r>
      <w:r>
        <w:rPr>
          <w:rFonts w:hint="eastAsia" w:hAnsi="宋体" w:cs="宋体"/>
          <w:b w:val="0"/>
          <w:bCs w:val="0"/>
          <w:color w:val="auto"/>
          <w:sz w:val="24"/>
          <w:szCs w:val="24"/>
          <w:u w:val="none"/>
          <w:lang w:val="en-US" w:eastAsia="zh-CN"/>
        </w:rPr>
        <w:t>184</w:t>
      </w:r>
      <w:r>
        <w:rPr>
          <w:rFonts w:hint="eastAsia" w:ascii="宋体" w:hAnsi="宋体" w:cs="宋体"/>
          <w:color w:val="auto"/>
        </w:rPr>
        <w:t>万元</w:t>
      </w:r>
      <w:r>
        <w:rPr>
          <w:rFonts w:hint="eastAsia" w:ascii="宋体" w:hAnsi="宋体" w:eastAsia="宋体" w:cs="宋体"/>
          <w:b w:val="0"/>
          <w:bCs w:val="0"/>
          <w:color w:val="auto"/>
          <w:sz w:val="24"/>
          <w:szCs w:val="24"/>
          <w:u w:val="none"/>
          <w:lang w:val="en-US" w:eastAsia="zh-CN"/>
        </w:rPr>
        <w:t>；</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最高限价</w:t>
      </w:r>
      <w:r>
        <w:rPr>
          <w:rFonts w:hint="eastAsia" w:ascii="宋体" w:hAnsi="宋体" w:eastAsia="宋体" w:cs="宋体"/>
          <w:b w:val="0"/>
          <w:bCs w:val="0"/>
          <w:color w:val="auto"/>
          <w:sz w:val="24"/>
          <w:szCs w:val="24"/>
          <w:u w:val="none"/>
          <w:lang w:eastAsia="zh-CN"/>
        </w:rPr>
        <w:t>：</w:t>
      </w:r>
      <w:r>
        <w:rPr>
          <w:rFonts w:hint="eastAsia" w:hAnsi="宋体" w:cs="宋体"/>
          <w:b w:val="0"/>
          <w:bCs w:val="0"/>
          <w:color w:val="auto"/>
          <w:sz w:val="24"/>
          <w:szCs w:val="24"/>
          <w:u w:val="none"/>
          <w:lang w:val="en-US" w:eastAsia="zh-CN"/>
        </w:rPr>
        <w:t>同预算价</w:t>
      </w:r>
      <w:r>
        <w:rPr>
          <w:rFonts w:hint="eastAsia" w:ascii="宋体" w:hAnsi="宋体" w:eastAsia="宋体" w:cs="宋体"/>
          <w:b w:val="0"/>
          <w:bCs w:val="0"/>
          <w:color w:val="auto"/>
          <w:sz w:val="24"/>
          <w:szCs w:val="24"/>
          <w:u w:val="none"/>
          <w:lang w:val="en-US" w:eastAsia="zh-CN"/>
        </w:rPr>
        <w:t>；</w:t>
      </w:r>
    </w:p>
    <w:p>
      <w:pPr>
        <w:pStyle w:val="249"/>
        <w:keepNext w:val="0"/>
        <w:keepLines w:val="0"/>
        <w:pageBreakBefore w:val="0"/>
        <w:kinsoku/>
        <w:wordWrap/>
        <w:overflowPunct/>
        <w:topLinePunct w:val="0"/>
        <w:autoSpaceDE/>
        <w:autoSpaceDN/>
        <w:bidi w:val="0"/>
        <w:adjustRightInd/>
        <w:snapToGrid/>
        <w:spacing w:afterLines="0" w:line="360" w:lineRule="auto"/>
        <w:ind w:left="0" w:leftChars="0" w:firstLine="480" w:firstLineChars="20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采购需求：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标项</w:t>
      </w:r>
      <w:r>
        <w:rPr>
          <w:rFonts w:hint="eastAsia" w:ascii="宋体" w:hAnsi="宋体" w:cs="宋体"/>
          <w:b/>
          <w:bCs w:val="0"/>
          <w:color w:val="auto"/>
          <w:kern w:val="2"/>
          <w:sz w:val="24"/>
          <w:szCs w:val="24"/>
          <w:lang w:val="en-US" w:eastAsia="zh-CN" w:bidi="ar-SA"/>
        </w:rPr>
        <w:t>1</w:t>
      </w:r>
      <w:r>
        <w:rPr>
          <w:rFonts w:hint="eastAsia" w:ascii="宋体" w:hAnsi="宋体" w:eastAsia="宋体" w:cs="宋体"/>
          <w:b/>
          <w:bCs w:val="0"/>
          <w:color w:val="auto"/>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标项名称：</w:t>
      </w:r>
      <w:r>
        <w:rPr>
          <w:rFonts w:hint="eastAsia" w:hAnsi="宋体" w:cs="宋体"/>
          <w:b w:val="0"/>
          <w:bCs w:val="0"/>
          <w:color w:val="auto"/>
          <w:sz w:val="24"/>
          <w:szCs w:val="24"/>
          <w:highlight w:val="none"/>
          <w:lang w:eastAsia="zh-CN"/>
        </w:rPr>
        <w:t>老</w:t>
      </w:r>
      <w:r>
        <w:rPr>
          <w:rFonts w:hint="eastAsia" w:ascii="宋体" w:hAnsi="宋体" w:eastAsia="宋体" w:cs="宋体"/>
          <w:b w:val="0"/>
          <w:bCs w:val="0"/>
          <w:color w:val="auto"/>
          <w:sz w:val="24"/>
          <w:szCs w:val="24"/>
          <w:highlight w:val="none"/>
        </w:rPr>
        <w:t>馆纸质中文图书采购</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数量：1项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预算金额：</w:t>
      </w:r>
      <w:r>
        <w:rPr>
          <w:rFonts w:hint="eastAsia" w:ascii="宋体" w:hAnsi="宋体" w:cs="宋体"/>
          <w:b w:val="0"/>
          <w:bCs/>
          <w:color w:val="auto"/>
          <w:kern w:val="2"/>
          <w:sz w:val="24"/>
          <w:szCs w:val="24"/>
          <w:lang w:val="en-US" w:eastAsia="zh-CN" w:bidi="ar-SA"/>
        </w:rPr>
        <w:t>98</w:t>
      </w:r>
      <w:r>
        <w:rPr>
          <w:rFonts w:hint="eastAsia" w:ascii="宋体" w:hAnsi="宋体" w:cs="宋体"/>
          <w:color w:val="auto"/>
          <w:sz w:val="24"/>
          <w:szCs w:val="24"/>
        </w:rPr>
        <w:t>万元</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标项</w:t>
      </w:r>
      <w:r>
        <w:rPr>
          <w:rFonts w:hint="eastAsia" w:ascii="宋体" w:hAnsi="宋体" w:cs="宋体"/>
          <w:b/>
          <w:bCs w:val="0"/>
          <w:color w:val="auto"/>
          <w:kern w:val="2"/>
          <w:sz w:val="24"/>
          <w:szCs w:val="24"/>
          <w:lang w:val="en-US" w:eastAsia="zh-CN" w:bidi="ar-SA"/>
        </w:rPr>
        <w:t>2</w:t>
      </w:r>
      <w:r>
        <w:rPr>
          <w:rFonts w:hint="eastAsia" w:ascii="宋体" w:hAnsi="宋体" w:eastAsia="宋体" w:cs="宋体"/>
          <w:b/>
          <w:bCs w:val="0"/>
          <w:color w:val="auto"/>
          <w:kern w:val="2"/>
          <w:sz w:val="24"/>
          <w:szCs w:val="24"/>
          <w:lang w:val="en-US" w:eastAsia="zh-CN" w:bidi="ar-SA"/>
        </w:rPr>
        <w:t>：</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标项名称：</w:t>
      </w:r>
      <w:r>
        <w:rPr>
          <w:rFonts w:hint="eastAsia" w:hAnsi="宋体" w:cs="宋体"/>
          <w:b w:val="0"/>
          <w:bCs w:val="0"/>
          <w:color w:val="auto"/>
          <w:sz w:val="24"/>
          <w:szCs w:val="24"/>
          <w:highlight w:val="none"/>
          <w:lang w:eastAsia="zh-CN"/>
        </w:rPr>
        <w:t>图书分馆、马生书屋及阅读驿站等纸质中文图书采购</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数量：1项</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kern w:val="2"/>
          <w:sz w:val="24"/>
          <w:szCs w:val="24"/>
          <w:lang w:val="en-US" w:eastAsia="zh-CN" w:bidi="ar-SA"/>
        </w:rPr>
        <w:t>预算金额：</w:t>
      </w:r>
      <w:r>
        <w:rPr>
          <w:rFonts w:hint="eastAsia" w:hAnsi="宋体" w:cs="宋体"/>
          <w:b w:val="0"/>
          <w:bCs/>
          <w:color w:val="auto"/>
          <w:kern w:val="2"/>
          <w:sz w:val="24"/>
          <w:szCs w:val="24"/>
          <w:lang w:val="en-US" w:eastAsia="zh-CN" w:bidi="ar-SA"/>
        </w:rPr>
        <w:t>46</w:t>
      </w:r>
      <w:r>
        <w:rPr>
          <w:rFonts w:hint="eastAsia" w:ascii="宋体" w:hAnsi="宋体" w:cs="宋体"/>
          <w:color w:val="auto"/>
          <w:sz w:val="24"/>
          <w:szCs w:val="24"/>
        </w:rPr>
        <w:t>万元</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标项</w:t>
      </w:r>
      <w:r>
        <w:rPr>
          <w:rFonts w:hint="eastAsia" w:ascii="宋体" w:hAnsi="宋体" w:cs="宋体"/>
          <w:b/>
          <w:bCs w:val="0"/>
          <w:color w:val="auto"/>
          <w:kern w:val="2"/>
          <w:sz w:val="24"/>
          <w:szCs w:val="24"/>
          <w:lang w:val="en-US" w:eastAsia="zh-CN" w:bidi="ar-SA"/>
        </w:rPr>
        <w:t>3</w:t>
      </w:r>
      <w:r>
        <w:rPr>
          <w:rFonts w:hint="eastAsia" w:ascii="宋体" w:hAnsi="宋体" w:eastAsia="宋体" w:cs="宋体"/>
          <w:b/>
          <w:bCs w:val="0"/>
          <w:color w:val="auto"/>
          <w:kern w:val="2"/>
          <w:sz w:val="24"/>
          <w:szCs w:val="24"/>
          <w:lang w:val="en-US" w:eastAsia="zh-CN" w:bidi="ar-SA"/>
        </w:rPr>
        <w:t>：</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标项名称</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lang w:eastAsia="zh-CN"/>
        </w:rPr>
        <w:t>新</w:t>
      </w:r>
      <w:r>
        <w:rPr>
          <w:rFonts w:hint="eastAsia" w:ascii="宋体" w:hAnsi="宋体" w:eastAsia="宋体" w:cs="宋体"/>
          <w:b w:val="0"/>
          <w:bCs w:val="0"/>
          <w:color w:val="auto"/>
          <w:sz w:val="24"/>
          <w:szCs w:val="24"/>
          <w:highlight w:val="none"/>
        </w:rPr>
        <w:t>馆纸质中文图书采购</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数量：1项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color w:val="auto"/>
          <w:kern w:val="2"/>
          <w:sz w:val="24"/>
          <w:szCs w:val="24"/>
          <w:lang w:val="en-US" w:eastAsia="zh-CN" w:bidi="ar-SA"/>
        </w:rPr>
        <w:t>预算金额：</w:t>
      </w:r>
      <w:r>
        <w:rPr>
          <w:rFonts w:hint="eastAsia" w:ascii="宋体" w:hAnsi="宋体" w:cs="宋体"/>
          <w:b w:val="0"/>
          <w:bCs/>
          <w:color w:val="auto"/>
          <w:kern w:val="2"/>
          <w:sz w:val="24"/>
          <w:szCs w:val="24"/>
          <w:lang w:val="en-US" w:eastAsia="zh-CN" w:bidi="ar-SA"/>
        </w:rPr>
        <w:t>40</w:t>
      </w:r>
      <w:r>
        <w:rPr>
          <w:rFonts w:hint="eastAsia" w:ascii="宋体" w:hAnsi="宋体" w:cs="宋体"/>
          <w:color w:val="auto"/>
          <w:sz w:val="24"/>
          <w:szCs w:val="24"/>
        </w:rPr>
        <w:t>万元</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简要规格描述或项目基本概况介绍、用途：具体要求详见第二章招标需求</w:t>
      </w:r>
      <w:r>
        <w:rPr>
          <w:rFonts w:hint="eastAsia" w:ascii="宋体" w:hAnsi="宋体" w:eastAsia="宋体" w:cs="宋体"/>
          <w:b w:val="0"/>
          <w:bCs w:val="0"/>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备注：</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b w:val="0"/>
          <w:bCs w:val="0"/>
          <w:color w:val="auto"/>
        </w:rPr>
      </w:pPr>
      <w:r>
        <w:rPr>
          <w:rFonts w:hint="eastAsia" w:ascii="宋体" w:hAnsi="宋体" w:eastAsia="宋体" w:cs="宋体"/>
          <w:b w:val="0"/>
          <w:bCs w:val="0"/>
          <w:color w:val="auto"/>
          <w:sz w:val="24"/>
          <w:szCs w:val="24"/>
          <w:lang w:eastAsia="zh-CN"/>
        </w:rPr>
        <w:t>合同履约期限：</w:t>
      </w:r>
      <w:r>
        <w:rPr>
          <w:rFonts w:hint="eastAsia" w:hAnsi="宋体" w:cs="宋体"/>
          <w:b w:val="0"/>
          <w:bCs w:val="0"/>
          <w:color w:val="auto"/>
          <w:sz w:val="24"/>
          <w:szCs w:val="24"/>
          <w:highlight w:val="none"/>
          <w:lang w:val="en-US" w:eastAsia="zh-CN"/>
        </w:rPr>
        <w:t>供货期限合同生效之日起至2025年11月30日止</w:t>
      </w:r>
      <w:r>
        <w:rPr>
          <w:rFonts w:hint="eastAsia" w:ascii="宋体" w:hAnsi="宋体" w:eastAsia="宋体" w:cs="宋体"/>
          <w:b w:val="0"/>
          <w:bCs w:val="0"/>
          <w:color w:val="auto"/>
          <w:sz w:val="24"/>
          <w:szCs w:val="24"/>
          <w:lang w:eastAsia="zh-CN"/>
        </w:rPr>
        <w:t>。</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本项目接受联合体投标</w:t>
      </w:r>
      <w:r>
        <w:rPr>
          <w:rFonts w:hint="eastAsia" w:ascii="宋体" w:hAnsi="宋体" w:cs="宋体"/>
          <w:b w:val="0"/>
          <w:bCs w:val="0"/>
          <w:color w:val="auto"/>
          <w:sz w:val="24"/>
          <w:szCs w:val="24"/>
          <w:lang w:eastAsia="zh-CN"/>
        </w:rPr>
        <w:t>。</w:t>
      </w:r>
    </w:p>
    <w:p>
      <w:pPr>
        <w:keepNext w:val="0"/>
        <w:keepLines w:val="0"/>
        <w:pageBreakBefore w:val="0"/>
        <w:tabs>
          <w:tab w:val="left" w:pos="901"/>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bCs/>
          <w:color w:val="000000"/>
          <w:sz w:val="24"/>
          <w:szCs w:val="24"/>
          <w:highlight w:val="none"/>
          <w:lang w:val="en-US" w:eastAsia="zh-CN"/>
        </w:rPr>
        <w:t>二、申请人的资格要求：</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A、本项目不限，所有大中小微型企业均可参加投标。</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rPr>
      </w:pPr>
      <w:r>
        <w:rPr>
          <w:rFonts w:hint="eastAsia" w:ascii="宋体" w:hAnsi="宋体" w:cs="宋体"/>
          <w:color w:val="auto"/>
          <w:sz w:val="24"/>
          <w:szCs w:val="24"/>
        </w:rPr>
        <w:t>B、本项目接受大中型企业与小微企业组成联合体投标，或者大中型企业向一家或者多家小微企业分包</w:t>
      </w:r>
      <w:r>
        <w:rPr>
          <w:rFonts w:hint="eastAsia" w:ascii="宋体" w:hAnsi="宋体" w:cs="宋体"/>
          <w:color w:val="auto"/>
          <w:sz w:val="24"/>
          <w:szCs w:val="24"/>
          <w:lang w:eastAsia="zh-CN"/>
        </w:rPr>
        <w:t>。</w:t>
      </w:r>
      <w:r>
        <w:rPr>
          <w:rFonts w:hint="eastAsia" w:ascii="宋体" w:hAnsi="宋体" w:cs="宋体"/>
          <w:color w:val="auto"/>
          <w:sz w:val="24"/>
          <w:szCs w:val="24"/>
        </w:rPr>
        <w:t>组成联合体投标</w:t>
      </w:r>
      <w:r>
        <w:rPr>
          <w:rFonts w:hint="eastAsia" w:ascii="宋体" w:hAnsi="宋体" w:cs="宋体"/>
          <w:color w:val="auto"/>
          <w:sz w:val="24"/>
          <w:szCs w:val="24"/>
          <w:lang w:val="en-US" w:eastAsia="zh-CN"/>
        </w:rPr>
        <w:t>或分包</w:t>
      </w:r>
      <w:r>
        <w:rPr>
          <w:rFonts w:hint="eastAsia" w:ascii="宋体" w:hAnsi="宋体" w:cs="宋体"/>
          <w:color w:val="auto"/>
          <w:sz w:val="24"/>
          <w:szCs w:val="24"/>
        </w:rPr>
        <w:t>的，对于联合体</w:t>
      </w:r>
      <w:r>
        <w:rPr>
          <w:rFonts w:hint="eastAsia" w:ascii="宋体" w:hAnsi="宋体" w:cs="宋体"/>
          <w:color w:val="auto"/>
          <w:sz w:val="24"/>
          <w:szCs w:val="24"/>
          <w:lang w:val="en-US" w:eastAsia="zh-CN"/>
        </w:rPr>
        <w:t>或分包</w:t>
      </w:r>
      <w:r>
        <w:rPr>
          <w:rFonts w:hint="eastAsia" w:ascii="宋体" w:hAnsi="宋体" w:cs="宋体"/>
          <w:color w:val="auto"/>
          <w:sz w:val="24"/>
          <w:szCs w:val="24"/>
        </w:rPr>
        <w:t>协议合同份额占到总金额</w:t>
      </w:r>
      <w:r>
        <w:rPr>
          <w:rFonts w:hint="eastAsia" w:ascii="宋体" w:hAnsi="宋体" w:cs="宋体"/>
          <w:color w:val="auto"/>
          <w:sz w:val="24"/>
          <w:szCs w:val="24"/>
          <w:lang w:val="en-US" w:eastAsia="zh-CN"/>
        </w:rPr>
        <w:t>4</w:t>
      </w:r>
      <w:r>
        <w:rPr>
          <w:rFonts w:hint="eastAsia" w:ascii="宋体" w:hAnsi="宋体" w:cs="宋体"/>
          <w:color w:val="auto"/>
          <w:sz w:val="24"/>
          <w:szCs w:val="24"/>
        </w:rPr>
        <w:t>0%以上的，对联合体或者大中型企业的报价给予</w:t>
      </w:r>
      <w:r>
        <w:rPr>
          <w:rFonts w:hint="eastAsia" w:ascii="宋体" w:hAnsi="宋体" w:cs="宋体"/>
          <w:color w:val="auto"/>
          <w:sz w:val="24"/>
          <w:szCs w:val="24"/>
          <w:lang w:val="en-US" w:eastAsia="zh-CN"/>
        </w:rPr>
        <w:t>4</w:t>
      </w:r>
      <w:r>
        <w:rPr>
          <w:rFonts w:hint="eastAsia" w:ascii="宋体" w:hAnsi="宋体" w:cs="宋体"/>
          <w:color w:val="auto"/>
          <w:sz w:val="24"/>
          <w:szCs w:val="24"/>
        </w:rPr>
        <w:t>%的扣除，用扣除后的价格参与价格评审。组成联合体投标的，需提供联合体协议（格式见附件）和中小企业声明函（格式见附件）。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highlight w:val="none"/>
          <w:lang w:val="en-US" w:eastAsia="zh-CN"/>
        </w:rPr>
        <w:t>3</w:t>
      </w:r>
      <w:r>
        <w:rPr>
          <w:rFonts w:hint="eastAsia" w:ascii="宋体" w:hAnsi="宋体" w:cs="宋体"/>
          <w:b w:val="0"/>
          <w:bCs w:val="0"/>
          <w:color w:val="000000"/>
          <w:sz w:val="24"/>
          <w:szCs w:val="24"/>
          <w:highlight w:val="none"/>
          <w:lang w:val="en-US" w:eastAsia="zh-CN"/>
        </w:rPr>
        <w:t>、</w:t>
      </w:r>
      <w:r>
        <w:rPr>
          <w:rFonts w:hint="eastAsia" w:ascii="宋体" w:hAnsi="宋体" w:eastAsia="宋体" w:cs="宋体"/>
          <w:kern w:val="0"/>
          <w:sz w:val="24"/>
          <w:szCs w:val="24"/>
        </w:rPr>
        <w:t>投标人注册：非浙江政府采购网注册或发生变更且未及时更新的投标人，应当在规定时间内按照《浙江省政府采购供应商注册及诚信管理暂行办法》（浙财采监字［2009］28号）的相关规定及时办理更新或投标人注册事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rPr>
        <w:t>投标人应未被列入失信被执行人名单、重大税收违法案件当事人名单、政府采购严重违法失信行为记录名单，信用信息以投标截止日信用中国网站（</w:t>
      </w:r>
      <w:r>
        <w:rPr>
          <w:rFonts w:hint="eastAsia" w:ascii="宋体" w:hAnsi="宋体" w:eastAsia="宋体" w:cs="宋体"/>
          <w:color w:val="auto"/>
          <w:sz w:val="24"/>
          <w:szCs w:val="24"/>
          <w:highlight w:val="none"/>
        </w:rPr>
        <w:t>https://www.creditchina.gov.cn/</w:t>
      </w:r>
      <w:r>
        <w:rPr>
          <w:rFonts w:hint="eastAsia" w:ascii="宋体" w:hAnsi="宋体" w:eastAsia="宋体" w:cs="宋体"/>
          <w:sz w:val="24"/>
          <w:szCs w:val="24"/>
        </w:rPr>
        <w:t>）、中国政府采购网（</w:t>
      </w:r>
      <w:r>
        <w:rPr>
          <w:rFonts w:hint="eastAsia" w:ascii="宋体" w:hAnsi="宋体" w:eastAsia="宋体" w:cs="宋体"/>
          <w:color w:val="auto"/>
          <w:sz w:val="24"/>
          <w:szCs w:val="24"/>
          <w:highlight w:val="none"/>
        </w:rPr>
        <w:t>http://www.ccgp.gov.cn/</w:t>
      </w:r>
      <w:r>
        <w:rPr>
          <w:rFonts w:hint="eastAsia" w:ascii="宋体" w:hAnsi="宋体" w:eastAsia="宋体" w:cs="宋体"/>
          <w:sz w:val="24"/>
          <w:szCs w:val="24"/>
        </w:rPr>
        <w:t>）公布为准</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三</w:t>
      </w:r>
      <w:r>
        <w:rPr>
          <w:rFonts w:hint="eastAsia" w:ascii="宋体" w:hAnsi="宋体" w:eastAsia="宋体" w:cs="宋体"/>
          <w:b/>
          <w:bCs/>
          <w:sz w:val="24"/>
          <w:szCs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5月21日8时30分</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地点（网址）：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浙</w:t>
      </w:r>
      <w:r>
        <w:rPr>
          <w:rFonts w:hint="eastAsia" w:ascii="宋体" w:hAnsi="宋体" w:eastAsia="宋体" w:cs="宋体"/>
          <w:b w:val="0"/>
          <w:bCs w:val="0"/>
          <w:color w:val="auto"/>
          <w:sz w:val="24"/>
          <w:szCs w:val="24"/>
          <w:highlight w:val="none"/>
        </w:rPr>
        <w:t>江政府采购网（</w:t>
      </w:r>
      <w:r>
        <w:rPr>
          <w:rFonts w:hint="eastAsia" w:ascii="仿宋" w:hAnsi="仿宋" w:eastAsia="仿宋" w:cs="Times New Roman"/>
          <w:b w:val="0"/>
          <w:bCs w:val="0"/>
          <w:sz w:val="24"/>
          <w:u w:val="single"/>
        </w:rPr>
        <w:t>https://zfcg.czt.zj.gov.cn/</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东阳市公共资源交易网(</w:t>
      </w:r>
      <w:r>
        <w:rPr>
          <w:rFonts w:hint="eastAsia" w:ascii="仿宋" w:hAnsi="仿宋" w:eastAsia="仿宋" w:cs="Times New Roman"/>
          <w:b w:val="0"/>
          <w:bCs w:val="0"/>
          <w:sz w:val="24"/>
          <w:u w:val="single"/>
          <w:lang w:eastAsia="zh-CN"/>
        </w:rPr>
        <w:t>http://www.dongyang.gov.cn/ggzyjy/</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获取方式：</w:t>
      </w:r>
      <w:r>
        <w:rPr>
          <w:rFonts w:hint="eastAsia" w:ascii="宋体" w:hAnsi="宋体" w:eastAsia="宋体" w:cs="宋体"/>
          <w:b/>
          <w:bCs/>
          <w:sz w:val="24"/>
          <w:szCs w:val="24"/>
        </w:rPr>
        <w:t>由投标单位通过浙江省政府采购网(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)上的政采云获取系统进行获取（首次参加投标的单位应先登录浙江省政府采购网(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)进行账户注册，注册完毕待审核成功后方可登录获取，注册咨询电话：400-881-7190；注册流程见网址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"https://middle.zcygov.cn/v-settle-front/registry" </w:instrText>
      </w:r>
      <w:r>
        <w:rPr>
          <w:rFonts w:hint="eastAsia" w:ascii="宋体" w:hAnsi="宋体" w:eastAsia="宋体" w:cs="宋体"/>
          <w:sz w:val="24"/>
          <w:szCs w:val="24"/>
        </w:rPr>
        <w:fldChar w:fldCharType="separate"/>
      </w:r>
      <w:r>
        <w:rPr>
          <w:rFonts w:hint="eastAsia" w:ascii="宋体" w:hAnsi="宋体" w:eastAsia="宋体" w:cs="宋体"/>
          <w:b/>
          <w:bCs/>
          <w:sz w:val="24"/>
          <w:szCs w:val="24"/>
        </w:rPr>
        <w:t>https://middle.zcygov.cn/v-settle-front/registry</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、获取流程：浙江政府采购网-政采云用户登录-用户中心-项目采购-获取采购文件管理，电子版采购文件免费获取。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、浙江政府采购网上以“游客”身份获取的采购文件仅供阅览；潜在供应商应按上述方式获取采购文件；未按上述方式获取采购文件的，不得对采购文件提起质疑投诉。</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四、提交投标文件截止时间、开标时间和地点</w:t>
      </w:r>
      <w:r>
        <w:rPr>
          <w:rFonts w:hint="eastAsia" w:ascii="宋体" w:hAnsi="宋体" w:cs="宋体"/>
          <w:b/>
          <w:bCs/>
          <w:color w:val="000000"/>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提交投标文件截止时间：202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5月21日8时30分</w:t>
      </w:r>
      <w:r>
        <w:rPr>
          <w:rFonts w:hint="eastAsia" w:ascii="宋体" w:hAnsi="宋体" w:eastAsia="宋体" w:cs="宋体"/>
          <w:b/>
          <w:bCs/>
          <w:color w:val="auto"/>
          <w:sz w:val="24"/>
          <w:szCs w:val="24"/>
          <w:highlight w:val="none"/>
          <w:lang w:val="en-US" w:eastAsia="zh-CN"/>
        </w:rPr>
        <w:t>（北京时间）</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投标地点（网址）：政采云平台</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开标时间：202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5月21日8时30分</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开标地点（网址）：政采云平台</w:t>
      </w:r>
    </w:p>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五、公告期限</w:t>
      </w:r>
      <w:r>
        <w:rPr>
          <w:rFonts w:hint="eastAsia" w:ascii="宋体" w:hAnsi="宋体" w:cs="宋体"/>
          <w:b/>
          <w:bCs/>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自本公告发布之日起5个工作日</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 标 人 应 在 开 标 前 完 成 CA 数 字 证 书 办 理 。 （ 办 理 流 程 详 见</w:t>
      </w:r>
      <w:r>
        <w:rPr>
          <w:rFonts w:hint="eastAsia" w:ascii="宋体" w:hAnsi="宋体" w:eastAsia="宋体" w:cs="宋体"/>
          <w:sz w:val="22"/>
          <w:szCs w:val="22"/>
        </w:rPr>
        <w:t>http://zfcg.czt.zj.gov.cn/bidClientTemplate/2019-05-27/12945.html）。</w:t>
      </w:r>
      <w:r>
        <w:rPr>
          <w:rFonts w:hint="eastAsia" w:ascii="宋体" w:hAnsi="宋体" w:eastAsia="宋体" w:cs="宋体"/>
          <w:sz w:val="24"/>
          <w:szCs w:val="24"/>
        </w:rPr>
        <w:t>完成 CA 数字证书办理预计一周左右，因未办理CA数字证书等原因造成无法投标或投标失败等后果由供应商自行承担。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6、投标人通过政采云平台电子投标工具制作投标文件，电子投标工具请供应商自行前往浙江省政府采购网下载并安装，（下载网址：https://zfcg.czt.zj.gov.cn/bidClientTemplate/2021-01-07/12975.html），（ 电 子 投 标 相 关 学 习 网 址 ：https://edu.zcygov.cn/luban/e-biding?utm=a0004.2ef5001f.0001.0109.2d44db10df9111e9b92b0f36d4889416）。</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7、根据《浙江省财政厅关于进一步加大政府采购支持中小企业力度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市扫黑办：0579-86655381           市公安局：110、0579-86096000</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市检察院: 0579-86642000           市 法 院：0579-86620148</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市公共资源办:0579-86691835        市公共资源交易中心:0579-86691729</w:t>
      </w:r>
    </w:p>
    <w:p>
      <w:pPr>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eastAsia="zh-CN"/>
        </w:rPr>
        <w:t>七</w:t>
      </w:r>
      <w:r>
        <w:rPr>
          <w:rFonts w:hint="eastAsia" w:ascii="宋体" w:hAnsi="宋体" w:eastAsia="宋体" w:cs="宋体"/>
          <w:b/>
          <w:bCs/>
          <w:color w:val="000000"/>
          <w:sz w:val="24"/>
          <w:szCs w:val="24"/>
        </w:rPr>
        <w:t>、</w:t>
      </w:r>
      <w:r>
        <w:rPr>
          <w:rFonts w:hint="eastAsia" w:ascii="宋体" w:hAnsi="宋体" w:eastAsia="宋体" w:cs="宋体"/>
          <w:b/>
          <w:bCs/>
          <w:sz w:val="24"/>
          <w:szCs w:val="24"/>
        </w:rPr>
        <w:t>对本次采购提出询问、质疑、投诉，请按以下方式联系：</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1、采购人信息</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szCs w:val="24"/>
          <w:lang w:eastAsia="zh-CN"/>
        </w:rPr>
        <w:t>名称：</w:t>
      </w:r>
      <w:r>
        <w:rPr>
          <w:rFonts w:hint="eastAsia" w:ascii="宋体" w:hAnsi="宋体" w:cs="宋体"/>
          <w:color w:val="auto"/>
          <w:sz w:val="24"/>
          <w:lang w:eastAsia="zh-CN"/>
        </w:rPr>
        <w:t>东阳市图书馆</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地址：</w:t>
      </w:r>
      <w:r>
        <w:rPr>
          <w:rFonts w:hint="eastAsia" w:ascii="宋体" w:hAnsi="宋体" w:cs="宋体"/>
          <w:sz w:val="24"/>
          <w:highlight w:val="none"/>
        </w:rPr>
        <w:t>浙江省金华市东阳市黉门前45号</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rPr>
        <w:t>：</w:t>
      </w:r>
      <w:r>
        <w:rPr>
          <w:rFonts w:hint="eastAsia" w:ascii="宋体" w:hAnsi="宋体" w:cs="宋体"/>
          <w:color w:val="auto"/>
          <w:sz w:val="24"/>
          <w:highlight w:val="none"/>
        </w:rPr>
        <w:t>沈新军</w:t>
      </w:r>
      <w:r>
        <w:rPr>
          <w:rFonts w:hint="eastAsia" w:ascii="宋体" w:hAnsi="宋体" w:cs="宋体"/>
          <w:color w:val="auto"/>
          <w:sz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rPr>
        <w:t>：</w:t>
      </w:r>
      <w:r>
        <w:rPr>
          <w:rFonts w:hint="eastAsia" w:ascii="宋体" w:hAnsi="宋体" w:cs="宋体"/>
          <w:color w:val="auto"/>
          <w:sz w:val="24"/>
          <w:highlight w:val="none"/>
        </w:rPr>
        <w:t>13758961579</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highlight w:val="none"/>
          <w:lang w:eastAsia="zh-CN"/>
        </w:rPr>
        <w:t>杜鹃</w:t>
      </w:r>
      <w:r>
        <w:rPr>
          <w:rFonts w:hint="eastAsia" w:ascii="宋体" w:hAnsi="宋体" w:eastAsia="宋体" w:cs="宋体"/>
          <w:color w:val="auto"/>
          <w:sz w:val="24"/>
          <w:szCs w:val="24"/>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szCs w:val="24"/>
          <w:highlight w:val="none"/>
        </w:rPr>
        <w:t>质疑联系方式：</w:t>
      </w:r>
      <w:r>
        <w:rPr>
          <w:rFonts w:hint="eastAsia" w:ascii="宋体" w:hAnsi="宋体" w:cs="宋体"/>
          <w:color w:val="auto"/>
          <w:sz w:val="24"/>
          <w:highlight w:val="none"/>
          <w:lang w:val="en-US" w:eastAsia="zh-CN"/>
        </w:rPr>
        <w:t>13486911878</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采购代理机构信息</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名称</w:t>
      </w:r>
      <w:r>
        <w:rPr>
          <w:rFonts w:hint="eastAsia" w:ascii="宋体" w:hAnsi="宋体" w:eastAsia="宋体" w:cs="宋体"/>
          <w:color w:val="000000"/>
          <w:sz w:val="24"/>
          <w:szCs w:val="24"/>
        </w:rPr>
        <w:t>：</w:t>
      </w:r>
      <w:r>
        <w:rPr>
          <w:rFonts w:hint="eastAsia" w:ascii="宋体" w:hAnsi="宋体" w:eastAsia="宋体" w:cs="宋体"/>
          <w:sz w:val="24"/>
          <w:szCs w:val="24"/>
        </w:rPr>
        <w:t>金华市金诚招投标代理有限公司</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地址：东阳市江北街道关山北路</w:t>
      </w:r>
      <w:r>
        <w:rPr>
          <w:rFonts w:hint="eastAsia" w:ascii="宋体" w:hAnsi="宋体" w:eastAsia="宋体" w:cs="宋体"/>
          <w:color w:val="000000"/>
          <w:sz w:val="24"/>
          <w:szCs w:val="24"/>
          <w:lang w:val="en-US" w:eastAsia="zh-CN"/>
        </w:rPr>
        <w:t>20号</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lang w:val="en-US" w:eastAsia="zh-CN"/>
        </w:rPr>
        <w:t>项目联系人</w:t>
      </w:r>
      <w:r>
        <w:rPr>
          <w:rFonts w:hint="eastAsia" w:ascii="宋体" w:hAnsi="宋体" w:eastAsia="宋体" w:cs="宋体"/>
          <w:color w:val="auto"/>
          <w:sz w:val="24"/>
          <w:szCs w:val="24"/>
          <w:highlight w:val="none"/>
        </w:rPr>
        <w:t>（询问）</w:t>
      </w:r>
      <w:r>
        <w:rPr>
          <w:rFonts w:hint="eastAsia" w:ascii="宋体" w:hAnsi="宋体" w:eastAsia="宋体" w:cs="宋体"/>
          <w:b w:val="0"/>
          <w:bCs w:val="0"/>
          <w:color w:val="000000"/>
          <w:sz w:val="24"/>
          <w:szCs w:val="24"/>
          <w:lang w:val="en-US" w:eastAsia="zh-CN"/>
        </w:rPr>
        <w:t>：张晓亮</w:t>
      </w:r>
      <w:r>
        <w:rPr>
          <w:rFonts w:hint="eastAsia" w:ascii="宋体" w:hAnsi="宋体" w:cs="宋体"/>
          <w:b w:val="0"/>
          <w:bCs w:val="0"/>
          <w:color w:val="000000"/>
          <w:sz w:val="24"/>
          <w:szCs w:val="24"/>
          <w:lang w:val="en-US" w:eastAsia="zh-CN"/>
        </w:rPr>
        <w:t>/张双红</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rPr>
        <w:t>13505890861</w:t>
      </w:r>
      <w:r>
        <w:rPr>
          <w:rFonts w:hint="eastAsia" w:ascii="宋体" w:hAnsi="宋体" w:eastAsia="宋体" w:cs="宋体"/>
          <w:b w:val="0"/>
          <w:bCs w:val="0"/>
          <w:color w:val="00000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李健健/张冬</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0579-</w:t>
      </w:r>
      <w:r>
        <w:rPr>
          <w:rFonts w:hint="eastAsia" w:ascii="宋体" w:hAnsi="宋体" w:cs="宋体"/>
          <w:sz w:val="24"/>
          <w:szCs w:val="24"/>
          <w:lang w:val="en-US" w:eastAsia="zh-CN"/>
        </w:rPr>
        <w:t>89311055</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3、同级政府采购监督管理部门：        </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名称：东阳市财政局采购办    </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地址：东阳市人民北路8号     </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监督投诉电话：0579-86662677</w:t>
      </w:r>
    </w:p>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ascii="宋体" w:cs="宋体"/>
          <w:sz w:val="24"/>
        </w:rPr>
      </w:pPr>
    </w:p>
    <w:p>
      <w:pPr>
        <w:keepNext w:val="0"/>
        <w:keepLines w:val="0"/>
        <w:pageBreakBefore w:val="0"/>
        <w:kinsoku/>
        <w:overflowPunct/>
        <w:topLinePunct w:val="0"/>
        <w:autoSpaceDE/>
        <w:autoSpaceDN/>
        <w:bidi w:val="0"/>
        <w:adjustRightInd/>
        <w:snapToGrid/>
        <w:spacing w:line="360" w:lineRule="auto"/>
        <w:ind w:left="0" w:leftChars="0"/>
        <w:jc w:val="right"/>
        <w:textAlignment w:val="auto"/>
        <w:rPr>
          <w:rFonts w:hint="eastAsia" w:ascii="宋体" w:eastAsia="宋体" w:cs="宋体"/>
          <w:sz w:val="24"/>
          <w:lang w:eastAsia="zh-CN"/>
        </w:rPr>
      </w:pPr>
      <w:r>
        <w:rPr>
          <w:rFonts w:hint="default" w:ascii="宋体" w:hAnsi="宋体" w:cs="宋体"/>
          <w:bCs/>
          <w:sz w:val="24"/>
          <w:lang w:val="en-US"/>
        </w:rPr>
        <w:t xml:space="preserve">                                            </w:t>
      </w:r>
      <w:r>
        <w:rPr>
          <w:rFonts w:hint="eastAsia" w:ascii="宋体" w:hAnsi="宋体" w:cs="宋体"/>
          <w:bCs/>
          <w:sz w:val="24"/>
          <w:lang w:eastAsia="zh-CN"/>
        </w:rPr>
        <w:t>东阳市图书馆</w:t>
      </w:r>
    </w:p>
    <w:p>
      <w:pPr>
        <w:keepNext w:val="0"/>
        <w:keepLines w:val="0"/>
        <w:pageBreakBefore w:val="0"/>
        <w:kinsoku/>
        <w:overflowPunct/>
        <w:topLinePunct w:val="0"/>
        <w:autoSpaceDE/>
        <w:autoSpaceDN/>
        <w:bidi w:val="0"/>
        <w:adjustRightInd/>
        <w:snapToGrid/>
        <w:spacing w:line="360" w:lineRule="auto"/>
        <w:ind w:left="0" w:leftChars="0"/>
        <w:jc w:val="right"/>
        <w:textAlignment w:val="auto"/>
        <w:rPr>
          <w:rFonts w:ascii="宋体" w:cs="宋体"/>
          <w:sz w:val="24"/>
        </w:rPr>
      </w:pPr>
      <w:r>
        <w:rPr>
          <w:rFonts w:hint="default" w:ascii="宋体" w:hAnsi="宋体" w:cs="宋体"/>
          <w:sz w:val="24"/>
          <w:lang w:val="en-US"/>
        </w:rPr>
        <w:t xml:space="preserve">                                     </w:t>
      </w:r>
      <w:r>
        <w:rPr>
          <w:rFonts w:hint="eastAsia" w:ascii="宋体" w:hAnsi="宋体" w:cs="宋体"/>
          <w:sz w:val="24"/>
        </w:rPr>
        <w:t>金华市金诚招投标代理有限公司</w:t>
      </w:r>
    </w:p>
    <w:p>
      <w:pPr>
        <w:keepNext w:val="0"/>
        <w:keepLines w:val="0"/>
        <w:pageBreakBefore w:val="0"/>
        <w:kinsoku/>
        <w:overflowPunct/>
        <w:topLinePunct w:val="0"/>
        <w:autoSpaceDE/>
        <w:autoSpaceDN/>
        <w:bidi w:val="0"/>
        <w:adjustRightInd/>
        <w:snapToGrid/>
        <w:spacing w:line="360" w:lineRule="auto"/>
        <w:ind w:left="0" w:leftChars="0" w:firstLine="6662" w:firstLineChars="2776"/>
        <w:jc w:val="right"/>
        <w:textAlignment w:val="auto"/>
        <w:rPr>
          <w:rFonts w:ascii="宋体" w:cs="宋体"/>
          <w:sz w:val="24"/>
        </w:rPr>
      </w:pPr>
      <w:r>
        <w:rPr>
          <w:rFonts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jc w:val="both"/>
        <w:rPr>
          <w:rFonts w:hint="eastAsia" w:ascii="黑体" w:eastAsia="黑体"/>
          <w:sz w:val="28"/>
          <w:szCs w:val="28"/>
        </w:rPr>
      </w:pPr>
    </w:p>
    <w:p>
      <w:pPr>
        <w:jc w:val="both"/>
        <w:rPr>
          <w:rFonts w:hint="eastAsia" w:ascii="黑体" w:eastAsia="黑体"/>
          <w:sz w:val="28"/>
          <w:szCs w:val="28"/>
        </w:rPr>
      </w:pPr>
    </w:p>
    <w:p>
      <w:pPr>
        <w:rPr>
          <w:rFonts w:hint="eastAsia" w:hAnsi="宋体" w:cs="宋体"/>
          <w:b/>
          <w:color w:val="auto"/>
          <w:sz w:val="36"/>
          <w:szCs w:val="36"/>
        </w:rPr>
      </w:pPr>
      <w:r>
        <w:rPr>
          <w:rFonts w:hint="eastAsia" w:hAnsi="宋体" w:cs="宋体"/>
          <w:b/>
          <w:color w:val="auto"/>
          <w:sz w:val="36"/>
          <w:szCs w:val="36"/>
        </w:rPr>
        <w:br w:type="page"/>
      </w:r>
    </w:p>
    <w:p>
      <w:pPr>
        <w:pStyle w:val="27"/>
        <w:keepNext w:val="0"/>
        <w:keepLines w:val="0"/>
        <w:pageBreakBefore w:val="0"/>
        <w:kinsoku/>
        <w:wordWrap/>
        <w:overflowPunct/>
        <w:topLinePunct w:val="0"/>
        <w:bidi w:val="0"/>
        <w:snapToGrid w:val="0"/>
        <w:spacing w:beforeLines="0" w:afterLines="0" w:line="360" w:lineRule="auto"/>
        <w:jc w:val="center"/>
        <w:outlineLvl w:val="0"/>
        <w:rPr>
          <w:rFonts w:ascii="方正小标宋简体" w:hAnsi="黑体" w:eastAsia="方正小标宋简体" w:cs="宋体"/>
          <w:bCs/>
          <w:color w:val="FF0000"/>
          <w:sz w:val="44"/>
          <w:szCs w:val="44"/>
        </w:rPr>
      </w:pPr>
      <w:r>
        <w:rPr>
          <w:rFonts w:hint="eastAsia" w:hAnsi="宋体" w:cs="宋体"/>
          <w:b/>
          <w:color w:val="auto"/>
          <w:sz w:val="36"/>
          <w:szCs w:val="36"/>
        </w:rPr>
        <w:t>第二章</w:t>
      </w:r>
      <w:r>
        <w:rPr>
          <w:rFonts w:hint="eastAsia" w:hAnsi="宋体" w:cs="宋体"/>
          <w:b/>
          <w:color w:val="auto"/>
          <w:sz w:val="36"/>
          <w:szCs w:val="36"/>
          <w:lang w:val="en-US" w:eastAsia="zh-CN"/>
        </w:rPr>
        <w:t xml:space="preserve">   </w:t>
      </w:r>
      <w:r>
        <w:rPr>
          <w:rFonts w:hint="eastAsia" w:hAnsi="宋体" w:cs="宋体"/>
          <w:b/>
          <w:color w:val="auto"/>
          <w:sz w:val="36"/>
          <w:szCs w:val="36"/>
        </w:rPr>
        <w:t>招标需求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bCs/>
          <w:sz w:val="24"/>
          <w:szCs w:val="24"/>
          <w:lang w:val="en-US" w:eastAsia="zh-CN"/>
        </w:rPr>
      </w:pPr>
      <w:r>
        <w:rPr>
          <w:rFonts w:hint="eastAsia" w:ascii="宋体" w:hAnsi="宋体" w:eastAsia="宋体" w:cs="宋体"/>
          <w:b/>
          <w:bCs/>
          <w:sz w:val="24"/>
          <w:szCs w:val="24"/>
        </w:rPr>
        <w:t>1、项目编号：</w:t>
      </w:r>
      <w:r>
        <w:rPr>
          <w:rFonts w:hint="eastAsia" w:ascii="宋体" w:hAnsi="宋体" w:cs="宋体"/>
          <w:bCs/>
          <w:sz w:val="24"/>
          <w:szCs w:val="24"/>
          <w:lang w:val="en-US" w:eastAsia="zh-CN"/>
        </w:rPr>
        <w:t>JCZFCG2025-Z19-A364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项目名称：</w:t>
      </w:r>
      <w:r>
        <w:rPr>
          <w:rFonts w:hint="eastAsia" w:ascii="宋体" w:hAnsi="宋体" w:cs="宋体"/>
          <w:sz w:val="24"/>
          <w:szCs w:val="24"/>
          <w:lang w:eastAsia="zh-CN"/>
        </w:rPr>
        <w:t>2025年东阳市图书馆新增图书采购项目</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b/>
          <w:color w:val="auto"/>
          <w:sz w:val="24"/>
        </w:rPr>
      </w:pPr>
      <w:r>
        <w:rPr>
          <w:rFonts w:ascii="宋体" w:hAnsi="宋体"/>
          <w:b/>
          <w:color w:val="auto"/>
          <w:sz w:val="24"/>
        </w:rPr>
        <w:t>二</w:t>
      </w:r>
      <w:r>
        <w:rPr>
          <w:rFonts w:hint="eastAsia" w:ascii="宋体" w:hAnsi="宋体"/>
          <w:b/>
          <w:color w:val="auto"/>
          <w:sz w:val="24"/>
        </w:rPr>
        <w:t>、</w:t>
      </w:r>
      <w:r>
        <w:rPr>
          <w:rFonts w:ascii="宋体" w:hAnsi="宋体"/>
          <w:b/>
          <w:color w:val="auto"/>
          <w:sz w:val="24"/>
        </w:rPr>
        <w:t>项目主要</w:t>
      </w:r>
      <w:r>
        <w:rPr>
          <w:rFonts w:hint="eastAsia" w:ascii="宋体" w:hAnsi="宋体"/>
          <w:b/>
          <w:color w:val="auto"/>
          <w:sz w:val="24"/>
          <w:lang w:val="en-US" w:eastAsia="zh-CN"/>
        </w:rPr>
        <w:t>采购</w:t>
      </w:r>
      <w:r>
        <w:rPr>
          <w:rFonts w:ascii="宋体" w:hAnsi="宋体"/>
          <w:b/>
          <w:color w:val="auto"/>
          <w:sz w:val="24"/>
        </w:rPr>
        <w:t>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采购</w:t>
      </w:r>
      <w:r>
        <w:rPr>
          <w:rFonts w:hint="eastAsia" w:ascii="宋体" w:hAnsi="宋体" w:cs="宋体"/>
          <w:b/>
          <w:bCs/>
          <w:color w:val="auto"/>
          <w:sz w:val="24"/>
        </w:rPr>
        <w:t>内容及投标最高限价</w:t>
      </w:r>
    </w:p>
    <w:tbl>
      <w:tblPr>
        <w:tblStyle w:val="4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372"/>
        <w:gridCol w:w="840"/>
        <w:gridCol w:w="1164"/>
        <w:gridCol w:w="118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3"/>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标项</w:t>
            </w:r>
          </w:p>
        </w:tc>
        <w:tc>
          <w:tcPr>
            <w:tcW w:w="3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3" w:firstLine="105" w:firstLineChars="5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标项名称或内容</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3"/>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数量</w:t>
            </w:r>
            <w:r>
              <w:rPr>
                <w:rFonts w:hint="eastAsia" w:ascii="宋体" w:hAnsi="宋体" w:eastAsia="宋体" w:cs="宋体"/>
                <w:b/>
                <w:bCs/>
                <w:color w:val="auto"/>
                <w:sz w:val="21"/>
                <w:szCs w:val="21"/>
                <w:highlight w:val="none"/>
                <w:lang w:val="en-US" w:eastAsia="zh-CN"/>
              </w:rPr>
              <w:t>/单位</w:t>
            </w:r>
          </w:p>
        </w:tc>
        <w:tc>
          <w:tcPr>
            <w:tcW w:w="11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3"/>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预算</w:t>
            </w:r>
            <w:r>
              <w:rPr>
                <w:rFonts w:hint="eastAsia" w:ascii="宋体" w:hAnsi="宋体" w:eastAsia="宋体" w:cs="宋体"/>
                <w:b/>
                <w:bCs/>
                <w:color w:val="auto"/>
                <w:sz w:val="21"/>
                <w:szCs w:val="21"/>
                <w:highlight w:val="none"/>
                <w:lang w:val="en-US" w:eastAsia="zh-CN"/>
              </w:rPr>
              <w:t>金额</w:t>
            </w:r>
          </w:p>
          <w:p>
            <w:pPr>
              <w:keepNext w:val="0"/>
              <w:keepLines w:val="0"/>
              <w:pageBreakBefore w:val="0"/>
              <w:kinsoku/>
              <w:wordWrap/>
              <w:overflowPunct/>
              <w:topLinePunct w:val="0"/>
              <w:autoSpaceDE w:val="0"/>
              <w:autoSpaceDN w:val="0"/>
              <w:bidi w:val="0"/>
              <w:adjustRightInd w:val="0"/>
              <w:spacing w:line="312" w:lineRule="auto"/>
              <w:ind w:right="23"/>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3"/>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最高限价（%）</w:t>
            </w:r>
          </w:p>
        </w:tc>
        <w:tc>
          <w:tcPr>
            <w:tcW w:w="25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3"/>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3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12"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老馆纸质中文图书（其中成人类占60%、少儿类占40%提供）采购</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12"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批</w:t>
            </w:r>
          </w:p>
        </w:tc>
        <w:tc>
          <w:tcPr>
            <w:tcW w:w="11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98</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3"/>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折扣</w:t>
            </w:r>
            <w:r>
              <w:rPr>
                <w:rFonts w:hint="eastAsia" w:ascii="宋体" w:hAnsi="宋体" w:eastAsia="宋体" w:cs="宋体"/>
                <w:color w:val="auto"/>
                <w:sz w:val="21"/>
                <w:szCs w:val="21"/>
                <w:highlight w:val="none"/>
                <w:lang w:eastAsia="zh-CN"/>
              </w:rPr>
              <w:t>75%</w:t>
            </w:r>
          </w:p>
        </w:tc>
        <w:tc>
          <w:tcPr>
            <w:tcW w:w="250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合同生效之日起至202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年11月30日止或供货金额累计达到</w:t>
            </w:r>
            <w:r>
              <w:rPr>
                <w:rFonts w:hint="eastAsia" w:ascii="宋体" w:hAnsi="宋体" w:eastAsia="宋体" w:cs="宋体"/>
                <w:b w:val="0"/>
                <w:bCs w:val="0"/>
                <w:color w:val="auto"/>
                <w:sz w:val="21"/>
                <w:szCs w:val="21"/>
                <w:highlight w:val="none"/>
                <w:lang w:val="en-US" w:eastAsia="zh-CN"/>
              </w:rPr>
              <w:t>98</w:t>
            </w:r>
            <w:r>
              <w:rPr>
                <w:rFonts w:hint="eastAsia" w:ascii="宋体" w:hAnsi="宋体" w:eastAsia="宋体" w:cs="宋体"/>
                <w:b w:val="0"/>
                <w:bCs w:val="0"/>
                <w:color w:val="auto"/>
                <w:sz w:val="21"/>
                <w:szCs w:val="21"/>
                <w:highlight w:val="none"/>
              </w:rPr>
              <w:t>万元；以先到者为准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提供不少于3.5万册图书。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3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图书分馆、马生书屋及阅读驿站等</w:t>
            </w:r>
            <w:r>
              <w:rPr>
                <w:rFonts w:hint="eastAsia" w:ascii="宋体" w:hAnsi="宋体" w:eastAsia="宋体" w:cs="宋体"/>
                <w:color w:val="auto"/>
                <w:kern w:val="2"/>
                <w:sz w:val="21"/>
                <w:szCs w:val="21"/>
                <w:highlight w:val="none"/>
                <w:lang w:val="en-US" w:eastAsia="zh-CN" w:bidi="ar-SA"/>
              </w:rPr>
              <w:t>纸质中文图书（其中成人类占60%、少儿类占40%提供）采购</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批</w:t>
            </w:r>
          </w:p>
        </w:tc>
        <w:tc>
          <w:tcPr>
            <w:tcW w:w="11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折扣</w:t>
            </w:r>
            <w:r>
              <w:rPr>
                <w:rFonts w:hint="eastAsia" w:ascii="宋体" w:hAnsi="宋体" w:eastAsia="宋体" w:cs="宋体"/>
                <w:color w:val="auto"/>
                <w:sz w:val="21"/>
                <w:szCs w:val="21"/>
                <w:highlight w:val="none"/>
                <w:lang w:eastAsia="zh-CN"/>
              </w:rPr>
              <w:t>75%</w:t>
            </w:r>
          </w:p>
        </w:tc>
        <w:tc>
          <w:tcPr>
            <w:tcW w:w="25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合同生效之日起至2025年11月30日止或供货金额累计达到46万元；以先到者为准；提供不少于1.8万册图书。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3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新馆纸质中文图书（其中成人类占60%、少儿类占40%提供）采购</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批</w:t>
            </w:r>
          </w:p>
        </w:tc>
        <w:tc>
          <w:tcPr>
            <w:tcW w:w="11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12" w:lineRule="auto"/>
              <w:ind w:right="2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折扣</w:t>
            </w:r>
            <w:r>
              <w:rPr>
                <w:rFonts w:hint="eastAsia" w:ascii="宋体" w:hAnsi="宋体" w:eastAsia="宋体" w:cs="宋体"/>
                <w:color w:val="auto"/>
                <w:sz w:val="21"/>
                <w:szCs w:val="21"/>
                <w:highlight w:val="none"/>
                <w:lang w:eastAsia="zh-CN"/>
              </w:rPr>
              <w:t>75%</w:t>
            </w:r>
          </w:p>
        </w:tc>
        <w:tc>
          <w:tcPr>
            <w:tcW w:w="25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合同生效之日起至2025年11月30日止或供货金额累计达到40万元；以先到者为准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提供不少于1.4万册图书。</w:t>
            </w:r>
          </w:p>
        </w:tc>
      </w:tr>
    </w:tbl>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r>
        <w:rPr>
          <w:rFonts w:hint="eastAsia" w:ascii="宋体" w:hAnsi="宋体" w:eastAsia="宋体" w:cs="宋体"/>
          <w:b/>
          <w:color w:val="auto"/>
          <w:sz w:val="24"/>
          <w:szCs w:val="24"/>
          <w:highlight w:val="none"/>
        </w:rPr>
        <w:t>项目基本内容</w:t>
      </w:r>
    </w:p>
    <w:p>
      <w:pPr>
        <w:keepNext w:val="0"/>
        <w:keepLines w:val="0"/>
        <w:pageBreakBefore w:val="0"/>
        <w:widowControl w:val="0"/>
        <w:kinsoku/>
        <w:wordWrap/>
        <w:overflowPunct/>
        <w:topLinePunct w:val="0"/>
        <w:autoSpaceDE/>
        <w:autoSpaceDN/>
        <w:bidi w:val="0"/>
        <w:adjustRightInd/>
        <w:snapToGrid/>
        <w:spacing w:line="360" w:lineRule="auto"/>
        <w:ind w:firstLine="46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浙江省基本公共文化服务考核评估及《公共图书馆服务规范》要求，保障东阳市图书馆作为国家一级公共图书馆图书文献馆藏体系的系统性、完整性及连续性。满足读者阅读需求，提供各种类型阅读资源，丰富广大人民群众精神文化生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highlight w:val="none"/>
          <w:lang w:val="en-US" w:eastAsia="zh-CN"/>
        </w:rPr>
        <w:t>根据《公共图书馆服务规范》、金华市文化广电旅游局《关于推动公共文化服务高质量发展助力共同富裕示范区建设的行动方案（2021-2025年）》及我市创建公共文化服务现代化先行市的实际需要，县级馆人均年增文献藏量不少于0.06册，按照我市109万人口计算，结合东阳图书馆实际情况，2025年需新增图书至少6.7万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outlineLvl w:val="1"/>
        <w:rPr>
          <w:rFonts w:hint="eastAsia" w:ascii="宋体" w:hAnsi="宋体" w:eastAsia="宋体" w:cs="宋体"/>
          <w:b/>
          <w:sz w:val="24"/>
          <w:szCs w:val="24"/>
        </w:rPr>
      </w:pPr>
      <w:r>
        <w:rPr>
          <w:rFonts w:hint="eastAsia" w:ascii="宋体" w:hAnsi="宋体" w:eastAsia="宋体" w:cs="宋体"/>
          <w:b/>
          <w:sz w:val="24"/>
          <w:szCs w:val="24"/>
        </w:rPr>
        <w:t>三、项目</w:t>
      </w:r>
      <w:r>
        <w:rPr>
          <w:rFonts w:hint="eastAsia" w:ascii="宋体" w:hAnsi="宋体" w:eastAsia="宋体" w:cs="宋体"/>
          <w:b/>
          <w:sz w:val="24"/>
          <w:szCs w:val="24"/>
          <w:lang w:val="en-US" w:eastAsia="zh-CN"/>
        </w:rPr>
        <w:t>技术</w:t>
      </w:r>
      <w:r>
        <w:rPr>
          <w:rFonts w:hint="eastAsia" w:ascii="宋体" w:hAnsi="宋体" w:eastAsia="宋体" w:cs="宋体"/>
          <w:b/>
          <w:sz w:val="24"/>
          <w:szCs w:val="24"/>
        </w:rPr>
        <w:t>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（一）基本要求</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color w:val="000000"/>
          <w:sz w:val="24"/>
          <w:szCs w:val="24"/>
          <w:lang w:val="en-US" w:eastAsia="zh-CN"/>
        </w:rPr>
        <w:t>1、</w:t>
      </w:r>
      <w:r>
        <w:rPr>
          <w:rFonts w:hint="eastAsia" w:ascii="宋体" w:hAnsi="宋体" w:eastAsia="宋体" w:cs="宋体"/>
          <w:b w:val="0"/>
          <w:kern w:val="2"/>
          <w:sz w:val="24"/>
          <w:szCs w:val="24"/>
          <w:lang w:val="en-US" w:eastAsia="zh-CN" w:bidi="ar-SA"/>
        </w:rPr>
        <w:t>图书质量：要求提供的图书为国家正规出版物，无盗版、侵权和国家明令禁止发行的图书，保证图书质量。图书质量执行《中华人民共和国产品质量法》和新闻出版署《图书质量管理规定》（新出图[1997]79号）；印刷技术标准执行中华人民共和国国标GB9851；书刊印刷质量评价和分级方法依据CYZ-91标准；图书开本及幅面尺寸符合GB/T788-1999标准。</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、投标人对提供的图书作正版承诺：保证采购单位在使用该货物或货物的任何部分时，免受第三方提出的侵犯其著作权或其他知识产权的起诉。如中标，中标人承担由此产生的一切法律责任和费用。</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、投标人提供的图书须为正版产品，如中标后提供货物经查实为盗版或非法出版物的，采购单位有权终止合同，并交由新闻出版主管部门处理。</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中标人提供的重印、再版图书在版编目数据（CIP）如与新闻出版署信息中心规定不符的，做退货处理。图书同书异价的，即同版次图书定价高于或低于国内大型图书馆的馆藏图书价格的；或国内大型图书馆皆无对应数据，印刷较差，不好确认，一律予以退回。</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、投标人承诺能够向采购单位提供202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年出版的中文纸质图书(个别特殊图书不在此年份限制范围内)，图书类别涵盖文学类、社科类、科技类、少儿读物，以及与</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地方产业相关图书，兼顾学术性作品，涉及中图法各大类，不含特价图书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其中</w:t>
      </w:r>
      <w:r>
        <w:rPr>
          <w:rFonts w:hint="eastAsia" w:ascii="宋体" w:hAnsi="宋体" w:eastAsia="宋体" w:cs="宋体"/>
          <w:b w:val="0"/>
          <w:kern w:val="2"/>
          <w:sz w:val="24"/>
          <w:szCs w:val="24"/>
          <w:lang w:val="en-US" w:eastAsia="zh-CN" w:bidi="ar-SA"/>
        </w:rPr>
        <w:t>成人类60%，少儿类40%左右</w:t>
      </w:r>
      <w:r>
        <w:rPr>
          <w:rFonts w:hint="eastAsia" w:ascii="宋体" w:hAnsi="宋体" w:eastAsia="宋体" w:cs="宋体"/>
          <w:color w:val="000000"/>
          <w:sz w:val="24"/>
          <w:szCs w:val="24"/>
        </w:rPr>
        <w:t>。投标人提供的图书书目包含全国90％以上出版社出版的最新图书，图书满足大众读者层次需求，符合采购单位馆藏要求。</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、投标人承诺能够向采购单位提供</w:t>
      </w:r>
      <w:r>
        <w:rPr>
          <w:rFonts w:hint="eastAsia" w:ascii="宋体" w:hAnsi="宋体" w:eastAsia="宋体" w:cs="宋体"/>
          <w:color w:val="000000"/>
          <w:sz w:val="24"/>
          <w:szCs w:val="24"/>
          <w:lang w:eastAsia="zh-CN"/>
        </w:rPr>
        <w:t>2024～2025</w:t>
      </w:r>
      <w:r>
        <w:rPr>
          <w:rFonts w:hint="eastAsia" w:ascii="宋体" w:hAnsi="宋体" w:eastAsia="宋体" w:cs="宋体"/>
          <w:color w:val="000000"/>
          <w:sz w:val="24"/>
          <w:szCs w:val="24"/>
        </w:rPr>
        <w:t>年国内各出版社出版的图书，且能负责联系各出版机构，为采购单位订购指定的目录以外的国内出版社出版的正版图书。</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、投标人承诺能够独立完成下列项目：①组织</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图书馆指定《国内出版社》名单中的出版社（详见本章第四条）的</w:t>
      </w:r>
      <w:r>
        <w:rPr>
          <w:rFonts w:hint="eastAsia" w:ascii="宋体" w:hAnsi="宋体" w:eastAsia="宋体" w:cs="宋体"/>
          <w:color w:val="000000"/>
          <w:sz w:val="24"/>
          <w:szCs w:val="24"/>
          <w:lang w:eastAsia="zh-CN"/>
        </w:rPr>
        <w:t>2024～2025</w:t>
      </w:r>
      <w:r>
        <w:rPr>
          <w:rFonts w:hint="eastAsia" w:ascii="宋体" w:hAnsi="宋体" w:eastAsia="宋体" w:cs="宋体"/>
          <w:color w:val="000000"/>
          <w:sz w:val="24"/>
          <w:szCs w:val="24"/>
        </w:rPr>
        <w:t>年出版图书书源；②根据采购单位提供</w:t>
      </w:r>
      <w:r>
        <w:rPr>
          <w:rFonts w:hint="eastAsia" w:ascii="宋体" w:hAnsi="宋体" w:eastAsia="宋体" w:cs="宋体"/>
          <w:color w:val="000000"/>
          <w:sz w:val="24"/>
          <w:szCs w:val="24"/>
          <w:lang w:eastAsia="zh-CN"/>
        </w:rPr>
        <w:t>2024～2025</w:t>
      </w:r>
      <w:r>
        <w:rPr>
          <w:rFonts w:hint="eastAsia" w:ascii="宋体" w:hAnsi="宋体" w:eastAsia="宋体" w:cs="宋体"/>
          <w:color w:val="000000"/>
          <w:sz w:val="24"/>
          <w:szCs w:val="24"/>
        </w:rPr>
        <w:t>年社科新书目、科技新书目、全国新书目组织书源；③根据采购单位的具体工作要求，组织读者推荐书目、自定主题较窄书目、自备订单书目和其他书商无法采购的订单的书目。除不可抗拒力外，①②订货率和到货期不得低于最低订到率和到货周期要求。③订到率和到货周期不得低于投标人承诺订到率和到货周期要求。</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、投标人不得向采购单位限制性提供图书书目，如有必要采购单位可自行组织各出版社</w:t>
      </w:r>
      <w:r>
        <w:rPr>
          <w:rFonts w:hint="eastAsia" w:ascii="宋体" w:hAnsi="宋体" w:eastAsia="宋体" w:cs="宋体"/>
          <w:color w:val="000000"/>
          <w:sz w:val="24"/>
          <w:szCs w:val="24"/>
          <w:lang w:eastAsia="zh-CN"/>
        </w:rPr>
        <w:t>2024～2025</w:t>
      </w:r>
      <w:r>
        <w:rPr>
          <w:rFonts w:hint="eastAsia" w:ascii="宋体" w:hAnsi="宋体" w:eastAsia="宋体" w:cs="宋体"/>
          <w:color w:val="000000"/>
          <w:sz w:val="24"/>
          <w:szCs w:val="24"/>
        </w:rPr>
        <w:t>年出版的图书目录，中标人不得拒绝采购，不得低于最低订货率和到货率，否则视为不具备履行本项目基本服务能力，供货商资格将被取消。</w:t>
      </w:r>
      <w:r>
        <w:rPr>
          <w:rFonts w:hint="eastAsia" w:ascii="宋体" w:hAnsi="宋体" w:eastAsia="宋体" w:cs="宋体"/>
          <w:b/>
          <w:bCs/>
          <w:color w:val="000000"/>
          <w:sz w:val="24"/>
          <w:szCs w:val="24"/>
        </w:rPr>
        <w:t>中标人保证所有图书的品种及复本数量均由采购单位决定，不得自行搭配和追加非采购单位确认订购的品种和复本量。</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投标人承诺在合作期内至少提供采购单位1次现场采购服务，每次至少2人（不超过4人）计算，并承担现采人员的相关费用（包括交通、食宿、书市门票等费用）。所有的现采，投标人都不得事先设置采购额度条件。现采图书时，投标人应当提供采购单位人员、设备方面的便利。</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、投标人保证供应</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不包含以下图书：高码洋图书、一号（ISBN）多书、礼品书、教辅用书、骑马装订图书、口袋书、少儿填色书、折纸书、一次使用后即告毁损的图书、卡片或附件中包含卡片的图书、挂图、法律法规及政策汇编、其他不宜加工和馆藏图书，并能对上述图书误采向采购单位及时反馈，否则由此发生的退货损失由中标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如果采购单位认为有必要，则中标人须提供相应批次图书所属出版社出具的图书销售授权书或正规出版的证明文件（皆加盖出版社公章）。若所供图书出现定价虚高、来源渠道不明、质量问题等相关情况且中标人不能提供相关证明文件的，采购单位有权拒绝接收，作出验收不能通过处理。由此而产生的一切损失及后果由中标人负责。</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（二）服务要求</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1、本项目采购方式为送样采购，订单采购、现场采购，送样及退货产生的费用由中标人自理，具体采取何种方式由采购单位自行依据实际情况决定。</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除不可抗拒力外，投标人必须保证采购单位提供的订单采购图书订到率不得低于90%；现采图书订到率不得低于98%。现货采购自提交订单之日起1周内到货不低于60%，1个月到货率不低于90%，3个月到货率达到98%；期货采购3个月到货率为60％，6个月到货率达到90%。投标人须明确承诺所能达到的订到率和到货周期，低于最低要求的投标将被拒绝。</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人承诺能够为采购单位建立独立的订单库，并在订单库中及时反映采购状态，并允许采购单位查询相关信息。如采购单位需要，每批订单往来中标人向采购单位提供相应书面文件（加盖单位公章），每批次订单对订购时间超过3个月未到货的图书（计算到“订到率”和“到货率”中）订单需及时告知，并提交书面文件说明相关原因。</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4、投标人负责将采购单位的货物送抵采购单位</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或指定地点，每批次图书发货前，投标人应及时向采购单位递交物流信息，并承担运费、卸货、搬运等费用，否则采购单位有权拒绝收货，由此造成损失由投标人负责。包装箱中应包括装箱货物清单，一式两份：一份是汇总清单，一份是每包内明细单，同时提供一份总清单的电子文档(EXCEL格式)，电子文档须与纸质清单一致，并应包括：包号、书号、题名、出版社、责任者、单价、册数，每包的种、册、码洋的小计。</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5、投标人提供规范的MARC书目数据，数据以《中国文献著录规则》和《中国机读目录格式使用手册》为依据，其数据须完全符合</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图书馆图创图书馆集群管理系统要求，能在需方系统无障碍地使用。数据与分批次图书同步到达，并达到100%的覆盖率，没有编目数据或者编目数据错误的图书一律不予接受。</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6、投标人承诺根据《中国图书馆分类法》（第五版）进行分类，主题标引依据《中国分类主题词表》（第二版）。根据</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图书馆提供的规范，配好书次号。</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7、经</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图书馆验收合格后的货物，在</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图书馆指定的场所内，由中标人派人根据《</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普通图书供货商业务加工规范》负责货物的全加工，工作包括图书编目、数据套录和修改、建立符合国图联编中心规范标准的书目数据（包括图书分类、取索书号）、馆藏分配、图书加工（包括盖馆藏章、贴条形码、打印书标、贴书标及书标保护膜、贴RFID芯片、转换芯片数据、芯片记号）、图书堆放、清扫加工场所等。其中：</w:t>
      </w:r>
    </w:p>
    <w:p>
      <w:pPr>
        <w:keepNext w:val="0"/>
        <w:keepLines w:val="0"/>
        <w:pageBreakBefore w:val="0"/>
        <w:widowControl/>
        <w:kinsoku/>
        <w:wordWrap/>
        <w:overflowPunct/>
        <w:topLinePunct w:val="0"/>
        <w:autoSpaceDE w:val="0"/>
        <w:bidi w:val="0"/>
        <w:spacing w:line="360" w:lineRule="auto"/>
        <w:ind w:right="62"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（1）图书编目。随书配送书目数据，准确导入</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图书馆的图创图书馆集群管理系统，并进行数据著录。按照采购单位馆藏分类规范修改、建立符合国图联编中心规范标准的书目数据（包括图书分类、取索书号），建立符合馆藏分配的地点。</w:t>
      </w:r>
    </w:p>
    <w:p>
      <w:pPr>
        <w:keepNext w:val="0"/>
        <w:keepLines w:val="0"/>
        <w:pageBreakBefore w:val="0"/>
        <w:widowControl/>
        <w:kinsoku/>
        <w:wordWrap/>
        <w:overflowPunct/>
        <w:topLinePunct w:val="0"/>
        <w:autoSpaceDE w:val="0"/>
        <w:bidi w:val="0"/>
        <w:spacing w:line="360" w:lineRule="auto"/>
        <w:ind w:right="62" w:firstLine="480" w:firstLineChars="200"/>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（1.1）馆藏章。在题名页、正文31页、书脊处各盖一个馆藏章，保证馆藏章清晰、美观。</w:t>
      </w:r>
    </w:p>
    <w:p>
      <w:pPr>
        <w:keepNext w:val="0"/>
        <w:keepLines w:val="0"/>
        <w:pageBreakBefore w:val="0"/>
        <w:widowControl/>
        <w:kinsoku/>
        <w:wordWrap/>
        <w:overflowPunct/>
        <w:topLinePunct w:val="0"/>
        <w:autoSpaceDE w:val="0"/>
        <w:bidi w:val="0"/>
        <w:spacing w:line="360" w:lineRule="auto"/>
        <w:ind w:right="62" w:firstLine="480" w:firstLineChars="200"/>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条码。条形码规格为50*20mm，每本图书的书名页书名下方居中处粘贴1个条码，距离10mm、平行端正为原则。工具书、随书光盘于每盘光盘、光盘袋、光盘盒（随书光盘贴于书名页）各贴1个条码，总计3个条码。</w:t>
      </w:r>
    </w:p>
    <w:p>
      <w:pPr>
        <w:keepNext w:val="0"/>
        <w:keepLines w:val="0"/>
        <w:pageBreakBefore w:val="0"/>
        <w:widowControl/>
        <w:kinsoku/>
        <w:wordWrap/>
        <w:overflowPunct/>
        <w:topLinePunct w:val="0"/>
        <w:autoSpaceDE w:val="0"/>
        <w:bidi w:val="0"/>
        <w:spacing w:line="360" w:lineRule="auto"/>
        <w:ind w:right="62" w:firstLine="480" w:firstLineChars="200"/>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（1.3）书标、书标保护膜。书标规格30*38mm，一册书贴一张书标，</w:t>
      </w:r>
      <w:r>
        <w:rPr>
          <w:rFonts w:hint="eastAsia" w:ascii="宋体" w:hAnsi="宋体" w:eastAsia="宋体" w:cs="宋体"/>
          <w:b/>
          <w:bCs/>
          <w:color w:val="000000"/>
          <w:kern w:val="0"/>
          <w:sz w:val="24"/>
          <w:szCs w:val="24"/>
        </w:rPr>
        <w:t>有外加封皮的需另加贴一张书标</w:t>
      </w:r>
      <w:r>
        <w:rPr>
          <w:rFonts w:hint="eastAsia" w:ascii="宋体" w:hAnsi="宋体" w:eastAsia="宋体" w:cs="宋体"/>
          <w:color w:val="000000"/>
          <w:kern w:val="0"/>
          <w:sz w:val="24"/>
          <w:szCs w:val="24"/>
        </w:rPr>
        <w:t>，贴在书脊离书底部3cm处，再加贴一张</w:t>
      </w:r>
      <w:r>
        <w:rPr>
          <w:rFonts w:hint="eastAsia" w:ascii="宋体" w:hAnsi="宋体" w:eastAsia="宋体" w:cs="宋体"/>
          <w:b/>
          <w:bCs/>
          <w:color w:val="000000"/>
          <w:kern w:val="0"/>
          <w:sz w:val="24"/>
          <w:szCs w:val="24"/>
        </w:rPr>
        <w:t>书标专用保护膜</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val="0"/>
        <w:bidi w:val="0"/>
        <w:spacing w:line="360" w:lineRule="auto"/>
        <w:ind w:right="62" w:firstLine="480" w:firstLineChars="200"/>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（1.4）随书光盘。从书中抽出光盘，装入光盘袋中，贴上与该书相同的条码。并在图书的题名页右上方位置盖上红色的“附光盘”等字样，字样由我馆提供。</w:t>
      </w:r>
    </w:p>
    <w:p>
      <w:pPr>
        <w:keepNext w:val="0"/>
        <w:keepLines w:val="0"/>
        <w:pageBreakBefore w:val="0"/>
        <w:widowControl/>
        <w:kinsoku/>
        <w:wordWrap/>
        <w:overflowPunct/>
        <w:topLinePunct w:val="0"/>
        <w:autoSpaceDE w:val="0"/>
        <w:bidi w:val="0"/>
        <w:spacing w:line="360" w:lineRule="auto"/>
        <w:ind w:right="62" w:firstLine="480" w:firstLineChars="200"/>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（1.5）若遇图书去掉封皮后为白页，则需保留封皮，并用粘合剂将其固定。</w:t>
      </w:r>
    </w:p>
    <w:p>
      <w:pPr>
        <w:keepNext w:val="0"/>
        <w:keepLines w:val="0"/>
        <w:pageBreakBefore w:val="0"/>
        <w:widowControl/>
        <w:kinsoku/>
        <w:wordWrap/>
        <w:overflowPunct/>
        <w:topLinePunct w:val="0"/>
        <w:autoSpaceDE w:val="0"/>
        <w:bidi w:val="0"/>
        <w:spacing w:line="360" w:lineRule="auto"/>
        <w:ind w:right="62" w:firstLine="480" w:firstLineChars="200"/>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 RFID芯片。预计成本1.00元/张。在图书最后一页贴近书籍上半部位置贴一张RFID芯片。工具书不粘贴RFID芯片，芯片上再附一张图书馆指定的保护膜。</w:t>
      </w:r>
    </w:p>
    <w:p>
      <w:pPr>
        <w:keepNext w:val="0"/>
        <w:keepLines w:val="0"/>
        <w:pageBreakBefore w:val="0"/>
        <w:widowControl/>
        <w:kinsoku/>
        <w:wordWrap/>
        <w:overflowPunct/>
        <w:topLinePunct w:val="0"/>
        <w:autoSpaceDE w:val="0"/>
        <w:bidi w:val="0"/>
        <w:spacing w:line="360" w:lineRule="auto"/>
        <w:ind w:right="62" w:firstLine="480" w:firstLineChars="200"/>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（1.7）芯片转换。将图书的编目信息转入芯片。</w:t>
      </w:r>
    </w:p>
    <w:p>
      <w:pPr>
        <w:keepNext w:val="0"/>
        <w:keepLines w:val="0"/>
        <w:pageBreakBefore w:val="0"/>
        <w:widowControl/>
        <w:kinsoku/>
        <w:wordWrap/>
        <w:overflowPunct/>
        <w:topLinePunct w:val="0"/>
        <w:autoSpaceDE w:val="0"/>
        <w:bidi w:val="0"/>
        <w:spacing w:line="360" w:lineRule="auto"/>
        <w:ind w:right="62" w:firstLine="480" w:firstLineChars="200"/>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（1.8）条码、书标、书标保护膜、芯片保护膜预计成本0.17元/册，RFID芯片1.00元/册，馆藏章费用由供应商自负（首次中标的投标人需承担该费用）。</w:t>
      </w:r>
    </w:p>
    <w:p>
      <w:pPr>
        <w:keepNext w:val="0"/>
        <w:keepLines w:val="0"/>
        <w:pageBreakBefore w:val="0"/>
        <w:kinsoku/>
        <w:wordWrap/>
        <w:overflowPunct/>
        <w:topLinePunct w:val="0"/>
        <w:autoSpaceDE w:val="0"/>
        <w:bidi w:val="0"/>
        <w:spacing w:line="360" w:lineRule="auto"/>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（2）图书上架。已加工图书需放置图书馆指定地点，并</w:t>
      </w:r>
      <w:r>
        <w:rPr>
          <w:rFonts w:hint="eastAsia" w:ascii="宋体" w:hAnsi="宋体" w:eastAsia="宋体" w:cs="宋体"/>
          <w:bCs/>
          <w:color w:val="000000"/>
          <w:sz w:val="24"/>
          <w:szCs w:val="24"/>
          <w:u w:val="single"/>
        </w:rPr>
        <w:t>根据《中国图书馆分类法》（第五版）进行分类，至小数点后两位，再按四角号码（从小到大）顺序排列整齐并上架于采购单位指定地点指定书架。</w:t>
      </w:r>
      <w:r>
        <w:rPr>
          <w:rFonts w:hint="eastAsia" w:ascii="宋体" w:hAnsi="宋体" w:eastAsia="宋体" w:cs="宋体"/>
          <w:color w:val="000000"/>
          <w:sz w:val="24"/>
          <w:szCs w:val="24"/>
        </w:rPr>
        <w:t>对暂不上架的已加工图书将根据采购单位要求进行分类排列，整齐堆放于采购单位指定地方指定位置。图书加工完毕后清扫加工场所。</w:t>
      </w:r>
    </w:p>
    <w:p>
      <w:pPr>
        <w:keepNext w:val="0"/>
        <w:keepLines w:val="0"/>
        <w:pageBreakBefore w:val="0"/>
        <w:kinsoku/>
        <w:wordWrap/>
        <w:overflowPunct/>
        <w:topLinePunct w:val="0"/>
        <w:autoSpaceDE w:val="0"/>
        <w:bidi w:val="0"/>
        <w:spacing w:line="360" w:lineRule="auto"/>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（3）上述材料费用（馆藏章、条码、书标及保护膜、RFID芯片）由中标公司承担。相关的统一规范标准由</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图书馆提供。如果图书将用于街道、乡镇分馆，除以上耗材费用外，将涉及运至分馆并按</w:t>
      </w:r>
      <w:r>
        <w:rPr>
          <w:rFonts w:hint="eastAsia" w:ascii="宋体" w:hAnsi="宋体" w:eastAsia="宋体" w:cs="宋体"/>
          <w:color w:val="000000"/>
          <w:sz w:val="24"/>
          <w:szCs w:val="24"/>
          <w:lang w:eastAsia="zh-CN"/>
        </w:rPr>
        <w:t>东阳市</w:t>
      </w:r>
      <w:r>
        <w:rPr>
          <w:rFonts w:hint="eastAsia" w:ascii="宋体" w:hAnsi="宋体" w:eastAsia="宋体" w:cs="宋体"/>
          <w:color w:val="000000"/>
          <w:sz w:val="24"/>
          <w:szCs w:val="24"/>
        </w:rPr>
        <w:t>图书馆编目要求排列上架事宜，所涉及的相关费用同样由中标方承担。</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中标人不得以任何理由拒绝完成采购单位按工作规范提出的修改任务，采购单位对此种修改不承担任何费用。因投标人外包加工原因，发生图书的漏编、错编、误加工等错误，投标人有义务纠正并按要求补编、改正并自行承担相应费用。</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9、如有货物质量问题，配送的图书或图书书目数据加工污损、图文不清、缺页、缺附件、纸质粗糙、裁切有误等，</w:t>
      </w:r>
      <w:r>
        <w:rPr>
          <w:rFonts w:hint="eastAsia" w:ascii="宋体" w:hAnsi="宋体" w:eastAsia="宋体" w:cs="宋体"/>
          <w:bCs/>
          <w:color w:val="000000"/>
          <w:sz w:val="24"/>
          <w:szCs w:val="24"/>
        </w:rPr>
        <w:t>以及与订单不符的图书，</w:t>
      </w:r>
      <w:r>
        <w:rPr>
          <w:rFonts w:hint="eastAsia" w:ascii="宋体" w:hAnsi="宋体" w:eastAsia="宋体" w:cs="宋体"/>
          <w:color w:val="000000"/>
          <w:sz w:val="24"/>
          <w:szCs w:val="24"/>
        </w:rPr>
        <w:t>无论是否加工或投入借阅，均无条件退货，</w:t>
      </w:r>
      <w:r>
        <w:rPr>
          <w:rFonts w:hint="eastAsia" w:ascii="宋体" w:hAnsi="宋体" w:eastAsia="宋体" w:cs="宋体"/>
          <w:bCs/>
          <w:color w:val="000000"/>
          <w:sz w:val="24"/>
          <w:szCs w:val="24"/>
        </w:rPr>
        <w:t>若发现明显不适宜采购方收藏的图书，供应商应允许采购方无条件退换。</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中标人须具备采购单位提供馆藏数据查重能力，以及能够对采购单位移交其他供货商的数据查重，以保证对采购单位按单配送图书和图书书目数据加工与馆藏不重复，否则造成重复的图书一律退回（包括盖章的加工成品书和图书书目数据加工，其中已盖章的图书，加盖退货专用章后，再行退货），由此造成的损失完全由中标人负责。</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考虑到以往出现过连续出版书籍未全部到位情况，所以中标方有必要在提供书目清单中直接删除此类图书，一旦入库，将根据书籍到位情况要求对应中标方在一个月内免费补充完整。如果无法补充完整，则加盖退货专用章后，直接退货。过程中产生的相应费用均由中标方承担。此项时长在两年以内均适用。</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12、加工完成后发现50本以内的错误率（盖章错误等），将扣除</w:t>
      </w:r>
      <w:r>
        <w:rPr>
          <w:rFonts w:hint="eastAsia" w:ascii="宋体" w:hAnsi="宋体" w:cs="宋体"/>
          <w:color w:val="000000"/>
          <w:sz w:val="24"/>
          <w:szCs w:val="24"/>
          <w:lang w:val="en-US" w:eastAsia="zh-CN"/>
        </w:rPr>
        <w:t>合同金额的0.1</w:t>
      </w:r>
      <w:r>
        <w:rPr>
          <w:rFonts w:hint="eastAsia" w:ascii="宋体" w:hAnsi="宋体" w:eastAsia="宋体" w:cs="宋体"/>
          <w:color w:val="000000"/>
          <w:sz w:val="24"/>
          <w:szCs w:val="24"/>
        </w:rPr>
        <w:t>%；发现50～100本以内的错误率，将扣除</w:t>
      </w:r>
      <w:r>
        <w:rPr>
          <w:rFonts w:hint="eastAsia" w:ascii="宋体" w:hAnsi="宋体" w:cs="宋体"/>
          <w:color w:val="000000"/>
          <w:sz w:val="24"/>
          <w:szCs w:val="24"/>
          <w:lang w:val="en-US" w:eastAsia="zh-CN"/>
        </w:rPr>
        <w:t>合同金额的0.3</w:t>
      </w:r>
      <w:r>
        <w:rPr>
          <w:rFonts w:hint="eastAsia" w:ascii="宋体" w:hAnsi="宋体" w:eastAsia="宋体" w:cs="宋体"/>
          <w:color w:val="000000"/>
          <w:sz w:val="24"/>
          <w:szCs w:val="24"/>
        </w:rPr>
        <w:t>%；发现100本以上的错误率，扣除</w:t>
      </w:r>
      <w:r>
        <w:rPr>
          <w:rFonts w:hint="eastAsia" w:ascii="宋体" w:hAnsi="宋体" w:cs="宋体"/>
          <w:color w:val="000000"/>
          <w:sz w:val="24"/>
          <w:szCs w:val="24"/>
          <w:lang w:val="en-US" w:eastAsia="zh-CN"/>
        </w:rPr>
        <w:t>合同金额的1</w:t>
      </w:r>
      <w:r>
        <w:rPr>
          <w:rFonts w:hint="eastAsia" w:ascii="宋体" w:hAnsi="宋体" w:eastAsia="宋体" w:cs="宋体"/>
          <w:color w:val="000000"/>
          <w:sz w:val="24"/>
          <w:szCs w:val="24"/>
        </w:rPr>
        <w:t>%。</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凡送交到采购单位的货物，以货物定价及系统软件财产登记作为计算款项的依据，经验收发现款项与发货单不相符的，采购单位及时通知中标人派员到验收地核算，中标人接到通知之日起10个工作日内不能派员核算的，以采购单位验收的实际数额计算款项金额。</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14、采购单位根据业务工作的需要、中标人的货源情况和服务质量自行决定向各中标人采购品种和采购金额，中标人须承诺对此放弃异议的权利。</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15、对于采购单位采购的货物，除不可抗拒力外等客观因素外，中标人在合同履行期未达到最低订到率和到货率，扣除</w:t>
      </w:r>
      <w:r>
        <w:rPr>
          <w:rFonts w:hint="eastAsia" w:ascii="宋体" w:hAnsi="宋体" w:cs="宋体"/>
          <w:color w:val="000000"/>
          <w:sz w:val="24"/>
          <w:szCs w:val="24"/>
          <w:lang w:val="en-US" w:eastAsia="zh-CN"/>
        </w:rPr>
        <w:t>合同金额的1</w:t>
      </w:r>
      <w:r>
        <w:rPr>
          <w:rFonts w:hint="eastAsia" w:ascii="宋体" w:hAnsi="宋体" w:eastAsia="宋体" w:cs="宋体"/>
          <w:color w:val="000000"/>
          <w:sz w:val="24"/>
          <w:szCs w:val="24"/>
        </w:rPr>
        <w:t>%；或达到最低订到率和到货率，但未达到中标人承诺的订到率和到货率货，根据偏离程度从</w:t>
      </w:r>
      <w:r>
        <w:rPr>
          <w:rFonts w:hint="eastAsia" w:ascii="宋体" w:hAnsi="宋体" w:cs="宋体"/>
          <w:color w:val="000000"/>
          <w:sz w:val="24"/>
          <w:szCs w:val="24"/>
          <w:lang w:val="en-US" w:eastAsia="zh-CN"/>
        </w:rPr>
        <w:t>合同金额</w:t>
      </w:r>
      <w:r>
        <w:rPr>
          <w:rFonts w:hint="eastAsia" w:ascii="宋体" w:hAnsi="宋体" w:eastAsia="宋体" w:cs="宋体"/>
          <w:color w:val="000000"/>
          <w:sz w:val="24"/>
          <w:szCs w:val="24"/>
        </w:rPr>
        <w:t>扣除同比率金额。偏离程度5%～10%内，扣除</w:t>
      </w:r>
      <w:r>
        <w:rPr>
          <w:rFonts w:hint="eastAsia" w:ascii="宋体" w:hAnsi="宋体" w:cs="宋体"/>
          <w:color w:val="000000"/>
          <w:sz w:val="24"/>
          <w:szCs w:val="24"/>
          <w:lang w:val="en-US" w:eastAsia="zh-CN"/>
        </w:rPr>
        <w:t>合同金额的0.1</w:t>
      </w:r>
      <w:r>
        <w:rPr>
          <w:rFonts w:hint="eastAsia" w:ascii="宋体" w:hAnsi="宋体" w:eastAsia="宋体" w:cs="宋体"/>
          <w:color w:val="000000"/>
          <w:sz w:val="24"/>
          <w:szCs w:val="24"/>
        </w:rPr>
        <w:t>%；偏离程度10%～20%内，扣除</w:t>
      </w:r>
      <w:r>
        <w:rPr>
          <w:rFonts w:hint="eastAsia" w:ascii="宋体" w:hAnsi="宋体" w:cs="宋体"/>
          <w:color w:val="000000"/>
          <w:sz w:val="24"/>
          <w:szCs w:val="24"/>
          <w:lang w:val="en-US" w:eastAsia="zh-CN"/>
        </w:rPr>
        <w:t>合同金额的0.5</w:t>
      </w:r>
      <w:r>
        <w:rPr>
          <w:rFonts w:hint="eastAsia" w:ascii="宋体" w:hAnsi="宋体" w:eastAsia="宋体" w:cs="宋体"/>
          <w:color w:val="000000"/>
          <w:sz w:val="24"/>
          <w:szCs w:val="24"/>
        </w:rPr>
        <w:t>%；偏离程度20%以上，扣除</w:t>
      </w:r>
      <w:r>
        <w:rPr>
          <w:rFonts w:hint="eastAsia" w:ascii="宋体" w:hAnsi="宋体" w:cs="宋体"/>
          <w:color w:val="000000"/>
          <w:sz w:val="24"/>
          <w:szCs w:val="24"/>
          <w:lang w:val="en-US" w:eastAsia="zh-CN"/>
        </w:rPr>
        <w:t>合同金额的1</w:t>
      </w:r>
      <w:r>
        <w:rPr>
          <w:rFonts w:hint="eastAsia" w:ascii="宋体" w:hAnsi="宋体" w:eastAsia="宋体" w:cs="宋体"/>
          <w:color w:val="000000"/>
          <w:sz w:val="24"/>
          <w:szCs w:val="24"/>
        </w:rPr>
        <w:t>%。</w:t>
      </w:r>
    </w:p>
    <w:p>
      <w:pPr>
        <w:keepNext w:val="0"/>
        <w:keepLines w:val="0"/>
        <w:pageBreakBefore w:val="0"/>
        <w:kinsoku/>
        <w:wordWrap/>
        <w:overflowPunct/>
        <w:topLinePunct w:val="0"/>
        <w:autoSpaceDE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16、投标人夸大或虚假承诺，如中标不能完全履行基本服务要求或其自身服务承诺的，其供货商资格将被取消，造成采购单位损失，须赔偿相应费用。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17、报价含货物包括该项目的订购、配送、后期的处理加工费用保险及相关售后服务等的一切费用。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firstLine="480" w:firstLineChars="200"/>
        <w:jc w:val="left"/>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（三）报价要求</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firstLine="480" w:firstLineChars="200"/>
        <w:jc w:val="left"/>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1.本项目投标人应以各类图书的“图书定价（码洋）”为基准价，按“折扣”报价，报价范围包含：图书、随书附件（光盘、软件等）、运抵指定交货地点上架费用、实际供货图书册数10%的超高频RFID智能图书标签、所有耗材、有关服务和货物本身已支付或将支付的各种税费以及其他交付使用前和质保期间的所有费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firstLine="480" w:firstLineChars="200"/>
        <w:jc w:val="left"/>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本项目“折扣”的数学含义是指：成交人结算各项货款时，以本项目各类图书的“图书定价（码洋）”为基准价，“打几折”就是“中标单价（实洋）”占“图书定价（码洋）”的百分之几十，“几几折”就是“中标单价（实洋）”是“图书定价（码洋）”的百分之几十几。投标人所投报的“折扣”应以百分比表示，即：折扣=中标单价（实洋）/图书定价（码洋）=XX.XX%，“折扣”数值越大，报价越高，反之，报价越低。投标人的“折扣”报价应≦75%，超过75%的投标报价将被视为无效。</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firstLine="480" w:firstLineChars="200"/>
        <w:jc w:val="left"/>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★投标人应仔细领会上述“折扣”、“中标单价”等在本招标项目中的准确涵义，以免因理解错误而在投标报价时发生错报。</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firstLine="480" w:firstLineChars="200"/>
        <w:jc w:val="left"/>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2.各中标人的“折扣”分别以各自的报价为准，并分别签订合同，合同有效期内，该“折扣”不变，各中标人应按此折扣提供图书和服务，招标人不再支付其他任何费用。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jc w:val="left"/>
        <w:textAlignment w:val="auto"/>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lang w:val="en-US" w:eastAsia="zh-CN"/>
        </w:rPr>
        <w:t>四</w:t>
      </w:r>
      <w:r>
        <w:rPr>
          <w:rFonts w:hint="eastAsia" w:ascii="宋体" w:hAnsi="宋体" w:eastAsia="宋体" w:cs="宋体"/>
          <w:b/>
          <w:color w:val="000000"/>
          <w:kern w:val="0"/>
          <w:sz w:val="24"/>
          <w:szCs w:val="24"/>
          <w:highlight w:val="none"/>
        </w:rPr>
        <w:t>、出版社名单</w:t>
      </w:r>
      <w:r>
        <w:rPr>
          <w:rFonts w:hint="eastAsia" w:ascii="宋体" w:hAnsi="宋体" w:eastAsia="宋体" w:cs="宋体"/>
          <w:b/>
          <w:color w:val="000000"/>
          <w:kern w:val="0"/>
          <w:sz w:val="24"/>
          <w:szCs w:val="24"/>
          <w:highlight w:val="none"/>
          <w:lang w:eastAsia="zh-CN"/>
        </w:rPr>
        <w:t>（指定出版社）</w:t>
      </w:r>
    </w:p>
    <w:tbl>
      <w:tblPr>
        <w:tblStyle w:val="45"/>
        <w:tblW w:w="4998" w:type="pct"/>
        <w:jc w:val="center"/>
        <w:tblLayout w:type="autofit"/>
        <w:tblCellMar>
          <w:top w:w="0" w:type="dxa"/>
          <w:left w:w="108" w:type="dxa"/>
          <w:bottom w:w="0" w:type="dxa"/>
          <w:right w:w="108" w:type="dxa"/>
        </w:tblCellMar>
      </w:tblPr>
      <w:tblGrid>
        <w:gridCol w:w="905"/>
        <w:gridCol w:w="3663"/>
        <w:gridCol w:w="948"/>
        <w:gridCol w:w="3937"/>
      </w:tblGrid>
      <w:tr>
        <w:tblPrEx>
          <w:tblCellMar>
            <w:top w:w="0" w:type="dxa"/>
            <w:left w:w="108" w:type="dxa"/>
            <w:bottom w:w="0" w:type="dxa"/>
            <w:right w:w="108" w:type="dxa"/>
          </w:tblCellMar>
        </w:tblPrEx>
        <w:trPr>
          <w:trHeight w:val="528"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出版社名称</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出版社名称</w:t>
            </w:r>
          </w:p>
        </w:tc>
      </w:tr>
      <w:tr>
        <w:tblPrEx>
          <w:tblCellMar>
            <w:top w:w="0" w:type="dxa"/>
            <w:left w:w="108" w:type="dxa"/>
            <w:bottom w:w="0" w:type="dxa"/>
            <w:right w:w="108" w:type="dxa"/>
          </w:tblCellMar>
        </w:tblPrEx>
        <w:trPr>
          <w:trHeight w:val="44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人民文学出版社</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11</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西泠印社</w:t>
            </w:r>
            <w:r>
              <w:rPr>
                <w:rFonts w:hint="eastAsia" w:ascii="宋体" w:hAnsi="宋体" w:eastAsia="宋体" w:cs="宋体"/>
                <w:color w:val="000000"/>
                <w:sz w:val="24"/>
                <w:szCs w:val="24"/>
                <w:highlight w:val="none"/>
                <w:lang w:eastAsia="zh-CN"/>
              </w:rPr>
              <w:t>出版社有限公司</w:t>
            </w:r>
          </w:p>
        </w:tc>
      </w:tr>
      <w:tr>
        <w:tblPrEx>
          <w:tblCellMar>
            <w:top w:w="0" w:type="dxa"/>
            <w:left w:w="108" w:type="dxa"/>
            <w:bottom w:w="0" w:type="dxa"/>
            <w:right w:w="108" w:type="dxa"/>
          </w:tblCellMar>
        </w:tblPrEx>
        <w:trPr>
          <w:trHeight w:val="44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浙江人民出版社</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12</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湖南少年儿童出版社</w:t>
            </w:r>
          </w:p>
        </w:tc>
      </w:tr>
      <w:tr>
        <w:tblPrEx>
          <w:tblCellMar>
            <w:top w:w="0" w:type="dxa"/>
            <w:left w:w="108" w:type="dxa"/>
            <w:bottom w:w="0" w:type="dxa"/>
            <w:right w:w="108" w:type="dxa"/>
          </w:tblCellMar>
        </w:tblPrEx>
        <w:trPr>
          <w:trHeight w:val="44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中信出版社</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13</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中国少年儿童出版社</w:t>
            </w:r>
          </w:p>
        </w:tc>
      </w:tr>
      <w:tr>
        <w:tblPrEx>
          <w:tblCellMar>
            <w:top w:w="0" w:type="dxa"/>
            <w:left w:w="108" w:type="dxa"/>
            <w:bottom w:w="0" w:type="dxa"/>
            <w:right w:w="108" w:type="dxa"/>
          </w:tblCellMar>
        </w:tblPrEx>
        <w:trPr>
          <w:trHeight w:val="44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国家图书馆出版社</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14</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中华书局</w:t>
            </w:r>
          </w:p>
        </w:tc>
      </w:tr>
      <w:tr>
        <w:tblPrEx>
          <w:tblCellMar>
            <w:top w:w="0" w:type="dxa"/>
            <w:left w:w="108" w:type="dxa"/>
            <w:bottom w:w="0" w:type="dxa"/>
            <w:right w:w="108" w:type="dxa"/>
          </w:tblCellMar>
        </w:tblPrEx>
        <w:trPr>
          <w:trHeight w:val="44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二十一世纪出版社</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15</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商务印书馆</w:t>
            </w:r>
          </w:p>
        </w:tc>
      </w:tr>
      <w:tr>
        <w:tblPrEx>
          <w:tblCellMar>
            <w:top w:w="0" w:type="dxa"/>
            <w:left w:w="108" w:type="dxa"/>
            <w:bottom w:w="0" w:type="dxa"/>
            <w:right w:w="108" w:type="dxa"/>
          </w:tblCellMar>
        </w:tblPrEx>
        <w:trPr>
          <w:trHeight w:val="44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6</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人民美术出版社</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16</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中国人民大学出版社</w:t>
            </w:r>
          </w:p>
        </w:tc>
      </w:tr>
      <w:tr>
        <w:tblPrEx>
          <w:tblCellMar>
            <w:top w:w="0" w:type="dxa"/>
            <w:left w:w="108" w:type="dxa"/>
            <w:bottom w:w="0" w:type="dxa"/>
            <w:right w:w="108" w:type="dxa"/>
          </w:tblCellMar>
        </w:tblPrEx>
        <w:trPr>
          <w:trHeight w:val="44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7</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中央编译出版社</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17</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作家出版社</w:t>
            </w:r>
          </w:p>
        </w:tc>
      </w:tr>
      <w:tr>
        <w:tblPrEx>
          <w:tblCellMar>
            <w:top w:w="0" w:type="dxa"/>
            <w:left w:w="108" w:type="dxa"/>
            <w:bottom w:w="0" w:type="dxa"/>
            <w:right w:w="108" w:type="dxa"/>
          </w:tblCellMar>
        </w:tblPrEx>
        <w:trPr>
          <w:trHeight w:val="44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8</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浙江大学出版社</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18</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花城出版社</w:t>
            </w:r>
          </w:p>
        </w:tc>
      </w:tr>
      <w:tr>
        <w:tblPrEx>
          <w:tblCellMar>
            <w:top w:w="0" w:type="dxa"/>
            <w:left w:w="108" w:type="dxa"/>
            <w:bottom w:w="0" w:type="dxa"/>
            <w:right w:w="108" w:type="dxa"/>
          </w:tblCellMar>
        </w:tblPrEx>
        <w:trPr>
          <w:trHeight w:val="44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9</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中国社会科学</w:t>
            </w:r>
            <w:r>
              <w:rPr>
                <w:rFonts w:hint="eastAsia" w:ascii="宋体" w:hAnsi="宋体" w:eastAsia="宋体" w:cs="宋体"/>
                <w:color w:val="000000"/>
                <w:sz w:val="24"/>
                <w:szCs w:val="24"/>
                <w:highlight w:val="none"/>
                <w:lang w:eastAsia="zh-CN"/>
              </w:rPr>
              <w:t>出版社</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19</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中国文史出版社</w:t>
            </w:r>
          </w:p>
        </w:tc>
      </w:tr>
      <w:tr>
        <w:tblPrEx>
          <w:tblCellMar>
            <w:top w:w="0" w:type="dxa"/>
            <w:left w:w="108" w:type="dxa"/>
            <w:bottom w:w="0" w:type="dxa"/>
            <w:right w:w="108" w:type="dxa"/>
          </w:tblCellMar>
        </w:tblPrEx>
        <w:trPr>
          <w:trHeight w:val="440" w:hRule="atLeast"/>
          <w:jc w:val="center"/>
        </w:trPr>
        <w:tc>
          <w:tcPr>
            <w:tcW w:w="4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10</w:t>
            </w:r>
          </w:p>
        </w:tc>
        <w:tc>
          <w:tcPr>
            <w:tcW w:w="193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中国书籍</w:t>
            </w:r>
            <w:r>
              <w:rPr>
                <w:rFonts w:hint="eastAsia" w:ascii="宋体" w:hAnsi="宋体" w:eastAsia="宋体" w:cs="宋体"/>
                <w:color w:val="000000"/>
                <w:sz w:val="24"/>
                <w:szCs w:val="24"/>
                <w:highlight w:val="none"/>
                <w:lang w:eastAsia="zh-CN"/>
              </w:rPr>
              <w:t>出版社</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bidi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w:t>
            </w:r>
          </w:p>
        </w:tc>
        <w:tc>
          <w:tcPr>
            <w:tcW w:w="208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人民日报出版社</w:t>
            </w:r>
          </w:p>
        </w:tc>
      </w:tr>
    </w:tbl>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w:t>
      </w:r>
      <w:r>
        <w:rPr>
          <w:rFonts w:hint="eastAsia" w:ascii="宋体" w:hAnsi="宋体" w:eastAsia="宋体" w:cs="宋体"/>
          <w:b/>
          <w:color w:val="000000"/>
          <w:kern w:val="0"/>
          <w:sz w:val="24"/>
          <w:szCs w:val="24"/>
          <w:highlight w:val="none"/>
          <w:lang w:val="en-US" w:eastAsia="zh-CN"/>
        </w:rPr>
        <w:t>五</w:t>
      </w:r>
      <w:r>
        <w:rPr>
          <w:rFonts w:hint="eastAsia" w:ascii="宋体" w:hAnsi="宋体" w:eastAsia="宋体" w:cs="宋体"/>
          <w:b/>
          <w:color w:val="000000"/>
          <w:kern w:val="0"/>
          <w:sz w:val="24"/>
          <w:szCs w:val="24"/>
          <w:highlight w:val="none"/>
        </w:rPr>
        <w:t>、商务需求</w:t>
      </w:r>
    </w:p>
    <w:p>
      <w:pPr>
        <w:pStyle w:val="258"/>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（一）交货期：</w:t>
      </w:r>
      <w:r>
        <w:rPr>
          <w:rFonts w:hint="eastAsia" w:ascii="宋体" w:hAnsi="宋体" w:eastAsia="宋体" w:cs="宋体"/>
          <w:color w:val="000000"/>
          <w:sz w:val="24"/>
          <w:szCs w:val="24"/>
        </w:rPr>
        <w:t>合同生效之日起</w:t>
      </w:r>
      <w:r>
        <w:rPr>
          <w:rFonts w:hint="eastAsia" w:ascii="宋体" w:hAnsi="宋体" w:eastAsia="宋体" w:cs="宋体"/>
          <w:color w:val="auto"/>
          <w:sz w:val="24"/>
          <w:szCs w:val="24"/>
        </w:rPr>
        <w:t>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日止</w:t>
      </w:r>
      <w:r>
        <w:rPr>
          <w:rFonts w:hint="eastAsia" w:ascii="宋体" w:hAnsi="宋体" w:eastAsia="宋体" w:cs="宋体"/>
          <w:b w:val="0"/>
          <w:bCs w:val="0"/>
          <w:color w:val="auto"/>
          <w:sz w:val="24"/>
          <w:szCs w:val="24"/>
          <w:highlight w:val="none"/>
          <w:lang w:eastAsia="zh-CN"/>
        </w:rPr>
        <w:t>或供货金额累计达到各个标项的预算金额；以先到者为准。</w:t>
      </w:r>
    </w:p>
    <w:p>
      <w:pPr>
        <w:pStyle w:val="258"/>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（二）交货地点：</w:t>
      </w:r>
      <w:r>
        <w:rPr>
          <w:rFonts w:hint="eastAsia" w:ascii="宋体" w:hAnsi="宋体" w:eastAsia="宋体" w:cs="宋体"/>
          <w:color w:val="000000"/>
          <w:sz w:val="24"/>
          <w:szCs w:val="24"/>
          <w:highlight w:val="none"/>
        </w:rPr>
        <w:t>采购单位指定地点。</w:t>
      </w:r>
    </w:p>
    <w:p>
      <w:pPr>
        <w:pStyle w:val="258"/>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（三）付款</w:t>
      </w:r>
      <w:r>
        <w:rPr>
          <w:rFonts w:hint="eastAsia" w:ascii="宋体" w:hAnsi="宋体" w:eastAsia="宋体" w:cs="宋体"/>
          <w:b/>
          <w:bCs/>
          <w:color w:val="000000"/>
          <w:sz w:val="24"/>
          <w:szCs w:val="24"/>
          <w:highlight w:val="none"/>
          <w:lang w:eastAsia="zh-CN"/>
        </w:rPr>
        <w:t>方式</w:t>
      </w:r>
      <w:r>
        <w:rPr>
          <w:rFonts w:hint="eastAsia" w:ascii="宋体" w:hAnsi="宋体" w:eastAsia="宋体" w:cs="宋体"/>
          <w:b/>
          <w:bCs/>
          <w:color w:val="000000"/>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签订合同以及具备付款条件后7个工作日内采购人支付合同价款的40%（采购人根据项目特点、供应商诚信等因素，可以要求中标人提交预付款保函）；分批供货，分批付款，每批图书（磁条标贴）加工完成后中标人开具正式发票，采购人在收到发票后7个工作日内付清该批次货款，预付款从第一批货款开始抵扣，直到抵扣完为止。</w:t>
      </w:r>
    </w:p>
    <w:p>
      <w:pPr>
        <w:pStyle w:val="27"/>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2、图书采购价（实洋）＝图书定价（码洋）×折扣。</w:t>
      </w:r>
    </w:p>
    <w:p>
      <w:pPr>
        <w:pStyle w:val="27"/>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图书</w:t>
      </w:r>
      <w:r>
        <w:rPr>
          <w:rFonts w:hint="eastAsia" w:ascii="宋体" w:hAnsi="宋体" w:eastAsia="宋体" w:cs="宋体"/>
          <w:color w:val="000000"/>
          <w:sz w:val="24"/>
          <w:szCs w:val="24"/>
          <w:lang w:val="en-US" w:eastAsia="zh-CN"/>
        </w:rPr>
        <w:t>结算</w:t>
      </w:r>
      <w:r>
        <w:rPr>
          <w:rFonts w:hint="eastAsia" w:hAnsi="宋体" w:cs="宋体"/>
          <w:color w:val="000000"/>
          <w:sz w:val="24"/>
          <w:szCs w:val="24"/>
          <w:lang w:val="en-US" w:eastAsia="zh-CN"/>
        </w:rPr>
        <w:t>金额=</w:t>
      </w:r>
      <w:r>
        <w:rPr>
          <w:rFonts w:hint="eastAsia" w:ascii="宋体" w:hAnsi="宋体" w:eastAsia="宋体" w:cs="宋体"/>
          <w:color w:val="000000"/>
          <w:sz w:val="24"/>
          <w:szCs w:val="24"/>
          <w:lang w:val="en-US" w:eastAsia="zh-CN"/>
        </w:rPr>
        <w:t>实际</w:t>
      </w:r>
      <w:r>
        <w:rPr>
          <w:rFonts w:hint="eastAsia" w:hAnsi="宋体" w:cs="宋体"/>
          <w:color w:val="000000"/>
          <w:sz w:val="24"/>
          <w:szCs w:val="24"/>
          <w:lang w:val="en-US" w:eastAsia="zh-CN"/>
        </w:rPr>
        <w:t>收到图书</w:t>
      </w:r>
      <w:r>
        <w:rPr>
          <w:rFonts w:hint="eastAsia" w:ascii="宋体" w:hAnsi="宋体" w:eastAsia="宋体" w:cs="宋体"/>
          <w:color w:val="000000"/>
          <w:sz w:val="24"/>
          <w:szCs w:val="24"/>
          <w:lang w:val="en-US" w:eastAsia="zh-CN"/>
        </w:rPr>
        <w:t>数</w:t>
      </w:r>
      <w:r>
        <w:rPr>
          <w:rFonts w:hint="eastAsia" w:hAnsi="宋体" w:cs="宋体"/>
          <w:color w:val="000000"/>
          <w:sz w:val="24"/>
          <w:szCs w:val="24"/>
          <w:lang w:val="en-US" w:eastAsia="zh-CN"/>
        </w:rPr>
        <w:t>量</w:t>
      </w:r>
      <w:r>
        <w:rPr>
          <w:rFonts w:hint="eastAsia" w:ascii="宋体" w:hAnsi="宋体" w:eastAsia="宋体" w:cs="宋体"/>
          <w:color w:val="000000"/>
          <w:sz w:val="24"/>
          <w:szCs w:val="24"/>
        </w:rPr>
        <w:t>×图书采购价（实洋）</w:t>
      </w:r>
    </w:p>
    <w:p>
      <w:pPr>
        <w:pStyle w:val="258"/>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lang w:eastAsia="zh-CN"/>
        </w:rPr>
        <w:t>）合同的签订</w:t>
      </w:r>
    </w:p>
    <w:p>
      <w:pPr>
        <w:pStyle w:val="258"/>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中标单位在收到《中标通知书》后</w:t>
      </w:r>
      <w:r>
        <w:rPr>
          <w:rFonts w:hint="eastAsia" w:ascii="宋体" w:hAnsi="宋体" w:eastAsia="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lang w:eastAsia="zh-CN"/>
        </w:rPr>
        <w:t>0日内与东阳市图书馆签订合同。</w:t>
      </w:r>
    </w:p>
    <w:p>
      <w:pPr>
        <w:pStyle w:val="27"/>
        <w:keepNext w:val="0"/>
        <w:keepLines w:val="0"/>
        <w:pageBreakBefore w:val="0"/>
        <w:widowControl w:val="0"/>
        <w:kinsoku/>
        <w:wordWrap/>
        <w:overflowPunct/>
        <w:topLinePunct w:val="0"/>
        <w:autoSpaceDE/>
        <w:autoSpaceDN/>
        <w:bidi w:val="0"/>
        <w:adjustRightInd/>
        <w:snapToGrid w:val="0"/>
        <w:spacing w:beforeLines="0" w:afterLines="0" w:line="360" w:lineRule="auto"/>
        <w:jc w:val="both"/>
        <w:textAlignment w:val="auto"/>
        <w:outlineLvl w:val="0"/>
        <w:rPr>
          <w:rFonts w:ascii="Arial" w:hAnsi="Arial" w:eastAsia="黑体"/>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bCs/>
          <w:sz w:val="24"/>
        </w:rPr>
      </w:pPr>
    </w:p>
    <w:p>
      <w:pPr>
        <w:rPr>
          <w:rFonts w:hint="eastAsia" w:hAnsi="宋体" w:cs="宋体"/>
          <w:b/>
          <w:bCs w:val="0"/>
          <w:sz w:val="36"/>
          <w:szCs w:val="36"/>
        </w:rPr>
      </w:pPr>
      <w:r>
        <w:rPr>
          <w:rFonts w:hint="eastAsia" w:hAnsi="宋体" w:cs="宋体"/>
          <w:b/>
          <w:bCs w:val="0"/>
          <w:sz w:val="36"/>
          <w:szCs w:val="36"/>
        </w:rPr>
        <w:br w:type="page"/>
      </w:r>
    </w:p>
    <w:p>
      <w:pPr>
        <w:jc w:val="center"/>
        <w:rPr>
          <w:rFonts w:hAnsi="宋体" w:cs="宋体"/>
          <w:b/>
          <w:bCs w:val="0"/>
          <w:color w:val="auto"/>
          <w:sz w:val="36"/>
          <w:szCs w:val="36"/>
        </w:rPr>
      </w:pPr>
      <w:r>
        <w:rPr>
          <w:rFonts w:hint="eastAsia" w:hAnsi="宋体" w:cs="宋体"/>
          <w:b/>
          <w:bCs w:val="0"/>
          <w:color w:val="auto"/>
          <w:sz w:val="36"/>
          <w:szCs w:val="36"/>
        </w:rPr>
        <w:t>第三章</w:t>
      </w:r>
      <w:r>
        <w:rPr>
          <w:rFonts w:hint="eastAsia" w:hAnsi="宋体" w:cs="宋体"/>
          <w:b/>
          <w:bCs w:val="0"/>
          <w:color w:val="auto"/>
          <w:sz w:val="36"/>
          <w:szCs w:val="36"/>
          <w:lang w:val="en-US" w:eastAsia="zh-CN"/>
        </w:rPr>
        <w:t xml:space="preserve">    </w:t>
      </w:r>
      <w:r>
        <w:rPr>
          <w:rFonts w:hint="eastAsia" w:hAnsi="宋体" w:cs="宋体"/>
          <w:b/>
          <w:bCs w:val="0"/>
          <w:color w:val="auto"/>
          <w:sz w:val="36"/>
          <w:szCs w:val="36"/>
        </w:rPr>
        <w:t>投标人须知</w:t>
      </w:r>
    </w:p>
    <w:p>
      <w:pPr>
        <w:snapToGrid w:val="0"/>
        <w:spacing w:line="360" w:lineRule="auto"/>
        <w:jc w:val="right"/>
        <w:outlineLvl w:val="1"/>
        <w:rPr>
          <w:rFonts w:ascii="宋体" w:cs="宋体"/>
          <w:sz w:val="24"/>
          <w:szCs w:val="24"/>
        </w:rPr>
      </w:pPr>
      <w:r>
        <w:rPr>
          <w:rFonts w:hint="eastAsia" w:ascii="宋体" w:hAnsi="宋体" w:cs="宋体"/>
          <w:sz w:val="24"/>
          <w:szCs w:val="24"/>
        </w:rPr>
        <w:t>前附表</w:t>
      </w:r>
    </w:p>
    <w:tbl>
      <w:tblPr>
        <w:tblStyle w:val="45"/>
        <w:tblW w:w="94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8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hint="eastAsia" w:ascii="宋体" w:hAnsi="宋体" w:cs="宋体"/>
                <w:color w:val="0D0D0D"/>
                <w:sz w:val="24"/>
              </w:rPr>
              <w:t>序号</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hint="eastAsia" w:ascii="宋体" w:hAnsi="宋体" w:cs="宋体"/>
                <w:color w:val="0D0D0D"/>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ascii="宋体" w:hAnsi="宋体" w:cs="宋体"/>
                <w:color w:val="0D0D0D"/>
                <w:sz w:val="24"/>
              </w:rPr>
              <w:t>1</w:t>
            </w:r>
          </w:p>
        </w:tc>
        <w:tc>
          <w:tcPr>
            <w:tcW w:w="8743" w:type="dxa"/>
            <w:tcBorders>
              <w:top w:val="single" w:color="auto" w:sz="4" w:space="0"/>
              <w:left w:val="single" w:color="auto" w:sz="4" w:space="0"/>
              <w:bottom w:val="single" w:color="auto" w:sz="4" w:space="0"/>
            </w:tcBorders>
            <w:vAlign w:val="center"/>
          </w:tcPr>
          <w:p>
            <w:pPr>
              <w:pStyle w:val="27"/>
              <w:keepNext w:val="0"/>
              <w:keepLines w:val="0"/>
              <w:pageBreakBefore w:val="0"/>
              <w:widowControl w:val="0"/>
              <w:kinsoku/>
              <w:wordWrap/>
              <w:overflowPunct/>
              <w:topLinePunct w:val="0"/>
              <w:bidi w:val="0"/>
              <w:adjustRightInd/>
              <w:snapToGrid/>
              <w:spacing w:beforeLines="0" w:afterLines="0" w:line="400" w:lineRule="exact"/>
              <w:jc w:val="left"/>
              <w:rPr>
                <w:rFonts w:hint="eastAsia" w:ascii="宋体" w:hAnsi="宋体" w:eastAsia="宋体" w:cs="宋体"/>
                <w:color w:val="0D0D0D"/>
                <w:sz w:val="24"/>
                <w:lang w:eastAsia="zh-CN"/>
              </w:rPr>
            </w:pPr>
            <w:r>
              <w:rPr>
                <w:rFonts w:hint="eastAsia" w:ascii="宋体" w:hAnsi="宋体" w:cs="宋体"/>
                <w:color w:val="0D0D0D"/>
                <w:sz w:val="24"/>
              </w:rPr>
              <w:t>项目名称：</w:t>
            </w:r>
            <w:r>
              <w:rPr>
                <w:rFonts w:hint="eastAsia" w:hAnsi="宋体" w:cs="宋体"/>
                <w:b w:val="0"/>
                <w:bCs/>
                <w:sz w:val="24"/>
                <w:lang w:eastAsia="zh-CN"/>
              </w:rPr>
              <w:t>2025年东阳市图书馆新增图书采购项目</w:t>
            </w:r>
            <w:r>
              <w:rPr>
                <w:rFonts w:hint="eastAsia" w:hAnsi="宋体" w:cs="宋体"/>
                <w:b/>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ascii="宋体" w:hAnsi="宋体" w:cs="宋体"/>
                <w:color w:val="0D0D0D"/>
                <w:sz w:val="24"/>
              </w:rPr>
              <w:t>2</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color w:val="0D0D0D"/>
                <w:sz w:val="24"/>
              </w:rPr>
            </w:pPr>
            <w:r>
              <w:rPr>
                <w:rFonts w:hint="eastAsia" w:ascii="宋体" w:hAnsi="宋体"/>
                <w:color w:val="0D0D0D"/>
                <w:sz w:val="24"/>
              </w:rPr>
              <w:t>投标报价及费用：</w:t>
            </w:r>
          </w:p>
          <w:p>
            <w:pPr>
              <w:keepNext w:val="0"/>
              <w:keepLines w:val="0"/>
              <w:pageBreakBefore w:val="0"/>
              <w:widowControl w:val="0"/>
              <w:kinsoku/>
              <w:wordWrap/>
              <w:overflowPunct/>
              <w:topLinePunct w:val="0"/>
              <w:bidi w:val="0"/>
              <w:adjustRightInd/>
              <w:snapToGrid/>
              <w:spacing w:line="400" w:lineRule="exact"/>
              <w:rPr>
                <w:rFonts w:ascii="宋体" w:hAnsi="宋体"/>
                <w:color w:val="0D0D0D"/>
                <w:sz w:val="24"/>
              </w:rPr>
            </w:pPr>
            <w:r>
              <w:rPr>
                <w:rFonts w:ascii="宋体" w:hAnsi="宋体"/>
                <w:color w:val="0D0D0D"/>
                <w:sz w:val="24"/>
              </w:rPr>
              <w:t>1</w:t>
            </w:r>
            <w:r>
              <w:rPr>
                <w:rFonts w:hint="eastAsia" w:ascii="宋体" w:hAnsi="宋体"/>
                <w:color w:val="0D0D0D"/>
                <w:sz w:val="24"/>
              </w:rPr>
              <w:t>、本项目投标应以人民币报价。</w:t>
            </w:r>
          </w:p>
          <w:p>
            <w:pPr>
              <w:keepNext w:val="0"/>
              <w:keepLines w:val="0"/>
              <w:pageBreakBefore w:val="0"/>
              <w:widowControl w:val="0"/>
              <w:kinsoku/>
              <w:wordWrap/>
              <w:overflowPunct/>
              <w:topLinePunct w:val="0"/>
              <w:bidi w:val="0"/>
              <w:adjustRightInd/>
              <w:snapToGrid/>
              <w:spacing w:line="400" w:lineRule="exact"/>
              <w:rPr>
                <w:rFonts w:ascii="宋体" w:hAnsi="宋体"/>
                <w:sz w:val="24"/>
              </w:rPr>
            </w:pPr>
            <w:r>
              <w:rPr>
                <w:rFonts w:hint="eastAsia" w:ascii="宋体" w:hAnsi="宋体" w:cs="宋体"/>
                <w:color w:val="0D0D0D"/>
                <w:sz w:val="24"/>
                <w:szCs w:val="24"/>
              </w:rPr>
              <w:t>▲</w:t>
            </w:r>
            <w:r>
              <w:rPr>
                <w:rFonts w:hint="eastAsia" w:ascii="宋体" w:hAnsi="宋体"/>
                <w:color w:val="000000"/>
                <w:sz w:val="24"/>
              </w:rPr>
              <w:t>2、</w:t>
            </w:r>
            <w:r>
              <w:rPr>
                <w:rFonts w:hint="eastAsia" w:ascii="宋体" w:hAnsi="宋体" w:cs="宋体"/>
                <w:b/>
                <w:sz w:val="24"/>
              </w:rPr>
              <w:t>本项目最高限价</w:t>
            </w:r>
            <w:r>
              <w:rPr>
                <w:rFonts w:hint="eastAsia" w:ascii="宋体" w:hAnsi="宋体" w:cs="宋体"/>
                <w:b/>
                <w:sz w:val="24"/>
                <w:lang w:eastAsia="zh-CN"/>
              </w:rPr>
              <w:t>：详见第二章招标需求</w:t>
            </w:r>
            <w:r>
              <w:rPr>
                <w:rFonts w:hint="eastAsia" w:ascii="宋体" w:hAnsi="宋体" w:cs="宋体"/>
                <w:b/>
                <w:sz w:val="24"/>
              </w:rPr>
              <w:t>。</w:t>
            </w:r>
            <w:r>
              <w:rPr>
                <w:rFonts w:hint="eastAsia" w:ascii="宋体" w:hAnsi="宋体" w:cs="宋体"/>
                <w:sz w:val="24"/>
              </w:rPr>
              <w:t>投标单位必须按招标需求的要求报价，并且报价不得高于最高限价，否则作废标处理。</w:t>
            </w:r>
          </w:p>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color w:val="0D0D0D"/>
                <w:sz w:val="24"/>
                <w:lang w:eastAsia="zh-CN"/>
              </w:rPr>
            </w:pPr>
            <w:r>
              <w:rPr>
                <w:rFonts w:hint="eastAsia" w:ascii="宋体" w:hAnsi="宋体"/>
                <w:sz w:val="24"/>
              </w:rPr>
              <w:t>3、不论投标结果如何，投标人均应</w:t>
            </w:r>
            <w:r>
              <w:rPr>
                <w:rFonts w:hint="eastAsia" w:ascii="宋体" w:hAnsi="宋体"/>
                <w:color w:val="0D0D0D"/>
                <w:sz w:val="24"/>
              </w:rPr>
              <w:t>自行承担所有与投标有关的全部费用</w:t>
            </w:r>
            <w:r>
              <w:rPr>
                <w:rFonts w:hint="eastAsia" w:ascii="宋体" w:hAnsi="宋体"/>
                <w:color w:val="0D0D0D"/>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0D0D0D"/>
                <w:sz w:val="24"/>
              </w:rPr>
            </w:pPr>
            <w:r>
              <w:rPr>
                <w:rFonts w:hint="eastAsia" w:ascii="宋体" w:hAnsi="宋体" w:cs="宋体"/>
                <w:color w:val="0D0D0D"/>
                <w:sz w:val="24"/>
              </w:rPr>
              <w:t>3</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D0D0D"/>
                <w:sz w:val="24"/>
                <w:lang w:eastAsia="zh-CN"/>
              </w:rPr>
            </w:pPr>
            <w:r>
              <w:rPr>
                <w:rFonts w:hint="eastAsia" w:ascii="宋体" w:hAnsi="宋体" w:cs="宋体"/>
                <w:sz w:val="24"/>
                <w:szCs w:val="24"/>
              </w:rPr>
              <w:t>答疑与澄清：投标人如认为招标文件表述不清晰、存在歧视性、排他性或者其他违法内容，应当于202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r>
              <w:rPr>
                <w:rFonts w:ascii="宋体" w:hAnsi="宋体" w:cs="宋体"/>
                <w:sz w:val="24"/>
                <w:szCs w:val="24"/>
              </w:rPr>
              <w:t>1</w:t>
            </w:r>
            <w:r>
              <w:rPr>
                <w:rFonts w:hint="eastAsia" w:ascii="宋体" w:hAnsi="宋体" w:cs="宋体"/>
                <w:sz w:val="24"/>
                <w:szCs w:val="24"/>
                <w:lang w:val="en-US" w:eastAsia="zh-CN"/>
              </w:rPr>
              <w:t>7</w:t>
            </w:r>
            <w:r>
              <w:rPr>
                <w:rFonts w:ascii="宋体" w:hAnsi="宋体" w:cs="宋体"/>
                <w:sz w:val="24"/>
                <w:szCs w:val="24"/>
              </w:rPr>
              <w:t>:00</w:t>
            </w:r>
            <w:r>
              <w:rPr>
                <w:rFonts w:hint="eastAsia" w:ascii="宋体" w:hAnsi="宋体" w:cs="宋体"/>
                <w:sz w:val="24"/>
                <w:szCs w:val="24"/>
              </w:rPr>
              <w:t>前，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hint="eastAsia" w:ascii="宋体" w:hAnsi="宋体" w:cs="宋体"/>
                <w:color w:val="0D0D0D"/>
                <w:sz w:val="24"/>
              </w:rPr>
              <w:t>4</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投标文件组成：▲1、本项目实行“网上投标、电子评标”，投标人应于投标截止时间前在“政采云”（电子交易平台）上传输、递交电子版投标文件（包括资格审查文件、商务技术文件和报价文件）；</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市金诚招投标代理有限公司邮箱：284875264@qq.com，逾期发送或发错后缀名的备份投标文件将被视为无效；</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3、投标人仅提交电子备份投标文件的，投标无效；</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0D0D0D"/>
                <w:sz w:val="24"/>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hint="eastAsia" w:ascii="宋体" w:hAnsi="宋体" w:cs="宋体"/>
                <w:color w:val="0D0D0D"/>
                <w:sz w:val="24"/>
              </w:rPr>
              <w:t>5</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投标截止时间及地点：</w:t>
            </w:r>
          </w:p>
          <w:p>
            <w:pPr>
              <w:keepNext w:val="0"/>
              <w:keepLines w:val="0"/>
              <w:pageBreakBefore w:val="0"/>
              <w:widowControl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1、投标人应当在</w:t>
            </w:r>
            <w:r>
              <w:rPr>
                <w:rFonts w:hint="eastAsia" w:ascii="宋体" w:hAnsi="宋体" w:cs="宋体"/>
                <w:sz w:val="24"/>
                <w:szCs w:val="24"/>
                <w:lang w:eastAsia="zh-CN"/>
              </w:rPr>
              <w:t>2025年</w:t>
            </w:r>
            <w:r>
              <w:rPr>
                <w:rFonts w:hint="eastAsia" w:ascii="宋体" w:hAnsi="宋体" w:cs="宋体"/>
                <w:sz w:val="24"/>
                <w:szCs w:val="24"/>
                <w:lang w:val="en-US" w:eastAsia="zh-CN"/>
              </w:rPr>
              <w:t>5</w:t>
            </w:r>
            <w:r>
              <w:rPr>
                <w:rFonts w:hint="eastAsia" w:ascii="宋体" w:hAnsi="宋体" w:cs="宋体"/>
                <w:sz w:val="24"/>
                <w:szCs w:val="24"/>
                <w:lang w:eastAsia="zh-CN"/>
              </w:rPr>
              <w:t>月</w:t>
            </w:r>
            <w:r>
              <w:rPr>
                <w:rFonts w:hint="eastAsia" w:ascii="宋体" w:hAnsi="宋体" w:cs="宋体"/>
                <w:sz w:val="24"/>
                <w:szCs w:val="24"/>
                <w:lang w:val="en-US" w:eastAsia="zh-CN"/>
              </w:rPr>
              <w:t>21</w:t>
            </w:r>
            <w:r>
              <w:rPr>
                <w:rFonts w:hint="eastAsia" w:ascii="宋体" w:hAnsi="宋体" w:cs="宋体"/>
                <w:sz w:val="24"/>
                <w:szCs w:val="24"/>
                <w:lang w:eastAsia="zh-CN"/>
              </w:rPr>
              <w:t>日</w:t>
            </w:r>
            <w:r>
              <w:rPr>
                <w:rFonts w:hint="eastAsia" w:ascii="宋体" w:hAnsi="宋体" w:cs="宋体"/>
                <w:sz w:val="24"/>
                <w:szCs w:val="24"/>
                <w:lang w:val="en-US" w:eastAsia="zh-CN"/>
              </w:rPr>
              <w:t>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分前在“政采云”（电子交易平台）上自行上传加密的电子投标文件。投标截止时间后递交的电子投标文件，将被政采云平台拒收。</w:t>
            </w:r>
          </w:p>
          <w:p>
            <w:pPr>
              <w:keepNext w:val="0"/>
              <w:keepLines w:val="0"/>
              <w:pageBreakBefore w:val="0"/>
              <w:widowControl w:val="0"/>
              <w:kinsoku/>
              <w:wordWrap/>
              <w:overflowPunct/>
              <w:topLinePunct w:val="0"/>
              <w:bidi w:val="0"/>
              <w:adjustRightInd/>
              <w:snapToGrid w:val="0"/>
              <w:spacing w:line="400" w:lineRule="exact"/>
              <w:rPr>
                <w:rFonts w:ascii="宋体" w:hAnsi="宋体" w:cs="宋体"/>
                <w:color w:val="0D0D0D"/>
                <w:sz w:val="24"/>
              </w:rPr>
            </w:pPr>
            <w:r>
              <w:rPr>
                <w:rFonts w:hint="eastAsia" w:ascii="宋体" w:hAnsi="宋体" w:cs="宋体"/>
                <w:sz w:val="24"/>
                <w:szCs w:val="24"/>
              </w:rPr>
              <w:t>2、电子备份投标文件的递交时间：投标人应当在</w:t>
            </w:r>
            <w:r>
              <w:rPr>
                <w:rFonts w:hint="eastAsia" w:ascii="宋体" w:hAnsi="宋体" w:cs="宋体"/>
                <w:sz w:val="24"/>
                <w:szCs w:val="24"/>
                <w:lang w:eastAsia="zh-CN"/>
              </w:rPr>
              <w:t>2025年</w:t>
            </w:r>
            <w:r>
              <w:rPr>
                <w:rFonts w:hint="eastAsia" w:ascii="宋体" w:hAnsi="宋体" w:cs="宋体"/>
                <w:sz w:val="24"/>
                <w:szCs w:val="24"/>
                <w:lang w:val="en-US" w:eastAsia="zh-CN"/>
              </w:rPr>
              <w:t>5</w:t>
            </w:r>
            <w:r>
              <w:rPr>
                <w:rFonts w:hint="eastAsia" w:ascii="宋体" w:hAnsi="宋体" w:cs="宋体"/>
                <w:sz w:val="24"/>
                <w:szCs w:val="24"/>
                <w:lang w:eastAsia="zh-CN"/>
              </w:rPr>
              <w:t>月</w:t>
            </w:r>
            <w:r>
              <w:rPr>
                <w:rFonts w:hint="eastAsia" w:ascii="宋体" w:hAnsi="宋体" w:cs="宋体"/>
                <w:sz w:val="24"/>
                <w:szCs w:val="24"/>
                <w:lang w:val="en-US" w:eastAsia="zh-CN"/>
              </w:rPr>
              <w:t>21</w:t>
            </w:r>
            <w:r>
              <w:rPr>
                <w:rFonts w:hint="eastAsia" w:ascii="宋体" w:hAnsi="宋体" w:cs="宋体"/>
                <w:sz w:val="24"/>
                <w:szCs w:val="24"/>
                <w:lang w:eastAsia="zh-CN"/>
              </w:rPr>
              <w:t>日</w:t>
            </w:r>
            <w:r>
              <w:rPr>
                <w:rFonts w:hint="eastAsia" w:ascii="宋体" w:hAnsi="宋体" w:cs="宋体"/>
                <w:sz w:val="24"/>
                <w:szCs w:val="24"/>
                <w:lang w:val="en-US" w:eastAsia="zh-CN"/>
              </w:rPr>
              <w:t>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hint="eastAsia" w:ascii="宋体" w:hAnsi="宋体" w:cs="宋体"/>
                <w:color w:val="0D0D0D"/>
                <w:sz w:val="24"/>
              </w:rPr>
              <w:t>6</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lang w:eastAsia="zh-CN"/>
              </w:rPr>
              <w:t>2025年</w:t>
            </w:r>
            <w:r>
              <w:rPr>
                <w:rFonts w:hint="eastAsia" w:ascii="宋体" w:hAnsi="宋体" w:cs="宋体"/>
                <w:sz w:val="24"/>
                <w:szCs w:val="24"/>
                <w:lang w:val="en-US" w:eastAsia="zh-CN"/>
              </w:rPr>
              <w:t>5</w:t>
            </w:r>
            <w:r>
              <w:rPr>
                <w:rFonts w:hint="eastAsia" w:ascii="宋体" w:hAnsi="宋体" w:cs="宋体"/>
                <w:sz w:val="24"/>
                <w:szCs w:val="24"/>
                <w:lang w:eastAsia="zh-CN"/>
              </w:rPr>
              <w:t>月</w:t>
            </w:r>
            <w:r>
              <w:rPr>
                <w:rFonts w:hint="eastAsia" w:ascii="宋体" w:hAnsi="宋体" w:cs="宋体"/>
                <w:sz w:val="24"/>
                <w:szCs w:val="24"/>
                <w:lang w:val="en-US" w:eastAsia="zh-CN"/>
              </w:rPr>
              <w:t>21</w:t>
            </w:r>
            <w:r>
              <w:rPr>
                <w:rFonts w:hint="eastAsia" w:ascii="宋体" w:hAnsi="宋体" w:cs="宋体"/>
                <w:sz w:val="24"/>
                <w:szCs w:val="24"/>
                <w:lang w:eastAsia="zh-CN"/>
              </w:rPr>
              <w:t>日</w:t>
            </w:r>
            <w:r>
              <w:rPr>
                <w:rFonts w:hint="eastAsia" w:ascii="宋体" w:hAnsi="宋体" w:cs="宋体"/>
                <w:sz w:val="24"/>
                <w:szCs w:val="24"/>
                <w:lang w:val="en-US" w:eastAsia="zh-CN"/>
              </w:rPr>
              <w:t>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w:t>
            </w:r>
          </w:p>
          <w:p>
            <w:pPr>
              <w:keepNext w:val="0"/>
              <w:keepLines w:val="0"/>
              <w:pageBreakBefore w:val="0"/>
              <w:widowControl w:val="0"/>
              <w:kinsoku/>
              <w:wordWrap/>
              <w:overflowPunct/>
              <w:topLinePunct w:val="0"/>
              <w:bidi w:val="0"/>
              <w:adjustRightInd/>
              <w:snapToGrid w:val="0"/>
              <w:spacing w:line="400" w:lineRule="exact"/>
              <w:rPr>
                <w:rFonts w:ascii="宋体" w:hAnsi="宋体" w:cs="宋体"/>
                <w:color w:val="0D0D0D"/>
                <w:sz w:val="24"/>
              </w:rPr>
            </w:pPr>
            <w:r>
              <w:rPr>
                <w:rFonts w:hint="eastAsia" w:ascii="宋体" w:hAnsi="宋体" w:cs="宋体"/>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hint="eastAsia" w:ascii="宋体" w:hAnsi="宋体" w:cs="宋体"/>
                <w:color w:val="0D0D0D"/>
                <w:sz w:val="24"/>
              </w:rPr>
              <w:t>7</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cs="宋体"/>
                <w:color w:val="0D0D0D"/>
                <w:sz w:val="24"/>
              </w:rPr>
            </w:pPr>
            <w:r>
              <w:rPr>
                <w:rFonts w:hint="eastAsia" w:ascii="宋体" w:hAnsi="宋体" w:cs="宋体"/>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hint="eastAsia" w:ascii="宋体" w:hAnsi="宋体" w:cs="宋体"/>
                <w:color w:val="0D0D0D"/>
                <w:sz w:val="24"/>
              </w:rPr>
              <w:t>8</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cs="宋体"/>
                <w:color w:val="0D0D0D"/>
                <w:sz w:val="24"/>
              </w:rPr>
            </w:pPr>
            <w:r>
              <w:rPr>
                <w:rFonts w:hint="eastAsia" w:ascii="宋体" w:hAnsi="宋体" w:cs="宋体"/>
                <w:sz w:val="24"/>
                <w:szCs w:val="24"/>
              </w:rPr>
              <w:t>现场踏勘：投标人自行组织现场踏勘。现场踏勘所发生费用由投标方自行承担，踏勘期间发生人身或交通安全等大小事故，一切责任和经济补偿均由投标单位负责。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hint="eastAsia" w:ascii="宋体" w:hAnsi="宋体" w:cs="宋体"/>
                <w:color w:val="0D0D0D"/>
                <w:sz w:val="24"/>
              </w:rPr>
              <w:t>9</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cs="宋体"/>
                <w:color w:val="0D0D0D"/>
                <w:sz w:val="24"/>
              </w:rPr>
            </w:pPr>
            <w:r>
              <w:rPr>
                <w:rFonts w:hint="eastAsia" w:ascii="宋体" w:hAnsi="宋体" w:cs="宋体"/>
                <w:sz w:val="24"/>
                <w:szCs w:val="24"/>
              </w:rPr>
              <w:t>中标结果公告：评标结束后2天内，中标结果公告于浙江省政府采购网(</w:t>
            </w:r>
            <w:r>
              <w:rPr>
                <w:rStyle w:val="52"/>
                <w:rFonts w:hint="eastAsia" w:ascii="宋体" w:hAnsi="宋体" w:cs="宋体"/>
                <w:color w:val="auto"/>
                <w:sz w:val="24"/>
                <w:szCs w:val="24"/>
              </w:rPr>
              <w:t>https://zfcg.czt.zj.gov.cn/</w:t>
            </w:r>
            <w:r>
              <w:rPr>
                <w:rFonts w:hint="eastAsia" w:ascii="宋体" w:hAnsi="宋体" w:cs="宋体"/>
                <w:sz w:val="24"/>
                <w:szCs w:val="24"/>
              </w:rPr>
              <w:t>)、东阳市公共资源交易网(</w:t>
            </w:r>
            <w:r>
              <w:rPr>
                <w:rStyle w:val="52"/>
                <w:rFonts w:hint="eastAsia" w:ascii="宋体" w:hAnsi="宋体" w:cs="宋体"/>
                <w:color w:val="auto"/>
                <w:sz w:val="24"/>
                <w:szCs w:val="24"/>
              </w:rPr>
              <w:t>http://www.dongyang.gov.cn/ggzyjy/</w:t>
            </w:r>
            <w:r>
              <w:rPr>
                <w:rFonts w:hint="eastAsia" w:ascii="宋体" w:hAnsi="宋体" w:cs="宋体"/>
                <w:sz w:val="24"/>
                <w:szCs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0</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cs="宋体"/>
                <w:color w:val="0D0D0D"/>
                <w:sz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1</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cs="宋体"/>
                <w:color w:val="0D0D0D"/>
                <w:sz w:val="24"/>
              </w:rPr>
            </w:pPr>
            <w:r>
              <w:rPr>
                <w:rFonts w:hint="eastAsia" w:ascii="宋体" w:hAnsi="宋体" w:cs="宋体"/>
                <w:sz w:val="24"/>
                <w:szCs w:val="24"/>
              </w:rPr>
              <w:t>履约保证金：本项目</w:t>
            </w:r>
            <w:r>
              <w:rPr>
                <w:rFonts w:hint="eastAsia" w:ascii="宋体" w:hAnsi="宋体" w:cs="宋体"/>
                <w:sz w:val="24"/>
                <w:szCs w:val="24"/>
                <w:lang w:val="en-US" w:eastAsia="zh-CN"/>
              </w:rPr>
              <w:t>不设</w:t>
            </w:r>
            <w:r>
              <w:rPr>
                <w:rFonts w:hint="eastAsia" w:ascii="宋体" w:hAnsi="宋体" w:cs="宋体"/>
                <w:sz w:val="24"/>
                <w:szCs w:val="24"/>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2</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cs="宋体"/>
                <w:color w:val="0D0D0D"/>
                <w:sz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3</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eastAsia="宋体" w:cs="宋体"/>
                <w:color w:val="0D0D0D"/>
                <w:kern w:val="2"/>
                <w:sz w:val="24"/>
                <w:szCs w:val="24"/>
                <w:lang w:val="en-US" w:eastAsia="zh-CN" w:bidi="ar-SA"/>
              </w:rPr>
            </w:pPr>
            <w:r>
              <w:rPr>
                <w:rFonts w:hint="eastAsia" w:ascii="宋体" w:hAnsi="宋体" w:cs="宋体"/>
                <w:sz w:val="24"/>
                <w:szCs w:val="24"/>
              </w:rPr>
              <w:t>中标人须在领取中标通知书前向招标代理机构交纳中标服务费，中标服务费参照本投标人须知总则第五条相关约定执行计取。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4</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textAlignment w:val="bottom"/>
              <w:rPr>
                <w:rFonts w:ascii="宋体" w:hAnsi="宋体" w:cs="宋体"/>
                <w:sz w:val="24"/>
              </w:rPr>
            </w:pPr>
            <w:r>
              <w:rPr>
                <w:rFonts w:hint="eastAsia" w:ascii="宋体" w:hAnsi="宋体" w:cs="宋体"/>
                <w:sz w:val="24"/>
                <w:szCs w:val="24"/>
              </w:rPr>
              <w:t>付款方式：</w:t>
            </w:r>
            <w:r>
              <w:rPr>
                <w:rFonts w:hint="eastAsia" w:ascii="宋体" w:hAnsi="宋体" w:cs="宋体"/>
                <w:b/>
                <w:bCs/>
                <w:sz w:val="24"/>
                <w:szCs w:val="24"/>
              </w:rPr>
              <w:t>详见招标需求</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ascii="宋体" w:hAnsi="宋体" w:cs="宋体"/>
                <w:color w:val="0D0D0D"/>
                <w:sz w:val="24"/>
              </w:rPr>
            </w:pPr>
            <w:r>
              <w:rPr>
                <w:rFonts w:ascii="宋体" w:hAnsi="宋体" w:cs="宋体"/>
                <w:color w:val="0D0D0D"/>
                <w:sz w:val="24"/>
              </w:rPr>
              <w:t>1</w:t>
            </w:r>
            <w:r>
              <w:rPr>
                <w:rFonts w:hint="eastAsia" w:ascii="宋体" w:hAnsi="宋体" w:cs="宋体"/>
                <w:color w:val="0D0D0D"/>
                <w:sz w:val="24"/>
              </w:rPr>
              <w:t>5</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cs="宋体"/>
                <w:sz w:val="24"/>
              </w:rPr>
            </w:pPr>
            <w:r>
              <w:rPr>
                <w:rFonts w:hint="eastAsia" w:ascii="宋体" w:hAnsi="宋体" w:cs="宋体"/>
                <w:sz w:val="24"/>
                <w:szCs w:val="24"/>
              </w:rPr>
              <w:t>投标有效期：60天。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snapToGri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w:t>
            </w:r>
            <w:r>
              <w:rPr>
                <w:rFonts w:hint="eastAsia" w:ascii="宋体" w:hAnsi="宋体" w:eastAsia="宋体" w:cs="宋体"/>
                <w:sz w:val="24"/>
                <w:lang w:val="en-US" w:eastAsia="zh-CN"/>
              </w:rPr>
              <w:t>6</w:t>
            </w:r>
          </w:p>
        </w:tc>
        <w:tc>
          <w:tcPr>
            <w:tcW w:w="8743" w:type="dxa"/>
            <w:tcBorders>
              <w:top w:val="single" w:color="auto" w:sz="4" w:space="0"/>
              <w:left w:val="single" w:color="auto" w:sz="4" w:space="0"/>
              <w:bottom w:val="single" w:color="auto" w:sz="4" w:space="0"/>
            </w:tcBorders>
            <w:shd w:val="clear" w:color="auto" w:fill="auto"/>
            <w:vAlign w:val="center"/>
          </w:tcPr>
          <w:p>
            <w:pPr>
              <w:pageBreakBefore w:val="0"/>
              <w:widowControl w:val="0"/>
              <w:kinsoku/>
              <w:wordWrap/>
              <w:overflowPunct/>
              <w:topLinePunct w:val="0"/>
              <w:bidi w:val="0"/>
              <w:adjustRightInd/>
              <w:snapToGrid w:val="0"/>
              <w:spacing w:line="400" w:lineRule="exact"/>
              <w:rPr>
                <w:rFonts w:hint="eastAsia" w:ascii="宋体" w:hAnsi="宋体" w:eastAsia="宋体" w:cs="宋体"/>
                <w:b/>
                <w:bCs/>
                <w:sz w:val="24"/>
              </w:rPr>
            </w:pPr>
            <w:r>
              <w:rPr>
                <w:rFonts w:hint="eastAsia" w:ascii="宋体" w:hAnsi="宋体" w:eastAsia="宋体" w:cs="宋体"/>
                <w:b/>
                <w:bCs/>
                <w:sz w:val="24"/>
              </w:rPr>
              <w:t>节能产品、环境标志产品的强制采购政策</w:t>
            </w:r>
          </w:p>
          <w:p>
            <w:pPr>
              <w:pageBreakBefore w:val="0"/>
              <w:widowControl w:val="0"/>
              <w:kinsoku/>
              <w:wordWrap/>
              <w:overflowPunct/>
              <w:topLinePunct w:val="0"/>
              <w:bidi w:val="0"/>
              <w:adjustRightInd/>
              <w:snapToGrid w:val="0"/>
              <w:spacing w:line="400" w:lineRule="exact"/>
              <w:rPr>
                <w:rFonts w:hint="eastAsia" w:ascii="宋体" w:hAnsi="宋体" w:eastAsia="宋体" w:cs="宋体"/>
                <w:sz w:val="24"/>
              </w:rPr>
            </w:pPr>
            <w:r>
              <w:rPr>
                <w:rFonts w:hint="eastAsia" w:ascii="宋体" w:hAnsi="宋体" w:eastAsia="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pageBreakBefore w:val="0"/>
              <w:widowControl w:val="0"/>
              <w:kinsoku/>
              <w:wordWrap/>
              <w:overflowPunct/>
              <w:topLinePunct w:val="0"/>
              <w:bidi w:val="0"/>
              <w:adjustRightInd/>
              <w:snapToGrid w:val="0"/>
              <w:spacing w:line="400" w:lineRule="exact"/>
              <w:rPr>
                <w:rFonts w:hint="eastAsia" w:ascii="宋体" w:hAnsi="宋体" w:eastAsia="宋体" w:cs="宋体"/>
                <w:b/>
                <w:bCs/>
                <w:sz w:val="24"/>
              </w:rPr>
            </w:pPr>
            <w:r>
              <w:rPr>
                <w:rFonts w:hint="eastAsia" w:ascii="宋体" w:hAnsi="宋体" w:eastAsia="宋体" w:cs="宋体"/>
                <w:b/>
                <w:bCs/>
                <w:sz w:val="24"/>
              </w:rPr>
              <w:t>节能产品、环境标志产品的优先采购政策</w:t>
            </w:r>
          </w:p>
          <w:p>
            <w:pPr>
              <w:pageBreakBefore w:val="0"/>
              <w:widowControl w:val="0"/>
              <w:kinsoku/>
              <w:wordWrap/>
              <w:overflowPunct/>
              <w:topLinePunct w:val="0"/>
              <w:bidi w:val="0"/>
              <w:adjustRightInd/>
              <w:snapToGrid w:val="0"/>
              <w:spacing w:line="400" w:lineRule="exact"/>
              <w:rPr>
                <w:rFonts w:hint="eastAsia" w:ascii="宋体" w:hAnsi="宋体" w:eastAsia="宋体" w:cs="宋体"/>
                <w:b/>
                <w:bCs/>
                <w:kern w:val="2"/>
                <w:sz w:val="24"/>
                <w:szCs w:val="24"/>
                <w:lang w:val="en-US" w:eastAsia="zh-CN" w:bidi="ar-SA"/>
              </w:rPr>
            </w:pPr>
            <w:r>
              <w:rPr>
                <w:rFonts w:hint="eastAsia" w:ascii="宋体" w:hAnsi="宋体" w:eastAsia="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bidi w:val="0"/>
              <w:adjustRightInd/>
              <w:snapToGri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w:t>
            </w:r>
            <w:r>
              <w:rPr>
                <w:rFonts w:hint="eastAsia" w:ascii="宋体" w:hAnsi="宋体" w:eastAsia="宋体" w:cs="宋体"/>
                <w:sz w:val="24"/>
                <w:lang w:val="en-US" w:eastAsia="zh-CN"/>
              </w:rPr>
              <w:t>7</w:t>
            </w:r>
          </w:p>
        </w:tc>
        <w:tc>
          <w:tcPr>
            <w:tcW w:w="8743" w:type="dxa"/>
            <w:tcBorders>
              <w:top w:val="single" w:color="auto" w:sz="4" w:space="0"/>
              <w:left w:val="single" w:color="auto" w:sz="4" w:space="0"/>
              <w:bottom w:val="single" w:color="auto" w:sz="4" w:space="0"/>
            </w:tcBorders>
            <w:shd w:val="clear" w:color="auto" w:fill="auto"/>
            <w:vAlign w:val="center"/>
          </w:tcPr>
          <w:p>
            <w:pPr>
              <w:pStyle w:val="7"/>
              <w:pageBreakBefore w:val="0"/>
              <w:widowControl w:val="0"/>
              <w:kinsoku/>
              <w:wordWrap/>
              <w:overflowPunct/>
              <w:topLinePunct w:val="0"/>
              <w:bidi w:val="0"/>
              <w:adjustRightInd/>
              <w:spacing w:before="0" w:after="0" w:line="400" w:lineRule="exact"/>
              <w:rPr>
                <w:rFonts w:hint="eastAsia" w:ascii="宋体" w:hAnsi="宋体" w:eastAsia="宋体" w:cs="宋体"/>
                <w:sz w:val="24"/>
                <w:szCs w:val="24"/>
              </w:rPr>
            </w:pPr>
            <w:r>
              <w:rPr>
                <w:rFonts w:hint="eastAsia" w:ascii="宋体" w:hAnsi="宋体" w:eastAsia="宋体" w:cs="宋体"/>
                <w:sz w:val="24"/>
                <w:szCs w:val="24"/>
              </w:rPr>
              <w:t xml:space="preserve">节能产品：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 强制采购节能产品   </w:t>
            </w:r>
            <w:r>
              <w:rPr>
                <w:rFonts w:hint="eastAsia" w:ascii="宋体" w:hAnsi="宋体" w:eastAsia="宋体" w:cs="宋体"/>
                <w:sz w:val="24"/>
                <w:szCs w:val="24"/>
              </w:rPr>
              <w:sym w:font="Wingdings" w:char="00FE"/>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优先采购节能产品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 不适用</w:t>
            </w:r>
          </w:p>
          <w:p>
            <w:pPr>
              <w:pageBreakBefore w:val="0"/>
              <w:widowControl w:val="0"/>
              <w:kinsoku/>
              <w:wordWrap/>
              <w:overflowPunct/>
              <w:topLinePunct w:val="0"/>
              <w:bidi w:val="0"/>
              <w:adjustRightInd/>
              <w:snapToGrid w:val="0"/>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b/>
                <w:bCs/>
                <w:sz w:val="24"/>
              </w:rPr>
              <w:t xml:space="preserve">环境标志产品： </w:t>
            </w:r>
            <w:r>
              <w:rPr>
                <w:rFonts w:hint="eastAsia" w:ascii="宋体" w:hAnsi="宋体" w:eastAsia="宋体" w:cs="宋体"/>
                <w:b/>
                <w:bCs/>
                <w:sz w:val="24"/>
              </w:rPr>
              <w:sym w:font="Wingdings" w:char="00FE"/>
            </w:r>
            <w:r>
              <w:rPr>
                <w:rFonts w:hint="eastAsia" w:ascii="宋体" w:hAnsi="宋体" w:eastAsia="宋体" w:cs="宋体"/>
                <w:b/>
                <w:bCs/>
                <w:sz w:val="24"/>
              </w:rPr>
              <w:t xml:space="preserve"> 优先采购环境标志产品   </w:t>
            </w:r>
            <w:r>
              <w:rPr>
                <w:rFonts w:hint="eastAsia" w:ascii="宋体" w:hAnsi="宋体" w:eastAsia="宋体" w:cs="宋体"/>
                <w:b/>
                <w:bCs/>
                <w:sz w:val="24"/>
              </w:rPr>
              <w:sym w:font="Wingdings" w:char="00A8"/>
            </w:r>
            <w:r>
              <w:rPr>
                <w:rFonts w:hint="eastAsia" w:ascii="宋体" w:hAnsi="宋体" w:eastAsia="宋体" w:cs="宋体"/>
                <w:b/>
                <w:bCs/>
                <w:sz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D0D0D"/>
                <w:sz w:val="24"/>
                <w:lang w:val="en-US" w:eastAsia="zh-CN"/>
              </w:rPr>
            </w:pPr>
            <w:r>
              <w:rPr>
                <w:rFonts w:hint="eastAsia" w:ascii="宋体" w:hAnsi="宋体" w:cs="宋体"/>
                <w:color w:val="0D0D0D"/>
                <w:sz w:val="24"/>
                <w:lang w:val="en-US" w:eastAsia="zh-CN"/>
              </w:rPr>
              <w:t>18</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pacing w:line="400" w:lineRule="exact"/>
              <w:rPr>
                <w:rFonts w:ascii="宋体" w:hAnsi="宋体" w:cs="宋体"/>
                <w:sz w:val="24"/>
                <w:szCs w:val="24"/>
              </w:rPr>
            </w:pPr>
            <w:r>
              <w:rPr>
                <w:rFonts w:hint="eastAsia" w:ascii="宋体" w:hAnsi="宋体" w:cs="宋体"/>
                <w:sz w:val="24"/>
                <w:szCs w:val="24"/>
              </w:rPr>
              <w:t xml:space="preserve">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kern w:val="2"/>
                <w:sz w:val="24"/>
                <w:szCs w:val="24"/>
                <w:lang w:val="en-US" w:eastAsia="zh-CN" w:bidi="ar-SA"/>
              </w:rPr>
            </w:pPr>
            <w:r>
              <w:rPr>
                <w:rFonts w:hint="eastAsia" w:ascii="宋体" w:hAnsi="宋体" w:cs="宋体"/>
                <w:sz w:val="24"/>
                <w:szCs w:val="24"/>
              </w:rPr>
              <w:t>浙商银行金华东阳支行联系人：许燕  联系电话：13967983441    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D0D0D"/>
                <w:sz w:val="24"/>
                <w:lang w:val="en-US" w:eastAsia="zh-CN"/>
              </w:rPr>
            </w:pPr>
            <w:r>
              <w:rPr>
                <w:rFonts w:ascii="宋体" w:hAnsi="宋体" w:cs="宋体"/>
                <w:color w:val="0D0D0D"/>
                <w:sz w:val="24"/>
              </w:rPr>
              <w:t>1</w:t>
            </w:r>
            <w:r>
              <w:rPr>
                <w:rFonts w:hint="eastAsia" w:ascii="宋体" w:hAnsi="宋体" w:cs="宋体"/>
                <w:color w:val="0D0D0D"/>
                <w:sz w:val="24"/>
                <w:lang w:val="en-US" w:eastAsia="zh-CN"/>
              </w:rPr>
              <w:t>9</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eastAsia="宋体" w:cs="宋体"/>
                <w:color w:val="0D0D0D"/>
                <w:kern w:val="2"/>
                <w:sz w:val="24"/>
                <w:szCs w:val="24"/>
                <w:lang w:val="en-US" w:eastAsia="zh-CN" w:bidi="ar-SA"/>
              </w:rPr>
            </w:pPr>
            <w:r>
              <w:rPr>
                <w:rFonts w:hint="eastAsia" w:ascii="宋体" w:hAnsi="宋体" w:cs="宋体"/>
                <w:sz w:val="24"/>
                <w:szCs w:val="24"/>
              </w:rPr>
              <w:t>解释：本招标文件的解释权归招标采购单位。招标人对投标人的落选不作任何解释。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D0D0D"/>
                <w:sz w:val="24"/>
                <w:lang w:val="en-US" w:eastAsia="zh-CN"/>
              </w:rPr>
            </w:pPr>
            <w:r>
              <w:rPr>
                <w:rFonts w:hint="eastAsia" w:ascii="宋体" w:hAnsi="宋体" w:cs="宋体"/>
                <w:color w:val="0D0D0D"/>
                <w:sz w:val="24"/>
                <w:lang w:val="en-US" w:eastAsia="zh-CN"/>
              </w:rPr>
              <w:t>20</w:t>
            </w:r>
          </w:p>
        </w:tc>
        <w:tc>
          <w:tcPr>
            <w:tcW w:w="87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szCs w:val="24"/>
                <w:lang w:val="en-US" w:eastAsia="zh-CN"/>
              </w:rPr>
              <w:t>本项目的</w:t>
            </w:r>
            <w:r>
              <w:rPr>
                <w:rFonts w:hint="eastAsia" w:ascii="宋体" w:hAnsi="宋体" w:cs="宋体"/>
                <w:sz w:val="24"/>
                <w:szCs w:val="24"/>
                <w:lang w:eastAsia="zh-CN"/>
              </w:rPr>
              <w:t>中小</w:t>
            </w:r>
            <w:r>
              <w:rPr>
                <w:rFonts w:hint="eastAsia" w:ascii="宋体" w:hAnsi="宋体" w:cs="宋体"/>
                <w:sz w:val="24"/>
                <w:szCs w:val="24"/>
                <w:lang w:val="en-US" w:eastAsia="zh-CN"/>
              </w:rPr>
              <w:t>企业行业属于</w:t>
            </w:r>
            <w:r>
              <w:rPr>
                <w:rFonts w:hint="eastAsia" w:ascii="宋体" w:hAnsi="宋体" w:cs="宋体"/>
                <w:b/>
                <w:bCs/>
                <w:color w:val="auto"/>
                <w:sz w:val="24"/>
                <w:szCs w:val="24"/>
                <w:lang w:val="en-US" w:eastAsia="zh-CN"/>
              </w:rPr>
              <w:t>其他未列明行业</w:t>
            </w:r>
            <w:r>
              <w:rPr>
                <w:rFonts w:hint="eastAsia" w:ascii="宋体" w:hAnsi="宋体" w:cs="宋体"/>
                <w:sz w:val="24"/>
                <w:szCs w:val="24"/>
              </w:rPr>
              <w:t>。</w:t>
            </w:r>
          </w:p>
        </w:tc>
      </w:tr>
    </w:tbl>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outlineLvl w:val="1"/>
        <w:rPr>
          <w:rFonts w:hint="eastAsia" w:ascii="宋体" w:hAnsi="宋体" w:eastAsia="宋体" w:cs="宋体"/>
          <w:b/>
          <w:sz w:val="24"/>
          <w:szCs w:val="24"/>
        </w:rPr>
      </w:pPr>
      <w:r>
        <w:rPr>
          <w:rFonts w:hint="eastAsia" w:ascii="宋体" w:hAnsi="宋体" w:eastAsia="宋体" w:cs="宋体"/>
          <w:b/>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（一）适用范围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本招标文件仅适用于</w:t>
      </w:r>
      <w:r>
        <w:rPr>
          <w:rFonts w:hint="eastAsia" w:ascii="宋体" w:hAnsi="宋体" w:cs="宋体"/>
          <w:sz w:val="24"/>
          <w:szCs w:val="24"/>
          <w:u w:val="single"/>
          <w:lang w:eastAsia="zh-CN"/>
        </w:rPr>
        <w:t>2025年东阳市图书馆新增图书采购项目</w:t>
      </w:r>
      <w:r>
        <w:rPr>
          <w:rFonts w:hint="eastAsia" w:ascii="宋体" w:hAnsi="宋体" w:eastAsia="宋体" w:cs="宋体"/>
          <w:sz w:val="24"/>
          <w:szCs w:val="24"/>
        </w:rPr>
        <w:t>的招标采购。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（二）定义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1.招标采购单位系指组织本次招标的</w:t>
      </w:r>
      <w:r>
        <w:rPr>
          <w:rFonts w:hint="eastAsia" w:ascii="宋体" w:hAnsi="宋体" w:cs="宋体"/>
          <w:sz w:val="24"/>
          <w:szCs w:val="24"/>
          <w:lang w:eastAsia="zh-CN"/>
        </w:rPr>
        <w:t>东阳市图书馆</w:t>
      </w:r>
      <w:r>
        <w:rPr>
          <w:rFonts w:hint="eastAsia" w:ascii="宋体" w:hAnsi="宋体" w:eastAsia="宋体" w:cs="宋体"/>
          <w:sz w:val="24"/>
          <w:szCs w:val="24"/>
        </w:rPr>
        <w:t>(采购人)和金华市金诚招投标代理有限公司（招标方）。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2.“投标人”系指向招标方提交投标文件的单位。</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3.“产品”系指供方按招标文件规定，须向采购人提供的</w:t>
      </w:r>
      <w:r>
        <w:rPr>
          <w:rFonts w:hint="eastAsia" w:ascii="宋体" w:hAnsi="宋体" w:eastAsia="宋体" w:cs="宋体"/>
          <w:color w:val="auto"/>
          <w:sz w:val="24"/>
          <w:szCs w:val="24"/>
          <w:highlight w:val="none"/>
        </w:rPr>
        <w:t>一切设备、产品、备品备件、工具、手册、保险、税金、及其它有关技术资料和材料。</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4.“服务”系指招标文件规定投标人须承担的方案编制、</w:t>
      </w: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rPr>
        <w:t>、规划、运输、安装、维护、技术协助、培训、技术指导以及其他类似的义务</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5.“项目”系指投标人按招标文件规定向采购人提供的产品和服务。</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6.“书面形式”包括信函、传真、电报等。</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7.“▲”系指实质性要求条款。</w:t>
      </w:r>
    </w:p>
    <w:p>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（三）招标方式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（四）投标委托</w:t>
      </w:r>
    </w:p>
    <w:p>
      <w:pPr>
        <w:pStyle w:val="3"/>
        <w:keepNext w:val="0"/>
        <w:keepLines w:val="0"/>
        <w:pageBreakBefore w:val="0"/>
        <w:kinsoku/>
        <w:wordWrap/>
        <w:overflowPunct/>
        <w:topLinePunct w:val="0"/>
        <w:autoSpaceDE/>
        <w:autoSpaceDN/>
        <w:bidi w:val="0"/>
        <w:adjustRightInd/>
        <w:snapToGrid/>
        <w:spacing w:line="360" w:lineRule="auto"/>
        <w:ind w:left="0" w:leftChars="0" w:firstLine="464"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投标人代表须携带身份证件等有效证明。如投标人代表不是法定代表人，须有法定代表人出具的授权委托书。</w:t>
      </w:r>
    </w:p>
    <w:p>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（五）投标费用</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不论投标结果如何，投标人均应自行承担所有与投标有关的全部费用（招标文件有相反规定除外）。中标人须在领取中标通知书前向招标代理机构交纳中标服务费，中标服务费按以下标准计算收取。</w:t>
      </w:r>
    </w:p>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招标代理服务收费标准</w:t>
      </w:r>
    </w:p>
    <w:tbl>
      <w:tblPr>
        <w:tblStyle w:val="45"/>
        <w:tblW w:w="9082" w:type="dxa"/>
        <w:tblCellSpacing w:w="15" w:type="dxa"/>
        <w:tblInd w:w="0" w:type="dxa"/>
        <w:tblLayout w:type="fixed"/>
        <w:tblCellMar>
          <w:top w:w="15" w:type="dxa"/>
          <w:left w:w="15" w:type="dxa"/>
          <w:bottom w:w="15" w:type="dxa"/>
          <w:right w:w="15" w:type="dxa"/>
        </w:tblCellMar>
      </w:tblPr>
      <w:tblGrid>
        <w:gridCol w:w="5032"/>
        <w:gridCol w:w="4050"/>
      </w:tblGrid>
      <w:tr>
        <w:tblPrEx>
          <w:tblCellMar>
            <w:top w:w="15" w:type="dxa"/>
            <w:left w:w="15" w:type="dxa"/>
            <w:bottom w:w="15" w:type="dxa"/>
            <w:right w:w="15" w:type="dxa"/>
          </w:tblCellMar>
        </w:tblPrEx>
        <w:trPr>
          <w:trHeight w:val="300" w:hRule="atLeast"/>
          <w:tblCellSpacing w:w="15" w:type="dxa"/>
        </w:trPr>
        <w:tc>
          <w:tcPr>
            <w:tcW w:w="4987" w:type="dxa"/>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中标金额（万元）</w:t>
            </w:r>
          </w:p>
        </w:tc>
        <w:tc>
          <w:tcPr>
            <w:tcW w:w="4005" w:type="dxa"/>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rPr>
            </w:pPr>
            <w:r>
              <w:rPr>
                <w:rFonts w:hint="eastAsia" w:ascii="宋体" w:hAnsi="宋体" w:cs="宋体"/>
                <w:b/>
                <w:bCs/>
                <w:color w:val="auto"/>
                <w:kern w:val="0"/>
                <w:sz w:val="24"/>
                <w:szCs w:val="24"/>
                <w:lang w:eastAsia="zh-CN"/>
              </w:rPr>
              <w:t>货物</w:t>
            </w:r>
            <w:r>
              <w:rPr>
                <w:rFonts w:hint="eastAsia" w:ascii="宋体" w:hAnsi="宋体" w:cs="宋体"/>
                <w:b/>
                <w:bCs/>
                <w:color w:val="auto"/>
                <w:kern w:val="0"/>
                <w:sz w:val="24"/>
                <w:szCs w:val="24"/>
              </w:rPr>
              <w:t>招标</w:t>
            </w:r>
          </w:p>
        </w:tc>
      </w:tr>
      <w:tr>
        <w:tblPrEx>
          <w:tblCellMar>
            <w:top w:w="15" w:type="dxa"/>
            <w:left w:w="15" w:type="dxa"/>
            <w:bottom w:w="15" w:type="dxa"/>
            <w:right w:w="15" w:type="dxa"/>
          </w:tblCellMar>
        </w:tblPrEx>
        <w:trPr>
          <w:trHeight w:val="210" w:hRule="atLeast"/>
          <w:tblCellSpacing w:w="15" w:type="dxa"/>
        </w:trPr>
        <w:tc>
          <w:tcPr>
            <w:tcW w:w="4987" w:type="dxa"/>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100以下</w:t>
            </w:r>
          </w:p>
        </w:tc>
        <w:tc>
          <w:tcPr>
            <w:tcW w:w="4005" w:type="dxa"/>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r>
      <w:tr>
        <w:tblPrEx>
          <w:tblCellMar>
            <w:top w:w="15" w:type="dxa"/>
            <w:left w:w="15" w:type="dxa"/>
            <w:bottom w:w="15" w:type="dxa"/>
            <w:right w:w="15" w:type="dxa"/>
          </w:tblCellMar>
        </w:tblPrEx>
        <w:trPr>
          <w:trHeight w:val="210" w:hRule="atLeast"/>
          <w:tblCellSpacing w:w="15" w:type="dxa"/>
        </w:trPr>
        <w:tc>
          <w:tcPr>
            <w:tcW w:w="4987" w:type="dxa"/>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100-500</w:t>
            </w:r>
          </w:p>
        </w:tc>
        <w:tc>
          <w:tcPr>
            <w:tcW w:w="4005" w:type="dxa"/>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w:t>
            </w:r>
          </w:p>
        </w:tc>
      </w:tr>
    </w:tbl>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（六）联合体投标</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本项目接受联合体投标。</w:t>
      </w:r>
    </w:p>
    <w:p>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b/>
          <w:sz w:val="24"/>
          <w:szCs w:val="24"/>
        </w:rPr>
      </w:pPr>
      <w:r>
        <w:rPr>
          <w:rFonts w:hint="eastAsia" w:ascii="宋体" w:hAnsi="宋体" w:eastAsia="宋体" w:cs="宋体"/>
          <w:b/>
          <w:sz w:val="24"/>
          <w:szCs w:val="24"/>
        </w:rPr>
        <w:t>（七）转包与分包</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1.本项目不允许转包。</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2.本项目可以分包</w:t>
      </w:r>
      <w:r>
        <w:rPr>
          <w:rFonts w:hint="eastAsia" w:ascii="宋体" w:hAnsi="宋体" w:eastAsia="宋体" w:cs="宋体"/>
          <w:color w:val="0D0D0D"/>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（八）特别说明：</w:t>
      </w:r>
    </w:p>
    <w:p>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pPr>
        <w:pStyle w:val="27"/>
        <w:keepNext w:val="0"/>
        <w:keepLines w:val="0"/>
        <w:pageBreakBefore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非单一产品采购项目，多家投标人提供相同品牌核心产品的，按前款规定处理。</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2.（1）投标人投标所使用的资格、信誉、荣誉、业绩与企业认证必须为本法人所拥有。</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cs="宋体"/>
          <w:color w:val="auto"/>
          <w:sz w:val="24"/>
        </w:rPr>
      </w:pPr>
      <w:r>
        <w:rPr>
          <w:rFonts w:hint="eastAsia" w:ascii="宋体" w:hAnsi="宋体" w:eastAsia="宋体" w:cs="宋体"/>
          <w:color w:val="auto"/>
          <w:sz w:val="24"/>
          <w:szCs w:val="24"/>
        </w:rPr>
        <w:t>▲（2）投标人投标所使用的采购项目实施人员</w:t>
      </w:r>
      <w:r>
        <w:rPr>
          <w:rFonts w:hint="eastAsia" w:ascii="宋体" w:hAnsi="宋体" w:cs="宋体"/>
          <w:color w:val="auto"/>
          <w:sz w:val="24"/>
        </w:rPr>
        <w:t>必须为本法人员工（或必须为本法人或控股公司正式员工）。</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cs="宋体"/>
          <w:color w:val="auto"/>
          <w:sz w:val="24"/>
        </w:rPr>
      </w:pPr>
      <w:r>
        <w:rPr>
          <w:rFonts w:hint="eastAsia" w:ascii="宋体" w:hAnsi="宋体" w:cs="宋体"/>
          <w:color w:val="auto"/>
          <w:sz w:val="24"/>
        </w:rPr>
        <w:t>▲3.投标人应仔细阅读招标文件的所有内容，按照招标文件的要求提交投标文件，并对所提供的全部资料的真实性承担法律责任。</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cs="宋体"/>
          <w:color w:val="auto"/>
          <w:sz w:val="24"/>
        </w:rPr>
        <w:t>▲4.投标人在投标活动中提供任何虚假材料,其投标无效，并报监管部门查处。</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70" w:firstLineChars="196"/>
        <w:jc w:val="left"/>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（九）质疑和投诉</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1.投标人认为招标文件、招标过程或中标结果使自己的合法权益受到损害的，应在知道或者应知其权益受到损害之日起七个工作日内，</w:t>
      </w:r>
      <w:r>
        <w:rPr>
          <w:rFonts w:hint="eastAsia" w:cs="宋体"/>
          <w:b/>
          <w:bCs/>
          <w:u w:val="single"/>
        </w:rPr>
        <w:t>一次性</w:t>
      </w:r>
      <w:r>
        <w:rPr>
          <w:bCs/>
        </w:rPr>
        <w:t>以书面形式向采购人、招标方提出质疑。</w:t>
      </w:r>
      <w:r>
        <w:rPr>
          <w:rFonts w:hint="eastAsia" w:ascii="宋体" w:hAnsi="宋体" w:eastAsia="宋体" w:cs="宋体"/>
          <w:sz w:val="24"/>
          <w:szCs w:val="24"/>
        </w:rPr>
        <w:t>投标人对招标采购单位的质疑答复不满意或者招标采购单位未在规定时间内作出答复的，可以在答复期满后十五个工作日内向同级采购监管部门投诉。</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textAlignment w:val="auto"/>
        <w:outlineLvl w:val="1"/>
        <w:rPr>
          <w:rFonts w:hint="eastAsia" w:ascii="宋体" w:hAnsi="宋体" w:eastAsia="宋体" w:cs="宋体"/>
          <w:b/>
          <w:sz w:val="24"/>
          <w:szCs w:val="24"/>
        </w:rPr>
      </w:pPr>
      <w:r>
        <w:rPr>
          <w:rFonts w:hint="eastAsia" w:ascii="宋体" w:hAnsi="宋体" w:eastAsia="宋体" w:cs="宋体"/>
          <w:b/>
          <w:sz w:val="24"/>
          <w:szCs w:val="24"/>
        </w:rPr>
        <w:t>二、招标文件</w:t>
      </w:r>
    </w:p>
    <w:p>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（一）招标文件的构成。本招标文件由以下部分组成：</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1.招标公告</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2.招标需求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3.投标人须知</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4.评标办法及标准</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5.合同主要条款</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6.投标文件格式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7.本项目招标文件的澄清、答复、修改、补充的内容</w:t>
      </w:r>
    </w:p>
    <w:p>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（二）投标人的风险</w:t>
      </w:r>
    </w:p>
    <w:p>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投标人没有按照招标文件要求提供全部资料，或者投标人没有对招标文件在各方面作出实质性响应是投标人的风险，并可能导致其投标被拒绝。</w:t>
      </w:r>
    </w:p>
    <w:p>
      <w:pPr>
        <w:pStyle w:val="15"/>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70" w:firstLineChars="196"/>
        <w:textAlignment w:val="auto"/>
        <w:outlineLvl w:val="2"/>
        <w:rPr>
          <w:rFonts w:hint="eastAsia" w:ascii="宋体" w:hAnsi="宋体" w:eastAsia="宋体" w:cs="宋体"/>
          <w:b/>
          <w:sz w:val="24"/>
          <w:szCs w:val="24"/>
        </w:rPr>
      </w:pPr>
      <w:r>
        <w:rPr>
          <w:rFonts w:hint="eastAsia" w:ascii="宋体" w:hAnsi="宋体" w:eastAsia="宋体" w:cs="宋体"/>
          <w:b/>
          <w:sz w:val="24"/>
          <w:szCs w:val="24"/>
        </w:rPr>
        <w:t>（三）招标文件的澄清与修改</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投标人应认真阅读本招标文件，发现其中有误或有不合理要求的，投标人必须在</w:t>
      </w:r>
      <w:r>
        <w:rPr>
          <w:rFonts w:hint="eastAsia" w:ascii="宋体" w:hAnsi="宋体" w:eastAsia="宋体" w:cs="宋体"/>
          <w:bCs/>
          <w:sz w:val="24"/>
          <w:szCs w:val="24"/>
          <w:u w:val="single"/>
        </w:rPr>
        <w:t>202</w:t>
      </w:r>
      <w:r>
        <w:rPr>
          <w:rFonts w:hint="eastAsia" w:hAnsi="宋体" w:cs="宋体"/>
          <w:bCs/>
          <w:sz w:val="24"/>
          <w:szCs w:val="24"/>
          <w:u w:val="single"/>
          <w:lang w:val="en-US" w:eastAsia="zh-CN"/>
        </w:rPr>
        <w:t>5</w:t>
      </w:r>
      <w:r>
        <w:rPr>
          <w:rFonts w:hint="eastAsia" w:ascii="宋体" w:hAnsi="宋体" w:eastAsia="宋体" w:cs="宋体"/>
          <w:bCs/>
          <w:sz w:val="24"/>
          <w:szCs w:val="24"/>
          <w:u w:val="single"/>
        </w:rPr>
        <w:t>年</w:t>
      </w:r>
      <w:r>
        <w:rPr>
          <w:rFonts w:hint="eastAsia" w:hAnsi="宋体" w:cs="宋体"/>
          <w:bCs/>
          <w:sz w:val="24"/>
          <w:szCs w:val="24"/>
          <w:u w:val="single"/>
          <w:lang w:val="en-US" w:eastAsia="zh-CN"/>
        </w:rPr>
        <w:t>5</w:t>
      </w:r>
      <w:r>
        <w:rPr>
          <w:rFonts w:hint="eastAsia" w:ascii="宋体" w:hAnsi="宋体" w:eastAsia="宋体" w:cs="宋体"/>
          <w:bCs/>
          <w:sz w:val="24"/>
          <w:szCs w:val="24"/>
          <w:u w:val="single"/>
        </w:rPr>
        <w:t>月</w:t>
      </w:r>
      <w:r>
        <w:rPr>
          <w:rFonts w:hint="eastAsia" w:hAnsi="宋体" w:cs="宋体"/>
          <w:bCs/>
          <w:sz w:val="24"/>
          <w:szCs w:val="24"/>
          <w:u w:val="single"/>
          <w:lang w:val="en-US" w:eastAsia="zh-CN"/>
        </w:rPr>
        <w:t>19</w:t>
      </w:r>
      <w:r>
        <w:rPr>
          <w:rFonts w:hint="eastAsia" w:ascii="宋体" w:hAnsi="宋体" w:eastAsia="宋体" w:cs="宋体"/>
          <w:bCs/>
          <w:sz w:val="24"/>
          <w:szCs w:val="24"/>
          <w:u w:val="single"/>
        </w:rPr>
        <w:t>日</w:t>
      </w:r>
      <w:r>
        <w:rPr>
          <w:rFonts w:hint="eastAsia" w:ascii="宋体" w:hAnsi="宋体" w:eastAsia="宋体" w:cs="宋体"/>
          <w:bCs/>
          <w:sz w:val="24"/>
          <w:szCs w:val="24"/>
        </w:rPr>
        <w:t>1</w:t>
      </w:r>
      <w:r>
        <w:rPr>
          <w:rFonts w:hint="eastAsia" w:hAnsi="宋体" w:cs="宋体"/>
          <w:bCs/>
          <w:sz w:val="24"/>
          <w:szCs w:val="24"/>
          <w:lang w:val="en-US" w:eastAsia="zh-CN"/>
        </w:rPr>
        <w:t>7</w:t>
      </w:r>
      <w:r>
        <w:rPr>
          <w:rFonts w:hint="eastAsia" w:ascii="宋体" w:hAnsi="宋体" w:eastAsia="宋体" w:cs="宋体"/>
          <w:bCs/>
          <w:sz w:val="24"/>
          <w:szCs w:val="24"/>
        </w:rPr>
        <w:t>：00前以书面形式要求招标采购单位澄清</w:t>
      </w:r>
      <w:r>
        <w:rPr>
          <w:rFonts w:hint="eastAsia" w:ascii="宋体" w:hAnsi="宋体" w:eastAsia="宋体" w:cs="宋体"/>
          <w:sz w:val="24"/>
          <w:szCs w:val="24"/>
        </w:rPr>
        <w:t>。招标方对已发出的招标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招标文件的组成部分。</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2.招标方必须以书面形式答复投标人要求澄清的问题，并将不包含问题来源的答复书面通知所有购买招标文件的投标人，除书面答复以外的其他澄清方式及澄清内容均无效。</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3.招标文件澄清、答复、修改、补充的内容为招标文件的组成部分。当招标文件与招标文件的答复、澄清、修改、补充通知就同一内容的表述不一致时，以最后发出的书面文件为准。</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textAlignment w:val="auto"/>
        <w:outlineLvl w:val="1"/>
        <w:rPr>
          <w:rFonts w:hint="eastAsia" w:ascii="宋体" w:hAnsi="宋体" w:eastAsia="宋体" w:cs="宋体"/>
          <w:b/>
          <w:sz w:val="24"/>
          <w:szCs w:val="24"/>
        </w:rPr>
      </w:pPr>
      <w:r>
        <w:rPr>
          <w:rFonts w:hint="eastAsia" w:ascii="宋体" w:hAnsi="宋体" w:eastAsia="宋体" w:cs="宋体"/>
          <w:color w:val="0D0D0D"/>
          <w:sz w:val="24"/>
          <w:szCs w:val="24"/>
        </w:rPr>
        <w:t>4.招标文件的澄清、答复、修改或补充都应该通过本招标机构以法定形式发布，采购人非通过本机构，不得擅自澄清、答复、修改或补充招标文件。</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三、投标文件的编制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outlineLvl w:val="0"/>
        <w:rPr>
          <w:rFonts w:hint="eastAsia" w:ascii="宋体" w:hAnsi="宋体" w:eastAsia="宋体" w:cs="宋体"/>
          <w:b/>
          <w:sz w:val="24"/>
          <w:szCs w:val="24"/>
        </w:rPr>
      </w:pPr>
      <w:r>
        <w:rPr>
          <w:rFonts w:hint="eastAsia" w:ascii="宋体" w:hAnsi="宋体" w:eastAsia="宋体" w:cs="宋体"/>
          <w:b/>
          <w:sz w:val="24"/>
          <w:szCs w:val="24"/>
        </w:rPr>
        <w:t>（一）投标文件的组成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投标文件</w:t>
      </w:r>
      <w:r>
        <w:rPr>
          <w:rFonts w:hint="eastAsia" w:ascii="宋体" w:hAnsi="宋体" w:eastAsia="宋体" w:cs="宋体"/>
          <w:sz w:val="24"/>
          <w:szCs w:val="24"/>
        </w:rPr>
        <w:t>（</w:t>
      </w:r>
      <w:r>
        <w:rPr>
          <w:rFonts w:hint="eastAsia" w:ascii="宋体" w:hAnsi="宋体" w:eastAsia="宋体" w:cs="宋体"/>
          <w:b/>
          <w:sz w:val="24"/>
          <w:szCs w:val="24"/>
        </w:rPr>
        <w:t>包含电子投标文件和电子备份投标文件</w:t>
      </w:r>
      <w:r>
        <w:rPr>
          <w:rFonts w:hint="eastAsia" w:ascii="宋体" w:hAnsi="宋体" w:eastAsia="宋体" w:cs="宋体"/>
          <w:sz w:val="24"/>
          <w:szCs w:val="24"/>
        </w:rPr>
        <w:t>）</w:t>
      </w:r>
      <w:r>
        <w:rPr>
          <w:rFonts w:hint="eastAsia" w:ascii="宋体" w:hAnsi="宋体" w:eastAsia="宋体" w:cs="宋体"/>
          <w:b/>
          <w:sz w:val="24"/>
          <w:szCs w:val="24"/>
        </w:rPr>
        <w:t>由资格审查资料、资信商务及技术文件、投标报价文件三部份组成。其中电子投标文件中所须加盖公章部分均采用CA签章。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bCs/>
          <w:sz w:val="24"/>
          <w:szCs w:val="24"/>
        </w:rPr>
      </w:pPr>
      <w:r>
        <w:rPr>
          <w:rFonts w:hint="eastAsia" w:ascii="宋体" w:hAnsi="宋体" w:eastAsia="宋体" w:cs="宋体"/>
          <w:b/>
          <w:bCs/>
          <w:color w:val="000000"/>
          <w:sz w:val="24"/>
          <w:szCs w:val="24"/>
        </w:rPr>
        <w:t>1、资格审查资料</w:t>
      </w:r>
      <w:r>
        <w:rPr>
          <w:rFonts w:hint="eastAsia" w:ascii="宋体" w:hAnsi="宋体" w:eastAsia="宋体" w:cs="宋体"/>
          <w:b/>
          <w:bCs/>
          <w:sz w:val="24"/>
          <w:szCs w:val="24"/>
        </w:rPr>
        <w:t>：</w:t>
      </w:r>
    </w:p>
    <w:p>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法定代表人授权委托书及经办人身份证复印件；</w:t>
      </w:r>
    </w:p>
    <w:p>
      <w:pPr>
        <w:snapToGrid w:val="0"/>
        <w:spacing w:line="360" w:lineRule="auto"/>
        <w:ind w:firstLine="480" w:firstLineChars="200"/>
        <w:jc w:val="left"/>
        <w:rPr>
          <w:rFonts w:ascii="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中小企业声明函</w:t>
      </w:r>
      <w:r>
        <w:rPr>
          <w:rFonts w:hint="eastAsia" w:ascii="宋体" w:hAnsi="宋体" w:cs="宋体"/>
          <w:color w:val="auto"/>
          <w:spacing w:val="6"/>
          <w:sz w:val="24"/>
          <w:szCs w:val="24"/>
        </w:rPr>
        <w:t>（</w:t>
      </w:r>
      <w:r>
        <w:rPr>
          <w:rFonts w:hint="eastAsia" w:ascii="宋体" w:hAnsi="宋体" w:cs="宋体"/>
          <w:b/>
          <w:bCs/>
          <w:color w:val="auto"/>
          <w:spacing w:val="6"/>
          <w:sz w:val="24"/>
          <w:szCs w:val="24"/>
        </w:rPr>
        <w:t>如有</w:t>
      </w:r>
      <w:r>
        <w:rPr>
          <w:rFonts w:hint="eastAsia" w:ascii="宋体" w:hAnsi="宋体" w:cs="宋体"/>
          <w:color w:val="auto"/>
          <w:spacing w:val="6"/>
          <w:sz w:val="24"/>
          <w:szCs w:val="24"/>
        </w:rPr>
        <w:t>）</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2.</w:t>
      </w: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4"/>
        </w:rPr>
        <w:t>；</w:t>
      </w:r>
    </w:p>
    <w:p>
      <w:pPr>
        <w:snapToGrid w:val="0"/>
        <w:spacing w:line="360" w:lineRule="auto"/>
        <w:ind w:firstLine="504" w:firstLineChars="200"/>
        <w:jc w:val="left"/>
        <w:rPr>
          <w:rFonts w:ascii="宋体"/>
          <w:sz w:val="24"/>
          <w:szCs w:val="24"/>
        </w:rPr>
      </w:pPr>
      <w:r>
        <w:rPr>
          <w:rFonts w:hint="eastAsia" w:ascii="宋体" w:hAnsi="宋体" w:cs="宋体"/>
          <w:color w:val="auto"/>
          <w:spacing w:val="6"/>
          <w:sz w:val="24"/>
          <w:szCs w:val="24"/>
          <w:lang w:val="en-US" w:eastAsia="zh-CN"/>
        </w:rPr>
        <w:t>（4）</w:t>
      </w:r>
      <w:r>
        <w:rPr>
          <w:rFonts w:hint="eastAsia" w:ascii="宋体" w:hAnsi="宋体" w:cs="宋体"/>
          <w:color w:val="auto"/>
          <w:spacing w:val="6"/>
          <w:sz w:val="24"/>
          <w:szCs w:val="24"/>
        </w:rPr>
        <w:t>残疾人福利性单位声明函（</w:t>
      </w:r>
      <w:r>
        <w:rPr>
          <w:rFonts w:hint="eastAsia" w:ascii="宋体" w:hAnsi="宋体" w:cs="宋体"/>
          <w:b/>
          <w:bCs/>
          <w:color w:val="auto"/>
          <w:spacing w:val="6"/>
          <w:sz w:val="24"/>
          <w:szCs w:val="24"/>
        </w:rPr>
        <w:t>如有</w:t>
      </w:r>
      <w:r>
        <w:rPr>
          <w:rFonts w:hint="eastAsia" w:ascii="宋体" w:hAnsi="宋体" w:cs="宋体"/>
          <w:color w:val="auto"/>
          <w:spacing w:val="6"/>
          <w:sz w:val="24"/>
          <w:szCs w:val="24"/>
        </w:rPr>
        <w:t>）</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2.</w:t>
      </w:r>
      <w:r>
        <w:rPr>
          <w:rFonts w:hint="eastAsia" w:ascii="宋体" w:hAnsi="宋体" w:cs="宋体"/>
          <w:color w:val="auto"/>
          <w:sz w:val="24"/>
          <w:szCs w:val="24"/>
          <w:lang w:val="en-US" w:eastAsia="zh-CN"/>
        </w:rPr>
        <w:t>6</w:t>
      </w:r>
      <w:r>
        <w:rPr>
          <w:rFonts w:ascii="宋体" w:hAnsi="宋体" w:cs="宋体"/>
          <w:sz w:val="24"/>
          <w:szCs w:val="24"/>
        </w:rPr>
        <w:t>)</w:t>
      </w:r>
      <w:r>
        <w:rPr>
          <w:rFonts w:hint="eastAsia" w:ascii="宋体" w:hAnsi="宋体" w:cs="宋体"/>
          <w:sz w:val="24"/>
          <w:szCs w:val="24"/>
        </w:rPr>
        <w:t>；</w:t>
      </w:r>
    </w:p>
    <w:p>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b/>
          <w:bCs/>
          <w:sz w:val="24"/>
          <w:szCs w:val="24"/>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rPr>
          <w:rFonts w:hint="eastAsia" w:ascii="宋体" w:hAnsi="宋体" w:eastAsia="宋体" w:cs="宋体"/>
          <w:b/>
          <w:bCs/>
          <w:sz w:val="24"/>
          <w:szCs w:val="24"/>
        </w:rPr>
      </w:pPr>
      <w:r>
        <w:rPr>
          <w:rFonts w:hint="eastAsia" w:ascii="宋体" w:hAnsi="宋体" w:eastAsia="宋体" w:cs="宋体"/>
          <w:sz w:val="24"/>
          <w:szCs w:val="24"/>
        </w:rPr>
        <w:t>投标人应未被列入失信被执行人名单、重大税收违法案件当事人名单、政府采购严重违法失信行为记录名单，信用信息以投标截止日信用中国网站</w:t>
      </w:r>
      <w:r>
        <w:rPr>
          <w:rFonts w:hint="eastAsia" w:ascii="宋体" w:hAnsi="宋体" w:eastAsia="宋体" w:cs="宋体"/>
          <w:sz w:val="24"/>
          <w:szCs w:val="24"/>
          <w:lang w:val="en-US" w:eastAsia="zh-CN"/>
        </w:rPr>
        <w:t>(</w:t>
      </w:r>
      <w:r>
        <w:rPr>
          <w:rFonts w:hint="eastAsia" w:ascii="宋体" w:hAnsi="宋体" w:eastAsia="宋体" w:cs="宋体"/>
          <w:color w:val="auto"/>
          <w:sz w:val="24"/>
          <w:szCs w:val="24"/>
          <w:highlight w:val="none"/>
        </w:rPr>
        <w:t>https://www.creditchina.gov.cn/</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rPr>
        <w:t>、中国政府采购网（</w:t>
      </w:r>
      <w:r>
        <w:rPr>
          <w:rFonts w:hint="eastAsia" w:ascii="宋体" w:hAnsi="宋体" w:eastAsia="宋体" w:cs="宋体"/>
          <w:color w:val="auto"/>
          <w:sz w:val="24"/>
          <w:szCs w:val="24"/>
          <w:highlight w:val="none"/>
        </w:rPr>
        <w:t>http://www.ccgp.gov.cn/</w:t>
      </w:r>
      <w:r>
        <w:rPr>
          <w:rFonts w:hint="eastAsia" w:ascii="宋体" w:hAnsi="宋体" w:eastAsia="宋体" w:cs="宋体"/>
          <w:sz w:val="24"/>
          <w:szCs w:val="24"/>
        </w:rPr>
        <w:t>）公布为准；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b/>
          <w:sz w:val="24"/>
          <w:szCs w:val="24"/>
        </w:rPr>
      </w:pPr>
      <w:r>
        <w:rPr>
          <w:rFonts w:hint="eastAsia" w:ascii="宋体" w:hAnsi="宋体" w:eastAsia="宋体" w:cs="宋体"/>
          <w:b/>
          <w:sz w:val="24"/>
          <w:szCs w:val="24"/>
        </w:rPr>
        <w:t>2、资信商务及</w:t>
      </w:r>
      <w:r>
        <w:rPr>
          <w:rFonts w:hint="eastAsia" w:ascii="宋体" w:hAnsi="宋体" w:eastAsia="宋体" w:cs="宋体"/>
          <w:b/>
          <w:sz w:val="24"/>
          <w:szCs w:val="24"/>
          <w:lang w:eastAsia="zh-CN"/>
        </w:rPr>
        <w:t>技术</w:t>
      </w:r>
      <w:r>
        <w:rPr>
          <w:rFonts w:hint="eastAsia" w:ascii="宋体" w:hAnsi="宋体" w:eastAsia="宋体" w:cs="宋体"/>
          <w:b/>
          <w:sz w:val="24"/>
          <w:szCs w:val="24"/>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ascii="宋体" w:hAnsi="宋体"/>
          <w:color w:val="auto"/>
          <w:sz w:val="24"/>
        </w:rPr>
      </w:pPr>
      <w:r>
        <w:rPr>
          <w:rFonts w:hint="eastAsia" w:ascii="宋体" w:hAnsi="宋体"/>
          <w:sz w:val="24"/>
        </w:rPr>
        <w:t>（</w:t>
      </w:r>
      <w:r>
        <w:rPr>
          <w:rFonts w:ascii="宋体" w:hAnsi="宋体"/>
          <w:color w:val="auto"/>
          <w:sz w:val="24"/>
        </w:rPr>
        <w:t>1</w:t>
      </w:r>
      <w:r>
        <w:rPr>
          <w:rFonts w:hint="eastAsia" w:ascii="宋体" w:hAnsi="宋体"/>
          <w:color w:val="auto"/>
          <w:sz w:val="24"/>
        </w:rPr>
        <w:t>）评分响应表（格式见附件</w:t>
      </w:r>
      <w:r>
        <w:rPr>
          <w:rFonts w:hint="eastAsia" w:ascii="宋体" w:hAnsi="宋体"/>
          <w:color w:val="auto"/>
          <w:sz w:val="24"/>
          <w:lang w:val="en-US" w:eastAsia="zh-CN"/>
        </w:rPr>
        <w:t>2</w:t>
      </w:r>
      <w:r>
        <w:rPr>
          <w:rFonts w:hint="eastAsia" w:ascii="宋体" w:hAnsi="宋体"/>
          <w:color w:val="auto"/>
          <w:sz w:val="24"/>
        </w:rPr>
        <w:t>.</w:t>
      </w:r>
      <w:r>
        <w:rPr>
          <w:rFonts w:ascii="宋体" w:hAnsi="宋体"/>
          <w:color w:val="auto"/>
          <w:sz w:val="24"/>
        </w:rPr>
        <w:t>1</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）投标声明书</w:t>
      </w:r>
      <w:r>
        <w:rPr>
          <w:rFonts w:ascii="宋体" w:hAnsi="宋体"/>
          <w:color w:val="auto"/>
          <w:sz w:val="24"/>
        </w:rPr>
        <w:t>(</w:t>
      </w:r>
      <w:r>
        <w:rPr>
          <w:rFonts w:hint="eastAsia" w:ascii="宋体" w:hAnsi="宋体"/>
          <w:color w:val="auto"/>
          <w:sz w:val="24"/>
        </w:rPr>
        <w:t>格式见附件</w:t>
      </w:r>
      <w:r>
        <w:rPr>
          <w:rFonts w:hint="eastAsia" w:ascii="宋体" w:hAnsi="宋体"/>
          <w:color w:val="auto"/>
          <w:sz w:val="24"/>
          <w:lang w:val="en-US" w:eastAsia="zh-CN"/>
        </w:rPr>
        <w:t>2</w:t>
      </w:r>
      <w:r>
        <w:rPr>
          <w:rFonts w:ascii="宋体" w:hAnsi="宋体"/>
          <w:color w:val="auto"/>
          <w:sz w:val="24"/>
        </w:rPr>
        <w:t>.2)</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）法定代表人授权委托书</w:t>
      </w:r>
      <w:r>
        <w:rPr>
          <w:rFonts w:ascii="宋体" w:hAnsi="宋体"/>
          <w:color w:val="auto"/>
          <w:sz w:val="24"/>
        </w:rPr>
        <w:t>(</w:t>
      </w:r>
      <w:r>
        <w:rPr>
          <w:rFonts w:hint="eastAsia" w:ascii="宋体" w:hAnsi="宋体"/>
          <w:color w:val="auto"/>
          <w:sz w:val="24"/>
        </w:rPr>
        <w:t>格式见附件</w:t>
      </w:r>
      <w:r>
        <w:rPr>
          <w:rFonts w:hint="eastAsia" w:ascii="宋体" w:hAnsi="宋体"/>
          <w:color w:val="auto"/>
          <w:sz w:val="24"/>
          <w:lang w:val="en-US" w:eastAsia="zh-CN"/>
        </w:rPr>
        <w:t>2</w:t>
      </w:r>
      <w:r>
        <w:rPr>
          <w:rFonts w:ascii="宋体" w:hAnsi="宋体"/>
          <w:color w:val="auto"/>
          <w:sz w:val="24"/>
        </w:rPr>
        <w:t>.3)</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）投标单位情况表</w:t>
      </w:r>
      <w:r>
        <w:rPr>
          <w:rFonts w:ascii="宋体" w:hAnsi="宋体"/>
          <w:color w:val="auto"/>
          <w:sz w:val="24"/>
        </w:rPr>
        <w:t>(</w:t>
      </w:r>
      <w:r>
        <w:rPr>
          <w:rFonts w:hint="eastAsia" w:ascii="宋体" w:hAnsi="宋体"/>
          <w:color w:val="auto"/>
          <w:sz w:val="24"/>
        </w:rPr>
        <w:t>格式见附件</w:t>
      </w:r>
      <w:r>
        <w:rPr>
          <w:rFonts w:hint="eastAsia" w:ascii="宋体" w:hAnsi="宋体"/>
          <w:color w:val="auto"/>
          <w:sz w:val="24"/>
          <w:lang w:val="en-US" w:eastAsia="zh-CN"/>
        </w:rPr>
        <w:t>2</w:t>
      </w:r>
      <w:r>
        <w:rPr>
          <w:rFonts w:ascii="宋体" w:hAnsi="宋体"/>
          <w:color w:val="auto"/>
          <w:sz w:val="24"/>
        </w:rPr>
        <w:t>.4)</w:t>
      </w:r>
      <w:r>
        <w:rPr>
          <w:rFonts w:hint="eastAsia" w:ascii="宋体" w:hAnsi="宋体"/>
          <w:color w:val="auto"/>
          <w:sz w:val="24"/>
        </w:rPr>
        <w:t>；</w:t>
      </w:r>
    </w:p>
    <w:p>
      <w:pPr>
        <w:spacing w:line="360" w:lineRule="auto"/>
        <w:ind w:firstLine="470" w:firstLineChars="196"/>
        <w:jc w:val="left"/>
        <w:rPr>
          <w:rFonts w:hint="eastAsia" w:ascii="宋体" w:hAnsi="宋体" w:cs="宋体"/>
          <w:sz w:val="24"/>
        </w:rPr>
      </w:pPr>
      <w:r>
        <w:rPr>
          <w:rFonts w:hint="eastAsia" w:ascii="宋体" w:hAnsi="宋体" w:cs="宋体"/>
          <w:sz w:val="24"/>
        </w:rPr>
        <w:t>（5）营业执照副本复印件；</w:t>
      </w:r>
    </w:p>
    <w:p>
      <w:pPr>
        <w:spacing w:line="360" w:lineRule="auto"/>
        <w:ind w:firstLine="480" w:firstLineChars="200"/>
        <w:jc w:val="left"/>
        <w:rPr>
          <w:rFonts w:hint="eastAsia" w:ascii="宋体" w:hAnsi="宋体" w:cs="宋体"/>
          <w:sz w:val="24"/>
        </w:rPr>
      </w:pPr>
      <w:r>
        <w:rPr>
          <w:rFonts w:hint="eastAsia" w:ascii="宋体" w:hAnsi="宋体" w:cs="宋体"/>
          <w:sz w:val="24"/>
        </w:rPr>
        <w:t>（6）新闻出版主管部门颁发的</w:t>
      </w:r>
      <w:r>
        <w:rPr>
          <w:rFonts w:hint="eastAsia" w:ascii="宋体" w:hAnsi="宋体" w:cs="宋体"/>
          <w:sz w:val="24"/>
          <w:lang w:val="en-US" w:eastAsia="zh-CN"/>
        </w:rPr>
        <w:t>具有批发资质的</w:t>
      </w:r>
      <w:r>
        <w:rPr>
          <w:rFonts w:hint="eastAsia" w:ascii="宋体" w:hAnsi="宋体" w:cs="宋体"/>
          <w:color w:val="auto"/>
          <w:sz w:val="24"/>
        </w:rPr>
        <w:t>《出版物经营许可证》复印件；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hint="eastAsia" w:ascii="宋体"/>
          <w:color w:val="auto"/>
          <w:sz w:val="24"/>
        </w:rPr>
        <w:t>商务响应表（格式见附件</w:t>
      </w:r>
      <w:r>
        <w:rPr>
          <w:rFonts w:hint="eastAsia" w:ascii="宋体"/>
          <w:color w:val="auto"/>
          <w:sz w:val="24"/>
          <w:lang w:val="en-US" w:eastAsia="zh-CN"/>
        </w:rPr>
        <w:t>2</w:t>
      </w:r>
      <w:r>
        <w:rPr>
          <w:rFonts w:ascii="宋体"/>
          <w:color w:val="auto"/>
          <w:sz w:val="24"/>
        </w:rPr>
        <w:t>.</w:t>
      </w:r>
      <w:r>
        <w:rPr>
          <w:rFonts w:hint="eastAsia" w:ascii="宋体"/>
          <w:color w:val="auto"/>
          <w:sz w:val="24"/>
          <w:lang w:val="en-US" w:eastAsia="zh-CN"/>
        </w:rPr>
        <w:t>7</w:t>
      </w:r>
      <w:r>
        <w:rPr>
          <w:rFonts w:hint="eastAsia" w:ascii="宋体"/>
          <w:color w:val="auto"/>
          <w:sz w:val="24"/>
        </w:rPr>
        <w:t>）；</w:t>
      </w:r>
    </w:p>
    <w:p>
      <w:pPr>
        <w:spacing w:line="360" w:lineRule="auto"/>
        <w:ind w:firstLine="480" w:firstLineChars="200"/>
        <w:rPr>
          <w:rFonts w:hint="eastAsia" w:ascii="宋体" w:hAnsi="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sz w:val="24"/>
        </w:rPr>
        <w:t>项目实施人员一览表</w:t>
      </w:r>
      <w:r>
        <w:rPr>
          <w:rFonts w:hint="eastAsia" w:ascii="宋体" w:hAnsi="宋体" w:cs="宋体"/>
          <w:sz w:val="24"/>
        </w:rPr>
        <w:t>(格式见附件2.8)；</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）同类业绩(格式见附件2.9)；</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）投标单位荣誉证书等（如有）；</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）货物具体配置表（格式见附件2.10）；</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）供应商供货承诺声明（格式自拟2.11）；</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）售后服务承诺书（格式自拟）；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0D0D0D"/>
          <w:sz w:val="24"/>
          <w:szCs w:val="24"/>
        </w:rPr>
      </w:pPr>
      <w:r>
        <w:rPr>
          <w:rFonts w:hint="eastAsia" w:ascii="宋体" w:hAnsi="宋体"/>
          <w:sz w:val="24"/>
        </w:rPr>
        <w:t>（</w:t>
      </w:r>
      <w:r>
        <w:rPr>
          <w:rFonts w:hint="eastAsia" w:ascii="宋体" w:hAnsi="宋体"/>
          <w:sz w:val="24"/>
          <w:lang w:val="en-US" w:eastAsia="zh-CN"/>
        </w:rPr>
        <w:t>14</w:t>
      </w:r>
      <w:r>
        <w:rPr>
          <w:rFonts w:hint="eastAsia" w:ascii="宋体" w:hAnsi="宋体"/>
          <w:sz w:val="24"/>
        </w:rPr>
        <w:t>）</w:t>
      </w:r>
      <w:r>
        <w:rPr>
          <w:rFonts w:hint="eastAsia" w:ascii="宋体" w:hAnsi="宋体" w:eastAsia="宋体" w:cs="宋体"/>
          <w:color w:val="0D0D0D"/>
          <w:sz w:val="24"/>
          <w:szCs w:val="24"/>
          <w:lang w:val="en-US" w:eastAsia="zh-CN"/>
        </w:rPr>
        <w:t>政府采购代理机构社会评价表（附件2.1</w:t>
      </w:r>
      <w:r>
        <w:rPr>
          <w:rFonts w:hint="eastAsia" w:ascii="宋体" w:hAnsi="宋体" w:cs="宋体"/>
          <w:color w:val="0D0D0D"/>
          <w:sz w:val="24"/>
          <w:szCs w:val="24"/>
          <w:lang w:val="en-US" w:eastAsia="zh-CN"/>
        </w:rPr>
        <w:t>2</w:t>
      </w:r>
      <w:r>
        <w:rPr>
          <w:rFonts w:hint="eastAsia" w:ascii="宋体" w:hAnsi="宋体" w:eastAsia="宋体" w:cs="宋体"/>
          <w:color w:val="0D0D0D"/>
          <w:sz w:val="24"/>
          <w:szCs w:val="24"/>
          <w:lang w:val="en-US" w:eastAsia="zh-CN"/>
        </w:rPr>
        <w:t>）；</w:t>
      </w:r>
    </w:p>
    <w:p>
      <w:pPr>
        <w:keepNext w:val="0"/>
        <w:keepLines w:val="0"/>
        <w:pageBreakBefore w:val="0"/>
        <w:widowControl w:val="0"/>
        <w:kinsoku/>
        <w:wordWrap/>
        <w:overflowPunct/>
        <w:topLinePunct w:val="0"/>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color w:val="0D0D0D"/>
          <w:sz w:val="24"/>
          <w:szCs w:val="24"/>
          <w:lang w:eastAsia="zh-CN"/>
        </w:rPr>
        <w:t>（</w:t>
      </w:r>
      <w:r>
        <w:rPr>
          <w:rFonts w:hint="eastAsia" w:ascii="宋体" w:hAnsi="宋体" w:cs="宋体"/>
          <w:color w:val="0D0D0D"/>
          <w:sz w:val="24"/>
          <w:szCs w:val="24"/>
          <w:lang w:val="en-US" w:eastAsia="zh-CN"/>
        </w:rPr>
        <w:t>15</w:t>
      </w:r>
      <w:r>
        <w:rPr>
          <w:rFonts w:hint="eastAsia" w:ascii="宋体" w:hAnsi="宋体" w:eastAsia="宋体" w:cs="宋体"/>
          <w:color w:val="0D0D0D"/>
          <w:sz w:val="24"/>
          <w:szCs w:val="24"/>
          <w:lang w:eastAsia="zh-CN"/>
        </w:rPr>
        <w:t>）</w:t>
      </w:r>
      <w:r>
        <w:rPr>
          <w:rFonts w:hint="eastAsia" w:ascii="宋体" w:hAnsi="宋体" w:eastAsia="宋体" w:cs="宋体"/>
          <w:color w:val="0D0D0D"/>
          <w:sz w:val="24"/>
          <w:szCs w:val="24"/>
        </w:rPr>
        <w:t>投标人认为需要提供的其他投标文件和资料。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、报价文件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（1）投标函（格式见附件</w:t>
      </w:r>
      <w:r>
        <w:rPr>
          <w:rFonts w:hint="eastAsia" w:ascii="宋体" w:hAnsi="宋体" w:eastAsia="宋体" w:cs="宋体"/>
          <w:sz w:val="24"/>
          <w:szCs w:val="24"/>
          <w:lang w:val="en-US" w:eastAsia="zh-CN"/>
        </w:rPr>
        <w:t>3</w:t>
      </w:r>
      <w:r>
        <w:rPr>
          <w:rFonts w:hint="eastAsia" w:ascii="宋体" w:hAnsi="宋体" w:eastAsia="宋体" w:cs="宋体"/>
          <w:sz w:val="24"/>
          <w:szCs w:val="24"/>
        </w:rPr>
        <w:t>.1）；</w:t>
      </w:r>
    </w:p>
    <w:p>
      <w:pPr>
        <w:pStyle w:val="27"/>
        <w:keepNext w:val="0"/>
        <w:keepLines w:val="0"/>
        <w:pageBreakBefore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（2）开标一览表（格式见附件</w:t>
      </w:r>
      <w:r>
        <w:rPr>
          <w:rFonts w:hint="eastAsia" w:ascii="宋体" w:hAnsi="宋体" w:eastAsia="宋体" w:cs="宋体"/>
          <w:sz w:val="24"/>
          <w:szCs w:val="24"/>
          <w:lang w:val="en-US" w:eastAsia="zh-CN"/>
        </w:rPr>
        <w:t>3</w:t>
      </w:r>
      <w:r>
        <w:rPr>
          <w:rFonts w:hint="eastAsia" w:ascii="宋体" w:hAnsi="宋体" w:eastAsia="宋体" w:cs="宋体"/>
          <w:sz w:val="24"/>
          <w:szCs w:val="24"/>
        </w:rPr>
        <w:t>.2）；</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（3）投标人针对报价需要说明的其他文件和说明。</w:t>
      </w:r>
    </w:p>
    <w:p>
      <w:pPr>
        <w:keepNext w:val="0"/>
        <w:keepLines w:val="0"/>
        <w:pageBreakBefore w:val="0"/>
        <w:kinsoku/>
        <w:wordWrap/>
        <w:overflowPunct/>
        <w:topLinePunct w:val="0"/>
        <w:autoSpaceDE/>
        <w:autoSpaceDN/>
        <w:bidi w:val="0"/>
        <w:adjustRightInd/>
        <w:snapToGrid/>
        <w:spacing w:line="360" w:lineRule="auto"/>
        <w:ind w:left="0" w:leftChars="0" w:firstLine="470" w:firstLineChars="196"/>
        <w:jc w:val="left"/>
        <w:textAlignment w:val="auto"/>
        <w:outlineLvl w:val="0"/>
        <w:rPr>
          <w:rFonts w:hint="eastAsia" w:ascii="宋体" w:hAnsi="宋体" w:eastAsia="宋体" w:cs="宋体"/>
          <w:b/>
          <w:sz w:val="24"/>
          <w:szCs w:val="24"/>
        </w:rPr>
      </w:pPr>
      <w:r>
        <w:rPr>
          <w:rFonts w:hint="eastAsia" w:ascii="宋体" w:hAnsi="宋体" w:eastAsia="宋体" w:cs="宋体"/>
          <w:b/>
          <w:sz w:val="24"/>
          <w:szCs w:val="24"/>
        </w:rPr>
        <w:t>（二）投标文件的语言及计量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▲2投标计量单位，应采用中华人民共和国法定计量单位（货币单位：人民币元），否则视同未响应。</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（三）投标报价</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▲1.投标报价应按招标文件中招标需求的要求，按照相关附表格式填写。</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color w:val="000000" w:themeColor="text1"/>
          <w:highlight w:val="none"/>
          <w14:textFill>
            <w14:solidFill>
              <w14:schemeClr w14:val="tx1"/>
            </w14:solidFill>
          </w14:textFill>
        </w:rPr>
        <w:t>投标报价包括为完成本项目所需的作品设计、人工、材料、制作、安装、包装、运输、装卸、保险、售后服务、税金、利润以及为完成本项目招标文件规定的所有工作及全过程服务所涉及到的一切相关费用。投标人所报的投标报价为投标人所能承受的整个项目的最终报价，如有漏项，视同已包含在其它项目中，合同</w:t>
      </w:r>
      <w:r>
        <w:rPr>
          <w:rFonts w:hint="eastAsia" w:hAnsi="宋体" w:cs="宋体"/>
          <w:b/>
          <w:bCs/>
          <w:color w:val="000000" w:themeColor="text1"/>
          <w:highlight w:val="none"/>
          <w:lang w:eastAsia="zh-CN"/>
          <w14:textFill>
            <w14:solidFill>
              <w14:schemeClr w14:val="tx1"/>
            </w14:solidFill>
          </w14:textFill>
        </w:rPr>
        <w:t>单</w:t>
      </w:r>
      <w:r>
        <w:rPr>
          <w:rFonts w:hint="eastAsia" w:ascii="宋体" w:hAnsi="宋体" w:eastAsia="宋体" w:cs="宋体"/>
          <w:b/>
          <w:bCs/>
          <w:color w:val="000000" w:themeColor="text1"/>
          <w:highlight w:val="none"/>
          <w14:textFill>
            <w14:solidFill>
              <w14:schemeClr w14:val="tx1"/>
            </w14:solidFill>
          </w14:textFill>
        </w:rPr>
        <w:t>价不作调整。</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▲3.投标文件只允许有一个报价，有选择的或有条件的报价将不予接受。唱标价格为报价文件正本中开标一览表的报价。</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▲4.投标人的报价超出限价将做废标处理。</w:t>
      </w:r>
    </w:p>
    <w:p>
      <w:pPr>
        <w:pStyle w:val="15"/>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70" w:firstLineChars="196"/>
        <w:textAlignment w:val="auto"/>
        <w:rPr>
          <w:rFonts w:hint="eastAsia" w:ascii="宋体" w:hAnsi="宋体" w:eastAsia="宋体" w:cs="宋体"/>
          <w:b/>
          <w:sz w:val="24"/>
          <w:szCs w:val="24"/>
        </w:rPr>
      </w:pPr>
      <w:r>
        <w:rPr>
          <w:rFonts w:hint="eastAsia" w:ascii="宋体" w:hAnsi="宋体" w:eastAsia="宋体" w:cs="宋体"/>
          <w:b/>
          <w:sz w:val="24"/>
          <w:szCs w:val="24"/>
        </w:rPr>
        <w:t>（四）投标文件的有效期</w:t>
      </w:r>
    </w:p>
    <w:p>
      <w:pPr>
        <w:pStyle w:val="15"/>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▲1.自投标截止日起</w:t>
      </w:r>
      <w:r>
        <w:rPr>
          <w:rFonts w:hint="eastAsia" w:ascii="宋体" w:hAnsi="宋体" w:eastAsia="宋体" w:cs="宋体"/>
          <w:sz w:val="24"/>
          <w:szCs w:val="24"/>
          <w:u w:val="single"/>
        </w:rPr>
        <w:t>60</w:t>
      </w:r>
      <w:r>
        <w:rPr>
          <w:rFonts w:hint="eastAsia" w:ascii="宋体" w:hAnsi="宋体" w:eastAsia="宋体" w:cs="宋体"/>
          <w:sz w:val="24"/>
          <w:szCs w:val="24"/>
        </w:rPr>
        <w:t>天投标文件应保持有效。有效期不足的投标文件将被拒绝。</w:t>
      </w:r>
    </w:p>
    <w:p>
      <w:pPr>
        <w:pStyle w:val="15"/>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2.在特殊情况下，招标人可与投标人协商延长投标书的有效期，这种要求和答复均以书面形式进行。</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outlineLvl w:val="0"/>
        <w:rPr>
          <w:rFonts w:hint="eastAsia" w:ascii="宋体" w:hAnsi="宋体" w:eastAsia="宋体" w:cs="宋体"/>
          <w:b/>
          <w:sz w:val="24"/>
          <w:szCs w:val="24"/>
        </w:rPr>
      </w:pPr>
      <w:r>
        <w:rPr>
          <w:rFonts w:hint="eastAsia" w:ascii="宋体" w:hAnsi="宋体" w:eastAsia="宋体" w:cs="宋体"/>
          <w:sz w:val="24"/>
          <w:szCs w:val="24"/>
        </w:rPr>
        <w:t>3.中标人的投标文件自开标之日起至合同履行完毕止均应保持有效。</w:t>
      </w:r>
    </w:p>
    <w:p>
      <w:pPr>
        <w:keepNext w:val="0"/>
        <w:keepLines w:val="0"/>
        <w:pageBreakBefore w:val="0"/>
        <w:widowControl w:val="0"/>
        <w:kinsoku/>
        <w:wordWrap/>
        <w:overflowPunct/>
        <w:topLinePunct w:val="0"/>
        <w:autoSpaceDE/>
        <w:autoSpaceDN/>
        <w:bidi w:val="0"/>
        <w:spacing w:line="360" w:lineRule="auto"/>
        <w:ind w:left="0" w:leftChars="0" w:firstLine="352" w:firstLineChars="147"/>
        <w:jc w:val="left"/>
        <w:rPr>
          <w:rFonts w:hint="eastAsia" w:ascii="宋体" w:hAnsi="宋体" w:eastAsia="宋体" w:cs="宋体"/>
          <w:b/>
          <w:sz w:val="24"/>
          <w:szCs w:val="24"/>
        </w:rPr>
      </w:pPr>
      <w:r>
        <w:rPr>
          <w:rFonts w:hint="eastAsia" w:ascii="宋体" w:hAnsi="宋体" w:eastAsia="宋体" w:cs="宋体"/>
          <w:b/>
          <w:sz w:val="24"/>
          <w:szCs w:val="24"/>
        </w:rPr>
        <w:t>（五）投标文件的上传、递交、修改和撤回</w:t>
      </w:r>
    </w:p>
    <w:p>
      <w:pPr>
        <w:keepNext w:val="0"/>
        <w:keepLines w:val="0"/>
        <w:pageBreakBefore w:val="0"/>
        <w:widowControl w:val="0"/>
        <w:kinsoku/>
        <w:wordWrap/>
        <w:overflowPunct/>
        <w:topLinePunct w:val="0"/>
        <w:autoSpaceDE/>
        <w:autoSpaceDN/>
        <w:bidi w:val="0"/>
        <w:spacing w:line="360" w:lineRule="auto"/>
        <w:ind w:left="0" w:leftChars="0" w:firstLine="495"/>
        <w:rPr>
          <w:rFonts w:hint="eastAsia" w:ascii="宋体" w:hAnsi="宋体" w:eastAsia="宋体" w:cs="宋体"/>
          <w:sz w:val="24"/>
          <w:szCs w:val="24"/>
        </w:rPr>
      </w:pPr>
      <w:r>
        <w:rPr>
          <w:rFonts w:hint="eastAsia" w:ascii="宋体" w:hAnsi="宋体" w:eastAsia="宋体" w:cs="宋体"/>
          <w:sz w:val="24"/>
          <w:szCs w:val="24"/>
        </w:rPr>
        <w:t>1.投标人应当在投标截止时间前在“政采云”（电子交易平台）上自行上传加密的电子投标文件。</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2.未按规定上传的投标文件将被拒绝，由此造成投标文件解密失败或被误投的风险由投标人承担。</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3.投标人未在“政采云”（电子交易平台）上自行上传加密的电子投标文件，仅提交电子备份投标文件的，投标无效。</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pPr>
        <w:keepNext w:val="0"/>
        <w:keepLines w:val="0"/>
        <w:pageBreakBefore w:val="0"/>
        <w:widowControl w:val="0"/>
        <w:kinsoku/>
        <w:wordWrap/>
        <w:overflowPunct/>
        <w:topLinePunct w:val="0"/>
        <w:autoSpaceDE/>
        <w:autoSpaceDN/>
        <w:bidi w:val="0"/>
        <w:spacing w:line="360" w:lineRule="auto"/>
        <w:ind w:left="0" w:leftChars="0" w:firstLine="480" w:firstLineChars="200"/>
        <w:outlineLvl w:val="2"/>
        <w:rPr>
          <w:rFonts w:hint="eastAsia" w:ascii="宋体" w:hAnsi="宋体" w:eastAsia="宋体" w:cs="宋体"/>
          <w:b/>
          <w:sz w:val="24"/>
          <w:szCs w:val="24"/>
        </w:rPr>
      </w:pPr>
      <w:r>
        <w:rPr>
          <w:rFonts w:hint="eastAsia" w:ascii="宋体" w:hAnsi="宋体" w:eastAsia="宋体" w:cs="宋体"/>
          <w:b/>
          <w:sz w:val="24"/>
          <w:szCs w:val="24"/>
        </w:rPr>
        <w:t>（六）投标无效的情形</w:t>
      </w:r>
    </w:p>
    <w:p>
      <w:pPr>
        <w:keepNext w:val="0"/>
        <w:keepLines w:val="0"/>
        <w:pageBreakBefore w:val="0"/>
        <w:widowControl w:val="0"/>
        <w:kinsoku/>
        <w:wordWrap/>
        <w:overflowPunct/>
        <w:topLinePunct w:val="0"/>
        <w:autoSpaceDE/>
        <w:autoSpaceDN/>
        <w:bidi w:val="0"/>
        <w:spacing w:line="360" w:lineRule="auto"/>
        <w:ind w:left="0" w:leftChars="0" w:firstLine="420"/>
        <w:jc w:val="left"/>
        <w:rPr>
          <w:rFonts w:hint="eastAsia" w:ascii="宋体" w:hAnsi="宋体" w:eastAsia="宋体" w:cs="宋体"/>
          <w:sz w:val="24"/>
          <w:szCs w:val="24"/>
        </w:rPr>
      </w:pPr>
      <w:r>
        <w:rPr>
          <w:rFonts w:hint="eastAsia" w:ascii="宋体" w:hAnsi="宋体" w:eastAsia="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1.在符合性审查和</w:t>
      </w:r>
      <w:r>
        <w:rPr>
          <w:rFonts w:hint="eastAsia" w:ascii="宋体" w:hAnsi="宋体" w:eastAsia="宋体" w:cs="宋体"/>
          <w:b/>
          <w:color w:val="0D0D0D"/>
          <w:sz w:val="24"/>
          <w:szCs w:val="24"/>
        </w:rPr>
        <w:t>资信商务</w:t>
      </w:r>
      <w:r>
        <w:rPr>
          <w:rFonts w:hint="eastAsia" w:ascii="宋体" w:hAnsi="宋体" w:eastAsia="宋体" w:cs="宋体"/>
          <w:b/>
          <w:color w:val="0D0D0D"/>
          <w:sz w:val="24"/>
          <w:szCs w:val="24"/>
          <w:lang w:eastAsia="zh-CN"/>
        </w:rPr>
        <w:t>及技术</w:t>
      </w:r>
      <w:r>
        <w:rPr>
          <w:rFonts w:hint="eastAsia" w:ascii="宋体" w:hAnsi="宋体" w:eastAsia="宋体" w:cs="宋体"/>
          <w:b/>
          <w:bCs/>
          <w:sz w:val="24"/>
          <w:szCs w:val="24"/>
        </w:rPr>
        <w:t>评审时，如发现下列情形之一的，投标文件将被视为无效：</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（1）投标人仅提交电子备份投标文件的。</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（2）在开评标时出现电子投标文件无法解密或解密失败等情况，投标人未提供电子备份投标文件，无法对投标人继续进行评审的。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（3）投标人未在规定的时间内对电子询标函进行澄清回复、拒绝澄清回复或澄清回复的内容改变了投标文件的实质性内容的。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val="0"/>
          <w:bCs/>
          <w:color w:val="auto"/>
          <w:sz w:val="24"/>
          <w:szCs w:val="24"/>
        </w:rPr>
        <w:t>资信商务</w:t>
      </w:r>
      <w:r>
        <w:rPr>
          <w:rFonts w:hint="eastAsia" w:ascii="宋体" w:hAnsi="宋体" w:eastAsia="宋体" w:cs="宋体"/>
          <w:b w:val="0"/>
          <w:bCs/>
          <w:color w:val="auto"/>
          <w:sz w:val="24"/>
          <w:szCs w:val="24"/>
          <w:lang w:eastAsia="zh-CN"/>
        </w:rPr>
        <w:t>及技术</w:t>
      </w:r>
      <w:r>
        <w:rPr>
          <w:rFonts w:hint="eastAsia" w:ascii="宋体" w:hAnsi="宋体" w:eastAsia="宋体" w:cs="宋体"/>
          <w:b w:val="0"/>
          <w:bCs/>
          <w:color w:val="auto"/>
          <w:sz w:val="24"/>
          <w:szCs w:val="24"/>
        </w:rPr>
        <w:t>文件内有商务报</w:t>
      </w:r>
      <w:r>
        <w:rPr>
          <w:rFonts w:hint="eastAsia" w:ascii="宋体" w:hAnsi="宋体" w:eastAsia="宋体" w:cs="宋体"/>
          <w:color w:val="auto"/>
          <w:sz w:val="24"/>
          <w:szCs w:val="24"/>
        </w:rPr>
        <w:t>价出现的；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（5）资格证明文件不全的，或者不符合招标文件标明的资格要求的；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（6）本招标文件明确规定投标文件需要投标人签字、盖章的地方，投标人没有按招标文件的规定进行签字、盖章的,或未提供法定代表人授权委托书、投标声明书或者填写项目不齐全的，或则授权委托书无效的；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（7）投标文件的实质性内容未使用中文表述、意思表述不明确、前后矛盾或者使用计量单位不符合招标文件要求的（经评标委员会认定并允许其当场更正的笔误除外）；</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napToGrid w:val="0"/>
          <w:color w:val="auto"/>
          <w:sz w:val="24"/>
          <w:szCs w:val="24"/>
        </w:rPr>
      </w:pPr>
      <w:r>
        <w:rPr>
          <w:rFonts w:hint="eastAsia" w:ascii="宋体" w:hAnsi="宋体" w:eastAsia="宋体" w:cs="宋体"/>
          <w:color w:val="auto"/>
          <w:sz w:val="24"/>
          <w:szCs w:val="24"/>
        </w:rPr>
        <w:t>（8</w:t>
      </w:r>
      <w:r>
        <w:rPr>
          <w:rFonts w:hint="eastAsia" w:ascii="宋体" w:hAnsi="宋体" w:eastAsia="宋体" w:cs="宋体"/>
          <w:snapToGrid w:val="0"/>
          <w:color w:val="auto"/>
          <w:sz w:val="24"/>
          <w:szCs w:val="24"/>
        </w:rPr>
        <w:t>）投标有效期等商务条款不能满足招标文件要求的；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（9）未实质性响应招标文件中标有“▲”条款要求的；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（10）投标文件有招标方不能接受的附加条件的。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（11）电子投标文件未按规定要求提供电子签章的。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12</w:t>
      </w:r>
      <w:r>
        <w:rPr>
          <w:rFonts w:hint="eastAsia" w:ascii="宋体" w:hAnsi="宋体" w:eastAsia="宋体" w:cs="宋体"/>
          <w:color w:val="auto"/>
          <w:sz w:val="24"/>
          <w:szCs w:val="24"/>
        </w:rPr>
        <w:t>）未提供技术服务方案的；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）与其他参加本次投标供应商的投标文件</w:t>
      </w:r>
      <w:r>
        <w:rPr>
          <w:rFonts w:hint="eastAsia" w:ascii="宋体" w:hAnsi="宋体" w:eastAsia="宋体" w:cs="宋体"/>
          <w:b w:val="0"/>
          <w:bCs w:val="0"/>
          <w:color w:val="auto"/>
          <w:sz w:val="24"/>
          <w:szCs w:val="24"/>
        </w:rPr>
        <w:t>（资信商务</w:t>
      </w:r>
      <w:r>
        <w:rPr>
          <w:rFonts w:hint="eastAsia" w:ascii="宋体" w:hAnsi="宋体" w:eastAsia="宋体" w:cs="宋体"/>
          <w:b w:val="0"/>
          <w:bCs w:val="0"/>
          <w:color w:val="auto"/>
          <w:sz w:val="24"/>
          <w:szCs w:val="24"/>
          <w:lang w:eastAsia="zh-CN"/>
        </w:rPr>
        <w:t>及技术</w:t>
      </w:r>
      <w:r>
        <w:rPr>
          <w:rFonts w:hint="eastAsia" w:ascii="宋体" w:hAnsi="宋体" w:eastAsia="宋体" w:cs="宋体"/>
          <w:b w:val="0"/>
          <w:bCs w:val="0"/>
          <w:color w:val="auto"/>
          <w:sz w:val="24"/>
          <w:szCs w:val="24"/>
        </w:rPr>
        <w:t>文件）的文</w:t>
      </w:r>
      <w:r>
        <w:rPr>
          <w:rFonts w:hint="eastAsia" w:ascii="宋体" w:hAnsi="宋体" w:eastAsia="宋体" w:cs="宋体"/>
          <w:color w:val="auto"/>
          <w:sz w:val="24"/>
          <w:szCs w:val="24"/>
        </w:rPr>
        <w:t>字表述内容相同连续20行以上的。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b/>
          <w:bCs/>
          <w:sz w:val="24"/>
          <w:szCs w:val="24"/>
        </w:rPr>
      </w:pPr>
      <w:r>
        <w:rPr>
          <w:rFonts w:hint="eastAsia" w:hAnsi="宋体" w:cs="宋体"/>
          <w:b/>
          <w:bCs/>
          <w:sz w:val="24"/>
          <w:szCs w:val="24"/>
          <w:lang w:val="en-US" w:eastAsia="zh-CN"/>
        </w:rPr>
        <w:t>2</w:t>
      </w:r>
      <w:r>
        <w:rPr>
          <w:rFonts w:hint="eastAsia" w:ascii="宋体" w:hAnsi="宋体" w:eastAsia="宋体" w:cs="宋体"/>
          <w:b/>
          <w:bCs/>
          <w:sz w:val="24"/>
          <w:szCs w:val="24"/>
        </w:rPr>
        <w:t>.在报价评审时，如发现下列情形之一的，投标文件将被视为无效：</w:t>
      </w:r>
    </w:p>
    <w:p>
      <w:pPr>
        <w:pStyle w:val="3"/>
        <w:keepNext w:val="0"/>
        <w:keepLines w:val="0"/>
        <w:pageBreakBefore w:val="0"/>
        <w:widowControl w:val="0"/>
        <w:kinsoku/>
        <w:wordWrap/>
        <w:overflowPunct/>
        <w:topLinePunct w:val="0"/>
        <w:autoSpaceDE/>
        <w:autoSpaceDN/>
        <w:bidi w:val="0"/>
        <w:spacing w:line="360" w:lineRule="auto"/>
        <w:ind w:left="0" w:leftChars="0" w:firstLine="464" w:firstLineChars="200"/>
        <w:rPr>
          <w:rFonts w:hint="eastAsia" w:ascii="宋体" w:hAnsi="宋体" w:eastAsia="宋体" w:cs="宋体"/>
          <w:sz w:val="24"/>
          <w:szCs w:val="24"/>
        </w:rPr>
      </w:pPr>
      <w:r>
        <w:rPr>
          <w:rFonts w:hint="eastAsia" w:ascii="宋体" w:hAnsi="宋体" w:eastAsia="宋体" w:cs="宋体"/>
          <w:sz w:val="24"/>
          <w:szCs w:val="24"/>
        </w:rPr>
        <w:t>（1）投标人未在规定的时间内对电子询标函进行澄清回复、拒绝澄清回复或者澄清回复的内容改变了投标文件的实质性内容的。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（2）未按照招标文件标明的格式报价的；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（3）报价超出限价的；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（4）投标报价具有选择性的；</w:t>
      </w:r>
    </w:p>
    <w:p>
      <w:pPr>
        <w:pStyle w:val="4"/>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pPr>
        <w:pStyle w:val="4"/>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bCs/>
          <w:sz w:val="24"/>
          <w:szCs w:val="24"/>
        </w:rPr>
        <w:t>（6）电子投标文件未按规定要求提供电子签章的。</w:t>
      </w:r>
    </w:p>
    <w:p>
      <w:pPr>
        <w:pStyle w:val="3"/>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hAnsi="宋体" w:cs="宋体"/>
          <w:b/>
          <w:bCs/>
          <w:sz w:val="24"/>
          <w:szCs w:val="24"/>
          <w:lang w:val="en-US" w:eastAsia="zh-CN"/>
        </w:rPr>
        <w:t>3</w:t>
      </w:r>
      <w:r>
        <w:rPr>
          <w:rFonts w:hint="eastAsia" w:ascii="宋体" w:hAnsi="宋体" w:eastAsia="宋体" w:cs="宋体"/>
          <w:b/>
          <w:bCs/>
          <w:sz w:val="24"/>
          <w:szCs w:val="24"/>
        </w:rPr>
        <w:t>.</w:t>
      </w:r>
      <w:r>
        <w:rPr>
          <w:rFonts w:hint="eastAsia" w:hAnsi="宋体"/>
          <w:b/>
          <w:bCs/>
          <w:color w:val="auto"/>
          <w:sz w:val="24"/>
          <w:szCs w:val="24"/>
        </w:rPr>
        <w:t>根据有关法律、法规规定为无效、废标的，按法</w:t>
      </w:r>
      <w:r>
        <w:rPr>
          <w:rFonts w:hint="eastAsia" w:hAnsi="宋体"/>
          <w:b/>
          <w:bCs/>
          <w:sz w:val="24"/>
          <w:szCs w:val="24"/>
        </w:rPr>
        <w:t>律、法规规定执行</w:t>
      </w:r>
      <w:r>
        <w:rPr>
          <w:rFonts w:hint="eastAsia" w:ascii="宋体" w:hAnsi="宋体" w:eastAsia="宋体" w:cs="宋体"/>
          <w:sz w:val="24"/>
          <w:szCs w:val="24"/>
        </w:rPr>
        <w:t>。</w:t>
      </w:r>
    </w:p>
    <w:p>
      <w:pPr>
        <w:pStyle w:val="3"/>
        <w:keepNext w:val="0"/>
        <w:keepLines w:val="0"/>
        <w:pageBreakBefore w:val="0"/>
        <w:widowControl w:val="0"/>
        <w:kinsoku/>
        <w:wordWrap/>
        <w:overflowPunct/>
        <w:topLinePunct w:val="0"/>
        <w:autoSpaceDE/>
        <w:autoSpaceDN/>
        <w:bidi w:val="0"/>
        <w:spacing w:line="360" w:lineRule="auto"/>
        <w:ind w:left="0" w:leftChars="0" w:firstLine="464" w:firstLineChars="200"/>
        <w:outlineLvl w:val="1"/>
        <w:rPr>
          <w:rFonts w:hint="eastAsia" w:ascii="宋体" w:hAnsi="宋体" w:eastAsia="宋体" w:cs="宋体"/>
          <w:b/>
          <w:snapToGrid w:val="0"/>
          <w:sz w:val="24"/>
          <w:szCs w:val="24"/>
        </w:rPr>
      </w:pPr>
      <w:r>
        <w:rPr>
          <w:rFonts w:hint="eastAsia" w:ascii="宋体" w:hAnsi="宋体" w:eastAsia="宋体" w:cs="宋体"/>
          <w:b/>
          <w:sz w:val="24"/>
          <w:szCs w:val="24"/>
        </w:rPr>
        <w:t>四、开标</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70" w:firstLineChars="196"/>
        <w:rPr>
          <w:rFonts w:hint="eastAsia" w:ascii="宋体" w:hAnsi="宋体" w:eastAsia="宋体" w:cs="宋体"/>
          <w:b/>
        </w:rPr>
      </w:pPr>
      <w:r>
        <w:rPr>
          <w:rFonts w:hint="eastAsia" w:ascii="宋体" w:hAnsi="宋体" w:eastAsia="宋体" w:cs="宋体"/>
          <w:b/>
        </w:rPr>
        <w:t>（一）开标准备</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70" w:firstLineChars="196"/>
        <w:rPr>
          <w:rFonts w:hint="eastAsia" w:ascii="宋体" w:hAnsi="宋体" w:eastAsia="宋体" w:cs="宋体"/>
          <w:b/>
        </w:rPr>
      </w:pPr>
      <w:r>
        <w:rPr>
          <w:rFonts w:hint="eastAsia" w:ascii="宋体" w:hAnsi="宋体" w:eastAsia="宋体" w:cs="宋体"/>
          <w:b/>
        </w:rPr>
        <w:t>（二）开标程序：</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1.开标会由招标方主持，主持人宣布开标会议开始；</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2.主持人介绍参加开标会的人员名单；</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3.主持人宣布评标期间的有关事项；</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告知应当回避的情形,提请有关人员回避，检查投标人代表的到会情况；</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4.开标及评审程序</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4.1在开标时间截止后30分钟内由各投标人自行对投标文件进行解密；</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4.2由采购人或代理机构进行资格审查，通过资格审查的投标人进入商务技术响应文件进行评审；</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4.3系统对各投标人的商务技术进行汇总；</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4.4在系统上公开报价开标情况；</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4.5评标委员会对报价情况进行评审；</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4.6在系统上公布评审结果。</w:t>
      </w:r>
    </w:p>
    <w:p>
      <w:pPr>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特别说明：政采云公司如对电子化开标及评审程序有调整的，按调整后的程序操作。</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5.本项目采用政采云电子招投标开标及评审程序，开评标时出现电子投标文件无法解密或解密失败等情况时，采购代理机构可上传投标人的电子备份投标文件继续评审。</w:t>
      </w:r>
    </w:p>
    <w:p>
      <w:pPr>
        <w:pStyle w:val="27"/>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outlineLvl w:val="1"/>
        <w:rPr>
          <w:rFonts w:hint="eastAsia" w:ascii="宋体" w:hAnsi="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本项目</w:t>
      </w:r>
      <w:r>
        <w:rPr>
          <w:rFonts w:hint="eastAsia" w:ascii="宋体" w:hAnsi="宋体" w:cs="宋体"/>
          <w:b/>
          <w:bCs/>
          <w:color w:val="auto"/>
          <w:sz w:val="24"/>
          <w:szCs w:val="24"/>
          <w:lang w:eastAsia="zh-CN"/>
        </w:rPr>
        <w:t>设</w:t>
      </w:r>
      <w:r>
        <w:rPr>
          <w:rFonts w:hint="eastAsia" w:hAnsi="宋体" w:cs="宋体"/>
          <w:b/>
          <w:bCs/>
          <w:color w:val="auto"/>
          <w:sz w:val="24"/>
          <w:szCs w:val="24"/>
          <w:lang w:eastAsia="zh-CN"/>
        </w:rPr>
        <w:t>三</w:t>
      </w:r>
      <w:r>
        <w:rPr>
          <w:rFonts w:hint="eastAsia" w:ascii="宋体" w:hAnsi="宋体" w:cs="宋体"/>
          <w:b/>
          <w:bCs/>
          <w:color w:val="auto"/>
          <w:sz w:val="24"/>
          <w:szCs w:val="24"/>
        </w:rPr>
        <w:t>个标项，投标人可选择其中</w:t>
      </w:r>
      <w:r>
        <w:rPr>
          <w:rFonts w:hint="eastAsia" w:ascii="宋体" w:hAnsi="宋体" w:cs="宋体"/>
          <w:b/>
          <w:bCs/>
          <w:color w:val="auto"/>
          <w:sz w:val="24"/>
          <w:szCs w:val="24"/>
          <w:lang w:eastAsia="zh-CN"/>
        </w:rPr>
        <w:t>一个或者二到</w:t>
      </w:r>
      <w:r>
        <w:rPr>
          <w:rFonts w:hint="eastAsia" w:hAnsi="宋体" w:cs="宋体"/>
          <w:b/>
          <w:bCs/>
          <w:color w:val="auto"/>
          <w:sz w:val="24"/>
          <w:szCs w:val="24"/>
          <w:lang w:eastAsia="zh-CN"/>
        </w:rPr>
        <w:t>三</w:t>
      </w:r>
      <w:r>
        <w:rPr>
          <w:rFonts w:hint="eastAsia" w:ascii="宋体" w:hAnsi="宋体" w:cs="宋体"/>
          <w:b/>
          <w:bCs/>
          <w:color w:val="auto"/>
          <w:sz w:val="24"/>
          <w:szCs w:val="24"/>
        </w:rPr>
        <w:t>个标项进行投标，但</w:t>
      </w:r>
      <w:r>
        <w:rPr>
          <w:rFonts w:hint="eastAsia" w:ascii="宋体" w:hAnsi="宋体" w:cs="宋体"/>
          <w:b/>
          <w:bCs/>
          <w:color w:val="auto"/>
          <w:sz w:val="24"/>
          <w:szCs w:val="24"/>
          <w:lang w:eastAsia="zh-CN"/>
        </w:rPr>
        <w:t>每位投标人</w:t>
      </w:r>
      <w:r>
        <w:rPr>
          <w:rFonts w:hint="eastAsia" w:ascii="宋体" w:hAnsi="宋体" w:cs="宋体"/>
          <w:b/>
          <w:bCs/>
          <w:color w:val="auto"/>
          <w:sz w:val="24"/>
          <w:szCs w:val="24"/>
        </w:rPr>
        <w:t>只能中一个标项，</w:t>
      </w:r>
      <w:r>
        <w:rPr>
          <w:rFonts w:hint="eastAsia" w:ascii="宋体" w:hAnsi="宋体" w:cs="宋体"/>
          <w:b/>
          <w:bCs/>
          <w:color w:val="auto"/>
          <w:sz w:val="24"/>
          <w:szCs w:val="24"/>
          <w:lang w:eastAsia="zh-CN"/>
        </w:rPr>
        <w:t>开</w:t>
      </w:r>
      <w:r>
        <w:rPr>
          <w:rFonts w:hint="eastAsia" w:ascii="宋体" w:hAnsi="宋体" w:cs="宋体"/>
          <w:b/>
          <w:bCs/>
          <w:color w:val="auto"/>
          <w:sz w:val="24"/>
          <w:szCs w:val="24"/>
        </w:rPr>
        <w:t>标次序按标项一、标项二</w:t>
      </w:r>
      <w:r>
        <w:rPr>
          <w:rFonts w:hint="eastAsia" w:ascii="宋体" w:hAnsi="宋体" w:cs="宋体"/>
          <w:b/>
          <w:bCs/>
          <w:color w:val="auto"/>
          <w:sz w:val="24"/>
          <w:szCs w:val="24"/>
          <w:lang w:eastAsia="zh-CN"/>
        </w:rPr>
        <w:t>、标项三</w:t>
      </w:r>
      <w:r>
        <w:rPr>
          <w:rFonts w:hint="eastAsia" w:ascii="宋体" w:hAnsi="宋体" w:cs="宋体"/>
          <w:b/>
          <w:bCs/>
          <w:color w:val="auto"/>
          <w:sz w:val="24"/>
          <w:szCs w:val="24"/>
        </w:rPr>
        <w:t>进行，如</w:t>
      </w:r>
      <w:r>
        <w:rPr>
          <w:rFonts w:hint="eastAsia" w:ascii="宋体" w:hAnsi="宋体" w:cs="宋体"/>
          <w:b/>
          <w:bCs/>
          <w:color w:val="auto"/>
          <w:sz w:val="24"/>
          <w:szCs w:val="24"/>
          <w:lang w:eastAsia="zh-CN"/>
        </w:rPr>
        <w:t>投</w:t>
      </w:r>
      <w:r>
        <w:rPr>
          <w:rFonts w:hint="eastAsia" w:ascii="宋体" w:hAnsi="宋体" w:cs="宋体"/>
          <w:b/>
          <w:bCs/>
          <w:color w:val="auto"/>
          <w:sz w:val="24"/>
          <w:szCs w:val="24"/>
        </w:rPr>
        <w:t>标</w:t>
      </w:r>
      <w:r>
        <w:rPr>
          <w:rFonts w:hint="eastAsia" w:ascii="宋体" w:hAnsi="宋体" w:cs="宋体"/>
          <w:b/>
          <w:bCs/>
          <w:color w:val="auto"/>
          <w:sz w:val="24"/>
          <w:szCs w:val="24"/>
          <w:lang w:eastAsia="zh-CN"/>
        </w:rPr>
        <w:t>人</w:t>
      </w:r>
      <w:r>
        <w:rPr>
          <w:rFonts w:hint="eastAsia" w:ascii="宋体" w:hAnsi="宋体" w:cs="宋体"/>
          <w:b/>
          <w:bCs/>
          <w:color w:val="auto"/>
          <w:sz w:val="24"/>
          <w:szCs w:val="24"/>
        </w:rPr>
        <w:t>已中</w:t>
      </w:r>
      <w:r>
        <w:rPr>
          <w:rFonts w:hint="eastAsia" w:ascii="宋体" w:hAnsi="宋体" w:cs="宋体"/>
          <w:b/>
          <w:bCs/>
          <w:color w:val="auto"/>
          <w:sz w:val="24"/>
          <w:szCs w:val="24"/>
          <w:lang w:eastAsia="zh-CN"/>
        </w:rPr>
        <w:t>其中某一个</w:t>
      </w:r>
      <w:r>
        <w:rPr>
          <w:rFonts w:hint="eastAsia" w:ascii="宋体" w:hAnsi="宋体" w:cs="宋体"/>
          <w:b/>
          <w:bCs/>
          <w:color w:val="auto"/>
          <w:sz w:val="24"/>
          <w:szCs w:val="24"/>
        </w:rPr>
        <w:t>标项，则自动失去</w:t>
      </w:r>
      <w:r>
        <w:rPr>
          <w:rFonts w:hint="eastAsia" w:ascii="宋体" w:hAnsi="宋体" w:cs="宋体"/>
          <w:b/>
          <w:bCs/>
          <w:color w:val="auto"/>
          <w:sz w:val="24"/>
          <w:szCs w:val="24"/>
          <w:lang w:eastAsia="zh-CN"/>
        </w:rPr>
        <w:t>剩余</w:t>
      </w:r>
      <w:r>
        <w:rPr>
          <w:rFonts w:hint="eastAsia" w:ascii="宋体" w:hAnsi="宋体" w:cs="宋体"/>
          <w:b/>
          <w:bCs/>
          <w:color w:val="auto"/>
          <w:sz w:val="24"/>
          <w:szCs w:val="24"/>
        </w:rPr>
        <w:t>标项的</w:t>
      </w:r>
      <w:r>
        <w:rPr>
          <w:rFonts w:hint="eastAsia" w:ascii="宋体" w:hAnsi="宋体" w:cs="宋体"/>
          <w:b/>
          <w:bCs/>
          <w:color w:val="auto"/>
          <w:sz w:val="24"/>
          <w:szCs w:val="24"/>
          <w:lang w:eastAsia="zh-CN"/>
        </w:rPr>
        <w:t>中标</w:t>
      </w:r>
      <w:r>
        <w:rPr>
          <w:rFonts w:hint="eastAsia" w:ascii="宋体" w:hAnsi="宋体" w:cs="宋体"/>
          <w:b/>
          <w:bCs/>
          <w:color w:val="auto"/>
          <w:sz w:val="24"/>
          <w:szCs w:val="24"/>
        </w:rPr>
        <w:t>资格</w:t>
      </w:r>
      <w:r>
        <w:rPr>
          <w:rFonts w:hint="eastAsia" w:ascii="宋体" w:hAnsi="宋体" w:cs="宋体"/>
          <w:b/>
          <w:bCs/>
          <w:color w:val="auto"/>
          <w:sz w:val="24"/>
          <w:szCs w:val="24"/>
          <w:lang w:eastAsia="zh-CN"/>
        </w:rPr>
        <w:t>，</w:t>
      </w:r>
      <w:r>
        <w:rPr>
          <w:rFonts w:hint="eastAsia" w:ascii="宋体" w:hAnsi="宋体" w:cs="宋体"/>
          <w:b/>
          <w:bCs/>
          <w:color w:val="auto"/>
          <w:sz w:val="24"/>
          <w:szCs w:val="24"/>
        </w:rPr>
        <w:t>且不再进入余下标项的评审。</w:t>
      </w:r>
    </w:p>
    <w:p>
      <w:pPr>
        <w:pStyle w:val="27"/>
        <w:keepNext w:val="0"/>
        <w:keepLines w:val="0"/>
        <w:pageBreakBefore w:val="0"/>
        <w:widowControl w:val="0"/>
        <w:kinsoku/>
        <w:wordWrap/>
        <w:overflowPunct/>
        <w:topLinePunct w:val="0"/>
        <w:autoSpaceDE/>
        <w:autoSpaceDN/>
        <w:bidi w:val="0"/>
        <w:spacing w:beforeLines="0" w:afterLines="0" w:line="360" w:lineRule="auto"/>
        <w:ind w:firstLine="480" w:firstLineChars="200"/>
        <w:outlineLvl w:val="1"/>
        <w:rPr>
          <w:rFonts w:hint="eastAsia" w:ascii="宋体" w:hAnsi="宋体" w:eastAsia="宋体" w:cs="宋体"/>
          <w:b/>
        </w:rPr>
      </w:pPr>
      <w:r>
        <w:rPr>
          <w:rFonts w:hint="eastAsia" w:ascii="宋体" w:hAnsi="宋体" w:eastAsia="宋体" w:cs="宋体"/>
          <w:b/>
        </w:rPr>
        <w:t>五、评标</w:t>
      </w:r>
    </w:p>
    <w:p>
      <w:pPr>
        <w:pStyle w:val="27"/>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b/>
        </w:rPr>
      </w:pPr>
      <w:r>
        <w:rPr>
          <w:rFonts w:hint="eastAsia" w:ascii="宋体" w:hAnsi="宋体" w:eastAsia="宋体" w:cs="宋体"/>
          <w:b/>
        </w:rPr>
        <w:t>（一）组建评标委员会</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本项目评标委员会由政府采购评审专家</w:t>
      </w:r>
      <w:r>
        <w:rPr>
          <w:rFonts w:hint="eastAsia" w:ascii="宋体" w:hAnsi="宋体" w:eastAsia="宋体" w:cs="宋体"/>
          <w:u w:val="single"/>
        </w:rPr>
        <w:t>4</w:t>
      </w:r>
      <w:r>
        <w:rPr>
          <w:rFonts w:hint="eastAsia" w:ascii="宋体" w:hAnsi="宋体" w:eastAsia="宋体" w:cs="宋体"/>
        </w:rPr>
        <w:t>人和采购人代表</w:t>
      </w:r>
      <w:r>
        <w:rPr>
          <w:rFonts w:hint="eastAsia" w:ascii="宋体" w:hAnsi="宋体" w:eastAsia="宋体" w:cs="宋体"/>
          <w:u w:val="single"/>
        </w:rPr>
        <w:t>1</w:t>
      </w:r>
      <w:r>
        <w:rPr>
          <w:rFonts w:hint="eastAsia" w:ascii="宋体" w:hAnsi="宋体" w:eastAsia="宋体" w:cs="宋体"/>
        </w:rPr>
        <w:t>人,共</w:t>
      </w:r>
      <w:r>
        <w:rPr>
          <w:rFonts w:hint="eastAsia" w:ascii="宋体" w:hAnsi="宋体" w:eastAsia="宋体" w:cs="宋体"/>
          <w:u w:val="single"/>
        </w:rPr>
        <w:t>5</w:t>
      </w:r>
      <w:r>
        <w:rPr>
          <w:rFonts w:hint="eastAsia" w:ascii="宋体" w:hAnsi="宋体" w:eastAsia="宋体" w:cs="宋体"/>
        </w:rPr>
        <w:t>人组成。</w:t>
      </w:r>
    </w:p>
    <w:p>
      <w:pPr>
        <w:pStyle w:val="27"/>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b/>
        </w:rPr>
      </w:pPr>
      <w:r>
        <w:rPr>
          <w:rFonts w:hint="eastAsia" w:ascii="宋体" w:hAnsi="宋体" w:eastAsia="宋体" w:cs="宋体"/>
          <w:b/>
        </w:rPr>
        <w:t>（二）评标的方式</w:t>
      </w:r>
    </w:p>
    <w:p>
      <w:pPr>
        <w:pStyle w:val="27"/>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rPr>
      </w:pPr>
      <w:r>
        <w:rPr>
          <w:rFonts w:hint="eastAsia" w:ascii="宋体" w:hAnsi="宋体" w:eastAsia="宋体" w:cs="宋体"/>
        </w:rPr>
        <w:t>本项目采用不公开方式评标，评标的依据为招标文件和投标文件。</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b/>
        </w:rPr>
      </w:pPr>
      <w:r>
        <w:rPr>
          <w:rFonts w:hint="eastAsia" w:ascii="宋体" w:hAnsi="宋体" w:eastAsia="宋体" w:cs="宋体"/>
          <w:b/>
        </w:rPr>
        <w:t>（三）</w:t>
      </w:r>
      <w:r>
        <w:rPr>
          <w:rFonts w:hint="eastAsia" w:ascii="宋体" w:hAnsi="宋体" w:eastAsia="宋体" w:cs="宋体"/>
          <w:b/>
          <w:bCs/>
        </w:rPr>
        <w:t>评标程序</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b/>
          <w:bCs/>
          <w:sz w:val="24"/>
          <w:szCs w:val="24"/>
        </w:rPr>
      </w:pPr>
      <w:r>
        <w:rPr>
          <w:rFonts w:hint="eastAsia" w:ascii="宋体" w:hAnsi="宋体" w:eastAsia="宋体" w:cs="宋体"/>
          <w:b/>
          <w:bCs/>
          <w:sz w:val="24"/>
          <w:szCs w:val="24"/>
        </w:rPr>
        <w:t xml:space="preserve"> 1.形式审查</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b/>
          <w:sz w:val="24"/>
          <w:szCs w:val="24"/>
        </w:rPr>
      </w:pPr>
      <w:r>
        <w:rPr>
          <w:rFonts w:hint="eastAsia" w:ascii="宋体" w:hAnsi="宋体" w:eastAsia="宋体" w:cs="宋体"/>
          <w:sz w:val="24"/>
          <w:szCs w:val="24"/>
        </w:rPr>
        <w:t>招标方工作人员对投标人的资格和投标文件的完整性、合法性等进行审查。</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b/>
          <w:bCs/>
          <w:sz w:val="24"/>
          <w:szCs w:val="24"/>
        </w:rPr>
      </w:pPr>
      <w:r>
        <w:rPr>
          <w:rFonts w:hint="eastAsia" w:ascii="宋体" w:hAnsi="宋体" w:eastAsia="宋体" w:cs="宋体"/>
          <w:b/>
          <w:bCs/>
          <w:sz w:val="24"/>
          <w:szCs w:val="24"/>
        </w:rPr>
        <w:t xml:space="preserve"> 2.实质审查与比较</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（1）评标委员会审查投标文件的实质性内容是否符合招标文件实质性要求。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投标人代表未到场或者拒绝澄清或者澄清的内容改变了投标文件的实质性内容的，评标委员会有权对该投标文件作出不利于投标人的评判。</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（3）技术、商务、资信及其他分按照评标委员会成员的独立评分结果的算术平均分计算，由指定专人进行计算复核。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（4）招标方工作人员协助评标委员会审核投标报价有无计算错误，并根据本项目的评分标准计算各投标人的报价得分。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（5）采购人、采购代理机构不得向评审委员会的评审专家作倾向性、误导性的解释或者说明。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（7）评审专家在评审过程中不得将自己的观点强加给其他评审专家，评审专家应自主发表见解，对评审意见承担个人责任。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（8）评标委员会完成评标后,招标方工作人员对各部分得分汇总,计算出本项目最终得分。评标委员会按评标原则推荐中标候选人并起草评标报告。</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b/>
          <w:sz w:val="24"/>
          <w:szCs w:val="24"/>
        </w:rPr>
      </w:pPr>
      <w:r>
        <w:rPr>
          <w:rFonts w:hint="eastAsia" w:ascii="宋体" w:hAnsi="宋体" w:eastAsia="宋体" w:cs="宋体"/>
          <w:b/>
          <w:sz w:val="24"/>
          <w:szCs w:val="24"/>
        </w:rPr>
        <w:t>（四）澄清问题的形式</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pPr>
        <w:pStyle w:val="27"/>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b/>
        </w:rPr>
      </w:pPr>
      <w:r>
        <w:rPr>
          <w:rFonts w:hint="eastAsia" w:ascii="宋体" w:hAnsi="宋体" w:eastAsia="宋体" w:cs="宋体"/>
          <w:b/>
        </w:rPr>
        <w:t>（五）错误修正</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投标文件如果出现计算或表达上的错误，修正错误的原则如下：</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1.投标文件的大写金额和小写金额不一致的，以大写金额为准；</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2.总价金额与按单价汇总金额不一致的，以单价金额计算结果为准；</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3.对不同文字文本投标文件的解释发生异议的，以中文文本为准。</w:t>
      </w:r>
    </w:p>
    <w:p>
      <w:pPr>
        <w:pStyle w:val="27"/>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0" w:firstLineChars="196"/>
        <w:rPr>
          <w:rFonts w:hint="eastAsia" w:ascii="宋体" w:hAnsi="宋体" w:eastAsia="宋体" w:cs="宋体"/>
          <w:b/>
          <w:bCs/>
        </w:rPr>
      </w:pPr>
      <w:r>
        <w:rPr>
          <w:rFonts w:hint="eastAsia" w:ascii="宋体" w:hAnsi="宋体" w:eastAsia="宋体" w:cs="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7"/>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0" w:firstLineChars="196"/>
        <w:rPr>
          <w:rFonts w:hint="eastAsia" w:ascii="宋体" w:hAnsi="宋体" w:eastAsia="宋体" w:cs="宋体"/>
          <w:b/>
          <w:sz w:val="24"/>
          <w:szCs w:val="24"/>
        </w:rPr>
      </w:pPr>
      <w:r>
        <w:rPr>
          <w:rFonts w:hint="eastAsia" w:ascii="宋体" w:hAnsi="宋体" w:eastAsia="宋体" w:cs="宋体"/>
          <w:b/>
          <w:sz w:val="24"/>
          <w:szCs w:val="24"/>
        </w:rPr>
        <w:t>（六）评标原则、办法及依据</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2.评标办法。本项目评标办法是</w:t>
      </w:r>
      <w:r>
        <w:rPr>
          <w:rFonts w:hint="eastAsia" w:ascii="宋体" w:hAnsi="宋体" w:eastAsia="宋体" w:cs="宋体"/>
          <w:sz w:val="24"/>
          <w:szCs w:val="24"/>
          <w:u w:val="single"/>
        </w:rPr>
        <w:t>综合评分法</w:t>
      </w:r>
      <w:r>
        <w:rPr>
          <w:rFonts w:hint="eastAsia" w:ascii="宋体" w:hAnsi="宋体" w:eastAsia="宋体" w:cs="宋体"/>
          <w:sz w:val="24"/>
          <w:szCs w:val="24"/>
        </w:rPr>
        <w:t>，具体评标内容及评分标准等详见《第四章：评标办法及评分标准》。</w:t>
      </w:r>
    </w:p>
    <w:p>
      <w:pPr>
        <w:pStyle w:val="27"/>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3.评标依据：评标委员会决定投标的响应性只根据投标文件的内容，而不寻求外部的证据。</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（七）评标过程的监控</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本项目评标过程实行全程录音、录像监控，投标人在评标过程中所进行的试图影响评标结果的不公正活动，可能导致其投标被拒绝。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（八）其他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1、电子交易平台发生故障而无法登录访问的；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4、病毒发作导致不能进行正常操作的；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出现前款规定情形，不影响采购公平、公正性的，采购组织机构可以待上述情形消除后继续组织电子交易活动；影响或可能影响采购公平、公正性的，应当重新采购。</w:t>
      </w:r>
    </w:p>
    <w:p>
      <w:pPr>
        <w:pStyle w:val="27"/>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outlineLvl w:val="1"/>
        <w:rPr>
          <w:rFonts w:hint="eastAsia" w:ascii="宋体" w:hAnsi="宋体" w:eastAsia="宋体" w:cs="宋体"/>
          <w:b/>
          <w:sz w:val="24"/>
          <w:szCs w:val="24"/>
        </w:rPr>
      </w:pPr>
      <w:r>
        <w:rPr>
          <w:rFonts w:hint="eastAsia" w:hAnsi="宋体" w:cs="宋体"/>
          <w:b/>
          <w:sz w:val="24"/>
          <w:szCs w:val="24"/>
          <w:lang w:eastAsia="zh-CN"/>
        </w:rPr>
        <w:t>六、</w:t>
      </w:r>
      <w:r>
        <w:rPr>
          <w:rFonts w:hint="eastAsia" w:ascii="宋体" w:hAnsi="宋体" w:eastAsia="宋体" w:cs="宋体"/>
          <w:b/>
          <w:sz w:val="24"/>
          <w:szCs w:val="24"/>
        </w:rPr>
        <w:t>定标</w:t>
      </w:r>
    </w:p>
    <w:p>
      <w:pPr>
        <w:pStyle w:val="27"/>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b/>
          <w:bCs/>
          <w:sz w:val="24"/>
          <w:szCs w:val="24"/>
        </w:rPr>
        <w:t>（一）确定中标人。本项目由采购人授权评标委员会确定中标人。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bCs/>
          <w:color w:val="auto"/>
          <w:sz w:val="24"/>
          <w:szCs w:val="24"/>
        </w:rPr>
      </w:pPr>
      <w:r>
        <w:rPr>
          <w:rFonts w:hint="eastAsia" w:ascii="宋体" w:hAnsi="宋体" w:cs="宋体"/>
          <w:color w:val="auto"/>
          <w:sz w:val="24"/>
          <w:szCs w:val="24"/>
        </w:rPr>
        <w:t>▲</w:t>
      </w:r>
      <w:r>
        <w:rPr>
          <w:rFonts w:hint="eastAsia" w:ascii="宋体" w:hAnsi="宋体" w:cs="宋体"/>
          <w:b/>
          <w:bCs/>
          <w:color w:val="auto"/>
          <w:sz w:val="24"/>
          <w:szCs w:val="24"/>
        </w:rPr>
        <w:t>根据本项目的实际，本项目分</w:t>
      </w:r>
      <w:r>
        <w:rPr>
          <w:rFonts w:hint="eastAsia" w:ascii="宋体" w:hAnsi="宋体" w:cs="宋体"/>
          <w:b/>
          <w:bCs/>
          <w:color w:val="auto"/>
          <w:sz w:val="24"/>
          <w:szCs w:val="24"/>
          <w:lang w:eastAsia="zh-CN"/>
        </w:rPr>
        <w:t>三</w:t>
      </w:r>
      <w:r>
        <w:rPr>
          <w:rFonts w:hint="eastAsia" w:ascii="宋体" w:hAnsi="宋体" w:cs="宋体"/>
          <w:b/>
          <w:bCs/>
          <w:color w:val="auto"/>
          <w:sz w:val="24"/>
          <w:szCs w:val="24"/>
        </w:rPr>
        <w:t>个标项确定</w:t>
      </w:r>
      <w:r>
        <w:rPr>
          <w:rFonts w:hint="eastAsia" w:ascii="宋体" w:hAnsi="宋体" w:cs="宋体"/>
          <w:b/>
          <w:bCs/>
          <w:color w:val="auto"/>
          <w:sz w:val="24"/>
          <w:szCs w:val="24"/>
          <w:lang w:eastAsia="zh-CN"/>
        </w:rPr>
        <w:t>三</w:t>
      </w:r>
      <w:r>
        <w:rPr>
          <w:rFonts w:hint="eastAsia" w:ascii="宋体" w:hAnsi="宋体" w:cs="宋体"/>
          <w:b/>
          <w:bCs/>
          <w:color w:val="auto"/>
          <w:sz w:val="24"/>
          <w:szCs w:val="24"/>
        </w:rPr>
        <w:t>名中标人（每个标项的中标人不重复）。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1.出现下列情形之一的，采购单位或评标委员会可以直接确定排名第二的候选供应商为中标</w:t>
      </w:r>
      <w:r>
        <w:rPr>
          <w:rFonts w:hint="eastAsia" w:ascii="宋体" w:hAnsi="宋体" w:cs="宋体"/>
          <w:sz w:val="24"/>
          <w:szCs w:val="24"/>
          <w:lang w:eastAsia="zh-CN"/>
        </w:rPr>
        <w:t>中标人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w:t>
      </w:r>
      <w:r>
        <w:rPr>
          <w:rFonts w:hint="eastAsia" w:ascii="宋体" w:hAnsi="宋体" w:eastAsia="宋体" w:cs="宋体"/>
          <w:sz w:val="24"/>
          <w:szCs w:val="24"/>
        </w:rPr>
        <w:t>重新进行招投标。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（1）排名第一的候选供应商，因自身原因放弃中标成交或因不可抗力不能履行合同的；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（2）经质疑，采购组织机构审查确认因排名第一的候选供应商在本次采购活动中存在违法违规行为或其他原因使质疑成立的。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2.招标方在评标结束后2个工作日内将评标报告交采购人确认，并在采购人确认中标人之日起2个工作日内，在发布招标公告的网站上对中标结果进行公告。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3.投标人对评标结果无异议的，采购人应在收到评标报告后5个工作日内对评标结果进行确认。如有投标人对评标结果提出质疑的，采购人可在质疑处理完毕后确定中标人。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D0D0D"/>
          <w:sz w:val="24"/>
          <w:szCs w:val="24"/>
        </w:rPr>
        <w:t>4.采购人或评委会依法确定中标人后2个工作日内，招标方以书面形式发出《中标通知书》,并同时在相关网站上发布中标公告。</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70" w:firstLineChars="196"/>
        <w:textAlignment w:val="auto"/>
        <w:outlineLvl w:val="1"/>
        <w:rPr>
          <w:rFonts w:hint="eastAsia" w:ascii="宋体" w:hAnsi="宋体" w:eastAsia="宋体" w:cs="宋体"/>
          <w:b/>
          <w:sz w:val="24"/>
          <w:szCs w:val="24"/>
        </w:rPr>
      </w:pPr>
      <w:r>
        <w:rPr>
          <w:rFonts w:hint="eastAsia" w:ascii="宋体" w:hAnsi="宋体" w:eastAsia="宋体" w:cs="宋体"/>
          <w:b/>
          <w:sz w:val="24"/>
          <w:szCs w:val="24"/>
        </w:rPr>
        <w:t>七、合同授予</w:t>
      </w:r>
    </w:p>
    <w:p>
      <w:pPr>
        <w:keepNext w:val="0"/>
        <w:keepLines w:val="0"/>
        <w:pageBreakBefore w:val="0"/>
        <w:widowControl w:val="0"/>
        <w:tabs>
          <w:tab w:val="left" w:pos="666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1.招标方与中标人应当在《中标通知书》发出之日起20日内签订政府采购合同。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2.中标人拖延、拒签合同的,将被取消中标资格，并按有关规定报有关部门处罚。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宋体" w:eastAsia="黑体"/>
          <w:b/>
          <w:bCs/>
          <w:color w:val="0D0D0D"/>
          <w:sz w:val="24"/>
          <w:szCs w:val="24"/>
        </w:rPr>
      </w:pPr>
      <w:r>
        <w:rPr>
          <w:rFonts w:hint="eastAsia" w:ascii="宋体" w:hAnsi="宋体" w:eastAsia="宋体" w:cs="宋体"/>
          <w:sz w:val="24"/>
          <w:szCs w:val="24"/>
        </w:rPr>
        <w:t>3.招标人不承诺将合同授予报价最低的投标人。</w:t>
      </w:r>
    </w:p>
    <w:p>
      <w:pPr>
        <w:spacing w:line="360" w:lineRule="auto"/>
        <w:rPr>
          <w:rFonts w:hint="eastAsia" w:hAnsi="宋体" w:cs="宋体"/>
          <w:b/>
          <w:color w:val="auto"/>
          <w:sz w:val="36"/>
          <w:szCs w:val="36"/>
        </w:rPr>
      </w:pPr>
      <w:r>
        <w:rPr>
          <w:rFonts w:hint="eastAsia" w:hAnsi="宋体" w:cs="宋体"/>
          <w:b/>
          <w:color w:val="auto"/>
          <w:sz w:val="36"/>
          <w:szCs w:val="36"/>
        </w:rPr>
        <w:br w:type="page"/>
      </w:r>
    </w:p>
    <w:p>
      <w:pPr>
        <w:pStyle w:val="27"/>
        <w:snapToGrid w:val="0"/>
        <w:spacing w:beforeLines="0" w:afterLines="0" w:line="360" w:lineRule="auto"/>
        <w:jc w:val="center"/>
        <w:outlineLvl w:val="0"/>
        <w:rPr>
          <w:rFonts w:hAnsi="宋体" w:cs="宋体"/>
          <w:bCs/>
          <w:color w:val="auto"/>
          <w:sz w:val="36"/>
          <w:szCs w:val="36"/>
        </w:rPr>
      </w:pPr>
      <w:r>
        <w:rPr>
          <w:rFonts w:hint="eastAsia" w:hAnsi="宋体" w:cs="宋体"/>
          <w:b/>
          <w:color w:val="auto"/>
          <w:sz w:val="36"/>
          <w:szCs w:val="36"/>
        </w:rPr>
        <w:t>第四章</w:t>
      </w:r>
      <w:r>
        <w:rPr>
          <w:rFonts w:hint="eastAsia" w:hAnsi="宋体" w:cs="宋体"/>
          <w:b/>
          <w:color w:val="auto"/>
          <w:sz w:val="36"/>
          <w:szCs w:val="36"/>
          <w:lang w:val="en-US" w:eastAsia="zh-CN"/>
        </w:rPr>
        <w:t xml:space="preserve">   </w:t>
      </w:r>
      <w:r>
        <w:rPr>
          <w:rFonts w:hint="eastAsia" w:hAnsi="宋体" w:cs="宋体"/>
          <w:b/>
          <w:color w:val="auto"/>
          <w:sz w:val="36"/>
          <w:szCs w:val="36"/>
        </w:rPr>
        <w:t>评标办法及评分标准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b/>
          <w:sz w:val="24"/>
        </w:rPr>
      </w:pPr>
      <w:r>
        <w:rPr>
          <w:rFonts w:hint="eastAsia" w:ascii="宋体" w:hAnsi="宋体" w:cs="宋体"/>
          <w:sz w:val="24"/>
        </w:rPr>
        <w:t>本办法仅适用于</w:t>
      </w:r>
      <w:r>
        <w:rPr>
          <w:rFonts w:hint="eastAsia" w:ascii="宋体" w:hAnsi="宋体" w:cs="宋体"/>
          <w:sz w:val="24"/>
          <w:u w:val="single"/>
          <w:lang w:val="en-US" w:eastAsia="zh-CN"/>
        </w:rPr>
        <w:t xml:space="preserve"> </w:t>
      </w:r>
      <w:r>
        <w:rPr>
          <w:rFonts w:hint="eastAsia" w:ascii="宋体" w:hAnsi="宋体" w:cs="宋体"/>
          <w:b/>
          <w:sz w:val="24"/>
          <w:u w:val="single"/>
          <w:lang w:eastAsia="zh-CN"/>
        </w:rPr>
        <w:t>2025年东阳市图书馆新增图书采购项目</w:t>
      </w:r>
      <w:r>
        <w:rPr>
          <w:rFonts w:hint="eastAsia" w:ascii="宋体" w:hAnsi="宋体" w:cs="宋体"/>
          <w:sz w:val="24"/>
        </w:rPr>
        <w:t>的</w:t>
      </w:r>
      <w:r>
        <w:rPr>
          <w:rFonts w:hint="eastAsia" w:ascii="宋体" w:hAnsi="宋体" w:cs="宋体"/>
          <w:bCs/>
          <w:sz w:val="24"/>
        </w:rPr>
        <w:t>评标。</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b/>
          <w:sz w:val="24"/>
        </w:rPr>
      </w:pPr>
      <w:r>
        <w:rPr>
          <w:rFonts w:hint="eastAsia" w:ascii="宋体" w:hAnsi="宋体"/>
          <w:b/>
          <w:sz w:val="24"/>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ascii="宋体" w:hAnsi="宋体"/>
          <w:sz w:val="24"/>
        </w:rPr>
        <w:t>本次评标采用综合评分法，总</w:t>
      </w:r>
      <w:r>
        <w:rPr>
          <w:rFonts w:hint="eastAsia" w:ascii="宋体" w:hAnsi="宋体"/>
          <w:b w:val="0"/>
          <w:bCs w:val="0"/>
          <w:sz w:val="24"/>
        </w:rPr>
        <w:t>分为</w:t>
      </w:r>
      <w:r>
        <w:rPr>
          <w:rFonts w:ascii="宋体" w:hAnsi="宋体"/>
          <w:b w:val="0"/>
          <w:bCs w:val="0"/>
          <w:sz w:val="24"/>
        </w:rPr>
        <w:t>100</w:t>
      </w:r>
      <w:r>
        <w:rPr>
          <w:rFonts w:hint="eastAsia" w:ascii="宋体" w:hAnsi="宋体"/>
          <w:b w:val="0"/>
          <w:bCs w:val="0"/>
          <w:sz w:val="24"/>
        </w:rPr>
        <w:t>分，其中价格分</w:t>
      </w:r>
      <w:r>
        <w:rPr>
          <w:rFonts w:hint="eastAsia" w:ascii="宋体" w:hAnsi="宋体"/>
          <w:b w:val="0"/>
          <w:bCs w:val="0"/>
          <w:sz w:val="24"/>
          <w:lang w:val="en-US" w:eastAsia="zh-CN"/>
        </w:rPr>
        <w:t>30</w:t>
      </w:r>
      <w:r>
        <w:rPr>
          <w:rFonts w:hint="eastAsia" w:ascii="宋体" w:hAnsi="宋体"/>
          <w:b w:val="0"/>
          <w:bCs w:val="0"/>
          <w:sz w:val="24"/>
        </w:rPr>
        <w:t>分、技术、商务、资信及其他分共</w:t>
      </w:r>
      <w:r>
        <w:rPr>
          <w:rFonts w:hint="eastAsia" w:ascii="宋体" w:hAnsi="宋体"/>
          <w:b w:val="0"/>
          <w:bCs w:val="0"/>
          <w:sz w:val="24"/>
          <w:lang w:val="en-US" w:eastAsia="zh-CN"/>
        </w:rPr>
        <w:t>70</w:t>
      </w:r>
      <w:r>
        <w:rPr>
          <w:rFonts w:hint="eastAsia" w:ascii="宋体" w:hAnsi="宋体"/>
          <w:b w:val="0"/>
          <w:bCs w:val="0"/>
          <w:sz w:val="24"/>
        </w:rPr>
        <w:t>分。合格投标人的评标</w:t>
      </w:r>
      <w:r>
        <w:rPr>
          <w:rFonts w:hint="eastAsia" w:ascii="宋体" w:hAnsi="宋体"/>
          <w:sz w:val="24"/>
        </w:rPr>
        <w:t>得分为各项目汇总得分，中标候选资格按评标综合得分由高到低顺序排列，得分相同的，按投标报价由低到高顺序排列；得分且投标报价相同的，按技术得分由高到低顺序排列。排名第一的投标人为中标候选人</w:t>
      </w:r>
      <w:r>
        <w:rPr>
          <w:rFonts w:ascii="宋体"/>
          <w:sz w:val="24"/>
        </w:rPr>
        <w:t>,</w:t>
      </w:r>
      <w:r>
        <w:rPr>
          <w:rFonts w:hint="eastAsia" w:ascii="宋体" w:hAnsi="宋体"/>
          <w:sz w:val="24"/>
        </w:rPr>
        <w:t>排名第二的投标人为候补中标候选人……其他投标人中标候选资格依此类推。</w:t>
      </w:r>
      <w:r>
        <w:rPr>
          <w:rFonts w:hint="eastAsia" w:ascii="宋体" w:hAnsi="宋体"/>
          <w:bCs/>
          <w:sz w:val="24"/>
        </w:rPr>
        <w:t>评分过程中采用四舍五入法，并保留小数</w:t>
      </w:r>
      <w:r>
        <w:rPr>
          <w:rFonts w:ascii="宋体" w:hAnsi="宋体"/>
          <w:bCs/>
          <w:sz w:val="24"/>
        </w:rPr>
        <w:t>2</w:t>
      </w:r>
      <w:r>
        <w:rPr>
          <w:rFonts w:hint="eastAsia" w:ascii="宋体" w:hAnsi="宋体"/>
          <w:bCs/>
          <w:sz w:val="24"/>
        </w:rPr>
        <w:t>位。</w:t>
      </w:r>
      <w:r>
        <w:rPr>
          <w:rFonts w:hint="eastAsia" w:ascii="宋体" w:hAnsi="宋体"/>
          <w:sz w:val="24"/>
        </w:rPr>
        <w:t>投标人评标</w:t>
      </w:r>
      <w:r>
        <w:rPr>
          <w:rFonts w:hint="eastAsia" w:ascii="宋体" w:hAnsi="宋体"/>
          <w:bCs/>
          <w:sz w:val="24"/>
        </w:rPr>
        <w:t>综合得分</w:t>
      </w:r>
      <w:r>
        <w:rPr>
          <w:rFonts w:ascii="宋体" w:hAnsi="宋体"/>
          <w:bCs/>
          <w:sz w:val="24"/>
        </w:rPr>
        <w:t>=</w:t>
      </w:r>
      <w:r>
        <w:rPr>
          <w:rFonts w:hint="eastAsia" w:ascii="宋体" w:hAnsi="宋体"/>
          <w:bCs/>
          <w:sz w:val="24"/>
        </w:rPr>
        <w:t>价格分</w:t>
      </w:r>
      <w:r>
        <w:rPr>
          <w:rFonts w:ascii="宋体" w:hAnsi="宋体"/>
          <w:bCs/>
          <w:sz w:val="24"/>
        </w:rPr>
        <w:t>+(</w:t>
      </w:r>
      <w:r>
        <w:rPr>
          <w:rFonts w:hint="eastAsia" w:ascii="宋体" w:hAnsi="宋体"/>
          <w:bCs/>
          <w:sz w:val="24"/>
        </w:rPr>
        <w:t>技术分</w:t>
      </w:r>
      <w:r>
        <w:rPr>
          <w:rFonts w:ascii="宋体" w:hAnsi="宋体"/>
          <w:bCs/>
          <w:sz w:val="24"/>
        </w:rPr>
        <w:t>+</w:t>
      </w:r>
      <w:r>
        <w:rPr>
          <w:rFonts w:hint="eastAsia" w:ascii="宋体" w:hAnsi="宋体"/>
          <w:bCs/>
          <w:sz w:val="24"/>
        </w:rPr>
        <w:t>商务分</w:t>
      </w:r>
      <w:r>
        <w:rPr>
          <w:rFonts w:ascii="宋体" w:hAnsi="宋体"/>
          <w:bCs/>
          <w:sz w:val="24"/>
        </w:rPr>
        <w:t>+</w:t>
      </w:r>
      <w:r>
        <w:rPr>
          <w:rFonts w:hint="eastAsia" w:ascii="宋体" w:hAnsi="宋体"/>
          <w:bCs/>
          <w:sz w:val="24"/>
        </w:rPr>
        <w:t>资信及其他分</w:t>
      </w:r>
      <w:r>
        <w:rPr>
          <w:rFonts w:ascii="宋体" w:hAnsi="宋体"/>
          <w:bCs/>
          <w:sz w:val="24"/>
        </w:rPr>
        <w:t>)</w:t>
      </w:r>
    </w:p>
    <w:p>
      <w:pPr>
        <w:pStyle w:val="17"/>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ascii="宋体"/>
          <w:sz w:val="24"/>
          <w:szCs w:val="24"/>
        </w:rPr>
        <w:t>投标人评标</w:t>
      </w:r>
      <w:r>
        <w:rPr>
          <w:rFonts w:hint="eastAsia" w:ascii="宋体"/>
          <w:bCs/>
          <w:sz w:val="24"/>
          <w:szCs w:val="24"/>
        </w:rPr>
        <w:t>综合得分=价格分+(技术分+商务分+资信及其他分)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二、评标内容及标准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1、资信/商务/技术分</w:t>
      </w:r>
    </w:p>
    <w:p>
      <w:pPr>
        <w:spacing w:line="360" w:lineRule="auto"/>
        <w:ind w:firstLine="480" w:firstLineChars="200"/>
        <w:rPr>
          <w:rFonts w:ascii="宋体"/>
          <w:sz w:val="24"/>
        </w:rPr>
      </w:pPr>
      <w:r>
        <w:rPr>
          <w:rFonts w:hint="eastAsia" w:ascii="宋体" w:hAnsi="宋体" w:cs="宋体"/>
          <w:sz w:val="24"/>
        </w:rPr>
        <w:t>评分标准中的国家标准如有新版时，以新版标准为准。有关评分的证书资料等原件请投标人</w:t>
      </w:r>
      <w:r>
        <w:rPr>
          <w:rFonts w:hint="eastAsia" w:ascii="宋体" w:hAnsi="宋体" w:cs="宋体"/>
          <w:sz w:val="24"/>
          <w:lang w:eastAsia="zh-CN"/>
        </w:rPr>
        <w:t>提前准备，并</w:t>
      </w:r>
      <w:r>
        <w:rPr>
          <w:rFonts w:hint="eastAsia" w:ascii="宋体" w:hAnsi="宋体" w:cs="宋体"/>
          <w:sz w:val="24"/>
        </w:rPr>
        <w:t>单独装在档案袋中，</w:t>
      </w:r>
      <w:r>
        <w:rPr>
          <w:rFonts w:hint="eastAsia" w:ascii="宋体" w:hAnsi="宋体"/>
          <w:color w:val="000000"/>
          <w:sz w:val="24"/>
          <w:szCs w:val="24"/>
        </w:rPr>
        <w:t>如有需要将在线统一递交。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2、资信/商务/ 技术分的计算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按照评标委员会成员的独立评分结果的算术平均分，计算公式为：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资信/商务/技术分=评标委员会所有成员评分合计数/评标委员会组成人员数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3、价格分</w:t>
      </w:r>
    </w:p>
    <w:p>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价格分采用低价优先法计算，取所有技术、资信商务得分入围投标人中，投标价格最低的投标报价为评标基准价（中小企业待遇报价低于最低投标报价时，中小企业待遇报价为评标基准价），其他投标人的价格分按照下列公式计算：</w:t>
      </w:r>
    </w:p>
    <w:p>
      <w:pPr>
        <w:pStyle w:val="3"/>
        <w:keepNext w:val="0"/>
        <w:keepLines w:val="0"/>
        <w:pageBreakBefore w:val="0"/>
        <w:kinsoku/>
        <w:wordWrap/>
        <w:overflowPunct/>
        <w:topLinePunct w:val="0"/>
        <w:autoSpaceDE/>
        <w:autoSpaceDN/>
        <w:bidi w:val="0"/>
        <w:spacing w:line="420" w:lineRule="exact"/>
        <w:ind w:firstLine="454" w:firstLineChars="196"/>
        <w:textAlignment w:val="auto"/>
        <w:rPr>
          <w:rFonts w:hAnsi="宋体" w:cs="宋体"/>
          <w:sz w:val="24"/>
        </w:rPr>
      </w:pPr>
      <w:r>
        <w:rPr>
          <w:rFonts w:hint="eastAsia" w:hAnsi="宋体" w:cs="宋体"/>
          <w:sz w:val="24"/>
        </w:rPr>
        <w:t>价格分=评标基准价/投标报价（或中小企业待遇报价）×30</w:t>
      </w:r>
    </w:p>
    <w:p>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.2中小型企业待遇报价的计算方法：</w:t>
      </w:r>
    </w:p>
    <w:p>
      <w:pPr>
        <w:keepNext w:val="0"/>
        <w:keepLines w:val="0"/>
        <w:pageBreakBefore w:val="0"/>
        <w:kinsoku/>
        <w:wordWrap/>
        <w:overflowPunct/>
        <w:topLinePunct w:val="0"/>
        <w:autoSpaceDE/>
        <w:autoSpaceDN/>
        <w:bidi w:val="0"/>
        <w:spacing w:line="420" w:lineRule="exact"/>
        <w:ind w:firstLine="480" w:firstLineChars="200"/>
        <w:textAlignment w:val="auto"/>
        <w:rPr>
          <w:rFonts w:ascii="宋体" w:cs="仿宋_GB2312"/>
          <w:sz w:val="24"/>
        </w:rPr>
      </w:pPr>
      <w:r>
        <w:rPr>
          <w:rFonts w:hint="eastAsia" w:ascii="宋体" w:hAnsi="宋体" w:cs="宋体"/>
          <w:sz w:val="24"/>
        </w:rPr>
        <w:t>根据工信部等部委发布的《关于印发中小企业划型标准规定的通知》（工信部联企业〔2011〕300号），根据具体品目确定相应标准。符合上述条件的中小微型企业应按照招标文件附件2.5的格式要求提供</w:t>
      </w:r>
      <w:r>
        <w:rPr>
          <w:rFonts w:hint="eastAsia" w:ascii="宋体" w:hAnsi="宋体" w:cs="仿宋_GB2312"/>
          <w:sz w:val="24"/>
        </w:rPr>
        <w:t>《中小企业声明函》。符合《关于促进残疾人就业政府采购政策的通知》（财库〔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141</w:t>
      </w:r>
      <w:r>
        <w:rPr>
          <w:rFonts w:hint="eastAsia" w:ascii="宋体" w:hAnsi="宋体" w:cs="仿宋_GB2312"/>
          <w:sz w:val="24"/>
        </w:rPr>
        <w:t>号）规定的条件并提供《残疾人福利性单位声明函》（附件2</w:t>
      </w:r>
      <w:r>
        <w:rPr>
          <w:rFonts w:ascii="宋体" w:hAnsi="宋体" w:cs="仿宋_GB2312"/>
          <w:sz w:val="24"/>
        </w:rPr>
        <w:t>.</w:t>
      </w:r>
      <w:r>
        <w:rPr>
          <w:rFonts w:hint="eastAsia" w:ascii="宋体" w:hAnsi="宋体" w:cs="仿宋_GB2312"/>
          <w:sz w:val="24"/>
        </w:rPr>
        <w:t>6）的残疾人福利性单位视同小型、微型企业；根据《关于政府采购支持监狱企业发展有关问题的通知》（财库</w:t>
      </w:r>
      <w:r>
        <w:rPr>
          <w:rFonts w:ascii="宋体" w:hAnsi="宋体" w:cs="仿宋_GB2312"/>
          <w:sz w:val="24"/>
        </w:rPr>
        <w:t>[2014]68</w:t>
      </w:r>
      <w:r>
        <w:rPr>
          <w:rFonts w:hint="eastAsia" w:ascii="宋体" w:hAnsi="宋体" w:cs="仿宋_GB2312"/>
          <w:sz w:val="24"/>
        </w:rPr>
        <w:t>号）的规定，投标人提供由省级以上监狱管理局、戒毒管理局（含新疆生产建设兵团）出具的属于监狱企业证明文件的，视同为小型和微型企业。</w:t>
      </w:r>
    </w:p>
    <w:p>
      <w:pPr>
        <w:keepNext w:val="0"/>
        <w:keepLines w:val="0"/>
        <w:pageBreakBefore w:val="0"/>
        <w:widowControl/>
        <w:kinsoku/>
        <w:wordWrap/>
        <w:overflowPunct/>
        <w:topLinePunct w:val="0"/>
        <w:autoSpaceDE/>
        <w:autoSpaceDN/>
        <w:bidi w:val="0"/>
        <w:snapToGrid w:val="0"/>
        <w:spacing w:line="420" w:lineRule="exact"/>
        <w:ind w:firstLine="464" w:firstLineChars="200"/>
        <w:jc w:val="left"/>
        <w:textAlignment w:val="auto"/>
        <w:rPr>
          <w:rFonts w:hint="eastAsia" w:ascii="宋体" w:hAnsi="宋体"/>
          <w:bCs/>
          <w:spacing w:val="-4"/>
          <w:sz w:val="24"/>
        </w:rPr>
      </w:pPr>
      <w:r>
        <w:rPr>
          <w:rFonts w:hint="eastAsia" w:ascii="宋体" w:hAnsi="宋体" w:cs="宋体"/>
          <w:bCs/>
          <w:spacing w:val="-4"/>
          <w:sz w:val="24"/>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w:t>
      </w:r>
      <w:r>
        <w:rPr>
          <w:rFonts w:hint="eastAsia" w:ascii="宋体" w:hAnsi="宋体" w:cs="宋体"/>
          <w:kern w:val="0"/>
          <w:sz w:val="24"/>
        </w:rPr>
        <w:t>《浙江省财政厅关于进一步加大政府采购支持中小企业力度 助力扎实稳住经济的通知》（浙财采监〔2022〕8号）的规定，</w:t>
      </w:r>
      <w:r>
        <w:rPr>
          <w:rFonts w:hint="eastAsia" w:ascii="宋体" w:hAnsi="宋体" w:cs="宋体"/>
          <w:bCs/>
          <w:spacing w:val="-4"/>
          <w:sz w:val="24"/>
        </w:rPr>
        <w:t>本项目对小型和微型企业、监狱企业、残疾人福利性单位生产的产品</w:t>
      </w:r>
      <w:r>
        <w:rPr>
          <w:rFonts w:hint="eastAsia" w:ascii="宋体" w:hAnsi="宋体" w:cs="宋体"/>
          <w:bCs/>
          <w:color w:val="auto"/>
          <w:spacing w:val="-4"/>
          <w:sz w:val="24"/>
        </w:rPr>
        <w:t>价格给予</w:t>
      </w:r>
      <w:r>
        <w:rPr>
          <w:rFonts w:hint="eastAsia" w:ascii="宋体" w:hAnsi="宋体" w:cs="宋体"/>
          <w:bCs/>
          <w:color w:val="auto"/>
          <w:spacing w:val="-4"/>
          <w:sz w:val="24"/>
          <w:lang w:val="en-US" w:eastAsia="zh-CN"/>
        </w:rPr>
        <w:t>1</w:t>
      </w:r>
      <w:r>
        <w:rPr>
          <w:rFonts w:hint="eastAsia" w:ascii="宋体" w:hAnsi="宋体" w:cs="宋体"/>
          <w:bCs/>
          <w:color w:val="auto"/>
          <w:spacing w:val="-4"/>
          <w:sz w:val="24"/>
        </w:rPr>
        <w:t>0%扣除，</w:t>
      </w:r>
      <w:r>
        <w:rPr>
          <w:rFonts w:hint="eastAsia" w:ascii="宋体" w:hAnsi="宋体" w:cs="宋体"/>
          <w:bCs/>
          <w:kern w:val="0"/>
          <w:sz w:val="24"/>
        </w:rPr>
        <w:t>用扣除后的价格参加评审</w:t>
      </w:r>
      <w:r>
        <w:rPr>
          <w:rFonts w:hint="eastAsia" w:ascii="宋体" w:hAnsi="宋体" w:cs="宋体"/>
          <w:bCs/>
          <w:spacing w:val="-4"/>
          <w:sz w:val="24"/>
        </w:rPr>
        <w:t>，但不重复享受价格扣除。小型和微型企业是指投标文件中提供</w:t>
      </w:r>
      <w:r>
        <w:rPr>
          <w:rFonts w:hint="eastAsia" w:ascii="宋体" w:hAnsi="宋体"/>
          <w:bCs/>
          <w:spacing w:val="-4"/>
          <w:sz w:val="24"/>
        </w:rPr>
        <w:t>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pPr>
        <w:keepNext w:val="0"/>
        <w:keepLines w:val="0"/>
        <w:pageBreakBefore w:val="0"/>
        <w:widowControl/>
        <w:kinsoku/>
        <w:wordWrap/>
        <w:overflowPunct/>
        <w:topLinePunct w:val="0"/>
        <w:autoSpaceDE/>
        <w:autoSpaceDN/>
        <w:bidi w:val="0"/>
        <w:snapToGrid w:val="0"/>
        <w:spacing w:line="420" w:lineRule="exact"/>
        <w:ind w:firstLine="464" w:firstLineChars="200"/>
        <w:jc w:val="left"/>
        <w:textAlignment w:val="auto"/>
        <w:rPr>
          <w:rFonts w:ascii="宋体" w:hAnsi="宋体"/>
          <w:bCs/>
          <w:sz w:val="24"/>
        </w:rPr>
      </w:pPr>
      <w:r>
        <w:rPr>
          <w:rFonts w:hint="eastAsia" w:ascii="宋体" w:hAnsi="宋体"/>
          <w:bCs/>
          <w:spacing w:val="-4"/>
          <w:sz w:val="24"/>
        </w:rPr>
        <w:t>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bCs/>
          <w:spacing w:val="-4"/>
          <w:sz w:val="24"/>
          <w:lang w:val="en-US" w:eastAsia="zh-CN"/>
        </w:rPr>
        <w:t>4</w:t>
      </w:r>
      <w:r>
        <w:rPr>
          <w:rFonts w:hint="eastAsia" w:ascii="宋体" w:hAnsi="宋体"/>
          <w:bCs/>
          <w:spacing w:val="-4"/>
          <w:sz w:val="24"/>
        </w:rPr>
        <w:t>0%以上的，对联合体或者大中型企业的报价给予</w:t>
      </w:r>
      <w:r>
        <w:rPr>
          <w:rFonts w:hint="eastAsia" w:ascii="宋体" w:hAnsi="宋体"/>
          <w:bCs/>
          <w:spacing w:val="-4"/>
          <w:sz w:val="24"/>
          <w:lang w:val="en-US" w:eastAsia="zh-CN"/>
        </w:rPr>
        <w:t>4</w:t>
      </w:r>
      <w:r>
        <w:rPr>
          <w:rFonts w:hint="eastAsia" w:ascii="宋体" w:hAnsi="宋体"/>
          <w:bCs/>
          <w:spacing w:val="-4"/>
          <w:sz w:val="24"/>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sz w:val="24"/>
        </w:rPr>
      </w:pPr>
      <w:r>
        <w:rPr>
          <w:rFonts w:hint="eastAsia" w:ascii="宋体" w:hAnsi="宋体"/>
          <w:sz w:val="24"/>
        </w:rPr>
        <w:t>小型、微型企业（或监狱企业或残疾人福利企业）待遇报价的计算方法：</w:t>
      </w:r>
    </w:p>
    <w:p>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sz w:val="24"/>
        </w:rPr>
      </w:pPr>
      <w:r>
        <w:rPr>
          <w:rFonts w:hint="eastAsia" w:ascii="宋体" w:hAnsi="宋体"/>
          <w:sz w:val="24"/>
        </w:rPr>
        <w:t>小型、微型企业（或监狱企业或残疾人福利企业）待遇报价=</w:t>
      </w:r>
      <w:r>
        <w:rPr>
          <w:rFonts w:hint="eastAsia" w:ascii="宋体" w:hAnsi="宋体"/>
          <w:spacing w:val="-4"/>
          <w:sz w:val="24"/>
          <w:szCs w:val="20"/>
        </w:rPr>
        <w:t>小型、微型企业（或监狱企业或残疾人福利企业）</w:t>
      </w:r>
      <w:r>
        <w:rPr>
          <w:rFonts w:hint="eastAsia" w:ascii="宋体" w:hAnsi="宋体"/>
          <w:sz w:val="24"/>
        </w:rPr>
        <w:t>投标人投标报价*（1-优惠折扣率）</w:t>
      </w:r>
    </w:p>
    <w:p>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宋体" w:hAnsi="宋体" w:cs="宋体"/>
          <w:sz w:val="24"/>
        </w:rPr>
      </w:pPr>
      <w:r>
        <w:rPr>
          <w:rFonts w:hint="eastAsia" w:ascii="宋体" w:hAnsi="宋体" w:cs="宋体"/>
          <w:sz w:val="24"/>
        </w:rPr>
        <w:t>如果所有有效投标人的报价均超出采购上限价且招标人确认不能支付的或所有有效投标人不足三家时，招标人将重新组织招标。</w:t>
      </w:r>
    </w:p>
    <w:p>
      <w:pPr>
        <w:spacing w:line="360" w:lineRule="auto"/>
        <w:rPr>
          <w:rFonts w:hint="eastAsia" w:ascii="宋体" w:hAnsi="宋体" w:cs="宋体"/>
          <w:b/>
          <w:bCs/>
          <w:color w:val="auto"/>
          <w:sz w:val="24"/>
          <w:szCs w:val="24"/>
        </w:rPr>
      </w:pPr>
      <w:bookmarkStart w:id="0" w:name="_Toc414870805"/>
      <w:r>
        <w:rPr>
          <w:rFonts w:hint="eastAsia" w:ascii="宋体" w:hAnsi="宋体" w:cs="宋体"/>
          <w:b/>
          <w:bCs/>
          <w:color w:val="auto"/>
          <w:sz w:val="24"/>
          <w:szCs w:val="24"/>
        </w:rPr>
        <w:t>附件：评分标准（技术</w:t>
      </w:r>
      <w:r>
        <w:rPr>
          <w:rFonts w:ascii="宋体" w:hAnsi="宋体" w:cs="宋体"/>
          <w:b/>
          <w:bCs/>
          <w:color w:val="auto"/>
          <w:sz w:val="24"/>
          <w:szCs w:val="24"/>
        </w:rPr>
        <w:t>/</w:t>
      </w:r>
      <w:r>
        <w:rPr>
          <w:rFonts w:hint="eastAsia" w:ascii="宋体" w:hAnsi="宋体" w:cs="宋体"/>
          <w:b/>
          <w:bCs/>
          <w:color w:val="auto"/>
          <w:sz w:val="24"/>
          <w:szCs w:val="24"/>
        </w:rPr>
        <w:t>商务</w:t>
      </w:r>
      <w:r>
        <w:rPr>
          <w:rFonts w:ascii="宋体" w:hAnsi="宋体" w:cs="宋体"/>
          <w:b/>
          <w:bCs/>
          <w:color w:val="auto"/>
          <w:sz w:val="24"/>
          <w:szCs w:val="24"/>
        </w:rPr>
        <w:t>/</w:t>
      </w:r>
      <w:r>
        <w:rPr>
          <w:rFonts w:hint="eastAsia" w:ascii="宋体" w:hAnsi="宋体" w:cs="宋体"/>
          <w:b/>
          <w:bCs/>
          <w:color w:val="auto"/>
          <w:sz w:val="24"/>
          <w:szCs w:val="24"/>
        </w:rPr>
        <w:t>资信分，共</w:t>
      </w:r>
      <w:r>
        <w:rPr>
          <w:rFonts w:hint="eastAsia" w:ascii="宋体" w:hAnsi="宋体" w:cs="宋体"/>
          <w:b/>
          <w:bCs/>
          <w:color w:val="auto"/>
          <w:sz w:val="24"/>
          <w:szCs w:val="24"/>
          <w:lang w:val="en-US" w:eastAsia="zh-CN"/>
        </w:rPr>
        <w:t>70</w:t>
      </w:r>
      <w:r>
        <w:rPr>
          <w:rFonts w:hint="eastAsia" w:ascii="宋体" w:hAnsi="宋体" w:cs="宋体"/>
          <w:b/>
          <w:bCs/>
          <w:color w:val="auto"/>
          <w:sz w:val="24"/>
          <w:szCs w:val="24"/>
        </w:rPr>
        <w:t>分）</w:t>
      </w:r>
    </w:p>
    <w:tbl>
      <w:tblPr>
        <w:tblStyle w:val="45"/>
        <w:tblW w:w="52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2006"/>
        <w:gridCol w:w="6488"/>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7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3251"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37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37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05"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同类项目业绩</w:t>
            </w:r>
          </w:p>
        </w:tc>
        <w:tc>
          <w:tcPr>
            <w:tcW w:w="3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年1月以来具有同类项目业绩的，每个业绩得1分，最高得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分（需提供中标通知书或合同复印件）</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100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000000"/>
                <w:sz w:val="24"/>
                <w:szCs w:val="24"/>
                <w:highlight w:val="none"/>
              </w:rPr>
              <w:t>编目数据来源性</w:t>
            </w:r>
          </w:p>
        </w:tc>
        <w:tc>
          <w:tcPr>
            <w:tcW w:w="3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投标人能提供规范标准的编目数据，提供有效期内的《国图联编中心签约的数据下载协议书》、《浙江图书馆数据下载协议书》、《上海市文献联合编目中心下载协议书》、《CALIS联机编目服务协议书》等其他国内大型编目数据机构的协议书，每提供1份</w:t>
            </w:r>
            <w:r>
              <w:rPr>
                <w:rFonts w:hint="eastAsia" w:ascii="宋体" w:hAnsi="宋体" w:eastAsia="宋体" w:cs="宋体"/>
                <w:color w:val="000000"/>
                <w:sz w:val="24"/>
                <w:szCs w:val="24"/>
                <w:highlight w:val="none"/>
                <w:lang w:eastAsia="zh-CN"/>
              </w:rPr>
              <w:t>得</w:t>
            </w:r>
            <w:r>
              <w:rPr>
                <w:rFonts w:hint="eastAsia" w:ascii="宋体" w:hAnsi="宋体" w:eastAsia="宋体" w:cs="宋体"/>
                <w:color w:val="000000"/>
                <w:sz w:val="24"/>
                <w:szCs w:val="24"/>
                <w:highlight w:val="none"/>
              </w:rPr>
              <w:t>1分，最高得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0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图书到货率</w:t>
            </w:r>
          </w:p>
        </w:tc>
        <w:tc>
          <w:tcPr>
            <w:tcW w:w="3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年1月1日以来由县级及以上公共图书馆出具的国内版图书或类似图书供货到货率为优或达到95%的证明文件，每份得1分，最高得3分。</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4</w:t>
            </w:r>
          </w:p>
        </w:tc>
        <w:tc>
          <w:tcPr>
            <w:tcW w:w="1005" w:type="pct"/>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进书渠道</w:t>
            </w:r>
          </w:p>
        </w:tc>
        <w:tc>
          <w:tcPr>
            <w:tcW w:w="3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8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lang w:val="en-US" w:eastAsia="zh-CN" w:bidi="ar-SA"/>
              </w:rPr>
              <w:t>有供书保障的各类国家级出版社、地方出版社数量300家（含）以上且指定的</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0家出版社均包含在内的为满分10分；指定的20家出版社每少1家的扣1分，其它出版社每少1家的扣0.5分，以此类推，扣完为止。投标人需将与指定的</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0家出版社合作的复印件排列在所有出版社前列，以便查证，否则，由此而可能造成的评标误判由投标人自行负责。（须提供与</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0家出版社的授权书或供货协议。具体</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0家出版社详见第二章招标需求。）</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5" w:type="pct"/>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green"/>
                <w:lang w:eastAsia="zh-CN"/>
              </w:rPr>
            </w:pPr>
            <w:r>
              <w:rPr>
                <w:rFonts w:hint="eastAsia" w:ascii="宋体" w:hAnsi="宋体" w:eastAsia="宋体" w:cs="宋体"/>
                <w:color w:val="auto"/>
                <w:kern w:val="0"/>
                <w:sz w:val="24"/>
                <w:szCs w:val="24"/>
                <w:highlight w:val="none"/>
              </w:rPr>
              <w:t>现场采购</w:t>
            </w:r>
          </w:p>
        </w:tc>
        <w:tc>
          <w:tcPr>
            <w:tcW w:w="3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4"/>
              </w:numPr>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投标人承诺合作期限内提供我馆至少两名工作人员参加至少1次全国性大型书市现采或现场图书采购，因采购发生的交通费、住宿费、工作餐及设备均由投标人承担</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，得2分；</w:t>
            </w:r>
          </w:p>
          <w:p>
            <w:pPr>
              <w:keepNext w:val="0"/>
              <w:keepLines w:val="0"/>
              <w:pageBreakBefore w:val="0"/>
              <w:numPr>
                <w:ilvl w:val="0"/>
                <w:numId w:val="4"/>
              </w:numPr>
              <w:kinsoku/>
              <w:wordWrap/>
              <w:overflowPunct/>
              <w:topLinePunct w:val="0"/>
              <w:autoSpaceDE w:val="0"/>
              <w:autoSpaceDN w:val="0"/>
              <w:bidi w:val="0"/>
              <w:adjustRightInd/>
              <w:snapToGrid/>
              <w:spacing w:line="380" w:lineRule="exact"/>
              <w:ind w:right="0" w:righ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z w:val="24"/>
                <w:szCs w:val="24"/>
                <w:highlight w:val="none"/>
              </w:rPr>
              <w:t>投标人现采</w:t>
            </w:r>
            <w:r>
              <w:rPr>
                <w:rFonts w:hint="eastAsia" w:ascii="宋体" w:hAnsi="宋体" w:eastAsia="宋体" w:cs="宋体"/>
                <w:b w:val="0"/>
                <w:bCs w:val="0"/>
                <w:color w:val="auto"/>
                <w:sz w:val="24"/>
                <w:szCs w:val="24"/>
                <w:highlight w:val="none"/>
                <w:lang w:eastAsia="zh-CN"/>
              </w:rPr>
              <w:t>面积</w:t>
            </w:r>
            <w:r>
              <w:rPr>
                <w:rFonts w:hint="eastAsia" w:ascii="宋体" w:hAnsi="宋体" w:eastAsia="宋体" w:cs="宋体"/>
                <w:b w:val="0"/>
                <w:bCs w:val="0"/>
                <w:color w:val="auto"/>
                <w:sz w:val="24"/>
                <w:szCs w:val="24"/>
                <w:highlight w:val="none"/>
              </w:rPr>
              <w:t>≥10000平方米得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rPr>
              <w:t>00平方米≤</w:t>
            </w:r>
            <w:r>
              <w:rPr>
                <w:rFonts w:hint="eastAsia" w:ascii="宋体" w:hAnsi="宋体" w:eastAsia="宋体" w:cs="宋体"/>
                <w:b w:val="0"/>
                <w:bCs w:val="0"/>
                <w:color w:val="auto"/>
                <w:sz w:val="24"/>
                <w:szCs w:val="24"/>
                <w:highlight w:val="none"/>
                <w:lang w:val="en-US" w:eastAsia="zh-CN"/>
              </w:rPr>
              <w:t>现采</w:t>
            </w:r>
            <w:r>
              <w:rPr>
                <w:rFonts w:hint="eastAsia" w:ascii="宋体" w:hAnsi="宋体" w:eastAsia="宋体" w:cs="宋体"/>
                <w:b w:val="0"/>
                <w:bCs w:val="0"/>
                <w:color w:val="auto"/>
                <w:sz w:val="24"/>
                <w:szCs w:val="24"/>
                <w:highlight w:val="none"/>
                <w:lang w:eastAsia="zh-CN"/>
              </w:rPr>
              <w:t>面积</w:t>
            </w:r>
            <w:r>
              <w:rPr>
                <w:rFonts w:hint="eastAsia" w:ascii="宋体" w:hAnsi="宋体" w:eastAsia="宋体" w:cs="宋体"/>
                <w:b w:val="0"/>
                <w:bCs w:val="0"/>
                <w:color w:val="auto"/>
                <w:sz w:val="24"/>
                <w:szCs w:val="24"/>
                <w:highlight w:val="none"/>
              </w:rPr>
              <w:t>＜10000平方米得</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000平方米≤</w:t>
            </w:r>
            <w:r>
              <w:rPr>
                <w:rFonts w:hint="eastAsia" w:ascii="宋体" w:hAnsi="宋体" w:eastAsia="宋体" w:cs="宋体"/>
                <w:b w:val="0"/>
                <w:bCs w:val="0"/>
                <w:color w:val="auto"/>
                <w:sz w:val="24"/>
                <w:szCs w:val="24"/>
                <w:highlight w:val="none"/>
                <w:lang w:val="en-US" w:eastAsia="zh-CN"/>
              </w:rPr>
              <w:t>现采</w:t>
            </w:r>
            <w:r>
              <w:rPr>
                <w:rFonts w:hint="eastAsia" w:ascii="宋体" w:hAnsi="宋体" w:eastAsia="宋体" w:cs="宋体"/>
                <w:b w:val="0"/>
                <w:bCs w:val="0"/>
                <w:color w:val="auto"/>
                <w:sz w:val="24"/>
                <w:szCs w:val="24"/>
                <w:highlight w:val="none"/>
                <w:lang w:eastAsia="zh-CN"/>
              </w:rPr>
              <w:t>面积</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rPr>
              <w:t>00平方米得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现采</w:t>
            </w:r>
            <w:r>
              <w:rPr>
                <w:rFonts w:hint="eastAsia" w:ascii="宋体" w:hAnsi="宋体" w:eastAsia="宋体" w:cs="宋体"/>
                <w:b w:val="0"/>
                <w:bCs w:val="0"/>
                <w:color w:val="auto"/>
                <w:sz w:val="24"/>
                <w:szCs w:val="24"/>
                <w:highlight w:val="none"/>
                <w:lang w:eastAsia="zh-CN"/>
              </w:rPr>
              <w:t>面积</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00平方米</w:t>
            </w:r>
            <w:r>
              <w:rPr>
                <w:rFonts w:hint="eastAsia" w:ascii="宋体" w:hAnsi="宋体" w:eastAsia="宋体" w:cs="宋体"/>
                <w:b w:val="0"/>
                <w:bCs w:val="0"/>
                <w:color w:val="auto"/>
                <w:sz w:val="24"/>
                <w:szCs w:val="24"/>
                <w:highlight w:val="none"/>
                <w:lang w:eastAsia="zh-CN"/>
              </w:rPr>
              <w:t>的不得分</w:t>
            </w:r>
            <w:r>
              <w:rPr>
                <w:rFonts w:hint="eastAsia" w:ascii="宋体" w:hAnsi="宋体" w:eastAsia="宋体" w:cs="宋体"/>
                <w:b w:val="0"/>
                <w:bCs w:val="0"/>
                <w:color w:val="auto"/>
                <w:sz w:val="24"/>
                <w:szCs w:val="24"/>
                <w:highlight w:val="none"/>
              </w:rPr>
              <w:t>，（自有场地提供房产证明复印件，租赁场地的提供房产证明复印件</w:t>
            </w:r>
            <w:r>
              <w:rPr>
                <w:rFonts w:hint="eastAsia" w:ascii="宋体" w:hAnsi="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租赁协议复印件）。</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005" w:type="pct"/>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网站建设</w:t>
            </w:r>
          </w:p>
        </w:tc>
        <w:tc>
          <w:tcPr>
            <w:tcW w:w="325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有电子商务网站且实用性好，具备定期发布各类图书书目信息、书目下载、采购单位订单生成EXCEL格式等功能，能容完善且实用的</w:t>
            </w:r>
            <w:r>
              <w:rPr>
                <w:rFonts w:hint="eastAsia" w:ascii="宋体" w:hAnsi="宋体" w:cs="宋体"/>
                <w:color w:val="000000"/>
                <w:sz w:val="24"/>
                <w:szCs w:val="24"/>
                <w:highlight w:val="none"/>
                <w:lang w:eastAsia="zh-CN"/>
              </w:rPr>
              <w:t>，按</w:t>
            </w:r>
            <w:r>
              <w:rPr>
                <w:rFonts w:hint="eastAsia" w:ascii="宋体" w:hAnsi="宋体" w:cs="宋体"/>
                <w:color w:val="000000"/>
                <w:sz w:val="24"/>
                <w:szCs w:val="24"/>
                <w:highlight w:val="none"/>
                <w:lang w:val="en-US" w:eastAsia="zh-CN"/>
              </w:rPr>
              <w:t>0.5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1、1.5、2</w:t>
            </w:r>
            <w:r>
              <w:rPr>
                <w:rFonts w:hint="eastAsia" w:ascii="宋体" w:hAnsi="宋体" w:cs="宋体"/>
                <w:kern w:val="0"/>
                <w:sz w:val="24"/>
                <w:szCs w:val="24"/>
                <w:lang w:val="en-US" w:eastAsia="zh-CN"/>
              </w:rPr>
              <w:t>、2.5、3分</w:t>
            </w:r>
            <w:r>
              <w:rPr>
                <w:rFonts w:hint="eastAsia" w:ascii="宋体" w:hAnsi="宋体" w:eastAsia="宋体" w:cs="宋体"/>
                <w:kern w:val="0"/>
                <w:sz w:val="24"/>
                <w:szCs w:val="24"/>
                <w:highlight w:val="none"/>
              </w:rPr>
              <w:t>进行打分</w:t>
            </w:r>
            <w:r>
              <w:rPr>
                <w:rFonts w:hint="eastAsia" w:ascii="宋体" w:hAnsi="宋体" w:cs="宋体"/>
                <w:kern w:val="0"/>
                <w:sz w:val="24"/>
                <w:szCs w:val="24"/>
                <w:highlight w:val="none"/>
                <w:lang w:eastAsia="zh-CN"/>
              </w:rPr>
              <w:t>，</w:t>
            </w:r>
            <w:r>
              <w:rPr>
                <w:rFonts w:hint="eastAsia" w:ascii="宋体" w:hAnsi="宋体" w:eastAsia="宋体" w:cs="宋体"/>
                <w:color w:val="000000"/>
                <w:sz w:val="24"/>
                <w:szCs w:val="24"/>
                <w:highlight w:val="none"/>
              </w:rPr>
              <w:t>最高得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c>
          <w:tcPr>
            <w:tcW w:w="37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005" w:type="pct"/>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图书质量</w:t>
            </w:r>
          </w:p>
        </w:tc>
        <w:tc>
          <w:tcPr>
            <w:tcW w:w="325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根据投标人提供并承诺的正式出版物情况，确保无破损的质保方案，附件的齐全性等，</w:t>
            </w:r>
            <w:r>
              <w:rPr>
                <w:rFonts w:hint="eastAsia" w:ascii="宋体" w:hAnsi="宋体" w:eastAsia="宋体" w:cs="宋体"/>
                <w:b w:val="0"/>
                <w:bCs w:val="0"/>
                <w:color w:val="auto"/>
                <w:sz w:val="24"/>
                <w:szCs w:val="24"/>
                <w:highlight w:val="none"/>
                <w:lang w:eastAsia="zh-CN"/>
              </w:rPr>
              <w:t>对</w:t>
            </w:r>
            <w:r>
              <w:rPr>
                <w:rFonts w:hint="eastAsia" w:ascii="宋体" w:hAnsi="宋体" w:eastAsia="宋体" w:cs="宋体"/>
                <w:b w:val="0"/>
                <w:bCs w:val="0"/>
                <w:color w:val="auto"/>
                <w:sz w:val="24"/>
                <w:szCs w:val="24"/>
                <w:highlight w:val="none"/>
              </w:rPr>
              <w:t>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完整</w:t>
            </w:r>
            <w:r>
              <w:rPr>
                <w:rFonts w:hint="eastAsia" w:ascii="宋体" w:hAnsi="宋体" w:eastAsia="宋体" w:cs="宋体"/>
                <w:b w:val="0"/>
                <w:bCs w:val="0"/>
                <w:color w:val="auto"/>
                <w:sz w:val="24"/>
                <w:szCs w:val="24"/>
                <w:highlight w:val="none"/>
                <w:lang w:eastAsia="zh-CN"/>
              </w:rPr>
              <w:t>性和</w:t>
            </w:r>
            <w:r>
              <w:rPr>
                <w:rFonts w:hint="eastAsia" w:ascii="宋体" w:hAnsi="宋体" w:eastAsia="宋体" w:cs="宋体"/>
                <w:b w:val="0"/>
                <w:bCs w:val="0"/>
                <w:color w:val="auto"/>
                <w:sz w:val="24"/>
                <w:szCs w:val="24"/>
                <w:highlight w:val="none"/>
              </w:rPr>
              <w:t>有效</w:t>
            </w:r>
            <w:r>
              <w:rPr>
                <w:rFonts w:hint="eastAsia" w:ascii="宋体" w:hAnsi="宋体" w:cs="宋体"/>
                <w:b w:val="0"/>
                <w:bCs w:val="0"/>
                <w:color w:val="auto"/>
                <w:sz w:val="24"/>
                <w:szCs w:val="24"/>
                <w:highlight w:val="none"/>
                <w:lang w:eastAsia="zh-CN"/>
              </w:rPr>
              <w:t>性按</w:t>
            </w:r>
            <w:r>
              <w:rPr>
                <w:rFonts w:hint="eastAsia" w:ascii="宋体" w:hAnsi="宋体" w:cs="宋体"/>
                <w:color w:val="000000"/>
                <w:sz w:val="24"/>
                <w:szCs w:val="24"/>
                <w:highlight w:val="none"/>
                <w:lang w:val="en-US" w:eastAsia="zh-CN"/>
              </w:rPr>
              <w:t>0.5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1、1.5、2</w:t>
            </w:r>
            <w:r>
              <w:rPr>
                <w:rFonts w:hint="eastAsia" w:ascii="宋体" w:hAnsi="宋体" w:cs="宋体"/>
                <w:kern w:val="0"/>
                <w:sz w:val="24"/>
                <w:szCs w:val="24"/>
                <w:lang w:val="en-US" w:eastAsia="zh-CN"/>
              </w:rPr>
              <w:t>分</w:t>
            </w:r>
            <w:r>
              <w:rPr>
                <w:rFonts w:hint="eastAsia" w:ascii="宋体" w:hAnsi="宋体" w:eastAsia="宋体" w:cs="宋体"/>
                <w:kern w:val="0"/>
                <w:sz w:val="24"/>
                <w:szCs w:val="24"/>
                <w:highlight w:val="none"/>
              </w:rPr>
              <w:t>进行打分</w:t>
            </w:r>
            <w:r>
              <w:rPr>
                <w:rFonts w:hint="eastAsia" w:ascii="宋体" w:hAnsi="宋体" w:cs="宋体"/>
                <w:kern w:val="0"/>
                <w:sz w:val="24"/>
                <w:szCs w:val="24"/>
                <w:highlight w:val="none"/>
                <w:lang w:eastAsia="zh-CN"/>
              </w:rPr>
              <w:t>，</w:t>
            </w:r>
            <w:r>
              <w:rPr>
                <w:rFonts w:hint="eastAsia" w:ascii="宋体" w:hAnsi="宋体" w:eastAsia="宋体" w:cs="宋体"/>
                <w:color w:val="000000"/>
                <w:sz w:val="24"/>
                <w:szCs w:val="24"/>
                <w:highlight w:val="none"/>
              </w:rPr>
              <w:t>最高得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37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auto" w:sz="4" w:space="0"/>
              <w:left w:val="single" w:color="000000"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005" w:type="pct"/>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项目人员</w:t>
            </w:r>
          </w:p>
        </w:tc>
        <w:tc>
          <w:tcPr>
            <w:tcW w:w="3251"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bidi w:val="0"/>
              <w:adjustRightInd/>
              <w:snapToGrid/>
              <w:spacing w:line="3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从业人员具备出版物发行资格证书的，每人得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adjustRightInd/>
              <w:snapToGrid/>
              <w:spacing w:line="38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2、从业人</w:t>
            </w:r>
            <w:r>
              <w:rPr>
                <w:rFonts w:hint="eastAsia" w:ascii="宋体" w:hAnsi="宋体" w:eastAsia="宋体" w:cs="宋体"/>
                <w:color w:val="auto"/>
                <w:sz w:val="24"/>
                <w:szCs w:val="24"/>
                <w:highlight w:val="none"/>
              </w:rPr>
              <w:t>员具备国家图书编目资格证书（含图书编目结业证书）的，每人得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strike w:val="0"/>
                <w:dstrike w:val="0"/>
                <w:color w:val="auto"/>
                <w:sz w:val="24"/>
                <w:szCs w:val="24"/>
                <w:highlight w:val="none"/>
              </w:rPr>
              <w:t>（证书颁发单位为国家图书馆联合编目中心或国家图书馆培训中心）</w:t>
            </w:r>
          </w:p>
          <w:p>
            <w:pPr>
              <w:keepNext w:val="0"/>
              <w:keepLines w:val="0"/>
              <w:pageBreakBefore w:val="0"/>
              <w:kinsoku/>
              <w:wordWrap/>
              <w:overflowPunct/>
              <w:topLinePunct w:val="0"/>
              <w:bidi w:val="0"/>
              <w:adjustRightInd/>
              <w:snapToGrid/>
              <w:spacing w:line="3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备注：</w:t>
            </w:r>
            <w:r>
              <w:rPr>
                <w:rFonts w:hint="eastAsia" w:ascii="宋体" w:hAnsi="宋体" w:eastAsia="宋体" w:cs="宋体"/>
                <w:b w:val="0"/>
                <w:bCs w:val="0"/>
                <w:color w:val="auto"/>
                <w:sz w:val="24"/>
                <w:szCs w:val="24"/>
                <w:highlight w:val="none"/>
                <w:lang w:val="en-US" w:eastAsia="zh-CN"/>
              </w:rPr>
              <w:t>以上人员须提供证书复印件，并且必须是</w:t>
            </w:r>
            <w:r>
              <w:rPr>
                <w:rFonts w:hint="eastAsia" w:ascii="宋体" w:hAnsi="宋体" w:eastAsia="宋体" w:cs="宋体"/>
                <w:b w:val="0"/>
                <w:bCs w:val="0"/>
                <w:color w:val="auto"/>
                <w:sz w:val="24"/>
                <w:szCs w:val="24"/>
                <w:highlight w:val="none"/>
              </w:rPr>
              <w:t>投标人本单位在职员工，</w:t>
            </w:r>
            <w:r>
              <w:rPr>
                <w:rFonts w:hint="eastAsia" w:ascii="宋体" w:hAnsi="宋体" w:eastAsia="宋体" w:cs="宋体"/>
                <w:b w:val="0"/>
                <w:bCs w:val="0"/>
                <w:color w:val="auto"/>
                <w:sz w:val="24"/>
                <w:szCs w:val="24"/>
                <w:highlight w:val="none"/>
                <w:lang w:val="en-US" w:eastAsia="zh-CN"/>
              </w:rPr>
              <w:t>还</w:t>
            </w:r>
            <w:r>
              <w:rPr>
                <w:rFonts w:hint="eastAsia" w:ascii="宋体" w:hAnsi="宋体" w:eastAsia="宋体" w:cs="宋体"/>
                <w:b w:val="0"/>
                <w:bCs w:val="0"/>
                <w:color w:val="auto"/>
                <w:sz w:val="24"/>
                <w:szCs w:val="24"/>
                <w:highlight w:val="none"/>
              </w:rPr>
              <w:t>须</w:t>
            </w:r>
            <w:r>
              <w:rPr>
                <w:rFonts w:hint="eastAsia" w:ascii="宋体" w:hAnsi="宋体" w:eastAsia="宋体" w:cs="宋体"/>
                <w:b w:val="0"/>
                <w:bCs w:val="0"/>
                <w:color w:val="auto"/>
                <w:sz w:val="24"/>
                <w:szCs w:val="24"/>
                <w:highlight w:val="none"/>
                <w:lang w:val="en-US" w:eastAsia="zh-CN"/>
              </w:rPr>
              <w:t>提供已在本单位缴纳社保的承诺书并加盖投标人公章，否则不得分。</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auto" w:sz="4" w:space="0"/>
              <w:left w:val="single" w:color="000000"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adjustRightInd/>
              <w:snapToGrid/>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005" w:type="pct"/>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bidi w:val="0"/>
              <w:adjustRightInd/>
              <w:snapToGrid/>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运输</w:t>
            </w:r>
            <w:r>
              <w:rPr>
                <w:rFonts w:hint="eastAsia" w:ascii="宋体" w:hAnsi="宋体" w:eastAsia="宋体" w:cs="宋体"/>
                <w:b w:val="0"/>
                <w:bCs w:val="0"/>
                <w:color w:val="auto"/>
                <w:sz w:val="24"/>
                <w:szCs w:val="24"/>
                <w:highlight w:val="none"/>
                <w:lang w:eastAsia="zh-CN"/>
              </w:rPr>
              <w:t>服务</w:t>
            </w:r>
          </w:p>
        </w:tc>
        <w:tc>
          <w:tcPr>
            <w:tcW w:w="3251"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到馆图书的包装是否符合运输和方便装卸的要求，能否及时运送，是否搬运到指定位置，</w:t>
            </w:r>
            <w:r>
              <w:rPr>
                <w:rFonts w:hint="eastAsia" w:ascii="宋体" w:hAnsi="宋体" w:eastAsia="宋体" w:cs="宋体"/>
                <w:b w:val="0"/>
                <w:bCs w:val="0"/>
                <w:color w:val="auto"/>
                <w:sz w:val="24"/>
                <w:szCs w:val="24"/>
                <w:highlight w:val="none"/>
                <w:lang w:eastAsia="zh-CN"/>
              </w:rPr>
              <w:t>对</w:t>
            </w:r>
            <w:r>
              <w:rPr>
                <w:rFonts w:hint="eastAsia" w:ascii="宋体" w:hAnsi="宋体" w:eastAsia="宋体" w:cs="宋体"/>
                <w:b w:val="0"/>
                <w:bCs w:val="0"/>
                <w:color w:val="auto"/>
                <w:sz w:val="24"/>
                <w:szCs w:val="24"/>
                <w:highlight w:val="none"/>
              </w:rPr>
              <w:t>方案内容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完善</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有效</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w:t>
            </w:r>
            <w:r>
              <w:rPr>
                <w:rFonts w:hint="eastAsia" w:ascii="宋体" w:hAnsi="宋体" w:cs="宋体"/>
                <w:kern w:val="0"/>
                <w:sz w:val="24"/>
                <w:szCs w:val="24"/>
                <w:highlight w:val="none"/>
                <w:lang w:val="en-US" w:eastAsia="zh-CN"/>
              </w:rPr>
              <w:t>每个得分点</w:t>
            </w:r>
            <w:r>
              <w:rPr>
                <w:rFonts w:hint="eastAsia" w:ascii="宋体" w:hAnsi="宋体" w:eastAsia="宋体" w:cs="宋体"/>
                <w:kern w:val="0"/>
                <w:sz w:val="24"/>
                <w:szCs w:val="24"/>
                <w:highlight w:val="none"/>
              </w:rPr>
              <w:t>按0、0.5、1、1.5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lang w:val="en-US" w:eastAsia="zh-CN"/>
              </w:rPr>
              <w:t>分</w:t>
            </w:r>
            <w:r>
              <w:rPr>
                <w:rFonts w:hint="eastAsia" w:ascii="宋体" w:hAnsi="宋体" w:eastAsia="宋体" w:cs="宋体"/>
                <w:kern w:val="0"/>
                <w:sz w:val="24"/>
                <w:szCs w:val="24"/>
                <w:highlight w:val="none"/>
              </w:rPr>
              <w:t>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本项最高得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rPr>
              <w:t>。</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vMerge w:val="restart"/>
            <w:tcBorders>
              <w:top w:val="single" w:color="auto" w:sz="4" w:space="0"/>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005" w:type="pct"/>
            <w:vMerge w:val="restart"/>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书目信息及编目数据质量</w:t>
            </w:r>
          </w:p>
        </w:tc>
        <w:tc>
          <w:tcPr>
            <w:tcW w:w="3251" w:type="pc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10.1、</w:t>
            </w:r>
            <w:r>
              <w:rPr>
                <w:rFonts w:hint="eastAsia" w:ascii="宋体" w:hAnsi="宋体" w:eastAsia="宋体" w:cs="宋体"/>
                <w:b w:val="0"/>
                <w:bCs w:val="0"/>
                <w:color w:val="auto"/>
                <w:sz w:val="24"/>
                <w:szCs w:val="24"/>
                <w:highlight w:val="none"/>
              </w:rPr>
              <w:t>确保采访书目完整性、准确性，书目信息的覆盖情况，提供的信息时效性，</w:t>
            </w:r>
            <w:r>
              <w:rPr>
                <w:rFonts w:hint="eastAsia" w:ascii="宋体" w:hAnsi="宋体" w:eastAsia="宋体" w:cs="宋体"/>
                <w:b w:val="0"/>
                <w:bCs w:val="0"/>
                <w:color w:val="auto"/>
                <w:sz w:val="24"/>
                <w:szCs w:val="24"/>
                <w:highlight w:val="none"/>
                <w:lang w:eastAsia="zh-CN"/>
              </w:rPr>
              <w:t>对</w:t>
            </w:r>
            <w:r>
              <w:rPr>
                <w:rFonts w:hint="eastAsia" w:ascii="宋体" w:hAnsi="宋体" w:eastAsia="宋体" w:cs="宋体"/>
                <w:b w:val="0"/>
                <w:bCs w:val="0"/>
                <w:color w:val="auto"/>
                <w:sz w:val="24"/>
                <w:szCs w:val="24"/>
                <w:highlight w:val="none"/>
              </w:rPr>
              <w:t>方案内容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完善</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有效</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w:t>
            </w:r>
            <w:r>
              <w:rPr>
                <w:rFonts w:hint="eastAsia" w:ascii="宋体" w:hAnsi="宋体" w:cs="宋体"/>
                <w:kern w:val="0"/>
                <w:sz w:val="24"/>
                <w:szCs w:val="24"/>
                <w:highlight w:val="none"/>
                <w:lang w:val="en-US" w:eastAsia="zh-CN"/>
              </w:rPr>
              <w:t>每个得分点</w:t>
            </w:r>
            <w:r>
              <w:rPr>
                <w:rFonts w:hint="eastAsia" w:ascii="宋体" w:hAnsi="宋体" w:eastAsia="宋体" w:cs="宋体"/>
                <w:kern w:val="0"/>
                <w:sz w:val="24"/>
                <w:szCs w:val="24"/>
                <w:highlight w:val="none"/>
              </w:rPr>
              <w:t>按0、0.5、1、1.5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lang w:val="en-US" w:eastAsia="zh-CN"/>
              </w:rPr>
              <w:t>分</w:t>
            </w:r>
            <w:r>
              <w:rPr>
                <w:rFonts w:hint="eastAsia" w:ascii="宋体" w:hAnsi="宋体" w:eastAsia="宋体" w:cs="宋体"/>
                <w:kern w:val="0"/>
                <w:sz w:val="24"/>
                <w:szCs w:val="24"/>
                <w:highlight w:val="none"/>
              </w:rPr>
              <w:t>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本项最高得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rPr>
              <w:t>。</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vMerge w:val="continue"/>
            <w:tcBorders>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lang w:val="en-US" w:eastAsia="zh-CN"/>
              </w:rPr>
            </w:pPr>
          </w:p>
        </w:tc>
        <w:tc>
          <w:tcPr>
            <w:tcW w:w="1005"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rPr>
            </w:pPr>
          </w:p>
        </w:tc>
        <w:tc>
          <w:tcPr>
            <w:tcW w:w="3251" w:type="pc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b w:val="0"/>
                <w:bCs w:val="0"/>
                <w:color w:val="auto"/>
                <w:sz w:val="24"/>
                <w:szCs w:val="24"/>
                <w:highlight w:val="none"/>
              </w:rPr>
              <w:t>确保编目数据的质量符合本项目要求；与到馆图书的匹配程度（不漏发、错发）；是否与到馆图书同时到达</w:t>
            </w:r>
            <w:r>
              <w:rPr>
                <w:rFonts w:hint="eastAsia" w:ascii="宋体" w:hAnsi="宋体" w:eastAsia="宋体" w:cs="宋体"/>
                <w:b w:val="0"/>
                <w:bCs w:val="0"/>
                <w:color w:val="auto"/>
                <w:sz w:val="24"/>
                <w:szCs w:val="24"/>
                <w:highlight w:val="none"/>
                <w:lang w:eastAsia="zh-CN"/>
              </w:rPr>
              <w:t>；对</w:t>
            </w:r>
            <w:r>
              <w:rPr>
                <w:rFonts w:hint="eastAsia" w:ascii="宋体" w:hAnsi="宋体" w:eastAsia="宋体" w:cs="宋体"/>
                <w:b w:val="0"/>
                <w:bCs w:val="0"/>
                <w:color w:val="auto"/>
                <w:sz w:val="24"/>
                <w:szCs w:val="24"/>
                <w:highlight w:val="none"/>
              </w:rPr>
              <w:t>方案内容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完善</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有效</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w:t>
            </w:r>
            <w:r>
              <w:rPr>
                <w:rFonts w:hint="eastAsia" w:ascii="宋体" w:hAnsi="宋体" w:cs="宋体"/>
                <w:kern w:val="0"/>
                <w:sz w:val="24"/>
                <w:szCs w:val="24"/>
                <w:highlight w:val="none"/>
                <w:lang w:val="en-US" w:eastAsia="zh-CN"/>
              </w:rPr>
              <w:t>每个得分点</w:t>
            </w:r>
            <w:r>
              <w:rPr>
                <w:rFonts w:hint="eastAsia" w:ascii="宋体" w:hAnsi="宋体" w:eastAsia="宋体" w:cs="宋体"/>
                <w:kern w:val="0"/>
                <w:sz w:val="24"/>
                <w:szCs w:val="24"/>
                <w:highlight w:val="none"/>
              </w:rPr>
              <w:t>按0、0.5、1、1.5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lang w:val="en-US" w:eastAsia="zh-CN"/>
              </w:rPr>
              <w:t>分</w:t>
            </w:r>
            <w:r>
              <w:rPr>
                <w:rFonts w:hint="eastAsia" w:ascii="宋体" w:hAnsi="宋体" w:eastAsia="宋体" w:cs="宋体"/>
                <w:kern w:val="0"/>
                <w:sz w:val="24"/>
                <w:szCs w:val="24"/>
                <w:highlight w:val="none"/>
              </w:rPr>
              <w:t>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本项最高得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rPr>
              <w:t>。</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vMerge w:val="restart"/>
            <w:tcBorders>
              <w:top w:val="single" w:color="auto" w:sz="4" w:space="0"/>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1005" w:type="pct"/>
            <w:vMerge w:val="restart"/>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应急能力</w:t>
            </w:r>
          </w:p>
        </w:tc>
        <w:tc>
          <w:tcPr>
            <w:tcW w:w="3251" w:type="pc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11.1、</w:t>
            </w:r>
            <w:r>
              <w:rPr>
                <w:rFonts w:hint="eastAsia" w:ascii="宋体" w:hAnsi="宋体" w:eastAsia="宋体" w:cs="宋体"/>
                <w:b w:val="0"/>
                <w:bCs w:val="0"/>
                <w:color w:val="auto"/>
                <w:sz w:val="24"/>
                <w:szCs w:val="24"/>
                <w:highlight w:val="none"/>
              </w:rPr>
              <w:t>对已订书单因情况变化，图书馆要求减少订数或要求取消订购的反应能力。</w:t>
            </w:r>
            <w:r>
              <w:rPr>
                <w:rFonts w:hint="eastAsia" w:ascii="宋体" w:hAnsi="宋体" w:eastAsia="宋体" w:cs="宋体"/>
                <w:b w:val="0"/>
                <w:bCs w:val="0"/>
                <w:color w:val="auto"/>
                <w:sz w:val="24"/>
                <w:szCs w:val="24"/>
                <w:highlight w:val="none"/>
                <w:lang w:eastAsia="zh-CN"/>
              </w:rPr>
              <w:t>对</w:t>
            </w:r>
            <w:r>
              <w:rPr>
                <w:rFonts w:hint="eastAsia" w:ascii="宋体" w:hAnsi="宋体" w:eastAsia="宋体" w:cs="宋体"/>
                <w:b w:val="0"/>
                <w:bCs w:val="0"/>
                <w:color w:val="auto"/>
                <w:sz w:val="24"/>
                <w:szCs w:val="24"/>
                <w:highlight w:val="none"/>
              </w:rPr>
              <w:t>方案内容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完善</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有效</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w:t>
            </w:r>
            <w:r>
              <w:rPr>
                <w:rFonts w:hint="eastAsia" w:ascii="宋体" w:hAnsi="宋体" w:cs="宋体"/>
                <w:kern w:val="0"/>
                <w:sz w:val="24"/>
                <w:szCs w:val="24"/>
                <w:highlight w:val="none"/>
                <w:lang w:val="en-US" w:eastAsia="zh-CN"/>
              </w:rPr>
              <w:t>每个得分点</w:t>
            </w:r>
            <w:r>
              <w:rPr>
                <w:rFonts w:hint="eastAsia" w:ascii="宋体" w:hAnsi="宋体" w:eastAsia="宋体" w:cs="宋体"/>
                <w:kern w:val="0"/>
                <w:sz w:val="24"/>
                <w:szCs w:val="24"/>
                <w:highlight w:val="none"/>
              </w:rPr>
              <w:t>按0、0.5、1、1.5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lang w:val="en-US" w:eastAsia="zh-CN"/>
              </w:rPr>
              <w:t>分</w:t>
            </w:r>
            <w:r>
              <w:rPr>
                <w:rFonts w:hint="eastAsia" w:ascii="宋体" w:hAnsi="宋体" w:eastAsia="宋体" w:cs="宋体"/>
                <w:kern w:val="0"/>
                <w:sz w:val="24"/>
                <w:szCs w:val="24"/>
                <w:highlight w:val="none"/>
              </w:rPr>
              <w:t>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本项最高得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分</w:t>
            </w:r>
            <w:r>
              <w:rPr>
                <w:rFonts w:hint="eastAsia" w:ascii="宋体" w:hAnsi="宋体" w:eastAsia="宋体" w:cs="宋体"/>
                <w:b w:val="0"/>
                <w:bCs w:val="0"/>
                <w:color w:val="auto"/>
                <w:sz w:val="24"/>
                <w:szCs w:val="24"/>
                <w:highlight w:val="none"/>
              </w:rPr>
              <w:t>。</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1005"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51" w:type="pc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11.2</w:t>
            </w:r>
            <w:r>
              <w:rPr>
                <w:rFonts w:hint="eastAsia" w:ascii="宋体" w:hAnsi="宋体" w:eastAsia="宋体" w:cs="宋体"/>
                <w:b w:val="0"/>
                <w:bCs w:val="0"/>
                <w:color w:val="auto"/>
                <w:sz w:val="24"/>
                <w:szCs w:val="24"/>
                <w:highlight w:val="none"/>
              </w:rPr>
              <w:t>对图书馆已预订，但因到货、出版推迟等不能及时到馆的图书，或取消出版的图书信息能否及时予以反馈，</w:t>
            </w:r>
            <w:r>
              <w:rPr>
                <w:rFonts w:hint="eastAsia" w:ascii="宋体" w:hAnsi="宋体" w:eastAsia="宋体" w:cs="宋体"/>
                <w:b w:val="0"/>
                <w:bCs w:val="0"/>
                <w:color w:val="auto"/>
                <w:sz w:val="24"/>
                <w:szCs w:val="24"/>
                <w:highlight w:val="none"/>
                <w:lang w:eastAsia="zh-CN"/>
              </w:rPr>
              <w:t>对</w:t>
            </w:r>
            <w:r>
              <w:rPr>
                <w:rFonts w:hint="eastAsia" w:ascii="宋体" w:hAnsi="宋体" w:eastAsia="宋体" w:cs="宋体"/>
                <w:b w:val="0"/>
                <w:bCs w:val="0"/>
                <w:color w:val="auto"/>
                <w:sz w:val="24"/>
                <w:szCs w:val="24"/>
                <w:highlight w:val="none"/>
              </w:rPr>
              <w:t>方案内容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完善</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有效</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w:t>
            </w:r>
            <w:r>
              <w:rPr>
                <w:rFonts w:hint="eastAsia" w:ascii="宋体" w:hAnsi="宋体" w:cs="宋体"/>
                <w:kern w:val="0"/>
                <w:sz w:val="24"/>
                <w:szCs w:val="24"/>
                <w:highlight w:val="none"/>
                <w:lang w:val="en-US" w:eastAsia="zh-CN"/>
              </w:rPr>
              <w:t>每个得分点</w:t>
            </w:r>
            <w:r>
              <w:rPr>
                <w:rFonts w:hint="eastAsia" w:ascii="宋体" w:hAnsi="宋体" w:eastAsia="宋体" w:cs="宋体"/>
                <w:kern w:val="0"/>
                <w:sz w:val="24"/>
                <w:szCs w:val="24"/>
                <w:highlight w:val="none"/>
              </w:rPr>
              <w:t>按0、0.5、1、1.5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lang w:val="en-US" w:eastAsia="zh-CN"/>
              </w:rPr>
              <w:t>分</w:t>
            </w:r>
            <w:r>
              <w:rPr>
                <w:rFonts w:hint="eastAsia" w:ascii="宋体" w:hAnsi="宋体" w:eastAsia="宋体" w:cs="宋体"/>
                <w:kern w:val="0"/>
                <w:sz w:val="24"/>
                <w:szCs w:val="24"/>
                <w:highlight w:val="none"/>
              </w:rPr>
              <w:t>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本项最高得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分</w:t>
            </w:r>
            <w:r>
              <w:rPr>
                <w:rFonts w:hint="eastAsia" w:ascii="宋体" w:hAnsi="宋体" w:eastAsia="宋体" w:cs="宋体"/>
                <w:b w:val="0"/>
                <w:bCs w:val="0"/>
                <w:color w:val="auto"/>
                <w:sz w:val="24"/>
                <w:szCs w:val="24"/>
                <w:highlight w:val="none"/>
              </w:rPr>
              <w:t>。</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color w:val="auto"/>
                <w:sz w:val="24"/>
                <w:szCs w:val="24"/>
                <w:highlight w:val="none"/>
                <w:lang w:val="en-US" w:eastAsia="zh-CN"/>
              </w:rPr>
            </w:pPr>
          </w:p>
        </w:tc>
        <w:tc>
          <w:tcPr>
            <w:tcW w:w="1005"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color w:val="auto"/>
                <w:sz w:val="24"/>
                <w:szCs w:val="24"/>
                <w:highlight w:val="none"/>
              </w:rPr>
            </w:pPr>
          </w:p>
        </w:tc>
        <w:tc>
          <w:tcPr>
            <w:tcW w:w="3251" w:type="pc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11.3</w:t>
            </w:r>
            <w:r>
              <w:rPr>
                <w:rFonts w:hint="eastAsia" w:ascii="宋体" w:hAnsi="宋体" w:eastAsia="宋体" w:cs="宋体"/>
                <w:b w:val="0"/>
                <w:bCs w:val="0"/>
                <w:color w:val="auto"/>
                <w:sz w:val="24"/>
                <w:szCs w:val="24"/>
                <w:highlight w:val="none"/>
              </w:rPr>
              <w:t>对图书质量问题、与馆藏要求不符、与预订不符等原因退书的处理态度及处理速度，</w:t>
            </w:r>
            <w:r>
              <w:rPr>
                <w:rFonts w:hint="eastAsia" w:ascii="宋体" w:hAnsi="宋体" w:eastAsia="宋体" w:cs="宋体"/>
                <w:b w:val="0"/>
                <w:bCs w:val="0"/>
                <w:color w:val="auto"/>
                <w:sz w:val="24"/>
                <w:szCs w:val="24"/>
                <w:highlight w:val="none"/>
                <w:lang w:eastAsia="zh-CN"/>
              </w:rPr>
              <w:t>对</w:t>
            </w:r>
            <w:r>
              <w:rPr>
                <w:rFonts w:hint="eastAsia" w:ascii="宋体" w:hAnsi="宋体" w:eastAsia="宋体" w:cs="宋体"/>
                <w:b w:val="0"/>
                <w:bCs w:val="0"/>
                <w:color w:val="auto"/>
                <w:sz w:val="24"/>
                <w:szCs w:val="24"/>
                <w:highlight w:val="none"/>
              </w:rPr>
              <w:t>方案内容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完善</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有效</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w:t>
            </w:r>
            <w:r>
              <w:rPr>
                <w:rFonts w:hint="eastAsia" w:ascii="宋体" w:hAnsi="宋体" w:cs="宋体"/>
                <w:kern w:val="0"/>
                <w:sz w:val="24"/>
                <w:szCs w:val="24"/>
                <w:highlight w:val="none"/>
                <w:lang w:val="en-US" w:eastAsia="zh-CN"/>
              </w:rPr>
              <w:t>每个得分点</w:t>
            </w:r>
            <w:r>
              <w:rPr>
                <w:rFonts w:hint="eastAsia" w:ascii="宋体" w:hAnsi="宋体" w:eastAsia="宋体" w:cs="宋体"/>
                <w:kern w:val="0"/>
                <w:sz w:val="24"/>
                <w:szCs w:val="24"/>
                <w:highlight w:val="none"/>
              </w:rPr>
              <w:t>按0、0.5、1、1.5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lang w:val="en-US" w:eastAsia="zh-CN"/>
              </w:rPr>
              <w:t>分</w:t>
            </w:r>
            <w:r>
              <w:rPr>
                <w:rFonts w:hint="eastAsia" w:ascii="宋体" w:hAnsi="宋体" w:eastAsia="宋体" w:cs="宋体"/>
                <w:kern w:val="0"/>
                <w:sz w:val="24"/>
                <w:szCs w:val="24"/>
                <w:highlight w:val="none"/>
              </w:rPr>
              <w:t>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本项最高得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分</w:t>
            </w:r>
            <w:r>
              <w:rPr>
                <w:rFonts w:hint="eastAsia" w:ascii="宋体" w:hAnsi="宋体" w:eastAsia="宋体" w:cs="宋体"/>
                <w:b w:val="0"/>
                <w:bCs w:val="0"/>
                <w:color w:val="auto"/>
                <w:sz w:val="24"/>
                <w:szCs w:val="24"/>
                <w:highlight w:val="none"/>
              </w:rPr>
              <w:t>。</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7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005" w:type="pct"/>
            <w:tcBorders>
              <w:left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 xml:space="preserve">特色服务 </w:t>
            </w:r>
          </w:p>
        </w:tc>
        <w:tc>
          <w:tcPr>
            <w:tcW w:w="3251" w:type="pc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7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为采购单位的馆藏建设、阅读推广、</w:t>
            </w:r>
            <w:r>
              <w:rPr>
                <w:rFonts w:hint="eastAsia" w:ascii="宋体" w:hAnsi="宋体" w:eastAsia="宋体" w:cs="宋体"/>
                <w:b w:val="0"/>
                <w:bCs w:val="0"/>
                <w:color w:val="auto"/>
                <w:sz w:val="24"/>
                <w:szCs w:val="24"/>
                <w:highlight w:val="none"/>
                <w:lang w:eastAsia="zh-CN"/>
              </w:rPr>
              <w:t>阅读报告分析、</w:t>
            </w:r>
            <w:r>
              <w:rPr>
                <w:rFonts w:hint="eastAsia" w:ascii="宋体" w:hAnsi="宋体" w:eastAsia="宋体" w:cs="宋体"/>
                <w:b w:val="0"/>
                <w:bCs w:val="0"/>
                <w:color w:val="auto"/>
                <w:sz w:val="24"/>
                <w:szCs w:val="24"/>
                <w:highlight w:val="none"/>
              </w:rPr>
              <w:t>为采购单位提供特色书源、急需用书即时送货、采购单位阅读活动、专题讲座、专题书展书籍采购和优惠服务等工作提供其它特色服务，得到专家认可，且有实际意义。</w:t>
            </w:r>
            <w:r>
              <w:rPr>
                <w:rFonts w:hint="eastAsia" w:ascii="宋体" w:hAnsi="宋体" w:eastAsia="宋体" w:cs="宋体"/>
                <w:b w:val="0"/>
                <w:bCs w:val="0"/>
                <w:color w:val="auto"/>
                <w:sz w:val="24"/>
                <w:szCs w:val="24"/>
                <w:highlight w:val="none"/>
                <w:lang w:eastAsia="zh-CN"/>
              </w:rPr>
              <w:t>对</w:t>
            </w:r>
            <w:r>
              <w:rPr>
                <w:rFonts w:hint="eastAsia" w:ascii="宋体" w:hAnsi="宋体" w:eastAsia="宋体" w:cs="宋体"/>
                <w:b w:val="0"/>
                <w:bCs w:val="0"/>
                <w:color w:val="auto"/>
                <w:sz w:val="24"/>
                <w:szCs w:val="24"/>
                <w:highlight w:val="none"/>
              </w:rPr>
              <w:t>方案内容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完善</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有效</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w:t>
            </w:r>
            <w:r>
              <w:rPr>
                <w:rFonts w:hint="eastAsia" w:ascii="宋体" w:hAnsi="宋体" w:cs="宋体"/>
                <w:kern w:val="0"/>
                <w:sz w:val="24"/>
                <w:szCs w:val="24"/>
                <w:highlight w:val="none"/>
                <w:lang w:val="en-US" w:eastAsia="zh-CN"/>
              </w:rPr>
              <w:t>每个得分点</w:t>
            </w:r>
            <w:r>
              <w:rPr>
                <w:rFonts w:hint="eastAsia" w:ascii="宋体" w:hAnsi="宋体" w:eastAsia="宋体" w:cs="宋体"/>
                <w:kern w:val="0"/>
                <w:sz w:val="24"/>
                <w:szCs w:val="24"/>
                <w:highlight w:val="none"/>
              </w:rPr>
              <w:t>按0、</w:t>
            </w:r>
            <w:r>
              <w:rPr>
                <w:rFonts w:hint="eastAsia" w:ascii="宋体" w:hAnsi="宋体" w:eastAsia="宋体" w:cs="宋体"/>
                <w:kern w:val="0"/>
                <w:sz w:val="24"/>
                <w:szCs w:val="24"/>
                <w:highlight w:val="none"/>
                <w:lang w:val="en-US" w:eastAsia="zh-CN"/>
              </w:rPr>
              <w:t>1、2、3、4、5</w:t>
            </w:r>
            <w:r>
              <w:rPr>
                <w:rFonts w:hint="eastAsia" w:ascii="宋体" w:hAnsi="宋体" w:cs="宋体"/>
                <w:kern w:val="0"/>
                <w:sz w:val="24"/>
                <w:szCs w:val="24"/>
                <w:lang w:val="en-US" w:eastAsia="zh-CN"/>
              </w:rPr>
              <w:t>分</w:t>
            </w:r>
            <w:r>
              <w:rPr>
                <w:rFonts w:hint="eastAsia" w:ascii="宋体" w:hAnsi="宋体" w:eastAsia="宋体" w:cs="宋体"/>
                <w:kern w:val="0"/>
                <w:sz w:val="24"/>
                <w:szCs w:val="24"/>
                <w:highlight w:val="none"/>
              </w:rPr>
              <w:t>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本项最高得</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lang w:val="en-US" w:eastAsia="zh-CN"/>
              </w:rPr>
              <w:t>分</w:t>
            </w:r>
            <w:r>
              <w:rPr>
                <w:rFonts w:hint="eastAsia" w:ascii="宋体" w:hAnsi="宋体" w:eastAsia="宋体" w:cs="宋体"/>
                <w:b w:val="0"/>
                <w:bCs w:val="0"/>
                <w:color w:val="auto"/>
                <w:sz w:val="24"/>
                <w:szCs w:val="24"/>
                <w:highlight w:val="none"/>
              </w:rPr>
              <w:t>。</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370" w:lineRule="exact"/>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7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005" w:type="pct"/>
            <w:tcBorders>
              <w:left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本地服务</w:t>
            </w:r>
          </w:p>
          <w:p>
            <w:pPr>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工作计划</w:t>
            </w:r>
          </w:p>
        </w:tc>
        <w:tc>
          <w:tcPr>
            <w:tcW w:w="3251" w:type="pct"/>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7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对拟投入的技术人员制定具体本地服务工作计划，确保技术人员服务到位、响应情况。</w:t>
            </w:r>
            <w:r>
              <w:rPr>
                <w:rFonts w:hint="eastAsia" w:ascii="宋体" w:hAnsi="宋体" w:eastAsia="宋体" w:cs="宋体"/>
                <w:b w:val="0"/>
                <w:bCs w:val="0"/>
                <w:color w:val="auto"/>
                <w:sz w:val="24"/>
                <w:szCs w:val="24"/>
                <w:highlight w:val="none"/>
                <w:lang w:eastAsia="zh-CN"/>
              </w:rPr>
              <w:t>对</w:t>
            </w:r>
            <w:r>
              <w:rPr>
                <w:rFonts w:hint="eastAsia" w:ascii="宋体" w:hAnsi="宋体" w:eastAsia="宋体" w:cs="宋体"/>
                <w:b w:val="0"/>
                <w:bCs w:val="0"/>
                <w:color w:val="auto"/>
                <w:sz w:val="24"/>
                <w:szCs w:val="24"/>
                <w:highlight w:val="none"/>
              </w:rPr>
              <w:t>方案内容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完善</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有效</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lang w:val="en-US" w:eastAsia="zh-CN"/>
              </w:rPr>
              <w:t>0-3</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w:t>
            </w:r>
            <w:r>
              <w:rPr>
                <w:rFonts w:hint="eastAsia" w:ascii="宋体" w:hAnsi="宋体" w:cs="宋体"/>
                <w:kern w:val="0"/>
                <w:sz w:val="24"/>
                <w:szCs w:val="24"/>
                <w:highlight w:val="none"/>
                <w:lang w:val="en-US" w:eastAsia="zh-CN"/>
              </w:rPr>
              <w:t>每个得分点</w:t>
            </w:r>
            <w:r>
              <w:rPr>
                <w:rFonts w:hint="eastAsia" w:ascii="宋体" w:hAnsi="宋体" w:eastAsia="宋体" w:cs="宋体"/>
                <w:kern w:val="0"/>
                <w:sz w:val="24"/>
                <w:szCs w:val="24"/>
                <w:highlight w:val="none"/>
              </w:rPr>
              <w:t>按0、</w:t>
            </w:r>
            <w:r>
              <w:rPr>
                <w:rFonts w:hint="eastAsia" w:ascii="宋体" w:hAnsi="宋体" w:eastAsia="宋体" w:cs="宋体"/>
                <w:kern w:val="0"/>
                <w:sz w:val="24"/>
                <w:szCs w:val="24"/>
                <w:highlight w:val="none"/>
                <w:lang w:val="en-US" w:eastAsia="zh-CN"/>
              </w:rPr>
              <w:t>0.5、1、1.5、2、2.5、3</w:t>
            </w:r>
            <w:r>
              <w:rPr>
                <w:rFonts w:hint="eastAsia" w:ascii="宋体" w:hAnsi="宋体" w:cs="宋体"/>
                <w:kern w:val="0"/>
                <w:sz w:val="24"/>
                <w:szCs w:val="24"/>
                <w:lang w:val="en-US" w:eastAsia="zh-CN"/>
              </w:rPr>
              <w:t>分</w:t>
            </w:r>
            <w:r>
              <w:rPr>
                <w:rFonts w:hint="eastAsia" w:ascii="宋体" w:hAnsi="宋体" w:eastAsia="宋体" w:cs="宋体"/>
                <w:kern w:val="0"/>
                <w:sz w:val="24"/>
                <w:szCs w:val="24"/>
                <w:highlight w:val="none"/>
              </w:rPr>
              <w:t>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本项最高得5分。</w:t>
            </w:r>
          </w:p>
        </w:tc>
        <w:tc>
          <w:tcPr>
            <w:tcW w:w="37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kinsoku/>
              <w:wordWrap/>
              <w:overflowPunct/>
              <w:topLinePunct w:val="0"/>
              <w:bidi w:val="0"/>
              <w:snapToGrid w:val="0"/>
              <w:spacing w:line="37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7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val="0"/>
              <w:spacing w:line="370" w:lineRule="exact"/>
              <w:ind w:left="16" w:leftChars="0" w:hanging="16"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环保节能产品</w:t>
            </w:r>
          </w:p>
        </w:tc>
        <w:tc>
          <w:tcPr>
            <w:tcW w:w="3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7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keepNext w:val="0"/>
              <w:keepLines w:val="0"/>
              <w:pageBreakBefore w:val="0"/>
              <w:kinsoku/>
              <w:wordWrap/>
              <w:overflowPunct/>
              <w:topLinePunct w:val="0"/>
              <w:bidi w:val="0"/>
              <w:spacing w:line="37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pStyle w:val="27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370" w:lineRule="exact"/>
              <w:jc w:val="center"/>
              <w:textAlignment w:val="auto"/>
              <w:rPr>
                <w:rFonts w:hint="eastAsia" w:ascii="宋体" w:hAnsi="宋体" w:eastAsia="宋体" w:cs="宋体"/>
                <w:color w:val="auto"/>
                <w:sz w:val="24"/>
                <w:szCs w:val="24"/>
                <w:highlight w:val="none"/>
              </w:rPr>
            </w:pPr>
            <w:r>
              <w:rPr>
                <w:rStyle w:val="274"/>
                <w:rFonts w:hint="eastAsia" w:ascii="宋体" w:hAnsi="宋体" w:eastAsia="宋体" w:cs="宋体"/>
                <w:color w:val="auto"/>
                <w:sz w:val="24"/>
                <w:szCs w:val="24"/>
                <w:highlight w:val="none"/>
              </w:rPr>
              <w:t>2</w:t>
            </w:r>
          </w:p>
        </w:tc>
      </w:tr>
    </w:tbl>
    <w:p>
      <w:pPr>
        <w:jc w:val="center"/>
        <w:rPr>
          <w:rFonts w:hAnsi="宋体" w:cs="宋体"/>
          <w:b/>
          <w:color w:val="auto"/>
          <w:sz w:val="36"/>
          <w:szCs w:val="36"/>
        </w:rPr>
      </w:pPr>
      <w:r>
        <w:rPr>
          <w:rFonts w:hint="eastAsia" w:hAnsi="宋体" w:cs="宋体"/>
          <w:b/>
          <w:color w:val="auto"/>
          <w:sz w:val="36"/>
          <w:szCs w:val="36"/>
        </w:rPr>
        <w:t>第五章</w:t>
      </w:r>
      <w:r>
        <w:rPr>
          <w:rFonts w:hint="eastAsia" w:hAnsi="宋体" w:cs="宋体"/>
          <w:b/>
          <w:color w:val="auto"/>
          <w:sz w:val="36"/>
          <w:szCs w:val="36"/>
          <w:lang w:val="en-US" w:eastAsia="zh-CN"/>
        </w:rPr>
        <w:t xml:space="preserve">   </w:t>
      </w:r>
      <w:r>
        <w:rPr>
          <w:rFonts w:hint="eastAsia" w:hAnsi="宋体" w:cs="宋体"/>
          <w:b/>
          <w:color w:val="auto"/>
          <w:sz w:val="36"/>
          <w:szCs w:val="36"/>
        </w:rPr>
        <w:t>政府采购合同主要条款</w:t>
      </w:r>
      <w:bookmarkEnd w:id="0"/>
    </w:p>
    <w:p>
      <w:pPr>
        <w:snapToGrid w:val="0"/>
        <w:spacing w:line="360" w:lineRule="auto"/>
        <w:jc w:val="center"/>
        <w:outlineLvl w:val="0"/>
        <w:rPr>
          <w:rFonts w:ascii="宋体" w:cs="宋体"/>
          <w:b/>
          <w:sz w:val="24"/>
        </w:rPr>
      </w:pPr>
      <w:bookmarkStart w:id="1" w:name="_Toc414870806"/>
      <w:r>
        <w:rPr>
          <w:rFonts w:hint="eastAsia" w:ascii="宋体" w:hAnsi="宋体" w:cs="宋体"/>
          <w:b/>
          <w:sz w:val="24"/>
          <w:lang w:val="en-US" w:eastAsia="zh-CN"/>
        </w:rPr>
        <w:t xml:space="preserve">    </w:t>
      </w:r>
      <w:r>
        <w:rPr>
          <w:rFonts w:hint="eastAsia" w:ascii="宋体" w:hAnsi="宋体" w:cs="宋体"/>
          <w:b/>
          <w:sz w:val="24"/>
        </w:rPr>
        <w:t>东阳市政府采购合同（样本）</w:t>
      </w:r>
      <w:bookmarkEnd w:id="1"/>
    </w:p>
    <w:p>
      <w:pPr>
        <w:keepNext w:val="0"/>
        <w:keepLines w:val="0"/>
        <w:pageBreakBefore w:val="0"/>
        <w:kinsoku/>
        <w:wordWrap/>
        <w:overflowPunct/>
        <w:topLinePunct w:val="0"/>
        <w:bidi w:val="0"/>
        <w:adjustRightInd/>
        <w:snapToGrid/>
        <w:spacing w:line="360" w:lineRule="auto"/>
        <w:ind w:left="0" w:hanging="1400" w:hangingChars="500"/>
        <w:jc w:val="left"/>
        <w:textAlignment w:val="auto"/>
        <w:rPr>
          <w:rFonts w:hint="eastAsia" w:ascii="宋体" w:eastAsia="宋体" w:cs="宋体"/>
          <w:b w:val="0"/>
          <w:bCs w:val="0"/>
          <w:sz w:val="28"/>
          <w:szCs w:val="28"/>
          <w:lang w:eastAsia="zh-CN"/>
        </w:rPr>
      </w:pPr>
      <w:r>
        <w:rPr>
          <w:rFonts w:hint="eastAsia" w:ascii="宋体" w:hAnsi="宋体" w:cs="宋体"/>
          <w:b w:val="0"/>
          <w:bCs w:val="0"/>
          <w:sz w:val="28"/>
          <w:szCs w:val="28"/>
        </w:rPr>
        <w:t>项目名称：</w:t>
      </w:r>
      <w:r>
        <w:rPr>
          <w:rFonts w:hint="eastAsia" w:ascii="宋体" w:hAnsi="宋体" w:cs="宋体"/>
          <w:b w:val="0"/>
          <w:bCs w:val="0"/>
          <w:sz w:val="28"/>
          <w:szCs w:val="28"/>
          <w:lang w:eastAsia="zh-CN"/>
        </w:rPr>
        <w:t>2025年东阳市图书馆新增图书采购项目</w:t>
      </w:r>
      <w:r>
        <w:rPr>
          <w:rFonts w:hint="eastAsia" w:ascii="宋体" w:hAnsi="宋体" w:cs="宋体"/>
          <w:b w:val="0"/>
          <w:bCs w:val="0"/>
          <w:sz w:val="28"/>
          <w:szCs w:val="28"/>
          <w:lang w:val="en-US" w:eastAsia="zh-CN"/>
        </w:rPr>
        <w:t xml:space="preserve"> </w:t>
      </w:r>
    </w:p>
    <w:p>
      <w:pPr>
        <w:keepNext w:val="0"/>
        <w:keepLines w:val="0"/>
        <w:pageBreakBefore w:val="0"/>
        <w:kinsoku/>
        <w:wordWrap/>
        <w:overflowPunct/>
        <w:topLinePunct w:val="0"/>
        <w:bidi w:val="0"/>
        <w:adjustRightInd/>
        <w:snapToGrid/>
        <w:spacing w:line="360" w:lineRule="auto"/>
        <w:ind w:left="0"/>
        <w:textAlignment w:val="auto"/>
        <w:outlineLvl w:val="0"/>
        <w:rPr>
          <w:rFonts w:ascii="宋体" w:cs="宋体"/>
          <w:b w:val="0"/>
          <w:bCs w:val="0"/>
          <w:sz w:val="28"/>
          <w:szCs w:val="28"/>
        </w:rPr>
      </w:pPr>
      <w:r>
        <w:rPr>
          <w:rFonts w:hint="eastAsia" w:ascii="宋体" w:hAnsi="宋体" w:cs="宋体"/>
          <w:b w:val="0"/>
          <w:bCs w:val="0"/>
          <w:sz w:val="28"/>
          <w:szCs w:val="28"/>
        </w:rPr>
        <w:t>项目编号：</w:t>
      </w:r>
      <w:r>
        <w:rPr>
          <w:rFonts w:hint="eastAsia" w:ascii="宋体" w:hAnsi="宋体" w:cs="宋体"/>
          <w:b w:val="0"/>
          <w:bCs w:val="0"/>
          <w:sz w:val="28"/>
          <w:szCs w:val="28"/>
          <w:lang w:val="en-US" w:eastAsia="zh-CN"/>
        </w:rPr>
        <w:t>JCZFCG2025-Z19-A364</w:t>
      </w:r>
      <w:r>
        <w:rPr>
          <w:rFonts w:ascii="宋体" w:hAnsi="宋体" w:cs="宋体"/>
          <w:b w:val="0"/>
          <w:bCs w:val="0"/>
          <w:sz w:val="28"/>
          <w:szCs w:val="28"/>
        </w:rPr>
        <w:t xml:space="preserve">             </w:t>
      </w:r>
    </w:p>
    <w:p>
      <w:pPr>
        <w:pStyle w:val="27"/>
        <w:keepNext w:val="0"/>
        <w:keepLines w:val="0"/>
        <w:pageBreakBefore w:val="0"/>
        <w:kinsoku/>
        <w:wordWrap/>
        <w:overflowPunct/>
        <w:topLinePunct w:val="0"/>
        <w:bidi w:val="0"/>
        <w:adjustRightInd/>
        <w:snapToGrid/>
        <w:spacing w:beforeLines="0" w:afterLines="0" w:line="360" w:lineRule="auto"/>
        <w:ind w:left="0"/>
        <w:textAlignment w:val="auto"/>
        <w:rPr>
          <w:rFonts w:hint="eastAsia" w:hAnsi="宋体" w:cs="宋体"/>
          <w:b w:val="0"/>
          <w:bCs w:val="0"/>
          <w:sz w:val="28"/>
          <w:szCs w:val="28"/>
          <w:lang w:val="en-US" w:eastAsia="zh-CN"/>
        </w:rPr>
      </w:pPr>
      <w:r>
        <w:rPr>
          <w:rFonts w:hint="eastAsia" w:hAnsi="宋体" w:cs="宋体"/>
          <w:b w:val="0"/>
          <w:bCs w:val="0"/>
          <w:sz w:val="28"/>
          <w:szCs w:val="28"/>
        </w:rPr>
        <w:t>甲方（</w:t>
      </w:r>
      <w:r>
        <w:rPr>
          <w:rFonts w:hint="eastAsia" w:hAnsi="宋体" w:cs="宋体"/>
          <w:b w:val="0"/>
          <w:bCs w:val="0"/>
          <w:sz w:val="28"/>
          <w:szCs w:val="28"/>
          <w:lang w:val="en-US" w:eastAsia="zh-CN"/>
        </w:rPr>
        <w:t>委托方</w:t>
      </w:r>
      <w:r>
        <w:rPr>
          <w:rFonts w:hint="eastAsia" w:hAnsi="宋体" w:cs="宋体"/>
          <w:b w:val="0"/>
          <w:bCs w:val="0"/>
          <w:sz w:val="28"/>
          <w:szCs w:val="28"/>
        </w:rPr>
        <w:t>）：</w:t>
      </w:r>
    </w:p>
    <w:p>
      <w:pPr>
        <w:pStyle w:val="27"/>
        <w:keepNext w:val="0"/>
        <w:keepLines w:val="0"/>
        <w:pageBreakBefore w:val="0"/>
        <w:kinsoku/>
        <w:wordWrap/>
        <w:overflowPunct/>
        <w:topLinePunct w:val="0"/>
        <w:bidi w:val="0"/>
        <w:adjustRightInd/>
        <w:snapToGrid/>
        <w:spacing w:beforeLines="0" w:afterLines="0" w:line="360" w:lineRule="auto"/>
        <w:ind w:left="0"/>
        <w:textAlignment w:val="auto"/>
        <w:rPr>
          <w:rFonts w:hint="eastAsia" w:hAnsi="宋体" w:cs="宋体"/>
          <w:b w:val="0"/>
          <w:bCs w:val="0"/>
          <w:sz w:val="28"/>
          <w:szCs w:val="28"/>
        </w:rPr>
      </w:pPr>
      <w:r>
        <w:rPr>
          <w:rFonts w:hint="eastAsia" w:hAnsi="宋体" w:cs="宋体"/>
          <w:b w:val="0"/>
          <w:bCs w:val="0"/>
          <w:sz w:val="28"/>
          <w:szCs w:val="28"/>
        </w:rPr>
        <w:t>乙方（服务单位）：</w:t>
      </w:r>
    </w:p>
    <w:p>
      <w:pPr>
        <w:pStyle w:val="27"/>
        <w:keepNext w:val="0"/>
        <w:keepLines w:val="0"/>
        <w:pageBreakBefore w:val="0"/>
        <w:kinsoku/>
        <w:wordWrap/>
        <w:overflowPunct/>
        <w:topLinePunct w:val="0"/>
        <w:bidi w:val="0"/>
        <w:adjustRightInd/>
        <w:snapToGrid/>
        <w:spacing w:beforeLines="0" w:afterLines="0" w:line="360" w:lineRule="auto"/>
        <w:ind w:left="0" w:firstLine="480" w:firstLineChars="200"/>
        <w:textAlignment w:val="auto"/>
        <w:rPr>
          <w:rFonts w:ascii="宋体" w:cs="宋体"/>
          <w:b/>
          <w:sz w:val="24"/>
        </w:rPr>
      </w:pPr>
      <w:r>
        <w:rPr>
          <w:rFonts w:hint="eastAsia" w:ascii="宋体" w:hAnsi="宋体" w:cs="宋体"/>
          <w:sz w:val="24"/>
        </w:rPr>
        <w:t>甲、乙双方根据</w:t>
      </w:r>
      <w:r>
        <w:rPr>
          <w:rFonts w:ascii="宋体" w:hAnsi="宋体" w:cs="宋体"/>
          <w:sz w:val="24"/>
          <w:u w:val="single"/>
        </w:rPr>
        <w:t xml:space="preserve"> </w:t>
      </w:r>
      <w:r>
        <w:rPr>
          <w:rFonts w:hint="eastAsia" w:ascii="宋体" w:hAnsi="宋体" w:cs="宋体"/>
          <w:sz w:val="24"/>
          <w:u w:val="single"/>
          <w:lang w:eastAsia="zh-CN"/>
        </w:rPr>
        <w:t>2025年</w:t>
      </w:r>
      <w:r>
        <w:rPr>
          <w:rFonts w:hint="eastAsia" w:hAnsi="宋体" w:cs="宋体"/>
          <w:sz w:val="24"/>
          <w:u w:val="single"/>
          <w:lang w:val="en-US" w:eastAsia="zh-CN"/>
        </w:rPr>
        <w:t>5</w:t>
      </w:r>
      <w:r>
        <w:rPr>
          <w:rFonts w:hint="eastAsia" w:ascii="宋体" w:hAnsi="宋体" w:cs="宋体"/>
          <w:sz w:val="24"/>
          <w:u w:val="single"/>
          <w:lang w:eastAsia="zh-CN"/>
        </w:rPr>
        <w:t>月</w:t>
      </w:r>
      <w:r>
        <w:rPr>
          <w:rFonts w:hint="eastAsia" w:hAnsi="宋体" w:cs="宋体"/>
          <w:sz w:val="24"/>
          <w:u w:val="single"/>
          <w:lang w:val="en-US" w:eastAsia="zh-CN"/>
        </w:rPr>
        <w:t>21</w:t>
      </w:r>
      <w:r>
        <w:rPr>
          <w:rFonts w:hint="eastAsia" w:ascii="宋体" w:hAnsi="宋体" w:cs="宋体"/>
          <w:sz w:val="24"/>
          <w:u w:val="single"/>
          <w:lang w:eastAsia="zh-CN"/>
        </w:rPr>
        <w:t>日</w:t>
      </w:r>
      <w:r>
        <w:rPr>
          <w:rFonts w:hint="eastAsia" w:ascii="宋体" w:hAnsi="宋体" w:cs="宋体"/>
          <w:sz w:val="24"/>
        </w:rPr>
        <w:t>金华市金诚招投标代理有限公司关于</w:t>
      </w:r>
      <w:r>
        <w:rPr>
          <w:rFonts w:hint="eastAsia" w:ascii="宋体" w:hAnsi="宋体" w:cs="宋体"/>
          <w:b/>
          <w:sz w:val="24"/>
          <w:u w:val="single"/>
          <w:lang w:eastAsia="zh-CN"/>
        </w:rPr>
        <w:t>2025年东阳市图书馆新增图书采购项目</w:t>
      </w:r>
      <w:r>
        <w:rPr>
          <w:rFonts w:hint="eastAsia" w:ascii="宋体" w:hAnsi="宋体" w:cs="宋体"/>
          <w:b/>
          <w:sz w:val="24"/>
          <w:u w:val="single"/>
          <w:lang w:val="en-US" w:eastAsia="zh-CN"/>
        </w:rPr>
        <w:t xml:space="preserve"> </w:t>
      </w:r>
      <w:r>
        <w:rPr>
          <w:rFonts w:hint="eastAsia" w:ascii="宋体" w:hAnsi="宋体" w:cs="宋体"/>
          <w:sz w:val="24"/>
        </w:rPr>
        <w:t>公开招标</w:t>
      </w:r>
      <w:r>
        <w:rPr>
          <w:rFonts w:hint="eastAsia" w:ascii="宋体" w:hAnsi="宋体" w:eastAsia="宋体" w:cs="宋体"/>
          <w:sz w:val="24"/>
          <w:szCs w:val="24"/>
        </w:rPr>
        <w:t>的结果，确定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为本项目</w:t>
      </w:r>
      <w:r>
        <w:rPr>
          <w:rFonts w:hint="eastAsia" w:ascii="宋体" w:hAnsi="宋体" w:eastAsia="宋体" w:cs="宋体"/>
          <w:sz w:val="24"/>
          <w:szCs w:val="24"/>
          <w:lang w:val="en-US" w:eastAsia="zh-CN"/>
        </w:rPr>
        <w:t>标项</w:t>
      </w:r>
      <w:r>
        <w:rPr>
          <w:rFonts w:hint="eastAsia" w:ascii="宋体" w:hAnsi="宋体" w:eastAsia="宋体" w:cs="宋体"/>
          <w:color w:val="auto"/>
          <w:sz w:val="24"/>
          <w:szCs w:val="24"/>
          <w:highlight w:val="none"/>
          <w:lang w:val="en-US" w:eastAsia="zh-CN"/>
        </w:rPr>
        <w:t>1/2/3</w:t>
      </w:r>
      <w:r>
        <w:rPr>
          <w:rFonts w:hint="eastAsia" w:hAnsi="宋体" w:cs="宋体"/>
          <w:color w:val="auto"/>
          <w:sz w:val="24"/>
          <w:szCs w:val="24"/>
          <w:highlight w:val="none"/>
          <w:u w:val="single"/>
          <w:lang w:val="en-US" w:eastAsia="zh-CN"/>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供货</w:t>
      </w:r>
      <w:r>
        <w:rPr>
          <w:rFonts w:hint="eastAsia" w:ascii="宋体" w:hAnsi="宋体" w:eastAsia="宋体" w:cs="宋体"/>
          <w:sz w:val="24"/>
          <w:szCs w:val="24"/>
        </w:rPr>
        <w:t>单位。</w:t>
      </w:r>
      <w:r>
        <w:rPr>
          <w:rFonts w:hint="eastAsia" w:ascii="宋体" w:hAnsi="宋体" w:eastAsia="宋体" w:cs="宋体"/>
          <w:color w:val="auto"/>
          <w:sz w:val="24"/>
          <w:szCs w:val="24"/>
          <w:highlight w:val="none"/>
        </w:rPr>
        <w:t>为明确双方的</w:t>
      </w:r>
      <w:r>
        <w:rPr>
          <w:rFonts w:hint="eastAsia" w:ascii="宋体" w:hAnsi="宋体" w:cs="宋体"/>
          <w:color w:val="auto"/>
          <w:sz w:val="24"/>
          <w:szCs w:val="24"/>
          <w:highlight w:val="none"/>
        </w:rPr>
        <w:t>权利和义务</w:t>
      </w:r>
      <w:r>
        <w:rPr>
          <w:rFonts w:hint="eastAsia" w:ascii="宋体" w:hAnsi="宋体" w:cs="宋体"/>
          <w:sz w:val="24"/>
        </w:rPr>
        <w:t>，经双方协商同意签订本合同并共同遵守执行。</w:t>
      </w:r>
    </w:p>
    <w:p>
      <w:pPr>
        <w:pStyle w:val="27"/>
        <w:snapToGrid w:val="0"/>
        <w:spacing w:beforeLines="0" w:afterLines="0" w:line="360" w:lineRule="auto"/>
        <w:rPr>
          <w:rFonts w:hAnsi="宋体"/>
          <w:b/>
          <w:bCs/>
        </w:rPr>
      </w:pPr>
      <w:r>
        <w:rPr>
          <w:rFonts w:hint="eastAsia" w:hAnsi="宋体"/>
          <w:b/>
          <w:bCs/>
        </w:rPr>
        <w:t>一、合同文件：招标文件、投标文件、技术澄清及询标答复的所有内容是构成合同不可分割的部分，与本合同具有同等法律效力，</w:t>
      </w:r>
      <w:r>
        <w:rPr>
          <w:rFonts w:hint="eastAsia" w:hAnsi="宋体"/>
          <w:b/>
          <w:bCs/>
          <w:lang w:eastAsia="zh-CN"/>
        </w:rPr>
        <w:t>如</w:t>
      </w:r>
      <w:r>
        <w:rPr>
          <w:rFonts w:hint="eastAsia" w:hAnsi="宋体"/>
          <w:b/>
          <w:bCs/>
        </w:rPr>
        <w:t>文件</w:t>
      </w:r>
      <w:r>
        <w:rPr>
          <w:rFonts w:hint="eastAsia" w:hAnsi="宋体"/>
          <w:b/>
          <w:bCs/>
          <w:lang w:eastAsia="zh-CN"/>
        </w:rPr>
        <w:t>各项条款</w:t>
      </w:r>
      <w:r>
        <w:rPr>
          <w:rFonts w:hint="eastAsia" w:hAnsi="宋体"/>
          <w:b/>
          <w:bCs/>
        </w:rPr>
        <w:t>有相互矛盾之处，以有利于采购人的方式解释。</w:t>
      </w:r>
    </w:p>
    <w:p>
      <w:pPr>
        <w:pStyle w:val="27"/>
        <w:snapToGrid w:val="0"/>
        <w:spacing w:beforeLines="0" w:afterLines="0" w:line="360" w:lineRule="auto"/>
        <w:rPr>
          <w:rFonts w:hAnsi="宋体"/>
        </w:rPr>
      </w:pPr>
      <w:r>
        <w:rPr>
          <w:rFonts w:hint="eastAsia" w:hAnsi="宋体"/>
          <w:b/>
          <w:bCs/>
        </w:rPr>
        <w:t>二、规格型号、技术参数及合同价款明细</w:t>
      </w:r>
    </w:p>
    <w:tbl>
      <w:tblPr>
        <w:tblStyle w:val="45"/>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417"/>
        <w:gridCol w:w="709"/>
        <w:gridCol w:w="709"/>
        <w:gridCol w:w="1701"/>
        <w:gridCol w:w="1987"/>
        <w:gridCol w:w="851"/>
        <w:gridCol w:w="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0D0D0D"/>
                <w:sz w:val="24"/>
                <w:szCs w:val="24"/>
              </w:rPr>
            </w:pPr>
            <w:r>
              <w:rPr>
                <w:rFonts w:hint="eastAsia" w:ascii="宋体" w:hAnsi="宋体" w:cs="宋体"/>
                <w:b/>
                <w:color w:val="0D0D0D"/>
                <w:sz w:val="24"/>
                <w:szCs w:val="24"/>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0D0D0D"/>
                <w:sz w:val="24"/>
                <w:szCs w:val="24"/>
              </w:rPr>
            </w:pPr>
            <w:r>
              <w:rPr>
                <w:rFonts w:hint="eastAsia" w:ascii="宋体" w:hAnsi="宋体" w:cs="宋体"/>
                <w:b/>
                <w:color w:val="0D0D0D"/>
                <w:sz w:val="24"/>
                <w:szCs w:val="24"/>
              </w:rPr>
              <w:t>货物名称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0D0D0D"/>
                <w:sz w:val="24"/>
                <w:szCs w:val="24"/>
              </w:rPr>
            </w:pPr>
            <w:r>
              <w:rPr>
                <w:rFonts w:hint="eastAsia" w:ascii="宋体" w:hAnsi="宋体" w:cs="宋体"/>
                <w:b/>
                <w:color w:val="0D0D0D"/>
                <w:sz w:val="24"/>
                <w:szCs w:val="24"/>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0D0D0D"/>
                <w:sz w:val="24"/>
                <w:szCs w:val="24"/>
              </w:rPr>
            </w:pPr>
            <w:r>
              <w:rPr>
                <w:rFonts w:hint="eastAsia" w:ascii="宋体" w:hAnsi="宋体" w:cs="宋体"/>
                <w:b/>
                <w:color w:val="0D0D0D"/>
                <w:sz w:val="24"/>
                <w:szCs w:val="24"/>
              </w:rPr>
              <w:t>产地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0D0D0D"/>
                <w:sz w:val="24"/>
                <w:szCs w:val="24"/>
              </w:rPr>
            </w:pPr>
            <w:r>
              <w:rPr>
                <w:rFonts w:hint="eastAsia" w:ascii="宋体" w:hAnsi="宋体" w:cs="宋体"/>
                <w:b/>
                <w:color w:val="0D0D0D"/>
                <w:sz w:val="24"/>
                <w:szCs w:val="24"/>
              </w:rPr>
              <w:t>品牌及厂家</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0D0D0D"/>
                <w:sz w:val="24"/>
                <w:szCs w:val="24"/>
              </w:rPr>
            </w:pPr>
            <w:r>
              <w:rPr>
                <w:rFonts w:hint="eastAsia" w:ascii="宋体" w:hAnsi="宋体" w:cs="宋体"/>
                <w:b/>
                <w:color w:val="0D0D0D"/>
                <w:sz w:val="24"/>
                <w:szCs w:val="24"/>
              </w:rPr>
              <w:t>规格型号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0D0D0D"/>
                <w:sz w:val="24"/>
                <w:szCs w:val="24"/>
              </w:rPr>
            </w:pPr>
            <w:r>
              <w:rPr>
                <w:rFonts w:hint="eastAsia" w:ascii="宋体" w:hAnsi="宋体" w:cs="宋体"/>
                <w:b/>
                <w:color w:val="0D0D0D"/>
                <w:sz w:val="24"/>
                <w:szCs w:val="24"/>
              </w:rPr>
              <w:t>单价</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0D0D0D"/>
                <w:sz w:val="24"/>
                <w:szCs w:val="24"/>
              </w:rPr>
            </w:pPr>
            <w:r>
              <w:rPr>
                <w:rFonts w:hint="eastAsia" w:ascii="宋体" w:hAnsi="宋体" w:cs="宋体"/>
                <w:b/>
                <w:color w:val="0D0D0D"/>
                <w:sz w:val="24"/>
                <w:szCs w:val="24"/>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 w:val="24"/>
                <w:szCs w:val="24"/>
              </w:rPr>
            </w:pPr>
            <w:r>
              <w:rPr>
                <w:rFonts w:hint="eastAsia" w:ascii="宋体" w:hAnsi="宋体" w:cs="宋体"/>
                <w:color w:val="0D0D0D"/>
                <w:sz w:val="24"/>
                <w:szCs w:val="24"/>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D0D0D"/>
                <w:sz w:val="24"/>
                <w:szCs w:val="24"/>
                <w:lang w:val="en-US" w:eastAsia="zh-CN"/>
              </w:rPr>
            </w:pPr>
            <w:r>
              <w:rPr>
                <w:rFonts w:hint="eastAsia" w:ascii="宋体" w:hAnsi="宋体" w:cs="宋体"/>
                <w:color w:val="0D0D0D"/>
                <w:sz w:val="24"/>
                <w:szCs w:val="24"/>
                <w:lang w:val="en-US" w:eastAsia="zh-CN"/>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D0D0D"/>
                <w:sz w:val="24"/>
                <w:szCs w:val="24"/>
                <w:lang w:val="en-US" w:eastAsia="zh-CN"/>
              </w:rPr>
            </w:pPr>
            <w:r>
              <w:rPr>
                <w:rFonts w:hint="eastAsia" w:ascii="宋体" w:hAnsi="宋体" w:cs="宋体"/>
                <w:color w:val="0D0D0D"/>
                <w:sz w:val="24"/>
                <w:szCs w:val="24"/>
                <w:lang w:val="en-US" w:eastAsia="zh-CN"/>
              </w:rPr>
              <w:t>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97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0D0D0D"/>
                <w:sz w:val="24"/>
                <w:szCs w:val="24"/>
              </w:rPr>
            </w:pPr>
            <w:r>
              <w:rPr>
                <w:rFonts w:hint="eastAsia" w:ascii="宋体" w:hAnsi="宋体" w:cs="宋体"/>
                <w:color w:val="0D0D0D"/>
                <w:sz w:val="24"/>
                <w:szCs w:val="24"/>
              </w:rPr>
              <w:t>合计金额大写（人民币）整。￥元</w:t>
            </w:r>
          </w:p>
        </w:tc>
      </w:tr>
    </w:tbl>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Ansi="宋体"/>
          <w:b/>
          <w:bCs/>
        </w:rPr>
      </w:pPr>
      <w:r>
        <w:rPr>
          <w:rFonts w:hint="eastAsia" w:hAnsi="宋体"/>
          <w:b/>
          <w:bCs/>
        </w:rPr>
        <w:t>三、合同金额</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本项目合同价款</w:t>
      </w:r>
      <w:r>
        <w:rPr>
          <w:rFonts w:hint="eastAsia" w:ascii="宋体" w:hAnsi="宋体" w:eastAsia="宋体" w:cs="宋体"/>
          <w:bCs/>
          <w:sz w:val="24"/>
          <w:szCs w:val="24"/>
        </w:rPr>
        <w:t>人民币：</w:t>
      </w:r>
      <w:r>
        <w:rPr>
          <w:rFonts w:hint="eastAsia" w:ascii="宋体" w:hAnsi="宋体" w:eastAsia="宋体" w:cs="宋体"/>
          <w:bCs/>
          <w:sz w:val="24"/>
          <w:szCs w:val="24"/>
          <w:u w:val="single"/>
        </w:rPr>
        <w:t xml:space="preserve">          整。</w:t>
      </w:r>
      <w:r>
        <w:rPr>
          <w:rFonts w:hint="eastAsia" w:ascii="宋体" w:hAnsi="宋体" w:eastAsia="宋体" w:cs="宋体"/>
          <w:bCs/>
          <w:sz w:val="24"/>
          <w:szCs w:val="24"/>
        </w:rPr>
        <w:t>¥：     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sz w:val="24"/>
        </w:rPr>
      </w:pPr>
      <w:r>
        <w:rPr>
          <w:rFonts w:hint="eastAsia" w:ascii="宋体" w:hAnsi="宋体" w:cs="宋体"/>
          <w:b/>
          <w:sz w:val="24"/>
          <w:lang w:val="en-US" w:eastAsia="zh-CN"/>
        </w:rPr>
        <w:t>四</w:t>
      </w:r>
      <w:r>
        <w:rPr>
          <w:rFonts w:hint="eastAsia" w:ascii="宋体" w:hAnsi="宋体" w:cs="宋体"/>
          <w:b/>
          <w:sz w:val="24"/>
        </w:rPr>
        <w:t>、技术资料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1.乙方应按招标文件规定的时间向甲方提供使用货物的有关技术资料。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sz w:val="24"/>
        </w:rPr>
      </w:pPr>
      <w:r>
        <w:rPr>
          <w:rFonts w:hint="eastAsia" w:ascii="宋体" w:hAnsi="宋体" w:cs="宋体"/>
          <w:b/>
          <w:sz w:val="24"/>
          <w:lang w:val="en-US" w:eastAsia="zh-CN"/>
        </w:rPr>
        <w:t>五</w:t>
      </w:r>
      <w:r>
        <w:rPr>
          <w:rFonts w:hint="eastAsia" w:ascii="宋体" w:hAnsi="宋体" w:cs="宋体"/>
          <w:b/>
          <w:sz w:val="24"/>
        </w:rPr>
        <w:t>、知识产权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Cs/>
          <w:sz w:val="24"/>
        </w:rPr>
      </w:pPr>
      <w:r>
        <w:rPr>
          <w:rFonts w:hint="eastAsia" w:ascii="宋体" w:hAnsi="宋体" w:cs="宋体"/>
          <w:sz w:val="24"/>
        </w:rPr>
        <w:t>乙方应保证所提供的货物或其任何一部分均不会侵犯任何第三方的知识产权</w:t>
      </w:r>
      <w:r>
        <w:rPr>
          <w:rFonts w:hint="eastAsia" w:ascii="宋体" w:hAnsi="宋体" w:cs="宋体"/>
          <w:bCs/>
          <w:sz w:val="24"/>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、履约保证金</w:t>
      </w:r>
    </w:p>
    <w:p>
      <w:pPr>
        <w:pStyle w:val="27"/>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s="宋体"/>
          <w:bCs/>
        </w:rPr>
      </w:pPr>
      <w:r>
        <w:rPr>
          <w:rFonts w:hint="eastAsia" w:hAnsi="宋体" w:cs="宋体"/>
        </w:rPr>
        <w:t>本项目</w:t>
      </w:r>
      <w:r>
        <w:rPr>
          <w:rFonts w:hint="eastAsia" w:hAnsi="宋体" w:cs="宋体"/>
          <w:lang w:val="en-US" w:eastAsia="zh-CN"/>
        </w:rPr>
        <w:t>不设</w:t>
      </w:r>
      <w:r>
        <w:rPr>
          <w:rFonts w:hint="eastAsia" w:hAnsi="宋体" w:cs="宋体"/>
        </w:rPr>
        <w:t>履约保证金。</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u w:val="single"/>
        </w:rPr>
      </w:pPr>
      <w:r>
        <w:rPr>
          <w:rFonts w:hint="eastAsia" w:ascii="宋体" w:hAnsi="宋体" w:cs="宋体"/>
          <w:b/>
          <w:sz w:val="24"/>
          <w:lang w:val="en-US" w:eastAsia="zh-CN"/>
        </w:rPr>
        <w:t>七</w:t>
      </w:r>
      <w:r>
        <w:rPr>
          <w:rFonts w:hint="eastAsia" w:ascii="宋体" w:hAnsi="宋体" w:cs="宋体"/>
          <w:b/>
          <w:sz w:val="24"/>
        </w:rPr>
        <w:t>、产权担保</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u w:val="single"/>
        </w:rPr>
      </w:pPr>
      <w:r>
        <w:rPr>
          <w:rFonts w:hint="eastAsia" w:ascii="宋体" w:hAnsi="宋体" w:cs="宋体"/>
          <w:sz w:val="24"/>
        </w:rPr>
        <w:t>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sz w:val="24"/>
        </w:rPr>
      </w:pPr>
      <w:r>
        <w:rPr>
          <w:rFonts w:hint="eastAsia" w:ascii="宋体" w:hAnsi="宋体" w:cs="宋体"/>
          <w:b/>
          <w:sz w:val="24"/>
          <w:lang w:val="en-US" w:eastAsia="zh-CN"/>
        </w:rPr>
        <w:t>八</w:t>
      </w:r>
      <w:r>
        <w:rPr>
          <w:rFonts w:hint="eastAsia" w:ascii="宋体" w:hAnsi="宋体" w:cs="宋体"/>
          <w:b/>
          <w:sz w:val="24"/>
        </w:rPr>
        <w:t>、转包或分包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1.本合同范围的货物，应由乙方直接供应，不得转包或分包他人供应；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2.乙方如有转包、分包行为，甲方有权解除合同，并追究乙方的违约责任。</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rPr>
      </w:pPr>
      <w:r>
        <w:rPr>
          <w:rFonts w:hint="eastAsia" w:ascii="宋体" w:hAnsi="宋体" w:cs="宋体"/>
          <w:b/>
          <w:sz w:val="24"/>
          <w:lang w:val="en-US" w:eastAsia="zh-CN"/>
        </w:rPr>
        <w:t>九</w:t>
      </w:r>
      <w:r>
        <w:rPr>
          <w:rFonts w:hint="eastAsia" w:ascii="宋体" w:hAnsi="宋体" w:cs="宋体"/>
          <w:b/>
          <w:sz w:val="24"/>
        </w:rPr>
        <w:t>、质保期</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rPr>
      </w:pPr>
      <w:r>
        <w:rPr>
          <w:rFonts w:hint="eastAsia" w:ascii="宋体" w:hAnsi="宋体" w:cs="宋体"/>
          <w:sz w:val="24"/>
        </w:rPr>
        <w:t xml:space="preserve">   质保期</w:t>
      </w:r>
      <w:r>
        <w:rPr>
          <w:rFonts w:hint="eastAsia" w:ascii="宋体" w:hAnsi="宋体" w:cs="宋体"/>
          <w:sz w:val="24"/>
          <w:u w:val="single"/>
        </w:rPr>
        <w:t xml:space="preserve">      </w:t>
      </w:r>
      <w:r>
        <w:rPr>
          <w:rFonts w:hint="eastAsia" w:ascii="宋体" w:hAnsi="宋体" w:cs="宋体"/>
          <w:sz w:val="24"/>
        </w:rPr>
        <w:t>年。（自交货验收合格之日起计）</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sz w:val="24"/>
        </w:rPr>
      </w:pPr>
      <w:r>
        <w:rPr>
          <w:rFonts w:hint="eastAsia" w:ascii="宋体" w:hAnsi="宋体" w:cs="宋体"/>
          <w:b/>
          <w:sz w:val="24"/>
          <w:lang w:val="en-US" w:eastAsia="zh-CN"/>
        </w:rPr>
        <w:t>十</w:t>
      </w:r>
      <w:r>
        <w:rPr>
          <w:rFonts w:hint="eastAsia" w:ascii="宋体" w:hAnsi="宋体" w:cs="宋体"/>
          <w:b/>
          <w:sz w:val="24"/>
        </w:rPr>
        <w:t>、交货期、交货地点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Cs/>
          <w:sz w:val="24"/>
          <w:u w:val="single"/>
        </w:rPr>
      </w:pPr>
      <w:r>
        <w:rPr>
          <w:rFonts w:hint="eastAsia" w:ascii="宋体" w:hAnsi="宋体" w:cs="宋体"/>
          <w:bCs/>
          <w:sz w:val="24"/>
        </w:rPr>
        <w:t>1. 交货期：</w:t>
      </w:r>
      <w:r>
        <w:rPr>
          <w:rFonts w:hint="eastAsia" w:ascii="宋体" w:hAnsi="宋体" w:cs="宋体"/>
          <w:bCs/>
          <w:sz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sz w:val="24"/>
          <w:u w:val="single"/>
        </w:rPr>
      </w:pPr>
      <w:r>
        <w:rPr>
          <w:rFonts w:hint="eastAsia" w:ascii="宋体" w:hAnsi="宋体" w:cs="宋体"/>
          <w:bCs/>
          <w:sz w:val="24"/>
        </w:rPr>
        <w:t>2.交货地点：</w:t>
      </w:r>
      <w:r>
        <w:rPr>
          <w:rFonts w:hint="eastAsia" w:ascii="宋体" w:hAnsi="宋体" w:cs="宋体"/>
          <w:bCs/>
          <w:sz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bCs/>
          <w:sz w:val="24"/>
        </w:rPr>
      </w:pPr>
      <w:r>
        <w:rPr>
          <w:rFonts w:hint="eastAsia" w:ascii="宋体" w:hAnsi="宋体" w:cs="宋体"/>
          <w:b/>
          <w:sz w:val="24"/>
        </w:rPr>
        <w:t>十</w:t>
      </w:r>
      <w:r>
        <w:rPr>
          <w:rFonts w:hint="eastAsia" w:ascii="宋体" w:hAnsi="宋体" w:cs="宋体"/>
          <w:b/>
          <w:sz w:val="24"/>
          <w:lang w:val="en-US" w:eastAsia="zh-CN"/>
        </w:rPr>
        <w:t>一</w:t>
      </w:r>
      <w:r>
        <w:rPr>
          <w:rFonts w:hint="eastAsia" w:ascii="宋体" w:hAnsi="宋体" w:cs="宋体"/>
          <w:b/>
          <w:sz w:val="24"/>
        </w:rPr>
        <w:t>、</w:t>
      </w:r>
      <w:r>
        <w:rPr>
          <w:rFonts w:hint="eastAsia" w:ascii="宋体" w:hAnsi="宋体" w:cs="宋体"/>
          <w:b/>
          <w:bCs/>
          <w:sz w:val="24"/>
        </w:rPr>
        <w:t>付款方式</w:t>
      </w:r>
    </w:p>
    <w:p>
      <w:pPr>
        <w:pStyle w:val="4"/>
        <w:keepNext w:val="0"/>
        <w:keepLines w:val="0"/>
        <w:pageBreakBefore w:val="0"/>
        <w:widowControl w:val="0"/>
        <w:kinsoku/>
        <w:wordWrap/>
        <w:overflowPunct/>
        <w:topLinePunct w:val="0"/>
        <w:autoSpaceDE/>
        <w:autoSpaceDN/>
        <w:bidi w:val="0"/>
        <w:adjustRightIn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sz w:val="24"/>
        </w:rPr>
      </w:pPr>
      <w:r>
        <w:rPr>
          <w:rFonts w:hint="eastAsia" w:ascii="宋体" w:hAnsi="宋体" w:cs="宋体"/>
          <w:b/>
          <w:sz w:val="24"/>
        </w:rPr>
        <w:t>十</w:t>
      </w:r>
      <w:r>
        <w:rPr>
          <w:rFonts w:hint="eastAsia" w:ascii="宋体" w:hAnsi="宋体" w:cs="宋体"/>
          <w:b/>
          <w:sz w:val="24"/>
          <w:lang w:val="en-US" w:eastAsia="zh-CN"/>
        </w:rPr>
        <w:t>二</w:t>
      </w:r>
      <w:r>
        <w:rPr>
          <w:rFonts w:hint="eastAsia" w:ascii="宋体" w:hAnsi="宋体" w:cs="宋体"/>
          <w:b/>
          <w:sz w:val="24"/>
        </w:rPr>
        <w:t>、税费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本合同执行中相关的一切税费均由乙方负担。</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Ansi="宋体"/>
        </w:rPr>
      </w:pPr>
      <w:r>
        <w:rPr>
          <w:rFonts w:hAnsi="宋体"/>
          <w:b/>
        </w:rPr>
        <w:t>十</w:t>
      </w:r>
      <w:r>
        <w:rPr>
          <w:rFonts w:hint="eastAsia" w:hAnsi="宋体"/>
          <w:b/>
          <w:lang w:val="en-US" w:eastAsia="zh-CN"/>
        </w:rPr>
        <w:t>三</w:t>
      </w:r>
      <w:r>
        <w:rPr>
          <w:rFonts w:hAnsi="宋体"/>
          <w:b/>
        </w:rPr>
        <w:t>、质量保证及售后服务</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1</w:t>
      </w:r>
      <w:r>
        <w:rPr>
          <w:rFonts w:hint="eastAsia" w:hAnsi="宋体"/>
        </w:rPr>
        <w:t>.</w:t>
      </w:r>
      <w:r>
        <w:rPr>
          <w:rFonts w:hAnsi="宋体"/>
        </w:rPr>
        <w:t>乙方应按</w:t>
      </w:r>
      <w:r>
        <w:rPr>
          <w:rFonts w:hint="eastAsia" w:hAnsi="宋体"/>
        </w:rPr>
        <w:t>采购</w:t>
      </w:r>
      <w:r>
        <w:rPr>
          <w:rFonts w:hAnsi="宋体"/>
        </w:rPr>
        <w:t>文件规定的货物性能、技术要求、质量标准向甲方提供未经使用的全新产品。</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2</w:t>
      </w:r>
      <w:r>
        <w:rPr>
          <w:rFonts w:hint="eastAsia" w:hAnsi="宋体"/>
        </w:rPr>
        <w:t>.</w:t>
      </w:r>
      <w:r>
        <w:rPr>
          <w:rFonts w:hAnsi="宋体"/>
        </w:rPr>
        <w:t>乙方提供的货物在质</w:t>
      </w:r>
      <w:r>
        <w:rPr>
          <w:rFonts w:hint="eastAsia" w:hAnsi="宋体"/>
        </w:rPr>
        <w:t>保</w:t>
      </w:r>
      <w:r>
        <w:rPr>
          <w:rFonts w:hAnsi="宋体"/>
        </w:rPr>
        <w:t>期内因货物本身的质量问题发生故障，乙方应负责免费更换。对达不到技术要求者，根据实际情况，经双方协商，可按以下办法处理：</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240" w:firstLineChars="100"/>
        <w:textAlignment w:val="auto"/>
        <w:rPr>
          <w:rFonts w:hAnsi="宋体"/>
        </w:rPr>
      </w:pPr>
      <w:r>
        <w:rPr>
          <w:rFonts w:hint="eastAsia" w:hAnsi="宋体"/>
          <w:lang w:eastAsia="zh-CN"/>
        </w:rPr>
        <w:t>（</w:t>
      </w:r>
      <w:r>
        <w:rPr>
          <w:rFonts w:hint="eastAsia" w:hAnsi="宋体"/>
          <w:lang w:val="en-US" w:eastAsia="zh-CN"/>
        </w:rPr>
        <w:t>1</w:t>
      </w:r>
      <w:r>
        <w:rPr>
          <w:rFonts w:hint="eastAsia" w:hAnsi="宋体"/>
          <w:lang w:eastAsia="zh-CN"/>
        </w:rPr>
        <w:t>）</w:t>
      </w:r>
      <w:r>
        <w:rPr>
          <w:rFonts w:hAnsi="宋体"/>
        </w:rPr>
        <w:t>更换：由乙方承担所发生的全部费用。</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240" w:firstLineChars="100"/>
        <w:textAlignment w:val="auto"/>
        <w:rPr>
          <w:rFonts w:hAnsi="宋体"/>
        </w:rPr>
      </w:pPr>
      <w:r>
        <w:rPr>
          <w:rFonts w:hint="eastAsia" w:hAnsi="宋体"/>
          <w:lang w:val="en-US" w:eastAsia="zh-CN"/>
        </w:rPr>
        <w:t>（2）</w:t>
      </w:r>
      <w:r>
        <w:rPr>
          <w:rFonts w:hAnsi="宋体"/>
        </w:rPr>
        <w:t>退货处理：乙方应退还甲方支付的合同款，同时应承担该货物的直接费用（运输、保险、检验、货款利息及银行手续费等）。</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3</w:t>
      </w:r>
      <w:r>
        <w:rPr>
          <w:rFonts w:hint="eastAsia" w:hAnsi="宋体"/>
        </w:rPr>
        <w:t>.</w:t>
      </w:r>
      <w:r>
        <w:rPr>
          <w:rFonts w:hAnsi="宋体"/>
        </w:rPr>
        <w:t>如在使用过程中发生质量问题，乙方在接到甲方通知后在</w:t>
      </w:r>
      <w:r>
        <w:rPr>
          <w:rFonts w:hint="eastAsia" w:hAnsi="宋体"/>
          <w:u w:val="single"/>
          <w:lang w:val="en-US" w:eastAsia="zh-CN"/>
        </w:rPr>
        <w:t xml:space="preserve">    </w:t>
      </w:r>
      <w:r>
        <w:rPr>
          <w:rFonts w:hAnsi="宋体"/>
        </w:rPr>
        <w:t>小时内到达甲方现场。</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4</w:t>
      </w:r>
      <w:r>
        <w:rPr>
          <w:rFonts w:hint="eastAsia" w:hAnsi="宋体"/>
        </w:rPr>
        <w:t>.</w:t>
      </w:r>
      <w:r>
        <w:rPr>
          <w:rFonts w:hAnsi="宋体"/>
        </w:rPr>
        <w:t>在质保期内，乙方应对货物出现的质量及安全问题负责处理解决并承担一切费用。</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cs="宋体"/>
          <w:sz w:val="24"/>
        </w:rPr>
      </w:pPr>
      <w:r>
        <w:rPr>
          <w:rFonts w:hAnsi="宋体"/>
        </w:rPr>
        <w:t>5</w:t>
      </w:r>
      <w:r>
        <w:rPr>
          <w:rFonts w:hint="eastAsia" w:hAnsi="宋体"/>
        </w:rPr>
        <w:t>.</w:t>
      </w:r>
      <w:r>
        <w:rPr>
          <w:rFonts w:hint="eastAsia" w:ascii="宋体" w:hAnsi="宋体" w:cs="宋体"/>
          <w:sz w:val="24"/>
        </w:rPr>
        <w:t>上述的货物免费保修期为</w:t>
      </w:r>
      <w:r>
        <w:rPr>
          <w:rFonts w:hint="eastAsia" w:ascii="宋体" w:hAnsi="宋体" w:cs="宋体"/>
          <w:sz w:val="24"/>
          <w:u w:val="single"/>
        </w:rPr>
        <w:t xml:space="preserve">     </w:t>
      </w:r>
      <w:r>
        <w:rPr>
          <w:rFonts w:hint="eastAsia" w:ascii="宋体" w:hAnsi="宋体" w:cs="宋体"/>
          <w:sz w:val="24"/>
        </w:rPr>
        <w:t>年，因人为因素出现的故障不在免费保修范围内。超过保修期的机器货物，终生维修，维修时只收部件成本费。</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宋体" w:hAnsi="宋体" w:cs="宋体"/>
          <w:b/>
          <w:sz w:val="24"/>
        </w:rPr>
      </w:pPr>
      <w:r>
        <w:rPr>
          <w:rFonts w:hAnsi="宋体"/>
          <w:b/>
        </w:rPr>
        <w:t>十</w:t>
      </w:r>
      <w:r>
        <w:rPr>
          <w:rFonts w:hint="eastAsia" w:hAnsi="宋体"/>
          <w:b/>
          <w:lang w:val="en-US" w:eastAsia="zh-CN"/>
        </w:rPr>
        <w:t>四</w:t>
      </w:r>
      <w:r>
        <w:rPr>
          <w:rFonts w:hAnsi="宋体"/>
          <w:b/>
        </w:rPr>
        <w:t>、</w:t>
      </w:r>
      <w:r>
        <w:rPr>
          <w:rFonts w:hint="eastAsia" w:ascii="宋体" w:hAnsi="宋体" w:cs="宋体"/>
          <w:b/>
          <w:sz w:val="24"/>
        </w:rPr>
        <w:t>验收</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cs="宋体"/>
          <w:sz w:val="24"/>
        </w:rPr>
      </w:pPr>
      <w:r>
        <w:rPr>
          <w:rFonts w:hint="eastAsia" w:ascii="宋体" w:hAnsi="宋体" w:cs="宋体"/>
          <w:sz w:val="24"/>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cs="宋体"/>
          <w:sz w:val="24"/>
        </w:rPr>
      </w:pPr>
      <w:r>
        <w:rPr>
          <w:rFonts w:hint="eastAsia" w:ascii="宋体" w:hAnsi="宋体" w:cs="宋体"/>
          <w:sz w:val="24"/>
        </w:rPr>
        <w:t>2.乙方交货前应对产品作出全面检查和对验收文件进行整理，并列出清单，作为甲方收货验收和使用的技术条件依据，检验的结果应随货物交甲方。</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cs="宋体"/>
          <w:sz w:val="24"/>
        </w:rPr>
      </w:pPr>
      <w:r>
        <w:rPr>
          <w:rFonts w:hint="eastAsia" w:ascii="宋体" w:hAnsi="宋体" w:cs="宋体"/>
          <w:sz w:val="24"/>
        </w:rPr>
        <w:t>3.甲方对乙方提供的货物在使用前进行调试时，乙方需负责安装并培训甲方的使用操作人员，并协助甲方一起调试，直到符合技术要求，甲方才做最终验收。</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cs="宋体"/>
          <w:sz w:val="24"/>
        </w:rPr>
      </w:pPr>
      <w:r>
        <w:rPr>
          <w:rFonts w:hint="eastAsia" w:ascii="宋体" w:hAnsi="宋体" w:cs="宋体"/>
          <w:sz w:val="24"/>
        </w:rPr>
        <w:t>4.对技术复杂的货物，甲方应请国家认可的专业检测机构参与初步验收及最终验收，并由其出具质量检测报告。</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int="eastAsia" w:ascii="宋体" w:hAnsi="宋体" w:cs="宋体"/>
          <w:sz w:val="24"/>
        </w:rPr>
        <w:t>5.验收时乙方必须在现场，验收完毕后作出验收结果报告；验收费用由乙方负责。</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Ansi="宋体"/>
          <w:b/>
        </w:rPr>
      </w:pPr>
      <w:r>
        <w:rPr>
          <w:rFonts w:hAnsi="宋体"/>
          <w:b/>
        </w:rPr>
        <w:t>十</w:t>
      </w:r>
      <w:r>
        <w:rPr>
          <w:rFonts w:hint="eastAsia" w:hAnsi="宋体"/>
          <w:b/>
          <w:lang w:val="en-US" w:eastAsia="zh-CN"/>
        </w:rPr>
        <w:t>五</w:t>
      </w:r>
      <w:r>
        <w:rPr>
          <w:rFonts w:hAnsi="宋体"/>
          <w:b/>
        </w:rPr>
        <w:t>、货物包装、发运及运输</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1</w:t>
      </w:r>
      <w:r>
        <w:rPr>
          <w:rFonts w:hint="eastAsia" w:hAnsi="宋体"/>
        </w:rPr>
        <w:t>.</w:t>
      </w:r>
      <w:r>
        <w:rPr>
          <w:rFonts w:hAnsi="宋体"/>
        </w:rPr>
        <w:t>乙方应在货物发运前对其进行满足运输距离、防潮、防震、防锈和防破损装卸等要求包装，以保证货物安全运达甲方指定地点。</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2</w:t>
      </w:r>
      <w:r>
        <w:rPr>
          <w:rFonts w:hint="eastAsia" w:hAnsi="宋体"/>
        </w:rPr>
        <w:t>.</w:t>
      </w:r>
      <w:r>
        <w:rPr>
          <w:rFonts w:hAnsi="宋体"/>
        </w:rPr>
        <w:t>使用说明书、质量检验证明书、随配附件和工具以及清单一并附于货物内。</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3</w:t>
      </w:r>
      <w:r>
        <w:rPr>
          <w:rFonts w:hint="eastAsia" w:hAnsi="宋体"/>
        </w:rPr>
        <w:t>.</w:t>
      </w:r>
      <w:r>
        <w:rPr>
          <w:rFonts w:hAnsi="宋体"/>
        </w:rPr>
        <w:t>乙方在货物发运手续办理完毕后24小时内或货到甲方48小时前通知甲方，以准备接货。</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4</w:t>
      </w:r>
      <w:r>
        <w:rPr>
          <w:rFonts w:hint="eastAsia" w:hAnsi="宋体"/>
        </w:rPr>
        <w:t>.</w:t>
      </w:r>
      <w:r>
        <w:rPr>
          <w:rFonts w:hAnsi="宋体"/>
        </w:rPr>
        <w:t>货物在交付甲方前发生的风险均由乙方负责。</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5</w:t>
      </w:r>
      <w:r>
        <w:rPr>
          <w:rFonts w:hint="eastAsia" w:hAnsi="宋体"/>
        </w:rPr>
        <w:t>.</w:t>
      </w:r>
      <w:r>
        <w:rPr>
          <w:rFonts w:hAnsi="宋体"/>
        </w:rPr>
        <w:t>货物在规定的交付期限内由乙方送达甲方指定的地点视为交付，乙方同时需通知甲方货物已送达。</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Ansi="宋体"/>
          <w:b/>
        </w:rPr>
      </w:pPr>
      <w:r>
        <w:rPr>
          <w:rFonts w:hAnsi="宋体"/>
          <w:b/>
        </w:rPr>
        <w:t>十</w:t>
      </w:r>
      <w:r>
        <w:rPr>
          <w:rFonts w:hint="eastAsia" w:hAnsi="宋体"/>
          <w:b/>
          <w:lang w:val="en-US" w:eastAsia="zh-CN"/>
        </w:rPr>
        <w:t>六</w:t>
      </w:r>
      <w:r>
        <w:rPr>
          <w:rFonts w:hAnsi="宋体"/>
          <w:b/>
        </w:rPr>
        <w:t>、违约责任</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1</w:t>
      </w:r>
      <w:r>
        <w:rPr>
          <w:rFonts w:hint="eastAsia" w:hAnsi="宋体"/>
        </w:rPr>
        <w:t>.</w:t>
      </w:r>
      <w:r>
        <w:rPr>
          <w:rFonts w:hAnsi="宋体"/>
        </w:rPr>
        <w:t>甲方无正当理由拒收货物的，甲方向乙方偿付拒收货款总值的百分之五违约金。</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2</w:t>
      </w:r>
      <w:r>
        <w:rPr>
          <w:rFonts w:hint="eastAsia" w:hAnsi="宋体"/>
        </w:rPr>
        <w:t>.</w:t>
      </w:r>
      <w:r>
        <w:rPr>
          <w:rFonts w:hAnsi="宋体"/>
        </w:rPr>
        <w:t>甲方无故逾期验收和办理货款支付手续的,甲方应按逾期付款总额每日万分之五向乙方支付违约金。</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3</w:t>
      </w:r>
      <w:r>
        <w:rPr>
          <w:rFonts w:hint="eastAsia" w:hAnsi="宋体"/>
        </w:rPr>
        <w:t>.</w:t>
      </w:r>
      <w:r>
        <w:rPr>
          <w:rFonts w:hAnsi="宋体"/>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4</w:t>
      </w:r>
      <w:r>
        <w:rPr>
          <w:rFonts w:hint="eastAsia" w:hAnsi="宋体"/>
        </w:rPr>
        <w:t>.</w:t>
      </w:r>
      <w:r>
        <w:rPr>
          <w:rFonts w:hAnsi="宋体"/>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Ansi="宋体"/>
          <w:b/>
        </w:rPr>
      </w:pPr>
      <w:r>
        <w:rPr>
          <w:rFonts w:hAnsi="宋体"/>
          <w:b/>
        </w:rPr>
        <w:t>十</w:t>
      </w:r>
      <w:r>
        <w:rPr>
          <w:rFonts w:hint="eastAsia" w:hAnsi="宋体"/>
          <w:b/>
          <w:lang w:val="en-US" w:eastAsia="zh-CN"/>
        </w:rPr>
        <w:t>七</w:t>
      </w:r>
      <w:r>
        <w:rPr>
          <w:rFonts w:hAnsi="宋体"/>
          <w:b/>
        </w:rPr>
        <w:t>、不可抗力事件处理</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1</w:t>
      </w:r>
      <w:r>
        <w:rPr>
          <w:rFonts w:hint="eastAsia" w:hAnsi="宋体"/>
        </w:rPr>
        <w:t>.</w:t>
      </w:r>
      <w:r>
        <w:rPr>
          <w:rFonts w:hAnsi="宋体"/>
        </w:rPr>
        <w:t>在合同有效期内，任何一方因不可抗力事件导致不能履行合同，则合同履行期可延长，其延长期与不可抗力影响期相同。</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rPr>
      </w:pPr>
      <w:r>
        <w:rPr>
          <w:rFonts w:hAnsi="宋体"/>
        </w:rPr>
        <w:t>2</w:t>
      </w:r>
      <w:r>
        <w:rPr>
          <w:rFonts w:hint="eastAsia" w:hAnsi="宋体"/>
        </w:rPr>
        <w:t>.</w:t>
      </w:r>
      <w:r>
        <w:rPr>
          <w:rFonts w:hAnsi="宋体"/>
        </w:rPr>
        <w:t>不可抗力事件发生后，应立即通知对方，并寄送有关权威机构出具的证明。</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3</w:t>
      </w:r>
      <w:r>
        <w:rPr>
          <w:rFonts w:hint="eastAsia" w:hAnsi="宋体"/>
        </w:rPr>
        <w:t>.</w:t>
      </w:r>
      <w:r>
        <w:rPr>
          <w:rFonts w:hAnsi="宋体"/>
        </w:rPr>
        <w:t>不可抗力事件延续120天以上，双方应通过友好协商，确定是否继续履行合同。</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Ansi="宋体"/>
          <w:b/>
        </w:rPr>
      </w:pPr>
      <w:r>
        <w:rPr>
          <w:rFonts w:hAnsi="宋体"/>
          <w:b/>
        </w:rPr>
        <w:t>十</w:t>
      </w:r>
      <w:r>
        <w:rPr>
          <w:rFonts w:hint="eastAsia" w:hAnsi="宋体"/>
          <w:b/>
          <w:lang w:val="en-US" w:eastAsia="zh-CN"/>
        </w:rPr>
        <w:t>八</w:t>
      </w:r>
      <w:r>
        <w:rPr>
          <w:rFonts w:hAnsi="宋体"/>
          <w:b/>
        </w:rPr>
        <w:t>、诉讼</w:t>
      </w: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rPr>
      </w:pPr>
      <w:r>
        <w:rPr>
          <w:rFonts w:hAnsi="宋体"/>
        </w:rPr>
        <w:t>双方在执行合同中所发生的一切争议，应通过协商解决。如协商不成，可向</w:t>
      </w:r>
      <w:r>
        <w:rPr>
          <w:rFonts w:hint="eastAsia" w:hAnsi="宋体"/>
        </w:rPr>
        <w:t>甲方所在</w:t>
      </w:r>
      <w:r>
        <w:rPr>
          <w:rFonts w:hAnsi="宋体"/>
        </w:rPr>
        <w:t>地法院起诉。</w:t>
      </w:r>
    </w:p>
    <w:p>
      <w:pPr>
        <w:pStyle w:val="27"/>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bCs/>
          <w:color w:val="000000"/>
        </w:rPr>
      </w:pPr>
      <w:r>
        <w:rPr>
          <w:rFonts w:hint="eastAsia" w:hAnsi="宋体"/>
          <w:b/>
          <w:bCs/>
          <w:color w:val="000000"/>
        </w:rPr>
        <w:t>十</w:t>
      </w:r>
      <w:r>
        <w:rPr>
          <w:rFonts w:hint="eastAsia" w:hAnsi="宋体"/>
          <w:b/>
          <w:bCs/>
          <w:color w:val="000000"/>
          <w:lang w:val="en-US" w:eastAsia="zh-CN"/>
        </w:rPr>
        <w:t>九</w:t>
      </w:r>
      <w:r>
        <w:rPr>
          <w:rFonts w:hint="eastAsia" w:hAnsi="宋体"/>
          <w:b/>
          <w:bCs/>
          <w:color w:val="000000"/>
        </w:rPr>
        <w:t>、合同生效</w:t>
      </w:r>
    </w:p>
    <w:p>
      <w:pPr>
        <w:pStyle w:val="27"/>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olor w:val="000000"/>
        </w:rPr>
      </w:pPr>
      <w:r>
        <w:rPr>
          <w:rFonts w:hint="eastAsia" w:hAnsi="宋体"/>
          <w:color w:val="000000"/>
        </w:rPr>
        <w:t>1.合同经双方法定代表人或授权代表签字并加盖单位公章</w:t>
      </w:r>
      <w:r>
        <w:rPr>
          <w:rFonts w:hint="eastAsia" w:hAnsi="宋体"/>
        </w:rPr>
        <w:t>后，报经东阳市采购办备案生效</w:t>
      </w:r>
      <w:r>
        <w:rPr>
          <w:rFonts w:hint="eastAsia" w:hAnsi="宋体"/>
          <w:color w:val="000000"/>
        </w:rPr>
        <w:t>。</w:t>
      </w:r>
    </w:p>
    <w:p>
      <w:pPr>
        <w:pStyle w:val="27"/>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olor w:val="000000"/>
        </w:rPr>
      </w:pPr>
      <w:r>
        <w:rPr>
          <w:rFonts w:hint="eastAsia" w:hAnsi="宋体"/>
          <w:color w:val="000000"/>
        </w:rPr>
        <w:t>2.合同执行中涉及采购资金和采购内容修改或补充的，须经财政部门审批，并签书面补充协议报政府采购监督管理部门备案，方可作为主合同不可分割的一部分。</w:t>
      </w:r>
    </w:p>
    <w:p>
      <w:pPr>
        <w:pStyle w:val="27"/>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olor w:val="000000"/>
        </w:rPr>
      </w:pPr>
      <w:r>
        <w:rPr>
          <w:rFonts w:hint="eastAsia" w:hAnsi="宋体"/>
          <w:color w:val="000000"/>
        </w:rPr>
        <w:t>3.本合同未尽事宜，遵照《</w:t>
      </w:r>
      <w:r>
        <w:rPr>
          <w:rFonts w:hint="eastAsia" w:hAnsi="宋体"/>
          <w:color w:val="000000"/>
          <w:lang w:eastAsia="zh-CN"/>
        </w:rPr>
        <w:t>中华人民共和国</w:t>
      </w:r>
      <w:r>
        <w:rPr>
          <w:rFonts w:hint="eastAsia" w:hAnsi="宋体"/>
          <w:color w:val="000000"/>
        </w:rPr>
        <w:t>民法典》有关条文执行。</w:t>
      </w:r>
    </w:p>
    <w:p>
      <w:pPr>
        <w:pStyle w:val="27"/>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olor w:val="000000"/>
        </w:rPr>
      </w:pPr>
      <w:r>
        <w:rPr>
          <w:rFonts w:hint="eastAsia" w:hAnsi="宋体"/>
          <w:color w:val="000000"/>
        </w:rPr>
        <w:t>4.本合同正本一式六份，具有同等法律效力，甲乙双方各执二份；采购代理机构存档一份，政府采购管理部门备案一份。</w:t>
      </w:r>
    </w:p>
    <w:p>
      <w:pPr>
        <w:spacing w:line="360" w:lineRule="auto"/>
        <w:rPr>
          <w:rFonts w:hint="eastAsia" w:ascii="宋体" w:hAnsi="宋体" w:cs="宋体"/>
          <w:b/>
          <w:sz w:val="24"/>
        </w:rPr>
      </w:pPr>
      <w:r>
        <w:rPr>
          <w:rFonts w:hint="eastAsia" w:ascii="宋体" w:hAnsi="宋体" w:cs="宋体"/>
          <w:b/>
          <w:sz w:val="24"/>
        </w:rPr>
        <w:t>采购单位（甲方盖章）：                供货单位（乙方盖章）：</w:t>
      </w:r>
    </w:p>
    <w:p>
      <w:pPr>
        <w:spacing w:line="360" w:lineRule="auto"/>
        <w:rPr>
          <w:rFonts w:hint="eastAsia" w:ascii="宋体" w:hAnsi="宋体" w:cs="宋体"/>
          <w:sz w:val="24"/>
        </w:rPr>
      </w:pPr>
      <w:r>
        <w:rPr>
          <w:rFonts w:hint="eastAsia" w:ascii="宋体" w:hAnsi="宋体" w:cs="宋体"/>
          <w:sz w:val="24"/>
        </w:rPr>
        <w:t>法定代表人或受委托人                  法定代表人或受委托人</w:t>
      </w:r>
    </w:p>
    <w:p>
      <w:pPr>
        <w:spacing w:line="360" w:lineRule="auto"/>
        <w:rPr>
          <w:rFonts w:hint="eastAsia" w:ascii="宋体" w:hAnsi="宋体" w:cs="宋体"/>
          <w:sz w:val="24"/>
        </w:rPr>
      </w:pPr>
      <w:r>
        <w:rPr>
          <w:rFonts w:hint="eastAsia" w:ascii="宋体" w:hAnsi="宋体" w:cs="宋体"/>
          <w:sz w:val="24"/>
        </w:rPr>
        <w:t>（签字）                             （签字）</w:t>
      </w:r>
    </w:p>
    <w:p>
      <w:pPr>
        <w:spacing w:line="360" w:lineRule="auto"/>
        <w:rPr>
          <w:rFonts w:hint="eastAsia" w:ascii="宋体" w:hAnsi="宋体" w:cs="宋体"/>
          <w:sz w:val="24"/>
        </w:rPr>
      </w:pPr>
      <w:r>
        <w:rPr>
          <w:rFonts w:hint="eastAsia" w:ascii="宋体" w:hAnsi="宋体" w:cs="宋体"/>
          <w:sz w:val="24"/>
        </w:rPr>
        <w:t>地址：东阳市                          地址：</w:t>
      </w:r>
    </w:p>
    <w:p>
      <w:pPr>
        <w:spacing w:line="360" w:lineRule="auto"/>
        <w:rPr>
          <w:rFonts w:hint="eastAsia" w:ascii="宋体" w:hAnsi="宋体" w:cs="宋体"/>
          <w:sz w:val="24"/>
        </w:rPr>
      </w:pPr>
      <w:r>
        <w:rPr>
          <w:rFonts w:hint="eastAsia" w:ascii="宋体" w:hAnsi="宋体" w:cs="宋体"/>
          <w:sz w:val="24"/>
        </w:rPr>
        <w:t>开户银行：                            开户银行：</w:t>
      </w:r>
    </w:p>
    <w:p>
      <w:pPr>
        <w:spacing w:line="360" w:lineRule="auto"/>
        <w:rPr>
          <w:rFonts w:hint="eastAsia" w:ascii="宋体" w:hAnsi="宋体" w:cs="宋体"/>
          <w:b/>
          <w:sz w:val="24"/>
        </w:rPr>
      </w:pPr>
      <w:r>
        <w:rPr>
          <w:rFonts w:hint="eastAsia" w:ascii="宋体" w:hAnsi="宋体" w:cs="宋体"/>
          <w:sz w:val="24"/>
        </w:rPr>
        <w:t>帐号：                                帐号：</w:t>
      </w:r>
    </w:p>
    <w:p>
      <w:pPr>
        <w:spacing w:line="360" w:lineRule="auto"/>
        <w:rPr>
          <w:rFonts w:hint="eastAsia" w:ascii="宋体" w:hAnsi="宋体" w:cs="宋体"/>
          <w:b/>
          <w:sz w:val="24"/>
        </w:rPr>
      </w:pPr>
      <w:r>
        <w:rPr>
          <w:rFonts w:hint="eastAsia" w:ascii="宋体" w:hAnsi="宋体" w:cs="宋体"/>
          <w:b/>
          <w:sz w:val="24"/>
        </w:rPr>
        <w:t xml:space="preserve">招标代理机构（盖章）：                             </w:t>
      </w:r>
    </w:p>
    <w:p>
      <w:pPr>
        <w:spacing w:line="360" w:lineRule="auto"/>
        <w:rPr>
          <w:rFonts w:hint="eastAsia" w:ascii="宋体" w:hAnsi="宋体" w:cs="宋体"/>
          <w:sz w:val="24"/>
        </w:rPr>
      </w:pPr>
      <w:r>
        <w:rPr>
          <w:rFonts w:hint="eastAsia" w:ascii="宋体" w:hAnsi="宋体" w:cs="宋体"/>
          <w:sz w:val="24"/>
        </w:rPr>
        <w:t xml:space="preserve">法定代表人或受委托人                              </w:t>
      </w:r>
    </w:p>
    <w:p>
      <w:pPr>
        <w:spacing w:line="360" w:lineRule="auto"/>
        <w:rPr>
          <w:rFonts w:hint="eastAsia" w:ascii="宋体" w:hAnsi="宋体" w:cs="宋体"/>
          <w:sz w:val="24"/>
        </w:rPr>
      </w:pPr>
      <w:r>
        <w:rPr>
          <w:rFonts w:hint="eastAsia" w:ascii="宋体" w:hAnsi="宋体" w:cs="宋体"/>
          <w:sz w:val="24"/>
        </w:rPr>
        <w:t xml:space="preserve">（签字）                                               </w:t>
      </w:r>
    </w:p>
    <w:p>
      <w:pPr>
        <w:pStyle w:val="27"/>
        <w:snapToGrid w:val="0"/>
        <w:spacing w:before="0" w:beforeLines="0" w:after="0" w:afterLines="0" w:line="360" w:lineRule="auto"/>
        <w:rPr>
          <w:rFonts w:hint="eastAsia" w:hAnsi="宋体" w:cs="宋体"/>
          <w:b/>
          <w:bCs/>
        </w:rPr>
      </w:pPr>
      <w:r>
        <w:rPr>
          <w:rFonts w:hint="eastAsia" w:hAnsi="宋体" w:cs="宋体"/>
        </w:rPr>
        <w:t>签约地点：东阳                         签约时间：</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left="0"/>
        <w:textAlignment w:val="auto"/>
        <w:rPr>
          <w:rFonts w:hint="eastAsia"/>
        </w:rPr>
      </w:pPr>
    </w:p>
    <w:p>
      <w:pPr>
        <w:pStyle w:val="27"/>
        <w:snapToGrid w:val="0"/>
        <w:spacing w:before="156" w:after="156" w:line="360" w:lineRule="auto"/>
        <w:jc w:val="center"/>
        <w:outlineLvl w:val="0"/>
        <w:rPr>
          <w:rFonts w:hint="eastAsia" w:hAnsi="宋体" w:cs="宋体"/>
          <w:b/>
          <w:color w:val="0D0D0D"/>
          <w:sz w:val="36"/>
          <w:szCs w:val="36"/>
        </w:rPr>
      </w:pPr>
    </w:p>
    <w:p>
      <w:pPr>
        <w:pStyle w:val="27"/>
        <w:snapToGrid w:val="0"/>
        <w:spacing w:before="156" w:after="156" w:line="360" w:lineRule="auto"/>
        <w:jc w:val="center"/>
        <w:outlineLvl w:val="0"/>
        <w:rPr>
          <w:rFonts w:hint="eastAsia" w:hAnsi="宋体" w:cs="宋体"/>
          <w:b/>
          <w:color w:val="0D0D0D"/>
          <w:sz w:val="36"/>
          <w:szCs w:val="36"/>
        </w:rPr>
      </w:pPr>
    </w:p>
    <w:p>
      <w:pPr>
        <w:pStyle w:val="27"/>
        <w:snapToGrid w:val="0"/>
        <w:spacing w:before="156" w:after="156" w:line="360" w:lineRule="auto"/>
        <w:jc w:val="center"/>
        <w:outlineLvl w:val="0"/>
        <w:rPr>
          <w:rFonts w:hint="eastAsia" w:hAnsi="宋体" w:cs="宋体"/>
          <w:b/>
          <w:color w:val="0D0D0D"/>
          <w:sz w:val="36"/>
          <w:szCs w:val="36"/>
        </w:rPr>
      </w:pPr>
    </w:p>
    <w:p>
      <w:pPr>
        <w:pStyle w:val="27"/>
        <w:snapToGrid w:val="0"/>
        <w:spacing w:before="156" w:after="156" w:line="360" w:lineRule="auto"/>
        <w:jc w:val="center"/>
        <w:outlineLvl w:val="0"/>
        <w:rPr>
          <w:rFonts w:hint="eastAsia" w:hAnsi="宋体" w:cs="宋体"/>
          <w:b/>
          <w:color w:val="0D0D0D"/>
          <w:sz w:val="36"/>
          <w:szCs w:val="36"/>
        </w:rPr>
      </w:pPr>
    </w:p>
    <w:p>
      <w:pPr>
        <w:pStyle w:val="27"/>
        <w:snapToGrid w:val="0"/>
        <w:spacing w:before="156" w:after="156" w:line="360" w:lineRule="auto"/>
        <w:jc w:val="center"/>
        <w:outlineLvl w:val="0"/>
        <w:rPr>
          <w:rFonts w:hint="eastAsia" w:hAnsi="宋体" w:cs="宋体"/>
          <w:b/>
          <w:color w:val="0D0D0D"/>
          <w:sz w:val="36"/>
          <w:szCs w:val="36"/>
        </w:rPr>
      </w:pPr>
    </w:p>
    <w:p>
      <w:pPr>
        <w:pStyle w:val="27"/>
        <w:snapToGrid w:val="0"/>
        <w:spacing w:before="156" w:after="156" w:line="360" w:lineRule="auto"/>
        <w:jc w:val="center"/>
        <w:outlineLvl w:val="0"/>
        <w:rPr>
          <w:rFonts w:hAnsi="宋体" w:cs="宋体"/>
          <w:b/>
          <w:color w:val="0D0D0D"/>
          <w:sz w:val="36"/>
          <w:szCs w:val="36"/>
        </w:rPr>
      </w:pPr>
      <w:r>
        <w:rPr>
          <w:rFonts w:hint="eastAsia" w:hAnsi="宋体" w:cs="宋体"/>
          <w:b/>
          <w:color w:val="0D0D0D"/>
          <w:sz w:val="36"/>
          <w:szCs w:val="36"/>
        </w:rPr>
        <w:t>第六章</w:t>
      </w:r>
      <w:r>
        <w:rPr>
          <w:rFonts w:hint="eastAsia" w:hAnsi="宋体" w:cs="宋体"/>
          <w:b/>
          <w:color w:val="0D0D0D"/>
          <w:sz w:val="36"/>
          <w:szCs w:val="36"/>
          <w:lang w:val="en-US" w:eastAsia="zh-CN"/>
        </w:rPr>
        <w:t xml:space="preserve">   </w:t>
      </w:r>
      <w:r>
        <w:rPr>
          <w:rFonts w:hint="eastAsia" w:hAnsi="宋体" w:cs="宋体"/>
          <w:b/>
          <w:color w:val="0D0D0D"/>
          <w:sz w:val="36"/>
          <w:szCs w:val="36"/>
        </w:rPr>
        <w:t>投标文件格式</w:t>
      </w:r>
    </w:p>
    <w:p>
      <w:pPr>
        <w:snapToGrid w:val="0"/>
        <w:spacing w:beforeLines="50" w:after="50" w:line="360" w:lineRule="auto"/>
        <w:outlineLvl w:val="1"/>
        <w:rPr>
          <w:rFonts w:ascii="宋体"/>
          <w:b/>
          <w:sz w:val="24"/>
        </w:rPr>
      </w:pPr>
      <w:r>
        <w:rPr>
          <w:rFonts w:ascii="宋体" w:hAnsi="宋体"/>
          <w:b/>
          <w:sz w:val="24"/>
        </w:rPr>
        <w:t>1</w:t>
      </w:r>
      <w:r>
        <w:rPr>
          <w:rFonts w:ascii="宋体"/>
          <w:b/>
          <w:sz w:val="24"/>
        </w:rPr>
        <w:t>.</w:t>
      </w:r>
      <w:r>
        <w:rPr>
          <w:rFonts w:hint="eastAsia" w:ascii="宋体" w:hAnsi="宋体"/>
          <w:b/>
          <w:sz w:val="24"/>
        </w:rPr>
        <w:t>所有投标文件封面格式：</w:t>
      </w:r>
    </w:p>
    <w:p>
      <w:pPr>
        <w:snapToGrid w:val="0"/>
        <w:spacing w:beforeLines="50" w:after="50" w:line="360" w:lineRule="auto"/>
        <w:ind w:firstLine="5736" w:firstLineChars="2390"/>
        <w:rPr>
          <w:rFonts w:ascii="宋体"/>
          <w:b/>
          <w:bCs/>
          <w:sz w:val="24"/>
        </w:rPr>
      </w:pPr>
      <w:r>
        <w:rPr>
          <w:rFonts w:hint="eastAsia" w:ascii="宋体" w:hAnsi="宋体"/>
          <w:b/>
          <w:bCs/>
          <w:sz w:val="24"/>
        </w:rPr>
        <w:t>正本</w:t>
      </w:r>
      <w:r>
        <w:rPr>
          <w:rFonts w:ascii="宋体" w:hAnsi="宋体"/>
          <w:b/>
          <w:bCs/>
          <w:sz w:val="24"/>
        </w:rPr>
        <w:t>/</w:t>
      </w:r>
      <w:r>
        <w:rPr>
          <w:rFonts w:hint="eastAsia" w:ascii="宋体" w:hAnsi="宋体"/>
          <w:b/>
          <w:bCs/>
          <w:sz w:val="24"/>
        </w:rPr>
        <w:t>或副本</w:t>
      </w:r>
    </w:p>
    <w:p>
      <w:pPr>
        <w:snapToGrid w:val="0"/>
        <w:spacing w:beforeLines="50" w:after="50" w:line="360" w:lineRule="auto"/>
        <w:jc w:val="center"/>
        <w:rPr>
          <w:rFonts w:ascii="宋体"/>
          <w:bCs/>
          <w:sz w:val="24"/>
        </w:rPr>
      </w:pPr>
      <w:r>
        <w:rPr>
          <w:rFonts w:hint="eastAsia" w:ascii="宋体" w:hAnsi="宋体"/>
          <w:bCs/>
          <w:sz w:val="24"/>
        </w:rPr>
        <w:t>资信商务</w:t>
      </w:r>
      <w:r>
        <w:rPr>
          <w:rFonts w:hint="eastAsia" w:ascii="宋体" w:hAnsi="宋体"/>
          <w:bCs/>
          <w:sz w:val="24"/>
          <w:lang w:eastAsia="zh-CN"/>
        </w:rPr>
        <w:t>及</w:t>
      </w:r>
      <w:r>
        <w:rPr>
          <w:rFonts w:hint="eastAsia" w:ascii="宋体" w:hAnsi="宋体"/>
          <w:bCs/>
          <w:sz w:val="24"/>
        </w:rPr>
        <w:t>技术、报价文件、资格审查资料</w:t>
      </w:r>
    </w:p>
    <w:p>
      <w:pPr>
        <w:spacing w:beforeLines="50" w:line="600" w:lineRule="exact"/>
        <w:jc w:val="left"/>
        <w:rPr>
          <w:rFonts w:ascii="宋体"/>
          <w:b/>
          <w:sz w:val="24"/>
        </w:rPr>
      </w:pPr>
      <w:r>
        <w:rPr>
          <w:rFonts w:hint="eastAsia" w:ascii="宋体" w:hAnsi="宋体"/>
          <w:bCs/>
          <w:sz w:val="24"/>
        </w:rPr>
        <w:t>项目名称：</w:t>
      </w:r>
      <w:r>
        <w:rPr>
          <w:rFonts w:hint="eastAsia" w:ascii="宋体" w:hAnsi="宋体"/>
          <w:bCs/>
          <w:sz w:val="24"/>
          <w:lang w:eastAsia="zh-CN"/>
        </w:rPr>
        <w:t>2025年东阳市图书馆新增图书采购项目</w:t>
      </w:r>
      <w:r>
        <w:rPr>
          <w:rFonts w:hint="eastAsia" w:ascii="宋体" w:hAnsi="宋体"/>
          <w:bCs/>
          <w:sz w:val="24"/>
          <w:lang w:val="en-US" w:eastAsia="zh-CN"/>
        </w:rPr>
        <w:t xml:space="preserve"> </w:t>
      </w:r>
    </w:p>
    <w:p>
      <w:pPr>
        <w:spacing w:beforeLines="50" w:afterLines="50" w:line="360" w:lineRule="auto"/>
        <w:rPr>
          <w:rFonts w:hint="default" w:ascii="宋体" w:eastAsia="宋体"/>
          <w:bCs/>
          <w:sz w:val="24"/>
          <w:lang w:val="en-US" w:eastAsia="zh-CN"/>
        </w:rPr>
      </w:pPr>
      <w:r>
        <w:rPr>
          <w:rFonts w:hint="eastAsia" w:ascii="宋体" w:hAnsi="宋体"/>
          <w:bCs/>
          <w:sz w:val="24"/>
        </w:rPr>
        <w:t>项目编号：</w:t>
      </w:r>
      <w:r>
        <w:rPr>
          <w:rFonts w:hint="eastAsia" w:ascii="宋体" w:hAnsi="宋体"/>
          <w:bCs/>
          <w:sz w:val="24"/>
          <w:lang w:val="en-US" w:eastAsia="zh-CN"/>
        </w:rPr>
        <w:t>JCZFCG2025-Z19-A364</w:t>
      </w:r>
    </w:p>
    <w:p>
      <w:pPr>
        <w:snapToGrid w:val="0"/>
        <w:spacing w:beforeLines="50" w:after="50" w:line="360" w:lineRule="auto"/>
        <w:rPr>
          <w:rFonts w:hint="default" w:ascii="宋体" w:eastAsia="宋体"/>
          <w:bCs/>
          <w:color w:val="0D0D0D"/>
          <w:sz w:val="24"/>
          <w:lang w:val="en-US" w:eastAsia="zh-CN"/>
        </w:rPr>
      </w:pPr>
      <w:r>
        <w:rPr>
          <w:rFonts w:hint="eastAsia" w:ascii="宋体" w:hAnsi="宋体"/>
          <w:bCs/>
          <w:sz w:val="24"/>
        </w:rPr>
        <w:t>标项：1/2</w:t>
      </w:r>
      <w:r>
        <w:rPr>
          <w:rFonts w:hint="eastAsia" w:ascii="宋体" w:hAnsi="宋体"/>
          <w:bCs/>
          <w:sz w:val="24"/>
          <w:lang w:val="en-US" w:eastAsia="zh-CN"/>
        </w:rPr>
        <w:t>/3</w:t>
      </w:r>
    </w:p>
    <w:p>
      <w:pPr>
        <w:snapToGrid w:val="0"/>
        <w:spacing w:beforeLines="50" w:after="50" w:line="360" w:lineRule="auto"/>
        <w:rPr>
          <w:rFonts w:ascii="宋体"/>
          <w:bCs/>
          <w:sz w:val="24"/>
        </w:rPr>
      </w:pPr>
      <w:r>
        <w:rPr>
          <w:rFonts w:hint="eastAsia" w:ascii="宋体" w:hAnsi="宋体"/>
          <w:bCs/>
          <w:sz w:val="24"/>
        </w:rPr>
        <w:t>投标人名称：</w:t>
      </w:r>
    </w:p>
    <w:p>
      <w:pPr>
        <w:snapToGrid w:val="0"/>
        <w:spacing w:beforeLines="50" w:after="50" w:line="360" w:lineRule="auto"/>
        <w:rPr>
          <w:rFonts w:ascii="宋体"/>
          <w:bCs/>
          <w:sz w:val="24"/>
        </w:rPr>
      </w:pPr>
      <w:r>
        <w:rPr>
          <w:rFonts w:hint="eastAsia" w:ascii="宋体" w:hAnsi="宋体"/>
          <w:bCs/>
          <w:sz w:val="24"/>
        </w:rPr>
        <w:t>投标人地址：</w:t>
      </w:r>
    </w:p>
    <w:p>
      <w:pPr>
        <w:snapToGrid w:val="0"/>
        <w:spacing w:beforeLines="50" w:after="50" w:line="360" w:lineRule="auto"/>
        <w:ind w:firstLine="645"/>
        <w:jc w:val="center"/>
        <w:rPr>
          <w:rFonts w:ascii="宋体"/>
          <w:sz w:val="24"/>
        </w:rPr>
      </w:pPr>
      <w:r>
        <w:rPr>
          <w:rFonts w:hint="eastAsia" w:ascii="宋体" w:hAnsi="宋体"/>
          <w:sz w:val="24"/>
        </w:rPr>
        <w:t>年月日</w:t>
      </w:r>
    </w:p>
    <w:p>
      <w:pPr>
        <w:snapToGrid w:val="0"/>
        <w:spacing w:beforeLines="50" w:after="50" w:line="360" w:lineRule="auto"/>
        <w:outlineLvl w:val="1"/>
        <w:rPr>
          <w:rFonts w:ascii="宋体"/>
          <w:b/>
          <w:sz w:val="24"/>
        </w:rPr>
      </w:pPr>
    </w:p>
    <w:p>
      <w:pPr>
        <w:snapToGrid w:val="0"/>
        <w:spacing w:beforeLines="50" w:after="50" w:line="360" w:lineRule="auto"/>
        <w:outlineLvl w:val="1"/>
        <w:rPr>
          <w:rFonts w:ascii="宋体"/>
          <w:b/>
          <w:sz w:val="24"/>
        </w:rPr>
      </w:pPr>
    </w:p>
    <w:p>
      <w:pPr>
        <w:snapToGrid w:val="0"/>
        <w:spacing w:beforeLines="50" w:after="50" w:line="360" w:lineRule="auto"/>
        <w:outlineLvl w:val="1"/>
        <w:rPr>
          <w:rFonts w:hint="eastAsia" w:ascii="宋体" w:hAnsi="宋体"/>
          <w:b/>
          <w:sz w:val="24"/>
          <w:lang w:val="en-US" w:eastAsia="zh-CN"/>
        </w:rPr>
      </w:pPr>
    </w:p>
    <w:p>
      <w:pPr>
        <w:snapToGrid w:val="0"/>
        <w:spacing w:beforeLines="50" w:after="50" w:line="360" w:lineRule="auto"/>
        <w:outlineLvl w:val="1"/>
        <w:rPr>
          <w:rFonts w:hint="eastAsia" w:ascii="宋体" w:hAnsi="宋体"/>
          <w:b/>
          <w:sz w:val="24"/>
          <w:lang w:val="en-US" w:eastAsia="zh-CN"/>
        </w:rPr>
      </w:pPr>
    </w:p>
    <w:p>
      <w:pPr>
        <w:snapToGrid w:val="0"/>
        <w:spacing w:beforeLines="50" w:after="50" w:line="360" w:lineRule="auto"/>
        <w:outlineLvl w:val="1"/>
        <w:rPr>
          <w:rFonts w:hint="eastAsia" w:ascii="宋体" w:hAnsi="宋体"/>
          <w:b/>
          <w:sz w:val="24"/>
          <w:lang w:val="en-US" w:eastAsia="zh-CN"/>
        </w:rPr>
      </w:pPr>
    </w:p>
    <w:p>
      <w:pPr>
        <w:snapToGrid w:val="0"/>
        <w:spacing w:beforeLines="50" w:after="50" w:line="360" w:lineRule="auto"/>
        <w:outlineLvl w:val="1"/>
        <w:rPr>
          <w:rFonts w:hint="eastAsia" w:ascii="宋体" w:hAnsi="宋体"/>
          <w:b/>
          <w:sz w:val="24"/>
          <w:lang w:val="en-US" w:eastAsia="zh-CN"/>
        </w:rPr>
      </w:pPr>
    </w:p>
    <w:p>
      <w:pPr>
        <w:snapToGrid w:val="0"/>
        <w:spacing w:beforeLines="50" w:after="50" w:line="360" w:lineRule="auto"/>
        <w:outlineLvl w:val="1"/>
        <w:rPr>
          <w:rFonts w:hint="eastAsia" w:ascii="宋体" w:hAnsi="宋体"/>
          <w:b/>
          <w:sz w:val="24"/>
          <w:lang w:val="en-US" w:eastAsia="zh-CN"/>
        </w:rPr>
      </w:pPr>
    </w:p>
    <w:p>
      <w:pPr>
        <w:snapToGrid w:val="0"/>
        <w:spacing w:beforeLines="50" w:after="50" w:line="360" w:lineRule="auto"/>
        <w:outlineLvl w:val="1"/>
        <w:rPr>
          <w:rFonts w:hint="eastAsia" w:ascii="宋体" w:hAnsi="宋体"/>
          <w:b/>
          <w:sz w:val="24"/>
          <w:lang w:val="en-US" w:eastAsia="zh-CN"/>
        </w:rPr>
      </w:pPr>
    </w:p>
    <w:p>
      <w:pPr>
        <w:snapToGrid w:val="0"/>
        <w:spacing w:beforeLines="50" w:after="50" w:line="360" w:lineRule="auto"/>
        <w:outlineLvl w:val="1"/>
        <w:rPr>
          <w:rFonts w:hint="eastAsia" w:ascii="宋体" w:hAnsi="宋体"/>
          <w:b/>
          <w:sz w:val="24"/>
          <w:lang w:val="en-US" w:eastAsia="zh-CN"/>
        </w:rPr>
      </w:pPr>
    </w:p>
    <w:p>
      <w:pPr>
        <w:snapToGrid w:val="0"/>
        <w:spacing w:beforeLines="50" w:after="50" w:line="360" w:lineRule="auto"/>
        <w:outlineLvl w:val="1"/>
        <w:rPr>
          <w:rFonts w:hint="eastAsia" w:ascii="宋体" w:hAnsi="宋体"/>
          <w:b/>
          <w:sz w:val="24"/>
          <w:lang w:val="en-US" w:eastAsia="zh-CN"/>
        </w:rPr>
      </w:pPr>
    </w:p>
    <w:p>
      <w:pPr>
        <w:snapToGrid w:val="0"/>
        <w:spacing w:beforeLines="50" w:after="50" w:line="360" w:lineRule="auto"/>
        <w:outlineLvl w:val="1"/>
        <w:rPr>
          <w:rFonts w:hint="eastAsia" w:ascii="宋体" w:hAnsi="宋体"/>
          <w:b/>
          <w:sz w:val="24"/>
          <w:lang w:val="en-US" w:eastAsia="zh-CN"/>
        </w:rPr>
      </w:pPr>
    </w:p>
    <w:p>
      <w:pPr>
        <w:snapToGrid w:val="0"/>
        <w:spacing w:beforeLines="50" w:after="50" w:line="360" w:lineRule="auto"/>
        <w:outlineLvl w:val="1"/>
        <w:rPr>
          <w:rFonts w:hint="eastAsia" w:ascii="宋体" w:hAnsi="宋体"/>
          <w:b/>
          <w:sz w:val="24"/>
          <w:lang w:val="en-US" w:eastAsia="zh-CN"/>
        </w:rPr>
      </w:pPr>
    </w:p>
    <w:p>
      <w:pPr>
        <w:rPr>
          <w:rFonts w:hint="eastAsia" w:ascii="宋体" w:hAnsi="宋体"/>
          <w:b/>
          <w:sz w:val="24"/>
          <w:lang w:val="en-US" w:eastAsia="zh-CN"/>
        </w:rPr>
      </w:pPr>
      <w:r>
        <w:rPr>
          <w:rFonts w:hint="eastAsia" w:ascii="宋体" w:hAnsi="宋体"/>
          <w:b/>
          <w:sz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4"/>
          <w:szCs w:val="24"/>
        </w:rPr>
      </w:pPr>
      <w:r>
        <w:rPr>
          <w:rFonts w:hint="eastAsia" w:ascii="宋体" w:hAnsi="宋体" w:eastAsia="宋体" w:cs="宋体"/>
          <w:b/>
          <w:bCs/>
          <w:color w:val="000000"/>
          <w:sz w:val="24"/>
          <w:szCs w:val="24"/>
        </w:rPr>
        <w:t>1、资格审查资料</w:t>
      </w:r>
      <w:r>
        <w:rPr>
          <w:rFonts w:hint="eastAsia" w:ascii="宋体" w:hAnsi="宋体" w:cs="宋体"/>
          <w:b/>
          <w:bCs/>
          <w:color w:val="000000"/>
          <w:sz w:val="24"/>
          <w:szCs w:val="24"/>
          <w:lang w:eastAsia="zh-CN"/>
        </w:rPr>
        <w:t>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1）有效的企业法人营业执照副本复印件；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法定代表人授权委托书及经办人身份证复印件；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中小企业声明函（如有）(格式见附件2.</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）残疾人福利性单位声明函（如有）(格式见附件2.</w:t>
      </w:r>
      <w:r>
        <w:rPr>
          <w:rFonts w:hint="eastAsia" w:ascii="宋体" w:hAnsi="宋体" w:eastAsia="宋体" w:cs="宋体"/>
          <w:sz w:val="24"/>
          <w:szCs w:val="24"/>
          <w:lang w:val="en-US" w:eastAsia="zh-CN"/>
        </w:rPr>
        <w:t>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）监狱企业证明文件（如有）(格式自拟)；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w:t>
      </w: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val="0"/>
        <w:autoSpaceDN w:val="0"/>
        <w:bidi w:val="0"/>
        <w:adjustRightInd w:val="0"/>
        <w:spacing w:line="460" w:lineRule="exact"/>
        <w:ind w:firstLine="480" w:firstLineChars="200"/>
        <w:rPr>
          <w:rFonts w:hint="eastAsia" w:ascii="宋体" w:hAnsi="宋体"/>
          <w:b/>
          <w:bCs/>
          <w:color w:val="0D0D0D"/>
          <w:sz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color w:val="0D0D0D"/>
          <w:sz w:val="24"/>
          <w:szCs w:val="24"/>
        </w:rPr>
        <w:t>投标人认为有必要提供的其它文件</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ascii="宋体" w:hAnsi="宋体"/>
          <w:b/>
          <w:bCs/>
          <w:color w:val="0D0D0D"/>
          <w:sz w:val="24"/>
        </w:rPr>
      </w:pPr>
      <w:r>
        <w:rPr>
          <w:rFonts w:hint="eastAsia" w:ascii="宋体" w:hAnsi="宋体"/>
          <w:b/>
          <w:bCs/>
          <w:color w:val="0D0D0D"/>
          <w:sz w:val="24"/>
          <w:lang w:val="en-US" w:eastAsia="zh-CN"/>
        </w:rPr>
        <w:t>2</w:t>
      </w:r>
      <w:r>
        <w:rPr>
          <w:rFonts w:hint="eastAsia" w:ascii="宋体" w:hAnsi="宋体"/>
          <w:b/>
          <w:bCs/>
          <w:color w:val="0D0D0D"/>
          <w:sz w:val="24"/>
          <w:lang w:eastAsia="zh-CN"/>
        </w:rPr>
        <w:t>、</w:t>
      </w:r>
      <w:r>
        <w:rPr>
          <w:rFonts w:hint="eastAsia" w:ascii="宋体" w:hAnsi="宋体"/>
          <w:b/>
          <w:bCs/>
          <w:color w:val="0D0D0D"/>
          <w:sz w:val="24"/>
        </w:rPr>
        <w:t>资信商务</w:t>
      </w:r>
      <w:r>
        <w:rPr>
          <w:rFonts w:hint="eastAsia" w:ascii="宋体" w:hAnsi="宋体"/>
          <w:b/>
          <w:bCs/>
          <w:color w:val="0D0D0D"/>
          <w:sz w:val="24"/>
          <w:lang w:eastAsia="zh-CN"/>
        </w:rPr>
        <w:t>及技术</w:t>
      </w:r>
      <w:r>
        <w:rPr>
          <w:rFonts w:hint="eastAsia" w:ascii="宋体" w:hAnsi="宋体"/>
          <w:b/>
          <w:bCs/>
          <w:color w:val="0D0D0D"/>
          <w:sz w:val="24"/>
        </w:rPr>
        <w:t>文件目录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ascii="宋体" w:hAnsi="宋体"/>
          <w:color w:val="auto"/>
          <w:sz w:val="24"/>
        </w:rPr>
      </w:pPr>
      <w:r>
        <w:rPr>
          <w:rFonts w:hint="eastAsia" w:ascii="宋体" w:hAnsi="宋体"/>
          <w:sz w:val="24"/>
        </w:rPr>
        <w:t>（</w:t>
      </w:r>
      <w:r>
        <w:rPr>
          <w:rFonts w:ascii="宋体" w:hAnsi="宋体"/>
          <w:color w:val="auto"/>
          <w:sz w:val="24"/>
        </w:rPr>
        <w:t>1</w:t>
      </w:r>
      <w:r>
        <w:rPr>
          <w:rFonts w:hint="eastAsia" w:ascii="宋体" w:hAnsi="宋体"/>
          <w:color w:val="auto"/>
          <w:sz w:val="24"/>
        </w:rPr>
        <w:t>）评分响应表（格式见附件</w:t>
      </w:r>
      <w:r>
        <w:rPr>
          <w:rFonts w:hint="eastAsia" w:ascii="宋体" w:hAnsi="宋体"/>
          <w:color w:val="auto"/>
          <w:sz w:val="24"/>
          <w:lang w:val="en-US" w:eastAsia="zh-CN"/>
        </w:rPr>
        <w:t>2</w:t>
      </w:r>
      <w:r>
        <w:rPr>
          <w:rFonts w:hint="eastAsia" w:ascii="宋体" w:hAnsi="宋体"/>
          <w:color w:val="auto"/>
          <w:sz w:val="24"/>
        </w:rPr>
        <w:t>.</w:t>
      </w:r>
      <w:r>
        <w:rPr>
          <w:rFonts w:ascii="宋体" w:hAnsi="宋体"/>
          <w:color w:val="auto"/>
          <w:sz w:val="24"/>
        </w:rPr>
        <w:t>1</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）投标声明书</w:t>
      </w:r>
      <w:r>
        <w:rPr>
          <w:rFonts w:ascii="宋体" w:hAnsi="宋体"/>
          <w:color w:val="auto"/>
          <w:sz w:val="24"/>
        </w:rPr>
        <w:t>(</w:t>
      </w:r>
      <w:r>
        <w:rPr>
          <w:rFonts w:hint="eastAsia" w:ascii="宋体" w:hAnsi="宋体"/>
          <w:color w:val="auto"/>
          <w:sz w:val="24"/>
        </w:rPr>
        <w:t>格式见附件</w:t>
      </w:r>
      <w:r>
        <w:rPr>
          <w:rFonts w:hint="eastAsia" w:ascii="宋体" w:hAnsi="宋体"/>
          <w:color w:val="auto"/>
          <w:sz w:val="24"/>
          <w:lang w:val="en-US" w:eastAsia="zh-CN"/>
        </w:rPr>
        <w:t>2</w:t>
      </w:r>
      <w:r>
        <w:rPr>
          <w:rFonts w:ascii="宋体" w:hAnsi="宋体"/>
          <w:color w:val="auto"/>
          <w:sz w:val="24"/>
        </w:rPr>
        <w:t>.2)</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）法定代表人授权委托书</w:t>
      </w:r>
      <w:r>
        <w:rPr>
          <w:rFonts w:ascii="宋体" w:hAnsi="宋体"/>
          <w:color w:val="auto"/>
          <w:sz w:val="24"/>
        </w:rPr>
        <w:t>(</w:t>
      </w:r>
      <w:r>
        <w:rPr>
          <w:rFonts w:hint="eastAsia" w:ascii="宋体" w:hAnsi="宋体"/>
          <w:color w:val="auto"/>
          <w:sz w:val="24"/>
        </w:rPr>
        <w:t>格式见附件</w:t>
      </w:r>
      <w:r>
        <w:rPr>
          <w:rFonts w:hint="eastAsia" w:ascii="宋体" w:hAnsi="宋体"/>
          <w:color w:val="auto"/>
          <w:sz w:val="24"/>
          <w:lang w:val="en-US" w:eastAsia="zh-CN"/>
        </w:rPr>
        <w:t>2</w:t>
      </w:r>
      <w:r>
        <w:rPr>
          <w:rFonts w:ascii="宋体" w:hAnsi="宋体"/>
          <w:color w:val="auto"/>
          <w:sz w:val="24"/>
        </w:rPr>
        <w:t>.3)</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）投标单位情况表</w:t>
      </w:r>
      <w:r>
        <w:rPr>
          <w:rFonts w:ascii="宋体" w:hAnsi="宋体"/>
          <w:color w:val="auto"/>
          <w:sz w:val="24"/>
        </w:rPr>
        <w:t>(</w:t>
      </w:r>
      <w:r>
        <w:rPr>
          <w:rFonts w:hint="eastAsia" w:ascii="宋体" w:hAnsi="宋体"/>
          <w:color w:val="auto"/>
          <w:sz w:val="24"/>
        </w:rPr>
        <w:t>格式见附件</w:t>
      </w:r>
      <w:r>
        <w:rPr>
          <w:rFonts w:hint="eastAsia" w:ascii="宋体" w:hAnsi="宋体"/>
          <w:color w:val="auto"/>
          <w:sz w:val="24"/>
          <w:lang w:val="en-US" w:eastAsia="zh-CN"/>
        </w:rPr>
        <w:t>2</w:t>
      </w:r>
      <w:r>
        <w:rPr>
          <w:rFonts w:ascii="宋体" w:hAnsi="宋体"/>
          <w:color w:val="auto"/>
          <w:sz w:val="24"/>
        </w:rPr>
        <w:t>.4)</w:t>
      </w:r>
      <w:r>
        <w:rPr>
          <w:rFonts w:hint="eastAsia" w:ascii="宋体" w:hAnsi="宋体"/>
          <w:color w:val="auto"/>
          <w:sz w:val="24"/>
        </w:rPr>
        <w:t>；</w:t>
      </w:r>
    </w:p>
    <w:p>
      <w:pPr>
        <w:spacing w:line="360" w:lineRule="auto"/>
        <w:ind w:firstLine="470" w:firstLineChars="196"/>
        <w:jc w:val="left"/>
        <w:rPr>
          <w:rFonts w:hint="eastAsia" w:ascii="宋体" w:hAnsi="宋体" w:cs="宋体"/>
          <w:sz w:val="24"/>
        </w:rPr>
      </w:pPr>
      <w:r>
        <w:rPr>
          <w:rFonts w:hint="eastAsia" w:ascii="宋体" w:hAnsi="宋体" w:cs="宋体"/>
          <w:sz w:val="24"/>
        </w:rPr>
        <w:t>（5）营业执照副本复印件；</w:t>
      </w:r>
    </w:p>
    <w:p>
      <w:pPr>
        <w:spacing w:line="360" w:lineRule="auto"/>
        <w:ind w:firstLine="480" w:firstLineChars="200"/>
        <w:jc w:val="left"/>
        <w:rPr>
          <w:rFonts w:hint="eastAsia" w:ascii="宋体" w:hAnsi="宋体" w:cs="宋体"/>
          <w:color w:val="auto"/>
          <w:sz w:val="24"/>
        </w:rPr>
      </w:pPr>
      <w:r>
        <w:rPr>
          <w:rFonts w:hint="eastAsia" w:ascii="宋体" w:hAnsi="宋体" w:cs="宋体"/>
          <w:sz w:val="24"/>
        </w:rPr>
        <w:t>（6）新闻出版主管部门颁发的《出</w:t>
      </w:r>
      <w:r>
        <w:rPr>
          <w:rFonts w:hint="eastAsia" w:ascii="宋体" w:hAnsi="宋体" w:cs="宋体"/>
          <w:color w:val="auto"/>
          <w:sz w:val="24"/>
        </w:rPr>
        <w:t>版物经营许可证》</w:t>
      </w:r>
      <w:r>
        <w:rPr>
          <w:rFonts w:hint="eastAsia" w:ascii="宋体" w:hAnsi="宋体" w:cs="宋体"/>
          <w:color w:val="auto"/>
          <w:sz w:val="24"/>
          <w:lang w:val="en-US" w:eastAsia="zh-CN"/>
        </w:rPr>
        <w:t>及</w:t>
      </w:r>
      <w:r>
        <w:rPr>
          <w:rFonts w:hint="eastAsia" w:ascii="宋体" w:hAnsi="宋体" w:cs="宋体"/>
          <w:color w:val="auto"/>
          <w:sz w:val="24"/>
          <w:lang w:eastAsia="zh-CN"/>
        </w:rPr>
        <w:t>出版物批发经营资质</w:t>
      </w:r>
      <w:r>
        <w:rPr>
          <w:rFonts w:hint="eastAsia" w:ascii="宋体" w:hAnsi="宋体" w:cs="宋体"/>
          <w:color w:val="auto"/>
          <w:sz w:val="24"/>
        </w:rPr>
        <w:t>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hint="eastAsia" w:ascii="宋体"/>
          <w:color w:val="auto"/>
          <w:sz w:val="24"/>
        </w:rPr>
        <w:t>商务响应表（格式见附件</w:t>
      </w:r>
      <w:r>
        <w:rPr>
          <w:rFonts w:hint="eastAsia" w:ascii="宋体"/>
          <w:color w:val="auto"/>
          <w:sz w:val="24"/>
          <w:lang w:val="en-US" w:eastAsia="zh-CN"/>
        </w:rPr>
        <w:t>2</w:t>
      </w:r>
      <w:r>
        <w:rPr>
          <w:rFonts w:ascii="宋体"/>
          <w:color w:val="auto"/>
          <w:sz w:val="24"/>
        </w:rPr>
        <w:t>.</w:t>
      </w:r>
      <w:r>
        <w:rPr>
          <w:rFonts w:hint="eastAsia" w:ascii="宋体"/>
          <w:color w:val="auto"/>
          <w:sz w:val="24"/>
          <w:lang w:val="en-US" w:eastAsia="zh-CN"/>
        </w:rPr>
        <w:t>7</w:t>
      </w:r>
      <w:r>
        <w:rPr>
          <w:rFonts w:hint="eastAsia" w:ascii="宋体"/>
          <w:color w:val="auto"/>
          <w:sz w:val="24"/>
        </w:rPr>
        <w:t>）；</w:t>
      </w:r>
    </w:p>
    <w:p>
      <w:pPr>
        <w:spacing w:line="360" w:lineRule="auto"/>
        <w:ind w:firstLine="480" w:firstLineChars="200"/>
        <w:rPr>
          <w:rFonts w:hint="eastAsia" w:ascii="宋体" w:hAnsi="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sz w:val="24"/>
        </w:rPr>
        <w:t>项目实施人员一览表</w:t>
      </w:r>
      <w:r>
        <w:rPr>
          <w:rFonts w:hint="eastAsia" w:ascii="宋体" w:hAnsi="宋体" w:cs="宋体"/>
          <w:sz w:val="24"/>
        </w:rPr>
        <w:t>(格式见附件2.8)；</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）同类业绩(格式见附件2.9)；</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）投标单位荣誉证书等（如有）；</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）货物具体配置表（格式见附件2.10）；</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）供应商供货承诺声明（格式自拟2.11）；</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）售后服务承诺书（格式自拟）；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0D0D0D"/>
          <w:sz w:val="24"/>
          <w:szCs w:val="24"/>
        </w:rPr>
      </w:pPr>
      <w:r>
        <w:rPr>
          <w:rFonts w:hint="eastAsia" w:ascii="宋体" w:hAnsi="宋体"/>
          <w:sz w:val="24"/>
        </w:rPr>
        <w:t>（</w:t>
      </w:r>
      <w:r>
        <w:rPr>
          <w:rFonts w:hint="eastAsia" w:ascii="宋体" w:hAnsi="宋体"/>
          <w:sz w:val="24"/>
          <w:lang w:val="en-US" w:eastAsia="zh-CN"/>
        </w:rPr>
        <w:t>14</w:t>
      </w:r>
      <w:r>
        <w:rPr>
          <w:rFonts w:hint="eastAsia" w:ascii="宋体" w:hAnsi="宋体"/>
          <w:sz w:val="24"/>
        </w:rPr>
        <w:t>）</w:t>
      </w:r>
      <w:r>
        <w:rPr>
          <w:rFonts w:hint="eastAsia" w:ascii="宋体" w:hAnsi="宋体" w:eastAsia="宋体" w:cs="宋体"/>
          <w:color w:val="0D0D0D"/>
          <w:sz w:val="24"/>
          <w:szCs w:val="24"/>
          <w:lang w:val="en-US" w:eastAsia="zh-CN"/>
        </w:rPr>
        <w:t>政府采购代理机构社会评价表（附件2.1</w:t>
      </w:r>
      <w:r>
        <w:rPr>
          <w:rFonts w:hint="eastAsia" w:ascii="宋体" w:hAnsi="宋体" w:cs="宋体"/>
          <w:color w:val="0D0D0D"/>
          <w:sz w:val="24"/>
          <w:szCs w:val="24"/>
          <w:lang w:val="en-US" w:eastAsia="zh-CN"/>
        </w:rPr>
        <w:t>2</w:t>
      </w:r>
      <w:r>
        <w:rPr>
          <w:rFonts w:hint="eastAsia" w:ascii="宋体" w:hAnsi="宋体" w:eastAsia="宋体" w:cs="宋体"/>
          <w:color w:val="0D0D0D"/>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0D0D0D"/>
          <w:sz w:val="24"/>
          <w:szCs w:val="24"/>
          <w:lang w:eastAsia="zh-CN"/>
        </w:rPr>
        <w:t>（</w:t>
      </w:r>
      <w:r>
        <w:rPr>
          <w:rFonts w:hint="eastAsia" w:ascii="宋体" w:hAnsi="宋体" w:cs="宋体"/>
          <w:color w:val="0D0D0D"/>
          <w:sz w:val="24"/>
          <w:szCs w:val="24"/>
          <w:lang w:val="en-US" w:eastAsia="zh-CN"/>
        </w:rPr>
        <w:t>15</w:t>
      </w:r>
      <w:r>
        <w:rPr>
          <w:rFonts w:hint="eastAsia" w:ascii="宋体" w:hAnsi="宋体" w:eastAsia="宋体" w:cs="宋体"/>
          <w:color w:val="0D0D0D"/>
          <w:sz w:val="24"/>
          <w:szCs w:val="24"/>
          <w:lang w:eastAsia="zh-CN"/>
        </w:rPr>
        <w:t>）</w:t>
      </w:r>
      <w:r>
        <w:rPr>
          <w:rFonts w:hint="eastAsia" w:ascii="宋体" w:hAnsi="宋体" w:eastAsia="宋体" w:cs="宋体"/>
          <w:color w:val="0D0D0D"/>
          <w:sz w:val="24"/>
          <w:szCs w:val="24"/>
        </w:rPr>
        <w:t>投标人认为需要提供的其他投标文件和资料。</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ascii="宋体"/>
          <w:color w:val="0D0D0D"/>
          <w:sz w:val="24"/>
          <w:szCs w:val="24"/>
        </w:rPr>
      </w:pPr>
    </w:p>
    <w:p>
      <w:pPr>
        <w:snapToGrid w:val="0"/>
        <w:spacing w:line="360" w:lineRule="auto"/>
        <w:ind w:firstLine="470" w:firstLineChars="196"/>
        <w:jc w:val="left"/>
        <w:rPr>
          <w:rFonts w:ascii="宋体"/>
          <w:color w:val="0D0D0D"/>
          <w:sz w:val="24"/>
          <w:szCs w:val="24"/>
        </w:rPr>
      </w:pPr>
    </w:p>
    <w:p>
      <w:pPr>
        <w:snapToGrid w:val="0"/>
        <w:spacing w:line="360" w:lineRule="auto"/>
        <w:ind w:firstLine="360" w:firstLineChars="150"/>
        <w:jc w:val="left"/>
        <w:rPr>
          <w:rFonts w:ascii="宋体"/>
          <w:sz w:val="24"/>
        </w:rPr>
      </w:pPr>
    </w:p>
    <w:p>
      <w:pPr>
        <w:snapToGrid w:val="0"/>
        <w:spacing w:line="360" w:lineRule="auto"/>
        <w:ind w:firstLine="360" w:firstLineChars="150"/>
        <w:jc w:val="left"/>
        <w:rPr>
          <w:rFonts w:ascii="宋体"/>
          <w:sz w:val="24"/>
        </w:rPr>
      </w:pPr>
    </w:p>
    <w:p>
      <w:pPr>
        <w:snapToGrid w:val="0"/>
        <w:spacing w:before="50" w:afterLines="50" w:line="360" w:lineRule="auto"/>
        <w:ind w:firstLine="960" w:firstLineChars="400"/>
        <w:jc w:val="left"/>
        <w:outlineLvl w:val="2"/>
        <w:rPr>
          <w:rFonts w:ascii="宋体"/>
          <w:b/>
          <w:sz w:val="24"/>
        </w:rPr>
      </w:pPr>
    </w:p>
    <w:p>
      <w:pPr>
        <w:snapToGrid w:val="0"/>
        <w:spacing w:before="50" w:afterLines="50" w:line="360" w:lineRule="auto"/>
        <w:ind w:firstLine="960" w:firstLineChars="400"/>
        <w:jc w:val="left"/>
        <w:outlineLvl w:val="2"/>
        <w:rPr>
          <w:rFonts w:ascii="宋体"/>
          <w:b/>
          <w:sz w:val="24"/>
        </w:rPr>
      </w:pPr>
    </w:p>
    <w:p>
      <w:pPr>
        <w:rPr>
          <w:rFonts w:ascii="宋体"/>
          <w:b/>
          <w:sz w:val="24"/>
        </w:rPr>
      </w:pPr>
      <w:r>
        <w:rPr>
          <w:rFonts w:hint="eastAsia" w:ascii="宋体" w:hAnsi="宋体"/>
          <w:b/>
          <w:sz w:val="24"/>
          <w:lang w:val="en-US" w:eastAsia="zh-CN"/>
        </w:rPr>
        <w:t>2</w:t>
      </w:r>
      <w:r>
        <w:rPr>
          <w:rFonts w:ascii="宋体" w:hAnsi="宋体"/>
          <w:b/>
          <w:sz w:val="24"/>
        </w:rPr>
        <w:t>.1</w:t>
      </w:r>
      <w:r>
        <w:rPr>
          <w:rFonts w:hint="eastAsia" w:ascii="宋体" w:hAnsi="宋体"/>
          <w:b/>
          <w:sz w:val="24"/>
        </w:rPr>
        <w:t>评分响应表格式：</w:t>
      </w:r>
    </w:p>
    <w:p>
      <w:pPr>
        <w:snapToGrid w:val="0"/>
        <w:spacing w:before="50" w:after="50" w:line="400" w:lineRule="exact"/>
        <w:rPr>
          <w:rFonts w:hint="default" w:ascii="宋体" w:eastAsia="宋体"/>
          <w:b/>
          <w:sz w:val="24"/>
          <w:u w:val="single"/>
          <w:lang w:val="en-US" w:eastAsia="zh-CN"/>
        </w:rPr>
      </w:pPr>
      <w:r>
        <w:rPr>
          <w:rFonts w:hint="eastAsia" w:ascii="宋体" w:hAnsi="宋体"/>
          <w:b/>
          <w:sz w:val="24"/>
        </w:rPr>
        <w:t>项目名称：</w:t>
      </w:r>
      <w:r>
        <w:rPr>
          <w:rFonts w:hint="eastAsia" w:ascii="宋体" w:hAnsi="宋体"/>
          <w:b/>
          <w:sz w:val="24"/>
          <w:lang w:val="en-US" w:eastAsia="zh-CN"/>
        </w:rPr>
        <w:t xml:space="preserve">                                                        标项1/2/3</w:t>
      </w:r>
    </w:p>
    <w:tbl>
      <w:tblPr>
        <w:tblStyle w:val="45"/>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5"/>
        <w:gridCol w:w="2024"/>
        <w:gridCol w:w="2601"/>
        <w:gridCol w:w="919"/>
        <w:gridCol w:w="3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31" w:type="pct"/>
            <w:tcBorders>
              <w:top w:val="single" w:color="auto" w:sz="4" w:space="0"/>
              <w:bottom w:val="single" w:color="auto" w:sz="4" w:space="0"/>
              <w:right w:val="single" w:color="auto" w:sz="4" w:space="0"/>
            </w:tcBorders>
            <w:vAlign w:val="center"/>
          </w:tcPr>
          <w:p>
            <w:pPr>
              <w:pStyle w:val="39"/>
              <w:spacing w:line="400" w:lineRule="exact"/>
              <w:ind w:firstLine="0" w:firstLineChars="0"/>
              <w:rPr>
                <w:rFonts w:ascii="宋体" w:eastAsia="宋体"/>
                <w:b/>
                <w:bCs/>
                <w:color w:val="auto"/>
                <w:szCs w:val="24"/>
              </w:rPr>
            </w:pPr>
            <w:r>
              <w:rPr>
                <w:rFonts w:hint="eastAsia" w:ascii="宋体" w:eastAsia="宋体"/>
                <w:b/>
                <w:bCs/>
                <w:color w:val="auto"/>
                <w:szCs w:val="24"/>
              </w:rPr>
              <w:t>序号</w:t>
            </w:r>
          </w:p>
        </w:tc>
        <w:tc>
          <w:tcPr>
            <w:tcW w:w="1070"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firstLine="0" w:firstLineChars="0"/>
              <w:rPr>
                <w:rFonts w:ascii="宋体" w:eastAsia="宋体"/>
                <w:b/>
                <w:bCs/>
                <w:color w:val="auto"/>
                <w:szCs w:val="24"/>
              </w:rPr>
            </w:pPr>
            <w:r>
              <w:rPr>
                <w:rFonts w:hint="eastAsia" w:ascii="宋体" w:eastAsia="宋体"/>
                <w:b/>
                <w:bCs/>
                <w:color w:val="auto"/>
                <w:szCs w:val="24"/>
              </w:rPr>
              <w:t>评审内容</w:t>
            </w:r>
          </w:p>
        </w:tc>
        <w:tc>
          <w:tcPr>
            <w:tcW w:w="1375"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left="367" w:leftChars="175" w:firstLine="482"/>
              <w:rPr>
                <w:rFonts w:ascii="宋体" w:eastAsia="宋体"/>
                <w:b/>
                <w:bCs/>
                <w:color w:val="auto"/>
                <w:szCs w:val="24"/>
              </w:rPr>
            </w:pPr>
            <w:r>
              <w:rPr>
                <w:rFonts w:hint="eastAsia" w:ascii="宋体" w:eastAsia="宋体"/>
                <w:b/>
                <w:bCs/>
                <w:color w:val="auto"/>
                <w:szCs w:val="24"/>
              </w:rPr>
              <w:t>评分标准</w:t>
            </w:r>
          </w:p>
        </w:tc>
        <w:tc>
          <w:tcPr>
            <w:tcW w:w="486"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firstLine="0" w:firstLineChars="0"/>
              <w:rPr>
                <w:rFonts w:ascii="宋体" w:eastAsia="宋体"/>
                <w:b/>
                <w:bCs/>
                <w:color w:val="auto"/>
                <w:szCs w:val="24"/>
              </w:rPr>
            </w:pPr>
            <w:r>
              <w:rPr>
                <w:rFonts w:hint="eastAsia" w:ascii="宋体" w:eastAsia="宋体"/>
                <w:b/>
                <w:bCs/>
                <w:color w:val="auto"/>
                <w:szCs w:val="24"/>
              </w:rPr>
              <w:t>分值</w:t>
            </w:r>
          </w:p>
        </w:tc>
        <w:tc>
          <w:tcPr>
            <w:tcW w:w="1635" w:type="pct"/>
            <w:tcBorders>
              <w:top w:val="single" w:color="auto" w:sz="4" w:space="0"/>
              <w:left w:val="single" w:color="auto" w:sz="4" w:space="0"/>
              <w:bottom w:val="single" w:color="auto" w:sz="4" w:space="0"/>
            </w:tcBorders>
            <w:vAlign w:val="center"/>
          </w:tcPr>
          <w:p>
            <w:pPr>
              <w:pStyle w:val="39"/>
              <w:spacing w:line="400" w:lineRule="exact"/>
              <w:ind w:left="480" w:firstLine="482"/>
              <w:rPr>
                <w:rFonts w:ascii="宋体" w:eastAsia="宋体"/>
                <w:b/>
                <w:bCs/>
                <w:color w:val="auto"/>
                <w:szCs w:val="24"/>
              </w:rPr>
            </w:pPr>
            <w:r>
              <w:rPr>
                <w:rFonts w:hint="eastAsia" w:ascii="宋体" w:eastAsia="宋体"/>
                <w:b/>
                <w:bCs/>
                <w:color w:val="auto"/>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431" w:type="pct"/>
            <w:tcBorders>
              <w:top w:val="single" w:color="auto" w:sz="4" w:space="0"/>
              <w:bottom w:val="single" w:color="auto" w:sz="4" w:space="0"/>
              <w:right w:val="single" w:color="auto" w:sz="4" w:space="0"/>
            </w:tcBorders>
            <w:vAlign w:val="center"/>
          </w:tcPr>
          <w:p>
            <w:pPr>
              <w:spacing w:line="400" w:lineRule="exact"/>
              <w:rPr>
                <w:rFonts w:ascii="宋体"/>
                <w:b/>
                <w:sz w:val="24"/>
              </w:rPr>
            </w:pPr>
            <w:r>
              <w:rPr>
                <w:rFonts w:hint="eastAsia" w:ascii="宋体" w:hAnsi="宋体"/>
                <w:b/>
                <w:sz w:val="24"/>
              </w:rPr>
              <w:t>一</w:t>
            </w:r>
          </w:p>
        </w:tc>
        <w:tc>
          <w:tcPr>
            <w:tcW w:w="107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
                <w:sz w:val="24"/>
              </w:rPr>
            </w:pPr>
            <w:r>
              <w:rPr>
                <w:rFonts w:hint="eastAsia" w:ascii="宋体" w:hAnsi="宋体"/>
                <w:b/>
                <w:sz w:val="24"/>
              </w:rPr>
              <w:t>技术分</w:t>
            </w:r>
          </w:p>
        </w:tc>
        <w:tc>
          <w:tcPr>
            <w:tcW w:w="1375"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left="480" w:firstLine="482"/>
              <w:jc w:val="center"/>
              <w:rPr>
                <w:rFonts w:ascii="宋体" w:eastAsia="宋体"/>
                <w:b/>
                <w:bCs/>
                <w:color w:val="auto"/>
                <w:szCs w:val="24"/>
              </w:rPr>
            </w:pPr>
          </w:p>
        </w:tc>
        <w:tc>
          <w:tcPr>
            <w:tcW w:w="486"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left="480" w:firstLine="482"/>
              <w:jc w:val="center"/>
              <w:rPr>
                <w:rFonts w:ascii="宋体" w:eastAsia="宋体"/>
                <w:b/>
                <w:bCs/>
                <w:color w:val="auto"/>
                <w:szCs w:val="24"/>
              </w:rPr>
            </w:pPr>
          </w:p>
        </w:tc>
        <w:tc>
          <w:tcPr>
            <w:tcW w:w="1635" w:type="pct"/>
            <w:tcBorders>
              <w:top w:val="single" w:color="auto" w:sz="4" w:space="0"/>
              <w:left w:val="single" w:color="auto" w:sz="4" w:space="0"/>
              <w:bottom w:val="single" w:color="auto" w:sz="4" w:space="0"/>
            </w:tcBorders>
            <w:vAlign w:val="center"/>
          </w:tcPr>
          <w:p>
            <w:pPr>
              <w:pStyle w:val="39"/>
              <w:spacing w:line="400" w:lineRule="exact"/>
              <w:ind w:left="480" w:firstLine="482"/>
              <w:jc w:val="center"/>
              <w:rPr>
                <w:rFonts w:ascii="宋体" w:eastAsia="宋体"/>
                <w:b/>
                <w:bCs/>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431" w:type="pct"/>
            <w:tcBorders>
              <w:top w:val="single" w:color="auto" w:sz="4" w:space="0"/>
              <w:bottom w:val="single" w:color="auto" w:sz="4" w:space="0"/>
              <w:right w:val="single" w:color="auto" w:sz="4" w:space="0"/>
            </w:tcBorders>
            <w:vAlign w:val="center"/>
          </w:tcPr>
          <w:p>
            <w:pPr>
              <w:spacing w:line="400" w:lineRule="exact"/>
              <w:rPr>
                <w:rFonts w:ascii="宋体"/>
                <w:sz w:val="24"/>
              </w:rPr>
            </w:pPr>
            <w:r>
              <w:rPr>
                <w:rFonts w:ascii="宋体" w:hAnsi="宋体"/>
                <w:sz w:val="24"/>
              </w:rPr>
              <w:t>1</w:t>
            </w:r>
          </w:p>
        </w:tc>
        <w:tc>
          <w:tcPr>
            <w:tcW w:w="107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1375" w:type="pct"/>
            <w:tcBorders>
              <w:top w:val="single" w:color="auto" w:sz="4" w:space="0"/>
              <w:left w:val="single" w:color="auto" w:sz="4" w:space="0"/>
              <w:right w:val="single" w:color="auto" w:sz="4" w:space="0"/>
            </w:tcBorders>
            <w:vAlign w:val="center"/>
          </w:tcPr>
          <w:p>
            <w:pPr>
              <w:spacing w:line="400" w:lineRule="exact"/>
              <w:rPr>
                <w:rFonts w:ascii="宋体"/>
                <w:sz w:val="24"/>
              </w:rPr>
            </w:pPr>
          </w:p>
        </w:tc>
        <w:tc>
          <w:tcPr>
            <w:tcW w:w="486" w:type="pct"/>
            <w:tcBorders>
              <w:top w:val="single" w:color="auto" w:sz="4" w:space="0"/>
              <w:left w:val="single" w:color="auto" w:sz="4" w:space="0"/>
              <w:right w:val="single" w:color="auto" w:sz="4" w:space="0"/>
            </w:tcBorders>
            <w:vAlign w:val="center"/>
          </w:tcPr>
          <w:p>
            <w:pPr>
              <w:spacing w:line="400" w:lineRule="exact"/>
              <w:jc w:val="center"/>
              <w:rPr>
                <w:rFonts w:ascii="宋体"/>
                <w:bCs/>
                <w:sz w:val="24"/>
              </w:rPr>
            </w:pPr>
          </w:p>
        </w:tc>
        <w:tc>
          <w:tcPr>
            <w:tcW w:w="1635" w:type="pct"/>
            <w:tcBorders>
              <w:top w:val="single" w:color="auto" w:sz="4" w:space="0"/>
              <w:left w:val="single" w:color="auto" w:sz="4" w:space="0"/>
            </w:tcBorders>
            <w:vAlign w:val="center"/>
          </w:tcPr>
          <w:p>
            <w:pPr>
              <w:spacing w:line="400" w:lineRule="exact"/>
              <w:jc w:val="center"/>
              <w:rPr>
                <w:rFonts w:ascii="宋体"/>
                <w:bCs/>
                <w:sz w:val="24"/>
              </w:rPr>
            </w:pPr>
            <w:r>
              <w:rPr>
                <w:rFonts w:hint="eastAsia" w:ascii="宋体" w:hAnsi="宋体"/>
                <w:bCs/>
                <w:sz w:val="24"/>
              </w:rPr>
              <w:t>详见</w:t>
            </w:r>
            <w:r>
              <w:rPr>
                <w:rFonts w:hint="eastAsia" w:ascii="宋体" w:hAnsi="宋体"/>
                <w:bCs/>
                <w:sz w:val="24"/>
                <w:lang w:eastAsia="zh-CN"/>
              </w:rPr>
              <w:t>资信商务及</w:t>
            </w:r>
            <w:r>
              <w:rPr>
                <w:rFonts w:hint="eastAsia" w:ascii="宋体" w:hAnsi="宋体"/>
                <w:bCs/>
                <w:sz w:val="24"/>
              </w:rPr>
              <w:t>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431" w:type="pct"/>
            <w:tcBorders>
              <w:top w:val="single" w:color="auto" w:sz="4" w:space="0"/>
              <w:bottom w:val="single" w:color="auto" w:sz="4" w:space="0"/>
              <w:right w:val="single" w:color="auto" w:sz="4" w:space="0"/>
            </w:tcBorders>
            <w:vAlign w:val="center"/>
          </w:tcPr>
          <w:p>
            <w:pPr>
              <w:spacing w:line="400" w:lineRule="exact"/>
              <w:rPr>
                <w:rFonts w:ascii="宋体"/>
                <w:sz w:val="24"/>
              </w:rPr>
            </w:pPr>
            <w:r>
              <w:rPr>
                <w:rFonts w:ascii="宋体" w:hAnsi="宋体"/>
                <w:sz w:val="24"/>
              </w:rPr>
              <w:t>2</w:t>
            </w:r>
          </w:p>
        </w:tc>
        <w:tc>
          <w:tcPr>
            <w:tcW w:w="107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1375" w:type="pct"/>
            <w:tcBorders>
              <w:top w:val="single" w:color="auto" w:sz="4" w:space="0"/>
              <w:left w:val="single" w:color="auto" w:sz="4" w:space="0"/>
              <w:right w:val="single" w:color="auto" w:sz="4" w:space="0"/>
            </w:tcBorders>
            <w:vAlign w:val="center"/>
          </w:tcPr>
          <w:p>
            <w:pPr>
              <w:spacing w:line="400" w:lineRule="exact"/>
              <w:rPr>
                <w:rFonts w:ascii="宋体" w:cs="宋体"/>
                <w:sz w:val="24"/>
              </w:rPr>
            </w:pPr>
          </w:p>
        </w:tc>
        <w:tc>
          <w:tcPr>
            <w:tcW w:w="486" w:type="pct"/>
            <w:tcBorders>
              <w:top w:val="single" w:color="auto" w:sz="4" w:space="0"/>
              <w:left w:val="single" w:color="auto" w:sz="4" w:space="0"/>
              <w:right w:val="single" w:color="auto" w:sz="4" w:space="0"/>
            </w:tcBorders>
            <w:vAlign w:val="center"/>
          </w:tcPr>
          <w:p>
            <w:pPr>
              <w:spacing w:line="400" w:lineRule="exact"/>
              <w:jc w:val="center"/>
              <w:rPr>
                <w:rFonts w:ascii="宋体"/>
                <w:bCs/>
                <w:sz w:val="24"/>
              </w:rPr>
            </w:pPr>
          </w:p>
        </w:tc>
        <w:tc>
          <w:tcPr>
            <w:tcW w:w="1635" w:type="pct"/>
            <w:tcBorders>
              <w:top w:val="single" w:color="auto" w:sz="4" w:space="0"/>
              <w:left w:val="single" w:color="auto" w:sz="4" w:space="0"/>
            </w:tcBorders>
            <w:vAlign w:val="center"/>
          </w:tcPr>
          <w:p>
            <w:pPr>
              <w:spacing w:line="400" w:lineRule="exact"/>
              <w:jc w:val="center"/>
              <w:rPr>
                <w:rFonts w:asci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431" w:type="pct"/>
            <w:tcBorders>
              <w:bottom w:val="single" w:color="auto" w:sz="4" w:space="0"/>
              <w:right w:val="single" w:color="auto" w:sz="4" w:space="0"/>
            </w:tcBorders>
            <w:vAlign w:val="center"/>
          </w:tcPr>
          <w:p>
            <w:pPr>
              <w:spacing w:line="400" w:lineRule="exact"/>
              <w:rPr>
                <w:rFonts w:ascii="宋体"/>
                <w:sz w:val="24"/>
              </w:rPr>
            </w:pPr>
            <w:r>
              <w:rPr>
                <w:rFonts w:hint="eastAsia" w:ascii="宋体" w:hAnsi="宋体"/>
                <w:sz w:val="24"/>
              </w:rPr>
              <w:t>……</w:t>
            </w:r>
          </w:p>
        </w:tc>
        <w:tc>
          <w:tcPr>
            <w:tcW w:w="1070" w:type="pct"/>
            <w:tcBorders>
              <w:left w:val="single" w:color="auto" w:sz="4" w:space="0"/>
              <w:bottom w:val="single" w:color="auto" w:sz="4" w:space="0"/>
              <w:right w:val="single" w:color="auto" w:sz="4" w:space="0"/>
            </w:tcBorders>
            <w:vAlign w:val="center"/>
          </w:tcPr>
          <w:p>
            <w:pPr>
              <w:spacing w:line="400" w:lineRule="exact"/>
              <w:rPr>
                <w:rFonts w:ascii="宋体" w:cs="宋体"/>
                <w:sz w:val="24"/>
              </w:rPr>
            </w:pPr>
          </w:p>
        </w:tc>
        <w:tc>
          <w:tcPr>
            <w:tcW w:w="1375" w:type="pct"/>
            <w:tcBorders>
              <w:top w:val="single" w:color="auto" w:sz="4" w:space="0"/>
              <w:left w:val="single" w:color="auto" w:sz="4" w:space="0"/>
              <w:bottom w:val="single" w:color="auto" w:sz="4" w:space="0"/>
              <w:right w:val="single" w:color="auto" w:sz="4" w:space="0"/>
            </w:tcBorders>
            <w:vAlign w:val="center"/>
          </w:tcPr>
          <w:p>
            <w:pPr>
              <w:spacing w:line="400" w:lineRule="exact"/>
              <w:ind w:left="54" w:leftChars="26"/>
              <w:rPr>
                <w:rFonts w:ascii="宋体" w:cs="宋体"/>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Cs/>
                <w:sz w:val="24"/>
              </w:rPr>
            </w:pPr>
          </w:p>
        </w:tc>
        <w:tc>
          <w:tcPr>
            <w:tcW w:w="1635" w:type="pct"/>
            <w:tcBorders>
              <w:top w:val="single" w:color="auto" w:sz="4" w:space="0"/>
              <w:left w:val="single" w:color="auto" w:sz="4" w:space="0"/>
              <w:bottom w:val="single" w:color="auto" w:sz="4" w:space="0"/>
            </w:tcBorders>
            <w:vAlign w:val="center"/>
          </w:tcPr>
          <w:p>
            <w:pPr>
              <w:spacing w:line="40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431" w:type="pct"/>
            <w:tcBorders>
              <w:top w:val="single" w:color="auto" w:sz="4" w:space="0"/>
              <w:bottom w:val="single" w:color="auto" w:sz="4" w:space="0"/>
              <w:right w:val="single" w:color="auto" w:sz="4" w:space="0"/>
            </w:tcBorders>
            <w:vAlign w:val="center"/>
          </w:tcPr>
          <w:p>
            <w:pPr>
              <w:spacing w:line="400" w:lineRule="exact"/>
              <w:rPr>
                <w:rFonts w:ascii="宋体"/>
                <w:b/>
                <w:sz w:val="24"/>
              </w:rPr>
            </w:pPr>
            <w:r>
              <w:rPr>
                <w:rFonts w:hint="eastAsia" w:ascii="宋体" w:hAnsi="宋体"/>
                <w:b/>
                <w:sz w:val="24"/>
              </w:rPr>
              <w:t>二</w:t>
            </w:r>
          </w:p>
        </w:tc>
        <w:tc>
          <w:tcPr>
            <w:tcW w:w="107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
                <w:sz w:val="24"/>
              </w:rPr>
            </w:pPr>
            <w:r>
              <w:rPr>
                <w:rFonts w:hint="eastAsia" w:ascii="宋体" w:hAnsi="宋体"/>
                <w:b/>
                <w:sz w:val="24"/>
              </w:rPr>
              <w:t>商务分</w:t>
            </w:r>
          </w:p>
        </w:tc>
        <w:tc>
          <w:tcPr>
            <w:tcW w:w="1375"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left="480" w:firstLine="482"/>
              <w:jc w:val="both"/>
              <w:rPr>
                <w:rFonts w:ascii="宋体" w:eastAsia="宋体"/>
                <w:b/>
                <w:color w:val="auto"/>
                <w:szCs w:val="24"/>
              </w:rPr>
            </w:pPr>
          </w:p>
        </w:tc>
        <w:tc>
          <w:tcPr>
            <w:tcW w:w="486"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left="480" w:firstLine="482"/>
              <w:jc w:val="center"/>
              <w:rPr>
                <w:rFonts w:ascii="宋体" w:eastAsia="宋体"/>
                <w:b/>
                <w:color w:val="auto"/>
                <w:szCs w:val="24"/>
              </w:rPr>
            </w:pPr>
          </w:p>
        </w:tc>
        <w:tc>
          <w:tcPr>
            <w:tcW w:w="1635" w:type="pct"/>
            <w:tcBorders>
              <w:top w:val="single" w:color="auto" w:sz="4" w:space="0"/>
              <w:left w:val="single" w:color="auto" w:sz="4" w:space="0"/>
              <w:bottom w:val="single" w:color="auto" w:sz="4" w:space="0"/>
            </w:tcBorders>
            <w:vAlign w:val="center"/>
          </w:tcPr>
          <w:p>
            <w:pPr>
              <w:pStyle w:val="39"/>
              <w:spacing w:line="400" w:lineRule="exact"/>
              <w:ind w:left="480" w:firstLine="482"/>
              <w:jc w:val="center"/>
              <w:rPr>
                <w:rFonts w:ascii="宋体" w:eastAsia="宋体"/>
                <w:b/>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431" w:type="pct"/>
            <w:tcBorders>
              <w:top w:val="single" w:color="auto" w:sz="4" w:space="0"/>
              <w:bottom w:val="single" w:color="auto" w:sz="4" w:space="0"/>
              <w:right w:val="single" w:color="auto" w:sz="4" w:space="0"/>
            </w:tcBorders>
            <w:vAlign w:val="center"/>
          </w:tcPr>
          <w:p>
            <w:pPr>
              <w:spacing w:line="400" w:lineRule="exact"/>
              <w:rPr>
                <w:rFonts w:ascii="宋体"/>
                <w:sz w:val="24"/>
              </w:rPr>
            </w:pPr>
          </w:p>
        </w:tc>
        <w:tc>
          <w:tcPr>
            <w:tcW w:w="107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137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left="480"/>
              <w:jc w:val="center"/>
              <w:rPr>
                <w:rFonts w:ascii="宋体" w:eastAsia="宋体"/>
                <w:color w:val="auto"/>
                <w:szCs w:val="24"/>
              </w:rPr>
            </w:pPr>
          </w:p>
        </w:tc>
        <w:tc>
          <w:tcPr>
            <w:tcW w:w="1635" w:type="pct"/>
            <w:tcBorders>
              <w:top w:val="single" w:color="auto" w:sz="4" w:space="0"/>
              <w:left w:val="single" w:color="auto" w:sz="4" w:space="0"/>
              <w:bottom w:val="single" w:color="auto" w:sz="4" w:space="0"/>
            </w:tcBorders>
            <w:vAlign w:val="center"/>
          </w:tcPr>
          <w:p>
            <w:pPr>
              <w:spacing w:line="400" w:lineRule="exact"/>
              <w:jc w:val="center"/>
              <w:rPr>
                <w:rFonts w:ascii="宋体"/>
                <w:bCs/>
                <w:sz w:val="24"/>
              </w:rPr>
            </w:pPr>
            <w:r>
              <w:rPr>
                <w:rFonts w:hint="eastAsia" w:ascii="宋体" w:hAnsi="宋体"/>
                <w:bCs/>
                <w:sz w:val="24"/>
              </w:rPr>
              <w:t>详见</w:t>
            </w:r>
            <w:r>
              <w:rPr>
                <w:rFonts w:hint="eastAsia" w:ascii="宋体" w:hAnsi="宋体"/>
                <w:bCs/>
                <w:sz w:val="24"/>
                <w:lang w:eastAsia="zh-CN"/>
              </w:rPr>
              <w:t>资信商务及</w:t>
            </w:r>
            <w:r>
              <w:rPr>
                <w:rFonts w:hint="eastAsia" w:ascii="宋体" w:hAnsi="宋体"/>
                <w:bCs/>
                <w:sz w:val="24"/>
              </w:rPr>
              <w:t>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431" w:type="pct"/>
            <w:tcBorders>
              <w:top w:val="single" w:color="auto" w:sz="4" w:space="0"/>
              <w:bottom w:val="single" w:color="auto" w:sz="4" w:space="0"/>
              <w:right w:val="single" w:color="auto" w:sz="4" w:space="0"/>
            </w:tcBorders>
            <w:vAlign w:val="center"/>
          </w:tcPr>
          <w:p>
            <w:pPr>
              <w:spacing w:line="400" w:lineRule="exact"/>
              <w:rPr>
                <w:rFonts w:ascii="宋体"/>
                <w:sz w:val="24"/>
              </w:rPr>
            </w:pPr>
          </w:p>
        </w:tc>
        <w:tc>
          <w:tcPr>
            <w:tcW w:w="107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137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left="480"/>
              <w:jc w:val="center"/>
              <w:rPr>
                <w:rFonts w:ascii="宋体" w:eastAsia="宋体"/>
                <w:color w:val="auto"/>
                <w:szCs w:val="24"/>
              </w:rPr>
            </w:pPr>
          </w:p>
        </w:tc>
        <w:tc>
          <w:tcPr>
            <w:tcW w:w="1635" w:type="pct"/>
            <w:tcBorders>
              <w:top w:val="single" w:color="auto" w:sz="4" w:space="0"/>
              <w:left w:val="single" w:color="auto" w:sz="4" w:space="0"/>
              <w:bottom w:val="single" w:color="auto" w:sz="4" w:space="0"/>
            </w:tcBorders>
            <w:vAlign w:val="center"/>
          </w:tcPr>
          <w:p>
            <w:pPr>
              <w:pStyle w:val="39"/>
              <w:spacing w:line="400" w:lineRule="exact"/>
              <w:ind w:left="480"/>
              <w:jc w:val="center"/>
              <w:rPr>
                <w:rFonts w:ascii="宋体" w:eastAsia="宋体"/>
                <w:color w:val="auto"/>
                <w:szCs w:val="24"/>
              </w:rPr>
            </w:pPr>
            <w:r>
              <w:rPr>
                <w:rFonts w:hint="eastAsia" w:ascii="宋体" w:eastAsia="宋体"/>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431" w:type="pct"/>
            <w:tcBorders>
              <w:top w:val="single" w:color="auto" w:sz="4" w:space="0"/>
              <w:bottom w:val="single" w:color="auto" w:sz="4" w:space="0"/>
              <w:right w:val="single" w:color="auto" w:sz="4" w:space="0"/>
            </w:tcBorders>
            <w:vAlign w:val="center"/>
          </w:tcPr>
          <w:p>
            <w:pPr>
              <w:spacing w:line="400" w:lineRule="exact"/>
              <w:rPr>
                <w:rFonts w:ascii="宋体"/>
                <w:sz w:val="24"/>
              </w:rPr>
            </w:pPr>
          </w:p>
        </w:tc>
        <w:tc>
          <w:tcPr>
            <w:tcW w:w="107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137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left="480"/>
              <w:jc w:val="center"/>
              <w:rPr>
                <w:rFonts w:ascii="宋体" w:eastAsia="宋体"/>
                <w:color w:val="auto"/>
                <w:szCs w:val="24"/>
              </w:rPr>
            </w:pPr>
          </w:p>
        </w:tc>
        <w:tc>
          <w:tcPr>
            <w:tcW w:w="1635" w:type="pct"/>
            <w:tcBorders>
              <w:top w:val="single" w:color="auto" w:sz="4" w:space="0"/>
              <w:left w:val="single" w:color="auto" w:sz="4" w:space="0"/>
              <w:bottom w:val="single" w:color="auto" w:sz="4" w:space="0"/>
            </w:tcBorders>
            <w:vAlign w:val="center"/>
          </w:tcPr>
          <w:p>
            <w:pPr>
              <w:pStyle w:val="39"/>
              <w:spacing w:line="400" w:lineRule="exact"/>
              <w:ind w:left="480"/>
              <w:jc w:val="center"/>
              <w:rPr>
                <w:rFonts w:ascii="宋体" w:eastAsia="宋体"/>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431" w:type="pct"/>
            <w:tcBorders>
              <w:bottom w:val="single" w:color="auto" w:sz="4" w:space="0"/>
              <w:right w:val="single" w:color="auto" w:sz="4" w:space="0"/>
            </w:tcBorders>
            <w:vAlign w:val="center"/>
          </w:tcPr>
          <w:p>
            <w:pPr>
              <w:spacing w:line="400" w:lineRule="exact"/>
              <w:rPr>
                <w:rFonts w:ascii="宋体"/>
                <w:sz w:val="24"/>
              </w:rPr>
            </w:pPr>
            <w:r>
              <w:rPr>
                <w:rFonts w:hint="eastAsia" w:ascii="宋体" w:hAnsi="宋体"/>
                <w:sz w:val="24"/>
              </w:rPr>
              <w:t>三</w:t>
            </w:r>
          </w:p>
        </w:tc>
        <w:tc>
          <w:tcPr>
            <w:tcW w:w="1070" w:type="pct"/>
            <w:tcBorders>
              <w:left w:val="single" w:color="auto" w:sz="4" w:space="0"/>
              <w:bottom w:val="single" w:color="auto" w:sz="4" w:space="0"/>
              <w:right w:val="single" w:color="auto" w:sz="4" w:space="0"/>
            </w:tcBorders>
            <w:vAlign w:val="center"/>
          </w:tcPr>
          <w:p>
            <w:pPr>
              <w:spacing w:line="400" w:lineRule="exact"/>
              <w:rPr>
                <w:rFonts w:ascii="宋体"/>
                <w:b/>
                <w:sz w:val="24"/>
              </w:rPr>
            </w:pPr>
            <w:r>
              <w:rPr>
                <w:rFonts w:hint="eastAsia" w:ascii="宋体" w:hAnsi="宋体"/>
                <w:b/>
                <w:sz w:val="24"/>
              </w:rPr>
              <w:t>资信及其他分</w:t>
            </w:r>
          </w:p>
        </w:tc>
        <w:tc>
          <w:tcPr>
            <w:tcW w:w="1375" w:type="pct"/>
            <w:tcBorders>
              <w:top w:val="single" w:color="auto" w:sz="4" w:space="0"/>
              <w:left w:val="single" w:color="auto" w:sz="4" w:space="0"/>
              <w:bottom w:val="single" w:color="auto" w:sz="4" w:space="0"/>
              <w:right w:val="single" w:color="auto" w:sz="4" w:space="0"/>
            </w:tcBorders>
            <w:vAlign w:val="center"/>
          </w:tcPr>
          <w:p>
            <w:pPr>
              <w:pStyle w:val="39"/>
              <w:spacing w:line="400" w:lineRule="exact"/>
              <w:ind w:left="480"/>
              <w:jc w:val="both"/>
              <w:rPr>
                <w:rFonts w:ascii="宋体" w:eastAsia="宋体"/>
                <w:color w:val="auto"/>
                <w:szCs w:val="24"/>
              </w:rPr>
            </w:pPr>
          </w:p>
        </w:tc>
        <w:tc>
          <w:tcPr>
            <w:tcW w:w="4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sz w:val="24"/>
              </w:rPr>
            </w:pPr>
          </w:p>
        </w:tc>
        <w:tc>
          <w:tcPr>
            <w:tcW w:w="1635" w:type="pct"/>
            <w:tcBorders>
              <w:top w:val="single" w:color="auto" w:sz="4" w:space="0"/>
              <w:left w:val="single" w:color="auto" w:sz="4" w:space="0"/>
              <w:bottom w:val="single" w:color="auto" w:sz="4" w:space="0"/>
            </w:tcBorders>
            <w:vAlign w:val="center"/>
          </w:tcPr>
          <w:p>
            <w:pPr>
              <w:spacing w:line="400" w:lineRule="exact"/>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431" w:type="pct"/>
            <w:tcBorders>
              <w:bottom w:val="single" w:color="auto" w:sz="4" w:space="0"/>
              <w:right w:val="single" w:color="auto" w:sz="4" w:space="0"/>
            </w:tcBorders>
            <w:vAlign w:val="center"/>
          </w:tcPr>
          <w:p>
            <w:pPr>
              <w:spacing w:line="400" w:lineRule="exact"/>
              <w:rPr>
                <w:rFonts w:ascii="宋体"/>
                <w:sz w:val="24"/>
              </w:rPr>
            </w:pPr>
          </w:p>
        </w:tc>
        <w:tc>
          <w:tcPr>
            <w:tcW w:w="1070" w:type="pct"/>
            <w:tcBorders>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137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Cs/>
                <w:sz w:val="24"/>
              </w:rPr>
            </w:pPr>
          </w:p>
        </w:tc>
        <w:tc>
          <w:tcPr>
            <w:tcW w:w="1635" w:type="pct"/>
            <w:tcBorders>
              <w:top w:val="single" w:color="auto" w:sz="4" w:space="0"/>
              <w:left w:val="single" w:color="auto" w:sz="4" w:space="0"/>
              <w:bottom w:val="single" w:color="auto" w:sz="4" w:space="0"/>
            </w:tcBorders>
            <w:vAlign w:val="center"/>
          </w:tcPr>
          <w:p>
            <w:pPr>
              <w:spacing w:line="400" w:lineRule="exact"/>
              <w:jc w:val="center"/>
              <w:rPr>
                <w:rFonts w:ascii="宋体"/>
                <w:bCs/>
                <w:sz w:val="24"/>
              </w:rPr>
            </w:pPr>
            <w:r>
              <w:rPr>
                <w:rFonts w:hint="eastAsia" w:ascii="宋体" w:hAnsi="宋体"/>
                <w:bCs/>
                <w:sz w:val="24"/>
              </w:rPr>
              <w:t>详见</w:t>
            </w:r>
            <w:r>
              <w:rPr>
                <w:rFonts w:hint="eastAsia" w:ascii="宋体" w:hAnsi="宋体"/>
                <w:bCs/>
                <w:sz w:val="24"/>
                <w:lang w:eastAsia="zh-CN"/>
              </w:rPr>
              <w:t>资信商务及</w:t>
            </w:r>
            <w:r>
              <w:rPr>
                <w:rFonts w:hint="eastAsia" w:ascii="宋体" w:hAnsi="宋体"/>
                <w:bCs/>
                <w:sz w:val="24"/>
              </w:rPr>
              <w:t>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431" w:type="pct"/>
            <w:tcBorders>
              <w:top w:val="single" w:color="auto" w:sz="4" w:space="0"/>
              <w:bottom w:val="single" w:color="auto" w:sz="4" w:space="0"/>
              <w:right w:val="single" w:color="auto" w:sz="4" w:space="0"/>
            </w:tcBorders>
            <w:vAlign w:val="center"/>
          </w:tcPr>
          <w:p>
            <w:pPr>
              <w:spacing w:line="400" w:lineRule="exact"/>
              <w:rPr>
                <w:rFonts w:ascii="宋体"/>
                <w:sz w:val="24"/>
              </w:rPr>
            </w:pPr>
          </w:p>
        </w:tc>
        <w:tc>
          <w:tcPr>
            <w:tcW w:w="107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137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Cs/>
                <w:sz w:val="24"/>
              </w:rPr>
            </w:pPr>
          </w:p>
        </w:tc>
        <w:tc>
          <w:tcPr>
            <w:tcW w:w="1635" w:type="pct"/>
            <w:tcBorders>
              <w:top w:val="single" w:color="auto" w:sz="4" w:space="0"/>
              <w:left w:val="single" w:color="auto" w:sz="4" w:space="0"/>
              <w:bottom w:val="single" w:color="auto" w:sz="4" w:space="0"/>
            </w:tcBorders>
            <w:vAlign w:val="center"/>
          </w:tcPr>
          <w:p>
            <w:pPr>
              <w:spacing w:line="400" w:lineRule="exact"/>
              <w:jc w:val="center"/>
              <w:rPr>
                <w:rFonts w:asci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431" w:type="pct"/>
            <w:tcBorders>
              <w:top w:val="single" w:color="auto" w:sz="4" w:space="0"/>
              <w:bottom w:val="single" w:color="auto" w:sz="4" w:space="0"/>
              <w:right w:val="single" w:color="auto" w:sz="4" w:space="0"/>
            </w:tcBorders>
            <w:vAlign w:val="center"/>
          </w:tcPr>
          <w:p>
            <w:pPr>
              <w:spacing w:line="400" w:lineRule="exact"/>
              <w:rPr>
                <w:rFonts w:ascii="宋体"/>
                <w:sz w:val="24"/>
              </w:rPr>
            </w:pPr>
          </w:p>
        </w:tc>
        <w:tc>
          <w:tcPr>
            <w:tcW w:w="107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137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4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Cs/>
                <w:sz w:val="24"/>
              </w:rPr>
            </w:pPr>
          </w:p>
        </w:tc>
        <w:tc>
          <w:tcPr>
            <w:tcW w:w="1635" w:type="pct"/>
            <w:tcBorders>
              <w:top w:val="single" w:color="auto" w:sz="4" w:space="0"/>
              <w:left w:val="single" w:color="auto" w:sz="4" w:space="0"/>
              <w:bottom w:val="single" w:color="auto" w:sz="4" w:space="0"/>
            </w:tcBorders>
            <w:vAlign w:val="center"/>
          </w:tcPr>
          <w:p>
            <w:pPr>
              <w:spacing w:line="400" w:lineRule="exact"/>
              <w:jc w:val="center"/>
              <w:rPr>
                <w:rFonts w:ascii="宋体"/>
                <w:bCs/>
                <w:sz w:val="24"/>
              </w:rPr>
            </w:pPr>
          </w:p>
        </w:tc>
      </w:tr>
    </w:tbl>
    <w:p>
      <w:pPr>
        <w:snapToGrid w:val="0"/>
        <w:spacing w:before="50" w:after="50" w:line="400" w:lineRule="exact"/>
        <w:rPr>
          <w:rFonts w:ascii="宋体"/>
          <w:sz w:val="24"/>
        </w:rPr>
      </w:pPr>
      <w:r>
        <w:rPr>
          <w:rFonts w:hint="eastAsia" w:ascii="宋体" w:hAnsi="宋体"/>
          <w:sz w:val="24"/>
        </w:rPr>
        <w:t>注：投标单位根据所投标项的评分表内容，按此格式提供评分响应表一式五份，置于</w:t>
      </w:r>
      <w:r>
        <w:rPr>
          <w:rFonts w:hint="eastAsia" w:ascii="宋体" w:hAnsi="宋体"/>
          <w:bCs/>
          <w:sz w:val="24"/>
        </w:rPr>
        <w:t>详见</w:t>
      </w:r>
      <w:r>
        <w:rPr>
          <w:rFonts w:hint="eastAsia" w:ascii="宋体" w:hAnsi="宋体"/>
          <w:bCs/>
          <w:sz w:val="24"/>
          <w:lang w:eastAsia="zh-CN"/>
        </w:rPr>
        <w:t>资信商务及</w:t>
      </w:r>
      <w:r>
        <w:rPr>
          <w:rFonts w:hint="eastAsia" w:ascii="宋体" w:hAnsi="宋体"/>
          <w:bCs/>
          <w:sz w:val="24"/>
        </w:rPr>
        <w:t>技术文件</w:t>
      </w:r>
      <w:r>
        <w:rPr>
          <w:rFonts w:hint="eastAsia" w:ascii="宋体" w:hAnsi="宋体"/>
          <w:sz w:val="24"/>
        </w:rPr>
        <w:t>第</w:t>
      </w:r>
      <w:r>
        <w:rPr>
          <w:rFonts w:ascii="宋体" w:hAnsi="宋体"/>
          <w:sz w:val="24"/>
        </w:rPr>
        <w:t>1</w:t>
      </w:r>
      <w:r>
        <w:rPr>
          <w:rFonts w:hint="eastAsia" w:ascii="宋体" w:hAnsi="宋体"/>
          <w:sz w:val="24"/>
        </w:rPr>
        <w:t>页。</w:t>
      </w:r>
    </w:p>
    <w:p>
      <w:pPr>
        <w:pStyle w:val="2"/>
        <w:ind w:firstLine="466"/>
        <w:rPr>
          <w:rFonts w:hAnsi="宋体"/>
          <w:b/>
          <w:sz w:val="24"/>
        </w:rPr>
      </w:pPr>
    </w:p>
    <w:p>
      <w:pPr>
        <w:pStyle w:val="2"/>
        <w:ind w:firstLine="466"/>
        <w:rPr>
          <w:rFonts w:hAnsi="宋体"/>
          <w:b/>
          <w:sz w:val="24"/>
        </w:rPr>
      </w:pPr>
    </w:p>
    <w:p>
      <w:pPr>
        <w:pStyle w:val="2"/>
        <w:ind w:firstLine="466"/>
        <w:rPr>
          <w:rFonts w:hAnsi="宋体"/>
          <w:b/>
          <w:sz w:val="24"/>
        </w:rPr>
      </w:pPr>
    </w:p>
    <w:p>
      <w:pPr>
        <w:pStyle w:val="2"/>
        <w:ind w:firstLine="466"/>
        <w:rPr>
          <w:rFonts w:hAnsi="宋体"/>
          <w:b/>
          <w:sz w:val="24"/>
        </w:rPr>
      </w:pPr>
    </w:p>
    <w:p>
      <w:pPr>
        <w:pStyle w:val="2"/>
        <w:ind w:firstLine="466"/>
        <w:rPr>
          <w:rFonts w:hAnsi="宋体"/>
          <w:b/>
          <w:sz w:val="24"/>
        </w:rPr>
      </w:pPr>
    </w:p>
    <w:p>
      <w:pPr>
        <w:pStyle w:val="2"/>
        <w:ind w:firstLine="466"/>
        <w:rPr>
          <w:rFonts w:hAnsi="宋体"/>
          <w:b/>
          <w:sz w:val="24"/>
        </w:rPr>
      </w:pPr>
    </w:p>
    <w:p>
      <w:pPr>
        <w:pStyle w:val="2"/>
        <w:ind w:firstLine="466"/>
        <w:rPr>
          <w:rFonts w:hAnsi="宋体"/>
          <w:b/>
          <w:sz w:val="24"/>
        </w:rPr>
      </w:pPr>
    </w:p>
    <w:p>
      <w:pPr>
        <w:pStyle w:val="2"/>
        <w:ind w:firstLine="466"/>
        <w:rPr>
          <w:rFonts w:hAnsi="宋体"/>
          <w:b/>
          <w:sz w:val="24"/>
        </w:rPr>
      </w:pPr>
    </w:p>
    <w:p>
      <w:pPr>
        <w:pStyle w:val="2"/>
        <w:ind w:firstLine="466"/>
        <w:rPr>
          <w:rFonts w:hAnsi="宋体"/>
          <w:b/>
          <w:sz w:val="24"/>
        </w:rPr>
      </w:pPr>
    </w:p>
    <w:p>
      <w:pPr>
        <w:pStyle w:val="2"/>
        <w:ind w:firstLine="466"/>
        <w:rPr>
          <w:rFonts w:hAnsi="宋体"/>
          <w:b/>
          <w:sz w:val="24"/>
        </w:rPr>
      </w:pPr>
    </w:p>
    <w:p>
      <w:pPr>
        <w:snapToGrid w:val="0"/>
        <w:spacing w:before="50" w:afterLines="50" w:line="360" w:lineRule="auto"/>
        <w:ind w:firstLine="960" w:firstLineChars="400"/>
        <w:jc w:val="left"/>
        <w:outlineLvl w:val="2"/>
        <w:rPr>
          <w:rFonts w:ascii="宋体"/>
          <w:b/>
          <w:sz w:val="24"/>
        </w:rPr>
      </w:pPr>
    </w:p>
    <w:p>
      <w:pPr>
        <w:snapToGrid w:val="0"/>
        <w:spacing w:before="50" w:afterLines="50" w:line="360" w:lineRule="auto"/>
        <w:jc w:val="left"/>
        <w:outlineLvl w:val="2"/>
        <w:rPr>
          <w:rFonts w:ascii="宋体" w:hAnsi="宋体"/>
          <w:b/>
          <w:sz w:val="24"/>
        </w:rPr>
      </w:pPr>
    </w:p>
    <w:p>
      <w:pPr>
        <w:snapToGrid w:val="0"/>
        <w:spacing w:before="50" w:afterLines="50" w:line="360" w:lineRule="auto"/>
        <w:jc w:val="left"/>
        <w:outlineLvl w:val="2"/>
        <w:rPr>
          <w:rFonts w:hint="eastAsia" w:ascii="宋体" w:hAnsi="宋体"/>
          <w:b/>
          <w:sz w:val="24"/>
          <w:lang w:val="en-US" w:eastAsia="zh-CN"/>
        </w:rPr>
      </w:pPr>
    </w:p>
    <w:p>
      <w:pPr>
        <w:snapToGrid w:val="0"/>
        <w:spacing w:before="50" w:afterLines="50" w:line="360" w:lineRule="auto"/>
        <w:jc w:val="left"/>
        <w:outlineLvl w:val="2"/>
        <w:rPr>
          <w:rFonts w:ascii="宋体"/>
          <w:b/>
          <w:sz w:val="24"/>
        </w:rPr>
      </w:pPr>
      <w:r>
        <w:rPr>
          <w:rFonts w:hint="eastAsia" w:ascii="宋体" w:hAnsi="宋体"/>
          <w:b/>
          <w:sz w:val="24"/>
          <w:lang w:val="en-US" w:eastAsia="zh-CN"/>
        </w:rPr>
        <w:t>2.2</w:t>
      </w:r>
      <w:r>
        <w:rPr>
          <w:rFonts w:hint="eastAsia" w:ascii="宋体" w:hAnsi="宋体"/>
          <w:b/>
          <w:sz w:val="24"/>
        </w:rPr>
        <w:t>投标声明书格式：</w:t>
      </w:r>
    </w:p>
    <w:p>
      <w:pPr>
        <w:snapToGrid w:val="0"/>
        <w:spacing w:beforeLines="50" w:after="50" w:line="360" w:lineRule="auto"/>
        <w:jc w:val="center"/>
        <w:rPr>
          <w:rFonts w:ascii="宋体"/>
          <w:sz w:val="24"/>
        </w:rPr>
      </w:pPr>
      <w:r>
        <w:rPr>
          <w:rFonts w:hint="eastAsia" w:ascii="宋体" w:hAnsi="宋体"/>
          <w:sz w:val="24"/>
        </w:rPr>
        <w:t>投标声明书</w:t>
      </w:r>
    </w:p>
    <w:p>
      <w:pPr>
        <w:snapToGrid w:val="0"/>
        <w:spacing w:beforeLines="50" w:after="50" w:line="360" w:lineRule="auto"/>
        <w:rPr>
          <w:rFonts w:ascii="宋体"/>
          <w:sz w:val="24"/>
        </w:rPr>
      </w:pPr>
      <w:r>
        <w:rPr>
          <w:rFonts w:hint="eastAsia" w:ascii="宋体" w:hAnsi="宋体"/>
          <w:sz w:val="24"/>
        </w:rPr>
        <w:t>致：</w:t>
      </w:r>
      <w:r>
        <w:rPr>
          <w:rFonts w:hint="eastAsia" w:hAnsi="宋体"/>
          <w:sz w:val="24"/>
          <w:u w:val="single"/>
        </w:rPr>
        <w:t>金华市金诚招投标代理有限公司</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b/>
          <w:sz w:val="24"/>
        </w:rPr>
      </w:pPr>
      <w:r>
        <w:rPr>
          <w:rFonts w:hint="eastAsia" w:ascii="宋体" w:hAnsi="宋体"/>
          <w:sz w:val="24"/>
          <w:u w:val="single"/>
        </w:rPr>
        <w:t>（投标人名称）</w:t>
      </w:r>
      <w:r>
        <w:rPr>
          <w:rFonts w:hint="eastAsia" w:ascii="宋体" w:hAnsi="宋体"/>
          <w:sz w:val="24"/>
        </w:rPr>
        <w:t>系中华人民共和国合法企业，经营地址</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我</w:t>
      </w:r>
      <w:r>
        <w:rPr>
          <w:rFonts w:ascii="宋体" w:hAnsi="宋体"/>
          <w:sz w:val="24"/>
          <w:u w:val="single"/>
        </w:rPr>
        <w:t xml:space="preserve">_   </w:t>
      </w:r>
      <w:r>
        <w:rPr>
          <w:rFonts w:hint="eastAsia" w:ascii="宋体" w:hAnsi="宋体"/>
          <w:sz w:val="24"/>
          <w:u w:val="single"/>
        </w:rPr>
        <w:t>（姓名）</w:t>
      </w:r>
      <w:r>
        <w:rPr>
          <w:rFonts w:hint="eastAsia" w:ascii="宋体" w:hAnsi="宋体"/>
          <w:sz w:val="24"/>
        </w:rPr>
        <w:t>系</w:t>
      </w:r>
      <w:r>
        <w:rPr>
          <w:rFonts w:ascii="宋体" w:hAnsi="宋体"/>
          <w:sz w:val="24"/>
          <w:u w:val="single"/>
        </w:rPr>
        <w:t>__</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b/>
          <w:sz w:val="24"/>
          <w:u w:val="single"/>
          <w:lang w:eastAsia="zh-CN"/>
        </w:rPr>
        <w:t>2025年东阳市图书馆新增图书采购项目</w:t>
      </w:r>
      <w:r>
        <w:rPr>
          <w:rFonts w:hint="eastAsia" w:ascii="宋体" w:hAnsi="宋体" w:cs="宋体"/>
          <w:color w:val="000000"/>
          <w:sz w:val="24"/>
        </w:rPr>
        <w:t>标项1/2</w:t>
      </w:r>
      <w:r>
        <w:rPr>
          <w:rFonts w:hint="eastAsia" w:ascii="宋体" w:hAnsi="宋体" w:cs="宋体"/>
          <w:color w:val="000000"/>
          <w:sz w:val="24"/>
          <w:lang w:val="en-US" w:eastAsia="zh-CN"/>
        </w:rPr>
        <w:t>/3</w:t>
      </w:r>
      <w:r>
        <w:rPr>
          <w:rFonts w:hint="eastAsia" w:hAnsi="宋体" w:cs="宋体"/>
          <w:sz w:val="24"/>
        </w:rPr>
        <w:t>的投</w:t>
      </w:r>
      <w:r>
        <w:rPr>
          <w:rFonts w:hint="eastAsia" w:ascii="宋体" w:hAnsi="宋体"/>
          <w:sz w:val="24"/>
        </w:rPr>
        <w:t>标，为便于贵方公正、择优地确定中标人，我方就本次投标有关事项郑重声明如下：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hAnsi="宋体"/>
          <w:sz w:val="24"/>
        </w:rPr>
        <w:t>1</w:t>
      </w:r>
      <w:r>
        <w:rPr>
          <w:rFonts w:ascii="宋体"/>
          <w:sz w:val="24"/>
        </w:rPr>
        <w:t>.</w:t>
      </w:r>
      <w:r>
        <w:rPr>
          <w:rFonts w:hint="eastAsia" w:ascii="宋体" w:hAnsi="宋体"/>
          <w:sz w:val="24"/>
        </w:rPr>
        <w:t>我方向贵方提交的所有投标文件、资料都是准确的和真实的。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hAnsi="宋体"/>
          <w:sz w:val="24"/>
        </w:rPr>
        <w:t>2</w:t>
      </w:r>
      <w:r>
        <w:rPr>
          <w:rFonts w:ascii="宋体"/>
          <w:sz w:val="24"/>
        </w:rPr>
        <w:t>.</w:t>
      </w:r>
      <w:r>
        <w:rPr>
          <w:rFonts w:hint="eastAsia" w:ascii="宋体" w:hAnsi="宋体"/>
          <w:sz w:val="24"/>
        </w:rPr>
        <w:t>我方不是采购人的附属机构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hAnsi="宋体"/>
          <w:sz w:val="24"/>
        </w:rPr>
        <w:t>在获知本项目采购信息后，与采购人聘请的为此项目提供咨询服务的公司及其附属机构没有任何联系。</w:t>
      </w:r>
    </w:p>
    <w:p>
      <w:pPr>
        <w:pStyle w:val="3"/>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Ansi="宋体"/>
          <w:sz w:val="24"/>
          <w:szCs w:val="24"/>
        </w:rPr>
      </w:pPr>
      <w:r>
        <w:rPr>
          <w:rFonts w:hAnsi="宋体"/>
          <w:sz w:val="24"/>
          <w:szCs w:val="24"/>
        </w:rPr>
        <w:t>3.</w:t>
      </w:r>
      <w:r>
        <w:rPr>
          <w:rFonts w:hint="eastAsia" w:hAnsi="宋体"/>
          <w:sz w:val="24"/>
          <w:szCs w:val="24"/>
        </w:rPr>
        <w:t>我方及由本人担任法定代表人的其他机构最近三年内被通报、被处罚的违法行为或者可认定为不良行为的有：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u w:val="single"/>
        </w:rPr>
      </w:pPr>
      <w:r>
        <w:rPr>
          <w:rFonts w:hint="eastAsia" w:ascii="宋体" w:hAnsi="宋体"/>
          <w:sz w:val="24"/>
          <w:u w:val="single"/>
        </w:rPr>
        <w:t>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ascii="宋体"/>
          <w:spacing w:val="-4"/>
          <w:sz w:val="24"/>
        </w:rPr>
      </w:pPr>
      <w:r>
        <w:rPr>
          <w:rFonts w:ascii="宋体" w:hAnsi="宋体"/>
          <w:spacing w:val="-4"/>
          <w:sz w:val="24"/>
        </w:rPr>
        <w:t>4.</w:t>
      </w:r>
      <w:r>
        <w:rPr>
          <w:rFonts w:hint="eastAsia" w:ascii="宋体" w:hAnsi="宋体"/>
          <w:spacing w:val="-4"/>
          <w:sz w:val="24"/>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ind w:firstLine="319" w:firstLineChars="133"/>
        <w:textAlignment w:val="auto"/>
        <w:rPr>
          <w:rFonts w:ascii="宋体"/>
          <w:sz w:val="24"/>
          <w:u w:val="single"/>
        </w:rPr>
      </w:pPr>
      <w:r>
        <w:rPr>
          <w:rFonts w:hint="eastAsia" w:ascii="宋体" w:hAnsi="宋体"/>
          <w:sz w:val="24"/>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sz w:val="24"/>
        </w:rPr>
      </w:pPr>
      <w:r>
        <w:rPr>
          <w:rFonts w:hint="eastAsia" w:ascii="宋体" w:hAnsi="宋体"/>
          <w:sz w:val="24"/>
        </w:rPr>
        <w:t>投标人公章：</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450"/>
        <w:textAlignment w:val="auto"/>
        <w:rPr>
          <w:sz w:val="24"/>
        </w:rPr>
      </w:pPr>
      <w:r>
        <w:rPr>
          <w:rFonts w:hint="eastAsia"/>
          <w:sz w:val="24"/>
        </w:rPr>
        <w:t>年月日</w:t>
      </w:r>
    </w:p>
    <w:p>
      <w:pPr>
        <w:snapToGrid w:val="0"/>
        <w:spacing w:before="50" w:afterLines="50" w:line="360" w:lineRule="auto"/>
        <w:jc w:val="left"/>
        <w:outlineLvl w:val="2"/>
        <w:rPr>
          <w:rFonts w:ascii="宋体"/>
          <w:sz w:val="24"/>
        </w:rPr>
      </w:pPr>
      <w:r>
        <w:rPr>
          <w:rFonts w:ascii="宋体"/>
          <w:sz w:val="24"/>
        </w:rPr>
        <w:br w:type="page"/>
      </w:r>
      <w:r>
        <w:rPr>
          <w:rFonts w:hint="eastAsia" w:ascii="宋体" w:hAnsi="宋体"/>
          <w:b/>
          <w:sz w:val="24"/>
          <w:lang w:val="en-US" w:eastAsia="zh-CN"/>
        </w:rPr>
        <w:t>2.3</w:t>
      </w:r>
      <w:r>
        <w:rPr>
          <w:rFonts w:hint="eastAsia" w:ascii="宋体" w:hAnsi="宋体"/>
          <w:b/>
          <w:sz w:val="24"/>
        </w:rPr>
        <w:t>法定代表人授权委托书格式：</w:t>
      </w:r>
    </w:p>
    <w:p>
      <w:pPr>
        <w:snapToGrid w:val="0"/>
        <w:spacing w:beforeLines="50" w:after="50" w:line="360" w:lineRule="auto"/>
        <w:jc w:val="center"/>
        <w:rPr>
          <w:rFonts w:ascii="宋体"/>
          <w:b/>
          <w:sz w:val="24"/>
        </w:rPr>
      </w:pPr>
      <w:r>
        <w:rPr>
          <w:rFonts w:hint="eastAsia" w:ascii="宋体" w:hAnsi="宋体"/>
          <w:b/>
          <w:sz w:val="24"/>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致：</w:t>
      </w:r>
      <w:r>
        <w:rPr>
          <w:rFonts w:hint="eastAsia" w:hAnsi="宋体"/>
          <w:sz w:val="24"/>
          <w:u w:val="single"/>
        </w:rPr>
        <w:t>金华市金诚招投标代理有限公司</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b/>
          <w:sz w:val="24"/>
        </w:rPr>
      </w:pPr>
      <w:r>
        <w:rPr>
          <w:rFonts w:hint="eastAsia" w:ascii="宋体" w:hAnsi="宋体"/>
          <w:sz w:val="24"/>
        </w:rPr>
        <w:t>我</w:t>
      </w:r>
      <w:r>
        <w:rPr>
          <w:rFonts w:ascii="宋体" w:hAnsi="宋体"/>
          <w:sz w:val="24"/>
          <w:u w:val="single"/>
        </w:rPr>
        <w:t>____</w:t>
      </w:r>
      <w:r>
        <w:rPr>
          <w:rFonts w:hint="eastAsia" w:ascii="宋体" w:hAnsi="宋体"/>
          <w:sz w:val="24"/>
          <w:u w:val="single"/>
        </w:rPr>
        <w:t>（姓名）</w:t>
      </w:r>
      <w:r>
        <w:rPr>
          <w:rFonts w:hint="eastAsia" w:ascii="宋体" w:hAnsi="宋体"/>
          <w:sz w:val="24"/>
        </w:rPr>
        <w:t>系</w:t>
      </w:r>
      <w:r>
        <w:rPr>
          <w:rFonts w:ascii="宋体" w:hAnsi="宋体"/>
          <w:sz w:val="24"/>
        </w:rPr>
        <w:t>__</w:t>
      </w:r>
      <w:r>
        <w:rPr>
          <w:rFonts w:ascii="宋体" w:hAnsi="宋体"/>
          <w:sz w:val="24"/>
          <w:u w:val="single"/>
        </w:rPr>
        <w:t>______</w:t>
      </w:r>
      <w:r>
        <w:rPr>
          <w:rFonts w:hint="eastAsia" w:ascii="宋体" w:hAnsi="宋体"/>
          <w:sz w:val="24"/>
          <w:u w:val="single"/>
        </w:rPr>
        <w:t>（投标人名称）</w:t>
      </w:r>
      <w:r>
        <w:rPr>
          <w:rFonts w:hint="eastAsia" w:ascii="宋体" w:hAnsi="宋体"/>
          <w:sz w:val="24"/>
        </w:rPr>
        <w:t>的法定代表人，现授权委托本单位在职职工</w:t>
      </w:r>
      <w:r>
        <w:rPr>
          <w:rFonts w:hint="eastAsia" w:ascii="宋体" w:hAnsi="宋体"/>
          <w:sz w:val="24"/>
          <w:u w:val="single"/>
        </w:rPr>
        <w:t>（姓名）</w:t>
      </w:r>
      <w:r>
        <w:rPr>
          <w:rFonts w:hint="eastAsia" w:ascii="宋体" w:hAnsi="宋体"/>
          <w:sz w:val="24"/>
        </w:rPr>
        <w:t>以我方的名义参加</w:t>
      </w:r>
      <w:r>
        <w:rPr>
          <w:rFonts w:hint="eastAsia" w:ascii="宋体"/>
          <w:b/>
          <w:sz w:val="24"/>
          <w:u w:val="single"/>
          <w:lang w:eastAsia="zh-CN"/>
        </w:rPr>
        <w:t>2025年东阳市图书馆新增图书采购项目</w:t>
      </w:r>
      <w:r>
        <w:rPr>
          <w:rFonts w:hint="eastAsia" w:ascii="宋体" w:hAnsi="宋体" w:cs="宋体"/>
          <w:color w:val="000000"/>
          <w:sz w:val="24"/>
        </w:rPr>
        <w:t>标项1/2</w:t>
      </w:r>
      <w:r>
        <w:rPr>
          <w:rFonts w:hint="eastAsia" w:ascii="宋体" w:hAnsi="宋体" w:cs="宋体"/>
          <w:color w:val="000000"/>
          <w:sz w:val="24"/>
          <w:lang w:val="en-US" w:eastAsia="zh-CN"/>
        </w:rPr>
        <w:t>/3</w:t>
      </w:r>
      <w:r>
        <w:rPr>
          <w:rFonts w:hint="eastAsia" w:hAnsi="宋体" w:cs="宋体"/>
          <w:sz w:val="24"/>
        </w:rPr>
        <w:t>的</w:t>
      </w:r>
      <w:r>
        <w:rPr>
          <w:rFonts w:hint="eastAsia" w:ascii="宋体" w:hAnsi="宋体"/>
          <w:sz w:val="24"/>
        </w:rPr>
        <w:t>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我方对被授权人的签名事项负全部责任。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sz w:val="24"/>
        </w:rPr>
      </w:pPr>
      <w:r>
        <w:rPr>
          <w:rFonts w:hint="eastAsia" w:ascii="宋体" w:hAnsi="宋体"/>
          <w:sz w:val="24"/>
        </w:rPr>
        <w:t>被授权人无转委托权，特此委托。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u w:val="single"/>
        </w:rPr>
      </w:pPr>
      <w:r>
        <w:rPr>
          <w:rFonts w:hint="eastAsia" w:ascii="宋体" w:hAnsi="宋体"/>
          <w:sz w:val="24"/>
        </w:rPr>
        <w:t>被授权人签名：</w:t>
      </w:r>
      <w:r>
        <w:rPr>
          <w:rFonts w:hint="eastAsia" w:ascii="宋体" w:hAnsi="宋体"/>
          <w:sz w:val="24"/>
          <w:lang w:val="en-US" w:eastAsia="zh-CN"/>
        </w:rPr>
        <w:t xml:space="preserve">                    </w:t>
      </w:r>
      <w:r>
        <w:rPr>
          <w:rFonts w:hint="eastAsia" w:ascii="宋体" w:hAnsi="宋体"/>
          <w:sz w:val="24"/>
        </w:rPr>
        <w:t>法定代表人签名：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被授权人身份证复印件：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投标人公章：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sz w:val="24"/>
        </w:rPr>
      </w:pPr>
      <w:r>
        <w:rPr>
          <w:rFonts w:hint="eastAsia" w:ascii="宋体" w:hAnsi="宋体"/>
          <w:sz w:val="24"/>
        </w:rPr>
        <w:t>年月日</w:t>
      </w:r>
    </w:p>
    <w:p>
      <w:pPr>
        <w:snapToGrid w:val="0"/>
        <w:spacing w:beforeLines="50" w:after="50" w:line="360" w:lineRule="auto"/>
        <w:jc w:val="center"/>
        <w:rPr>
          <w:rFonts w:ascii="宋体"/>
          <w:sz w:val="24"/>
        </w:rPr>
      </w:pPr>
    </w:p>
    <w:p>
      <w:pPr>
        <w:snapToGrid w:val="0"/>
        <w:spacing w:beforeLines="50" w:after="50" w:line="360" w:lineRule="auto"/>
        <w:jc w:val="center"/>
        <w:rPr>
          <w:rFonts w:ascii="宋体"/>
          <w:sz w:val="24"/>
        </w:rPr>
      </w:pPr>
    </w:p>
    <w:p>
      <w:pPr>
        <w:snapToGrid w:val="0"/>
        <w:spacing w:before="50" w:afterLines="50" w:line="360" w:lineRule="auto"/>
        <w:jc w:val="left"/>
        <w:outlineLvl w:val="2"/>
        <w:rPr>
          <w:rFonts w:ascii="宋体"/>
          <w:b/>
          <w:sz w:val="24"/>
        </w:rPr>
      </w:pPr>
    </w:p>
    <w:p>
      <w:pPr>
        <w:snapToGrid w:val="0"/>
        <w:spacing w:before="50" w:afterLines="50" w:line="360" w:lineRule="auto"/>
        <w:jc w:val="left"/>
        <w:outlineLvl w:val="2"/>
        <w:rPr>
          <w:rFonts w:hint="eastAsia" w:ascii="宋体" w:hAnsi="宋体"/>
          <w:b/>
          <w:sz w:val="24"/>
          <w:lang w:val="en-US" w:eastAsia="zh-CN"/>
        </w:rPr>
      </w:pPr>
    </w:p>
    <w:p>
      <w:pPr>
        <w:snapToGrid w:val="0"/>
        <w:spacing w:before="50" w:afterLines="50" w:line="360" w:lineRule="auto"/>
        <w:jc w:val="left"/>
        <w:outlineLvl w:val="2"/>
        <w:rPr>
          <w:rFonts w:hint="eastAsia" w:ascii="宋体" w:hAnsi="宋体"/>
          <w:b/>
          <w:sz w:val="24"/>
          <w:lang w:val="en-US" w:eastAsia="zh-CN"/>
        </w:rPr>
      </w:pPr>
    </w:p>
    <w:p>
      <w:pPr>
        <w:snapToGrid w:val="0"/>
        <w:spacing w:before="50" w:afterLines="50" w:line="360" w:lineRule="auto"/>
        <w:jc w:val="left"/>
        <w:outlineLvl w:val="2"/>
        <w:rPr>
          <w:rFonts w:hint="eastAsia" w:ascii="宋体" w:hAnsi="宋体"/>
          <w:b/>
          <w:sz w:val="24"/>
          <w:lang w:val="en-US" w:eastAsia="zh-CN"/>
        </w:rPr>
      </w:pPr>
    </w:p>
    <w:p>
      <w:pPr>
        <w:snapToGrid w:val="0"/>
        <w:spacing w:before="50" w:afterLines="50" w:line="360" w:lineRule="auto"/>
        <w:jc w:val="left"/>
        <w:outlineLvl w:val="2"/>
        <w:rPr>
          <w:rFonts w:hint="eastAsia" w:ascii="宋体" w:hAnsi="宋体"/>
          <w:b/>
          <w:sz w:val="24"/>
          <w:lang w:val="en-US" w:eastAsia="zh-CN"/>
        </w:rPr>
      </w:pPr>
    </w:p>
    <w:p>
      <w:pPr>
        <w:snapToGrid w:val="0"/>
        <w:spacing w:before="50" w:afterLines="50" w:line="360" w:lineRule="auto"/>
        <w:jc w:val="left"/>
        <w:outlineLvl w:val="2"/>
        <w:rPr>
          <w:rFonts w:hint="eastAsia" w:ascii="宋体" w:hAnsi="宋体"/>
          <w:b/>
          <w:sz w:val="24"/>
          <w:lang w:val="en-US" w:eastAsia="zh-CN"/>
        </w:rPr>
      </w:pPr>
    </w:p>
    <w:p>
      <w:pPr>
        <w:snapToGrid w:val="0"/>
        <w:spacing w:before="50" w:afterLines="50" w:line="360" w:lineRule="auto"/>
        <w:jc w:val="left"/>
        <w:outlineLvl w:val="2"/>
        <w:rPr>
          <w:rFonts w:ascii="宋体"/>
          <w:b/>
          <w:sz w:val="24"/>
        </w:rPr>
      </w:pPr>
      <w:r>
        <w:rPr>
          <w:rFonts w:hint="eastAsia" w:ascii="宋体" w:hAnsi="宋体"/>
          <w:b/>
          <w:sz w:val="24"/>
          <w:lang w:val="en-US" w:eastAsia="zh-CN"/>
        </w:rPr>
        <w:t>2.4</w:t>
      </w:r>
      <w:r>
        <w:rPr>
          <w:rFonts w:hint="eastAsia" w:ascii="宋体" w:hAnsi="宋体"/>
          <w:b/>
          <w:sz w:val="24"/>
        </w:rPr>
        <w:t>投标单位情况表：</w:t>
      </w:r>
    </w:p>
    <w:p>
      <w:pPr>
        <w:snapToGrid w:val="0"/>
        <w:spacing w:beforeLines="50" w:after="50" w:line="360" w:lineRule="auto"/>
        <w:jc w:val="center"/>
        <w:rPr>
          <w:rFonts w:ascii="宋体"/>
          <w:b/>
          <w:sz w:val="24"/>
        </w:rPr>
      </w:pPr>
      <w:r>
        <w:rPr>
          <w:rFonts w:hint="eastAsia" w:ascii="宋体" w:hAnsi="宋体"/>
          <w:b/>
          <w:sz w:val="24"/>
        </w:rPr>
        <w:t>投标单位情况表</w:t>
      </w:r>
    </w:p>
    <w:p>
      <w:pPr>
        <w:pStyle w:val="27"/>
        <w:spacing w:before="156" w:after="156" w:line="360" w:lineRule="auto"/>
        <w:rPr>
          <w:rFonts w:ascii="Times New Roman" w:hAnsi="Times New Roman"/>
        </w:rPr>
      </w:pPr>
      <w:r>
        <w:rPr>
          <w:rFonts w:hint="eastAsia" w:ascii="Times New Roman" w:hAnsi="Times New Roman"/>
        </w:rPr>
        <w:t>投标单位：</w:t>
      </w:r>
      <w:r>
        <w:rPr>
          <w:rFonts w:hint="eastAsia" w:ascii="Times New Roman" w:hAnsi="Times New Roman"/>
          <w:lang w:val="en-US" w:eastAsia="zh-CN"/>
        </w:rPr>
        <w:t xml:space="preserve">                                     </w:t>
      </w:r>
      <w:r>
        <w:rPr>
          <w:rFonts w:hint="eastAsia" w:ascii="Times New Roman" w:hAnsi="Times New Roman"/>
        </w:rPr>
        <w:t>填表日期：</w:t>
      </w:r>
    </w:p>
    <w:tbl>
      <w:tblPr>
        <w:tblStyle w:val="45"/>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单位名称</w:t>
            </w:r>
          </w:p>
        </w:tc>
        <w:tc>
          <w:tcPr>
            <w:tcW w:w="2887" w:type="dxa"/>
            <w:vAlign w:val="center"/>
          </w:tcPr>
          <w:p>
            <w:pPr>
              <w:widowControl/>
              <w:spacing w:line="360" w:lineRule="auto"/>
              <w:jc w:val="center"/>
              <w:rPr>
                <w:sz w:val="24"/>
              </w:rPr>
            </w:pPr>
          </w:p>
        </w:tc>
        <w:tc>
          <w:tcPr>
            <w:tcW w:w="1388"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电话</w:t>
            </w:r>
          </w:p>
        </w:tc>
        <w:tc>
          <w:tcPr>
            <w:tcW w:w="2534" w:type="dxa"/>
            <w:vAlign w:val="center"/>
          </w:tcPr>
          <w:p>
            <w:pPr>
              <w:pStyle w:val="27"/>
              <w:spacing w:before="156" w:after="156"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地址</w:t>
            </w:r>
          </w:p>
        </w:tc>
        <w:tc>
          <w:tcPr>
            <w:tcW w:w="2887" w:type="dxa"/>
            <w:vAlign w:val="center"/>
          </w:tcPr>
          <w:p>
            <w:pPr>
              <w:pStyle w:val="27"/>
              <w:spacing w:before="156" w:after="156" w:line="360" w:lineRule="auto"/>
              <w:jc w:val="center"/>
              <w:rPr>
                <w:rFonts w:ascii="Times New Roman" w:hAnsi="Times New Roman"/>
                <w:szCs w:val="24"/>
              </w:rPr>
            </w:pPr>
          </w:p>
        </w:tc>
        <w:tc>
          <w:tcPr>
            <w:tcW w:w="1388"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传真</w:t>
            </w:r>
          </w:p>
        </w:tc>
        <w:tc>
          <w:tcPr>
            <w:tcW w:w="2534" w:type="dxa"/>
            <w:vAlign w:val="center"/>
          </w:tcPr>
          <w:p>
            <w:pPr>
              <w:pStyle w:val="27"/>
              <w:spacing w:before="156" w:after="156"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主管部门</w:t>
            </w:r>
          </w:p>
        </w:tc>
        <w:tc>
          <w:tcPr>
            <w:tcW w:w="2887" w:type="dxa"/>
            <w:vAlign w:val="center"/>
          </w:tcPr>
          <w:p>
            <w:pPr>
              <w:pStyle w:val="27"/>
              <w:spacing w:before="156" w:after="156" w:line="360" w:lineRule="auto"/>
              <w:jc w:val="center"/>
              <w:rPr>
                <w:rFonts w:ascii="Times New Roman" w:hAnsi="Times New Roman"/>
                <w:szCs w:val="24"/>
              </w:rPr>
            </w:pPr>
          </w:p>
        </w:tc>
        <w:tc>
          <w:tcPr>
            <w:tcW w:w="1388"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企业性质</w:t>
            </w:r>
          </w:p>
        </w:tc>
        <w:tc>
          <w:tcPr>
            <w:tcW w:w="2534" w:type="dxa"/>
            <w:vAlign w:val="center"/>
          </w:tcPr>
          <w:p>
            <w:pPr>
              <w:pStyle w:val="27"/>
              <w:spacing w:before="156" w:after="156"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企业法人</w:t>
            </w:r>
          </w:p>
        </w:tc>
        <w:tc>
          <w:tcPr>
            <w:tcW w:w="2887" w:type="dxa"/>
            <w:vAlign w:val="center"/>
          </w:tcPr>
          <w:p>
            <w:pPr>
              <w:pStyle w:val="27"/>
              <w:spacing w:before="156" w:after="156" w:line="360" w:lineRule="auto"/>
              <w:jc w:val="center"/>
              <w:rPr>
                <w:rFonts w:ascii="Times New Roman" w:hAnsi="Times New Roman"/>
                <w:szCs w:val="24"/>
              </w:rPr>
            </w:pPr>
          </w:p>
        </w:tc>
        <w:tc>
          <w:tcPr>
            <w:tcW w:w="1388" w:type="dxa"/>
            <w:gridSpan w:val="2"/>
            <w:vAlign w:val="center"/>
          </w:tcPr>
          <w:p>
            <w:pPr>
              <w:pStyle w:val="27"/>
              <w:spacing w:before="156" w:after="156" w:line="360" w:lineRule="auto"/>
              <w:rPr>
                <w:rFonts w:ascii="Times New Roman" w:hAnsi="Times New Roman"/>
                <w:szCs w:val="24"/>
              </w:rPr>
            </w:pPr>
            <w:r>
              <w:rPr>
                <w:rFonts w:hint="eastAsia"/>
                <w:szCs w:val="24"/>
              </w:rPr>
              <w:t>资质等级</w:t>
            </w:r>
          </w:p>
        </w:tc>
        <w:tc>
          <w:tcPr>
            <w:tcW w:w="2534" w:type="dxa"/>
            <w:vAlign w:val="center"/>
          </w:tcPr>
          <w:p>
            <w:pPr>
              <w:pStyle w:val="27"/>
              <w:spacing w:before="156" w:after="156"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授权代表</w:t>
            </w:r>
          </w:p>
        </w:tc>
        <w:tc>
          <w:tcPr>
            <w:tcW w:w="2887" w:type="dxa"/>
            <w:vAlign w:val="center"/>
          </w:tcPr>
          <w:p>
            <w:pPr>
              <w:pStyle w:val="27"/>
              <w:spacing w:before="156" w:after="156" w:line="360" w:lineRule="auto"/>
              <w:jc w:val="center"/>
              <w:rPr>
                <w:rFonts w:ascii="Times New Roman" w:hAnsi="Times New Roman"/>
                <w:szCs w:val="24"/>
              </w:rPr>
            </w:pPr>
          </w:p>
        </w:tc>
        <w:tc>
          <w:tcPr>
            <w:tcW w:w="1388"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职务</w:t>
            </w:r>
          </w:p>
        </w:tc>
        <w:tc>
          <w:tcPr>
            <w:tcW w:w="2534" w:type="dxa"/>
            <w:vAlign w:val="center"/>
          </w:tcPr>
          <w:p>
            <w:pPr>
              <w:pStyle w:val="27"/>
              <w:spacing w:before="156" w:after="156"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pPr>
              <w:pStyle w:val="27"/>
              <w:spacing w:before="156" w:after="156" w:line="360" w:lineRule="auto"/>
              <w:ind w:firstLine="720" w:firstLineChars="300"/>
              <w:jc w:val="center"/>
              <w:rPr>
                <w:rFonts w:ascii="Times New Roman" w:hAnsi="Times New Roman"/>
                <w:szCs w:val="24"/>
              </w:rPr>
            </w:pPr>
          </w:p>
          <w:p>
            <w:pPr>
              <w:pStyle w:val="27"/>
              <w:spacing w:before="156" w:after="156" w:line="360" w:lineRule="auto"/>
              <w:jc w:val="center"/>
              <w:rPr>
                <w:rFonts w:ascii="Times New Roman" w:hAnsi="Times New Roman"/>
                <w:szCs w:val="24"/>
              </w:rPr>
            </w:pPr>
            <w:r>
              <w:rPr>
                <w:rFonts w:hint="eastAsia" w:ascii="Times New Roman" w:hAnsi="Times New Roman"/>
                <w:szCs w:val="24"/>
              </w:rPr>
              <w:t>单位概况</w:t>
            </w:r>
          </w:p>
          <w:p>
            <w:pPr>
              <w:pStyle w:val="27"/>
              <w:spacing w:before="156" w:after="156" w:line="360" w:lineRule="auto"/>
              <w:ind w:firstLine="720" w:firstLineChars="300"/>
              <w:jc w:val="center"/>
              <w:rPr>
                <w:rFonts w:ascii="Times New Roman" w:hAnsi="Times New Roman"/>
                <w:szCs w:val="24"/>
              </w:rPr>
            </w:pPr>
          </w:p>
          <w:p>
            <w:pPr>
              <w:pStyle w:val="27"/>
              <w:spacing w:before="156" w:after="156" w:line="360" w:lineRule="auto"/>
              <w:ind w:firstLine="720" w:firstLineChars="300"/>
              <w:jc w:val="center"/>
              <w:rPr>
                <w:rFonts w:ascii="Times New Roman" w:hAnsi="Times New Roman"/>
                <w:szCs w:val="24"/>
              </w:rPr>
            </w:pPr>
          </w:p>
          <w:p>
            <w:pPr>
              <w:pStyle w:val="27"/>
              <w:spacing w:before="156" w:after="156" w:line="360" w:lineRule="auto"/>
              <w:ind w:firstLine="720" w:firstLineChars="300"/>
              <w:jc w:val="center"/>
              <w:rPr>
                <w:rFonts w:ascii="Times New Roman" w:hAnsi="Times New Roman"/>
                <w:szCs w:val="24"/>
              </w:rPr>
            </w:pPr>
          </w:p>
          <w:p>
            <w:pPr>
              <w:pStyle w:val="27"/>
              <w:spacing w:before="156" w:after="156" w:line="360" w:lineRule="auto"/>
              <w:ind w:firstLine="720" w:firstLineChars="300"/>
              <w:jc w:val="center"/>
              <w:rPr>
                <w:rFonts w:ascii="Times New Roman" w:hAnsi="Times New Roman"/>
                <w:szCs w:val="24"/>
              </w:rPr>
            </w:pPr>
          </w:p>
        </w:tc>
        <w:tc>
          <w:tcPr>
            <w:tcW w:w="1260" w:type="dxa"/>
            <w:vMerge w:val="restart"/>
            <w:vAlign w:val="center"/>
          </w:tcPr>
          <w:p>
            <w:pPr>
              <w:spacing w:line="360" w:lineRule="auto"/>
              <w:jc w:val="center"/>
              <w:rPr>
                <w:sz w:val="24"/>
              </w:rPr>
            </w:pPr>
            <w:r>
              <w:rPr>
                <w:rFonts w:hint="eastAsia"/>
                <w:sz w:val="24"/>
              </w:rPr>
              <w:t>职工总数</w:t>
            </w:r>
          </w:p>
        </w:tc>
        <w:tc>
          <w:tcPr>
            <w:tcW w:w="2887" w:type="dxa"/>
            <w:vAlign w:val="center"/>
          </w:tcPr>
          <w:p>
            <w:pPr>
              <w:pStyle w:val="27"/>
              <w:spacing w:before="156" w:after="156" w:line="360" w:lineRule="auto"/>
              <w:rPr>
                <w:rFonts w:ascii="Times New Roman" w:hAnsi="Times New Roman"/>
                <w:szCs w:val="24"/>
              </w:rPr>
            </w:pPr>
            <w:r>
              <w:rPr>
                <w:rFonts w:hint="eastAsia" w:ascii="Times New Roman" w:hAnsi="Times New Roman"/>
                <w:szCs w:val="24"/>
              </w:rPr>
              <w:t>员工：人</w:t>
            </w:r>
          </w:p>
        </w:tc>
        <w:tc>
          <w:tcPr>
            <w:tcW w:w="3922" w:type="dxa"/>
            <w:gridSpan w:val="3"/>
            <w:vAlign w:val="center"/>
          </w:tcPr>
          <w:p>
            <w:pPr>
              <w:pStyle w:val="27"/>
              <w:spacing w:before="156" w:after="156" w:line="360" w:lineRule="auto"/>
              <w:rPr>
                <w:rFonts w:ascii="Times New Roman" w:hAnsi="Times New Roman"/>
                <w:szCs w:val="24"/>
              </w:rPr>
            </w:pPr>
            <w:r>
              <w:rPr>
                <w:rFonts w:hint="eastAsia" w:ascii="Times New Roman" w:hAnsi="Times New Roman"/>
                <w:szCs w:val="24"/>
              </w:rPr>
              <w:t>初级职称：人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pPr>
              <w:pStyle w:val="27"/>
              <w:spacing w:before="156" w:after="156" w:line="360" w:lineRule="auto"/>
              <w:ind w:firstLine="720" w:firstLineChars="300"/>
              <w:jc w:val="center"/>
              <w:rPr>
                <w:rFonts w:ascii="Times New Roman" w:hAnsi="Times New Roman"/>
                <w:szCs w:val="24"/>
              </w:rPr>
            </w:pPr>
          </w:p>
        </w:tc>
        <w:tc>
          <w:tcPr>
            <w:tcW w:w="1260" w:type="dxa"/>
            <w:vMerge w:val="continue"/>
            <w:vAlign w:val="center"/>
          </w:tcPr>
          <w:p>
            <w:pPr>
              <w:widowControl/>
              <w:spacing w:line="360" w:lineRule="auto"/>
              <w:jc w:val="center"/>
              <w:rPr>
                <w:sz w:val="24"/>
              </w:rPr>
            </w:pPr>
          </w:p>
        </w:tc>
        <w:tc>
          <w:tcPr>
            <w:tcW w:w="2887" w:type="dxa"/>
            <w:vAlign w:val="center"/>
          </w:tcPr>
          <w:p>
            <w:pPr>
              <w:pStyle w:val="27"/>
              <w:spacing w:before="156" w:after="156" w:line="360" w:lineRule="auto"/>
              <w:rPr>
                <w:szCs w:val="24"/>
              </w:rPr>
            </w:pPr>
            <w:r>
              <w:rPr>
                <w:rFonts w:hint="eastAsia"/>
                <w:szCs w:val="24"/>
              </w:rPr>
              <w:t>高级职称：人</w:t>
            </w:r>
          </w:p>
        </w:tc>
        <w:tc>
          <w:tcPr>
            <w:tcW w:w="3922" w:type="dxa"/>
            <w:gridSpan w:val="3"/>
            <w:vAlign w:val="center"/>
          </w:tcPr>
          <w:p>
            <w:pPr>
              <w:pStyle w:val="27"/>
              <w:spacing w:before="156" w:after="156" w:line="360" w:lineRule="auto"/>
              <w:rPr>
                <w:szCs w:val="24"/>
              </w:rPr>
            </w:pPr>
            <w:r>
              <w:rPr>
                <w:rFonts w:hint="eastAsia"/>
                <w:szCs w:val="24"/>
              </w:rPr>
              <w:t>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pPr>
              <w:pStyle w:val="27"/>
              <w:spacing w:before="156" w:after="156" w:line="360" w:lineRule="auto"/>
              <w:ind w:firstLine="720" w:firstLineChars="300"/>
              <w:jc w:val="center"/>
              <w:rPr>
                <w:rFonts w:ascii="Times New Roman" w:hAnsi="Times New Roman"/>
                <w:szCs w:val="24"/>
              </w:rPr>
            </w:pPr>
          </w:p>
        </w:tc>
        <w:tc>
          <w:tcPr>
            <w:tcW w:w="1260" w:type="dxa"/>
            <w:vAlign w:val="center"/>
          </w:tcPr>
          <w:p>
            <w:pPr>
              <w:pStyle w:val="27"/>
              <w:spacing w:before="156" w:after="156" w:line="360" w:lineRule="auto"/>
              <w:jc w:val="center"/>
              <w:rPr>
                <w:szCs w:val="24"/>
              </w:rPr>
            </w:pPr>
            <w:r>
              <w:rPr>
                <w:rFonts w:hint="eastAsia"/>
                <w:szCs w:val="24"/>
              </w:rPr>
              <w:t>流动资金</w:t>
            </w:r>
          </w:p>
        </w:tc>
        <w:tc>
          <w:tcPr>
            <w:tcW w:w="2887" w:type="dxa"/>
            <w:vAlign w:val="center"/>
          </w:tcPr>
          <w:p>
            <w:pPr>
              <w:pStyle w:val="27"/>
              <w:spacing w:before="156" w:after="156" w:line="360" w:lineRule="auto"/>
              <w:jc w:val="center"/>
              <w:rPr>
                <w:szCs w:val="24"/>
              </w:rPr>
            </w:pPr>
          </w:p>
        </w:tc>
        <w:tc>
          <w:tcPr>
            <w:tcW w:w="1222" w:type="dxa"/>
            <w:vAlign w:val="center"/>
          </w:tcPr>
          <w:p>
            <w:pPr>
              <w:pStyle w:val="27"/>
              <w:spacing w:before="156" w:after="156" w:line="360" w:lineRule="auto"/>
              <w:jc w:val="center"/>
              <w:rPr>
                <w:szCs w:val="24"/>
              </w:rPr>
            </w:pPr>
          </w:p>
        </w:tc>
        <w:tc>
          <w:tcPr>
            <w:tcW w:w="2700" w:type="dxa"/>
            <w:gridSpan w:val="2"/>
            <w:vAlign w:val="center"/>
          </w:tcPr>
          <w:p>
            <w:pPr>
              <w:pStyle w:val="27"/>
              <w:spacing w:before="156" w:after="156"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pPr>
              <w:pStyle w:val="27"/>
              <w:spacing w:before="156" w:after="156" w:line="360" w:lineRule="auto"/>
              <w:ind w:firstLine="720" w:firstLineChars="300"/>
              <w:jc w:val="center"/>
              <w:rPr>
                <w:rFonts w:ascii="Times New Roman" w:hAnsi="Times New Roman"/>
                <w:szCs w:val="24"/>
              </w:rPr>
            </w:pPr>
          </w:p>
        </w:tc>
        <w:tc>
          <w:tcPr>
            <w:tcW w:w="1260" w:type="dxa"/>
            <w:vAlign w:val="center"/>
          </w:tcPr>
          <w:p>
            <w:pPr>
              <w:pStyle w:val="27"/>
              <w:spacing w:before="156" w:after="156" w:line="360" w:lineRule="auto"/>
              <w:jc w:val="center"/>
              <w:rPr>
                <w:szCs w:val="24"/>
              </w:rPr>
            </w:pPr>
            <w:r>
              <w:rPr>
                <w:rFonts w:hint="eastAsia"/>
                <w:szCs w:val="24"/>
              </w:rPr>
              <w:t>固定资金</w:t>
            </w:r>
          </w:p>
        </w:tc>
        <w:tc>
          <w:tcPr>
            <w:tcW w:w="2887" w:type="dxa"/>
            <w:vAlign w:val="center"/>
          </w:tcPr>
          <w:p>
            <w:pPr>
              <w:widowControl/>
              <w:spacing w:line="360" w:lineRule="auto"/>
              <w:jc w:val="center"/>
              <w:rPr>
                <w:sz w:val="24"/>
              </w:rPr>
            </w:pPr>
          </w:p>
        </w:tc>
        <w:tc>
          <w:tcPr>
            <w:tcW w:w="1222" w:type="dxa"/>
            <w:vAlign w:val="center"/>
          </w:tcPr>
          <w:p>
            <w:pPr>
              <w:pStyle w:val="27"/>
              <w:spacing w:before="156" w:after="156" w:line="360" w:lineRule="auto"/>
              <w:jc w:val="center"/>
              <w:rPr>
                <w:szCs w:val="24"/>
              </w:rPr>
            </w:pPr>
            <w:r>
              <w:rPr>
                <w:rFonts w:hint="eastAsia"/>
                <w:szCs w:val="24"/>
              </w:rPr>
              <w:t>服务网点</w:t>
            </w:r>
          </w:p>
        </w:tc>
        <w:tc>
          <w:tcPr>
            <w:tcW w:w="2700" w:type="dxa"/>
            <w:gridSpan w:val="2"/>
            <w:vAlign w:val="center"/>
          </w:tcPr>
          <w:p>
            <w:pPr>
              <w:widowControl/>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pPr>
              <w:pStyle w:val="27"/>
              <w:spacing w:before="156" w:after="156" w:line="360" w:lineRule="auto"/>
              <w:jc w:val="center"/>
              <w:rPr>
                <w:rFonts w:ascii="Times New Roman" w:hAnsi="Times New Roman"/>
                <w:szCs w:val="24"/>
              </w:rPr>
            </w:pPr>
            <w:r>
              <w:rPr>
                <w:rFonts w:hint="eastAsia" w:ascii="Times New Roman" w:hAnsi="Times New Roman"/>
                <w:szCs w:val="24"/>
              </w:rPr>
              <w:t>单位简历</w:t>
            </w:r>
          </w:p>
        </w:tc>
        <w:tc>
          <w:tcPr>
            <w:tcW w:w="8069" w:type="dxa"/>
            <w:gridSpan w:val="5"/>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pPr>
              <w:pStyle w:val="27"/>
              <w:spacing w:before="156" w:after="156" w:line="360" w:lineRule="auto"/>
              <w:jc w:val="center"/>
              <w:rPr>
                <w:rFonts w:ascii="Times New Roman" w:hAnsi="Times New Roman"/>
                <w:szCs w:val="24"/>
              </w:rPr>
            </w:pPr>
            <w:r>
              <w:rPr>
                <w:rFonts w:hint="eastAsia" w:ascii="Times New Roman" w:hAnsi="Times New Roman"/>
                <w:szCs w:val="24"/>
              </w:rPr>
              <w:t>优势及特长</w:t>
            </w:r>
          </w:p>
        </w:tc>
        <w:tc>
          <w:tcPr>
            <w:tcW w:w="8069" w:type="dxa"/>
            <w:gridSpan w:val="5"/>
          </w:tcPr>
          <w:p>
            <w:pPr>
              <w:spacing w:line="360" w:lineRule="auto"/>
              <w:jc w:val="left"/>
              <w:rPr>
                <w:sz w:val="24"/>
              </w:rPr>
            </w:pPr>
          </w:p>
        </w:tc>
      </w:tr>
    </w:tbl>
    <w:p>
      <w:pPr>
        <w:snapToGrid w:val="0"/>
        <w:spacing w:before="50" w:afterLines="50"/>
        <w:jc w:val="left"/>
        <w:rPr>
          <w:rFonts w:ascii="宋体"/>
          <w:b/>
          <w:sz w:val="24"/>
        </w:rPr>
      </w:pPr>
    </w:p>
    <w:p>
      <w:pPr>
        <w:snapToGrid w:val="0"/>
        <w:spacing w:before="50" w:afterLines="50" w:line="360" w:lineRule="auto"/>
        <w:jc w:val="left"/>
        <w:outlineLvl w:val="2"/>
        <w:rPr>
          <w:rFonts w:ascii="宋体"/>
          <w:b/>
          <w:sz w:val="24"/>
        </w:rPr>
      </w:pPr>
    </w:p>
    <w:p>
      <w:pPr>
        <w:rPr>
          <w:rFonts w:ascii="宋体" w:hAnsi="宋体" w:cs="宋体"/>
          <w:b/>
          <w:bCs/>
          <w:sz w:val="24"/>
          <w:szCs w:val="24"/>
        </w:rPr>
      </w:pPr>
      <w:r>
        <w:rPr>
          <w:rFonts w:ascii="宋体" w:hAnsi="宋体" w:cs="宋体"/>
          <w:b/>
          <w:bCs/>
          <w:sz w:val="24"/>
          <w:szCs w:val="24"/>
        </w:rPr>
        <w:br w:type="page"/>
      </w:r>
    </w:p>
    <w:p>
      <w:pPr>
        <w:snapToGrid w:val="0"/>
        <w:spacing w:before="50" w:afterLines="50" w:line="360" w:lineRule="auto"/>
        <w:jc w:val="left"/>
        <w:outlineLvl w:val="2"/>
        <w:rPr>
          <w:rFonts w:ascii="宋体"/>
          <w:b/>
          <w:sz w:val="24"/>
        </w:rPr>
      </w:pPr>
      <w:r>
        <w:rPr>
          <w:rFonts w:hint="eastAsia" w:ascii="宋体" w:hAnsi="宋体"/>
          <w:b/>
          <w:sz w:val="24"/>
          <w:lang w:val="en-US" w:eastAsia="zh-CN"/>
        </w:rPr>
        <w:t>2.5</w:t>
      </w:r>
      <w:r>
        <w:rPr>
          <w:rFonts w:hint="eastAsia" w:ascii="宋体" w:hAnsi="宋体"/>
          <w:b/>
          <w:sz w:val="24"/>
        </w:rPr>
        <w:t>中小企业声明函</w:t>
      </w:r>
    </w:p>
    <w:p>
      <w:pPr>
        <w:tabs>
          <w:tab w:val="left" w:pos="420"/>
        </w:tabs>
        <w:ind w:firstLine="480" w:firstLineChars="200"/>
        <w:jc w:val="center"/>
        <w:rPr>
          <w:rFonts w:ascii="宋体" w:hAnsi="宋体" w:cs="Arial"/>
          <w:b/>
          <w:bCs/>
          <w:kern w:val="0"/>
          <w:sz w:val="24"/>
        </w:rPr>
      </w:pPr>
      <w:r>
        <w:rPr>
          <w:rFonts w:hint="eastAsia" w:ascii="宋体" w:hAnsi="宋体" w:cs="Arial"/>
          <w:b/>
          <w:bCs/>
          <w:kern w:val="0"/>
          <w:sz w:val="24"/>
        </w:rPr>
        <w:t>中小企业声明函（货物）</w:t>
      </w:r>
    </w:p>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pPr>
        <w:numPr>
          <w:ilvl w:val="0"/>
          <w:numId w:val="5"/>
        </w:num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（标的名称），属于（采购文件中明确的所属行业）行业；制造商为（企业名称），从业人员_____人，营业收入为_____万元，资产总额为_____万元，属于（中型企业、小型企业、微型企业）；</w:t>
      </w:r>
    </w:p>
    <w:p>
      <w:pPr>
        <w:numPr>
          <w:ilvl w:val="0"/>
          <w:numId w:val="5"/>
        </w:num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（标的名称），属于（采购文件中明确的所属行业）行业；制造商为（企业名称），从业人员_____人，营业收入为_____万元，资产总额为_____万元，属于（中型企业、小型企业、微型企业）；</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以上企业，不属于大企业的分支机构，不存在控股股东为大企业的情形，也不存在与大企业的负责人为同一人的情形。</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pPr>
        <w:tabs>
          <w:tab w:val="left" w:pos="420"/>
        </w:tabs>
        <w:spacing w:line="360" w:lineRule="auto"/>
        <w:ind w:firstLine="480" w:firstLineChars="200"/>
        <w:jc w:val="left"/>
        <w:rPr>
          <w:rFonts w:ascii="宋体" w:hAnsi="宋体" w:cs="Arial"/>
          <w:bCs/>
          <w:kern w:val="0"/>
          <w:sz w:val="24"/>
        </w:rPr>
      </w:pPr>
    </w:p>
    <w:p>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日 期：</w:t>
      </w:r>
    </w:p>
    <w:p>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pPr>
        <w:tabs>
          <w:tab w:val="left" w:pos="420"/>
        </w:tabs>
        <w:spacing w:before="100" w:beforeAutospacing="1" w:after="100" w:afterAutospacing="1"/>
        <w:rPr>
          <w:rFonts w:ascii="宋体" w:hAnsi="宋体"/>
          <w:b/>
        </w:rPr>
      </w:pPr>
      <w:r>
        <w:rPr>
          <w:rFonts w:hint="eastAsia" w:ascii="宋体" w:hAnsi="宋体" w:cs="Arial"/>
          <w:b/>
          <w:bCs/>
          <w:kern w:val="0"/>
          <w:sz w:val="24"/>
        </w:rPr>
        <w:t>1、</w:t>
      </w:r>
      <w:r>
        <w:rPr>
          <w:rFonts w:hint="eastAsia" w:ascii="宋体" w:hAnsi="宋体"/>
          <w:b/>
        </w:rPr>
        <w:t>如投标产品由小微企业生产，则需提供中小企业声明函。</w:t>
      </w:r>
    </w:p>
    <w:p>
      <w:pPr>
        <w:tabs>
          <w:tab w:val="left" w:pos="420"/>
        </w:tabs>
        <w:spacing w:before="100" w:beforeAutospacing="1" w:after="100" w:afterAutospacing="1"/>
        <w:rPr>
          <w:rFonts w:ascii="宋体" w:hAnsi="宋体"/>
          <w:b/>
        </w:rPr>
      </w:pPr>
      <w:r>
        <w:rPr>
          <w:rFonts w:hint="eastAsia" w:ascii="宋体" w:hAnsi="宋体"/>
          <w:b/>
        </w:rPr>
        <w:t>2、小微企业提供的货物既有中小企业制造货物，也有大型企业制造货物的，不享受中小企业扶持政策。</w:t>
      </w:r>
    </w:p>
    <w:p>
      <w:pPr>
        <w:rPr>
          <w:rFonts w:ascii="宋体"/>
          <w:b/>
          <w:sz w:val="24"/>
        </w:rPr>
      </w:pPr>
      <w:r>
        <w:rPr>
          <w:rFonts w:hint="eastAsia" w:ascii="宋体" w:hAnsi="宋体"/>
          <w:b/>
        </w:rPr>
        <w:t>3、如中标人声明为小微企业，本声明函将随中标结果同时公告，接受社会监督。</w:t>
      </w:r>
    </w:p>
    <w:p>
      <w:pPr>
        <w:tabs>
          <w:tab w:val="left" w:pos="420"/>
        </w:tabs>
        <w:ind w:firstLine="480" w:firstLineChars="200"/>
        <w:jc w:val="center"/>
        <w:rPr>
          <w:rFonts w:hint="eastAsia" w:ascii="宋体" w:hAnsi="宋体" w:cs="Arial"/>
          <w:b/>
          <w:bCs/>
          <w:kern w:val="0"/>
          <w:sz w:val="24"/>
        </w:rPr>
      </w:pPr>
    </w:p>
    <w:p>
      <w:pPr>
        <w:tabs>
          <w:tab w:val="left" w:pos="420"/>
        </w:tabs>
        <w:ind w:firstLine="480" w:firstLineChars="200"/>
        <w:jc w:val="center"/>
        <w:rPr>
          <w:rFonts w:hint="eastAsia" w:ascii="宋体" w:hAnsi="宋体" w:cs="Arial"/>
          <w:b/>
          <w:bCs/>
          <w:kern w:val="0"/>
          <w:sz w:val="24"/>
        </w:rPr>
      </w:pPr>
    </w:p>
    <w:p>
      <w:pPr>
        <w:tabs>
          <w:tab w:val="left" w:pos="420"/>
        </w:tabs>
        <w:ind w:firstLine="480" w:firstLineChars="200"/>
        <w:jc w:val="center"/>
        <w:rPr>
          <w:rFonts w:hint="eastAsia" w:ascii="宋体" w:hAnsi="宋体" w:cs="Arial"/>
          <w:b/>
          <w:bCs/>
          <w:kern w:val="0"/>
          <w:sz w:val="24"/>
        </w:rPr>
      </w:pPr>
    </w:p>
    <w:p>
      <w:pPr>
        <w:tabs>
          <w:tab w:val="left" w:pos="420"/>
        </w:tabs>
        <w:ind w:firstLine="480" w:firstLineChars="200"/>
        <w:jc w:val="center"/>
        <w:rPr>
          <w:rFonts w:hint="eastAsia" w:ascii="宋体" w:hAnsi="宋体" w:cs="Arial"/>
          <w:b/>
          <w:bCs/>
          <w:kern w:val="0"/>
          <w:sz w:val="24"/>
        </w:rPr>
      </w:pPr>
    </w:p>
    <w:p>
      <w:pPr>
        <w:rPr>
          <w:rFonts w:ascii="宋体"/>
          <w:b/>
          <w:sz w:val="24"/>
        </w:rPr>
      </w:pPr>
    </w:p>
    <w:p>
      <w:pPr>
        <w:rPr>
          <w:rFonts w:hint="eastAsia" w:ascii="宋体" w:hAnsi="宋体" w:cs="Arial"/>
          <w:b/>
          <w:bCs/>
          <w:kern w:val="0"/>
          <w:sz w:val="24"/>
        </w:rPr>
      </w:pPr>
      <w:r>
        <w:rPr>
          <w:rFonts w:hint="eastAsia" w:ascii="宋体" w:hAnsi="宋体" w:cs="Arial"/>
          <w:b/>
          <w:bCs/>
          <w:kern w:val="0"/>
          <w:sz w:val="24"/>
        </w:rPr>
        <w:br w:type="page"/>
      </w:r>
    </w:p>
    <w:p>
      <w:pPr>
        <w:rPr>
          <w:rFonts w:ascii="宋体"/>
          <w:b/>
          <w:sz w:val="24"/>
        </w:rPr>
      </w:pPr>
      <w:r>
        <w:rPr>
          <w:rFonts w:hint="eastAsia" w:ascii="宋体" w:hAnsi="宋体"/>
          <w:b/>
          <w:sz w:val="24"/>
          <w:lang w:val="en-US" w:eastAsia="zh-CN"/>
        </w:rPr>
        <w:t>2.6</w:t>
      </w:r>
      <w:r>
        <w:rPr>
          <w:rFonts w:hint="eastAsia" w:ascii="宋体" w:hAnsi="宋体"/>
          <w:b/>
          <w:sz w:val="24"/>
        </w:rPr>
        <w:t>：</w:t>
      </w:r>
    </w:p>
    <w:p>
      <w:pPr>
        <w:spacing w:line="588" w:lineRule="exact"/>
        <w:jc w:val="center"/>
        <w:rPr>
          <w:rFonts w:ascii="宋体"/>
          <w:b/>
          <w:spacing w:val="6"/>
          <w:sz w:val="24"/>
        </w:rPr>
      </w:pPr>
      <w:bookmarkStart w:id="2" w:name="OLE_LINK13"/>
      <w:bookmarkStart w:id="3" w:name="OLE_LINK14"/>
      <w:r>
        <w:rPr>
          <w:rFonts w:hint="eastAsia" w:ascii="宋体" w:hAnsi="宋体"/>
          <w:b/>
          <w:spacing w:val="6"/>
          <w:sz w:val="24"/>
        </w:rPr>
        <w:t>残疾人福利性单位声明函</w:t>
      </w:r>
    </w:p>
    <w:bookmarkEnd w:id="2"/>
    <w:bookmarkEnd w:id="3"/>
    <w:p>
      <w:pPr>
        <w:spacing w:line="588" w:lineRule="exact"/>
        <w:rPr>
          <w:rFonts w:ascii="宋体"/>
          <w:b/>
          <w:spacing w:val="6"/>
          <w:sz w:val="24"/>
        </w:rPr>
      </w:pPr>
    </w:p>
    <w:p>
      <w:pPr>
        <w:spacing w:line="588" w:lineRule="exact"/>
        <w:ind w:firstLine="480" w:firstLineChars="200"/>
        <w:rPr>
          <w:rFonts w:ascii="宋体" w:cs="仿宋_GB2312"/>
          <w:sz w:val="24"/>
        </w:rPr>
      </w:pPr>
      <w:r>
        <w:rPr>
          <w:rFonts w:hint="eastAsia" w:ascii="宋体" w:hAnsi="宋体" w:cs="仿宋_GB2312"/>
          <w:sz w:val="24"/>
        </w:rPr>
        <w:t>本单位郑重声明，根据《财政部民政部中国残疾人联合会关于促进残疾人就业政府采购政策的通知》（财库〔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 xml:space="preserve"> 141</w:t>
      </w:r>
      <w:r>
        <w:rPr>
          <w:rFonts w:hint="eastAsia" w:ascii="宋体" w:hAnsi="宋体" w:cs="仿宋_GB2312"/>
          <w:sz w:val="24"/>
        </w:rPr>
        <w:t>号）的规定，本单位为符合条件的残疾人福利性单位，且本单位参加</w:t>
      </w:r>
      <w:r>
        <w:rPr>
          <w:rFonts w:ascii="宋体" w:hAnsi="宋体" w:cs="仿宋_GB2312"/>
          <w:sz w:val="24"/>
        </w:rPr>
        <w:t>______</w:t>
      </w:r>
      <w:r>
        <w:rPr>
          <w:rFonts w:hint="eastAsia" w:ascii="宋体" w:hAnsi="宋体" w:cs="仿宋_GB2312"/>
          <w:sz w:val="24"/>
        </w:rPr>
        <w:t>单位的</w:t>
      </w:r>
      <w:r>
        <w:rPr>
          <w:rFonts w:ascii="宋体" w:hAnsi="宋体" w:cs="仿宋_GB2312"/>
          <w:sz w:val="24"/>
        </w:rPr>
        <w:t>______</w:t>
      </w:r>
      <w:r>
        <w:rPr>
          <w:rFonts w:hint="eastAsia" w:ascii="宋体" w:hAnsi="宋体" w:cs="仿宋_GB2312"/>
          <w:sz w:val="24"/>
        </w:rPr>
        <w:t>项目采购活动提供的是本单位制造货物（由本单位承担工程</w:t>
      </w:r>
      <w:r>
        <w:rPr>
          <w:rFonts w:ascii="宋体" w:hAnsi="宋体" w:cs="仿宋_GB2312"/>
          <w:sz w:val="24"/>
        </w:rPr>
        <w:t>/</w:t>
      </w:r>
      <w:r>
        <w:rPr>
          <w:rFonts w:hint="eastAsia" w:ascii="宋体" w:hAnsi="宋体" w:cs="仿宋_GB2312"/>
          <w:sz w:val="24"/>
        </w:rPr>
        <w:t>提供服务）。</w:t>
      </w:r>
    </w:p>
    <w:p>
      <w:pPr>
        <w:spacing w:line="588" w:lineRule="exact"/>
        <w:ind w:firstLine="480" w:firstLineChars="200"/>
        <w:rPr>
          <w:rFonts w:ascii="宋体" w:cs="仿宋_GB2312"/>
          <w:sz w:val="24"/>
        </w:rPr>
      </w:pPr>
      <w:r>
        <w:rPr>
          <w:rFonts w:hint="eastAsia" w:ascii="宋体" w:hAnsi="宋体" w:cs="仿宋_GB2312"/>
          <w:sz w:val="24"/>
        </w:rPr>
        <w:t>本单位对上述声明的真实性负责。如有虚假，将依法承担相应责任。</w:t>
      </w:r>
    </w:p>
    <w:p>
      <w:pPr>
        <w:spacing w:line="588" w:lineRule="exact"/>
        <w:ind w:firstLine="480" w:firstLineChars="200"/>
        <w:rPr>
          <w:rFonts w:ascii="宋体" w:cs="仿宋_GB2312"/>
          <w:sz w:val="24"/>
        </w:rPr>
      </w:pPr>
    </w:p>
    <w:p>
      <w:pPr>
        <w:spacing w:line="588" w:lineRule="exact"/>
        <w:ind w:firstLine="480" w:firstLineChars="200"/>
        <w:rPr>
          <w:rFonts w:ascii="宋体" w:cs="仿宋_GB2312"/>
          <w:sz w:val="24"/>
        </w:rPr>
      </w:pPr>
    </w:p>
    <w:p>
      <w:pPr>
        <w:tabs>
          <w:tab w:val="left" w:pos="4860"/>
        </w:tabs>
        <w:spacing w:line="588" w:lineRule="exact"/>
        <w:ind w:right="1560" w:firstLine="480" w:firstLineChars="200"/>
        <w:jc w:val="center"/>
        <w:rPr>
          <w:rFonts w:ascii="宋体" w:cs="仿宋_GB2312"/>
          <w:sz w:val="24"/>
        </w:rPr>
      </w:pPr>
      <w:r>
        <w:rPr>
          <w:rFonts w:hint="eastAsia" w:ascii="宋体" w:hAnsi="宋体" w:cs="仿宋_GB2312"/>
          <w:sz w:val="24"/>
        </w:rPr>
        <w:t>单位名称（盖章）：</w:t>
      </w:r>
    </w:p>
    <w:p>
      <w:pPr>
        <w:tabs>
          <w:tab w:val="left" w:pos="4860"/>
        </w:tabs>
        <w:spacing w:line="588" w:lineRule="exact"/>
        <w:ind w:right="1560" w:firstLine="480" w:firstLineChars="200"/>
        <w:jc w:val="center"/>
        <w:rPr>
          <w:rFonts w:ascii="宋体" w:cs="仿宋_GB2312"/>
          <w:sz w:val="24"/>
        </w:rPr>
      </w:pPr>
      <w:r>
        <w:rPr>
          <w:rFonts w:hint="eastAsia" w:ascii="宋体" w:hAnsi="宋体" w:cs="仿宋_GB2312"/>
          <w:sz w:val="24"/>
        </w:rPr>
        <w:t>日期：</w:t>
      </w:r>
    </w:p>
    <w:p>
      <w:pPr>
        <w:ind w:firstLine="480" w:firstLineChars="200"/>
        <w:rPr>
          <w:rFonts w:ascii="仿宋_GB2312" w:hAnsi="仿宋_GB2312" w:eastAsia="仿宋_GB2312" w:cs="仿宋_GB2312"/>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p>
    <w:p>
      <w:pPr>
        <w:snapToGrid w:val="0"/>
        <w:spacing w:before="50" w:afterLines="50"/>
        <w:jc w:val="left"/>
        <w:rPr>
          <w:rFonts w:ascii="宋体"/>
          <w:b/>
          <w:sz w:val="24"/>
        </w:rPr>
      </w:pPr>
      <w:bookmarkStart w:id="4" w:name="_Toc449173150"/>
    </w:p>
    <w:p>
      <w:pPr>
        <w:rPr>
          <w:rFonts w:hint="eastAsia" w:ascii="宋体" w:cs="宋体"/>
          <w:b/>
          <w:bCs/>
          <w:sz w:val="24"/>
          <w:szCs w:val="24"/>
        </w:rPr>
      </w:pPr>
      <w:r>
        <w:rPr>
          <w:rFonts w:hint="eastAsia" w:ascii="宋体" w:cs="宋体"/>
          <w:b/>
          <w:bCs/>
          <w:sz w:val="24"/>
          <w:szCs w:val="24"/>
        </w:rPr>
        <w:br w:type="page"/>
      </w:r>
    </w:p>
    <w:p>
      <w:pPr>
        <w:rPr>
          <w:rFonts w:ascii="宋体" w:hAnsi="宋体"/>
          <w:b/>
          <w:sz w:val="24"/>
        </w:rPr>
      </w:pPr>
      <w:r>
        <w:rPr>
          <w:rFonts w:hint="eastAsia" w:ascii="宋体" w:hAnsi="宋体"/>
          <w:b/>
          <w:sz w:val="24"/>
        </w:rPr>
        <w:t>附件2.7</w:t>
      </w:r>
    </w:p>
    <w:p>
      <w:pPr>
        <w:snapToGrid w:val="0"/>
        <w:spacing w:before="50" w:after="120" w:afterLines="50"/>
        <w:jc w:val="center"/>
        <w:rPr>
          <w:rFonts w:ascii="宋体"/>
          <w:b/>
          <w:sz w:val="28"/>
          <w:szCs w:val="28"/>
        </w:rPr>
      </w:pPr>
      <w:r>
        <w:rPr>
          <w:rFonts w:hint="eastAsia" w:ascii="宋体"/>
          <w:b/>
          <w:sz w:val="28"/>
          <w:szCs w:val="28"/>
        </w:rPr>
        <w:t>商务响应表</w:t>
      </w:r>
    </w:p>
    <w:p>
      <w:pPr>
        <w:snapToGrid w:val="0"/>
        <w:spacing w:line="540" w:lineRule="exact"/>
        <w:rPr>
          <w:rFonts w:hint="eastAsia" w:ascii="宋体" w:hAnsi="宋体" w:cs="宋体"/>
          <w:sz w:val="24"/>
        </w:rPr>
      </w:pPr>
      <w:r>
        <w:rPr>
          <w:rFonts w:hint="eastAsia" w:ascii="宋体" w:hAnsi="宋体" w:cs="宋体"/>
          <w:sz w:val="24"/>
        </w:rPr>
        <w:t xml:space="preserve">项目名称： </w:t>
      </w:r>
    </w:p>
    <w:p>
      <w:pPr>
        <w:snapToGrid w:val="0"/>
        <w:spacing w:before="50" w:after="120" w:afterLines="50"/>
        <w:jc w:val="left"/>
        <w:rPr>
          <w:rFonts w:ascii="宋体"/>
          <w:sz w:val="24"/>
          <w:u w:val="single"/>
        </w:rPr>
      </w:pPr>
      <w:r>
        <w:rPr>
          <w:rFonts w:hint="eastAsia" w:ascii="宋体" w:hAnsi="宋体" w:cs="宋体"/>
          <w:sz w:val="24"/>
        </w:rPr>
        <w:t>项目编号：</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1727"/>
        <w:gridCol w:w="1959"/>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top"/>
          </w:tcPr>
          <w:p>
            <w:pPr>
              <w:snapToGrid w:val="0"/>
              <w:spacing w:before="120" w:beforeLines="50"/>
              <w:jc w:val="center"/>
              <w:rPr>
                <w:rFonts w:ascii="宋体"/>
                <w:sz w:val="24"/>
                <w:szCs w:val="20"/>
              </w:rPr>
            </w:pPr>
            <w:r>
              <w:rPr>
                <w:rFonts w:hint="eastAsia" w:ascii="宋体"/>
                <w:sz w:val="24"/>
              </w:rPr>
              <w:t>项目</w:t>
            </w:r>
          </w:p>
        </w:tc>
        <w:tc>
          <w:tcPr>
            <w:tcW w:w="17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sz w:val="24"/>
                <w:szCs w:val="20"/>
              </w:rPr>
            </w:pPr>
            <w:r>
              <w:rPr>
                <w:rFonts w:hint="eastAsia" w:ascii="宋体"/>
                <w:sz w:val="24"/>
              </w:rPr>
              <w:t>招标文件要求</w:t>
            </w:r>
          </w:p>
        </w:tc>
        <w:tc>
          <w:tcPr>
            <w:tcW w:w="19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sz w:val="24"/>
                <w:szCs w:val="20"/>
              </w:rPr>
            </w:pPr>
            <w:r>
              <w:rPr>
                <w:rFonts w:hint="eastAsia" w:ascii="宋体"/>
                <w:sz w:val="24"/>
              </w:rPr>
              <w:t>响应及偏离情况</w:t>
            </w:r>
          </w:p>
        </w:tc>
        <w:tc>
          <w:tcPr>
            <w:tcW w:w="2409" w:type="dxa"/>
            <w:tcBorders>
              <w:top w:val="single" w:color="auto" w:sz="4" w:space="0"/>
              <w:left w:val="single" w:color="auto" w:sz="4" w:space="0"/>
              <w:bottom w:val="single" w:color="auto" w:sz="4" w:space="0"/>
            </w:tcBorders>
            <w:noWrap w:val="0"/>
            <w:vAlign w:val="top"/>
          </w:tcPr>
          <w:p>
            <w:pPr>
              <w:snapToGrid w:val="0"/>
              <w:spacing w:before="120" w:beforeLines="50"/>
              <w:jc w:val="center"/>
              <w:rPr>
                <w:rFonts w:ascii="宋体"/>
                <w:sz w:val="24"/>
                <w:szCs w:val="20"/>
              </w:rPr>
            </w:pPr>
            <w:r>
              <w:rPr>
                <w:rFonts w:hint="eastAsia" w:asci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2518" w:type="dxa"/>
            <w:tcBorders>
              <w:top w:val="single" w:color="auto" w:sz="4" w:space="0"/>
              <w:bottom w:val="single" w:color="auto" w:sz="4" w:space="0"/>
              <w:right w:val="single" w:color="auto" w:sz="4" w:space="0"/>
            </w:tcBorders>
            <w:noWrap w:val="0"/>
            <w:vAlign w:val="center"/>
          </w:tcPr>
          <w:p>
            <w:pPr>
              <w:pStyle w:val="27"/>
              <w:snapToGrid w:val="0"/>
              <w:spacing w:beforeLines="0" w:afterLines="0" w:line="240" w:lineRule="auto"/>
              <w:outlineLvl w:val="0"/>
              <w:rPr>
                <w:rFonts w:hint="eastAsia"/>
              </w:rPr>
            </w:pPr>
            <w:r>
              <w:rPr>
                <w:rFonts w:hint="eastAsia"/>
              </w:rPr>
              <w:t>一、人员配备</w:t>
            </w:r>
          </w:p>
        </w:tc>
        <w:tc>
          <w:tcPr>
            <w:tcW w:w="17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pPr>
              <w:snapToGrid w:val="0"/>
              <w:spacing w:before="120" w:beforeLines="50"/>
              <w:rPr>
                <w:rFonts w:ascii="宋体"/>
                <w:b/>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pPr>
              <w:pStyle w:val="27"/>
              <w:tabs>
                <w:tab w:val="right" w:pos="2302"/>
              </w:tabs>
              <w:snapToGrid w:val="0"/>
              <w:spacing w:beforeLines="0" w:afterLines="0" w:line="240" w:lineRule="auto"/>
              <w:outlineLvl w:val="0"/>
              <w:rPr>
                <w:rFonts w:hint="eastAsia"/>
              </w:rPr>
            </w:pPr>
            <w:r>
              <w:rPr>
                <w:rFonts w:hint="eastAsia"/>
              </w:rPr>
              <w:t>二、售后服务</w:t>
            </w:r>
          </w:p>
        </w:tc>
        <w:tc>
          <w:tcPr>
            <w:tcW w:w="17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pPr>
              <w:snapToGrid w:val="0"/>
              <w:spacing w:before="120" w:beforeLines="50"/>
              <w:rPr>
                <w:rFonts w:ascii="宋体"/>
                <w:b/>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pPr>
              <w:pStyle w:val="27"/>
              <w:snapToGrid w:val="0"/>
              <w:spacing w:beforeLines="0" w:afterLines="0" w:line="240" w:lineRule="auto"/>
              <w:outlineLvl w:val="0"/>
              <w:rPr>
                <w:rFonts w:hint="eastAsia"/>
              </w:rPr>
            </w:pPr>
            <w:r>
              <w:rPr>
                <w:rFonts w:hint="eastAsia"/>
              </w:rPr>
              <w:t>三、服务期限</w:t>
            </w:r>
          </w:p>
        </w:tc>
        <w:tc>
          <w:tcPr>
            <w:tcW w:w="17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pPr>
              <w:snapToGrid w:val="0"/>
              <w:spacing w:before="120" w:beforeLines="50"/>
              <w:rPr>
                <w:rFonts w:ascii="宋体"/>
                <w:b/>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pPr>
              <w:pStyle w:val="27"/>
              <w:snapToGrid w:val="0"/>
              <w:spacing w:beforeLines="0" w:afterLines="0" w:line="240" w:lineRule="auto"/>
              <w:outlineLvl w:val="0"/>
            </w:pPr>
            <w:r>
              <w:rPr>
                <w:rFonts w:hint="eastAsia"/>
              </w:rPr>
              <w:t>四、付款方式</w:t>
            </w:r>
          </w:p>
        </w:tc>
        <w:tc>
          <w:tcPr>
            <w:tcW w:w="17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pPr>
              <w:snapToGrid w:val="0"/>
              <w:spacing w:before="120" w:beforeLines="50"/>
              <w:rPr>
                <w:rFonts w:ascii="宋体"/>
                <w:b/>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pPr>
              <w:pStyle w:val="27"/>
              <w:snapToGrid w:val="0"/>
              <w:spacing w:beforeLines="0" w:afterLines="0" w:line="240" w:lineRule="auto"/>
              <w:outlineLvl w:val="0"/>
            </w:pPr>
          </w:p>
        </w:tc>
        <w:tc>
          <w:tcPr>
            <w:tcW w:w="17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pPr>
              <w:snapToGrid w:val="0"/>
              <w:spacing w:before="120" w:beforeLines="50"/>
              <w:rPr>
                <w:rFonts w:ascii="宋体"/>
                <w:b/>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pPr>
              <w:pStyle w:val="27"/>
              <w:snapToGrid w:val="0"/>
              <w:spacing w:beforeLines="0" w:afterLines="0" w:line="240" w:lineRule="auto"/>
              <w:outlineLvl w:val="0"/>
            </w:pPr>
            <w:r>
              <w:rPr>
                <w:rFonts w:hint="eastAsia"/>
              </w:rPr>
              <w:t>……</w:t>
            </w:r>
          </w:p>
        </w:tc>
        <w:tc>
          <w:tcPr>
            <w:tcW w:w="17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pPr>
              <w:snapToGrid w:val="0"/>
              <w:spacing w:before="120" w:beforeLines="50"/>
              <w:rPr>
                <w:rFonts w:ascii="宋体"/>
                <w:b/>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pPr>
              <w:pStyle w:val="27"/>
              <w:snapToGrid w:val="0"/>
              <w:spacing w:beforeLines="0" w:afterLines="0" w:line="240" w:lineRule="auto"/>
              <w:outlineLvl w:val="0"/>
            </w:pPr>
            <w:r>
              <w:rPr>
                <w:rFonts w:hint="eastAsia"/>
              </w:rPr>
              <w:t>……</w:t>
            </w:r>
          </w:p>
        </w:tc>
        <w:tc>
          <w:tcPr>
            <w:tcW w:w="17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pPr>
              <w:snapToGrid w:val="0"/>
              <w:spacing w:before="120" w:beforeLines="50"/>
              <w:rPr>
                <w:rFonts w:ascii="宋体"/>
                <w:b/>
                <w:sz w:val="24"/>
                <w:u w:val="single"/>
              </w:rPr>
            </w:pPr>
          </w:p>
        </w:tc>
      </w:tr>
    </w:tbl>
    <w:p>
      <w:pPr>
        <w:snapToGrid w:val="0"/>
        <w:spacing w:before="120" w:beforeLines="50"/>
        <w:rPr>
          <w:rFonts w:ascii="宋体"/>
          <w:sz w:val="24"/>
          <w:szCs w:val="20"/>
        </w:rPr>
      </w:pPr>
    </w:p>
    <w:p>
      <w:pPr>
        <w:snapToGrid w:val="0"/>
        <w:spacing w:before="50" w:after="50"/>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pPr>
        <w:snapToGrid w:val="0"/>
        <w:spacing w:before="50" w:after="50"/>
        <w:rPr>
          <w:rFonts w:hint="eastAsia" w:ascii="宋体"/>
          <w:spacing w:val="20"/>
          <w:sz w:val="24"/>
        </w:rPr>
      </w:pPr>
      <w:r>
        <w:rPr>
          <w:rFonts w:hint="eastAsia" w:ascii="宋体"/>
          <w:spacing w:val="20"/>
          <w:sz w:val="24"/>
        </w:rPr>
        <w:t xml:space="preserve">投标人盖章：              </w:t>
      </w:r>
    </w:p>
    <w:p>
      <w:pPr>
        <w:snapToGrid w:val="0"/>
        <w:spacing w:before="50" w:after="50"/>
        <w:rPr>
          <w:rFonts w:ascii="宋体"/>
          <w:spacing w:val="20"/>
          <w:sz w:val="24"/>
          <w:u w:val="single"/>
        </w:rPr>
      </w:pPr>
      <w:r>
        <w:rPr>
          <w:rFonts w:hint="eastAsia" w:ascii="宋体"/>
          <w:spacing w:val="20"/>
          <w:sz w:val="24"/>
        </w:rPr>
        <w:t>日 期：</w:t>
      </w:r>
    </w:p>
    <w:p>
      <w:pPr>
        <w:rPr>
          <w:rFonts w:ascii="宋体" w:hAnsi="宋体" w:cs="宋体"/>
          <w:b/>
          <w:bCs/>
          <w:sz w:val="24"/>
          <w:szCs w:val="24"/>
        </w:rPr>
      </w:pPr>
      <w:r>
        <w:rPr>
          <w:rFonts w:hint="eastAsia" w:ascii="宋体" w:hAnsi="宋体"/>
          <w:b/>
          <w:sz w:val="24"/>
        </w:rPr>
        <w:br w:type="page"/>
      </w:r>
    </w:p>
    <w:p>
      <w:pPr>
        <w:rPr>
          <w:rFonts w:hint="eastAsia" w:ascii="宋体" w:hAnsi="宋体"/>
          <w:b/>
          <w:bCs/>
          <w:szCs w:val="28"/>
        </w:rPr>
      </w:pPr>
      <w:bookmarkStart w:id="5" w:name="_Toc13153"/>
      <w:bookmarkStart w:id="6" w:name="_Toc10825"/>
      <w:bookmarkStart w:id="7" w:name="_Toc10018852"/>
      <w:bookmarkStart w:id="8" w:name="_Toc14449"/>
      <w:r>
        <w:rPr>
          <w:rFonts w:hint="eastAsia" w:ascii="宋体" w:hAnsi="宋体"/>
          <w:b/>
          <w:bCs/>
          <w:sz w:val="24"/>
        </w:rPr>
        <w:t>2.8：</w:t>
      </w:r>
      <w:bookmarkEnd w:id="5"/>
      <w:bookmarkEnd w:id="6"/>
      <w:bookmarkEnd w:id="7"/>
      <w:bookmarkEnd w:id="8"/>
    </w:p>
    <w:p>
      <w:pPr>
        <w:snapToGrid w:val="0"/>
        <w:spacing w:line="360" w:lineRule="auto"/>
        <w:jc w:val="center"/>
        <w:rPr>
          <w:rFonts w:ascii="宋体" w:hAnsi="宋体"/>
          <w:b/>
          <w:sz w:val="28"/>
          <w:szCs w:val="28"/>
        </w:rPr>
      </w:pPr>
      <w:r>
        <w:rPr>
          <w:rFonts w:hint="eastAsia" w:ascii="宋体" w:hAnsi="宋体"/>
          <w:b/>
          <w:sz w:val="28"/>
          <w:szCs w:val="28"/>
        </w:rPr>
        <w:t>项目实施人员一览表</w:t>
      </w:r>
    </w:p>
    <w:p>
      <w:pPr>
        <w:snapToGrid w:val="0"/>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招标编号：</w:t>
      </w:r>
      <w:r>
        <w:rPr>
          <w:rFonts w:hint="eastAsia" w:ascii="宋体" w:hAnsi="宋体"/>
          <w:sz w:val="24"/>
          <w:u w:val="single"/>
        </w:rPr>
        <w:t xml:space="preserve">             </w:t>
      </w:r>
      <w:r>
        <w:rPr>
          <w:rFonts w:hint="eastAsia" w:ascii="宋体" w:hAnsi="宋体"/>
          <w:sz w:val="24"/>
        </w:rPr>
        <w:t xml:space="preserve">   </w:t>
      </w:r>
    </w:p>
    <w:tbl>
      <w:tblPr>
        <w:tblStyle w:val="45"/>
        <w:tblW w:w="93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149"/>
        <w:gridCol w:w="1904"/>
        <w:gridCol w:w="1442"/>
        <w:gridCol w:w="36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姓名</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职务</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专业技术资格</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证书编号</w:t>
            </w:r>
          </w:p>
        </w:tc>
        <w:tc>
          <w:tcPr>
            <w:tcW w:w="36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Cs/>
                <w:sz w:val="24"/>
              </w:rPr>
            </w:pPr>
            <w:r>
              <w:rPr>
                <w:rFonts w:hint="eastAsia" w:ascii="宋体" w:hAnsi="宋体"/>
                <w:bCs/>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5250" w:leftChars="2500"/>
              <w:rPr>
                <w:rFonts w:ascii="宋体" w:hAnsi="宋体" w:eastAsia="楷体_GB2312"/>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rPr>
            </w:pPr>
          </w:p>
        </w:tc>
      </w:tr>
    </w:tbl>
    <w:p>
      <w:pPr>
        <w:snapToGrid w:val="0"/>
        <w:spacing w:line="360" w:lineRule="auto"/>
        <w:rPr>
          <w:rFonts w:hint="eastAsia" w:ascii="宋体" w:hAnsi="宋体"/>
          <w:sz w:val="24"/>
        </w:rPr>
      </w:pPr>
      <w:r>
        <w:rPr>
          <w:rFonts w:hint="eastAsia" w:ascii="宋体" w:hAnsi="宋体"/>
          <w:sz w:val="24"/>
        </w:rPr>
        <w:t>注：此表后附项目实施人员资格证书、社保缴纳凭证复印件。</w:t>
      </w:r>
    </w:p>
    <w:p>
      <w:pPr>
        <w:snapToGrid w:val="0"/>
        <w:spacing w:line="360" w:lineRule="auto"/>
        <w:ind w:left="360"/>
        <w:rPr>
          <w:rFonts w:hint="eastAsia" w:ascii="宋体" w:hAnsi="宋体"/>
          <w:sz w:val="24"/>
        </w:rPr>
      </w:pPr>
    </w:p>
    <w:p>
      <w:pPr>
        <w:snapToGrid w:val="0"/>
        <w:spacing w:line="360" w:lineRule="auto"/>
        <w:rPr>
          <w:rFonts w:ascii="宋体" w:hAnsi="宋体"/>
          <w:spacing w:val="20"/>
          <w:sz w:val="24"/>
          <w:u w:val="single"/>
        </w:rPr>
      </w:pPr>
      <w:r>
        <w:rPr>
          <w:rFonts w:hint="eastAsia" w:ascii="宋体" w:hAnsi="宋体"/>
          <w:sz w:val="24"/>
        </w:rPr>
        <w:t>法定代表人或授权委托人签名：</w:t>
      </w:r>
      <w:r>
        <w:rPr>
          <w:rFonts w:ascii="宋体" w:hAnsi="宋体"/>
          <w:spacing w:val="20"/>
          <w:sz w:val="24"/>
          <w:u w:val="single"/>
        </w:rPr>
        <w:t xml:space="preserve">            </w:t>
      </w:r>
    </w:p>
    <w:p>
      <w:pPr>
        <w:snapToGrid w:val="0"/>
        <w:spacing w:line="360" w:lineRule="auto"/>
        <w:jc w:val="left"/>
        <w:rPr>
          <w:rFonts w:hint="eastAsia" w:ascii="宋体" w:hAnsi="宋体"/>
          <w:spacing w:val="20"/>
          <w:sz w:val="24"/>
        </w:rPr>
      </w:pPr>
      <w:r>
        <w:rPr>
          <w:rFonts w:hint="eastAsia" w:ascii="宋体" w:hAnsi="宋体"/>
          <w:spacing w:val="20"/>
          <w:sz w:val="24"/>
        </w:rPr>
        <w:t>投标人全称（盖章）：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pPr>
        <w:snapToGrid w:val="0"/>
        <w:spacing w:line="360" w:lineRule="auto"/>
        <w:jc w:val="left"/>
        <w:rPr>
          <w:rFonts w:hint="eastAsia" w:ascii="宋体" w:hAnsi="宋体"/>
          <w:spacing w:val="20"/>
          <w:sz w:val="24"/>
          <w:u w:val="single"/>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pPr>
        <w:rPr>
          <w:rFonts w:hint="eastAsia" w:ascii="宋体" w:cs="宋体"/>
          <w:b/>
          <w:bCs/>
          <w:sz w:val="24"/>
          <w:szCs w:val="24"/>
        </w:rPr>
      </w:pPr>
      <w:r>
        <w:rPr>
          <w:rFonts w:hint="eastAsia" w:ascii="宋体" w:cs="宋体"/>
          <w:b/>
          <w:bCs/>
          <w:sz w:val="24"/>
          <w:szCs w:val="24"/>
        </w:rPr>
        <w:br w:type="page"/>
      </w:r>
    </w:p>
    <w:p>
      <w:pPr>
        <w:pStyle w:val="7"/>
        <w:keepNext w:val="0"/>
        <w:keepLines w:val="0"/>
        <w:pageBreakBefore/>
        <w:widowControl w:val="0"/>
        <w:kinsoku/>
        <w:wordWrap/>
        <w:overflowPunct/>
        <w:topLinePunct w:val="0"/>
        <w:autoSpaceDE/>
        <w:autoSpaceDN/>
        <w:bidi w:val="0"/>
        <w:adjustRightInd/>
        <w:snapToGrid/>
        <w:spacing w:before="0" w:after="0" w:line="240" w:lineRule="auto"/>
        <w:textAlignment w:val="auto"/>
        <w:rPr>
          <w:rFonts w:hint="eastAsia" w:ascii="宋体" w:hAnsi="宋体" w:cs="宋体"/>
          <w:bCs w:val="0"/>
          <w:kern w:val="0"/>
          <w:sz w:val="24"/>
          <w:szCs w:val="24"/>
        </w:rPr>
      </w:pPr>
      <w:bookmarkStart w:id="9" w:name="_Toc12913"/>
      <w:r>
        <w:rPr>
          <w:rFonts w:hint="eastAsia" w:ascii="宋体" w:hAnsi="宋体" w:cs="宋体"/>
          <w:bCs w:val="0"/>
          <w:kern w:val="0"/>
          <w:sz w:val="24"/>
          <w:szCs w:val="24"/>
        </w:rPr>
        <w:t>2.9：</w:t>
      </w:r>
      <w:bookmarkEnd w:id="9"/>
    </w:p>
    <w:p>
      <w:pPr>
        <w:widowControl/>
        <w:jc w:val="left"/>
        <w:rPr>
          <w:rFonts w:hint="eastAsia" w:ascii="宋体" w:hAnsi="宋体" w:cs="宋体"/>
          <w:kern w:val="0"/>
          <w:sz w:val="24"/>
        </w:rPr>
      </w:pPr>
    </w:p>
    <w:p>
      <w:pPr>
        <w:snapToGrid w:val="0"/>
        <w:spacing w:line="360" w:lineRule="auto"/>
        <w:jc w:val="center"/>
        <w:rPr>
          <w:rFonts w:hint="eastAsia" w:ascii="宋体" w:hAnsi="宋体" w:cs="宋体"/>
          <w:kern w:val="0"/>
          <w:sz w:val="24"/>
        </w:rPr>
      </w:pPr>
      <w:r>
        <w:rPr>
          <w:rFonts w:hint="eastAsia" w:ascii="宋体" w:hAnsi="宋体" w:cs="宋体"/>
          <w:b/>
          <w:kern w:val="0"/>
          <w:sz w:val="32"/>
          <w:szCs w:val="32"/>
        </w:rPr>
        <w:t>同类项目业绩一览表</w:t>
      </w:r>
    </w:p>
    <w:tbl>
      <w:tblPr>
        <w:tblStyle w:val="45"/>
        <w:tblW w:w="9002" w:type="dxa"/>
        <w:tblInd w:w="108" w:type="dxa"/>
        <w:tblLayout w:type="fixed"/>
        <w:tblCellMar>
          <w:top w:w="0" w:type="dxa"/>
          <w:left w:w="108" w:type="dxa"/>
          <w:bottom w:w="0" w:type="dxa"/>
          <w:right w:w="108" w:type="dxa"/>
        </w:tblCellMar>
      </w:tblPr>
      <w:tblGrid>
        <w:gridCol w:w="1657"/>
        <w:gridCol w:w="1656"/>
        <w:gridCol w:w="1200"/>
        <w:gridCol w:w="732"/>
        <w:gridCol w:w="992"/>
        <w:gridCol w:w="851"/>
        <w:gridCol w:w="1914"/>
      </w:tblGrid>
      <w:tr>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采购单位名称</w:t>
            </w:r>
          </w:p>
        </w:tc>
        <w:tc>
          <w:tcPr>
            <w:tcW w:w="165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项目名称</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合同</w:t>
            </w:r>
          </w:p>
          <w:p>
            <w:pPr>
              <w:jc w:val="center"/>
              <w:rPr>
                <w:rFonts w:hint="eastAsia" w:ascii="宋体" w:hAnsi="宋体"/>
                <w:sz w:val="24"/>
              </w:rPr>
            </w:pPr>
            <w:r>
              <w:rPr>
                <w:rFonts w:hint="eastAsia" w:ascii="宋体" w:hAnsi="宋体"/>
                <w:sz w:val="24"/>
              </w:rPr>
              <w:t>金额</w:t>
            </w:r>
          </w:p>
          <w:p>
            <w:pPr>
              <w:jc w:val="center"/>
              <w:rPr>
                <w:rFonts w:hint="eastAsia" w:ascii="宋体" w:hAnsi="宋体"/>
                <w:sz w:val="24"/>
              </w:rPr>
            </w:pPr>
            <w:r>
              <w:rPr>
                <w:rFonts w:hint="eastAsia" w:ascii="宋体" w:hAnsi="宋体"/>
                <w:sz w:val="24"/>
              </w:rPr>
              <w:t>（万元）</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附件页码</w:t>
            </w:r>
          </w:p>
        </w:tc>
        <w:tc>
          <w:tcPr>
            <w:tcW w:w="19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采购单位联系人</w:t>
            </w:r>
          </w:p>
          <w:p>
            <w:pPr>
              <w:jc w:val="center"/>
              <w:rPr>
                <w:rFonts w:hint="eastAsia" w:ascii="宋体" w:hAnsi="宋体"/>
                <w:sz w:val="24"/>
              </w:rPr>
            </w:pPr>
            <w:r>
              <w:rPr>
                <w:rFonts w:hint="eastAsia" w:ascii="宋体" w:hAnsi="宋体"/>
                <w:sz w:val="24"/>
              </w:rPr>
              <w:t>及联系电话</w:t>
            </w:r>
          </w:p>
        </w:tc>
      </w:tr>
      <w:tr>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165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合同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中标通知书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用户</w:t>
            </w:r>
          </w:p>
          <w:p>
            <w:pPr>
              <w:rPr>
                <w:rFonts w:hint="eastAsia" w:ascii="宋体" w:hAnsi="宋体"/>
                <w:sz w:val="24"/>
              </w:rPr>
            </w:pPr>
            <w:r>
              <w:rPr>
                <w:rFonts w:hint="eastAsia" w:ascii="宋体" w:hAnsi="宋体"/>
                <w:sz w:val="24"/>
              </w:rPr>
              <w:t>评价</w:t>
            </w:r>
          </w:p>
        </w:tc>
        <w:tc>
          <w:tcPr>
            <w:tcW w:w="19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p>
        </w:tc>
      </w:tr>
    </w:tbl>
    <w:p>
      <w:pPr>
        <w:snapToGrid w:val="0"/>
        <w:spacing w:line="360" w:lineRule="auto"/>
        <w:jc w:val="left"/>
        <w:rPr>
          <w:rFonts w:hint="eastAsia" w:ascii="宋体" w:hAnsi="宋体" w:cs="宋体"/>
          <w:sz w:val="24"/>
        </w:rPr>
      </w:pPr>
      <w:r>
        <w:rPr>
          <w:rFonts w:hint="eastAsia" w:ascii="宋体" w:hAnsi="宋体"/>
          <w:sz w:val="24"/>
        </w:rPr>
        <w:t>注：后附相关证明材料</w:t>
      </w: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pStyle w:val="4"/>
        <w:overflowPunct w:val="0"/>
        <w:spacing w:line="360" w:lineRule="auto"/>
        <w:ind w:right="420" w:firstLine="3300" w:firstLineChars="1375"/>
        <w:rPr>
          <w:rFonts w:hint="eastAsia" w:ascii="宋体" w:hAnsi="宋体" w:cs="宋体"/>
          <w:sz w:val="24"/>
          <w:szCs w:val="24"/>
        </w:rPr>
      </w:pPr>
      <w:r>
        <w:rPr>
          <w:rFonts w:hint="eastAsia" w:ascii="宋体" w:hAnsi="宋体" w:cs="宋体"/>
          <w:sz w:val="24"/>
          <w:szCs w:val="24"/>
        </w:rPr>
        <w:t>投标人（单位盖章）：</w:t>
      </w:r>
    </w:p>
    <w:p>
      <w:pPr>
        <w:pStyle w:val="4"/>
        <w:overflowPunct w:val="0"/>
        <w:spacing w:line="360" w:lineRule="auto"/>
        <w:ind w:right="420" w:firstLine="3360" w:firstLineChars="1400"/>
        <w:rPr>
          <w:rFonts w:hint="eastAsia" w:ascii="宋体" w:hAnsi="宋体" w:cs="宋体"/>
          <w:sz w:val="24"/>
          <w:szCs w:val="24"/>
        </w:rPr>
      </w:pPr>
      <w:r>
        <w:rPr>
          <w:rFonts w:hint="eastAsia" w:ascii="宋体" w:hAnsi="宋体" w:cs="宋体"/>
          <w:sz w:val="24"/>
          <w:szCs w:val="24"/>
        </w:rPr>
        <w:t xml:space="preserve">法定代表人或委托代理人（签字或盖章）：                         </w:t>
      </w:r>
    </w:p>
    <w:p>
      <w:pPr>
        <w:jc w:val="right"/>
        <w:rPr>
          <w:rFonts w:hint="eastAsia" w:ascii="宋体" w:hAnsi="宋体"/>
          <w:b/>
          <w:sz w:val="24"/>
          <w:lang w:val="en-US" w:eastAsia="zh-CN"/>
        </w:rPr>
      </w:pPr>
      <w:r>
        <w:rPr>
          <w:rFonts w:hint="eastAsia" w:ascii="宋体" w:hAnsi="宋体" w:cs="宋体"/>
          <w:sz w:val="24"/>
        </w:rPr>
        <w:t>年  月  日</w:t>
      </w:r>
      <w:bookmarkEnd w:id="4"/>
    </w:p>
    <w:p>
      <w:pPr>
        <w:rPr>
          <w:rFonts w:hint="eastAsia" w:ascii="宋体" w:cs="宋体"/>
          <w:b/>
          <w:bCs/>
          <w:szCs w:val="24"/>
        </w:rPr>
      </w:pPr>
      <w:r>
        <w:rPr>
          <w:rFonts w:hint="eastAsia" w:ascii="宋体" w:cs="宋体"/>
          <w:b/>
          <w:bCs/>
          <w:szCs w:val="24"/>
        </w:rPr>
        <w:br w:type="page"/>
      </w:r>
    </w:p>
    <w:p>
      <w:pPr>
        <w:snapToGrid w:val="0"/>
        <w:spacing w:before="120" w:after="50"/>
        <w:rPr>
          <w:rFonts w:hint="eastAsia" w:ascii="宋体" w:hAnsi="宋体" w:cs="宋体"/>
          <w:b/>
          <w:kern w:val="0"/>
          <w:sz w:val="24"/>
        </w:rPr>
      </w:pPr>
      <w:r>
        <w:rPr>
          <w:rFonts w:hint="eastAsia" w:ascii="宋体" w:hAnsi="宋体" w:cs="宋体"/>
          <w:b/>
          <w:kern w:val="0"/>
          <w:sz w:val="24"/>
        </w:rPr>
        <w:t>2.10：</w:t>
      </w:r>
    </w:p>
    <w:p>
      <w:pPr>
        <w:snapToGrid w:val="0"/>
        <w:spacing w:before="120" w:after="50"/>
        <w:jc w:val="center"/>
        <w:rPr>
          <w:b/>
          <w:color w:val="000000"/>
          <w:sz w:val="24"/>
        </w:rPr>
      </w:pPr>
      <w:r>
        <w:rPr>
          <w:rFonts w:hint="eastAsia"/>
          <w:b/>
          <w:color w:val="000000"/>
          <w:sz w:val="28"/>
        </w:rPr>
        <w:t>货物具体配置表</w:t>
      </w:r>
    </w:p>
    <w:p>
      <w:pPr>
        <w:snapToGrid w:val="0"/>
        <w:spacing w:before="120" w:after="120" w:line="360" w:lineRule="auto"/>
        <w:ind w:right="904"/>
        <w:rPr>
          <w:color w:val="000000"/>
        </w:rPr>
      </w:pPr>
      <w:r>
        <w:rPr>
          <w:rFonts w:hint="eastAsia"/>
          <w:color w:val="000000"/>
        </w:rPr>
        <w:t>项目名称：                                           招标编号：</w:t>
      </w:r>
    </w:p>
    <w:tbl>
      <w:tblPr>
        <w:tblStyle w:val="45"/>
        <w:tblW w:w="0" w:type="auto"/>
        <w:jc w:val="center"/>
        <w:tblLayout w:type="fixed"/>
        <w:tblCellMar>
          <w:top w:w="0" w:type="dxa"/>
          <w:left w:w="0" w:type="dxa"/>
          <w:bottom w:w="0" w:type="dxa"/>
          <w:right w:w="0" w:type="dxa"/>
        </w:tblCellMar>
      </w:tblPr>
      <w:tblGrid>
        <w:gridCol w:w="596"/>
        <w:gridCol w:w="596"/>
        <w:gridCol w:w="1260"/>
        <w:gridCol w:w="1260"/>
        <w:gridCol w:w="3348"/>
        <w:gridCol w:w="1080"/>
        <w:gridCol w:w="1080"/>
      </w:tblGrid>
      <w:tr>
        <w:trPr>
          <w:trHeight w:val="695" w:hRule="exact"/>
          <w:jc w:val="center"/>
        </w:trPr>
        <w:tc>
          <w:tcPr>
            <w:tcW w:w="596" w:type="dxa"/>
            <w:tcBorders>
              <w:top w:val="single" w:color="000000" w:sz="4" w:space="0"/>
              <w:left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r>
              <w:rPr>
                <w:rFonts w:hint="eastAsia"/>
                <w:color w:val="000000"/>
                <w:sz w:val="24"/>
              </w:rPr>
              <w:t>品牌型号</w:t>
            </w:r>
          </w:p>
        </w:tc>
        <w:tc>
          <w:tcPr>
            <w:tcW w:w="596" w:type="dxa"/>
            <w:tcBorders>
              <w:top w:val="single" w:color="000000" w:sz="4" w:space="0"/>
              <w:left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r>
              <w:rPr>
                <w:rFonts w:hint="eastAsia"/>
                <w:color w:val="000000"/>
                <w:sz w:val="24"/>
              </w:rPr>
              <w:t>序号</w:t>
            </w:r>
          </w:p>
        </w:tc>
        <w:tc>
          <w:tcPr>
            <w:tcW w:w="1260" w:type="dxa"/>
            <w:tcBorders>
              <w:top w:val="single" w:color="000000" w:sz="4" w:space="0"/>
              <w:left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r>
              <w:rPr>
                <w:rFonts w:hint="eastAsia"/>
                <w:color w:val="000000"/>
                <w:sz w:val="24"/>
              </w:rPr>
              <w:t>配件名称型号</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r>
              <w:rPr>
                <w:rFonts w:hint="eastAsia"/>
                <w:color w:val="000000"/>
                <w:sz w:val="24"/>
              </w:rPr>
              <w:t>配件品牌</w:t>
            </w: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r>
              <w:rPr>
                <w:rFonts w:hint="eastAsia"/>
                <w:color w:val="000000"/>
                <w:sz w:val="24"/>
              </w:rPr>
              <w:t>技术指标、功能及配置描述</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r>
              <w:rPr>
                <w:rFonts w:hint="eastAsia"/>
                <w:color w:val="000000"/>
                <w:sz w:val="24"/>
              </w:rPr>
              <w:t>产地</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r>
              <w:rPr>
                <w:rFonts w:hint="eastAsia"/>
                <w:color w:val="000000"/>
                <w:sz w:val="24"/>
              </w:rPr>
              <w:t>备注</w:t>
            </w:r>
          </w:p>
        </w:tc>
      </w:tr>
      <w:tr>
        <w:tblPrEx>
          <w:tblCellMar>
            <w:top w:w="0" w:type="dxa"/>
            <w:left w:w="0" w:type="dxa"/>
            <w:bottom w:w="0" w:type="dxa"/>
            <w:right w:w="0" w:type="dxa"/>
          </w:tblCellMar>
        </w:tblPrEx>
        <w:trPr>
          <w:trHeight w:val="549" w:hRule="exact"/>
          <w:jc w:val="center"/>
        </w:trPr>
        <w:tc>
          <w:tcPr>
            <w:tcW w:w="596" w:type="dxa"/>
            <w:vMerge w:val="restart"/>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jc w:val="center"/>
              <w:rPr>
                <w:color w:val="000000"/>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snapToGrid w:val="0"/>
              <w:ind w:right="54"/>
              <w:jc w:val="center"/>
              <w:rPr>
                <w:color w:val="000000"/>
                <w:sz w:val="24"/>
              </w:rPr>
            </w:pPr>
          </w:p>
        </w:tc>
      </w:tr>
    </w:tbl>
    <w:p>
      <w:pPr>
        <w:tabs>
          <w:tab w:val="left" w:pos="4312"/>
        </w:tabs>
        <w:snapToGrid w:val="0"/>
        <w:spacing w:before="120" w:after="120"/>
        <w:rPr>
          <w:color w:val="000000"/>
        </w:rPr>
      </w:pPr>
    </w:p>
    <w:p>
      <w:pPr>
        <w:tabs>
          <w:tab w:val="left" w:pos="4312"/>
        </w:tabs>
        <w:snapToGrid w:val="0"/>
        <w:spacing w:before="120" w:after="120" w:line="360" w:lineRule="auto"/>
        <w:ind w:firstLine="240" w:firstLineChars="100"/>
        <w:rPr>
          <w:color w:val="000000"/>
          <w:sz w:val="24"/>
        </w:rPr>
      </w:pPr>
      <w:r>
        <w:rPr>
          <w:rFonts w:hint="eastAsia"/>
          <w:color w:val="000000"/>
          <w:sz w:val="24"/>
        </w:rPr>
        <w:t>投标单位（公章）：</w:t>
      </w:r>
    </w:p>
    <w:p>
      <w:pPr>
        <w:tabs>
          <w:tab w:val="left" w:pos="4312"/>
        </w:tabs>
        <w:snapToGrid w:val="0"/>
        <w:spacing w:before="120" w:after="120" w:line="360" w:lineRule="auto"/>
        <w:ind w:firstLine="210"/>
        <w:rPr>
          <w:color w:val="000000"/>
          <w:sz w:val="24"/>
        </w:rPr>
      </w:pPr>
      <w:r>
        <w:rPr>
          <w:rFonts w:hint="eastAsia"/>
          <w:color w:val="000000"/>
          <w:sz w:val="24"/>
        </w:rPr>
        <w:t>授权代表签字：</w:t>
      </w:r>
    </w:p>
    <w:p>
      <w:pPr>
        <w:tabs>
          <w:tab w:val="left" w:pos="4312"/>
        </w:tabs>
        <w:snapToGrid w:val="0"/>
        <w:spacing w:before="120" w:after="120" w:line="360" w:lineRule="auto"/>
        <w:ind w:firstLine="240" w:firstLineChars="100"/>
        <w:rPr>
          <w:color w:val="000000"/>
          <w:sz w:val="24"/>
        </w:rPr>
      </w:pPr>
      <w:r>
        <w:rPr>
          <w:rFonts w:hint="eastAsia"/>
          <w:color w:val="000000"/>
          <w:sz w:val="24"/>
        </w:rPr>
        <w:t>日期：</w:t>
      </w:r>
    </w:p>
    <w:p>
      <w:pPr>
        <w:rPr>
          <w:rFonts w:hint="eastAsia" w:ascii="宋体" w:cs="宋体"/>
          <w:b/>
          <w:bCs/>
          <w:szCs w:val="24"/>
        </w:rPr>
      </w:pPr>
      <w:r>
        <w:rPr>
          <w:rFonts w:hint="eastAsia" w:ascii="宋体" w:cs="宋体"/>
          <w:b/>
          <w:bCs/>
          <w:szCs w:val="24"/>
        </w:rPr>
        <w:br w:type="page"/>
      </w:r>
    </w:p>
    <w:p>
      <w:pPr>
        <w:pStyle w:val="7"/>
        <w:keepNext w:val="0"/>
        <w:keepLines w:val="0"/>
        <w:pageBreakBefore/>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2.11</w:t>
      </w:r>
      <w:r>
        <w:rPr>
          <w:rFonts w:hint="eastAsia" w:ascii="宋体" w:hAnsi="宋体" w:eastAsia="宋体"/>
          <w:b/>
          <w:bCs/>
          <w:color w:val="auto"/>
          <w:sz w:val="24"/>
          <w:szCs w:val="24"/>
          <w:highlight w:val="none"/>
        </w:rPr>
        <w:t>：供应商供货承诺声明</w:t>
      </w:r>
    </w:p>
    <w:p>
      <w:pPr>
        <w:snapToGrid w:val="0"/>
        <w:spacing w:before="120" w:beforeLines="50" w:after="50" w:line="360" w:lineRule="auto"/>
        <w:jc w:val="center"/>
        <w:rPr>
          <w:rFonts w:hint="eastAsia" w:hAnsi="宋体"/>
          <w:b/>
          <w:color w:val="auto"/>
          <w:sz w:val="32"/>
          <w:szCs w:val="32"/>
          <w:highlight w:val="none"/>
        </w:rPr>
      </w:pPr>
      <w:r>
        <w:rPr>
          <w:rFonts w:hint="eastAsia" w:hAnsi="宋体"/>
          <w:b/>
          <w:color w:val="auto"/>
          <w:sz w:val="32"/>
          <w:szCs w:val="32"/>
          <w:highlight w:val="none"/>
        </w:rPr>
        <w:t>供应商供货承诺声明</w:t>
      </w:r>
    </w:p>
    <w:p>
      <w:pPr>
        <w:spacing w:line="360" w:lineRule="auto"/>
        <w:rPr>
          <w:rFonts w:hAnsi="宋体"/>
          <w:color w:val="auto"/>
          <w:sz w:val="24"/>
          <w:highlight w:val="none"/>
        </w:rPr>
      </w:pPr>
      <w:r>
        <w:rPr>
          <w:rFonts w:hint="eastAsia" w:ascii="宋体" w:hAnsi="宋体" w:eastAsia="宋体" w:cs="宋体"/>
          <w:color w:val="auto"/>
          <w:sz w:val="24"/>
          <w:szCs w:val="24"/>
          <w:highlight w:val="none"/>
          <w:u w:val="single"/>
        </w:rPr>
        <w:t>采购单位</w:t>
      </w:r>
      <w:r>
        <w:rPr>
          <w:rFonts w:hint="eastAsia" w:ascii="宋体" w:hAnsi="宋体" w:eastAsia="宋体" w:cs="宋体"/>
          <w:color w:val="auto"/>
          <w:sz w:val="24"/>
          <w:szCs w:val="24"/>
          <w:highlight w:val="none"/>
          <w:u w:val="single"/>
          <w:lang w:val="en-US" w:eastAsia="zh-CN"/>
        </w:rPr>
        <w:t xml:space="preserve">      </w:t>
      </w:r>
      <w:r>
        <w:rPr>
          <w:rFonts w:hint="eastAsia" w:hAnsi="宋体"/>
          <w:color w:val="auto"/>
          <w:sz w:val="24"/>
          <w:highlight w:val="none"/>
        </w:rPr>
        <w:t>：</w:t>
      </w:r>
    </w:p>
    <w:p>
      <w:pPr>
        <w:spacing w:line="360" w:lineRule="auto"/>
        <w:ind w:firstLine="480" w:firstLineChars="200"/>
        <w:rPr>
          <w:rFonts w:hAnsi="宋体"/>
          <w:color w:val="auto"/>
          <w:sz w:val="24"/>
          <w:highlight w:val="none"/>
        </w:rPr>
      </w:pPr>
      <w:r>
        <w:rPr>
          <w:rFonts w:hint="eastAsia" w:hAnsi="宋体"/>
          <w:color w:val="auto"/>
          <w:sz w:val="24"/>
          <w:highlight w:val="none"/>
        </w:rPr>
        <w:t>我单位参加</w:t>
      </w:r>
      <w:r>
        <w:rPr>
          <w:rFonts w:hAnsi="宋体"/>
          <w:color w:val="auto"/>
          <w:sz w:val="24"/>
          <w:highlight w:val="none"/>
          <w:u w:val="single"/>
        </w:rPr>
        <w:t xml:space="preserve">             </w:t>
      </w:r>
      <w:r>
        <w:rPr>
          <w:rFonts w:hint="eastAsia" w:hAnsi="宋体"/>
          <w:color w:val="auto"/>
          <w:sz w:val="24"/>
          <w:highlight w:val="none"/>
        </w:rPr>
        <w:t>项目</w:t>
      </w:r>
      <w:r>
        <w:rPr>
          <w:rFonts w:hint="eastAsia" w:hAnsi="宋体"/>
          <w:color w:val="auto"/>
          <w:sz w:val="24"/>
          <w:highlight w:val="none"/>
          <w:lang w:eastAsia="zh-CN"/>
        </w:rPr>
        <w:t>标项</w:t>
      </w:r>
      <w:r>
        <w:rPr>
          <w:rFonts w:hint="eastAsia" w:hAnsi="宋体"/>
          <w:color w:val="auto"/>
          <w:sz w:val="24"/>
          <w:highlight w:val="none"/>
          <w:lang w:val="en-US" w:eastAsia="zh-CN"/>
        </w:rPr>
        <w:t>1/2/3</w:t>
      </w:r>
      <w:r>
        <w:rPr>
          <w:rFonts w:hint="eastAsia" w:hAnsi="宋体"/>
          <w:color w:val="auto"/>
          <w:sz w:val="24"/>
          <w:highlight w:val="none"/>
        </w:rPr>
        <w:t>（采购编号：</w:t>
      </w:r>
      <w:r>
        <w:rPr>
          <w:rFonts w:hAnsi="宋体"/>
          <w:color w:val="auto"/>
          <w:sz w:val="24"/>
          <w:highlight w:val="none"/>
          <w:u w:val="single"/>
        </w:rPr>
        <w:t xml:space="preserve">     </w:t>
      </w:r>
      <w:r>
        <w:rPr>
          <w:rFonts w:hint="eastAsia" w:hAnsi="宋体"/>
          <w:color w:val="auto"/>
          <w:sz w:val="24"/>
          <w:highlight w:val="none"/>
        </w:rPr>
        <w:t>）招标采购，根据采购要求，我单位承诺如下：</w:t>
      </w:r>
    </w:p>
    <w:p>
      <w:pPr>
        <w:numPr>
          <w:ilvl w:val="0"/>
          <w:numId w:val="0"/>
        </w:numPr>
        <w:spacing w:line="360" w:lineRule="auto"/>
        <w:ind w:leftChars="0" w:firstLine="480" w:firstLineChars="200"/>
        <w:rPr>
          <w:rFonts w:hAnsi="宋体"/>
          <w:color w:val="auto"/>
          <w:sz w:val="24"/>
          <w:highlight w:val="none"/>
        </w:rPr>
      </w:pPr>
      <w:r>
        <w:rPr>
          <w:rFonts w:hint="eastAsia" w:hAnsi="宋体"/>
          <w:color w:val="auto"/>
          <w:sz w:val="24"/>
          <w:highlight w:val="none"/>
          <w:lang w:val="en-US" w:eastAsia="zh-CN"/>
        </w:rPr>
        <w:t>1、</w:t>
      </w:r>
      <w:r>
        <w:rPr>
          <w:rFonts w:hint="eastAsia" w:hAnsi="宋体"/>
          <w:color w:val="auto"/>
          <w:sz w:val="24"/>
          <w:highlight w:val="none"/>
        </w:rPr>
        <w:t>我方承诺所提供图书均为合法渠道出版的正版图书。</w:t>
      </w:r>
    </w:p>
    <w:p>
      <w:pPr>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、我方承诺，严格按照采购人提供的图书采购目录提供图书。</w:t>
      </w:r>
    </w:p>
    <w:p>
      <w:pPr>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、我方承诺，对未能达到采购人提出的到书率要求，并在采购人发出通知后逾期超过</w:t>
      </w:r>
      <w:r>
        <w:rPr>
          <w:rFonts w:hAnsi="宋体"/>
          <w:color w:val="auto"/>
          <w:sz w:val="24"/>
          <w:highlight w:val="none"/>
        </w:rPr>
        <w:t>15</w:t>
      </w:r>
      <w:r>
        <w:rPr>
          <w:rFonts w:hint="eastAsia" w:hAnsi="宋体"/>
          <w:color w:val="auto"/>
          <w:sz w:val="24"/>
          <w:highlight w:val="none"/>
        </w:rPr>
        <w:t>天仍不能交货的，采购人可解除双方的供货合同，造成采购人损失的，我方负责赔偿，属严重违约的，采购人有权取消我方的供货资格，另择途径采购，由此造成的损失由我方承担，我单位愿意接受</w:t>
      </w:r>
      <w:r>
        <w:rPr>
          <w:rFonts w:hAnsi="宋体"/>
          <w:color w:val="auto"/>
          <w:sz w:val="24"/>
          <w:highlight w:val="none"/>
        </w:rPr>
        <w:t>30%</w:t>
      </w:r>
      <w:r>
        <w:rPr>
          <w:rFonts w:hint="eastAsia" w:hAnsi="宋体"/>
          <w:color w:val="auto"/>
          <w:sz w:val="24"/>
          <w:highlight w:val="none"/>
        </w:rPr>
        <w:t>的合同总额违约处罚金。</w:t>
      </w:r>
    </w:p>
    <w:p>
      <w:pPr>
        <w:spacing w:line="360" w:lineRule="auto"/>
        <w:ind w:firstLine="480" w:firstLineChars="200"/>
        <w:rPr>
          <w:rFonts w:hAnsi="宋体"/>
          <w:color w:val="auto"/>
          <w:sz w:val="24"/>
          <w:highlight w:val="none"/>
        </w:rPr>
      </w:pPr>
      <w:r>
        <w:rPr>
          <w:rFonts w:hAnsi="宋体"/>
          <w:color w:val="auto"/>
          <w:sz w:val="24"/>
          <w:highlight w:val="none"/>
        </w:rPr>
        <w:t>4</w:t>
      </w:r>
      <w:r>
        <w:rPr>
          <w:rFonts w:hint="eastAsia" w:hAnsi="宋体"/>
          <w:color w:val="auto"/>
          <w:sz w:val="24"/>
          <w:highlight w:val="none"/>
        </w:rPr>
        <w:t>、我方承诺，我方在提供的图书中如有盗版或非法出版物的，采购人将对我方处以书价的十倍罚金，我方还应承担由此带来的其他所有后果，并确认为商家不良记录。</w:t>
      </w:r>
    </w:p>
    <w:p>
      <w:pPr>
        <w:spacing w:line="360" w:lineRule="auto"/>
        <w:ind w:firstLine="480" w:firstLineChars="200"/>
        <w:rPr>
          <w:rFonts w:hAnsi="宋体"/>
          <w:color w:val="auto"/>
          <w:sz w:val="24"/>
          <w:highlight w:val="none"/>
        </w:rPr>
      </w:pPr>
      <w:r>
        <w:rPr>
          <w:rFonts w:hAnsi="宋体"/>
          <w:color w:val="auto"/>
          <w:sz w:val="24"/>
          <w:highlight w:val="none"/>
        </w:rPr>
        <w:t>5</w:t>
      </w:r>
      <w:r>
        <w:rPr>
          <w:rFonts w:hint="eastAsia" w:hAnsi="宋体"/>
          <w:color w:val="auto"/>
          <w:sz w:val="24"/>
          <w:highlight w:val="none"/>
        </w:rPr>
        <w:t>、我方承诺，如不履行服务承诺，包括到货率不达要求、提供盗版书、书目质量不合要求、加工质量不合格等，在合同执行期间，采购人有权减少订书量或停止其供书资格。有不良记录的商家，采购人有权拒绝其继续投标相关事宜。</w:t>
      </w:r>
    </w:p>
    <w:p>
      <w:pPr>
        <w:spacing w:line="360" w:lineRule="auto"/>
        <w:ind w:firstLine="480" w:firstLineChars="200"/>
        <w:rPr>
          <w:rFonts w:hAnsi="宋体"/>
          <w:color w:val="auto"/>
          <w:sz w:val="24"/>
          <w:highlight w:val="none"/>
        </w:rPr>
      </w:pPr>
    </w:p>
    <w:p>
      <w:pPr>
        <w:spacing w:line="300" w:lineRule="auto"/>
        <w:rPr>
          <w:rFonts w:hAnsi="宋体"/>
          <w:color w:val="auto"/>
          <w:sz w:val="24"/>
          <w:highlight w:val="none"/>
        </w:rPr>
      </w:pPr>
      <w:r>
        <w:rPr>
          <w:rFonts w:hint="eastAsia" w:hAnsi="宋体"/>
          <w:color w:val="auto"/>
          <w:sz w:val="24"/>
          <w:highlight w:val="none"/>
        </w:rPr>
        <w:t>投标人全称（公章）：</w:t>
      </w:r>
    </w:p>
    <w:p>
      <w:pPr>
        <w:spacing w:line="300" w:lineRule="auto"/>
        <w:jc w:val="center"/>
        <w:rPr>
          <w:rFonts w:hAnsi="宋体"/>
          <w:color w:val="auto"/>
          <w:sz w:val="24"/>
          <w:highlight w:val="none"/>
        </w:rPr>
      </w:pPr>
    </w:p>
    <w:p>
      <w:pPr>
        <w:spacing w:line="300" w:lineRule="auto"/>
        <w:rPr>
          <w:rFonts w:hAnsi="宋体"/>
          <w:color w:val="auto"/>
          <w:sz w:val="24"/>
          <w:highlight w:val="none"/>
        </w:rPr>
      </w:pPr>
      <w:r>
        <w:rPr>
          <w:rFonts w:hint="eastAsia" w:hAnsi="宋体"/>
          <w:color w:val="auto"/>
          <w:sz w:val="24"/>
          <w:highlight w:val="none"/>
        </w:rPr>
        <w:t>法定代表人或</w:t>
      </w:r>
      <w:r>
        <w:rPr>
          <w:rFonts w:hint="eastAsia"/>
          <w:snapToGrid w:val="0"/>
          <w:sz w:val="24"/>
          <w:szCs w:val="24"/>
        </w:rPr>
        <w:t>委托代理人</w:t>
      </w:r>
      <w:r>
        <w:rPr>
          <w:rFonts w:hint="eastAsia" w:hAnsi="宋体"/>
          <w:color w:val="auto"/>
          <w:sz w:val="24"/>
          <w:highlight w:val="none"/>
        </w:rPr>
        <w:t>签字</w:t>
      </w:r>
    </w:p>
    <w:p>
      <w:pPr>
        <w:spacing w:line="300" w:lineRule="auto"/>
        <w:jc w:val="center"/>
        <w:rPr>
          <w:rFonts w:hAnsi="宋体"/>
          <w:color w:val="auto"/>
          <w:sz w:val="24"/>
          <w:highlight w:val="none"/>
        </w:rPr>
      </w:pPr>
    </w:p>
    <w:p>
      <w:pPr>
        <w:spacing w:line="360" w:lineRule="auto"/>
        <w:rPr>
          <w:rFonts w:hAnsi="宋体"/>
          <w:color w:val="auto"/>
          <w:sz w:val="24"/>
          <w:highlight w:val="none"/>
        </w:rPr>
      </w:pPr>
      <w:r>
        <w:rPr>
          <w:rFonts w:hint="eastAsia" w:hAnsi="宋体"/>
          <w:color w:val="auto"/>
          <w:sz w:val="24"/>
          <w:highlight w:val="none"/>
        </w:rPr>
        <w:t>日期：    年</w:t>
      </w:r>
      <w:r>
        <w:rPr>
          <w:rFonts w:hAnsi="宋体"/>
          <w:color w:val="auto"/>
          <w:sz w:val="24"/>
          <w:highlight w:val="none"/>
        </w:rPr>
        <w:t xml:space="preserve">    </w:t>
      </w:r>
      <w:r>
        <w:rPr>
          <w:rFonts w:hint="eastAsia" w:hAnsi="宋体"/>
          <w:color w:val="auto"/>
          <w:sz w:val="24"/>
          <w:highlight w:val="none"/>
        </w:rPr>
        <w:t>月</w:t>
      </w:r>
      <w:r>
        <w:rPr>
          <w:rFonts w:hAnsi="宋体"/>
          <w:color w:val="auto"/>
          <w:sz w:val="24"/>
          <w:highlight w:val="none"/>
        </w:rPr>
        <w:t xml:space="preserve">    </w:t>
      </w:r>
      <w:r>
        <w:rPr>
          <w:rFonts w:hint="eastAsia" w:hAnsi="宋体"/>
          <w:color w:val="auto"/>
          <w:sz w:val="24"/>
          <w:highlight w:val="none"/>
        </w:rPr>
        <w:t>日</w:t>
      </w:r>
    </w:p>
    <w:p>
      <w:pPr>
        <w:rPr>
          <w:rFonts w:ascii="宋体" w:hAnsi="宋体"/>
          <w:b/>
          <w:color w:val="auto"/>
          <w:sz w:val="24"/>
          <w:highlight w:val="none"/>
        </w:rPr>
      </w:pPr>
    </w:p>
    <w:p>
      <w:pPr>
        <w:rPr>
          <w:rFonts w:hint="eastAsia"/>
          <w:color w:val="auto"/>
          <w:highlight w:val="none"/>
        </w:rPr>
      </w:pPr>
    </w:p>
    <w:p>
      <w:pPr>
        <w:rPr>
          <w:rFonts w:hint="eastAsia" w:ascii="宋体" w:cs="宋体"/>
          <w:b/>
          <w:bCs/>
          <w:szCs w:val="24"/>
        </w:rPr>
      </w:pPr>
      <w:r>
        <w:rPr>
          <w:rFonts w:hint="eastAsia" w:ascii="宋体" w:cs="宋体"/>
          <w:b/>
          <w:bCs/>
          <w:szCs w:val="24"/>
        </w:rPr>
        <w:br w:type="page"/>
      </w:r>
    </w:p>
    <w:p>
      <w:pPr>
        <w:pStyle w:val="16"/>
        <w:rPr>
          <w:rFonts w:hint="default" w:ascii="宋体" w:eastAsia="宋体" w:cs="宋体"/>
          <w:b/>
          <w:bCs/>
          <w:szCs w:val="24"/>
          <w:lang w:val="en-US" w:eastAsia="zh-CN"/>
        </w:rPr>
      </w:pPr>
      <w:r>
        <w:rPr>
          <w:rFonts w:hint="eastAsia" w:ascii="宋体" w:cs="宋体"/>
          <w:b/>
          <w:bCs/>
          <w:szCs w:val="24"/>
        </w:rPr>
        <w:t>2.</w:t>
      </w:r>
      <w:r>
        <w:rPr>
          <w:rFonts w:hint="eastAsia" w:ascii="宋体" w:cs="宋体"/>
          <w:b/>
          <w:bCs/>
          <w:szCs w:val="24"/>
          <w:lang w:val="en-US" w:eastAsia="zh-CN"/>
        </w:rPr>
        <w:t>12</w:t>
      </w:r>
    </w:p>
    <w:p>
      <w:pPr>
        <w:jc w:val="center"/>
        <w:rPr>
          <w:rFonts w:ascii="宋体" w:hAnsi="宋体"/>
          <w:sz w:val="44"/>
          <w:szCs w:val="44"/>
        </w:rPr>
      </w:pPr>
      <w:r>
        <w:rPr>
          <w:rFonts w:hint="eastAsia" w:ascii="宋体" w:hAnsi="宋体"/>
          <w:sz w:val="44"/>
          <w:szCs w:val="44"/>
        </w:rPr>
        <w:t>东阳市政府采购代理机构社会评价表</w:t>
      </w:r>
    </w:p>
    <w:p>
      <w:pPr>
        <w:rPr>
          <w:rFonts w:ascii="宋体" w:hAnsi="宋体"/>
          <w:sz w:val="28"/>
          <w:szCs w:val="28"/>
        </w:rPr>
      </w:pPr>
      <w:r>
        <w:rPr>
          <w:rFonts w:hint="eastAsia" w:ascii="宋体" w:hAnsi="宋体"/>
          <w:sz w:val="28"/>
          <w:szCs w:val="28"/>
        </w:rPr>
        <w:t>代理机构名称：金华市金诚招投标代理有限公司</w:t>
      </w:r>
    </w:p>
    <w:tbl>
      <w:tblPr>
        <w:tblStyle w:val="4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ascii="宋体" w:hAnsi="宋体"/>
                <w:sz w:val="24"/>
              </w:rPr>
              <w:t>填表人类别</w:t>
            </w:r>
          </w:p>
        </w:tc>
        <w:tc>
          <w:tcPr>
            <w:tcW w:w="7938" w:type="dxa"/>
            <w:gridSpan w:val="7"/>
            <w:tcBorders>
              <w:top w:val="single" w:color="auto" w:sz="4" w:space="0"/>
              <w:left w:val="nil"/>
              <w:bottom w:val="single" w:color="auto" w:sz="4" w:space="0"/>
              <w:right w:val="single" w:color="auto" w:sz="4" w:space="0"/>
            </w:tcBorders>
            <w:noWrap/>
            <w:vAlign w:val="center"/>
          </w:tcPr>
          <w:p>
            <w:pPr>
              <w:ind w:firstLine="480" w:firstLineChars="200"/>
              <w:jc w:val="center"/>
              <w:rPr>
                <w:sz w:val="24"/>
              </w:rPr>
            </w:pPr>
            <w:r>
              <w:rPr>
                <w:rFonts w:hint="eastAsia" w:ascii="宋体" w:hAnsi="宋体"/>
                <w:sz w:val="24"/>
              </w:rPr>
              <w:t>□采购单位□供应商□专家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ascii="宋体" w:hAnsi="宋体"/>
                <w:sz w:val="24"/>
              </w:rPr>
              <w:t>填表人名称或姓名</w:t>
            </w:r>
          </w:p>
        </w:tc>
        <w:tc>
          <w:tcPr>
            <w:tcW w:w="3366" w:type="dxa"/>
            <w:gridSpan w:val="4"/>
            <w:tcBorders>
              <w:top w:val="single" w:color="auto" w:sz="4" w:space="0"/>
              <w:left w:val="nil"/>
              <w:bottom w:val="single" w:color="auto" w:sz="4" w:space="0"/>
              <w:right w:val="single" w:color="auto" w:sz="4" w:space="0"/>
            </w:tcBorders>
            <w:noWrap/>
            <w:vAlign w:val="center"/>
          </w:tcPr>
          <w:p>
            <w:pPr>
              <w:jc w:val="center"/>
              <w:rPr>
                <w:sz w:val="24"/>
              </w:rPr>
            </w:pPr>
          </w:p>
        </w:tc>
        <w:tc>
          <w:tcPr>
            <w:tcW w:w="900" w:type="dxa"/>
            <w:tcBorders>
              <w:top w:val="single" w:color="auto" w:sz="4" w:space="0"/>
              <w:left w:val="nil"/>
              <w:bottom w:val="single" w:color="auto" w:sz="4" w:space="0"/>
              <w:right w:val="single" w:color="auto" w:sz="4" w:space="0"/>
            </w:tcBorders>
            <w:noWrap/>
            <w:vAlign w:val="center"/>
          </w:tcPr>
          <w:p>
            <w:pPr>
              <w:jc w:val="center"/>
              <w:rPr>
                <w:sz w:val="24"/>
              </w:rPr>
            </w:pPr>
            <w:r>
              <w:rPr>
                <w:rFonts w:hint="eastAsia" w:ascii="宋体" w:hAnsi="宋体"/>
                <w:sz w:val="24"/>
              </w:rPr>
              <w:t>地址</w:t>
            </w:r>
          </w:p>
        </w:tc>
        <w:tc>
          <w:tcPr>
            <w:tcW w:w="3672" w:type="dxa"/>
            <w:gridSpan w:val="2"/>
            <w:tcBorders>
              <w:top w:val="single" w:color="auto" w:sz="4" w:space="0"/>
              <w:left w:val="nil"/>
              <w:bottom w:val="single" w:color="auto" w:sz="4" w:space="0"/>
              <w:right w:val="single" w:color="auto" w:sz="4" w:space="0"/>
            </w:tcBorders>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ascii="宋体" w:hAnsi="宋体"/>
                <w:sz w:val="24"/>
              </w:rPr>
              <w:t>联系人</w:t>
            </w:r>
          </w:p>
        </w:tc>
        <w:tc>
          <w:tcPr>
            <w:tcW w:w="1470" w:type="dxa"/>
            <w:tcBorders>
              <w:top w:val="single" w:color="auto" w:sz="4" w:space="0"/>
              <w:left w:val="nil"/>
              <w:bottom w:val="single" w:color="auto" w:sz="4" w:space="0"/>
              <w:right w:val="single" w:color="auto" w:sz="4" w:space="0"/>
            </w:tcBorders>
            <w:noWrap/>
            <w:vAlign w:val="center"/>
          </w:tcPr>
          <w:p>
            <w:pPr>
              <w:jc w:val="center"/>
              <w:rPr>
                <w:sz w:val="24"/>
              </w:rPr>
            </w:pPr>
          </w:p>
        </w:tc>
        <w:tc>
          <w:tcPr>
            <w:tcW w:w="696" w:type="dxa"/>
            <w:tcBorders>
              <w:top w:val="single" w:color="auto" w:sz="4" w:space="0"/>
              <w:left w:val="nil"/>
              <w:bottom w:val="single" w:color="auto" w:sz="4" w:space="0"/>
              <w:right w:val="single" w:color="auto" w:sz="4" w:space="0"/>
            </w:tcBorders>
            <w:noWrap/>
            <w:vAlign w:val="center"/>
          </w:tcPr>
          <w:p>
            <w:pPr>
              <w:jc w:val="center"/>
              <w:rPr>
                <w:sz w:val="24"/>
              </w:rPr>
            </w:pPr>
            <w:r>
              <w:rPr>
                <w:rFonts w:hint="eastAsia" w:ascii="宋体" w:hAnsi="宋体"/>
                <w:sz w:val="24"/>
              </w:rPr>
              <w:t>电话</w:t>
            </w:r>
          </w:p>
        </w:tc>
        <w:tc>
          <w:tcPr>
            <w:tcW w:w="2100" w:type="dxa"/>
            <w:gridSpan w:val="3"/>
            <w:tcBorders>
              <w:top w:val="single" w:color="auto" w:sz="4" w:space="0"/>
              <w:left w:val="nil"/>
              <w:bottom w:val="single" w:color="auto" w:sz="4" w:space="0"/>
              <w:right w:val="single" w:color="auto" w:sz="4" w:space="0"/>
            </w:tcBorders>
            <w:noWrap/>
            <w:vAlign w:val="center"/>
          </w:tcPr>
          <w:p>
            <w:pPr>
              <w:jc w:val="center"/>
              <w:rPr>
                <w:sz w:val="24"/>
              </w:rPr>
            </w:pPr>
          </w:p>
        </w:tc>
        <w:tc>
          <w:tcPr>
            <w:tcW w:w="787" w:type="dxa"/>
            <w:tcBorders>
              <w:top w:val="single" w:color="auto" w:sz="4" w:space="0"/>
              <w:left w:val="nil"/>
              <w:bottom w:val="single" w:color="auto" w:sz="4" w:space="0"/>
              <w:right w:val="single" w:color="auto" w:sz="4" w:space="0"/>
            </w:tcBorders>
            <w:noWrap/>
            <w:vAlign w:val="center"/>
          </w:tcPr>
          <w:p>
            <w:pPr>
              <w:jc w:val="center"/>
              <w:rPr>
                <w:sz w:val="24"/>
              </w:rPr>
            </w:pPr>
            <w:r>
              <w:rPr>
                <w:rFonts w:hint="eastAsia" w:ascii="宋体" w:hAnsi="宋体"/>
                <w:sz w:val="24"/>
              </w:rPr>
              <w:t>传真</w:t>
            </w:r>
          </w:p>
        </w:tc>
        <w:tc>
          <w:tcPr>
            <w:tcW w:w="2885" w:type="dxa"/>
            <w:tcBorders>
              <w:top w:val="single" w:color="auto" w:sz="4" w:space="0"/>
              <w:left w:val="nil"/>
              <w:bottom w:val="single" w:color="auto" w:sz="4" w:space="0"/>
              <w:right w:val="single" w:color="auto" w:sz="4" w:space="0"/>
            </w:tcBorders>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ign w:val="center"/>
          </w:tcPr>
          <w:p>
            <w:pPr>
              <w:jc w:val="center"/>
              <w:rPr>
                <w:sz w:val="24"/>
              </w:rPr>
            </w:pPr>
            <w:r>
              <w:rPr>
                <w:rFonts w:hint="eastAsia" w:ascii="宋体" w:hAnsi="宋体"/>
                <w:sz w:val="24"/>
              </w:rPr>
              <w:t>对代理机构的评价</w:t>
            </w:r>
          </w:p>
        </w:tc>
        <w:tc>
          <w:tcPr>
            <w:tcW w:w="3234" w:type="dxa"/>
            <w:gridSpan w:val="3"/>
            <w:tcBorders>
              <w:top w:val="single" w:color="auto" w:sz="4" w:space="0"/>
              <w:left w:val="nil"/>
              <w:bottom w:val="single" w:color="auto" w:sz="4" w:space="0"/>
              <w:right w:val="single" w:color="auto" w:sz="4" w:space="0"/>
            </w:tcBorders>
            <w:noWrap/>
            <w:vAlign w:val="center"/>
          </w:tcPr>
          <w:p>
            <w:pPr>
              <w:spacing w:line="500" w:lineRule="exact"/>
              <w:jc w:val="center"/>
              <w:rPr>
                <w:sz w:val="24"/>
              </w:rPr>
            </w:pPr>
            <w:r>
              <w:rPr>
                <w:rFonts w:hint="eastAsia" w:ascii="宋体" w:hAnsi="宋体"/>
                <w:sz w:val="24"/>
              </w:rPr>
              <w:t>项目</w:t>
            </w:r>
          </w:p>
        </w:tc>
        <w:tc>
          <w:tcPr>
            <w:tcW w:w="4704" w:type="dxa"/>
            <w:gridSpan w:val="4"/>
            <w:tcBorders>
              <w:top w:val="single" w:color="auto" w:sz="4" w:space="0"/>
              <w:left w:val="nil"/>
              <w:bottom w:val="single" w:color="auto" w:sz="4" w:space="0"/>
              <w:right w:val="single" w:color="auto" w:sz="4" w:space="0"/>
            </w:tcBorders>
            <w:noWrap/>
            <w:vAlign w:val="center"/>
          </w:tcPr>
          <w:p>
            <w:pPr>
              <w:spacing w:line="500" w:lineRule="exact"/>
              <w:jc w:val="center"/>
              <w:rPr>
                <w:sz w:val="24"/>
              </w:rPr>
            </w:pPr>
            <w:r>
              <w:rPr>
                <w:rFonts w:hint="eastAsia" w:ascii="宋体" w:hAnsi="宋体"/>
                <w:sz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pPr>
              <w:rPr>
                <w:rFonts w:ascii="宋体" w:hAnsi="宋体"/>
                <w:kern w:val="0"/>
                <w:sz w:val="24"/>
              </w:rPr>
            </w:pPr>
            <w:r>
              <w:rPr>
                <w:rFonts w:hint="eastAsia" w:ascii="宋体" w:hAnsi="宋体"/>
                <w:sz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pPr>
              <w:rPr>
                <w:rFonts w:ascii="宋体" w:hAnsi="宋体"/>
                <w:kern w:val="0"/>
                <w:sz w:val="24"/>
              </w:rPr>
            </w:pPr>
            <w:r>
              <w:rPr>
                <w:rFonts w:hint="eastAsia" w:ascii="宋体" w:hAnsi="宋体"/>
                <w:sz w:val="24"/>
              </w:rPr>
              <w:t>操作程序是否规范，采购行为、过程、结果是否公开、公平、公正，采购组织管理是否规范严谨（2分）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pPr>
              <w:rPr>
                <w:rFonts w:ascii="宋体" w:hAnsi="宋体"/>
                <w:kern w:val="0"/>
                <w:sz w:val="24"/>
              </w:rPr>
            </w:pPr>
            <w:r>
              <w:rPr>
                <w:rFonts w:hint="eastAsia" w:ascii="宋体" w:hAnsi="宋体"/>
                <w:sz w:val="24"/>
              </w:rPr>
              <w:t>是否及时组织采购，是否有承诺办事时间并能限时办结（2分）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pPr>
              <w:rPr>
                <w:rFonts w:ascii="宋体" w:hAnsi="宋体"/>
                <w:sz w:val="24"/>
              </w:rPr>
            </w:pPr>
            <w:r>
              <w:rPr>
                <w:rFonts w:hint="eastAsia" w:ascii="宋体" w:hAnsi="宋体"/>
                <w:sz w:val="24"/>
              </w:rPr>
              <w:t>是否能积极</w:t>
            </w:r>
            <w:r>
              <w:rPr>
                <w:rFonts w:hint="eastAsia" w:ascii="宋体" w:hAnsi="宋体"/>
                <w:kern w:val="0"/>
                <w:sz w:val="24"/>
              </w:rPr>
              <w:t>主动</w:t>
            </w:r>
            <w:r>
              <w:rPr>
                <w:rFonts w:hint="eastAsia" w:ascii="宋体" w:hAnsi="宋体"/>
                <w:sz w:val="24"/>
              </w:rPr>
              <w:t>与当事人沟通</w:t>
            </w:r>
            <w:r>
              <w:rPr>
                <w:rFonts w:hint="eastAsia" w:ascii="宋体" w:hAnsi="宋体"/>
                <w:kern w:val="0"/>
                <w:sz w:val="24"/>
              </w:rPr>
              <w:t>对接；对采购政策进行详细解读；</w:t>
            </w:r>
            <w:r>
              <w:rPr>
                <w:rFonts w:hint="eastAsia" w:ascii="宋体" w:hAnsi="宋体"/>
                <w:sz w:val="24"/>
              </w:rPr>
              <w:t>咨询答复是否热情周到、耐心细致（2分）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pPr>
              <w:rPr>
                <w:rFonts w:ascii="宋体" w:hAnsi="宋体"/>
                <w:sz w:val="24"/>
              </w:rPr>
            </w:pPr>
            <w:r>
              <w:rPr>
                <w:rFonts w:hint="eastAsia" w:ascii="宋体" w:hAnsi="宋体"/>
                <w:sz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ign w:val="center"/>
          </w:tcPr>
          <w:p>
            <w:pPr>
              <w:spacing w:line="500" w:lineRule="exact"/>
              <w:jc w:val="center"/>
              <w:rPr>
                <w:sz w:val="24"/>
              </w:rPr>
            </w:pPr>
            <w:r>
              <w:rPr>
                <w:rFonts w:hint="eastAsia" w:ascii="宋体" w:hAnsi="宋体"/>
                <w:sz w:val="24"/>
              </w:rPr>
              <w:t>合计</w:t>
            </w:r>
          </w:p>
        </w:tc>
        <w:tc>
          <w:tcPr>
            <w:tcW w:w="4704" w:type="dxa"/>
            <w:gridSpan w:val="4"/>
            <w:tcBorders>
              <w:top w:val="single" w:color="auto" w:sz="4" w:space="0"/>
              <w:left w:val="nil"/>
              <w:bottom w:val="single" w:color="auto" w:sz="4" w:space="0"/>
              <w:right w:val="single" w:color="auto" w:sz="4" w:space="0"/>
            </w:tcBorders>
            <w:noWrap/>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ascii="宋体" w:hAnsi="宋体"/>
                <w:sz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ascii="宋体" w:hAnsi="宋体"/>
                <w:sz w:val="24"/>
              </w:rPr>
              <w:t>备注</w:t>
            </w:r>
          </w:p>
        </w:tc>
        <w:tc>
          <w:tcPr>
            <w:tcW w:w="7938" w:type="dxa"/>
            <w:gridSpan w:val="7"/>
            <w:tcBorders>
              <w:top w:val="single" w:color="auto" w:sz="4" w:space="0"/>
              <w:left w:val="nil"/>
              <w:bottom w:val="single" w:color="auto" w:sz="4" w:space="0"/>
              <w:right w:val="single" w:color="auto" w:sz="4" w:space="0"/>
            </w:tcBorders>
            <w:noWrap/>
            <w:vAlign w:val="center"/>
          </w:tcPr>
          <w:p>
            <w:pPr>
              <w:jc w:val="center"/>
              <w:rPr>
                <w:sz w:val="24"/>
              </w:rPr>
            </w:pPr>
          </w:p>
        </w:tc>
      </w:tr>
    </w:tbl>
    <w:p>
      <w:pPr>
        <w:spacing w:line="500" w:lineRule="exact"/>
        <w:rPr>
          <w:sz w:val="24"/>
        </w:rPr>
      </w:pPr>
      <w:r>
        <w:rPr>
          <w:rFonts w:hint="eastAsia" w:ascii="宋体" w:hAnsi="宋体"/>
          <w:sz w:val="24"/>
        </w:rPr>
        <w:t>填表人签字盖章：日期</w:t>
      </w:r>
    </w:p>
    <w:p>
      <w:pPr>
        <w:spacing w:before="100" w:beforeAutospacing="1" w:after="120"/>
        <w:ind w:right="-154" w:firstLine="4760" w:firstLineChars="1700"/>
        <w:rPr>
          <w:rFonts w:ascii="宋体" w:hAnsi="宋体"/>
          <w:sz w:val="28"/>
          <w:szCs w:val="28"/>
        </w:rPr>
      </w:pPr>
      <w:r>
        <w:rPr>
          <w:rFonts w:hint="eastAsia" w:ascii="宋体" w:hAnsi="宋体"/>
          <w:sz w:val="28"/>
          <w:szCs w:val="28"/>
        </w:rPr>
        <w:t>注：此表须盖投标单位公章</w:t>
      </w:r>
    </w:p>
    <w:p>
      <w:pPr>
        <w:rPr>
          <w:rFonts w:hint="eastAsia" w:ascii="宋体" w:hAnsi="宋体"/>
          <w:b/>
          <w:sz w:val="24"/>
          <w:lang w:val="en-US" w:eastAsia="zh-CN"/>
        </w:rPr>
      </w:pPr>
      <w:r>
        <w:rPr>
          <w:rFonts w:hint="eastAsia" w:ascii="宋体" w:hAnsi="宋体"/>
          <w:b/>
          <w:sz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宋体"/>
          <w:b/>
          <w:sz w:val="24"/>
        </w:rPr>
      </w:pPr>
      <w:r>
        <w:rPr>
          <w:rFonts w:hint="eastAsia" w:ascii="宋体" w:hAnsi="宋体"/>
          <w:b/>
          <w:sz w:val="24"/>
          <w:lang w:val="en-US" w:eastAsia="zh-CN"/>
        </w:rPr>
        <w:t>3</w:t>
      </w:r>
      <w:r>
        <w:rPr>
          <w:rFonts w:ascii="宋体" w:hAnsi="宋体"/>
          <w:b/>
          <w:sz w:val="24"/>
        </w:rPr>
        <w:t>.</w:t>
      </w:r>
      <w:r>
        <w:rPr>
          <w:rFonts w:hint="eastAsia" w:ascii="宋体" w:hAnsi="宋体"/>
          <w:b/>
          <w:sz w:val="24"/>
        </w:rPr>
        <w:t>报价文件目录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hAnsi="宋体"/>
          <w:sz w:val="24"/>
        </w:rPr>
        <w:t>（</w:t>
      </w:r>
      <w:r>
        <w:rPr>
          <w:rFonts w:ascii="宋体" w:hAnsi="宋体"/>
          <w:sz w:val="24"/>
        </w:rPr>
        <w:t>1</w:t>
      </w:r>
      <w:r>
        <w:rPr>
          <w:rFonts w:hint="eastAsia" w:ascii="宋体" w:hAnsi="宋体"/>
          <w:sz w:val="24"/>
        </w:rPr>
        <w:t>）投标函（格式见附件</w:t>
      </w:r>
      <w:r>
        <w:rPr>
          <w:rFonts w:hint="eastAsia" w:ascii="宋体" w:hAnsi="宋体"/>
          <w:sz w:val="24"/>
          <w:lang w:val="en-US" w:eastAsia="zh-CN"/>
        </w:rPr>
        <w:t>3</w:t>
      </w:r>
      <w:r>
        <w:rPr>
          <w:rFonts w:ascii="宋体" w:hAnsi="宋体"/>
          <w:sz w:val="24"/>
        </w:rPr>
        <w:t>.1</w:t>
      </w:r>
      <w:r>
        <w:rPr>
          <w:rFonts w:hint="eastAsia" w:ascii="宋体" w:hAnsi="宋体"/>
          <w:sz w:val="24"/>
        </w:rPr>
        <w:t>）；</w:t>
      </w:r>
    </w:p>
    <w:p>
      <w:pPr>
        <w:pStyle w:val="27"/>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Ansi="宋体"/>
        </w:rPr>
      </w:pPr>
      <w:r>
        <w:rPr>
          <w:rFonts w:hint="eastAsia" w:hAnsi="宋体"/>
        </w:rPr>
        <w:t>（</w:t>
      </w:r>
      <w:r>
        <w:rPr>
          <w:rFonts w:hAnsi="宋体"/>
        </w:rPr>
        <w:t>2</w:t>
      </w:r>
      <w:r>
        <w:rPr>
          <w:rFonts w:hint="eastAsia" w:hAnsi="宋体"/>
        </w:rPr>
        <w:t>）开标一览表（格式见附件</w:t>
      </w:r>
      <w:r>
        <w:rPr>
          <w:rFonts w:hint="eastAsia" w:hAnsi="宋体"/>
          <w:lang w:val="en-US" w:eastAsia="zh-CN"/>
        </w:rPr>
        <w:t>3</w:t>
      </w:r>
      <w:r>
        <w:rPr>
          <w:rFonts w:hAnsi="宋体"/>
        </w:rPr>
        <w:t>.2</w:t>
      </w:r>
      <w:r>
        <w:rPr>
          <w:rFonts w:hint="eastAsia" w:hAnsi="宋体"/>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hAnsi="宋体"/>
          <w:sz w:val="24"/>
        </w:rPr>
        <w:t>（</w:t>
      </w:r>
      <w:r>
        <w:rPr>
          <w:rFonts w:ascii="宋体" w:hAnsi="宋体"/>
          <w:sz w:val="24"/>
        </w:rPr>
        <w:t>3</w:t>
      </w:r>
      <w:r>
        <w:rPr>
          <w:rFonts w:hint="eastAsia" w:ascii="宋体" w:hAnsi="宋体"/>
          <w:sz w:val="24"/>
        </w:rPr>
        <w:t>）投标人针对报价需要说明的其他文件和说明。</w:t>
      </w: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rPr>
          <w:rFonts w:ascii="宋体"/>
          <w:sz w:val="24"/>
        </w:rPr>
      </w:pPr>
    </w:p>
    <w:p>
      <w:pPr>
        <w:snapToGrid w:val="0"/>
        <w:spacing w:before="50" w:afterLines="50" w:line="360" w:lineRule="auto"/>
        <w:ind w:firstLine="480" w:firstLineChars="200"/>
        <w:jc w:val="left"/>
        <w:outlineLvl w:val="2"/>
        <w:rPr>
          <w:rFonts w:ascii="宋体"/>
          <w:b/>
          <w:sz w:val="24"/>
        </w:rPr>
      </w:pPr>
    </w:p>
    <w:p>
      <w:pPr>
        <w:snapToGrid w:val="0"/>
        <w:spacing w:before="50" w:afterLines="50" w:line="360" w:lineRule="auto"/>
        <w:ind w:firstLine="480" w:firstLineChars="200"/>
        <w:jc w:val="left"/>
        <w:outlineLvl w:val="2"/>
        <w:rPr>
          <w:rFonts w:ascii="宋体"/>
          <w:b/>
          <w:sz w:val="24"/>
        </w:rPr>
      </w:pPr>
    </w:p>
    <w:p>
      <w:pPr>
        <w:snapToGrid w:val="0"/>
        <w:spacing w:before="50" w:afterLines="50" w:line="360" w:lineRule="auto"/>
        <w:ind w:firstLine="480" w:firstLineChars="200"/>
        <w:jc w:val="left"/>
        <w:outlineLvl w:val="2"/>
        <w:rPr>
          <w:rFonts w:ascii="宋体"/>
          <w:b/>
          <w:sz w:val="24"/>
        </w:rPr>
      </w:pPr>
    </w:p>
    <w:p>
      <w:pPr>
        <w:snapToGrid w:val="0"/>
        <w:spacing w:before="50" w:afterLines="50" w:line="360" w:lineRule="auto"/>
        <w:jc w:val="left"/>
        <w:outlineLvl w:val="2"/>
        <w:rPr>
          <w:rFonts w:hint="eastAsia" w:ascii="宋体" w:hAnsi="宋体"/>
          <w:b/>
          <w:sz w:val="24"/>
          <w:lang w:val="en-US" w:eastAsia="zh-CN"/>
        </w:rPr>
      </w:pPr>
    </w:p>
    <w:p>
      <w:pPr>
        <w:snapToGrid w:val="0"/>
        <w:spacing w:before="50" w:afterLines="50" w:line="360" w:lineRule="auto"/>
        <w:jc w:val="left"/>
        <w:outlineLvl w:val="2"/>
        <w:rPr>
          <w:rFonts w:hint="eastAsia" w:ascii="宋体" w:hAnsi="宋体"/>
          <w:b/>
          <w:sz w:val="24"/>
          <w:lang w:val="en-US" w:eastAsia="zh-CN"/>
        </w:rPr>
      </w:pPr>
    </w:p>
    <w:p>
      <w:pPr>
        <w:snapToGrid w:val="0"/>
        <w:spacing w:before="50" w:afterLines="50" w:line="360" w:lineRule="auto"/>
        <w:jc w:val="left"/>
        <w:outlineLvl w:val="2"/>
        <w:rPr>
          <w:rFonts w:ascii="宋体"/>
          <w:b/>
          <w:sz w:val="24"/>
        </w:rPr>
      </w:pPr>
      <w:r>
        <w:rPr>
          <w:rFonts w:hint="eastAsia" w:ascii="宋体" w:hAnsi="宋体"/>
          <w:b/>
          <w:sz w:val="24"/>
          <w:lang w:val="en-US" w:eastAsia="zh-CN"/>
        </w:rPr>
        <w:t>3</w:t>
      </w:r>
      <w:r>
        <w:rPr>
          <w:rFonts w:ascii="宋体" w:hAnsi="宋体"/>
          <w:b/>
          <w:sz w:val="24"/>
        </w:rPr>
        <w:t>.1</w:t>
      </w:r>
      <w:r>
        <w:rPr>
          <w:rFonts w:hint="eastAsia" w:ascii="宋体" w:hAnsi="宋体"/>
          <w:b/>
          <w:sz w:val="24"/>
        </w:rPr>
        <w:t>投标函格式：</w:t>
      </w:r>
    </w:p>
    <w:p>
      <w:pPr>
        <w:snapToGrid w:val="0"/>
        <w:spacing w:before="50" w:afterLines="50" w:line="360" w:lineRule="auto"/>
        <w:jc w:val="center"/>
        <w:outlineLvl w:val="2"/>
        <w:rPr>
          <w:rFonts w:ascii="宋体"/>
          <w:b/>
          <w:sz w:val="32"/>
          <w:szCs w:val="32"/>
        </w:rPr>
      </w:pPr>
      <w:r>
        <w:rPr>
          <w:rFonts w:hint="eastAsia" w:ascii="宋体" w:hAnsi="宋体"/>
          <w:b/>
          <w:sz w:val="32"/>
          <w:szCs w:val="32"/>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致：</w:t>
      </w:r>
      <w:r>
        <w:rPr>
          <w:rFonts w:hint="eastAsia" w:hAnsi="宋体"/>
          <w:sz w:val="24"/>
          <w:u w:val="single"/>
        </w:rPr>
        <w:t>金华市金诚招投标代理有限公司</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b/>
          <w:sz w:val="24"/>
        </w:rPr>
      </w:pPr>
      <w:r>
        <w:rPr>
          <w:rFonts w:hint="eastAsia" w:ascii="宋体" w:hAnsi="宋体"/>
          <w:sz w:val="24"/>
        </w:rPr>
        <w:t>根据贵方为</w:t>
      </w:r>
      <w:r>
        <w:rPr>
          <w:rFonts w:hint="eastAsia" w:ascii="宋体"/>
          <w:b/>
          <w:sz w:val="24"/>
          <w:u w:val="single"/>
          <w:lang w:eastAsia="zh-CN"/>
        </w:rPr>
        <w:t>2025年东阳市图书馆新增图书采购项目</w:t>
      </w:r>
      <w:r>
        <w:rPr>
          <w:rFonts w:hint="eastAsia" w:ascii="宋体" w:hAnsi="宋体"/>
          <w:sz w:val="24"/>
        </w:rPr>
        <w:t>的招标公告（项目编号：</w:t>
      </w:r>
      <w:r>
        <w:rPr>
          <w:rFonts w:hint="eastAsia" w:ascii="宋体" w:hAnsi="宋体"/>
          <w:bCs/>
          <w:sz w:val="24"/>
          <w:u w:val="single"/>
          <w:lang w:val="en-US" w:eastAsia="zh-CN"/>
        </w:rPr>
        <w:t>JCZFCG2025-Z19-A364</w:t>
      </w:r>
      <w:r>
        <w:rPr>
          <w:rFonts w:hint="eastAsia" w:ascii="宋体" w:hAnsi="宋体"/>
          <w:bCs/>
          <w:sz w:val="24"/>
          <w:u w:val="single"/>
        </w:rPr>
        <w:t>）</w:t>
      </w:r>
      <w:r>
        <w:rPr>
          <w:rFonts w:hint="eastAsia" w:ascii="宋体" w:hAnsi="宋体"/>
          <w:sz w:val="24"/>
        </w:rPr>
        <w:t>，签字代表</w:t>
      </w:r>
      <w:r>
        <w:rPr>
          <w:rFonts w:hint="eastAsia" w:ascii="宋体" w:hAnsi="宋体"/>
          <w:sz w:val="24"/>
          <w:u w:val="single"/>
          <w:lang w:val="en-US" w:eastAsia="zh-CN"/>
        </w:rPr>
        <w:t xml:space="preserve">   </w:t>
      </w:r>
      <w:r>
        <w:rPr>
          <w:rFonts w:hint="eastAsia" w:ascii="宋体" w:hAnsi="宋体"/>
          <w:sz w:val="24"/>
          <w:u w:val="single"/>
        </w:rPr>
        <w:t>（全名</w:t>
      </w:r>
      <w:r>
        <w:rPr>
          <w:rFonts w:hint="eastAsia" w:ascii="宋体" w:hAnsi="宋体"/>
          <w:sz w:val="24"/>
        </w:rPr>
        <w:t>）经正式授权并代表投标人</w:t>
      </w:r>
      <w:r>
        <w:rPr>
          <w:rFonts w:ascii="宋体" w:hAnsi="宋体"/>
          <w:sz w:val="24"/>
        </w:rPr>
        <w:t>_</w:t>
      </w:r>
      <w:r>
        <w:rPr>
          <w:rFonts w:ascii="宋体" w:hAnsi="宋体"/>
          <w:sz w:val="24"/>
          <w:u w:val="none"/>
        </w:rPr>
        <w:t>______</w:t>
      </w:r>
      <w:r>
        <w:rPr>
          <w:rFonts w:hint="eastAsia" w:ascii="宋体" w:hAnsi="宋体"/>
          <w:sz w:val="24"/>
          <w:u w:val="single"/>
        </w:rPr>
        <w:t>（投标人名称）</w:t>
      </w:r>
      <w:r>
        <w:rPr>
          <w:rFonts w:hint="eastAsia" w:ascii="宋体" w:hAnsi="宋体"/>
          <w:sz w:val="24"/>
        </w:rPr>
        <w:t>提交资信商务</w:t>
      </w:r>
      <w:r>
        <w:rPr>
          <w:rFonts w:hint="eastAsia" w:ascii="宋体" w:hAnsi="宋体"/>
          <w:sz w:val="24"/>
          <w:lang w:eastAsia="zh-CN"/>
        </w:rPr>
        <w:t>及</w:t>
      </w:r>
      <w:r>
        <w:rPr>
          <w:rFonts w:hint="eastAsia" w:ascii="宋体" w:hAnsi="宋体"/>
          <w:sz w:val="24"/>
        </w:rPr>
        <w:t>技术文件、报价文件正本各一份、副本四份。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hAnsi="宋体"/>
          <w:sz w:val="24"/>
        </w:rPr>
        <w:t>据此函，签字代表宣布同意如下：</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hAnsi="宋体"/>
          <w:sz w:val="24"/>
        </w:rPr>
        <w:t>投标人已详细审查全部“招标文件”，并在投标之前已经与贵方进行了充分的沟通，完全理解并接受招标文件的各项规定和要求，对招标文件的合理性、合法性不再有异议。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b/>
          <w:sz w:val="24"/>
        </w:rPr>
      </w:pPr>
      <w:r>
        <w:rPr>
          <w:rFonts w:ascii="宋体" w:hAnsi="宋体"/>
          <w:sz w:val="24"/>
        </w:rPr>
        <w:t>2.</w:t>
      </w:r>
      <w:r>
        <w:rPr>
          <w:rFonts w:hint="eastAsia" w:ascii="宋体" w:hAnsi="宋体"/>
          <w:sz w:val="24"/>
        </w:rPr>
        <w:t>现经我方认真分析研究，同意接受招标文件的全部要约条件，并按此确定本项目投标的各项承诺内容，以本投标书向贵方发包的</w:t>
      </w:r>
      <w:r>
        <w:rPr>
          <w:rFonts w:hint="eastAsia" w:ascii="宋体"/>
          <w:b/>
          <w:sz w:val="24"/>
          <w:u w:val="single"/>
          <w:lang w:eastAsia="zh-CN"/>
        </w:rPr>
        <w:t>2025年东阳市图书馆新增图书采购项目</w:t>
      </w:r>
      <w:r>
        <w:rPr>
          <w:rFonts w:hint="eastAsia" w:ascii="宋体" w:hAnsi="宋体" w:cs="宋体"/>
          <w:color w:val="000000"/>
          <w:sz w:val="24"/>
        </w:rPr>
        <w:t>标项1/2</w:t>
      </w:r>
      <w:r>
        <w:rPr>
          <w:rFonts w:hint="eastAsia" w:ascii="宋体" w:hAnsi="宋体" w:cs="宋体"/>
          <w:color w:val="000000"/>
          <w:sz w:val="24"/>
          <w:lang w:val="en-US" w:eastAsia="zh-CN"/>
        </w:rPr>
        <w:t>/3</w:t>
      </w:r>
      <w:r>
        <w:rPr>
          <w:rFonts w:hint="eastAsia" w:ascii="宋体" w:hAnsi="宋体"/>
          <w:sz w:val="24"/>
        </w:rPr>
        <w:t>全部内容进行投标。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hAnsi="宋体"/>
          <w:sz w:val="24"/>
        </w:rPr>
        <w:t>3.</w:t>
      </w:r>
      <w:r>
        <w:rPr>
          <w:rFonts w:hint="eastAsia" w:ascii="宋体" w:hAnsi="宋体"/>
          <w:sz w:val="24"/>
        </w:rPr>
        <w:t>如中标，本投标文件至本项目合同履行完毕止均保持有效，本投标人将按“招标文件”及政府采购法律、法规的规定履行合同责任和义务。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hAnsi="宋体"/>
          <w:sz w:val="24"/>
        </w:rPr>
        <w:t>4.</w:t>
      </w:r>
      <w:r>
        <w:rPr>
          <w:rFonts w:hint="eastAsia" w:ascii="宋体" w:hAnsi="宋体"/>
          <w:sz w:val="24"/>
        </w:rPr>
        <w:t>投标人同意按照贵方要求提供与投标有关的一切数据或资料。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hAnsi="宋体"/>
          <w:sz w:val="24"/>
        </w:rPr>
        <w:t>5.</w:t>
      </w:r>
      <w:r>
        <w:rPr>
          <w:rFonts w:hint="eastAsia" w:ascii="宋体" w:hAnsi="宋体"/>
          <w:sz w:val="24"/>
        </w:rPr>
        <w:t>与本投标有关的一切正式往来信函请寄：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地址：</w:t>
      </w:r>
      <w:r>
        <w:rPr>
          <w:rFonts w:ascii="宋体" w:hAnsi="宋体"/>
          <w:sz w:val="24"/>
        </w:rPr>
        <w:t>______________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传真：</w:t>
      </w:r>
      <w:r>
        <w:rPr>
          <w:rFonts w:ascii="宋体" w:hAnsi="宋体"/>
          <w:sz w:val="24"/>
        </w:rPr>
        <w:t>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授权代表签字</w:t>
      </w:r>
      <w:r>
        <w:rPr>
          <w:rFonts w:ascii="宋体" w:hAnsi="宋体"/>
          <w:sz w:val="24"/>
        </w:rPr>
        <w:t>:___________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宋体"/>
          <w:b/>
          <w:sz w:val="24"/>
        </w:rPr>
      </w:pPr>
      <w:r>
        <w:rPr>
          <w:b/>
          <w:sz w:val="24"/>
        </w:rPr>
        <w:br w:type="page"/>
      </w:r>
      <w:bookmarkStart w:id="10" w:name="_Toc449173147"/>
      <w:r>
        <w:rPr>
          <w:rFonts w:hint="eastAsia" w:ascii="宋体" w:hAnsi="宋体"/>
          <w:b/>
          <w:sz w:val="24"/>
          <w:lang w:val="en-US" w:eastAsia="zh-CN"/>
        </w:rPr>
        <w:t>3</w:t>
      </w:r>
      <w:r>
        <w:rPr>
          <w:rFonts w:ascii="宋体" w:hAnsi="宋体"/>
          <w:b/>
          <w:sz w:val="24"/>
        </w:rPr>
        <w:t xml:space="preserve">.2 </w:t>
      </w:r>
      <w:r>
        <w:rPr>
          <w:rFonts w:hint="eastAsia" w:ascii="宋体" w:hAnsi="宋体"/>
          <w:b/>
          <w:sz w:val="24"/>
        </w:rPr>
        <w:t>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eastAsia="宋体"/>
          <w:sz w:val="24"/>
          <w:u w:val="single"/>
          <w:lang w:val="en-US" w:eastAsia="zh-CN"/>
        </w:rPr>
      </w:pPr>
      <w:r>
        <w:rPr>
          <w:rFonts w:hint="eastAsia" w:ascii="宋体"/>
          <w:sz w:val="24"/>
        </w:rPr>
        <w:t>招标编号：</w:t>
      </w:r>
      <w:r>
        <w:rPr>
          <w:rFonts w:hint="eastAsia" w:ascii="宋体" w:hAnsi="宋体"/>
          <w:bCs/>
          <w:sz w:val="24"/>
          <w:u w:val="single"/>
          <w:lang w:val="en-US" w:eastAsia="zh-CN"/>
        </w:rPr>
        <w:t>JCZFCG2025-Z19-A364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b w:val="0"/>
          <w:bCs w:val="0"/>
          <w:sz w:val="24"/>
          <w:lang w:eastAsia="zh-CN"/>
        </w:rPr>
      </w:pPr>
      <w:r>
        <w:rPr>
          <w:rFonts w:hint="eastAsia" w:ascii="宋体"/>
          <w:b w:val="0"/>
          <w:bCs w:val="0"/>
          <w:sz w:val="24"/>
        </w:rPr>
        <w:t>项目名称：</w:t>
      </w:r>
      <w:r>
        <w:rPr>
          <w:rFonts w:hint="eastAsia" w:ascii="宋体"/>
          <w:b w:val="0"/>
          <w:bCs w:val="0"/>
          <w:sz w:val="24"/>
          <w:u w:val="single"/>
          <w:lang w:eastAsia="zh-CN"/>
        </w:rPr>
        <w:t>2025年东阳市图书馆新增图书采购项目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sz w:val="24"/>
          <w:lang w:val="en-US" w:eastAsia="zh-CN"/>
        </w:rPr>
      </w:pPr>
      <w:r>
        <w:rPr>
          <w:rFonts w:hint="eastAsia" w:ascii="宋体"/>
          <w:b w:val="0"/>
          <w:bCs w:val="0"/>
          <w:sz w:val="24"/>
          <w:lang w:val="en-US" w:eastAsia="zh-CN"/>
        </w:rPr>
        <w:t xml:space="preserve">标项1/2/3           </w:t>
      </w:r>
      <w:r>
        <w:rPr>
          <w:rFonts w:hint="eastAsia" w:ascii="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sz w:val="24"/>
        </w:rPr>
      </w:pPr>
      <w:r>
        <w:rPr>
          <w:rFonts w:hint="eastAsia" w:ascii="宋体"/>
          <w:sz w:val="24"/>
          <w:lang w:val="en-US" w:eastAsia="zh-CN"/>
        </w:rPr>
        <w:t xml:space="preserve">                                                             </w:t>
      </w:r>
      <w:r>
        <w:rPr>
          <w:rFonts w:hint="eastAsia" w:ascii="宋体"/>
          <w:sz w:val="24"/>
        </w:rPr>
        <w:t>单位：元</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1417" w:type="pct"/>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3582"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olor w:val="auto"/>
                <w:sz w:val="24"/>
                <w:szCs w:val="24"/>
                <w:highlight w:val="none"/>
                <w:lang w:eastAsia="zh-CN"/>
              </w:rPr>
            </w:pPr>
            <w:r>
              <w:rPr>
                <w:rFonts w:hint="eastAsia" w:ascii="宋体" w:hAnsi="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年东阳市图书馆新增图书采购项目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7"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highlight w:val="none"/>
              </w:rPr>
              <w:t>投 标 人</w:t>
            </w:r>
          </w:p>
        </w:tc>
        <w:tc>
          <w:tcPr>
            <w:tcW w:w="3582" w:type="pct"/>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417"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b/>
                <w:bCs/>
                <w:color w:val="auto"/>
                <w:sz w:val="24"/>
                <w:szCs w:val="24"/>
                <w:highlight w:val="none"/>
              </w:rPr>
            </w:pPr>
            <w:r>
              <w:rPr>
                <w:rFonts w:hint="eastAsia" w:ascii="宋体" w:hAnsi="宋体" w:cs="宋体"/>
                <w:b/>
                <w:bCs/>
                <w:color w:val="auto"/>
                <w:sz w:val="24"/>
                <w:highlight w:val="none"/>
              </w:rPr>
              <w:t>投标报价</w:t>
            </w:r>
          </w:p>
        </w:tc>
        <w:tc>
          <w:tcPr>
            <w:tcW w:w="3582" w:type="pct"/>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color w:val="auto"/>
                <w:sz w:val="24"/>
                <w:szCs w:val="24"/>
                <w:highlight w:val="none"/>
                <w:lang w:val="en-US"/>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折扣</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lang w:val="en-US" w:eastAsia="zh-CN"/>
              </w:rPr>
              <w:t xml:space="preserve"> %，大写百分之</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注:1、报价一经涂改，应在涂改处加盖单位公章或者由法定代表人或授权委托人签字或盖章，否则其投标作无效标处理。</w:t>
      </w:r>
    </w:p>
    <w:p>
      <w:pPr>
        <w:pStyle w:val="4"/>
        <w:spacing w:line="380" w:lineRule="exact"/>
        <w:ind w:firstLineChars="200"/>
        <w:rPr>
          <w:rFonts w:hint="eastAsia" w:ascii="宋体" w:hAnsi="宋体" w:cs="宋体"/>
          <w:color w:val="000000"/>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000000"/>
          <w:kern w:val="0"/>
          <w:sz w:val="24"/>
          <w:szCs w:val="24"/>
          <w:highlight w:val="none"/>
        </w:rPr>
        <w:t>货物实际购买价含货物的一切费用及后期处理和加工的费用。</w:t>
      </w:r>
    </w:p>
    <w:p>
      <w:pPr>
        <w:pStyle w:val="4"/>
        <w:spacing w:line="380" w:lineRule="exact"/>
        <w:ind w:firstLineChars="200"/>
        <w:rPr>
          <w:rFonts w:hint="eastAsia" w:ascii="宋体" w:hAnsi="宋体" w:eastAsia="宋体" w:cs="宋体"/>
          <w:color w:val="auto"/>
          <w:sz w:val="24"/>
          <w:szCs w:val="24"/>
          <w:highlight w:val="none"/>
        </w:rPr>
      </w:pPr>
      <w:r>
        <w:rPr>
          <w:rFonts w:hint="eastAsia" w:ascii="宋体" w:hAnsi="宋体" w:cs="宋体"/>
          <w:color w:val="000000"/>
          <w:kern w:val="0"/>
          <w:sz w:val="24"/>
          <w:szCs w:val="24"/>
          <w:highlight w:val="none"/>
        </w:rPr>
        <w:t>3、投标报价是履行合同的最终价格，应包括完成本招标文件中提出的所有采购内容并完成合同约定的相应服务应支付的各项金额总和，包括利润、税金等相关服务的所有费用。各投标人可根据项目实际情况，结合自身技术与管理水平、经济实力、市场风险等因素自行报价。凡投标人漏项、漏报均视为已包含在投标报价中，采购方不再另行支付其它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本项目采用统一折扣报价，统一折扣最高报价（最高限价）为</w:t>
      </w:r>
      <w:r>
        <w:rPr>
          <w:rFonts w:hint="eastAsia" w:ascii="宋体" w:hAnsi="宋体" w:cs="宋体"/>
          <w:b/>
          <w:bCs/>
          <w:color w:val="auto"/>
          <w:sz w:val="24"/>
          <w:szCs w:val="24"/>
          <w:highlight w:val="none"/>
          <w:lang w:val="en-US" w:eastAsia="zh-CN"/>
        </w:rPr>
        <w:t>75</w:t>
      </w:r>
      <w:r>
        <w:rPr>
          <w:rFonts w:hint="eastAsia" w:ascii="宋体" w:hAnsi="宋体" w:eastAsia="宋体" w:cs="宋体"/>
          <w:b/>
          <w:bCs/>
          <w:color w:val="auto"/>
          <w:sz w:val="24"/>
          <w:szCs w:val="24"/>
          <w:highlight w:val="none"/>
        </w:rPr>
        <w:t>%(保留二位小数)。</w:t>
      </w:r>
      <w:r>
        <w:rPr>
          <w:rFonts w:hint="eastAsia" w:ascii="宋体" w:hAnsi="宋体" w:eastAsia="宋体" w:cs="宋体"/>
          <w:b/>
          <w:bCs/>
          <w:sz w:val="24"/>
          <w:szCs w:val="24"/>
          <w:highlight w:val="none"/>
          <w:lang w:val="en-US" w:eastAsia="zh-CN"/>
        </w:rPr>
        <w:t>报价折扣高于最高限价按无效标处理。</w:t>
      </w:r>
    </w:p>
    <w:p>
      <w:pPr>
        <w:snapToGrid w:val="0"/>
        <w:spacing w:before="50" w:after="50"/>
        <w:ind w:left="-3" w:leftChars="-72" w:right="-816" w:rightChars="-389" w:hanging="148" w:hangingChars="62"/>
        <w:rPr>
          <w:rFonts w:ascii="宋体"/>
          <w:color w:val="auto"/>
          <w:sz w:val="24"/>
          <w:highlight w:val="none"/>
          <w:u w:val="single"/>
        </w:rPr>
      </w:pPr>
    </w:p>
    <w:p>
      <w:pPr>
        <w:snapToGrid w:val="0"/>
        <w:spacing w:before="50" w:after="50" w:line="360" w:lineRule="auto"/>
        <w:ind w:right="-816" w:rightChars="-389"/>
        <w:rPr>
          <w:rFonts w:hint="eastAsia" w:ascii="宋体"/>
          <w:color w:val="auto"/>
          <w:sz w:val="24"/>
          <w:highlight w:val="none"/>
        </w:rPr>
      </w:pPr>
      <w:r>
        <w:rPr>
          <w:rFonts w:hint="eastAsia" w:ascii="宋体"/>
          <w:color w:val="auto"/>
          <w:sz w:val="24"/>
          <w:highlight w:val="none"/>
        </w:rPr>
        <w:t>法定代表人或委托代理人（签字或盖章）：</w:t>
      </w:r>
    </w:p>
    <w:p>
      <w:pPr>
        <w:snapToGrid w:val="0"/>
        <w:spacing w:before="50" w:after="50" w:line="360" w:lineRule="auto"/>
        <w:jc w:val="left"/>
        <w:rPr>
          <w:rFonts w:hint="eastAsia" w:ascii="宋体" w:eastAsia="宋体"/>
          <w:color w:val="auto"/>
          <w:sz w:val="24"/>
          <w:highlight w:val="none"/>
          <w:lang w:eastAsia="zh-CN"/>
        </w:rPr>
      </w:pPr>
      <w:r>
        <w:rPr>
          <w:rFonts w:hint="eastAsia" w:ascii="宋体"/>
          <w:color w:val="auto"/>
          <w:sz w:val="24"/>
          <w:highlight w:val="none"/>
        </w:rPr>
        <w:t>投标人名称（盖章）</w:t>
      </w:r>
      <w:r>
        <w:rPr>
          <w:rFonts w:hint="eastAsia" w:ascii="宋体"/>
          <w:color w:val="auto"/>
          <w:sz w:val="24"/>
          <w:highlight w:val="none"/>
          <w:lang w:eastAsia="zh-CN"/>
        </w:rPr>
        <w:t>：</w:t>
      </w:r>
    </w:p>
    <w:p>
      <w:pPr>
        <w:snapToGrid w:val="0"/>
        <w:spacing w:before="50" w:after="50" w:line="360" w:lineRule="auto"/>
        <w:ind w:right="-816" w:rightChars="-389"/>
        <w:rPr>
          <w:rFonts w:hint="eastAsia" w:ascii="宋体"/>
          <w:color w:val="auto"/>
          <w:sz w:val="24"/>
          <w:highlight w:val="none"/>
        </w:rPr>
      </w:pPr>
      <w:r>
        <w:rPr>
          <w:rFonts w:hint="eastAsia" w:ascii="宋体"/>
          <w:color w:val="auto"/>
          <w:sz w:val="24"/>
          <w:highlight w:val="none"/>
        </w:rPr>
        <w:t>日期：年月日</w:t>
      </w:r>
    </w:p>
    <w:bookmarkEnd w:id="10"/>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ascii="宋体"/>
          <w:sz w:val="24"/>
        </w:rPr>
      </w:pPr>
    </w:p>
    <w:sectPr>
      <w:headerReference r:id="rId13" w:type="default"/>
      <w:footerReference r:id="rId14" w:type="default"/>
      <w:footerReference r:id="rId15" w:type="even"/>
      <w:pgSz w:w="11906" w:h="16838"/>
      <w:pgMar w:top="1191" w:right="1304" w:bottom="1191" w:left="1361" w:header="283"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t>- 2 -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9"/>
      </w:rPr>
    </w:pPr>
    <w:r>
      <w:rPr>
        <w:rStyle w:val="49"/>
      </w:rPr>
      <w:fldChar w:fldCharType="begin"/>
    </w:r>
    <w:r>
      <w:rPr>
        <w:rStyle w:val="49"/>
      </w:rPr>
      <w:instrText xml:space="preserve">PAGE  </w:instrText>
    </w:r>
    <w:r>
      <w:rPr>
        <w:rStyle w:val="49"/>
      </w:rP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t>- 1 -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t>- 3 -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49"/>
      </w:rPr>
    </w:pPr>
    <w:r>
      <w:rPr>
        <w:rStyle w:val="49"/>
      </w:rPr>
      <w:fldChar w:fldCharType="begin"/>
    </w:r>
    <w:r>
      <w:rPr>
        <w:rStyle w:val="49"/>
      </w:rPr>
      <w:instrText xml:space="preserve">PAGE  </w:instrText>
    </w:r>
    <w:r>
      <w:rPr>
        <w:rStyle w:val="49"/>
      </w:rPr>
      <w:fldChar w:fldCharType="separate"/>
    </w:r>
    <w:r>
      <w:rPr>
        <w:rStyle w:val="49"/>
        <w:rFonts w:hint="eastAsia"/>
        <w:lang w:eastAsia="zh-CN"/>
      </w:rPr>
      <w:t>33</w:t>
    </w:r>
    <w:r>
      <w:rPr>
        <w:rStyle w:val="49"/>
      </w:rPr>
      <w:fldChar w:fldCharType="end"/>
    </w:r>
  </w:p>
  <w:p>
    <w:pPr>
      <w:pStyle w:val="3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49"/>
        <w:rFonts w:ascii="宋体" w:hAnsi="宋体" w:eastAsia="宋体"/>
        <w:sz w:val="28"/>
        <w:szCs w:val="28"/>
      </w:rPr>
    </w:pPr>
  </w:p>
  <w:p>
    <w:pPr>
      <w:pStyle w:val="32"/>
      <w:ind w:right="720" w:firstLine="180" w:firstLineChars="100"/>
      <w:jc w:val="both"/>
    </w:pPr>
    <w:r>
      <w:t xml:space="preserve">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t>- 42 -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spacing w:after="120"/>
    </w:pPr>
  </w:p>
  <w:p>
    <w:pPr>
      <w:pStyle w:val="33"/>
      <w:pBdr>
        <w:bottom w:val="none" w:color="auto" w:sz="0" w:space="1"/>
      </w:pBdr>
      <w:tabs>
        <w:tab w:val="left" w:pos="3075"/>
        <w:tab w:val="left" w:pos="6780"/>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EDB71"/>
    <w:multiLevelType w:val="singleLevel"/>
    <w:tmpl w:val="AB1EDB71"/>
    <w:lvl w:ilvl="0" w:tentative="0">
      <w:start w:val="1"/>
      <w:numFmt w:val="decimal"/>
      <w:suff w:val="nothing"/>
      <w:lvlText w:val="（%1）"/>
      <w:lvlJc w:val="left"/>
    </w:lvl>
  </w:abstractNum>
  <w:abstractNum w:abstractNumId="1">
    <w:nsid w:val="32F1B4E1"/>
    <w:multiLevelType w:val="singleLevel"/>
    <w:tmpl w:val="32F1B4E1"/>
    <w:lvl w:ilvl="0" w:tentative="0">
      <w:start w:val="1"/>
      <w:numFmt w:val="decimal"/>
      <w:suff w:val="space"/>
      <w:lvlText w:val="%1."/>
      <w:lvlJc w:val="left"/>
    </w:lvl>
  </w:abstractNum>
  <w:abstractNum w:abstractNumId="2">
    <w:nsid w:val="3B9AEF67"/>
    <w:multiLevelType w:val="singleLevel"/>
    <w:tmpl w:val="3B9AEF67"/>
    <w:lvl w:ilvl="0" w:tentative="0">
      <w:start w:val="2"/>
      <w:numFmt w:val="decimal"/>
      <w:suff w:val="nothing"/>
      <w:lvlText w:val="%1、"/>
      <w:lvlJc w:val="left"/>
    </w:lvl>
  </w:abstractNum>
  <w:abstractNum w:abstractNumId="3">
    <w:nsid w:val="3DA8213C"/>
    <w:multiLevelType w:val="singleLevel"/>
    <w:tmpl w:val="3DA8213C"/>
    <w:lvl w:ilvl="0" w:tentative="0">
      <w:start w:val="1"/>
      <w:numFmt w:val="decimal"/>
      <w:lvlText w:val="%1."/>
      <w:lvlJc w:val="left"/>
      <w:pPr>
        <w:tabs>
          <w:tab w:val="left" w:pos="312"/>
        </w:tabs>
      </w:pPr>
      <w:rPr>
        <w:rFonts w:cs="Times New Roman"/>
      </w:rPr>
    </w:lvl>
  </w:abstractNum>
  <w:abstractNum w:abstractNumId="4">
    <w:nsid w:val="762A79E0"/>
    <w:multiLevelType w:val="multilevel"/>
    <w:tmpl w:val="762A79E0"/>
    <w:lvl w:ilvl="0" w:tentative="0">
      <w:start w:val="1"/>
      <w:numFmt w:val="chineseCountingThousand"/>
      <w:pStyle w:val="264"/>
      <w:suff w:val="space"/>
      <w:lvlText w:val="第%1章"/>
      <w:lvlJc w:val="left"/>
      <w:rPr>
        <w:rFonts w:hint="eastAsia" w:cs="Times New Roman"/>
      </w:rPr>
    </w:lvl>
    <w:lvl w:ilvl="1" w:tentative="0">
      <w:start w:val="1"/>
      <w:numFmt w:val="decimal"/>
      <w:pStyle w:val="266"/>
      <w:isLgl/>
      <w:suff w:val="space"/>
      <w:lvlText w:val="%1.%2."/>
      <w:lvlJc w:val="left"/>
      <w:rPr>
        <w:rFonts w:hint="eastAsia" w:cs="Times New Roman"/>
      </w:rPr>
    </w:lvl>
    <w:lvl w:ilvl="2" w:tentative="0">
      <w:start w:val="1"/>
      <w:numFmt w:val="decimal"/>
      <w:pStyle w:val="268"/>
      <w:isLgl/>
      <w:lvlText w:val="%1.%2.%3."/>
      <w:lvlJc w:val="left"/>
      <w:rPr>
        <w:rFonts w:hint="eastAsia" w:ascii="Times New Roman" w:hAnsi="Times New Roman" w:cs="Times New Roman"/>
        <w:bCs w:val="0"/>
        <w:i w:val="0"/>
        <w:iCs w:val="0"/>
        <w:caps w:val="0"/>
        <w:smallCaps w:val="0"/>
        <w:strike w:val="0"/>
        <w:dstrike w:val="0"/>
        <w:vanish w:val="0"/>
        <w:color w:val="000000"/>
        <w:spacing w:val="0"/>
        <w:position w:val="0"/>
        <w:u w:val="none"/>
        <w:vertAlign w:val="baseline"/>
      </w:rPr>
    </w:lvl>
    <w:lvl w:ilvl="3" w:tentative="0">
      <w:start w:val="1"/>
      <w:numFmt w:val="decimal"/>
      <w:pStyle w:val="269"/>
      <w:isLgl/>
      <w:lvlText w:val="%1.%2.%3.%4"/>
      <w:lvlJc w:val="left"/>
      <w:rPr>
        <w:rFonts w:hint="eastAsia" w:cs="Times New Roman"/>
      </w:rPr>
    </w:lvl>
    <w:lvl w:ilvl="4" w:tentative="0">
      <w:start w:val="1"/>
      <w:numFmt w:val="decimal"/>
      <w:lvlText w:val="%1.%2.%3.%4.%5"/>
      <w:lvlJc w:val="left"/>
      <w:rPr>
        <w:rFonts w:hint="eastAsia" w:cs="Times New Roman"/>
      </w:rPr>
    </w:lvl>
    <w:lvl w:ilvl="5" w:tentative="0">
      <w:start w:val="1"/>
      <w:numFmt w:val="decimal"/>
      <w:lvlText w:val="%1.%2.%3.%4.%5.%6"/>
      <w:lvlJc w:val="left"/>
      <w:rPr>
        <w:rFonts w:hint="eastAsia" w:cs="Times New Roman"/>
      </w:rPr>
    </w:lvl>
    <w:lvl w:ilvl="6" w:tentative="0">
      <w:start w:val="1"/>
      <w:numFmt w:val="decimal"/>
      <w:lvlText w:val="%1.%2.%3.%4.%5.%6.%7"/>
      <w:lvlJc w:val="left"/>
      <w:rPr>
        <w:rFonts w:hint="eastAsia" w:cs="Times New Roman"/>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abstractNum w:abstractNumId="5">
    <w:nsid w:val="763060DB"/>
    <w:multiLevelType w:val="multilevel"/>
    <w:tmpl w:val="763060DB"/>
    <w:lvl w:ilvl="0" w:tentative="0">
      <w:start w:val="1"/>
      <w:numFmt w:val="japaneseCounting"/>
      <w:lvlText w:val="第%1章"/>
      <w:lvlJc w:val="left"/>
      <w:pPr>
        <w:tabs>
          <w:tab w:val="left" w:pos="1455"/>
        </w:tabs>
        <w:ind w:left="1455" w:hanging="1275"/>
      </w:pPr>
      <w:rPr>
        <w:rFonts w:hint="eastAsia" w:cs="Times New Roman"/>
      </w:rPr>
    </w:lvl>
    <w:lvl w:ilvl="1" w:tentative="0">
      <w:start w:val="1"/>
      <w:numFmt w:val="japaneseCounting"/>
      <w:lvlText w:val="%2、"/>
      <w:lvlJc w:val="left"/>
      <w:pPr>
        <w:tabs>
          <w:tab w:val="left" w:pos="1320"/>
        </w:tabs>
        <w:ind w:left="1320" w:hanging="720"/>
      </w:pPr>
      <w:rPr>
        <w:rFonts w:hint="eastAsia"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num w:numId="1">
    <w:abstractNumId w:val="4"/>
  </w:num>
  <w:num w:numId="2">
    <w:abstractNumId w:val="5"/>
    <w:lvlOverride w:ilvl="0">
      <w:startOverride w:val="1"/>
    </w:lvlOverride>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A5"/>
    <w:rsid w:val="000000D1"/>
    <w:rsid w:val="000002A2"/>
    <w:rsid w:val="00000340"/>
    <w:rsid w:val="000006C3"/>
    <w:rsid w:val="00000DCA"/>
    <w:rsid w:val="0000135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3D14"/>
    <w:rsid w:val="00004B38"/>
    <w:rsid w:val="00004CC2"/>
    <w:rsid w:val="00004FF1"/>
    <w:rsid w:val="000056BA"/>
    <w:rsid w:val="000059AB"/>
    <w:rsid w:val="000059C9"/>
    <w:rsid w:val="000060A9"/>
    <w:rsid w:val="00006A51"/>
    <w:rsid w:val="00006AE1"/>
    <w:rsid w:val="000071E6"/>
    <w:rsid w:val="00007291"/>
    <w:rsid w:val="00007A56"/>
    <w:rsid w:val="00010555"/>
    <w:rsid w:val="00010DAC"/>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70D"/>
    <w:rsid w:val="00017B58"/>
    <w:rsid w:val="00020155"/>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6F9E"/>
    <w:rsid w:val="00027140"/>
    <w:rsid w:val="00027465"/>
    <w:rsid w:val="00027623"/>
    <w:rsid w:val="000277B1"/>
    <w:rsid w:val="00027E31"/>
    <w:rsid w:val="00030010"/>
    <w:rsid w:val="00030029"/>
    <w:rsid w:val="00030527"/>
    <w:rsid w:val="00031018"/>
    <w:rsid w:val="00031987"/>
    <w:rsid w:val="00031997"/>
    <w:rsid w:val="000319DA"/>
    <w:rsid w:val="00031C2E"/>
    <w:rsid w:val="00032B05"/>
    <w:rsid w:val="00032B28"/>
    <w:rsid w:val="000339F7"/>
    <w:rsid w:val="00033B46"/>
    <w:rsid w:val="00033CA6"/>
    <w:rsid w:val="00034021"/>
    <w:rsid w:val="00034EA7"/>
    <w:rsid w:val="00035005"/>
    <w:rsid w:val="000352EC"/>
    <w:rsid w:val="0003568B"/>
    <w:rsid w:val="0003613C"/>
    <w:rsid w:val="00036568"/>
    <w:rsid w:val="000366E3"/>
    <w:rsid w:val="00037345"/>
    <w:rsid w:val="000377F6"/>
    <w:rsid w:val="0003788B"/>
    <w:rsid w:val="000379B8"/>
    <w:rsid w:val="00040139"/>
    <w:rsid w:val="000401F4"/>
    <w:rsid w:val="00040A37"/>
    <w:rsid w:val="00040DED"/>
    <w:rsid w:val="00041488"/>
    <w:rsid w:val="00041B03"/>
    <w:rsid w:val="00041BFA"/>
    <w:rsid w:val="00042172"/>
    <w:rsid w:val="000422F1"/>
    <w:rsid w:val="00042506"/>
    <w:rsid w:val="0004252B"/>
    <w:rsid w:val="000428D7"/>
    <w:rsid w:val="00042FD0"/>
    <w:rsid w:val="00044A91"/>
    <w:rsid w:val="00044B49"/>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2FE3"/>
    <w:rsid w:val="000534A9"/>
    <w:rsid w:val="000537E7"/>
    <w:rsid w:val="00053CBC"/>
    <w:rsid w:val="00054070"/>
    <w:rsid w:val="0005431E"/>
    <w:rsid w:val="00054AEA"/>
    <w:rsid w:val="00054EC2"/>
    <w:rsid w:val="00054F75"/>
    <w:rsid w:val="0005501E"/>
    <w:rsid w:val="0005526B"/>
    <w:rsid w:val="000556E1"/>
    <w:rsid w:val="00055770"/>
    <w:rsid w:val="00055D0A"/>
    <w:rsid w:val="00055FA3"/>
    <w:rsid w:val="00056700"/>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770"/>
    <w:rsid w:val="00067F5F"/>
    <w:rsid w:val="00070199"/>
    <w:rsid w:val="00070801"/>
    <w:rsid w:val="0007096D"/>
    <w:rsid w:val="00070B65"/>
    <w:rsid w:val="00071901"/>
    <w:rsid w:val="00071A99"/>
    <w:rsid w:val="00071F17"/>
    <w:rsid w:val="00072BA1"/>
    <w:rsid w:val="00072D2C"/>
    <w:rsid w:val="00072D2E"/>
    <w:rsid w:val="00073031"/>
    <w:rsid w:val="00074094"/>
    <w:rsid w:val="000744EA"/>
    <w:rsid w:val="00074586"/>
    <w:rsid w:val="00074682"/>
    <w:rsid w:val="00074B32"/>
    <w:rsid w:val="00075DD1"/>
    <w:rsid w:val="00076B4A"/>
    <w:rsid w:val="00077966"/>
    <w:rsid w:val="00077DFF"/>
    <w:rsid w:val="00077E69"/>
    <w:rsid w:val="00080056"/>
    <w:rsid w:val="000800BF"/>
    <w:rsid w:val="000802AD"/>
    <w:rsid w:val="00081768"/>
    <w:rsid w:val="0008229D"/>
    <w:rsid w:val="000829AA"/>
    <w:rsid w:val="000829AE"/>
    <w:rsid w:val="00082D59"/>
    <w:rsid w:val="000834A4"/>
    <w:rsid w:val="0008365F"/>
    <w:rsid w:val="000838F4"/>
    <w:rsid w:val="00083A59"/>
    <w:rsid w:val="00084863"/>
    <w:rsid w:val="000849AC"/>
    <w:rsid w:val="000849AF"/>
    <w:rsid w:val="00084EA2"/>
    <w:rsid w:val="000857BE"/>
    <w:rsid w:val="000860C3"/>
    <w:rsid w:val="000862D7"/>
    <w:rsid w:val="00086BF9"/>
    <w:rsid w:val="00086DF1"/>
    <w:rsid w:val="00086E50"/>
    <w:rsid w:val="00086FE5"/>
    <w:rsid w:val="0008719C"/>
    <w:rsid w:val="000871BC"/>
    <w:rsid w:val="00087D00"/>
    <w:rsid w:val="0009033F"/>
    <w:rsid w:val="00090353"/>
    <w:rsid w:val="00090906"/>
    <w:rsid w:val="00090939"/>
    <w:rsid w:val="00090EB3"/>
    <w:rsid w:val="00091CF0"/>
    <w:rsid w:val="000927D1"/>
    <w:rsid w:val="00092858"/>
    <w:rsid w:val="000929C0"/>
    <w:rsid w:val="00092BA1"/>
    <w:rsid w:val="00092CBE"/>
    <w:rsid w:val="00092DAD"/>
    <w:rsid w:val="00092E33"/>
    <w:rsid w:val="00093561"/>
    <w:rsid w:val="0009361E"/>
    <w:rsid w:val="000943C4"/>
    <w:rsid w:val="0009467F"/>
    <w:rsid w:val="0009491B"/>
    <w:rsid w:val="00094BF1"/>
    <w:rsid w:val="00094E44"/>
    <w:rsid w:val="00094ED7"/>
    <w:rsid w:val="000956CF"/>
    <w:rsid w:val="00095A10"/>
    <w:rsid w:val="00095EEF"/>
    <w:rsid w:val="000963A0"/>
    <w:rsid w:val="00096A58"/>
    <w:rsid w:val="00097712"/>
    <w:rsid w:val="00097914"/>
    <w:rsid w:val="000979B7"/>
    <w:rsid w:val="000A01A3"/>
    <w:rsid w:val="000A01B3"/>
    <w:rsid w:val="000A062B"/>
    <w:rsid w:val="000A0F96"/>
    <w:rsid w:val="000A11CC"/>
    <w:rsid w:val="000A13D3"/>
    <w:rsid w:val="000A17F0"/>
    <w:rsid w:val="000A1EF1"/>
    <w:rsid w:val="000A1EF5"/>
    <w:rsid w:val="000A2196"/>
    <w:rsid w:val="000A22C1"/>
    <w:rsid w:val="000A2595"/>
    <w:rsid w:val="000A282E"/>
    <w:rsid w:val="000A374D"/>
    <w:rsid w:val="000A3B2C"/>
    <w:rsid w:val="000A458D"/>
    <w:rsid w:val="000A48F4"/>
    <w:rsid w:val="000A4E54"/>
    <w:rsid w:val="000A53E7"/>
    <w:rsid w:val="000A555B"/>
    <w:rsid w:val="000A5803"/>
    <w:rsid w:val="000A5BED"/>
    <w:rsid w:val="000A5D1A"/>
    <w:rsid w:val="000A5ED4"/>
    <w:rsid w:val="000A62F2"/>
    <w:rsid w:val="000A6B19"/>
    <w:rsid w:val="000A7109"/>
    <w:rsid w:val="000A71AC"/>
    <w:rsid w:val="000A7272"/>
    <w:rsid w:val="000A7D5B"/>
    <w:rsid w:val="000B02A5"/>
    <w:rsid w:val="000B0514"/>
    <w:rsid w:val="000B0692"/>
    <w:rsid w:val="000B0F89"/>
    <w:rsid w:val="000B1454"/>
    <w:rsid w:val="000B1AD5"/>
    <w:rsid w:val="000B2314"/>
    <w:rsid w:val="000B289B"/>
    <w:rsid w:val="000B296D"/>
    <w:rsid w:val="000B298B"/>
    <w:rsid w:val="000B2B6D"/>
    <w:rsid w:val="000B34F0"/>
    <w:rsid w:val="000B350F"/>
    <w:rsid w:val="000B3668"/>
    <w:rsid w:val="000B3E38"/>
    <w:rsid w:val="000B41DE"/>
    <w:rsid w:val="000B4283"/>
    <w:rsid w:val="000B45A1"/>
    <w:rsid w:val="000B5599"/>
    <w:rsid w:val="000B5D4A"/>
    <w:rsid w:val="000B6150"/>
    <w:rsid w:val="000B6D06"/>
    <w:rsid w:val="000B6F53"/>
    <w:rsid w:val="000B729C"/>
    <w:rsid w:val="000B73D4"/>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31AB"/>
    <w:rsid w:val="000C3624"/>
    <w:rsid w:val="000C36B9"/>
    <w:rsid w:val="000C3D07"/>
    <w:rsid w:val="000C3FFB"/>
    <w:rsid w:val="000C410C"/>
    <w:rsid w:val="000C4147"/>
    <w:rsid w:val="000C427E"/>
    <w:rsid w:val="000C49E2"/>
    <w:rsid w:val="000C4C0B"/>
    <w:rsid w:val="000C5BA4"/>
    <w:rsid w:val="000C6028"/>
    <w:rsid w:val="000C61CB"/>
    <w:rsid w:val="000C66BE"/>
    <w:rsid w:val="000C6DCD"/>
    <w:rsid w:val="000C7237"/>
    <w:rsid w:val="000C72E2"/>
    <w:rsid w:val="000C7B74"/>
    <w:rsid w:val="000D022F"/>
    <w:rsid w:val="000D07D1"/>
    <w:rsid w:val="000D134D"/>
    <w:rsid w:val="000D13F5"/>
    <w:rsid w:val="000D18A3"/>
    <w:rsid w:val="000D2726"/>
    <w:rsid w:val="000D2790"/>
    <w:rsid w:val="000D2907"/>
    <w:rsid w:val="000D311D"/>
    <w:rsid w:val="000D4867"/>
    <w:rsid w:val="000D4A39"/>
    <w:rsid w:val="000D4CF1"/>
    <w:rsid w:val="000D50BC"/>
    <w:rsid w:val="000D5631"/>
    <w:rsid w:val="000D5C55"/>
    <w:rsid w:val="000D5D1D"/>
    <w:rsid w:val="000D5F10"/>
    <w:rsid w:val="000D6AE5"/>
    <w:rsid w:val="000D6EB9"/>
    <w:rsid w:val="000D6F4F"/>
    <w:rsid w:val="000D7988"/>
    <w:rsid w:val="000D7DF4"/>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9A1"/>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05E"/>
    <w:rsid w:val="00106316"/>
    <w:rsid w:val="00106C62"/>
    <w:rsid w:val="00110C02"/>
    <w:rsid w:val="00110DDE"/>
    <w:rsid w:val="001110FB"/>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113F"/>
    <w:rsid w:val="001213E2"/>
    <w:rsid w:val="0012191D"/>
    <w:rsid w:val="00122889"/>
    <w:rsid w:val="00122934"/>
    <w:rsid w:val="0012341D"/>
    <w:rsid w:val="00123770"/>
    <w:rsid w:val="00123FE5"/>
    <w:rsid w:val="00124652"/>
    <w:rsid w:val="001249BA"/>
    <w:rsid w:val="00124E0A"/>
    <w:rsid w:val="001252B5"/>
    <w:rsid w:val="00125932"/>
    <w:rsid w:val="00125D29"/>
    <w:rsid w:val="00126231"/>
    <w:rsid w:val="00126DE1"/>
    <w:rsid w:val="00126FCB"/>
    <w:rsid w:val="00127230"/>
    <w:rsid w:val="00127449"/>
    <w:rsid w:val="00127B05"/>
    <w:rsid w:val="00127DC2"/>
    <w:rsid w:val="00130534"/>
    <w:rsid w:val="00130ED0"/>
    <w:rsid w:val="001310CD"/>
    <w:rsid w:val="00131901"/>
    <w:rsid w:val="00131A38"/>
    <w:rsid w:val="00131BCA"/>
    <w:rsid w:val="00132452"/>
    <w:rsid w:val="00132695"/>
    <w:rsid w:val="001327F8"/>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219"/>
    <w:rsid w:val="00136873"/>
    <w:rsid w:val="00136BC7"/>
    <w:rsid w:val="00137279"/>
    <w:rsid w:val="00137581"/>
    <w:rsid w:val="0013769A"/>
    <w:rsid w:val="0013788C"/>
    <w:rsid w:val="00137CD2"/>
    <w:rsid w:val="001405B3"/>
    <w:rsid w:val="001409FE"/>
    <w:rsid w:val="00140F8E"/>
    <w:rsid w:val="0014154B"/>
    <w:rsid w:val="001415D3"/>
    <w:rsid w:val="001418EA"/>
    <w:rsid w:val="00141D98"/>
    <w:rsid w:val="00142477"/>
    <w:rsid w:val="001426FA"/>
    <w:rsid w:val="001436A3"/>
    <w:rsid w:val="001436B8"/>
    <w:rsid w:val="00143B64"/>
    <w:rsid w:val="00143C11"/>
    <w:rsid w:val="00143FC3"/>
    <w:rsid w:val="001444C0"/>
    <w:rsid w:val="00144E73"/>
    <w:rsid w:val="001453E5"/>
    <w:rsid w:val="001457E6"/>
    <w:rsid w:val="00145937"/>
    <w:rsid w:val="00146370"/>
    <w:rsid w:val="0014659B"/>
    <w:rsid w:val="0014676D"/>
    <w:rsid w:val="00146E75"/>
    <w:rsid w:val="0014772C"/>
    <w:rsid w:val="00147BAD"/>
    <w:rsid w:val="00147BB4"/>
    <w:rsid w:val="00150086"/>
    <w:rsid w:val="001500F8"/>
    <w:rsid w:val="00150124"/>
    <w:rsid w:val="0015031F"/>
    <w:rsid w:val="00150728"/>
    <w:rsid w:val="00150835"/>
    <w:rsid w:val="00150EBE"/>
    <w:rsid w:val="00150F33"/>
    <w:rsid w:val="00151519"/>
    <w:rsid w:val="00151564"/>
    <w:rsid w:val="00151652"/>
    <w:rsid w:val="0015185A"/>
    <w:rsid w:val="00151B14"/>
    <w:rsid w:val="0015246F"/>
    <w:rsid w:val="00152D50"/>
    <w:rsid w:val="00152EAB"/>
    <w:rsid w:val="001534AF"/>
    <w:rsid w:val="001536C6"/>
    <w:rsid w:val="00153AF7"/>
    <w:rsid w:val="00153CF2"/>
    <w:rsid w:val="001548A6"/>
    <w:rsid w:val="00154A9B"/>
    <w:rsid w:val="00155062"/>
    <w:rsid w:val="00155067"/>
    <w:rsid w:val="001556C6"/>
    <w:rsid w:val="001558D7"/>
    <w:rsid w:val="00155995"/>
    <w:rsid w:val="00155A78"/>
    <w:rsid w:val="00155DA2"/>
    <w:rsid w:val="00155E9F"/>
    <w:rsid w:val="00156279"/>
    <w:rsid w:val="00160615"/>
    <w:rsid w:val="001607BB"/>
    <w:rsid w:val="001608F6"/>
    <w:rsid w:val="00160A35"/>
    <w:rsid w:val="00160C7C"/>
    <w:rsid w:val="00161F43"/>
    <w:rsid w:val="00162058"/>
    <w:rsid w:val="001625A1"/>
    <w:rsid w:val="001626E2"/>
    <w:rsid w:val="00162977"/>
    <w:rsid w:val="00162BC7"/>
    <w:rsid w:val="00162CC6"/>
    <w:rsid w:val="00162D09"/>
    <w:rsid w:val="00163D4C"/>
    <w:rsid w:val="00164022"/>
    <w:rsid w:val="00165379"/>
    <w:rsid w:val="00166065"/>
    <w:rsid w:val="001664B3"/>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6EC"/>
    <w:rsid w:val="00172A1E"/>
    <w:rsid w:val="00172EA3"/>
    <w:rsid w:val="001732D9"/>
    <w:rsid w:val="00173C45"/>
    <w:rsid w:val="00173CC1"/>
    <w:rsid w:val="00173F6A"/>
    <w:rsid w:val="00174832"/>
    <w:rsid w:val="00174BB3"/>
    <w:rsid w:val="00174DC9"/>
    <w:rsid w:val="001752F1"/>
    <w:rsid w:val="001759DE"/>
    <w:rsid w:val="001761FE"/>
    <w:rsid w:val="0017679C"/>
    <w:rsid w:val="00176916"/>
    <w:rsid w:val="00176970"/>
    <w:rsid w:val="00176D9B"/>
    <w:rsid w:val="00177E06"/>
    <w:rsid w:val="0018010F"/>
    <w:rsid w:val="00180226"/>
    <w:rsid w:val="001804BC"/>
    <w:rsid w:val="001806FF"/>
    <w:rsid w:val="001809AD"/>
    <w:rsid w:val="00181066"/>
    <w:rsid w:val="00181308"/>
    <w:rsid w:val="00181A3D"/>
    <w:rsid w:val="00181B0B"/>
    <w:rsid w:val="00181F16"/>
    <w:rsid w:val="00182760"/>
    <w:rsid w:val="00182B9B"/>
    <w:rsid w:val="00183074"/>
    <w:rsid w:val="00183D80"/>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0FC5"/>
    <w:rsid w:val="0019156B"/>
    <w:rsid w:val="0019161B"/>
    <w:rsid w:val="00191832"/>
    <w:rsid w:val="001918A0"/>
    <w:rsid w:val="00191946"/>
    <w:rsid w:val="00191B21"/>
    <w:rsid w:val="00191EA2"/>
    <w:rsid w:val="001920FF"/>
    <w:rsid w:val="00193292"/>
    <w:rsid w:val="001945BC"/>
    <w:rsid w:val="00194ADD"/>
    <w:rsid w:val="001959C8"/>
    <w:rsid w:val="00195DFA"/>
    <w:rsid w:val="00196246"/>
    <w:rsid w:val="001966F5"/>
    <w:rsid w:val="00196C00"/>
    <w:rsid w:val="00196C84"/>
    <w:rsid w:val="00196E85"/>
    <w:rsid w:val="00196EC4"/>
    <w:rsid w:val="00197367"/>
    <w:rsid w:val="00197565"/>
    <w:rsid w:val="001A07B0"/>
    <w:rsid w:val="001A0E37"/>
    <w:rsid w:val="001A11F8"/>
    <w:rsid w:val="001A135D"/>
    <w:rsid w:val="001A1C07"/>
    <w:rsid w:val="001A1DCF"/>
    <w:rsid w:val="001A2321"/>
    <w:rsid w:val="001A23A2"/>
    <w:rsid w:val="001A2943"/>
    <w:rsid w:val="001A29FC"/>
    <w:rsid w:val="001A2AF5"/>
    <w:rsid w:val="001A36A1"/>
    <w:rsid w:val="001A39FB"/>
    <w:rsid w:val="001A3FB5"/>
    <w:rsid w:val="001A4080"/>
    <w:rsid w:val="001A4245"/>
    <w:rsid w:val="001A508B"/>
    <w:rsid w:val="001A550B"/>
    <w:rsid w:val="001A55EC"/>
    <w:rsid w:val="001A57B6"/>
    <w:rsid w:val="001A5D7E"/>
    <w:rsid w:val="001A6889"/>
    <w:rsid w:val="001A6A12"/>
    <w:rsid w:val="001A71F0"/>
    <w:rsid w:val="001A7444"/>
    <w:rsid w:val="001A76C0"/>
    <w:rsid w:val="001A7893"/>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03"/>
    <w:rsid w:val="001B7A14"/>
    <w:rsid w:val="001B7BB7"/>
    <w:rsid w:val="001B7CD2"/>
    <w:rsid w:val="001B7EE7"/>
    <w:rsid w:val="001C03C4"/>
    <w:rsid w:val="001C040C"/>
    <w:rsid w:val="001C0600"/>
    <w:rsid w:val="001C09AA"/>
    <w:rsid w:val="001C0CDB"/>
    <w:rsid w:val="001C0EAD"/>
    <w:rsid w:val="001C22D4"/>
    <w:rsid w:val="001C3D05"/>
    <w:rsid w:val="001C3E4D"/>
    <w:rsid w:val="001C3F0A"/>
    <w:rsid w:val="001C407F"/>
    <w:rsid w:val="001C41C4"/>
    <w:rsid w:val="001C41E9"/>
    <w:rsid w:val="001C4C22"/>
    <w:rsid w:val="001C4CB8"/>
    <w:rsid w:val="001C5125"/>
    <w:rsid w:val="001C51E2"/>
    <w:rsid w:val="001C5E29"/>
    <w:rsid w:val="001C6F52"/>
    <w:rsid w:val="001C79AA"/>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0FE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EC2"/>
    <w:rsid w:val="001E602F"/>
    <w:rsid w:val="001E68B8"/>
    <w:rsid w:val="001E690A"/>
    <w:rsid w:val="001E6A37"/>
    <w:rsid w:val="001E6B2D"/>
    <w:rsid w:val="001E6CC0"/>
    <w:rsid w:val="001E6E6B"/>
    <w:rsid w:val="001E7932"/>
    <w:rsid w:val="001F0E08"/>
    <w:rsid w:val="001F1721"/>
    <w:rsid w:val="001F1AFC"/>
    <w:rsid w:val="001F1B90"/>
    <w:rsid w:val="001F2D6D"/>
    <w:rsid w:val="001F2D97"/>
    <w:rsid w:val="001F2FF8"/>
    <w:rsid w:val="001F374E"/>
    <w:rsid w:val="001F3A4D"/>
    <w:rsid w:val="001F3DEB"/>
    <w:rsid w:val="001F45D8"/>
    <w:rsid w:val="001F4A9F"/>
    <w:rsid w:val="001F4C7C"/>
    <w:rsid w:val="001F4F5B"/>
    <w:rsid w:val="001F5035"/>
    <w:rsid w:val="001F555E"/>
    <w:rsid w:val="001F556B"/>
    <w:rsid w:val="001F5D1A"/>
    <w:rsid w:val="001F5D57"/>
    <w:rsid w:val="001F6D5B"/>
    <w:rsid w:val="001F7290"/>
    <w:rsid w:val="001F7BF7"/>
    <w:rsid w:val="002003E5"/>
    <w:rsid w:val="00200E2A"/>
    <w:rsid w:val="0020167C"/>
    <w:rsid w:val="002017A7"/>
    <w:rsid w:val="00201DFD"/>
    <w:rsid w:val="00202DF9"/>
    <w:rsid w:val="002034AC"/>
    <w:rsid w:val="00203D02"/>
    <w:rsid w:val="002040C6"/>
    <w:rsid w:val="002043DC"/>
    <w:rsid w:val="00204C4A"/>
    <w:rsid w:val="0020500F"/>
    <w:rsid w:val="00205741"/>
    <w:rsid w:val="002057A6"/>
    <w:rsid w:val="00205840"/>
    <w:rsid w:val="0020584C"/>
    <w:rsid w:val="0020597D"/>
    <w:rsid w:val="002062A2"/>
    <w:rsid w:val="00206368"/>
    <w:rsid w:val="00206498"/>
    <w:rsid w:val="00206BC5"/>
    <w:rsid w:val="00207476"/>
    <w:rsid w:val="002076B9"/>
    <w:rsid w:val="00207753"/>
    <w:rsid w:val="002103A6"/>
    <w:rsid w:val="00210F5A"/>
    <w:rsid w:val="002110DF"/>
    <w:rsid w:val="00211242"/>
    <w:rsid w:val="002114DA"/>
    <w:rsid w:val="0021183D"/>
    <w:rsid w:val="002126D7"/>
    <w:rsid w:val="002126EC"/>
    <w:rsid w:val="002127D7"/>
    <w:rsid w:val="002131A0"/>
    <w:rsid w:val="0021337F"/>
    <w:rsid w:val="00213697"/>
    <w:rsid w:val="0021402D"/>
    <w:rsid w:val="002146E8"/>
    <w:rsid w:val="00215052"/>
    <w:rsid w:val="002151DA"/>
    <w:rsid w:val="002155B3"/>
    <w:rsid w:val="0021587D"/>
    <w:rsid w:val="00215A10"/>
    <w:rsid w:val="0021630C"/>
    <w:rsid w:val="002163F2"/>
    <w:rsid w:val="00216D65"/>
    <w:rsid w:val="0021714F"/>
    <w:rsid w:val="00217380"/>
    <w:rsid w:val="00217933"/>
    <w:rsid w:val="00217E03"/>
    <w:rsid w:val="00220732"/>
    <w:rsid w:val="00220AA4"/>
    <w:rsid w:val="00221237"/>
    <w:rsid w:val="00221F48"/>
    <w:rsid w:val="0022223C"/>
    <w:rsid w:val="00222835"/>
    <w:rsid w:val="002228C3"/>
    <w:rsid w:val="0022296F"/>
    <w:rsid w:val="002230A4"/>
    <w:rsid w:val="00223A96"/>
    <w:rsid w:val="00223D04"/>
    <w:rsid w:val="00223DA3"/>
    <w:rsid w:val="00224745"/>
    <w:rsid w:val="002247D3"/>
    <w:rsid w:val="00224DD2"/>
    <w:rsid w:val="00224E07"/>
    <w:rsid w:val="0022532A"/>
    <w:rsid w:val="00225519"/>
    <w:rsid w:val="00225690"/>
    <w:rsid w:val="00225BFC"/>
    <w:rsid w:val="002261DD"/>
    <w:rsid w:val="002264E1"/>
    <w:rsid w:val="00226B24"/>
    <w:rsid w:val="00226CB7"/>
    <w:rsid w:val="00227659"/>
    <w:rsid w:val="00227776"/>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C1"/>
    <w:rsid w:val="00243BD4"/>
    <w:rsid w:val="00244CBD"/>
    <w:rsid w:val="00245628"/>
    <w:rsid w:val="00245F1F"/>
    <w:rsid w:val="002475DE"/>
    <w:rsid w:val="002476AD"/>
    <w:rsid w:val="0024780E"/>
    <w:rsid w:val="002506F7"/>
    <w:rsid w:val="00250FA6"/>
    <w:rsid w:val="002511AF"/>
    <w:rsid w:val="0025123A"/>
    <w:rsid w:val="0025238E"/>
    <w:rsid w:val="002523B4"/>
    <w:rsid w:val="00252803"/>
    <w:rsid w:val="00252A7D"/>
    <w:rsid w:val="00252E90"/>
    <w:rsid w:val="00253ABE"/>
    <w:rsid w:val="00253B9B"/>
    <w:rsid w:val="0025403E"/>
    <w:rsid w:val="002547FD"/>
    <w:rsid w:val="00254A78"/>
    <w:rsid w:val="00254AA3"/>
    <w:rsid w:val="00254F95"/>
    <w:rsid w:val="002552CD"/>
    <w:rsid w:val="0025582B"/>
    <w:rsid w:val="00255A1E"/>
    <w:rsid w:val="00255D59"/>
    <w:rsid w:val="00255D7E"/>
    <w:rsid w:val="00255EA4"/>
    <w:rsid w:val="0025609D"/>
    <w:rsid w:val="00256275"/>
    <w:rsid w:val="002567D3"/>
    <w:rsid w:val="002570DF"/>
    <w:rsid w:val="00257B12"/>
    <w:rsid w:val="00257BD0"/>
    <w:rsid w:val="00260AFD"/>
    <w:rsid w:val="00261207"/>
    <w:rsid w:val="00261901"/>
    <w:rsid w:val="00261906"/>
    <w:rsid w:val="00261D7C"/>
    <w:rsid w:val="00261DF5"/>
    <w:rsid w:val="00262226"/>
    <w:rsid w:val="00262616"/>
    <w:rsid w:val="00262851"/>
    <w:rsid w:val="00262B66"/>
    <w:rsid w:val="00262DAD"/>
    <w:rsid w:val="002638E6"/>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67E87"/>
    <w:rsid w:val="002702BA"/>
    <w:rsid w:val="0027034C"/>
    <w:rsid w:val="0027177E"/>
    <w:rsid w:val="00271B2A"/>
    <w:rsid w:val="00271F12"/>
    <w:rsid w:val="00272020"/>
    <w:rsid w:val="0027203C"/>
    <w:rsid w:val="002724E8"/>
    <w:rsid w:val="0027257B"/>
    <w:rsid w:val="00273214"/>
    <w:rsid w:val="002735D1"/>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4D9"/>
    <w:rsid w:val="00276824"/>
    <w:rsid w:val="00276F64"/>
    <w:rsid w:val="00276FAD"/>
    <w:rsid w:val="00277064"/>
    <w:rsid w:val="00277217"/>
    <w:rsid w:val="00277456"/>
    <w:rsid w:val="00277486"/>
    <w:rsid w:val="00277626"/>
    <w:rsid w:val="00277EDF"/>
    <w:rsid w:val="0028025E"/>
    <w:rsid w:val="002805F0"/>
    <w:rsid w:val="00281185"/>
    <w:rsid w:val="00281B48"/>
    <w:rsid w:val="00282CC5"/>
    <w:rsid w:val="00282E84"/>
    <w:rsid w:val="00283137"/>
    <w:rsid w:val="002837FF"/>
    <w:rsid w:val="00283FCF"/>
    <w:rsid w:val="0028426E"/>
    <w:rsid w:val="002842C8"/>
    <w:rsid w:val="002842F8"/>
    <w:rsid w:val="00284860"/>
    <w:rsid w:val="002850D0"/>
    <w:rsid w:val="002852C6"/>
    <w:rsid w:val="002853AE"/>
    <w:rsid w:val="0028557E"/>
    <w:rsid w:val="0028593A"/>
    <w:rsid w:val="00285BD9"/>
    <w:rsid w:val="00285CEA"/>
    <w:rsid w:val="00285D04"/>
    <w:rsid w:val="0028626E"/>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2B74"/>
    <w:rsid w:val="00293067"/>
    <w:rsid w:val="0029311D"/>
    <w:rsid w:val="0029318C"/>
    <w:rsid w:val="0029362A"/>
    <w:rsid w:val="00293D60"/>
    <w:rsid w:val="002947F1"/>
    <w:rsid w:val="00294D09"/>
    <w:rsid w:val="002960DF"/>
    <w:rsid w:val="002964E0"/>
    <w:rsid w:val="00296B32"/>
    <w:rsid w:val="0029769C"/>
    <w:rsid w:val="002A04B5"/>
    <w:rsid w:val="002A0B6A"/>
    <w:rsid w:val="002A0DD0"/>
    <w:rsid w:val="002A1D18"/>
    <w:rsid w:val="002A1FD2"/>
    <w:rsid w:val="002A24F8"/>
    <w:rsid w:val="002A272A"/>
    <w:rsid w:val="002A2E25"/>
    <w:rsid w:val="002A34A5"/>
    <w:rsid w:val="002A3527"/>
    <w:rsid w:val="002A38E3"/>
    <w:rsid w:val="002A3BDC"/>
    <w:rsid w:val="002A4707"/>
    <w:rsid w:val="002A470A"/>
    <w:rsid w:val="002A4B99"/>
    <w:rsid w:val="002A54FE"/>
    <w:rsid w:val="002A55DB"/>
    <w:rsid w:val="002A56B7"/>
    <w:rsid w:val="002A58EF"/>
    <w:rsid w:val="002A5A44"/>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404"/>
    <w:rsid w:val="002B4CFC"/>
    <w:rsid w:val="002B4D0D"/>
    <w:rsid w:val="002B4F49"/>
    <w:rsid w:val="002B5AE7"/>
    <w:rsid w:val="002B5B0B"/>
    <w:rsid w:val="002B5F80"/>
    <w:rsid w:val="002B6313"/>
    <w:rsid w:val="002B6DBD"/>
    <w:rsid w:val="002B6DE3"/>
    <w:rsid w:val="002B720E"/>
    <w:rsid w:val="002B7739"/>
    <w:rsid w:val="002C0720"/>
    <w:rsid w:val="002C1B43"/>
    <w:rsid w:val="002C2134"/>
    <w:rsid w:val="002C22F1"/>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D02A5"/>
    <w:rsid w:val="002D0DFA"/>
    <w:rsid w:val="002D1010"/>
    <w:rsid w:val="002D112B"/>
    <w:rsid w:val="002D1456"/>
    <w:rsid w:val="002D16A9"/>
    <w:rsid w:val="002D2003"/>
    <w:rsid w:val="002D2281"/>
    <w:rsid w:val="002D34B5"/>
    <w:rsid w:val="002D4334"/>
    <w:rsid w:val="002D4E6C"/>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860"/>
    <w:rsid w:val="002E393A"/>
    <w:rsid w:val="002E3A60"/>
    <w:rsid w:val="002E4B87"/>
    <w:rsid w:val="002E4C68"/>
    <w:rsid w:val="002E5239"/>
    <w:rsid w:val="002E58D1"/>
    <w:rsid w:val="002E5C86"/>
    <w:rsid w:val="002E606A"/>
    <w:rsid w:val="002E6663"/>
    <w:rsid w:val="002E6848"/>
    <w:rsid w:val="002E7241"/>
    <w:rsid w:val="002E7EC9"/>
    <w:rsid w:val="002F01F1"/>
    <w:rsid w:val="002F0518"/>
    <w:rsid w:val="002F0678"/>
    <w:rsid w:val="002F0935"/>
    <w:rsid w:val="002F0C62"/>
    <w:rsid w:val="002F10D7"/>
    <w:rsid w:val="002F1CA5"/>
    <w:rsid w:val="002F1DFD"/>
    <w:rsid w:val="002F251C"/>
    <w:rsid w:val="002F2621"/>
    <w:rsid w:val="002F2B0C"/>
    <w:rsid w:val="002F2D0D"/>
    <w:rsid w:val="002F3716"/>
    <w:rsid w:val="002F3B74"/>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2F8C"/>
    <w:rsid w:val="00303306"/>
    <w:rsid w:val="00303846"/>
    <w:rsid w:val="00303FCB"/>
    <w:rsid w:val="003041CB"/>
    <w:rsid w:val="003041D6"/>
    <w:rsid w:val="0030493C"/>
    <w:rsid w:val="0030495C"/>
    <w:rsid w:val="00304C52"/>
    <w:rsid w:val="00304F98"/>
    <w:rsid w:val="003051A9"/>
    <w:rsid w:val="003059D1"/>
    <w:rsid w:val="00305BE6"/>
    <w:rsid w:val="00305FD7"/>
    <w:rsid w:val="00306093"/>
    <w:rsid w:val="003060D6"/>
    <w:rsid w:val="0030656F"/>
    <w:rsid w:val="003069D6"/>
    <w:rsid w:val="00307C93"/>
    <w:rsid w:val="00310152"/>
    <w:rsid w:val="003103BA"/>
    <w:rsid w:val="00310449"/>
    <w:rsid w:val="003104B9"/>
    <w:rsid w:val="00310928"/>
    <w:rsid w:val="00311075"/>
    <w:rsid w:val="00311CB8"/>
    <w:rsid w:val="00311DCE"/>
    <w:rsid w:val="003122A2"/>
    <w:rsid w:val="00312345"/>
    <w:rsid w:val="003124AC"/>
    <w:rsid w:val="00312B56"/>
    <w:rsid w:val="003136A4"/>
    <w:rsid w:val="00314EA9"/>
    <w:rsid w:val="003152F2"/>
    <w:rsid w:val="0031558C"/>
    <w:rsid w:val="00315755"/>
    <w:rsid w:val="00315D8E"/>
    <w:rsid w:val="00315DCF"/>
    <w:rsid w:val="003169C4"/>
    <w:rsid w:val="00316B20"/>
    <w:rsid w:val="00317248"/>
    <w:rsid w:val="003175FA"/>
    <w:rsid w:val="00317960"/>
    <w:rsid w:val="003179C6"/>
    <w:rsid w:val="00320008"/>
    <w:rsid w:val="00320145"/>
    <w:rsid w:val="00320683"/>
    <w:rsid w:val="00320A09"/>
    <w:rsid w:val="00320B50"/>
    <w:rsid w:val="00320F34"/>
    <w:rsid w:val="0032108A"/>
    <w:rsid w:val="0032148C"/>
    <w:rsid w:val="003214E7"/>
    <w:rsid w:val="00321B99"/>
    <w:rsid w:val="00321FA5"/>
    <w:rsid w:val="003223F8"/>
    <w:rsid w:val="00322490"/>
    <w:rsid w:val="00322A9E"/>
    <w:rsid w:val="00322E6B"/>
    <w:rsid w:val="00323C65"/>
    <w:rsid w:val="0032471B"/>
    <w:rsid w:val="00324EA4"/>
    <w:rsid w:val="0032616A"/>
    <w:rsid w:val="003269FF"/>
    <w:rsid w:val="0032741D"/>
    <w:rsid w:val="00327A1D"/>
    <w:rsid w:val="00327A74"/>
    <w:rsid w:val="00327AC0"/>
    <w:rsid w:val="0033026F"/>
    <w:rsid w:val="0033038E"/>
    <w:rsid w:val="0033098C"/>
    <w:rsid w:val="00330A97"/>
    <w:rsid w:val="00331CB7"/>
    <w:rsid w:val="00331E70"/>
    <w:rsid w:val="00332910"/>
    <w:rsid w:val="00332EE0"/>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6BDE"/>
    <w:rsid w:val="0033707D"/>
    <w:rsid w:val="00337AA3"/>
    <w:rsid w:val="0034084B"/>
    <w:rsid w:val="00340A5A"/>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5712E"/>
    <w:rsid w:val="00357C89"/>
    <w:rsid w:val="0036054A"/>
    <w:rsid w:val="00360752"/>
    <w:rsid w:val="00360B4B"/>
    <w:rsid w:val="00360E12"/>
    <w:rsid w:val="00361480"/>
    <w:rsid w:val="0036186C"/>
    <w:rsid w:val="00361CD6"/>
    <w:rsid w:val="0036261B"/>
    <w:rsid w:val="00362916"/>
    <w:rsid w:val="00362A49"/>
    <w:rsid w:val="00362C35"/>
    <w:rsid w:val="00362C7D"/>
    <w:rsid w:val="00362EAA"/>
    <w:rsid w:val="003636B1"/>
    <w:rsid w:val="003638EA"/>
    <w:rsid w:val="003639DB"/>
    <w:rsid w:val="00363ECD"/>
    <w:rsid w:val="00364692"/>
    <w:rsid w:val="00365214"/>
    <w:rsid w:val="003652EE"/>
    <w:rsid w:val="00365487"/>
    <w:rsid w:val="00365799"/>
    <w:rsid w:val="00365B67"/>
    <w:rsid w:val="00366688"/>
    <w:rsid w:val="003666F7"/>
    <w:rsid w:val="003667D9"/>
    <w:rsid w:val="00366980"/>
    <w:rsid w:val="00367B1A"/>
    <w:rsid w:val="00367BCB"/>
    <w:rsid w:val="0037063F"/>
    <w:rsid w:val="00370648"/>
    <w:rsid w:val="00370691"/>
    <w:rsid w:val="003708A5"/>
    <w:rsid w:val="00370C6E"/>
    <w:rsid w:val="00371888"/>
    <w:rsid w:val="00371B70"/>
    <w:rsid w:val="00371D3E"/>
    <w:rsid w:val="003720BE"/>
    <w:rsid w:val="00372576"/>
    <w:rsid w:val="0037260C"/>
    <w:rsid w:val="003726D6"/>
    <w:rsid w:val="00372928"/>
    <w:rsid w:val="00372C90"/>
    <w:rsid w:val="003730A0"/>
    <w:rsid w:val="0037314E"/>
    <w:rsid w:val="00373908"/>
    <w:rsid w:val="00374165"/>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0CD9"/>
    <w:rsid w:val="003814C2"/>
    <w:rsid w:val="00381DF6"/>
    <w:rsid w:val="003821DE"/>
    <w:rsid w:val="00382203"/>
    <w:rsid w:val="003826B8"/>
    <w:rsid w:val="0038333E"/>
    <w:rsid w:val="00383720"/>
    <w:rsid w:val="003840F8"/>
    <w:rsid w:val="00384121"/>
    <w:rsid w:val="00384D88"/>
    <w:rsid w:val="0038555C"/>
    <w:rsid w:val="003859D4"/>
    <w:rsid w:val="00385C88"/>
    <w:rsid w:val="003862BB"/>
    <w:rsid w:val="00386365"/>
    <w:rsid w:val="00386684"/>
    <w:rsid w:val="00386910"/>
    <w:rsid w:val="0038702E"/>
    <w:rsid w:val="003872CF"/>
    <w:rsid w:val="00387347"/>
    <w:rsid w:val="0038759C"/>
    <w:rsid w:val="00390050"/>
    <w:rsid w:val="003902D2"/>
    <w:rsid w:val="00390703"/>
    <w:rsid w:val="00390C23"/>
    <w:rsid w:val="003912D6"/>
    <w:rsid w:val="00391AF7"/>
    <w:rsid w:val="00391D04"/>
    <w:rsid w:val="00391D60"/>
    <w:rsid w:val="00392244"/>
    <w:rsid w:val="00392F36"/>
    <w:rsid w:val="0039307E"/>
    <w:rsid w:val="00393E0E"/>
    <w:rsid w:val="00394A98"/>
    <w:rsid w:val="00394AD2"/>
    <w:rsid w:val="00395342"/>
    <w:rsid w:val="003954DF"/>
    <w:rsid w:val="0039551E"/>
    <w:rsid w:val="0039562B"/>
    <w:rsid w:val="00395B04"/>
    <w:rsid w:val="00395DF3"/>
    <w:rsid w:val="0039638F"/>
    <w:rsid w:val="00396F2B"/>
    <w:rsid w:val="00397786"/>
    <w:rsid w:val="00397A8F"/>
    <w:rsid w:val="003A0456"/>
    <w:rsid w:val="003A0689"/>
    <w:rsid w:val="003A0D5B"/>
    <w:rsid w:val="003A1E7E"/>
    <w:rsid w:val="003A24A1"/>
    <w:rsid w:val="003A3191"/>
    <w:rsid w:val="003A3318"/>
    <w:rsid w:val="003A335B"/>
    <w:rsid w:val="003A3CAE"/>
    <w:rsid w:val="003A4538"/>
    <w:rsid w:val="003A46C8"/>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0E82"/>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5BAB"/>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5242"/>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A7A"/>
    <w:rsid w:val="003D2B64"/>
    <w:rsid w:val="003D30AC"/>
    <w:rsid w:val="003D32C1"/>
    <w:rsid w:val="003D3528"/>
    <w:rsid w:val="003D360A"/>
    <w:rsid w:val="003D3805"/>
    <w:rsid w:val="003D3C00"/>
    <w:rsid w:val="003D41AD"/>
    <w:rsid w:val="003D4549"/>
    <w:rsid w:val="003D4A84"/>
    <w:rsid w:val="003D4B3A"/>
    <w:rsid w:val="003D4B6A"/>
    <w:rsid w:val="003D515A"/>
    <w:rsid w:val="003D51A8"/>
    <w:rsid w:val="003D5506"/>
    <w:rsid w:val="003D5AA4"/>
    <w:rsid w:val="003D5B61"/>
    <w:rsid w:val="003D5EC0"/>
    <w:rsid w:val="003D619A"/>
    <w:rsid w:val="003D66D2"/>
    <w:rsid w:val="003D7606"/>
    <w:rsid w:val="003D793B"/>
    <w:rsid w:val="003E024B"/>
    <w:rsid w:val="003E0B5B"/>
    <w:rsid w:val="003E0C25"/>
    <w:rsid w:val="003E0C79"/>
    <w:rsid w:val="003E0ECD"/>
    <w:rsid w:val="003E101A"/>
    <w:rsid w:val="003E18BA"/>
    <w:rsid w:val="003E2285"/>
    <w:rsid w:val="003E260D"/>
    <w:rsid w:val="003E2782"/>
    <w:rsid w:val="003E2EA7"/>
    <w:rsid w:val="003E3027"/>
    <w:rsid w:val="003E3D33"/>
    <w:rsid w:val="003E3DBC"/>
    <w:rsid w:val="003E4283"/>
    <w:rsid w:val="003E50D7"/>
    <w:rsid w:val="003E5CD9"/>
    <w:rsid w:val="003E5E58"/>
    <w:rsid w:val="003E615B"/>
    <w:rsid w:val="003E659F"/>
    <w:rsid w:val="003E669D"/>
    <w:rsid w:val="003E6C30"/>
    <w:rsid w:val="003E7ABC"/>
    <w:rsid w:val="003E7B3F"/>
    <w:rsid w:val="003F0091"/>
    <w:rsid w:val="003F009D"/>
    <w:rsid w:val="003F02EE"/>
    <w:rsid w:val="003F0CE1"/>
    <w:rsid w:val="003F1035"/>
    <w:rsid w:val="003F12C5"/>
    <w:rsid w:val="003F1359"/>
    <w:rsid w:val="003F1E39"/>
    <w:rsid w:val="003F2060"/>
    <w:rsid w:val="003F262C"/>
    <w:rsid w:val="003F277F"/>
    <w:rsid w:val="003F2783"/>
    <w:rsid w:val="003F2DC1"/>
    <w:rsid w:val="003F3169"/>
    <w:rsid w:val="003F321F"/>
    <w:rsid w:val="003F3505"/>
    <w:rsid w:val="003F4897"/>
    <w:rsid w:val="003F5483"/>
    <w:rsid w:val="003F569F"/>
    <w:rsid w:val="003F5801"/>
    <w:rsid w:val="003F5C37"/>
    <w:rsid w:val="003F5D48"/>
    <w:rsid w:val="003F5DAA"/>
    <w:rsid w:val="003F5E01"/>
    <w:rsid w:val="003F5F7B"/>
    <w:rsid w:val="003F6358"/>
    <w:rsid w:val="003F6518"/>
    <w:rsid w:val="003F6636"/>
    <w:rsid w:val="003F6A4A"/>
    <w:rsid w:val="003F6F48"/>
    <w:rsid w:val="003F718E"/>
    <w:rsid w:val="003F73EA"/>
    <w:rsid w:val="003F7448"/>
    <w:rsid w:val="003F77A4"/>
    <w:rsid w:val="003F790B"/>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97"/>
    <w:rsid w:val="0040364D"/>
    <w:rsid w:val="00403CE3"/>
    <w:rsid w:val="0040403A"/>
    <w:rsid w:val="00404609"/>
    <w:rsid w:val="004046D8"/>
    <w:rsid w:val="0040492F"/>
    <w:rsid w:val="00404F1D"/>
    <w:rsid w:val="00405181"/>
    <w:rsid w:val="00405A5F"/>
    <w:rsid w:val="00405C0A"/>
    <w:rsid w:val="00405E74"/>
    <w:rsid w:val="00406762"/>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4E80"/>
    <w:rsid w:val="004158F9"/>
    <w:rsid w:val="004159EA"/>
    <w:rsid w:val="00416727"/>
    <w:rsid w:val="00416D3F"/>
    <w:rsid w:val="004172A4"/>
    <w:rsid w:val="004178F6"/>
    <w:rsid w:val="00417B88"/>
    <w:rsid w:val="00417DD8"/>
    <w:rsid w:val="004208D9"/>
    <w:rsid w:val="00420CD9"/>
    <w:rsid w:val="00421518"/>
    <w:rsid w:val="00421E7C"/>
    <w:rsid w:val="00422ABD"/>
    <w:rsid w:val="00422B4E"/>
    <w:rsid w:val="00422FF6"/>
    <w:rsid w:val="004231FD"/>
    <w:rsid w:val="00423486"/>
    <w:rsid w:val="00423668"/>
    <w:rsid w:val="00423742"/>
    <w:rsid w:val="00424227"/>
    <w:rsid w:val="00424482"/>
    <w:rsid w:val="00424B69"/>
    <w:rsid w:val="00424C53"/>
    <w:rsid w:val="00425814"/>
    <w:rsid w:val="00425BE8"/>
    <w:rsid w:val="00425C5F"/>
    <w:rsid w:val="00426286"/>
    <w:rsid w:val="00426477"/>
    <w:rsid w:val="00426C47"/>
    <w:rsid w:val="00426F6A"/>
    <w:rsid w:val="00427A24"/>
    <w:rsid w:val="00427F6B"/>
    <w:rsid w:val="0043073D"/>
    <w:rsid w:val="0043139F"/>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2C0"/>
    <w:rsid w:val="004444FB"/>
    <w:rsid w:val="004448CC"/>
    <w:rsid w:val="00444E84"/>
    <w:rsid w:val="00444FDF"/>
    <w:rsid w:val="00445136"/>
    <w:rsid w:val="00445717"/>
    <w:rsid w:val="00445C6A"/>
    <w:rsid w:val="00447236"/>
    <w:rsid w:val="00447247"/>
    <w:rsid w:val="004507FD"/>
    <w:rsid w:val="00450E57"/>
    <w:rsid w:val="00450F16"/>
    <w:rsid w:val="00451267"/>
    <w:rsid w:val="00451B39"/>
    <w:rsid w:val="00451B94"/>
    <w:rsid w:val="00452D7E"/>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B67"/>
    <w:rsid w:val="00461C34"/>
    <w:rsid w:val="00461CCF"/>
    <w:rsid w:val="00461DA4"/>
    <w:rsid w:val="00461E9B"/>
    <w:rsid w:val="004628BF"/>
    <w:rsid w:val="004629A9"/>
    <w:rsid w:val="00462A67"/>
    <w:rsid w:val="004633DA"/>
    <w:rsid w:val="004635E3"/>
    <w:rsid w:val="00463E78"/>
    <w:rsid w:val="00463E7F"/>
    <w:rsid w:val="00464220"/>
    <w:rsid w:val="004643A5"/>
    <w:rsid w:val="00464576"/>
    <w:rsid w:val="0046483D"/>
    <w:rsid w:val="00464CD5"/>
    <w:rsid w:val="00465013"/>
    <w:rsid w:val="00465676"/>
    <w:rsid w:val="00465C61"/>
    <w:rsid w:val="00465D99"/>
    <w:rsid w:val="00465E0A"/>
    <w:rsid w:val="00465EAB"/>
    <w:rsid w:val="00465F8B"/>
    <w:rsid w:val="00466031"/>
    <w:rsid w:val="004661ED"/>
    <w:rsid w:val="00466ED0"/>
    <w:rsid w:val="00467766"/>
    <w:rsid w:val="00470438"/>
    <w:rsid w:val="004704CB"/>
    <w:rsid w:val="0047067C"/>
    <w:rsid w:val="00470AC0"/>
    <w:rsid w:val="00470CA0"/>
    <w:rsid w:val="00471073"/>
    <w:rsid w:val="0047209E"/>
    <w:rsid w:val="0047248C"/>
    <w:rsid w:val="00472690"/>
    <w:rsid w:val="00472A2E"/>
    <w:rsid w:val="00472C21"/>
    <w:rsid w:val="00472D72"/>
    <w:rsid w:val="004731F6"/>
    <w:rsid w:val="00473B88"/>
    <w:rsid w:val="00473CDA"/>
    <w:rsid w:val="0047483B"/>
    <w:rsid w:val="00474BBA"/>
    <w:rsid w:val="00474C8F"/>
    <w:rsid w:val="00474FDA"/>
    <w:rsid w:val="00475118"/>
    <w:rsid w:val="004751F8"/>
    <w:rsid w:val="004752C3"/>
    <w:rsid w:val="00475531"/>
    <w:rsid w:val="00475CDC"/>
    <w:rsid w:val="00475D82"/>
    <w:rsid w:val="00475F1D"/>
    <w:rsid w:val="0047619E"/>
    <w:rsid w:val="00476B39"/>
    <w:rsid w:val="00476BEC"/>
    <w:rsid w:val="00476D30"/>
    <w:rsid w:val="00477078"/>
    <w:rsid w:val="004771B8"/>
    <w:rsid w:val="004773FA"/>
    <w:rsid w:val="004803AA"/>
    <w:rsid w:val="00481BB3"/>
    <w:rsid w:val="00481E7E"/>
    <w:rsid w:val="004822AF"/>
    <w:rsid w:val="0048273B"/>
    <w:rsid w:val="00482799"/>
    <w:rsid w:val="0048295B"/>
    <w:rsid w:val="00482B2F"/>
    <w:rsid w:val="00482DA4"/>
    <w:rsid w:val="00482E18"/>
    <w:rsid w:val="0048338D"/>
    <w:rsid w:val="00483937"/>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21D"/>
    <w:rsid w:val="00492418"/>
    <w:rsid w:val="00492D83"/>
    <w:rsid w:val="00493EA2"/>
    <w:rsid w:val="004949D4"/>
    <w:rsid w:val="004950BB"/>
    <w:rsid w:val="00495248"/>
    <w:rsid w:val="00495373"/>
    <w:rsid w:val="0049560E"/>
    <w:rsid w:val="004956F1"/>
    <w:rsid w:val="00496B26"/>
    <w:rsid w:val="00497A8F"/>
    <w:rsid w:val="004A004B"/>
    <w:rsid w:val="004A0326"/>
    <w:rsid w:val="004A05D8"/>
    <w:rsid w:val="004A0699"/>
    <w:rsid w:val="004A0F7E"/>
    <w:rsid w:val="004A1792"/>
    <w:rsid w:val="004A1942"/>
    <w:rsid w:val="004A197A"/>
    <w:rsid w:val="004A2314"/>
    <w:rsid w:val="004A268B"/>
    <w:rsid w:val="004A28DE"/>
    <w:rsid w:val="004A2CB7"/>
    <w:rsid w:val="004A3F42"/>
    <w:rsid w:val="004A4476"/>
    <w:rsid w:val="004A5105"/>
    <w:rsid w:val="004A52CA"/>
    <w:rsid w:val="004A5E16"/>
    <w:rsid w:val="004A5FF9"/>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0FC7"/>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639"/>
    <w:rsid w:val="004C1977"/>
    <w:rsid w:val="004C19AF"/>
    <w:rsid w:val="004C1B6D"/>
    <w:rsid w:val="004C1B7E"/>
    <w:rsid w:val="004C23F8"/>
    <w:rsid w:val="004C2769"/>
    <w:rsid w:val="004C2FD6"/>
    <w:rsid w:val="004C3CA8"/>
    <w:rsid w:val="004C3D5E"/>
    <w:rsid w:val="004C3E43"/>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73C"/>
    <w:rsid w:val="004D0A18"/>
    <w:rsid w:val="004D0C12"/>
    <w:rsid w:val="004D0E1B"/>
    <w:rsid w:val="004D0E43"/>
    <w:rsid w:val="004D149F"/>
    <w:rsid w:val="004D14D8"/>
    <w:rsid w:val="004D19C2"/>
    <w:rsid w:val="004D228F"/>
    <w:rsid w:val="004D3A10"/>
    <w:rsid w:val="004D3E5E"/>
    <w:rsid w:val="004D4A1D"/>
    <w:rsid w:val="004D4C54"/>
    <w:rsid w:val="004D4DFB"/>
    <w:rsid w:val="004D4E06"/>
    <w:rsid w:val="004D54EB"/>
    <w:rsid w:val="004D5540"/>
    <w:rsid w:val="004D5713"/>
    <w:rsid w:val="004D5ECC"/>
    <w:rsid w:val="004D659D"/>
    <w:rsid w:val="004D69A4"/>
    <w:rsid w:val="004D6C64"/>
    <w:rsid w:val="004D708E"/>
    <w:rsid w:val="004D72BE"/>
    <w:rsid w:val="004D78F2"/>
    <w:rsid w:val="004D7DD1"/>
    <w:rsid w:val="004D7EE8"/>
    <w:rsid w:val="004E0738"/>
    <w:rsid w:val="004E08EB"/>
    <w:rsid w:val="004E090A"/>
    <w:rsid w:val="004E14F1"/>
    <w:rsid w:val="004E174E"/>
    <w:rsid w:val="004E1D47"/>
    <w:rsid w:val="004E1D4A"/>
    <w:rsid w:val="004E254D"/>
    <w:rsid w:val="004E2852"/>
    <w:rsid w:val="004E40FE"/>
    <w:rsid w:val="004E4913"/>
    <w:rsid w:val="004E4A2F"/>
    <w:rsid w:val="004E5C33"/>
    <w:rsid w:val="004E6BEE"/>
    <w:rsid w:val="004E6E7D"/>
    <w:rsid w:val="004E6EAC"/>
    <w:rsid w:val="004E76C4"/>
    <w:rsid w:val="004E77D7"/>
    <w:rsid w:val="004E7A1F"/>
    <w:rsid w:val="004F0230"/>
    <w:rsid w:val="004F074D"/>
    <w:rsid w:val="004F1003"/>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127"/>
    <w:rsid w:val="004F5566"/>
    <w:rsid w:val="004F5793"/>
    <w:rsid w:val="004F57A9"/>
    <w:rsid w:val="004F58A1"/>
    <w:rsid w:val="004F5A8D"/>
    <w:rsid w:val="004F602C"/>
    <w:rsid w:val="004F707F"/>
    <w:rsid w:val="004F7223"/>
    <w:rsid w:val="004F7468"/>
    <w:rsid w:val="004F75F3"/>
    <w:rsid w:val="00500119"/>
    <w:rsid w:val="00500B92"/>
    <w:rsid w:val="005011E3"/>
    <w:rsid w:val="005012A4"/>
    <w:rsid w:val="00501837"/>
    <w:rsid w:val="00501886"/>
    <w:rsid w:val="005018F2"/>
    <w:rsid w:val="00501EF6"/>
    <w:rsid w:val="00502998"/>
    <w:rsid w:val="005029D4"/>
    <w:rsid w:val="00502E9D"/>
    <w:rsid w:val="00503843"/>
    <w:rsid w:val="005038D7"/>
    <w:rsid w:val="0050446C"/>
    <w:rsid w:val="0050496A"/>
    <w:rsid w:val="00504BF5"/>
    <w:rsid w:val="00504C3F"/>
    <w:rsid w:val="00505109"/>
    <w:rsid w:val="00505707"/>
    <w:rsid w:val="00505714"/>
    <w:rsid w:val="00505AE5"/>
    <w:rsid w:val="00505CEF"/>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2D89"/>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92B"/>
    <w:rsid w:val="00520A22"/>
    <w:rsid w:val="00520FF4"/>
    <w:rsid w:val="0052102A"/>
    <w:rsid w:val="00521076"/>
    <w:rsid w:val="005215E4"/>
    <w:rsid w:val="00521842"/>
    <w:rsid w:val="005219A9"/>
    <w:rsid w:val="00521A30"/>
    <w:rsid w:val="00521B1B"/>
    <w:rsid w:val="00521E64"/>
    <w:rsid w:val="00522267"/>
    <w:rsid w:val="005222D7"/>
    <w:rsid w:val="0052248E"/>
    <w:rsid w:val="00522DAB"/>
    <w:rsid w:val="00522FC8"/>
    <w:rsid w:val="00523127"/>
    <w:rsid w:val="00523157"/>
    <w:rsid w:val="00523976"/>
    <w:rsid w:val="00523CF3"/>
    <w:rsid w:val="00525139"/>
    <w:rsid w:val="005252D1"/>
    <w:rsid w:val="00525D61"/>
    <w:rsid w:val="00525DEC"/>
    <w:rsid w:val="0052622B"/>
    <w:rsid w:val="005265AA"/>
    <w:rsid w:val="005279F4"/>
    <w:rsid w:val="00527DEB"/>
    <w:rsid w:val="00527E5A"/>
    <w:rsid w:val="005301E4"/>
    <w:rsid w:val="00530745"/>
    <w:rsid w:val="00530857"/>
    <w:rsid w:val="00530ABE"/>
    <w:rsid w:val="00530E49"/>
    <w:rsid w:val="00531062"/>
    <w:rsid w:val="0053126F"/>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546"/>
    <w:rsid w:val="0053702C"/>
    <w:rsid w:val="005402BD"/>
    <w:rsid w:val="005403CC"/>
    <w:rsid w:val="00540D72"/>
    <w:rsid w:val="00540DBF"/>
    <w:rsid w:val="00540DE1"/>
    <w:rsid w:val="005416BF"/>
    <w:rsid w:val="0054185D"/>
    <w:rsid w:val="00541EF3"/>
    <w:rsid w:val="00542149"/>
    <w:rsid w:val="0054295C"/>
    <w:rsid w:val="005429BA"/>
    <w:rsid w:val="00543015"/>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E42"/>
    <w:rsid w:val="005538BF"/>
    <w:rsid w:val="0055456C"/>
    <w:rsid w:val="00554F99"/>
    <w:rsid w:val="005559B0"/>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555"/>
    <w:rsid w:val="00561908"/>
    <w:rsid w:val="00561A8C"/>
    <w:rsid w:val="005625F4"/>
    <w:rsid w:val="00562755"/>
    <w:rsid w:val="0056315A"/>
    <w:rsid w:val="00564035"/>
    <w:rsid w:val="0056432B"/>
    <w:rsid w:val="005644D3"/>
    <w:rsid w:val="00564E47"/>
    <w:rsid w:val="00564ED1"/>
    <w:rsid w:val="00565D59"/>
    <w:rsid w:val="00565DD5"/>
    <w:rsid w:val="00565F6E"/>
    <w:rsid w:val="00566706"/>
    <w:rsid w:val="00566AAB"/>
    <w:rsid w:val="00566C7E"/>
    <w:rsid w:val="00567245"/>
    <w:rsid w:val="00567772"/>
    <w:rsid w:val="00567806"/>
    <w:rsid w:val="00567DDD"/>
    <w:rsid w:val="0057055C"/>
    <w:rsid w:val="005712CA"/>
    <w:rsid w:val="005717E1"/>
    <w:rsid w:val="005719B0"/>
    <w:rsid w:val="005719C8"/>
    <w:rsid w:val="00571F48"/>
    <w:rsid w:val="005722A6"/>
    <w:rsid w:val="005726A9"/>
    <w:rsid w:val="00572F27"/>
    <w:rsid w:val="00572F85"/>
    <w:rsid w:val="00574642"/>
    <w:rsid w:val="00574684"/>
    <w:rsid w:val="00574F90"/>
    <w:rsid w:val="00574F9B"/>
    <w:rsid w:val="005750E4"/>
    <w:rsid w:val="00575DA2"/>
    <w:rsid w:val="005761EA"/>
    <w:rsid w:val="00576443"/>
    <w:rsid w:val="00576823"/>
    <w:rsid w:val="00577335"/>
    <w:rsid w:val="00580189"/>
    <w:rsid w:val="00580681"/>
    <w:rsid w:val="00580E63"/>
    <w:rsid w:val="00580F15"/>
    <w:rsid w:val="0058135D"/>
    <w:rsid w:val="00581786"/>
    <w:rsid w:val="00581F3C"/>
    <w:rsid w:val="005822E7"/>
    <w:rsid w:val="00582A1F"/>
    <w:rsid w:val="00582C55"/>
    <w:rsid w:val="005830E8"/>
    <w:rsid w:val="0058313E"/>
    <w:rsid w:val="00584402"/>
    <w:rsid w:val="00584E55"/>
    <w:rsid w:val="00584F0C"/>
    <w:rsid w:val="00584FBD"/>
    <w:rsid w:val="00585425"/>
    <w:rsid w:val="0058565E"/>
    <w:rsid w:val="005857AA"/>
    <w:rsid w:val="00585CDC"/>
    <w:rsid w:val="00585E1E"/>
    <w:rsid w:val="00585E2A"/>
    <w:rsid w:val="0058634D"/>
    <w:rsid w:val="00586859"/>
    <w:rsid w:val="0058750E"/>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4E63"/>
    <w:rsid w:val="0059559D"/>
    <w:rsid w:val="00596C41"/>
    <w:rsid w:val="00597C24"/>
    <w:rsid w:val="00597F3D"/>
    <w:rsid w:val="005A0064"/>
    <w:rsid w:val="005A0301"/>
    <w:rsid w:val="005A0A7B"/>
    <w:rsid w:val="005A1935"/>
    <w:rsid w:val="005A1BC3"/>
    <w:rsid w:val="005A1C0B"/>
    <w:rsid w:val="005A1D24"/>
    <w:rsid w:val="005A1D82"/>
    <w:rsid w:val="005A1FA7"/>
    <w:rsid w:val="005A208F"/>
    <w:rsid w:val="005A2553"/>
    <w:rsid w:val="005A2822"/>
    <w:rsid w:val="005A2978"/>
    <w:rsid w:val="005A2D87"/>
    <w:rsid w:val="005A3AC7"/>
    <w:rsid w:val="005A4665"/>
    <w:rsid w:val="005A4972"/>
    <w:rsid w:val="005A49EF"/>
    <w:rsid w:val="005A4B08"/>
    <w:rsid w:val="005A5E6A"/>
    <w:rsid w:val="005A64E8"/>
    <w:rsid w:val="005A6CD3"/>
    <w:rsid w:val="005A783A"/>
    <w:rsid w:val="005A7C55"/>
    <w:rsid w:val="005A7DA0"/>
    <w:rsid w:val="005A7FEA"/>
    <w:rsid w:val="005B007F"/>
    <w:rsid w:val="005B0306"/>
    <w:rsid w:val="005B0957"/>
    <w:rsid w:val="005B12AF"/>
    <w:rsid w:val="005B149F"/>
    <w:rsid w:val="005B1556"/>
    <w:rsid w:val="005B19B7"/>
    <w:rsid w:val="005B22A2"/>
    <w:rsid w:val="005B22A5"/>
    <w:rsid w:val="005B2E54"/>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F89"/>
    <w:rsid w:val="005C30AB"/>
    <w:rsid w:val="005C3196"/>
    <w:rsid w:val="005C4C1D"/>
    <w:rsid w:val="005C4E6A"/>
    <w:rsid w:val="005C5239"/>
    <w:rsid w:val="005C52FD"/>
    <w:rsid w:val="005C54BA"/>
    <w:rsid w:val="005C5CF7"/>
    <w:rsid w:val="005C5DC9"/>
    <w:rsid w:val="005C6292"/>
    <w:rsid w:val="005C6673"/>
    <w:rsid w:val="005C67CE"/>
    <w:rsid w:val="005C69A8"/>
    <w:rsid w:val="005C69D5"/>
    <w:rsid w:val="005C6CC2"/>
    <w:rsid w:val="005C7D54"/>
    <w:rsid w:val="005C7FC9"/>
    <w:rsid w:val="005D0B8A"/>
    <w:rsid w:val="005D188B"/>
    <w:rsid w:val="005D1AA1"/>
    <w:rsid w:val="005D275E"/>
    <w:rsid w:val="005D2D3B"/>
    <w:rsid w:val="005D3AB6"/>
    <w:rsid w:val="005D3F8C"/>
    <w:rsid w:val="005D4031"/>
    <w:rsid w:val="005D408F"/>
    <w:rsid w:val="005D4727"/>
    <w:rsid w:val="005D5415"/>
    <w:rsid w:val="005D5B55"/>
    <w:rsid w:val="005D5EBC"/>
    <w:rsid w:val="005D5F47"/>
    <w:rsid w:val="005D6011"/>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997"/>
    <w:rsid w:val="005E3B31"/>
    <w:rsid w:val="005E4382"/>
    <w:rsid w:val="005E44F0"/>
    <w:rsid w:val="005E4529"/>
    <w:rsid w:val="005E5AF2"/>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2BC6"/>
    <w:rsid w:val="005F3036"/>
    <w:rsid w:val="005F3736"/>
    <w:rsid w:val="005F3871"/>
    <w:rsid w:val="005F393E"/>
    <w:rsid w:val="005F3B77"/>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07C0D"/>
    <w:rsid w:val="006100F3"/>
    <w:rsid w:val="006104CB"/>
    <w:rsid w:val="00610BEC"/>
    <w:rsid w:val="006110A0"/>
    <w:rsid w:val="00611265"/>
    <w:rsid w:val="00611691"/>
    <w:rsid w:val="00611E04"/>
    <w:rsid w:val="00611EF0"/>
    <w:rsid w:val="006121F9"/>
    <w:rsid w:val="00612503"/>
    <w:rsid w:val="00612814"/>
    <w:rsid w:val="006130FD"/>
    <w:rsid w:val="0061325B"/>
    <w:rsid w:val="006132A4"/>
    <w:rsid w:val="006135B6"/>
    <w:rsid w:val="00613BE7"/>
    <w:rsid w:val="00613D14"/>
    <w:rsid w:val="00613DFA"/>
    <w:rsid w:val="0061401C"/>
    <w:rsid w:val="006142C3"/>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42F4"/>
    <w:rsid w:val="006244DE"/>
    <w:rsid w:val="006254D3"/>
    <w:rsid w:val="0062567F"/>
    <w:rsid w:val="00625AF1"/>
    <w:rsid w:val="00626106"/>
    <w:rsid w:val="0062620E"/>
    <w:rsid w:val="00626346"/>
    <w:rsid w:val="006265E0"/>
    <w:rsid w:val="00626F89"/>
    <w:rsid w:val="0062703B"/>
    <w:rsid w:val="0062704C"/>
    <w:rsid w:val="00627940"/>
    <w:rsid w:val="006279EA"/>
    <w:rsid w:val="00627CA9"/>
    <w:rsid w:val="00627ED8"/>
    <w:rsid w:val="00627FC3"/>
    <w:rsid w:val="00627FD0"/>
    <w:rsid w:val="006301A5"/>
    <w:rsid w:val="006303D0"/>
    <w:rsid w:val="0063070C"/>
    <w:rsid w:val="006307EE"/>
    <w:rsid w:val="00630C91"/>
    <w:rsid w:val="00631260"/>
    <w:rsid w:val="006316D9"/>
    <w:rsid w:val="00631A1D"/>
    <w:rsid w:val="006320CB"/>
    <w:rsid w:val="00632378"/>
    <w:rsid w:val="00633829"/>
    <w:rsid w:val="00633A50"/>
    <w:rsid w:val="00633DED"/>
    <w:rsid w:val="006342FE"/>
    <w:rsid w:val="00634589"/>
    <w:rsid w:val="006346FE"/>
    <w:rsid w:val="00634817"/>
    <w:rsid w:val="00634D3D"/>
    <w:rsid w:val="00634DC9"/>
    <w:rsid w:val="00634E71"/>
    <w:rsid w:val="006350D7"/>
    <w:rsid w:val="0063510D"/>
    <w:rsid w:val="00635173"/>
    <w:rsid w:val="00635997"/>
    <w:rsid w:val="00635C2F"/>
    <w:rsid w:val="00635C8D"/>
    <w:rsid w:val="00635E3E"/>
    <w:rsid w:val="006360D7"/>
    <w:rsid w:val="006363E4"/>
    <w:rsid w:val="006365B4"/>
    <w:rsid w:val="00636B5E"/>
    <w:rsid w:val="00636CEE"/>
    <w:rsid w:val="00636D62"/>
    <w:rsid w:val="00636F4C"/>
    <w:rsid w:val="00636FE9"/>
    <w:rsid w:val="00637EFA"/>
    <w:rsid w:val="00640797"/>
    <w:rsid w:val="00640BC8"/>
    <w:rsid w:val="00640F6E"/>
    <w:rsid w:val="006414FF"/>
    <w:rsid w:val="006421D5"/>
    <w:rsid w:val="0064221C"/>
    <w:rsid w:val="00642451"/>
    <w:rsid w:val="00642544"/>
    <w:rsid w:val="006425A6"/>
    <w:rsid w:val="0064267D"/>
    <w:rsid w:val="00642A41"/>
    <w:rsid w:val="00642A56"/>
    <w:rsid w:val="00642B3F"/>
    <w:rsid w:val="00643194"/>
    <w:rsid w:val="0064375C"/>
    <w:rsid w:val="00643CF3"/>
    <w:rsid w:val="00644D51"/>
    <w:rsid w:val="00644DA3"/>
    <w:rsid w:val="00645994"/>
    <w:rsid w:val="00645A66"/>
    <w:rsid w:val="00645F59"/>
    <w:rsid w:val="0064620D"/>
    <w:rsid w:val="00646458"/>
    <w:rsid w:val="006464B2"/>
    <w:rsid w:val="0064659A"/>
    <w:rsid w:val="00647075"/>
    <w:rsid w:val="00647171"/>
    <w:rsid w:val="00647480"/>
    <w:rsid w:val="00647AF1"/>
    <w:rsid w:val="00650AED"/>
    <w:rsid w:val="00650DBE"/>
    <w:rsid w:val="0065116A"/>
    <w:rsid w:val="00651A5E"/>
    <w:rsid w:val="00651EF4"/>
    <w:rsid w:val="0065240B"/>
    <w:rsid w:val="00652763"/>
    <w:rsid w:val="006527E4"/>
    <w:rsid w:val="00653B15"/>
    <w:rsid w:val="00653C58"/>
    <w:rsid w:val="00654C2B"/>
    <w:rsid w:val="00655300"/>
    <w:rsid w:val="0065606C"/>
    <w:rsid w:val="00656644"/>
    <w:rsid w:val="00656718"/>
    <w:rsid w:val="00657254"/>
    <w:rsid w:val="00657313"/>
    <w:rsid w:val="006575BC"/>
    <w:rsid w:val="00657C3D"/>
    <w:rsid w:val="00657D9B"/>
    <w:rsid w:val="00657F0F"/>
    <w:rsid w:val="00657FAA"/>
    <w:rsid w:val="00660253"/>
    <w:rsid w:val="006604D2"/>
    <w:rsid w:val="006612FC"/>
    <w:rsid w:val="0066196B"/>
    <w:rsid w:val="00661989"/>
    <w:rsid w:val="00661A46"/>
    <w:rsid w:val="00661B56"/>
    <w:rsid w:val="00661BF9"/>
    <w:rsid w:val="00661CA2"/>
    <w:rsid w:val="00661E87"/>
    <w:rsid w:val="00661FC1"/>
    <w:rsid w:val="00662327"/>
    <w:rsid w:val="00662795"/>
    <w:rsid w:val="006629EC"/>
    <w:rsid w:val="00662A36"/>
    <w:rsid w:val="006631CB"/>
    <w:rsid w:val="0066369F"/>
    <w:rsid w:val="00663802"/>
    <w:rsid w:val="00663DA3"/>
    <w:rsid w:val="00664392"/>
    <w:rsid w:val="006644DF"/>
    <w:rsid w:val="00664B90"/>
    <w:rsid w:val="00664C5F"/>
    <w:rsid w:val="00664DCB"/>
    <w:rsid w:val="00666608"/>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E7B"/>
    <w:rsid w:val="0067417E"/>
    <w:rsid w:val="006742D9"/>
    <w:rsid w:val="0067433D"/>
    <w:rsid w:val="00674502"/>
    <w:rsid w:val="006745BC"/>
    <w:rsid w:val="006747F9"/>
    <w:rsid w:val="00674901"/>
    <w:rsid w:val="00674966"/>
    <w:rsid w:val="00674B9E"/>
    <w:rsid w:val="00674DD4"/>
    <w:rsid w:val="00675172"/>
    <w:rsid w:val="00675F6F"/>
    <w:rsid w:val="00676247"/>
    <w:rsid w:val="0067650C"/>
    <w:rsid w:val="00676599"/>
    <w:rsid w:val="006766C0"/>
    <w:rsid w:val="0067736D"/>
    <w:rsid w:val="00677727"/>
    <w:rsid w:val="00677E63"/>
    <w:rsid w:val="00677EA7"/>
    <w:rsid w:val="00680025"/>
    <w:rsid w:val="00680034"/>
    <w:rsid w:val="00680CBE"/>
    <w:rsid w:val="00680EEC"/>
    <w:rsid w:val="006810B6"/>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375D"/>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2FF3"/>
    <w:rsid w:val="006A3464"/>
    <w:rsid w:val="006A3D3C"/>
    <w:rsid w:val="006A4059"/>
    <w:rsid w:val="006A44E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BA9"/>
    <w:rsid w:val="006B0FFF"/>
    <w:rsid w:val="006B1828"/>
    <w:rsid w:val="006B1E65"/>
    <w:rsid w:val="006B2403"/>
    <w:rsid w:val="006B25A7"/>
    <w:rsid w:val="006B267A"/>
    <w:rsid w:val="006B2D4E"/>
    <w:rsid w:val="006B309C"/>
    <w:rsid w:val="006B319C"/>
    <w:rsid w:val="006B332C"/>
    <w:rsid w:val="006B34E3"/>
    <w:rsid w:val="006B398D"/>
    <w:rsid w:val="006B5033"/>
    <w:rsid w:val="006B549F"/>
    <w:rsid w:val="006B647A"/>
    <w:rsid w:val="006B653E"/>
    <w:rsid w:val="006B6A0B"/>
    <w:rsid w:val="006B7421"/>
    <w:rsid w:val="006B74D4"/>
    <w:rsid w:val="006B7B3C"/>
    <w:rsid w:val="006C088E"/>
    <w:rsid w:val="006C1746"/>
    <w:rsid w:val="006C1DF2"/>
    <w:rsid w:val="006C2037"/>
    <w:rsid w:val="006C25F3"/>
    <w:rsid w:val="006C366B"/>
    <w:rsid w:val="006C3676"/>
    <w:rsid w:val="006C39BF"/>
    <w:rsid w:val="006C39C3"/>
    <w:rsid w:val="006C4600"/>
    <w:rsid w:val="006C4B17"/>
    <w:rsid w:val="006C503B"/>
    <w:rsid w:val="006C5660"/>
    <w:rsid w:val="006C5D15"/>
    <w:rsid w:val="006C5E1E"/>
    <w:rsid w:val="006C63AC"/>
    <w:rsid w:val="006C69D6"/>
    <w:rsid w:val="006C721C"/>
    <w:rsid w:val="006C7320"/>
    <w:rsid w:val="006C7465"/>
    <w:rsid w:val="006C75E6"/>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D92"/>
    <w:rsid w:val="006D4F76"/>
    <w:rsid w:val="006D5CC9"/>
    <w:rsid w:val="006D6D00"/>
    <w:rsid w:val="006D71BD"/>
    <w:rsid w:val="006D73F4"/>
    <w:rsid w:val="006E0041"/>
    <w:rsid w:val="006E0808"/>
    <w:rsid w:val="006E0ABC"/>
    <w:rsid w:val="006E0BBB"/>
    <w:rsid w:val="006E0DBD"/>
    <w:rsid w:val="006E0F51"/>
    <w:rsid w:val="006E15EB"/>
    <w:rsid w:val="006E17D7"/>
    <w:rsid w:val="006E1A16"/>
    <w:rsid w:val="006E1D07"/>
    <w:rsid w:val="006E1ECB"/>
    <w:rsid w:val="006E265F"/>
    <w:rsid w:val="006E28B0"/>
    <w:rsid w:val="006E2D6E"/>
    <w:rsid w:val="006E31AA"/>
    <w:rsid w:val="006E3402"/>
    <w:rsid w:val="006E390E"/>
    <w:rsid w:val="006E42CF"/>
    <w:rsid w:val="006E47A3"/>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495"/>
    <w:rsid w:val="00702635"/>
    <w:rsid w:val="0070323D"/>
    <w:rsid w:val="00703465"/>
    <w:rsid w:val="0070385E"/>
    <w:rsid w:val="0070388F"/>
    <w:rsid w:val="00703F47"/>
    <w:rsid w:val="00704383"/>
    <w:rsid w:val="00704FB1"/>
    <w:rsid w:val="0070561F"/>
    <w:rsid w:val="0070605D"/>
    <w:rsid w:val="0070679C"/>
    <w:rsid w:val="00706B99"/>
    <w:rsid w:val="007070E0"/>
    <w:rsid w:val="007070E5"/>
    <w:rsid w:val="007072E1"/>
    <w:rsid w:val="00707347"/>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C6C"/>
    <w:rsid w:val="00713E44"/>
    <w:rsid w:val="0071431B"/>
    <w:rsid w:val="0071439C"/>
    <w:rsid w:val="0071457F"/>
    <w:rsid w:val="00715E03"/>
    <w:rsid w:val="00716093"/>
    <w:rsid w:val="007163E9"/>
    <w:rsid w:val="0071666D"/>
    <w:rsid w:val="007168F4"/>
    <w:rsid w:val="00716AB5"/>
    <w:rsid w:val="007170A1"/>
    <w:rsid w:val="00717E72"/>
    <w:rsid w:val="007206A3"/>
    <w:rsid w:val="00720704"/>
    <w:rsid w:val="00720F38"/>
    <w:rsid w:val="00721216"/>
    <w:rsid w:val="0072128E"/>
    <w:rsid w:val="00721326"/>
    <w:rsid w:val="00721874"/>
    <w:rsid w:val="007218D9"/>
    <w:rsid w:val="00721A25"/>
    <w:rsid w:val="0072283D"/>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9B1"/>
    <w:rsid w:val="00730B45"/>
    <w:rsid w:val="00730D08"/>
    <w:rsid w:val="00731A3C"/>
    <w:rsid w:val="00731B92"/>
    <w:rsid w:val="00731CEB"/>
    <w:rsid w:val="00732344"/>
    <w:rsid w:val="00732743"/>
    <w:rsid w:val="00732C53"/>
    <w:rsid w:val="007333C0"/>
    <w:rsid w:val="0073361E"/>
    <w:rsid w:val="00734A7D"/>
    <w:rsid w:val="00734AB7"/>
    <w:rsid w:val="007350E4"/>
    <w:rsid w:val="00735389"/>
    <w:rsid w:val="0073562D"/>
    <w:rsid w:val="00735A4E"/>
    <w:rsid w:val="0073661F"/>
    <w:rsid w:val="00736B36"/>
    <w:rsid w:val="00736B46"/>
    <w:rsid w:val="00736E86"/>
    <w:rsid w:val="00736EB8"/>
    <w:rsid w:val="007372BA"/>
    <w:rsid w:val="00737C08"/>
    <w:rsid w:val="00737D80"/>
    <w:rsid w:val="00737FC7"/>
    <w:rsid w:val="007400AB"/>
    <w:rsid w:val="00740177"/>
    <w:rsid w:val="00740328"/>
    <w:rsid w:val="007403D8"/>
    <w:rsid w:val="00740781"/>
    <w:rsid w:val="00740C27"/>
    <w:rsid w:val="00741499"/>
    <w:rsid w:val="00741627"/>
    <w:rsid w:val="0074189B"/>
    <w:rsid w:val="00744068"/>
    <w:rsid w:val="0074450D"/>
    <w:rsid w:val="007445D1"/>
    <w:rsid w:val="0074482A"/>
    <w:rsid w:val="00744AE9"/>
    <w:rsid w:val="00745499"/>
    <w:rsid w:val="0074667D"/>
    <w:rsid w:val="00746AFF"/>
    <w:rsid w:val="007471A3"/>
    <w:rsid w:val="007473AB"/>
    <w:rsid w:val="007474EA"/>
    <w:rsid w:val="007475F6"/>
    <w:rsid w:val="00747A80"/>
    <w:rsid w:val="00747E9B"/>
    <w:rsid w:val="00747EF7"/>
    <w:rsid w:val="00750949"/>
    <w:rsid w:val="007509EF"/>
    <w:rsid w:val="00750E4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5180"/>
    <w:rsid w:val="007568C8"/>
    <w:rsid w:val="00756972"/>
    <w:rsid w:val="00756A2E"/>
    <w:rsid w:val="00756D51"/>
    <w:rsid w:val="00756E06"/>
    <w:rsid w:val="00757099"/>
    <w:rsid w:val="00757373"/>
    <w:rsid w:val="00757BA6"/>
    <w:rsid w:val="00760A34"/>
    <w:rsid w:val="00760C73"/>
    <w:rsid w:val="00760D44"/>
    <w:rsid w:val="00761151"/>
    <w:rsid w:val="00761532"/>
    <w:rsid w:val="00761CFD"/>
    <w:rsid w:val="00762105"/>
    <w:rsid w:val="0076339B"/>
    <w:rsid w:val="00763665"/>
    <w:rsid w:val="00763A7C"/>
    <w:rsid w:val="00763CBD"/>
    <w:rsid w:val="007644C1"/>
    <w:rsid w:val="00764F78"/>
    <w:rsid w:val="007651AF"/>
    <w:rsid w:val="007661F5"/>
    <w:rsid w:val="007670E9"/>
    <w:rsid w:val="00767345"/>
    <w:rsid w:val="00767457"/>
    <w:rsid w:val="00767EBD"/>
    <w:rsid w:val="00770055"/>
    <w:rsid w:val="00770089"/>
    <w:rsid w:val="007700A3"/>
    <w:rsid w:val="007704AE"/>
    <w:rsid w:val="007705FD"/>
    <w:rsid w:val="007706A5"/>
    <w:rsid w:val="00770FA6"/>
    <w:rsid w:val="00771197"/>
    <w:rsid w:val="00771373"/>
    <w:rsid w:val="00771417"/>
    <w:rsid w:val="0077163B"/>
    <w:rsid w:val="0077188E"/>
    <w:rsid w:val="00771DD7"/>
    <w:rsid w:val="00771ECE"/>
    <w:rsid w:val="0077240E"/>
    <w:rsid w:val="0077276E"/>
    <w:rsid w:val="00772AC0"/>
    <w:rsid w:val="0077325D"/>
    <w:rsid w:val="00773671"/>
    <w:rsid w:val="0077386F"/>
    <w:rsid w:val="00773F3A"/>
    <w:rsid w:val="00774179"/>
    <w:rsid w:val="007746BE"/>
    <w:rsid w:val="0077569D"/>
    <w:rsid w:val="007759DD"/>
    <w:rsid w:val="007760FF"/>
    <w:rsid w:val="00776342"/>
    <w:rsid w:val="00776796"/>
    <w:rsid w:val="00776E47"/>
    <w:rsid w:val="00776EEB"/>
    <w:rsid w:val="007774B5"/>
    <w:rsid w:val="00777861"/>
    <w:rsid w:val="0077790D"/>
    <w:rsid w:val="00777E2F"/>
    <w:rsid w:val="00781356"/>
    <w:rsid w:val="0078136C"/>
    <w:rsid w:val="007813C7"/>
    <w:rsid w:val="00781DDF"/>
    <w:rsid w:val="007825A9"/>
    <w:rsid w:val="007826F1"/>
    <w:rsid w:val="00782710"/>
    <w:rsid w:val="00782BDF"/>
    <w:rsid w:val="00782DE8"/>
    <w:rsid w:val="00782FBF"/>
    <w:rsid w:val="007830AF"/>
    <w:rsid w:val="007831F3"/>
    <w:rsid w:val="007832EA"/>
    <w:rsid w:val="0078334F"/>
    <w:rsid w:val="007837B5"/>
    <w:rsid w:val="007838C4"/>
    <w:rsid w:val="00783F2B"/>
    <w:rsid w:val="00784108"/>
    <w:rsid w:val="00784604"/>
    <w:rsid w:val="007847CE"/>
    <w:rsid w:val="0078481A"/>
    <w:rsid w:val="00784DAE"/>
    <w:rsid w:val="00785176"/>
    <w:rsid w:val="00785460"/>
    <w:rsid w:val="00785ADC"/>
    <w:rsid w:val="00785B9B"/>
    <w:rsid w:val="00787107"/>
    <w:rsid w:val="0078729D"/>
    <w:rsid w:val="00787318"/>
    <w:rsid w:val="007875F6"/>
    <w:rsid w:val="007879D4"/>
    <w:rsid w:val="007903A9"/>
    <w:rsid w:val="00790580"/>
    <w:rsid w:val="0079129D"/>
    <w:rsid w:val="0079130C"/>
    <w:rsid w:val="007913C9"/>
    <w:rsid w:val="007922A6"/>
    <w:rsid w:val="0079240C"/>
    <w:rsid w:val="007925C0"/>
    <w:rsid w:val="00792CDE"/>
    <w:rsid w:val="00793720"/>
    <w:rsid w:val="00793CAC"/>
    <w:rsid w:val="00793CFD"/>
    <w:rsid w:val="00793FC3"/>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6A5"/>
    <w:rsid w:val="007A1DE4"/>
    <w:rsid w:val="007A1F66"/>
    <w:rsid w:val="007A2048"/>
    <w:rsid w:val="007A211D"/>
    <w:rsid w:val="007A22C2"/>
    <w:rsid w:val="007A25E0"/>
    <w:rsid w:val="007A276E"/>
    <w:rsid w:val="007A2DB4"/>
    <w:rsid w:val="007A3302"/>
    <w:rsid w:val="007A3335"/>
    <w:rsid w:val="007A36D1"/>
    <w:rsid w:val="007A39D8"/>
    <w:rsid w:val="007A3C41"/>
    <w:rsid w:val="007A3FA7"/>
    <w:rsid w:val="007A406F"/>
    <w:rsid w:val="007A4F0F"/>
    <w:rsid w:val="007A57C7"/>
    <w:rsid w:val="007A5A90"/>
    <w:rsid w:val="007A5B25"/>
    <w:rsid w:val="007A5BC0"/>
    <w:rsid w:val="007A645A"/>
    <w:rsid w:val="007A69C3"/>
    <w:rsid w:val="007A6AA8"/>
    <w:rsid w:val="007A6D90"/>
    <w:rsid w:val="007A731A"/>
    <w:rsid w:val="007A7453"/>
    <w:rsid w:val="007A7B6E"/>
    <w:rsid w:val="007B0346"/>
    <w:rsid w:val="007B0600"/>
    <w:rsid w:val="007B0801"/>
    <w:rsid w:val="007B0832"/>
    <w:rsid w:val="007B09DB"/>
    <w:rsid w:val="007B0B35"/>
    <w:rsid w:val="007B19AD"/>
    <w:rsid w:val="007B1D8A"/>
    <w:rsid w:val="007B1E09"/>
    <w:rsid w:val="007B2693"/>
    <w:rsid w:val="007B2F1E"/>
    <w:rsid w:val="007B342A"/>
    <w:rsid w:val="007B3B27"/>
    <w:rsid w:val="007B3FE2"/>
    <w:rsid w:val="007B4382"/>
    <w:rsid w:val="007B479F"/>
    <w:rsid w:val="007B494D"/>
    <w:rsid w:val="007B575F"/>
    <w:rsid w:val="007B5BB5"/>
    <w:rsid w:val="007B5BFF"/>
    <w:rsid w:val="007B5F19"/>
    <w:rsid w:val="007B5F59"/>
    <w:rsid w:val="007B634F"/>
    <w:rsid w:val="007B63E1"/>
    <w:rsid w:val="007B6C56"/>
    <w:rsid w:val="007B73C6"/>
    <w:rsid w:val="007B7636"/>
    <w:rsid w:val="007B77EF"/>
    <w:rsid w:val="007B77F0"/>
    <w:rsid w:val="007B791E"/>
    <w:rsid w:val="007C0094"/>
    <w:rsid w:val="007C0E21"/>
    <w:rsid w:val="007C10A5"/>
    <w:rsid w:val="007C132C"/>
    <w:rsid w:val="007C15FA"/>
    <w:rsid w:val="007C16EE"/>
    <w:rsid w:val="007C1AAA"/>
    <w:rsid w:val="007C1EA5"/>
    <w:rsid w:val="007C1EB6"/>
    <w:rsid w:val="007C1F49"/>
    <w:rsid w:val="007C2051"/>
    <w:rsid w:val="007C2737"/>
    <w:rsid w:val="007C2D3D"/>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6F09"/>
    <w:rsid w:val="007C6FC4"/>
    <w:rsid w:val="007C73F9"/>
    <w:rsid w:val="007C7B90"/>
    <w:rsid w:val="007C7BF1"/>
    <w:rsid w:val="007D01FC"/>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050"/>
    <w:rsid w:val="007E44A0"/>
    <w:rsid w:val="007E47DA"/>
    <w:rsid w:val="007E4C7E"/>
    <w:rsid w:val="007E4F7B"/>
    <w:rsid w:val="007E53C1"/>
    <w:rsid w:val="007E5A18"/>
    <w:rsid w:val="007E5A1C"/>
    <w:rsid w:val="007E60E9"/>
    <w:rsid w:val="007E676F"/>
    <w:rsid w:val="007E6851"/>
    <w:rsid w:val="007E7128"/>
    <w:rsid w:val="007E72ED"/>
    <w:rsid w:val="007E79A1"/>
    <w:rsid w:val="007F033E"/>
    <w:rsid w:val="007F083E"/>
    <w:rsid w:val="007F193B"/>
    <w:rsid w:val="007F285D"/>
    <w:rsid w:val="007F2993"/>
    <w:rsid w:val="007F2C29"/>
    <w:rsid w:val="007F2CD7"/>
    <w:rsid w:val="007F34E8"/>
    <w:rsid w:val="007F3FA8"/>
    <w:rsid w:val="007F40A6"/>
    <w:rsid w:val="007F42FD"/>
    <w:rsid w:val="007F4694"/>
    <w:rsid w:val="007F4AD9"/>
    <w:rsid w:val="007F5625"/>
    <w:rsid w:val="007F58A5"/>
    <w:rsid w:val="007F6124"/>
    <w:rsid w:val="007F65C3"/>
    <w:rsid w:val="007F683C"/>
    <w:rsid w:val="007F7AF2"/>
    <w:rsid w:val="007F7DCC"/>
    <w:rsid w:val="00800AA6"/>
    <w:rsid w:val="0080124D"/>
    <w:rsid w:val="008012A8"/>
    <w:rsid w:val="00801357"/>
    <w:rsid w:val="00801401"/>
    <w:rsid w:val="008019A6"/>
    <w:rsid w:val="00801FC1"/>
    <w:rsid w:val="00801FCE"/>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302"/>
    <w:rsid w:val="0081087D"/>
    <w:rsid w:val="0081140B"/>
    <w:rsid w:val="008115B2"/>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75B"/>
    <w:rsid w:val="00823BFB"/>
    <w:rsid w:val="00823E39"/>
    <w:rsid w:val="00823F86"/>
    <w:rsid w:val="00824117"/>
    <w:rsid w:val="00824318"/>
    <w:rsid w:val="0082431D"/>
    <w:rsid w:val="008249AA"/>
    <w:rsid w:val="00824A39"/>
    <w:rsid w:val="00825132"/>
    <w:rsid w:val="00825DEF"/>
    <w:rsid w:val="008263F9"/>
    <w:rsid w:val="00826E71"/>
    <w:rsid w:val="00826F30"/>
    <w:rsid w:val="00826FA1"/>
    <w:rsid w:val="00827002"/>
    <w:rsid w:val="00827185"/>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692"/>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2E31"/>
    <w:rsid w:val="008539A5"/>
    <w:rsid w:val="00853B1F"/>
    <w:rsid w:val="00853CB8"/>
    <w:rsid w:val="008546E8"/>
    <w:rsid w:val="008547BD"/>
    <w:rsid w:val="00855FCB"/>
    <w:rsid w:val="00855FD4"/>
    <w:rsid w:val="008560F3"/>
    <w:rsid w:val="00856D41"/>
    <w:rsid w:val="00857586"/>
    <w:rsid w:val="00857AD2"/>
    <w:rsid w:val="00857B74"/>
    <w:rsid w:val="008603CD"/>
    <w:rsid w:val="0086044E"/>
    <w:rsid w:val="00860714"/>
    <w:rsid w:val="00860CC5"/>
    <w:rsid w:val="008610D1"/>
    <w:rsid w:val="008615B8"/>
    <w:rsid w:val="0086161A"/>
    <w:rsid w:val="00861B3C"/>
    <w:rsid w:val="00861BB9"/>
    <w:rsid w:val="00861C2F"/>
    <w:rsid w:val="0086218E"/>
    <w:rsid w:val="0086255C"/>
    <w:rsid w:val="00863008"/>
    <w:rsid w:val="008630C8"/>
    <w:rsid w:val="00863213"/>
    <w:rsid w:val="008632F0"/>
    <w:rsid w:val="008633E5"/>
    <w:rsid w:val="008637BA"/>
    <w:rsid w:val="00863A36"/>
    <w:rsid w:val="00863C2F"/>
    <w:rsid w:val="008641A3"/>
    <w:rsid w:val="00864952"/>
    <w:rsid w:val="00865355"/>
    <w:rsid w:val="00866447"/>
    <w:rsid w:val="00866887"/>
    <w:rsid w:val="00866A4E"/>
    <w:rsid w:val="008672A0"/>
    <w:rsid w:val="00870651"/>
    <w:rsid w:val="008707D8"/>
    <w:rsid w:val="00870B91"/>
    <w:rsid w:val="00871394"/>
    <w:rsid w:val="00871497"/>
    <w:rsid w:val="00871849"/>
    <w:rsid w:val="0087198C"/>
    <w:rsid w:val="00871E08"/>
    <w:rsid w:val="008722B3"/>
    <w:rsid w:val="00872BE4"/>
    <w:rsid w:val="00873D6D"/>
    <w:rsid w:val="00873D85"/>
    <w:rsid w:val="008742B2"/>
    <w:rsid w:val="0087446D"/>
    <w:rsid w:val="00874708"/>
    <w:rsid w:val="00874869"/>
    <w:rsid w:val="008750FF"/>
    <w:rsid w:val="0087550A"/>
    <w:rsid w:val="0087668F"/>
    <w:rsid w:val="008768EC"/>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A36"/>
    <w:rsid w:val="00885C4F"/>
    <w:rsid w:val="00885C79"/>
    <w:rsid w:val="00886035"/>
    <w:rsid w:val="00886578"/>
    <w:rsid w:val="0088659E"/>
    <w:rsid w:val="008866E2"/>
    <w:rsid w:val="008866ED"/>
    <w:rsid w:val="00886862"/>
    <w:rsid w:val="008868BE"/>
    <w:rsid w:val="00886ABE"/>
    <w:rsid w:val="008870A5"/>
    <w:rsid w:val="008871B9"/>
    <w:rsid w:val="008872F0"/>
    <w:rsid w:val="00887948"/>
    <w:rsid w:val="00887A1E"/>
    <w:rsid w:val="00887AA9"/>
    <w:rsid w:val="00887DDF"/>
    <w:rsid w:val="008901DA"/>
    <w:rsid w:val="00890568"/>
    <w:rsid w:val="00890A69"/>
    <w:rsid w:val="00891772"/>
    <w:rsid w:val="00891A0F"/>
    <w:rsid w:val="00891B45"/>
    <w:rsid w:val="00892A82"/>
    <w:rsid w:val="00892DCB"/>
    <w:rsid w:val="00893297"/>
    <w:rsid w:val="00893380"/>
    <w:rsid w:val="00893DD3"/>
    <w:rsid w:val="0089402B"/>
    <w:rsid w:val="008946F2"/>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2416"/>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00E"/>
    <w:rsid w:val="008C04B5"/>
    <w:rsid w:val="008C0506"/>
    <w:rsid w:val="008C090F"/>
    <w:rsid w:val="008C0911"/>
    <w:rsid w:val="008C0A1D"/>
    <w:rsid w:val="008C0BB4"/>
    <w:rsid w:val="008C1260"/>
    <w:rsid w:val="008C1881"/>
    <w:rsid w:val="008C1AD5"/>
    <w:rsid w:val="008C2069"/>
    <w:rsid w:val="008C2F60"/>
    <w:rsid w:val="008C3614"/>
    <w:rsid w:val="008C3636"/>
    <w:rsid w:val="008C3C47"/>
    <w:rsid w:val="008C46B6"/>
    <w:rsid w:val="008C4BDC"/>
    <w:rsid w:val="008C56D0"/>
    <w:rsid w:val="008C5C50"/>
    <w:rsid w:val="008C71A7"/>
    <w:rsid w:val="008D0596"/>
    <w:rsid w:val="008D0868"/>
    <w:rsid w:val="008D0D33"/>
    <w:rsid w:val="008D1592"/>
    <w:rsid w:val="008D1707"/>
    <w:rsid w:val="008D1C13"/>
    <w:rsid w:val="008D1D6F"/>
    <w:rsid w:val="008D1DE0"/>
    <w:rsid w:val="008D1FF3"/>
    <w:rsid w:val="008D2492"/>
    <w:rsid w:val="008D2682"/>
    <w:rsid w:val="008D4015"/>
    <w:rsid w:val="008D430D"/>
    <w:rsid w:val="008D47E9"/>
    <w:rsid w:val="008D50AE"/>
    <w:rsid w:val="008D513A"/>
    <w:rsid w:val="008D6503"/>
    <w:rsid w:val="008D67DB"/>
    <w:rsid w:val="008D6A81"/>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E7FD6"/>
    <w:rsid w:val="008F0033"/>
    <w:rsid w:val="008F00F9"/>
    <w:rsid w:val="008F06A9"/>
    <w:rsid w:val="008F1106"/>
    <w:rsid w:val="008F1184"/>
    <w:rsid w:val="008F1B16"/>
    <w:rsid w:val="008F1BD1"/>
    <w:rsid w:val="008F1BEC"/>
    <w:rsid w:val="008F1C03"/>
    <w:rsid w:val="008F1EDF"/>
    <w:rsid w:val="008F2604"/>
    <w:rsid w:val="008F2841"/>
    <w:rsid w:val="008F2CB3"/>
    <w:rsid w:val="008F2CF5"/>
    <w:rsid w:val="008F2DF4"/>
    <w:rsid w:val="008F3381"/>
    <w:rsid w:val="008F3481"/>
    <w:rsid w:val="008F3BCF"/>
    <w:rsid w:val="008F46EE"/>
    <w:rsid w:val="008F5F7F"/>
    <w:rsid w:val="008F6009"/>
    <w:rsid w:val="008F6CB5"/>
    <w:rsid w:val="008F6FE3"/>
    <w:rsid w:val="008F7AAC"/>
    <w:rsid w:val="0090009A"/>
    <w:rsid w:val="009006CB"/>
    <w:rsid w:val="00900CAD"/>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7FE"/>
    <w:rsid w:val="00905B55"/>
    <w:rsid w:val="00906C1F"/>
    <w:rsid w:val="009071A0"/>
    <w:rsid w:val="00907680"/>
    <w:rsid w:val="009077CB"/>
    <w:rsid w:val="00907BD2"/>
    <w:rsid w:val="00907C3A"/>
    <w:rsid w:val="00907CD9"/>
    <w:rsid w:val="00907D5A"/>
    <w:rsid w:val="009104A2"/>
    <w:rsid w:val="00910553"/>
    <w:rsid w:val="00910C8C"/>
    <w:rsid w:val="00910ED4"/>
    <w:rsid w:val="0091105C"/>
    <w:rsid w:val="00911184"/>
    <w:rsid w:val="009117F5"/>
    <w:rsid w:val="009120F7"/>
    <w:rsid w:val="00912372"/>
    <w:rsid w:val="0091276F"/>
    <w:rsid w:val="00912BB1"/>
    <w:rsid w:val="0091302A"/>
    <w:rsid w:val="0091361E"/>
    <w:rsid w:val="009138D5"/>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220C"/>
    <w:rsid w:val="009239BC"/>
    <w:rsid w:val="0092404C"/>
    <w:rsid w:val="009241B9"/>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6E12"/>
    <w:rsid w:val="009274C2"/>
    <w:rsid w:val="0092784B"/>
    <w:rsid w:val="00927934"/>
    <w:rsid w:val="00927F6C"/>
    <w:rsid w:val="00930133"/>
    <w:rsid w:val="00930A02"/>
    <w:rsid w:val="0093109A"/>
    <w:rsid w:val="009313F7"/>
    <w:rsid w:val="00931404"/>
    <w:rsid w:val="009317E9"/>
    <w:rsid w:val="0093229C"/>
    <w:rsid w:val="00932803"/>
    <w:rsid w:val="00932D0C"/>
    <w:rsid w:val="00933016"/>
    <w:rsid w:val="00934104"/>
    <w:rsid w:val="009348F2"/>
    <w:rsid w:val="00934971"/>
    <w:rsid w:val="00936212"/>
    <w:rsid w:val="00936342"/>
    <w:rsid w:val="009367B7"/>
    <w:rsid w:val="00936CE7"/>
    <w:rsid w:val="009371DC"/>
    <w:rsid w:val="00937EB2"/>
    <w:rsid w:val="009401AB"/>
    <w:rsid w:val="00940255"/>
    <w:rsid w:val="0094048F"/>
    <w:rsid w:val="00940668"/>
    <w:rsid w:val="00940FF0"/>
    <w:rsid w:val="00941223"/>
    <w:rsid w:val="00941A75"/>
    <w:rsid w:val="00941F98"/>
    <w:rsid w:val="009431F3"/>
    <w:rsid w:val="009436BF"/>
    <w:rsid w:val="00943DD3"/>
    <w:rsid w:val="00944298"/>
    <w:rsid w:val="0094496F"/>
    <w:rsid w:val="00944E46"/>
    <w:rsid w:val="00945464"/>
    <w:rsid w:val="009456A0"/>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65"/>
    <w:rsid w:val="009537D1"/>
    <w:rsid w:val="009538B5"/>
    <w:rsid w:val="00953AAD"/>
    <w:rsid w:val="00953FF9"/>
    <w:rsid w:val="00954898"/>
    <w:rsid w:val="00954D4A"/>
    <w:rsid w:val="00954F37"/>
    <w:rsid w:val="009550D3"/>
    <w:rsid w:val="009552D0"/>
    <w:rsid w:val="00955534"/>
    <w:rsid w:val="009556C7"/>
    <w:rsid w:val="0095576A"/>
    <w:rsid w:val="00955D51"/>
    <w:rsid w:val="00955DB8"/>
    <w:rsid w:val="00955F37"/>
    <w:rsid w:val="009560AF"/>
    <w:rsid w:val="0095676A"/>
    <w:rsid w:val="00957402"/>
    <w:rsid w:val="009577B4"/>
    <w:rsid w:val="00957F6D"/>
    <w:rsid w:val="00961036"/>
    <w:rsid w:val="00961229"/>
    <w:rsid w:val="009612F6"/>
    <w:rsid w:val="009619F6"/>
    <w:rsid w:val="009621D8"/>
    <w:rsid w:val="0096267C"/>
    <w:rsid w:val="00962B96"/>
    <w:rsid w:val="00962DE7"/>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849"/>
    <w:rsid w:val="0097297E"/>
    <w:rsid w:val="00972F47"/>
    <w:rsid w:val="00973502"/>
    <w:rsid w:val="00973D62"/>
    <w:rsid w:val="00974357"/>
    <w:rsid w:val="0097484A"/>
    <w:rsid w:val="00974AC6"/>
    <w:rsid w:val="00974FB9"/>
    <w:rsid w:val="0097515D"/>
    <w:rsid w:val="00975399"/>
    <w:rsid w:val="009754B6"/>
    <w:rsid w:val="00975687"/>
    <w:rsid w:val="009757AF"/>
    <w:rsid w:val="00975DB8"/>
    <w:rsid w:val="00975E40"/>
    <w:rsid w:val="00975F8A"/>
    <w:rsid w:val="009761B3"/>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6F9"/>
    <w:rsid w:val="00981B78"/>
    <w:rsid w:val="009820A3"/>
    <w:rsid w:val="00982529"/>
    <w:rsid w:val="00982A2F"/>
    <w:rsid w:val="00982BCC"/>
    <w:rsid w:val="009836D0"/>
    <w:rsid w:val="009848DE"/>
    <w:rsid w:val="00984A2B"/>
    <w:rsid w:val="00985171"/>
    <w:rsid w:val="0098522D"/>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A17"/>
    <w:rsid w:val="00992B6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49B"/>
    <w:rsid w:val="009A0E18"/>
    <w:rsid w:val="009A0FDA"/>
    <w:rsid w:val="009A124B"/>
    <w:rsid w:val="009A1504"/>
    <w:rsid w:val="009A1AEA"/>
    <w:rsid w:val="009A1B28"/>
    <w:rsid w:val="009A28DD"/>
    <w:rsid w:val="009A2C39"/>
    <w:rsid w:val="009A2C96"/>
    <w:rsid w:val="009A2D91"/>
    <w:rsid w:val="009A2FFC"/>
    <w:rsid w:val="009A31F0"/>
    <w:rsid w:val="009A33A9"/>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A7534"/>
    <w:rsid w:val="009B0037"/>
    <w:rsid w:val="009B0450"/>
    <w:rsid w:val="009B04AB"/>
    <w:rsid w:val="009B0CD9"/>
    <w:rsid w:val="009B1600"/>
    <w:rsid w:val="009B1630"/>
    <w:rsid w:val="009B1A3C"/>
    <w:rsid w:val="009B1A4C"/>
    <w:rsid w:val="009B2757"/>
    <w:rsid w:val="009B29E9"/>
    <w:rsid w:val="009B2B0D"/>
    <w:rsid w:val="009B2F38"/>
    <w:rsid w:val="009B3212"/>
    <w:rsid w:val="009B3390"/>
    <w:rsid w:val="009B4335"/>
    <w:rsid w:val="009B4414"/>
    <w:rsid w:val="009B4CC3"/>
    <w:rsid w:val="009B4DE6"/>
    <w:rsid w:val="009B5378"/>
    <w:rsid w:val="009B5EF5"/>
    <w:rsid w:val="009B66B9"/>
    <w:rsid w:val="009B6779"/>
    <w:rsid w:val="009B734B"/>
    <w:rsid w:val="009B74D2"/>
    <w:rsid w:val="009B74F6"/>
    <w:rsid w:val="009B7EC7"/>
    <w:rsid w:val="009C06CA"/>
    <w:rsid w:val="009C0A54"/>
    <w:rsid w:val="009C0B30"/>
    <w:rsid w:val="009C0C8C"/>
    <w:rsid w:val="009C1409"/>
    <w:rsid w:val="009C14E0"/>
    <w:rsid w:val="009C1692"/>
    <w:rsid w:val="009C192E"/>
    <w:rsid w:val="009C34C9"/>
    <w:rsid w:val="009C4C0F"/>
    <w:rsid w:val="009C552B"/>
    <w:rsid w:val="009C560C"/>
    <w:rsid w:val="009C6CA8"/>
    <w:rsid w:val="009C6D7E"/>
    <w:rsid w:val="009C6DA9"/>
    <w:rsid w:val="009C7A18"/>
    <w:rsid w:val="009C7D16"/>
    <w:rsid w:val="009C7D2E"/>
    <w:rsid w:val="009C7F8C"/>
    <w:rsid w:val="009D0AFD"/>
    <w:rsid w:val="009D2987"/>
    <w:rsid w:val="009D29A5"/>
    <w:rsid w:val="009D2C34"/>
    <w:rsid w:val="009D3F0F"/>
    <w:rsid w:val="009D434D"/>
    <w:rsid w:val="009D43E3"/>
    <w:rsid w:val="009D4B4D"/>
    <w:rsid w:val="009D500C"/>
    <w:rsid w:val="009D59B0"/>
    <w:rsid w:val="009D5CB5"/>
    <w:rsid w:val="009D5D63"/>
    <w:rsid w:val="009D668E"/>
    <w:rsid w:val="009D670A"/>
    <w:rsid w:val="009D70C9"/>
    <w:rsid w:val="009D743B"/>
    <w:rsid w:val="009D76E7"/>
    <w:rsid w:val="009D7D89"/>
    <w:rsid w:val="009E0CB7"/>
    <w:rsid w:val="009E13E5"/>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22F"/>
    <w:rsid w:val="009E6E97"/>
    <w:rsid w:val="009E726C"/>
    <w:rsid w:val="009E7402"/>
    <w:rsid w:val="009E75C9"/>
    <w:rsid w:val="009E7612"/>
    <w:rsid w:val="009E78CD"/>
    <w:rsid w:val="009E7D1B"/>
    <w:rsid w:val="009F030B"/>
    <w:rsid w:val="009F0320"/>
    <w:rsid w:val="009F0547"/>
    <w:rsid w:val="009F08FF"/>
    <w:rsid w:val="009F12A1"/>
    <w:rsid w:val="009F1531"/>
    <w:rsid w:val="009F168B"/>
    <w:rsid w:val="009F1D27"/>
    <w:rsid w:val="009F2042"/>
    <w:rsid w:val="009F234D"/>
    <w:rsid w:val="009F2C28"/>
    <w:rsid w:val="009F2F3A"/>
    <w:rsid w:val="009F329A"/>
    <w:rsid w:val="009F3946"/>
    <w:rsid w:val="009F41F2"/>
    <w:rsid w:val="009F436E"/>
    <w:rsid w:val="009F472B"/>
    <w:rsid w:val="009F4C79"/>
    <w:rsid w:val="009F5255"/>
    <w:rsid w:val="009F54AD"/>
    <w:rsid w:val="009F54C8"/>
    <w:rsid w:val="009F573F"/>
    <w:rsid w:val="009F5B48"/>
    <w:rsid w:val="009F5DD3"/>
    <w:rsid w:val="009F6075"/>
    <w:rsid w:val="009F631B"/>
    <w:rsid w:val="009F7275"/>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46E"/>
    <w:rsid w:val="00A05826"/>
    <w:rsid w:val="00A061C3"/>
    <w:rsid w:val="00A06371"/>
    <w:rsid w:val="00A06A19"/>
    <w:rsid w:val="00A06AC9"/>
    <w:rsid w:val="00A07285"/>
    <w:rsid w:val="00A0732D"/>
    <w:rsid w:val="00A0742A"/>
    <w:rsid w:val="00A07665"/>
    <w:rsid w:val="00A07C70"/>
    <w:rsid w:val="00A07DE8"/>
    <w:rsid w:val="00A07DF0"/>
    <w:rsid w:val="00A10115"/>
    <w:rsid w:val="00A103F9"/>
    <w:rsid w:val="00A109F6"/>
    <w:rsid w:val="00A10D21"/>
    <w:rsid w:val="00A11331"/>
    <w:rsid w:val="00A119B1"/>
    <w:rsid w:val="00A12767"/>
    <w:rsid w:val="00A127EC"/>
    <w:rsid w:val="00A13293"/>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5E0"/>
    <w:rsid w:val="00A21836"/>
    <w:rsid w:val="00A21E1A"/>
    <w:rsid w:val="00A21F50"/>
    <w:rsid w:val="00A220C5"/>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7"/>
    <w:rsid w:val="00A341C5"/>
    <w:rsid w:val="00A34450"/>
    <w:rsid w:val="00A35668"/>
    <w:rsid w:val="00A35917"/>
    <w:rsid w:val="00A359CE"/>
    <w:rsid w:val="00A35EB1"/>
    <w:rsid w:val="00A362A6"/>
    <w:rsid w:val="00A367B8"/>
    <w:rsid w:val="00A36832"/>
    <w:rsid w:val="00A36DBC"/>
    <w:rsid w:val="00A373F9"/>
    <w:rsid w:val="00A3765F"/>
    <w:rsid w:val="00A37C4D"/>
    <w:rsid w:val="00A40C61"/>
    <w:rsid w:val="00A4136E"/>
    <w:rsid w:val="00A429E5"/>
    <w:rsid w:val="00A43009"/>
    <w:rsid w:val="00A4328E"/>
    <w:rsid w:val="00A435BA"/>
    <w:rsid w:val="00A43731"/>
    <w:rsid w:val="00A437B2"/>
    <w:rsid w:val="00A4395C"/>
    <w:rsid w:val="00A43D61"/>
    <w:rsid w:val="00A44014"/>
    <w:rsid w:val="00A44452"/>
    <w:rsid w:val="00A44474"/>
    <w:rsid w:val="00A444EA"/>
    <w:rsid w:val="00A45336"/>
    <w:rsid w:val="00A454E7"/>
    <w:rsid w:val="00A45826"/>
    <w:rsid w:val="00A45E41"/>
    <w:rsid w:val="00A45ED2"/>
    <w:rsid w:val="00A46B1B"/>
    <w:rsid w:val="00A47273"/>
    <w:rsid w:val="00A47381"/>
    <w:rsid w:val="00A5056A"/>
    <w:rsid w:val="00A50927"/>
    <w:rsid w:val="00A50CC4"/>
    <w:rsid w:val="00A51A44"/>
    <w:rsid w:val="00A52815"/>
    <w:rsid w:val="00A529F3"/>
    <w:rsid w:val="00A52B33"/>
    <w:rsid w:val="00A52C3A"/>
    <w:rsid w:val="00A535A1"/>
    <w:rsid w:val="00A53749"/>
    <w:rsid w:val="00A54350"/>
    <w:rsid w:val="00A54722"/>
    <w:rsid w:val="00A54D49"/>
    <w:rsid w:val="00A54D82"/>
    <w:rsid w:val="00A550E0"/>
    <w:rsid w:val="00A5522E"/>
    <w:rsid w:val="00A553E8"/>
    <w:rsid w:val="00A55401"/>
    <w:rsid w:val="00A55D8A"/>
    <w:rsid w:val="00A5609F"/>
    <w:rsid w:val="00A561BE"/>
    <w:rsid w:val="00A56F89"/>
    <w:rsid w:val="00A573B5"/>
    <w:rsid w:val="00A601F4"/>
    <w:rsid w:val="00A604CF"/>
    <w:rsid w:val="00A60EF3"/>
    <w:rsid w:val="00A61752"/>
    <w:rsid w:val="00A622EA"/>
    <w:rsid w:val="00A62A0A"/>
    <w:rsid w:val="00A630A6"/>
    <w:rsid w:val="00A63763"/>
    <w:rsid w:val="00A63826"/>
    <w:rsid w:val="00A63B1D"/>
    <w:rsid w:val="00A6448C"/>
    <w:rsid w:val="00A64578"/>
    <w:rsid w:val="00A649D4"/>
    <w:rsid w:val="00A64BE8"/>
    <w:rsid w:val="00A64D33"/>
    <w:rsid w:val="00A65292"/>
    <w:rsid w:val="00A653ED"/>
    <w:rsid w:val="00A662B6"/>
    <w:rsid w:val="00A66A19"/>
    <w:rsid w:val="00A66AAE"/>
    <w:rsid w:val="00A66DB5"/>
    <w:rsid w:val="00A671C5"/>
    <w:rsid w:val="00A67A31"/>
    <w:rsid w:val="00A67CD8"/>
    <w:rsid w:val="00A703BF"/>
    <w:rsid w:val="00A70448"/>
    <w:rsid w:val="00A70D9B"/>
    <w:rsid w:val="00A70F55"/>
    <w:rsid w:val="00A71813"/>
    <w:rsid w:val="00A71B83"/>
    <w:rsid w:val="00A71C2D"/>
    <w:rsid w:val="00A71C52"/>
    <w:rsid w:val="00A72053"/>
    <w:rsid w:val="00A721B5"/>
    <w:rsid w:val="00A72568"/>
    <w:rsid w:val="00A72581"/>
    <w:rsid w:val="00A7262F"/>
    <w:rsid w:val="00A73887"/>
    <w:rsid w:val="00A739EE"/>
    <w:rsid w:val="00A740D5"/>
    <w:rsid w:val="00A74106"/>
    <w:rsid w:val="00A7469A"/>
    <w:rsid w:val="00A74CCA"/>
    <w:rsid w:val="00A74D65"/>
    <w:rsid w:val="00A74EC2"/>
    <w:rsid w:val="00A7515A"/>
    <w:rsid w:val="00A75A10"/>
    <w:rsid w:val="00A75ED2"/>
    <w:rsid w:val="00A7656A"/>
    <w:rsid w:val="00A76681"/>
    <w:rsid w:val="00A76745"/>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7FB"/>
    <w:rsid w:val="00A83F4C"/>
    <w:rsid w:val="00A842EF"/>
    <w:rsid w:val="00A84E57"/>
    <w:rsid w:val="00A85145"/>
    <w:rsid w:val="00A85256"/>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4F3D"/>
    <w:rsid w:val="00A9500D"/>
    <w:rsid w:val="00A951A8"/>
    <w:rsid w:val="00A9557D"/>
    <w:rsid w:val="00A95DAF"/>
    <w:rsid w:val="00A96539"/>
    <w:rsid w:val="00A96776"/>
    <w:rsid w:val="00A96A86"/>
    <w:rsid w:val="00A96E20"/>
    <w:rsid w:val="00A97092"/>
    <w:rsid w:val="00A975CF"/>
    <w:rsid w:val="00A97FDE"/>
    <w:rsid w:val="00AA041E"/>
    <w:rsid w:val="00AA0501"/>
    <w:rsid w:val="00AA062F"/>
    <w:rsid w:val="00AA0A0C"/>
    <w:rsid w:val="00AA12EC"/>
    <w:rsid w:val="00AA160D"/>
    <w:rsid w:val="00AA1840"/>
    <w:rsid w:val="00AA1B82"/>
    <w:rsid w:val="00AA1BA9"/>
    <w:rsid w:val="00AA1DC8"/>
    <w:rsid w:val="00AA1E51"/>
    <w:rsid w:val="00AA1E96"/>
    <w:rsid w:val="00AA2519"/>
    <w:rsid w:val="00AA3371"/>
    <w:rsid w:val="00AA36FD"/>
    <w:rsid w:val="00AA404F"/>
    <w:rsid w:val="00AA4917"/>
    <w:rsid w:val="00AA4E9F"/>
    <w:rsid w:val="00AA5159"/>
    <w:rsid w:val="00AA653A"/>
    <w:rsid w:val="00AA6599"/>
    <w:rsid w:val="00AA70ED"/>
    <w:rsid w:val="00AA7106"/>
    <w:rsid w:val="00AA75E6"/>
    <w:rsid w:val="00AA7FBE"/>
    <w:rsid w:val="00AB024A"/>
    <w:rsid w:val="00AB0EB5"/>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C0907"/>
    <w:rsid w:val="00AC12F9"/>
    <w:rsid w:val="00AC15B1"/>
    <w:rsid w:val="00AC19E0"/>
    <w:rsid w:val="00AC19F3"/>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F58"/>
    <w:rsid w:val="00AC6701"/>
    <w:rsid w:val="00AC6883"/>
    <w:rsid w:val="00AC6D2E"/>
    <w:rsid w:val="00AC7304"/>
    <w:rsid w:val="00AC7A11"/>
    <w:rsid w:val="00AD018F"/>
    <w:rsid w:val="00AD0C79"/>
    <w:rsid w:val="00AD18AA"/>
    <w:rsid w:val="00AD2143"/>
    <w:rsid w:val="00AD28FB"/>
    <w:rsid w:val="00AD2BDA"/>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186A"/>
    <w:rsid w:val="00AE23A2"/>
    <w:rsid w:val="00AE2795"/>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538"/>
    <w:rsid w:val="00AF0C90"/>
    <w:rsid w:val="00AF139B"/>
    <w:rsid w:val="00AF2924"/>
    <w:rsid w:val="00AF2933"/>
    <w:rsid w:val="00AF2D4E"/>
    <w:rsid w:val="00AF2E69"/>
    <w:rsid w:val="00AF3922"/>
    <w:rsid w:val="00AF39FF"/>
    <w:rsid w:val="00AF48A3"/>
    <w:rsid w:val="00AF4965"/>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3ED"/>
    <w:rsid w:val="00B018B5"/>
    <w:rsid w:val="00B0223B"/>
    <w:rsid w:val="00B0274A"/>
    <w:rsid w:val="00B029E1"/>
    <w:rsid w:val="00B02BA6"/>
    <w:rsid w:val="00B02CBD"/>
    <w:rsid w:val="00B03594"/>
    <w:rsid w:val="00B036F2"/>
    <w:rsid w:val="00B03D5F"/>
    <w:rsid w:val="00B04316"/>
    <w:rsid w:val="00B0491C"/>
    <w:rsid w:val="00B04E7B"/>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D0E"/>
    <w:rsid w:val="00B12E5A"/>
    <w:rsid w:val="00B13DEB"/>
    <w:rsid w:val="00B14171"/>
    <w:rsid w:val="00B15579"/>
    <w:rsid w:val="00B1586D"/>
    <w:rsid w:val="00B15EFC"/>
    <w:rsid w:val="00B168FE"/>
    <w:rsid w:val="00B16A06"/>
    <w:rsid w:val="00B173A0"/>
    <w:rsid w:val="00B177F4"/>
    <w:rsid w:val="00B17980"/>
    <w:rsid w:val="00B2099C"/>
    <w:rsid w:val="00B20C22"/>
    <w:rsid w:val="00B212B5"/>
    <w:rsid w:val="00B216F5"/>
    <w:rsid w:val="00B217FF"/>
    <w:rsid w:val="00B22C78"/>
    <w:rsid w:val="00B22D42"/>
    <w:rsid w:val="00B22D6A"/>
    <w:rsid w:val="00B233DE"/>
    <w:rsid w:val="00B23677"/>
    <w:rsid w:val="00B23964"/>
    <w:rsid w:val="00B23B7C"/>
    <w:rsid w:val="00B23B85"/>
    <w:rsid w:val="00B23CD0"/>
    <w:rsid w:val="00B23D70"/>
    <w:rsid w:val="00B23F1B"/>
    <w:rsid w:val="00B2430E"/>
    <w:rsid w:val="00B24431"/>
    <w:rsid w:val="00B2466A"/>
    <w:rsid w:val="00B247B5"/>
    <w:rsid w:val="00B24B8C"/>
    <w:rsid w:val="00B251F9"/>
    <w:rsid w:val="00B25503"/>
    <w:rsid w:val="00B25C3D"/>
    <w:rsid w:val="00B25F34"/>
    <w:rsid w:val="00B26FED"/>
    <w:rsid w:val="00B2771D"/>
    <w:rsid w:val="00B27E2A"/>
    <w:rsid w:val="00B30301"/>
    <w:rsid w:val="00B303B1"/>
    <w:rsid w:val="00B30E36"/>
    <w:rsid w:val="00B30EC4"/>
    <w:rsid w:val="00B318D2"/>
    <w:rsid w:val="00B31C20"/>
    <w:rsid w:val="00B31DEF"/>
    <w:rsid w:val="00B329DB"/>
    <w:rsid w:val="00B329FC"/>
    <w:rsid w:val="00B33D87"/>
    <w:rsid w:val="00B34F2C"/>
    <w:rsid w:val="00B34FCD"/>
    <w:rsid w:val="00B34FF3"/>
    <w:rsid w:val="00B3574D"/>
    <w:rsid w:val="00B357C9"/>
    <w:rsid w:val="00B35BA1"/>
    <w:rsid w:val="00B36144"/>
    <w:rsid w:val="00B36724"/>
    <w:rsid w:val="00B36853"/>
    <w:rsid w:val="00B37823"/>
    <w:rsid w:val="00B3798C"/>
    <w:rsid w:val="00B37C8F"/>
    <w:rsid w:val="00B37D10"/>
    <w:rsid w:val="00B37E8E"/>
    <w:rsid w:val="00B40947"/>
    <w:rsid w:val="00B40F0B"/>
    <w:rsid w:val="00B40F3E"/>
    <w:rsid w:val="00B413EC"/>
    <w:rsid w:val="00B4153C"/>
    <w:rsid w:val="00B4285C"/>
    <w:rsid w:val="00B42BF1"/>
    <w:rsid w:val="00B433CC"/>
    <w:rsid w:val="00B43C4B"/>
    <w:rsid w:val="00B43E54"/>
    <w:rsid w:val="00B445A0"/>
    <w:rsid w:val="00B44D04"/>
    <w:rsid w:val="00B457D4"/>
    <w:rsid w:val="00B45D13"/>
    <w:rsid w:val="00B46001"/>
    <w:rsid w:val="00B46181"/>
    <w:rsid w:val="00B46D30"/>
    <w:rsid w:val="00B470FA"/>
    <w:rsid w:val="00B473D8"/>
    <w:rsid w:val="00B47B6B"/>
    <w:rsid w:val="00B47D87"/>
    <w:rsid w:val="00B47EE6"/>
    <w:rsid w:val="00B47F7F"/>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70"/>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47D"/>
    <w:rsid w:val="00B645F8"/>
    <w:rsid w:val="00B64909"/>
    <w:rsid w:val="00B64A5A"/>
    <w:rsid w:val="00B64D5E"/>
    <w:rsid w:val="00B6687D"/>
    <w:rsid w:val="00B670DF"/>
    <w:rsid w:val="00B672DC"/>
    <w:rsid w:val="00B674D4"/>
    <w:rsid w:val="00B67B3B"/>
    <w:rsid w:val="00B701A1"/>
    <w:rsid w:val="00B70270"/>
    <w:rsid w:val="00B7030C"/>
    <w:rsid w:val="00B708EF"/>
    <w:rsid w:val="00B70A06"/>
    <w:rsid w:val="00B70A25"/>
    <w:rsid w:val="00B70DC7"/>
    <w:rsid w:val="00B711C8"/>
    <w:rsid w:val="00B71F97"/>
    <w:rsid w:val="00B722BE"/>
    <w:rsid w:val="00B7324B"/>
    <w:rsid w:val="00B7328F"/>
    <w:rsid w:val="00B7495B"/>
    <w:rsid w:val="00B75230"/>
    <w:rsid w:val="00B7555F"/>
    <w:rsid w:val="00B761CB"/>
    <w:rsid w:val="00B766DB"/>
    <w:rsid w:val="00B76836"/>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D81"/>
    <w:rsid w:val="00B851A5"/>
    <w:rsid w:val="00B856F4"/>
    <w:rsid w:val="00B85F4C"/>
    <w:rsid w:val="00B85F9D"/>
    <w:rsid w:val="00B86155"/>
    <w:rsid w:val="00B86162"/>
    <w:rsid w:val="00B86573"/>
    <w:rsid w:val="00B8686C"/>
    <w:rsid w:val="00B869F7"/>
    <w:rsid w:val="00B87599"/>
    <w:rsid w:val="00B9015B"/>
    <w:rsid w:val="00B902A8"/>
    <w:rsid w:val="00B909DB"/>
    <w:rsid w:val="00B90E3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6AB"/>
    <w:rsid w:val="00B97958"/>
    <w:rsid w:val="00B97BA8"/>
    <w:rsid w:val="00BA015C"/>
    <w:rsid w:val="00BA03C2"/>
    <w:rsid w:val="00BA0953"/>
    <w:rsid w:val="00BA0F31"/>
    <w:rsid w:val="00BA0F62"/>
    <w:rsid w:val="00BA1338"/>
    <w:rsid w:val="00BA17E8"/>
    <w:rsid w:val="00BA2846"/>
    <w:rsid w:val="00BA2917"/>
    <w:rsid w:val="00BA3113"/>
    <w:rsid w:val="00BA325C"/>
    <w:rsid w:val="00BA3EA7"/>
    <w:rsid w:val="00BA4065"/>
    <w:rsid w:val="00BA4DBD"/>
    <w:rsid w:val="00BA4E82"/>
    <w:rsid w:val="00BA4F0D"/>
    <w:rsid w:val="00BA4F82"/>
    <w:rsid w:val="00BA52C1"/>
    <w:rsid w:val="00BA5B3A"/>
    <w:rsid w:val="00BA5DF0"/>
    <w:rsid w:val="00BA6075"/>
    <w:rsid w:val="00BA61A3"/>
    <w:rsid w:val="00BA70DA"/>
    <w:rsid w:val="00BA7977"/>
    <w:rsid w:val="00BA7A69"/>
    <w:rsid w:val="00BA7B13"/>
    <w:rsid w:val="00BA7F2A"/>
    <w:rsid w:val="00BB08F1"/>
    <w:rsid w:val="00BB1702"/>
    <w:rsid w:val="00BB174B"/>
    <w:rsid w:val="00BB184F"/>
    <w:rsid w:val="00BB2456"/>
    <w:rsid w:val="00BB2EB0"/>
    <w:rsid w:val="00BB324B"/>
    <w:rsid w:val="00BB3FB0"/>
    <w:rsid w:val="00BB434B"/>
    <w:rsid w:val="00BB44E2"/>
    <w:rsid w:val="00BB469A"/>
    <w:rsid w:val="00BB482F"/>
    <w:rsid w:val="00BB4F35"/>
    <w:rsid w:val="00BB508F"/>
    <w:rsid w:val="00BB5AEC"/>
    <w:rsid w:val="00BB5D48"/>
    <w:rsid w:val="00BB6916"/>
    <w:rsid w:val="00BB6C83"/>
    <w:rsid w:val="00BB7094"/>
    <w:rsid w:val="00BB70C2"/>
    <w:rsid w:val="00BB7617"/>
    <w:rsid w:val="00BB7C60"/>
    <w:rsid w:val="00BB7E3F"/>
    <w:rsid w:val="00BB7EC8"/>
    <w:rsid w:val="00BC074C"/>
    <w:rsid w:val="00BC0998"/>
    <w:rsid w:val="00BC0E96"/>
    <w:rsid w:val="00BC0F54"/>
    <w:rsid w:val="00BC0F77"/>
    <w:rsid w:val="00BC0FBF"/>
    <w:rsid w:val="00BC1E37"/>
    <w:rsid w:val="00BC2459"/>
    <w:rsid w:val="00BC3031"/>
    <w:rsid w:val="00BC3414"/>
    <w:rsid w:val="00BC3EBC"/>
    <w:rsid w:val="00BC3FBE"/>
    <w:rsid w:val="00BC3FFF"/>
    <w:rsid w:val="00BC525C"/>
    <w:rsid w:val="00BC53BA"/>
    <w:rsid w:val="00BC543D"/>
    <w:rsid w:val="00BC58CB"/>
    <w:rsid w:val="00BC5D5B"/>
    <w:rsid w:val="00BC5D7A"/>
    <w:rsid w:val="00BC5DFC"/>
    <w:rsid w:val="00BC5E9F"/>
    <w:rsid w:val="00BC5EEA"/>
    <w:rsid w:val="00BC6811"/>
    <w:rsid w:val="00BC6A40"/>
    <w:rsid w:val="00BC6AAE"/>
    <w:rsid w:val="00BC6ACE"/>
    <w:rsid w:val="00BC6B11"/>
    <w:rsid w:val="00BC6CC5"/>
    <w:rsid w:val="00BC7516"/>
    <w:rsid w:val="00BC7637"/>
    <w:rsid w:val="00BC7AEC"/>
    <w:rsid w:val="00BC7CFE"/>
    <w:rsid w:val="00BC7D1F"/>
    <w:rsid w:val="00BD045D"/>
    <w:rsid w:val="00BD0BAC"/>
    <w:rsid w:val="00BD11AF"/>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47B"/>
    <w:rsid w:val="00BD5672"/>
    <w:rsid w:val="00BD5A87"/>
    <w:rsid w:val="00BD63AB"/>
    <w:rsid w:val="00BD6B63"/>
    <w:rsid w:val="00BD6D5E"/>
    <w:rsid w:val="00BD6DAF"/>
    <w:rsid w:val="00BD6E40"/>
    <w:rsid w:val="00BD73C1"/>
    <w:rsid w:val="00BD76E3"/>
    <w:rsid w:val="00BD77C6"/>
    <w:rsid w:val="00BE022E"/>
    <w:rsid w:val="00BE185A"/>
    <w:rsid w:val="00BE2666"/>
    <w:rsid w:val="00BE2886"/>
    <w:rsid w:val="00BE2C7E"/>
    <w:rsid w:val="00BE32D2"/>
    <w:rsid w:val="00BE3A95"/>
    <w:rsid w:val="00BE3C4D"/>
    <w:rsid w:val="00BE4156"/>
    <w:rsid w:val="00BE426B"/>
    <w:rsid w:val="00BE42A3"/>
    <w:rsid w:val="00BE43D7"/>
    <w:rsid w:val="00BE4AEB"/>
    <w:rsid w:val="00BE5012"/>
    <w:rsid w:val="00BE5025"/>
    <w:rsid w:val="00BE531C"/>
    <w:rsid w:val="00BE5493"/>
    <w:rsid w:val="00BE55B6"/>
    <w:rsid w:val="00BE6112"/>
    <w:rsid w:val="00BE615C"/>
    <w:rsid w:val="00BE652D"/>
    <w:rsid w:val="00BE68CD"/>
    <w:rsid w:val="00BE68D0"/>
    <w:rsid w:val="00BE6CE8"/>
    <w:rsid w:val="00BE7177"/>
    <w:rsid w:val="00BE72AA"/>
    <w:rsid w:val="00BE7307"/>
    <w:rsid w:val="00BE73CB"/>
    <w:rsid w:val="00BE74F0"/>
    <w:rsid w:val="00BF05F8"/>
    <w:rsid w:val="00BF0688"/>
    <w:rsid w:val="00BF16C0"/>
    <w:rsid w:val="00BF1ED6"/>
    <w:rsid w:val="00BF2126"/>
    <w:rsid w:val="00BF2140"/>
    <w:rsid w:val="00BF26AE"/>
    <w:rsid w:val="00BF372B"/>
    <w:rsid w:val="00BF3AE1"/>
    <w:rsid w:val="00BF40FC"/>
    <w:rsid w:val="00BF43A5"/>
    <w:rsid w:val="00BF4E16"/>
    <w:rsid w:val="00BF5F6F"/>
    <w:rsid w:val="00BF72DD"/>
    <w:rsid w:val="00BF74AD"/>
    <w:rsid w:val="00BF74CB"/>
    <w:rsid w:val="00BF753F"/>
    <w:rsid w:val="00BF7DB9"/>
    <w:rsid w:val="00C00629"/>
    <w:rsid w:val="00C00D7E"/>
    <w:rsid w:val="00C010D3"/>
    <w:rsid w:val="00C010D5"/>
    <w:rsid w:val="00C01178"/>
    <w:rsid w:val="00C01BAF"/>
    <w:rsid w:val="00C01E3E"/>
    <w:rsid w:val="00C01FBF"/>
    <w:rsid w:val="00C0204A"/>
    <w:rsid w:val="00C0280B"/>
    <w:rsid w:val="00C02E13"/>
    <w:rsid w:val="00C0309E"/>
    <w:rsid w:val="00C03D72"/>
    <w:rsid w:val="00C042A7"/>
    <w:rsid w:val="00C045BE"/>
    <w:rsid w:val="00C045F7"/>
    <w:rsid w:val="00C04705"/>
    <w:rsid w:val="00C04819"/>
    <w:rsid w:val="00C04F22"/>
    <w:rsid w:val="00C0517F"/>
    <w:rsid w:val="00C053EA"/>
    <w:rsid w:val="00C0571E"/>
    <w:rsid w:val="00C05784"/>
    <w:rsid w:val="00C05D5C"/>
    <w:rsid w:val="00C05F89"/>
    <w:rsid w:val="00C06959"/>
    <w:rsid w:val="00C06A6B"/>
    <w:rsid w:val="00C06A82"/>
    <w:rsid w:val="00C06B94"/>
    <w:rsid w:val="00C06BBE"/>
    <w:rsid w:val="00C071C2"/>
    <w:rsid w:val="00C10024"/>
    <w:rsid w:val="00C10368"/>
    <w:rsid w:val="00C1087D"/>
    <w:rsid w:val="00C1096E"/>
    <w:rsid w:val="00C10D01"/>
    <w:rsid w:val="00C10F22"/>
    <w:rsid w:val="00C1135F"/>
    <w:rsid w:val="00C1146A"/>
    <w:rsid w:val="00C119FF"/>
    <w:rsid w:val="00C11B62"/>
    <w:rsid w:val="00C11BA7"/>
    <w:rsid w:val="00C122B4"/>
    <w:rsid w:val="00C12510"/>
    <w:rsid w:val="00C127B5"/>
    <w:rsid w:val="00C12B0F"/>
    <w:rsid w:val="00C12C78"/>
    <w:rsid w:val="00C12CF3"/>
    <w:rsid w:val="00C13E14"/>
    <w:rsid w:val="00C13E29"/>
    <w:rsid w:val="00C14A9E"/>
    <w:rsid w:val="00C14D3A"/>
    <w:rsid w:val="00C14DCF"/>
    <w:rsid w:val="00C15B8A"/>
    <w:rsid w:val="00C16247"/>
    <w:rsid w:val="00C16900"/>
    <w:rsid w:val="00C1702C"/>
    <w:rsid w:val="00C17DE0"/>
    <w:rsid w:val="00C17F6C"/>
    <w:rsid w:val="00C2103B"/>
    <w:rsid w:val="00C21148"/>
    <w:rsid w:val="00C21175"/>
    <w:rsid w:val="00C211A4"/>
    <w:rsid w:val="00C21704"/>
    <w:rsid w:val="00C21E11"/>
    <w:rsid w:val="00C22468"/>
    <w:rsid w:val="00C22679"/>
    <w:rsid w:val="00C2292C"/>
    <w:rsid w:val="00C22D69"/>
    <w:rsid w:val="00C230D7"/>
    <w:rsid w:val="00C23288"/>
    <w:rsid w:val="00C23A44"/>
    <w:rsid w:val="00C23B3A"/>
    <w:rsid w:val="00C2423F"/>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4EFC"/>
    <w:rsid w:val="00C3576B"/>
    <w:rsid w:val="00C367F5"/>
    <w:rsid w:val="00C36903"/>
    <w:rsid w:val="00C36B4E"/>
    <w:rsid w:val="00C36B9C"/>
    <w:rsid w:val="00C36D3F"/>
    <w:rsid w:val="00C37333"/>
    <w:rsid w:val="00C373C8"/>
    <w:rsid w:val="00C374A7"/>
    <w:rsid w:val="00C37A75"/>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3DF3"/>
    <w:rsid w:val="00C6407C"/>
    <w:rsid w:val="00C641FD"/>
    <w:rsid w:val="00C64269"/>
    <w:rsid w:val="00C642F6"/>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583A"/>
    <w:rsid w:val="00C7637C"/>
    <w:rsid w:val="00C76405"/>
    <w:rsid w:val="00C764C3"/>
    <w:rsid w:val="00C774B0"/>
    <w:rsid w:val="00C777A8"/>
    <w:rsid w:val="00C778A0"/>
    <w:rsid w:val="00C77AD1"/>
    <w:rsid w:val="00C77CBB"/>
    <w:rsid w:val="00C80C02"/>
    <w:rsid w:val="00C80C4C"/>
    <w:rsid w:val="00C80D76"/>
    <w:rsid w:val="00C81C24"/>
    <w:rsid w:val="00C825B6"/>
    <w:rsid w:val="00C82638"/>
    <w:rsid w:val="00C8273E"/>
    <w:rsid w:val="00C828A5"/>
    <w:rsid w:val="00C828D7"/>
    <w:rsid w:val="00C82BEF"/>
    <w:rsid w:val="00C8318E"/>
    <w:rsid w:val="00C832DD"/>
    <w:rsid w:val="00C832FB"/>
    <w:rsid w:val="00C83565"/>
    <w:rsid w:val="00C83925"/>
    <w:rsid w:val="00C83F25"/>
    <w:rsid w:val="00C849A3"/>
    <w:rsid w:val="00C85042"/>
    <w:rsid w:val="00C850CC"/>
    <w:rsid w:val="00C85232"/>
    <w:rsid w:val="00C852E1"/>
    <w:rsid w:val="00C859C6"/>
    <w:rsid w:val="00C85E41"/>
    <w:rsid w:val="00C86BD0"/>
    <w:rsid w:val="00C8705A"/>
    <w:rsid w:val="00C8747C"/>
    <w:rsid w:val="00C9020D"/>
    <w:rsid w:val="00C902C0"/>
    <w:rsid w:val="00C90979"/>
    <w:rsid w:val="00C90D35"/>
    <w:rsid w:val="00C91113"/>
    <w:rsid w:val="00C919F9"/>
    <w:rsid w:val="00C9246A"/>
    <w:rsid w:val="00C92802"/>
    <w:rsid w:val="00C92BBD"/>
    <w:rsid w:val="00C93293"/>
    <w:rsid w:val="00C93B9C"/>
    <w:rsid w:val="00C93CA9"/>
    <w:rsid w:val="00C93E28"/>
    <w:rsid w:val="00C943B4"/>
    <w:rsid w:val="00C94D91"/>
    <w:rsid w:val="00C95414"/>
    <w:rsid w:val="00C962EB"/>
    <w:rsid w:val="00C96746"/>
    <w:rsid w:val="00C969FC"/>
    <w:rsid w:val="00C96D0C"/>
    <w:rsid w:val="00C97419"/>
    <w:rsid w:val="00CA0171"/>
    <w:rsid w:val="00CA072E"/>
    <w:rsid w:val="00CA0BBF"/>
    <w:rsid w:val="00CA0D4E"/>
    <w:rsid w:val="00CA10A8"/>
    <w:rsid w:val="00CA10DE"/>
    <w:rsid w:val="00CA1BD2"/>
    <w:rsid w:val="00CA1F7F"/>
    <w:rsid w:val="00CA215F"/>
    <w:rsid w:val="00CA2903"/>
    <w:rsid w:val="00CA3146"/>
    <w:rsid w:val="00CA375E"/>
    <w:rsid w:val="00CA40C1"/>
    <w:rsid w:val="00CA4105"/>
    <w:rsid w:val="00CA4C73"/>
    <w:rsid w:val="00CA4CB3"/>
    <w:rsid w:val="00CA53A9"/>
    <w:rsid w:val="00CA5767"/>
    <w:rsid w:val="00CA588D"/>
    <w:rsid w:val="00CA5DED"/>
    <w:rsid w:val="00CA6069"/>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2B53"/>
    <w:rsid w:val="00CC2F90"/>
    <w:rsid w:val="00CC3295"/>
    <w:rsid w:val="00CC3431"/>
    <w:rsid w:val="00CC347C"/>
    <w:rsid w:val="00CC4704"/>
    <w:rsid w:val="00CC513B"/>
    <w:rsid w:val="00CC52A5"/>
    <w:rsid w:val="00CC5AAA"/>
    <w:rsid w:val="00CC5CAA"/>
    <w:rsid w:val="00CC6EB0"/>
    <w:rsid w:val="00CC713F"/>
    <w:rsid w:val="00CC7818"/>
    <w:rsid w:val="00CC785D"/>
    <w:rsid w:val="00CD0482"/>
    <w:rsid w:val="00CD0845"/>
    <w:rsid w:val="00CD0A6E"/>
    <w:rsid w:val="00CD0FBD"/>
    <w:rsid w:val="00CD16C6"/>
    <w:rsid w:val="00CD1CD7"/>
    <w:rsid w:val="00CD1D09"/>
    <w:rsid w:val="00CD232D"/>
    <w:rsid w:val="00CD264E"/>
    <w:rsid w:val="00CD29A2"/>
    <w:rsid w:val="00CD3515"/>
    <w:rsid w:val="00CD3B2C"/>
    <w:rsid w:val="00CD3BD9"/>
    <w:rsid w:val="00CD4179"/>
    <w:rsid w:val="00CD41E5"/>
    <w:rsid w:val="00CD440B"/>
    <w:rsid w:val="00CD441E"/>
    <w:rsid w:val="00CD4598"/>
    <w:rsid w:val="00CD4B79"/>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80D"/>
    <w:rsid w:val="00CE498A"/>
    <w:rsid w:val="00CE5048"/>
    <w:rsid w:val="00CE517C"/>
    <w:rsid w:val="00CE5580"/>
    <w:rsid w:val="00CE5768"/>
    <w:rsid w:val="00CE668C"/>
    <w:rsid w:val="00CE67CB"/>
    <w:rsid w:val="00CE67DC"/>
    <w:rsid w:val="00CE7B12"/>
    <w:rsid w:val="00CE7B7B"/>
    <w:rsid w:val="00CE7BBF"/>
    <w:rsid w:val="00CF099C"/>
    <w:rsid w:val="00CF0E4F"/>
    <w:rsid w:val="00CF352F"/>
    <w:rsid w:val="00CF455C"/>
    <w:rsid w:val="00CF4EFD"/>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2B7F"/>
    <w:rsid w:val="00D02C37"/>
    <w:rsid w:val="00D03A41"/>
    <w:rsid w:val="00D03D16"/>
    <w:rsid w:val="00D04456"/>
    <w:rsid w:val="00D04534"/>
    <w:rsid w:val="00D04CBB"/>
    <w:rsid w:val="00D04E2C"/>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C55"/>
    <w:rsid w:val="00D21DB1"/>
    <w:rsid w:val="00D22C27"/>
    <w:rsid w:val="00D22D48"/>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7FD"/>
    <w:rsid w:val="00D40FFA"/>
    <w:rsid w:val="00D41D6B"/>
    <w:rsid w:val="00D41DED"/>
    <w:rsid w:val="00D42069"/>
    <w:rsid w:val="00D42084"/>
    <w:rsid w:val="00D4252C"/>
    <w:rsid w:val="00D42DD3"/>
    <w:rsid w:val="00D432BB"/>
    <w:rsid w:val="00D4360E"/>
    <w:rsid w:val="00D43851"/>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78D"/>
    <w:rsid w:val="00D508A6"/>
    <w:rsid w:val="00D510C4"/>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33"/>
    <w:rsid w:val="00D55E59"/>
    <w:rsid w:val="00D560B1"/>
    <w:rsid w:val="00D56106"/>
    <w:rsid w:val="00D56333"/>
    <w:rsid w:val="00D569E7"/>
    <w:rsid w:val="00D56B97"/>
    <w:rsid w:val="00D57741"/>
    <w:rsid w:val="00D57BCF"/>
    <w:rsid w:val="00D57BF5"/>
    <w:rsid w:val="00D57EF7"/>
    <w:rsid w:val="00D57F67"/>
    <w:rsid w:val="00D60423"/>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90A"/>
    <w:rsid w:val="00D711D1"/>
    <w:rsid w:val="00D71693"/>
    <w:rsid w:val="00D718F9"/>
    <w:rsid w:val="00D7198E"/>
    <w:rsid w:val="00D720BE"/>
    <w:rsid w:val="00D7242A"/>
    <w:rsid w:val="00D72565"/>
    <w:rsid w:val="00D72641"/>
    <w:rsid w:val="00D72897"/>
    <w:rsid w:val="00D72AD9"/>
    <w:rsid w:val="00D72BB5"/>
    <w:rsid w:val="00D730CB"/>
    <w:rsid w:val="00D733D3"/>
    <w:rsid w:val="00D736BE"/>
    <w:rsid w:val="00D73A15"/>
    <w:rsid w:val="00D73ACE"/>
    <w:rsid w:val="00D74E67"/>
    <w:rsid w:val="00D74FD9"/>
    <w:rsid w:val="00D75250"/>
    <w:rsid w:val="00D7561C"/>
    <w:rsid w:val="00D75DA2"/>
    <w:rsid w:val="00D761EA"/>
    <w:rsid w:val="00D763AF"/>
    <w:rsid w:val="00D765F2"/>
    <w:rsid w:val="00D76C0D"/>
    <w:rsid w:val="00D76CFA"/>
    <w:rsid w:val="00D77404"/>
    <w:rsid w:val="00D7745B"/>
    <w:rsid w:val="00D776C2"/>
    <w:rsid w:val="00D779D9"/>
    <w:rsid w:val="00D77D91"/>
    <w:rsid w:val="00D8094B"/>
    <w:rsid w:val="00D80DE0"/>
    <w:rsid w:val="00D818FC"/>
    <w:rsid w:val="00D81BA7"/>
    <w:rsid w:val="00D81D3A"/>
    <w:rsid w:val="00D82254"/>
    <w:rsid w:val="00D827EC"/>
    <w:rsid w:val="00D8287F"/>
    <w:rsid w:val="00D828E7"/>
    <w:rsid w:val="00D82B66"/>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CEC"/>
    <w:rsid w:val="00D92F05"/>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4B"/>
    <w:rsid w:val="00DA3677"/>
    <w:rsid w:val="00DA3683"/>
    <w:rsid w:val="00DA3F5A"/>
    <w:rsid w:val="00DA55C0"/>
    <w:rsid w:val="00DA57D6"/>
    <w:rsid w:val="00DA5EF1"/>
    <w:rsid w:val="00DA62F5"/>
    <w:rsid w:val="00DA62F7"/>
    <w:rsid w:val="00DA66AF"/>
    <w:rsid w:val="00DA6B12"/>
    <w:rsid w:val="00DA6FD0"/>
    <w:rsid w:val="00DA7370"/>
    <w:rsid w:val="00DA7CF6"/>
    <w:rsid w:val="00DB0235"/>
    <w:rsid w:val="00DB02EE"/>
    <w:rsid w:val="00DB06EB"/>
    <w:rsid w:val="00DB0902"/>
    <w:rsid w:val="00DB1538"/>
    <w:rsid w:val="00DB1F21"/>
    <w:rsid w:val="00DB2294"/>
    <w:rsid w:val="00DB2BD8"/>
    <w:rsid w:val="00DB335D"/>
    <w:rsid w:val="00DB365F"/>
    <w:rsid w:val="00DB3752"/>
    <w:rsid w:val="00DB444C"/>
    <w:rsid w:val="00DB55AD"/>
    <w:rsid w:val="00DB57B9"/>
    <w:rsid w:val="00DB5A59"/>
    <w:rsid w:val="00DB5BE9"/>
    <w:rsid w:val="00DB6384"/>
    <w:rsid w:val="00DB6558"/>
    <w:rsid w:val="00DB6851"/>
    <w:rsid w:val="00DB68E2"/>
    <w:rsid w:val="00DB6D07"/>
    <w:rsid w:val="00DB71AB"/>
    <w:rsid w:val="00DB7237"/>
    <w:rsid w:val="00DB72D6"/>
    <w:rsid w:val="00DC0114"/>
    <w:rsid w:val="00DC014D"/>
    <w:rsid w:val="00DC0D44"/>
    <w:rsid w:val="00DC0FC9"/>
    <w:rsid w:val="00DC125E"/>
    <w:rsid w:val="00DC14AA"/>
    <w:rsid w:val="00DC1604"/>
    <w:rsid w:val="00DC16B9"/>
    <w:rsid w:val="00DC174C"/>
    <w:rsid w:val="00DC1D03"/>
    <w:rsid w:val="00DC1F2D"/>
    <w:rsid w:val="00DC2E11"/>
    <w:rsid w:val="00DC3A3C"/>
    <w:rsid w:val="00DC3E3C"/>
    <w:rsid w:val="00DC5429"/>
    <w:rsid w:val="00DC5F94"/>
    <w:rsid w:val="00DC620C"/>
    <w:rsid w:val="00DC662C"/>
    <w:rsid w:val="00DC68E6"/>
    <w:rsid w:val="00DC6925"/>
    <w:rsid w:val="00DC6E3F"/>
    <w:rsid w:val="00DC73A9"/>
    <w:rsid w:val="00DC7582"/>
    <w:rsid w:val="00DC7586"/>
    <w:rsid w:val="00DC7B76"/>
    <w:rsid w:val="00DC7CF1"/>
    <w:rsid w:val="00DC7E51"/>
    <w:rsid w:val="00DD0388"/>
    <w:rsid w:val="00DD0A12"/>
    <w:rsid w:val="00DD0AA3"/>
    <w:rsid w:val="00DD0C75"/>
    <w:rsid w:val="00DD10E3"/>
    <w:rsid w:val="00DD1246"/>
    <w:rsid w:val="00DD19AD"/>
    <w:rsid w:val="00DD1A9A"/>
    <w:rsid w:val="00DD202F"/>
    <w:rsid w:val="00DD20B4"/>
    <w:rsid w:val="00DD21FD"/>
    <w:rsid w:val="00DD2583"/>
    <w:rsid w:val="00DD2A09"/>
    <w:rsid w:val="00DD2B19"/>
    <w:rsid w:val="00DD2C08"/>
    <w:rsid w:val="00DD30FA"/>
    <w:rsid w:val="00DD328A"/>
    <w:rsid w:val="00DD3898"/>
    <w:rsid w:val="00DD39DD"/>
    <w:rsid w:val="00DD3D5C"/>
    <w:rsid w:val="00DD3FB9"/>
    <w:rsid w:val="00DD414F"/>
    <w:rsid w:val="00DD4192"/>
    <w:rsid w:val="00DD5978"/>
    <w:rsid w:val="00DD6790"/>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64B"/>
    <w:rsid w:val="00DE4A40"/>
    <w:rsid w:val="00DE546E"/>
    <w:rsid w:val="00DE54CF"/>
    <w:rsid w:val="00DE552E"/>
    <w:rsid w:val="00DE5853"/>
    <w:rsid w:val="00DE5A71"/>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032"/>
    <w:rsid w:val="00DF2543"/>
    <w:rsid w:val="00DF27B1"/>
    <w:rsid w:val="00DF28EF"/>
    <w:rsid w:val="00DF363D"/>
    <w:rsid w:val="00DF397E"/>
    <w:rsid w:val="00DF4745"/>
    <w:rsid w:val="00DF491A"/>
    <w:rsid w:val="00DF5070"/>
    <w:rsid w:val="00DF549A"/>
    <w:rsid w:val="00DF54EA"/>
    <w:rsid w:val="00DF5A2E"/>
    <w:rsid w:val="00DF673E"/>
    <w:rsid w:val="00DF69E7"/>
    <w:rsid w:val="00DF6DD1"/>
    <w:rsid w:val="00DF6E3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6E23"/>
    <w:rsid w:val="00E071F1"/>
    <w:rsid w:val="00E0767D"/>
    <w:rsid w:val="00E07754"/>
    <w:rsid w:val="00E07757"/>
    <w:rsid w:val="00E07C16"/>
    <w:rsid w:val="00E101D9"/>
    <w:rsid w:val="00E107D5"/>
    <w:rsid w:val="00E108AA"/>
    <w:rsid w:val="00E1092D"/>
    <w:rsid w:val="00E10CE5"/>
    <w:rsid w:val="00E10D1C"/>
    <w:rsid w:val="00E10FD5"/>
    <w:rsid w:val="00E11EEE"/>
    <w:rsid w:val="00E1277F"/>
    <w:rsid w:val="00E12892"/>
    <w:rsid w:val="00E12AC1"/>
    <w:rsid w:val="00E12EF6"/>
    <w:rsid w:val="00E13718"/>
    <w:rsid w:val="00E13C8F"/>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D76"/>
    <w:rsid w:val="00E20E39"/>
    <w:rsid w:val="00E2162A"/>
    <w:rsid w:val="00E21942"/>
    <w:rsid w:val="00E22332"/>
    <w:rsid w:val="00E2245E"/>
    <w:rsid w:val="00E2248D"/>
    <w:rsid w:val="00E22BC7"/>
    <w:rsid w:val="00E23B90"/>
    <w:rsid w:val="00E23C14"/>
    <w:rsid w:val="00E23E24"/>
    <w:rsid w:val="00E242FC"/>
    <w:rsid w:val="00E246E5"/>
    <w:rsid w:val="00E24B2C"/>
    <w:rsid w:val="00E24D04"/>
    <w:rsid w:val="00E258EA"/>
    <w:rsid w:val="00E26416"/>
    <w:rsid w:val="00E26F4F"/>
    <w:rsid w:val="00E3014C"/>
    <w:rsid w:val="00E305E4"/>
    <w:rsid w:val="00E30805"/>
    <w:rsid w:val="00E31120"/>
    <w:rsid w:val="00E3118C"/>
    <w:rsid w:val="00E318C1"/>
    <w:rsid w:val="00E3256A"/>
    <w:rsid w:val="00E3297E"/>
    <w:rsid w:val="00E32FF4"/>
    <w:rsid w:val="00E333AF"/>
    <w:rsid w:val="00E335F4"/>
    <w:rsid w:val="00E337D6"/>
    <w:rsid w:val="00E33B0A"/>
    <w:rsid w:val="00E33DB6"/>
    <w:rsid w:val="00E343CE"/>
    <w:rsid w:val="00E346AB"/>
    <w:rsid w:val="00E34B41"/>
    <w:rsid w:val="00E3500A"/>
    <w:rsid w:val="00E353CC"/>
    <w:rsid w:val="00E35FB3"/>
    <w:rsid w:val="00E36F24"/>
    <w:rsid w:val="00E370C6"/>
    <w:rsid w:val="00E3754C"/>
    <w:rsid w:val="00E3785A"/>
    <w:rsid w:val="00E378BC"/>
    <w:rsid w:val="00E378D3"/>
    <w:rsid w:val="00E379BD"/>
    <w:rsid w:val="00E37D54"/>
    <w:rsid w:val="00E37F3A"/>
    <w:rsid w:val="00E4082B"/>
    <w:rsid w:val="00E40DA0"/>
    <w:rsid w:val="00E4196D"/>
    <w:rsid w:val="00E419C4"/>
    <w:rsid w:val="00E42263"/>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781"/>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85E"/>
    <w:rsid w:val="00E60C66"/>
    <w:rsid w:val="00E61167"/>
    <w:rsid w:val="00E61388"/>
    <w:rsid w:val="00E618AE"/>
    <w:rsid w:val="00E6193F"/>
    <w:rsid w:val="00E61CC7"/>
    <w:rsid w:val="00E61DE5"/>
    <w:rsid w:val="00E622F2"/>
    <w:rsid w:val="00E624FE"/>
    <w:rsid w:val="00E628D6"/>
    <w:rsid w:val="00E62941"/>
    <w:rsid w:val="00E62C74"/>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109D"/>
    <w:rsid w:val="00E71601"/>
    <w:rsid w:val="00E717E0"/>
    <w:rsid w:val="00E71878"/>
    <w:rsid w:val="00E71ED3"/>
    <w:rsid w:val="00E7272E"/>
    <w:rsid w:val="00E7298E"/>
    <w:rsid w:val="00E72EFC"/>
    <w:rsid w:val="00E736A3"/>
    <w:rsid w:val="00E73F21"/>
    <w:rsid w:val="00E74757"/>
    <w:rsid w:val="00E74C63"/>
    <w:rsid w:val="00E74DE6"/>
    <w:rsid w:val="00E75567"/>
    <w:rsid w:val="00E75847"/>
    <w:rsid w:val="00E75973"/>
    <w:rsid w:val="00E759EB"/>
    <w:rsid w:val="00E75B93"/>
    <w:rsid w:val="00E75DFD"/>
    <w:rsid w:val="00E75F70"/>
    <w:rsid w:val="00E760A6"/>
    <w:rsid w:val="00E76595"/>
    <w:rsid w:val="00E76DEA"/>
    <w:rsid w:val="00E76EFA"/>
    <w:rsid w:val="00E77049"/>
    <w:rsid w:val="00E77883"/>
    <w:rsid w:val="00E804EA"/>
    <w:rsid w:val="00E80ACB"/>
    <w:rsid w:val="00E80F3A"/>
    <w:rsid w:val="00E810B0"/>
    <w:rsid w:val="00E813C0"/>
    <w:rsid w:val="00E81424"/>
    <w:rsid w:val="00E8176C"/>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959"/>
    <w:rsid w:val="00E84DBD"/>
    <w:rsid w:val="00E85210"/>
    <w:rsid w:val="00E85236"/>
    <w:rsid w:val="00E85DF2"/>
    <w:rsid w:val="00E87330"/>
    <w:rsid w:val="00E873A1"/>
    <w:rsid w:val="00E87440"/>
    <w:rsid w:val="00E90557"/>
    <w:rsid w:val="00E905BE"/>
    <w:rsid w:val="00E9090B"/>
    <w:rsid w:val="00E90CD0"/>
    <w:rsid w:val="00E91FF1"/>
    <w:rsid w:val="00E9267D"/>
    <w:rsid w:val="00E92CC0"/>
    <w:rsid w:val="00E9345B"/>
    <w:rsid w:val="00E937CA"/>
    <w:rsid w:val="00E93B51"/>
    <w:rsid w:val="00E93C24"/>
    <w:rsid w:val="00E944BD"/>
    <w:rsid w:val="00E94707"/>
    <w:rsid w:val="00E949FD"/>
    <w:rsid w:val="00E94C66"/>
    <w:rsid w:val="00E95A45"/>
    <w:rsid w:val="00E95B64"/>
    <w:rsid w:val="00E95E7D"/>
    <w:rsid w:val="00E9605F"/>
    <w:rsid w:val="00E968A8"/>
    <w:rsid w:val="00E97E33"/>
    <w:rsid w:val="00E97F75"/>
    <w:rsid w:val="00EA035B"/>
    <w:rsid w:val="00EA0C4C"/>
    <w:rsid w:val="00EA0F51"/>
    <w:rsid w:val="00EA1131"/>
    <w:rsid w:val="00EA19A9"/>
    <w:rsid w:val="00EA1AE3"/>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08C"/>
    <w:rsid w:val="00EA6A66"/>
    <w:rsid w:val="00EA6DA4"/>
    <w:rsid w:val="00EA71AC"/>
    <w:rsid w:val="00EA79B4"/>
    <w:rsid w:val="00EA7ACE"/>
    <w:rsid w:val="00EA7CAB"/>
    <w:rsid w:val="00EB00B3"/>
    <w:rsid w:val="00EB026F"/>
    <w:rsid w:val="00EB058C"/>
    <w:rsid w:val="00EB0D9C"/>
    <w:rsid w:val="00EB0E04"/>
    <w:rsid w:val="00EB0EC4"/>
    <w:rsid w:val="00EB182F"/>
    <w:rsid w:val="00EB2365"/>
    <w:rsid w:val="00EB2C0B"/>
    <w:rsid w:val="00EB2C7D"/>
    <w:rsid w:val="00EB2D3E"/>
    <w:rsid w:val="00EB2E08"/>
    <w:rsid w:val="00EB30A9"/>
    <w:rsid w:val="00EB3359"/>
    <w:rsid w:val="00EB3FDE"/>
    <w:rsid w:val="00EB42DC"/>
    <w:rsid w:val="00EB482B"/>
    <w:rsid w:val="00EB4BD5"/>
    <w:rsid w:val="00EB5A8C"/>
    <w:rsid w:val="00EB601D"/>
    <w:rsid w:val="00EB604F"/>
    <w:rsid w:val="00EB629E"/>
    <w:rsid w:val="00EB6660"/>
    <w:rsid w:val="00EB7500"/>
    <w:rsid w:val="00EB7C9B"/>
    <w:rsid w:val="00EC0098"/>
    <w:rsid w:val="00EC0A2A"/>
    <w:rsid w:val="00EC0F7E"/>
    <w:rsid w:val="00EC1378"/>
    <w:rsid w:val="00EC13C1"/>
    <w:rsid w:val="00EC1593"/>
    <w:rsid w:val="00EC19E5"/>
    <w:rsid w:val="00EC1CA7"/>
    <w:rsid w:val="00EC1E8F"/>
    <w:rsid w:val="00EC208D"/>
    <w:rsid w:val="00EC21C2"/>
    <w:rsid w:val="00EC21CD"/>
    <w:rsid w:val="00EC2507"/>
    <w:rsid w:val="00EC2727"/>
    <w:rsid w:val="00EC2E2E"/>
    <w:rsid w:val="00EC3797"/>
    <w:rsid w:val="00EC3DA4"/>
    <w:rsid w:val="00EC3FE4"/>
    <w:rsid w:val="00EC4902"/>
    <w:rsid w:val="00EC4DC9"/>
    <w:rsid w:val="00EC4FCD"/>
    <w:rsid w:val="00EC4FFC"/>
    <w:rsid w:val="00EC54D5"/>
    <w:rsid w:val="00EC580D"/>
    <w:rsid w:val="00EC59BF"/>
    <w:rsid w:val="00EC5AEC"/>
    <w:rsid w:val="00EC5F40"/>
    <w:rsid w:val="00EC652D"/>
    <w:rsid w:val="00EC723E"/>
    <w:rsid w:val="00EC73B6"/>
    <w:rsid w:val="00EC74D0"/>
    <w:rsid w:val="00EC77CD"/>
    <w:rsid w:val="00EC77FE"/>
    <w:rsid w:val="00ED03CF"/>
    <w:rsid w:val="00ED042B"/>
    <w:rsid w:val="00ED1708"/>
    <w:rsid w:val="00ED2073"/>
    <w:rsid w:val="00ED2B8A"/>
    <w:rsid w:val="00ED30B9"/>
    <w:rsid w:val="00ED3397"/>
    <w:rsid w:val="00ED34DB"/>
    <w:rsid w:val="00ED3748"/>
    <w:rsid w:val="00ED3BE2"/>
    <w:rsid w:val="00ED3C4C"/>
    <w:rsid w:val="00ED4235"/>
    <w:rsid w:val="00ED4668"/>
    <w:rsid w:val="00ED47B0"/>
    <w:rsid w:val="00ED4BDB"/>
    <w:rsid w:val="00ED4C0D"/>
    <w:rsid w:val="00ED529F"/>
    <w:rsid w:val="00ED5844"/>
    <w:rsid w:val="00ED69DE"/>
    <w:rsid w:val="00ED6F39"/>
    <w:rsid w:val="00ED722D"/>
    <w:rsid w:val="00ED73B6"/>
    <w:rsid w:val="00ED750A"/>
    <w:rsid w:val="00ED7909"/>
    <w:rsid w:val="00ED7BC9"/>
    <w:rsid w:val="00ED7D9E"/>
    <w:rsid w:val="00EE0537"/>
    <w:rsid w:val="00EE057D"/>
    <w:rsid w:val="00EE0B9A"/>
    <w:rsid w:val="00EE1AC6"/>
    <w:rsid w:val="00EE1BD3"/>
    <w:rsid w:val="00EE20A1"/>
    <w:rsid w:val="00EE2185"/>
    <w:rsid w:val="00EE241F"/>
    <w:rsid w:val="00EE249A"/>
    <w:rsid w:val="00EE26A5"/>
    <w:rsid w:val="00EE2825"/>
    <w:rsid w:val="00EE2BBB"/>
    <w:rsid w:val="00EE3D64"/>
    <w:rsid w:val="00EE432F"/>
    <w:rsid w:val="00EE49D9"/>
    <w:rsid w:val="00EE49DB"/>
    <w:rsid w:val="00EE5498"/>
    <w:rsid w:val="00EE54FE"/>
    <w:rsid w:val="00EE5EE4"/>
    <w:rsid w:val="00EE6076"/>
    <w:rsid w:val="00EE622E"/>
    <w:rsid w:val="00EE6BA7"/>
    <w:rsid w:val="00EE7052"/>
    <w:rsid w:val="00EF0037"/>
    <w:rsid w:val="00EF02E2"/>
    <w:rsid w:val="00EF0306"/>
    <w:rsid w:val="00EF0827"/>
    <w:rsid w:val="00EF1659"/>
    <w:rsid w:val="00EF1859"/>
    <w:rsid w:val="00EF1AD2"/>
    <w:rsid w:val="00EF1D84"/>
    <w:rsid w:val="00EF21B1"/>
    <w:rsid w:val="00EF23AD"/>
    <w:rsid w:val="00EF23DB"/>
    <w:rsid w:val="00EF365C"/>
    <w:rsid w:val="00EF3735"/>
    <w:rsid w:val="00EF382D"/>
    <w:rsid w:val="00EF43E8"/>
    <w:rsid w:val="00EF4747"/>
    <w:rsid w:val="00EF5125"/>
    <w:rsid w:val="00EF5126"/>
    <w:rsid w:val="00EF51B0"/>
    <w:rsid w:val="00EF51CB"/>
    <w:rsid w:val="00EF5C92"/>
    <w:rsid w:val="00EF65B5"/>
    <w:rsid w:val="00EF68E3"/>
    <w:rsid w:val="00EF6D1C"/>
    <w:rsid w:val="00EF6ECF"/>
    <w:rsid w:val="00EF73E2"/>
    <w:rsid w:val="00EF7626"/>
    <w:rsid w:val="00EF7C1C"/>
    <w:rsid w:val="00EF7DD6"/>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6A6"/>
    <w:rsid w:val="00F11B44"/>
    <w:rsid w:val="00F11BED"/>
    <w:rsid w:val="00F11C2F"/>
    <w:rsid w:val="00F11E8F"/>
    <w:rsid w:val="00F12414"/>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233"/>
    <w:rsid w:val="00F154AC"/>
    <w:rsid w:val="00F157AC"/>
    <w:rsid w:val="00F159E3"/>
    <w:rsid w:val="00F15AC4"/>
    <w:rsid w:val="00F15D15"/>
    <w:rsid w:val="00F15E4B"/>
    <w:rsid w:val="00F15EAB"/>
    <w:rsid w:val="00F16097"/>
    <w:rsid w:val="00F164A8"/>
    <w:rsid w:val="00F171A2"/>
    <w:rsid w:val="00F171CA"/>
    <w:rsid w:val="00F17739"/>
    <w:rsid w:val="00F177F8"/>
    <w:rsid w:val="00F17AA0"/>
    <w:rsid w:val="00F2066B"/>
    <w:rsid w:val="00F20863"/>
    <w:rsid w:val="00F20880"/>
    <w:rsid w:val="00F21192"/>
    <w:rsid w:val="00F214A6"/>
    <w:rsid w:val="00F216F9"/>
    <w:rsid w:val="00F21B8F"/>
    <w:rsid w:val="00F21BF5"/>
    <w:rsid w:val="00F22193"/>
    <w:rsid w:val="00F224AE"/>
    <w:rsid w:val="00F249E5"/>
    <w:rsid w:val="00F25146"/>
    <w:rsid w:val="00F25D10"/>
    <w:rsid w:val="00F268E9"/>
    <w:rsid w:val="00F2690D"/>
    <w:rsid w:val="00F300F2"/>
    <w:rsid w:val="00F302AE"/>
    <w:rsid w:val="00F304C3"/>
    <w:rsid w:val="00F30BEB"/>
    <w:rsid w:val="00F313A3"/>
    <w:rsid w:val="00F316A3"/>
    <w:rsid w:val="00F32084"/>
    <w:rsid w:val="00F32102"/>
    <w:rsid w:val="00F321ED"/>
    <w:rsid w:val="00F3227A"/>
    <w:rsid w:val="00F32833"/>
    <w:rsid w:val="00F32F87"/>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260D"/>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4AC"/>
    <w:rsid w:val="00F56AC8"/>
    <w:rsid w:val="00F570CB"/>
    <w:rsid w:val="00F57776"/>
    <w:rsid w:val="00F577FC"/>
    <w:rsid w:val="00F60555"/>
    <w:rsid w:val="00F605D3"/>
    <w:rsid w:val="00F607DC"/>
    <w:rsid w:val="00F60871"/>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4B44"/>
    <w:rsid w:val="00F65A68"/>
    <w:rsid w:val="00F65CA6"/>
    <w:rsid w:val="00F65CD9"/>
    <w:rsid w:val="00F661C0"/>
    <w:rsid w:val="00F66354"/>
    <w:rsid w:val="00F66492"/>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0FD"/>
    <w:rsid w:val="00F83468"/>
    <w:rsid w:val="00F834A4"/>
    <w:rsid w:val="00F8412A"/>
    <w:rsid w:val="00F8417C"/>
    <w:rsid w:val="00F84FA7"/>
    <w:rsid w:val="00F850A7"/>
    <w:rsid w:val="00F852DB"/>
    <w:rsid w:val="00F85B6F"/>
    <w:rsid w:val="00F86574"/>
    <w:rsid w:val="00F86DA5"/>
    <w:rsid w:val="00F873CD"/>
    <w:rsid w:val="00F87507"/>
    <w:rsid w:val="00F87C75"/>
    <w:rsid w:val="00F87FC9"/>
    <w:rsid w:val="00F90954"/>
    <w:rsid w:val="00F90DDA"/>
    <w:rsid w:val="00F91066"/>
    <w:rsid w:val="00F919B1"/>
    <w:rsid w:val="00F92200"/>
    <w:rsid w:val="00F92A0F"/>
    <w:rsid w:val="00F92CD5"/>
    <w:rsid w:val="00F92E4E"/>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B0536"/>
    <w:rsid w:val="00FB05DC"/>
    <w:rsid w:val="00FB0F2E"/>
    <w:rsid w:val="00FB1606"/>
    <w:rsid w:val="00FB16D7"/>
    <w:rsid w:val="00FB1800"/>
    <w:rsid w:val="00FB1B2E"/>
    <w:rsid w:val="00FB1C07"/>
    <w:rsid w:val="00FB20D2"/>
    <w:rsid w:val="00FB21A3"/>
    <w:rsid w:val="00FB2A29"/>
    <w:rsid w:val="00FB503C"/>
    <w:rsid w:val="00FB55F0"/>
    <w:rsid w:val="00FB5FF1"/>
    <w:rsid w:val="00FB6017"/>
    <w:rsid w:val="00FB620A"/>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C7A2B"/>
    <w:rsid w:val="00FC7A90"/>
    <w:rsid w:val="00FD02AE"/>
    <w:rsid w:val="00FD03FC"/>
    <w:rsid w:val="00FD0AAB"/>
    <w:rsid w:val="00FD0F6A"/>
    <w:rsid w:val="00FD0FE1"/>
    <w:rsid w:val="00FD1029"/>
    <w:rsid w:val="00FD113F"/>
    <w:rsid w:val="00FD1444"/>
    <w:rsid w:val="00FD193F"/>
    <w:rsid w:val="00FD1AF8"/>
    <w:rsid w:val="00FD21EE"/>
    <w:rsid w:val="00FD24BD"/>
    <w:rsid w:val="00FD269D"/>
    <w:rsid w:val="00FD2F48"/>
    <w:rsid w:val="00FD3A1B"/>
    <w:rsid w:val="00FD3C1C"/>
    <w:rsid w:val="00FD42EF"/>
    <w:rsid w:val="00FD5665"/>
    <w:rsid w:val="00FD5828"/>
    <w:rsid w:val="00FD65A2"/>
    <w:rsid w:val="00FD65EE"/>
    <w:rsid w:val="00FD6717"/>
    <w:rsid w:val="00FE06D7"/>
    <w:rsid w:val="00FE08EB"/>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DE7"/>
    <w:rsid w:val="00FF0077"/>
    <w:rsid w:val="00FF02CD"/>
    <w:rsid w:val="00FF0AAF"/>
    <w:rsid w:val="00FF0E78"/>
    <w:rsid w:val="00FF110E"/>
    <w:rsid w:val="00FF121C"/>
    <w:rsid w:val="00FF1919"/>
    <w:rsid w:val="00FF2155"/>
    <w:rsid w:val="00FF23F9"/>
    <w:rsid w:val="00FF2684"/>
    <w:rsid w:val="00FF29B8"/>
    <w:rsid w:val="00FF2A97"/>
    <w:rsid w:val="00FF2E1C"/>
    <w:rsid w:val="00FF369A"/>
    <w:rsid w:val="00FF3A85"/>
    <w:rsid w:val="00FF3DDC"/>
    <w:rsid w:val="00FF50EE"/>
    <w:rsid w:val="00FF51F9"/>
    <w:rsid w:val="00FF5421"/>
    <w:rsid w:val="00FF585E"/>
    <w:rsid w:val="00FF5998"/>
    <w:rsid w:val="00FF64B4"/>
    <w:rsid w:val="00FF6B61"/>
    <w:rsid w:val="00FF6BCE"/>
    <w:rsid w:val="00FF6CB6"/>
    <w:rsid w:val="00FF6FCD"/>
    <w:rsid w:val="00FF71B8"/>
    <w:rsid w:val="00FF734A"/>
    <w:rsid w:val="00FF73FD"/>
    <w:rsid w:val="00FF7C73"/>
    <w:rsid w:val="01230FF8"/>
    <w:rsid w:val="01372443"/>
    <w:rsid w:val="016269A4"/>
    <w:rsid w:val="01840D23"/>
    <w:rsid w:val="019A6EC1"/>
    <w:rsid w:val="01B446F6"/>
    <w:rsid w:val="01C523EB"/>
    <w:rsid w:val="02443EBF"/>
    <w:rsid w:val="03552B38"/>
    <w:rsid w:val="03EA585B"/>
    <w:rsid w:val="041476CE"/>
    <w:rsid w:val="04674129"/>
    <w:rsid w:val="047E27A1"/>
    <w:rsid w:val="0495075E"/>
    <w:rsid w:val="04F06240"/>
    <w:rsid w:val="052949F8"/>
    <w:rsid w:val="056A02D7"/>
    <w:rsid w:val="059A5838"/>
    <w:rsid w:val="05B9052D"/>
    <w:rsid w:val="05CB76D4"/>
    <w:rsid w:val="06452A65"/>
    <w:rsid w:val="067B5183"/>
    <w:rsid w:val="068B1EC9"/>
    <w:rsid w:val="068D7B29"/>
    <w:rsid w:val="07887E60"/>
    <w:rsid w:val="07BD24C2"/>
    <w:rsid w:val="07F563F7"/>
    <w:rsid w:val="080400A0"/>
    <w:rsid w:val="086361B9"/>
    <w:rsid w:val="087555BE"/>
    <w:rsid w:val="087628FD"/>
    <w:rsid w:val="0892621C"/>
    <w:rsid w:val="08EE2A4A"/>
    <w:rsid w:val="091356AE"/>
    <w:rsid w:val="092A4428"/>
    <w:rsid w:val="094A1567"/>
    <w:rsid w:val="09E50F66"/>
    <w:rsid w:val="09F80B03"/>
    <w:rsid w:val="0A047CB7"/>
    <w:rsid w:val="0A06432E"/>
    <w:rsid w:val="0A855BE3"/>
    <w:rsid w:val="0AEA31F5"/>
    <w:rsid w:val="0B0F7210"/>
    <w:rsid w:val="0BD95974"/>
    <w:rsid w:val="0C5646FE"/>
    <w:rsid w:val="0C591FE7"/>
    <w:rsid w:val="0CDF77F8"/>
    <w:rsid w:val="0D005082"/>
    <w:rsid w:val="0D5225D9"/>
    <w:rsid w:val="0D5A1BC5"/>
    <w:rsid w:val="0D625A80"/>
    <w:rsid w:val="0DA4057D"/>
    <w:rsid w:val="0DB97A81"/>
    <w:rsid w:val="0E021B73"/>
    <w:rsid w:val="0E337610"/>
    <w:rsid w:val="0E540B6A"/>
    <w:rsid w:val="0EC14BA3"/>
    <w:rsid w:val="0EFF6ACC"/>
    <w:rsid w:val="0F205D2F"/>
    <w:rsid w:val="0F3303C0"/>
    <w:rsid w:val="0F372102"/>
    <w:rsid w:val="101807A5"/>
    <w:rsid w:val="1018630E"/>
    <w:rsid w:val="10403777"/>
    <w:rsid w:val="10C22A8B"/>
    <w:rsid w:val="10C7071B"/>
    <w:rsid w:val="10DC74F6"/>
    <w:rsid w:val="11924A9A"/>
    <w:rsid w:val="11B132B7"/>
    <w:rsid w:val="120F3ACD"/>
    <w:rsid w:val="121557F7"/>
    <w:rsid w:val="12446090"/>
    <w:rsid w:val="12604726"/>
    <w:rsid w:val="129245E0"/>
    <w:rsid w:val="12AC228B"/>
    <w:rsid w:val="13166FBF"/>
    <w:rsid w:val="131E5BA9"/>
    <w:rsid w:val="13BD4648"/>
    <w:rsid w:val="13DF727B"/>
    <w:rsid w:val="13E26908"/>
    <w:rsid w:val="14395983"/>
    <w:rsid w:val="14633A51"/>
    <w:rsid w:val="15061D4E"/>
    <w:rsid w:val="150A2791"/>
    <w:rsid w:val="1571000F"/>
    <w:rsid w:val="157222B5"/>
    <w:rsid w:val="15BF62FE"/>
    <w:rsid w:val="160D4873"/>
    <w:rsid w:val="1651030E"/>
    <w:rsid w:val="16B61F43"/>
    <w:rsid w:val="16B83DCF"/>
    <w:rsid w:val="172E3C1D"/>
    <w:rsid w:val="17C13D10"/>
    <w:rsid w:val="17D33B8E"/>
    <w:rsid w:val="18296E49"/>
    <w:rsid w:val="187D5677"/>
    <w:rsid w:val="18B96600"/>
    <w:rsid w:val="19076499"/>
    <w:rsid w:val="19745B83"/>
    <w:rsid w:val="199729AB"/>
    <w:rsid w:val="19FD6728"/>
    <w:rsid w:val="1A94421B"/>
    <w:rsid w:val="1B181367"/>
    <w:rsid w:val="1B775BBE"/>
    <w:rsid w:val="1C7E191E"/>
    <w:rsid w:val="1C8F086C"/>
    <w:rsid w:val="1CEF7BC8"/>
    <w:rsid w:val="1D4E7DE2"/>
    <w:rsid w:val="1D56710C"/>
    <w:rsid w:val="1D5F7655"/>
    <w:rsid w:val="1D7513D6"/>
    <w:rsid w:val="1DBA1560"/>
    <w:rsid w:val="1DF30DBE"/>
    <w:rsid w:val="1EB71A6E"/>
    <w:rsid w:val="1EE26671"/>
    <w:rsid w:val="20166D26"/>
    <w:rsid w:val="203104B9"/>
    <w:rsid w:val="20442961"/>
    <w:rsid w:val="20887FB8"/>
    <w:rsid w:val="20EC4110"/>
    <w:rsid w:val="212E56A3"/>
    <w:rsid w:val="21385634"/>
    <w:rsid w:val="21952B7D"/>
    <w:rsid w:val="21DB34DC"/>
    <w:rsid w:val="220C3E9A"/>
    <w:rsid w:val="23466651"/>
    <w:rsid w:val="23893B90"/>
    <w:rsid w:val="238C3F23"/>
    <w:rsid w:val="23950110"/>
    <w:rsid w:val="247915C7"/>
    <w:rsid w:val="248779A4"/>
    <w:rsid w:val="24AE4C1E"/>
    <w:rsid w:val="24F9002D"/>
    <w:rsid w:val="251C2AE9"/>
    <w:rsid w:val="2520284B"/>
    <w:rsid w:val="255634CE"/>
    <w:rsid w:val="255D48F2"/>
    <w:rsid w:val="255F2871"/>
    <w:rsid w:val="258D467E"/>
    <w:rsid w:val="25E54F22"/>
    <w:rsid w:val="28555704"/>
    <w:rsid w:val="28AE4E09"/>
    <w:rsid w:val="28FC5ED0"/>
    <w:rsid w:val="298E195C"/>
    <w:rsid w:val="29DA1326"/>
    <w:rsid w:val="29E11628"/>
    <w:rsid w:val="2A351598"/>
    <w:rsid w:val="2A402F4F"/>
    <w:rsid w:val="2A6D45EB"/>
    <w:rsid w:val="2ABC486D"/>
    <w:rsid w:val="2B0D71F7"/>
    <w:rsid w:val="2B31041E"/>
    <w:rsid w:val="2BAE6DAA"/>
    <w:rsid w:val="2BF34A45"/>
    <w:rsid w:val="2C106402"/>
    <w:rsid w:val="2C2E4FDD"/>
    <w:rsid w:val="2C392E8C"/>
    <w:rsid w:val="2C3C5C85"/>
    <w:rsid w:val="2C5C6FA4"/>
    <w:rsid w:val="2C85213F"/>
    <w:rsid w:val="2D2F463D"/>
    <w:rsid w:val="2E4C0935"/>
    <w:rsid w:val="2E817FC1"/>
    <w:rsid w:val="2E870E83"/>
    <w:rsid w:val="2F020587"/>
    <w:rsid w:val="2F4729F3"/>
    <w:rsid w:val="2F684BEB"/>
    <w:rsid w:val="2F7E5186"/>
    <w:rsid w:val="30014E11"/>
    <w:rsid w:val="30B254A1"/>
    <w:rsid w:val="30C7607E"/>
    <w:rsid w:val="30D76BB6"/>
    <w:rsid w:val="30EB63DD"/>
    <w:rsid w:val="31836DF0"/>
    <w:rsid w:val="31907A18"/>
    <w:rsid w:val="31D82664"/>
    <w:rsid w:val="323A6A37"/>
    <w:rsid w:val="32CC6D9C"/>
    <w:rsid w:val="32DA48B2"/>
    <w:rsid w:val="32F1212F"/>
    <w:rsid w:val="3365506D"/>
    <w:rsid w:val="33781B16"/>
    <w:rsid w:val="33A9387F"/>
    <w:rsid w:val="33D55340"/>
    <w:rsid w:val="33E46C7B"/>
    <w:rsid w:val="34054F2C"/>
    <w:rsid w:val="341425B6"/>
    <w:rsid w:val="34477D1D"/>
    <w:rsid w:val="349A2BB5"/>
    <w:rsid w:val="350A7096"/>
    <w:rsid w:val="355E3D20"/>
    <w:rsid w:val="356756A9"/>
    <w:rsid w:val="36266DB4"/>
    <w:rsid w:val="363C1FA9"/>
    <w:rsid w:val="36A50B59"/>
    <w:rsid w:val="36E13EBD"/>
    <w:rsid w:val="375546AE"/>
    <w:rsid w:val="378F21BD"/>
    <w:rsid w:val="37F67806"/>
    <w:rsid w:val="37FB44E5"/>
    <w:rsid w:val="383C75F5"/>
    <w:rsid w:val="386A786F"/>
    <w:rsid w:val="38720076"/>
    <w:rsid w:val="38AE34F8"/>
    <w:rsid w:val="39196C88"/>
    <w:rsid w:val="39232FDC"/>
    <w:rsid w:val="399B4E0F"/>
    <w:rsid w:val="399E5C78"/>
    <w:rsid w:val="39B12E67"/>
    <w:rsid w:val="39CC1A7F"/>
    <w:rsid w:val="3A2B7F68"/>
    <w:rsid w:val="3A4970FA"/>
    <w:rsid w:val="3AC261E5"/>
    <w:rsid w:val="3B0F76D9"/>
    <w:rsid w:val="3B4D107C"/>
    <w:rsid w:val="3B996604"/>
    <w:rsid w:val="3BDF11E2"/>
    <w:rsid w:val="3C0821DA"/>
    <w:rsid w:val="3C39735A"/>
    <w:rsid w:val="3C573280"/>
    <w:rsid w:val="3C6A368A"/>
    <w:rsid w:val="3CAC548D"/>
    <w:rsid w:val="3D7F0B6A"/>
    <w:rsid w:val="3D8141C6"/>
    <w:rsid w:val="3E016E42"/>
    <w:rsid w:val="3E5709F7"/>
    <w:rsid w:val="3E5A75AB"/>
    <w:rsid w:val="3E872C04"/>
    <w:rsid w:val="3E907498"/>
    <w:rsid w:val="3F4E1F09"/>
    <w:rsid w:val="3FB07D68"/>
    <w:rsid w:val="3FB1462C"/>
    <w:rsid w:val="3FE60759"/>
    <w:rsid w:val="404A60CA"/>
    <w:rsid w:val="406B5371"/>
    <w:rsid w:val="407562CD"/>
    <w:rsid w:val="4184148D"/>
    <w:rsid w:val="42316A8D"/>
    <w:rsid w:val="423A3A5D"/>
    <w:rsid w:val="424A2D2E"/>
    <w:rsid w:val="42A517C6"/>
    <w:rsid w:val="42CE66BF"/>
    <w:rsid w:val="43540F3D"/>
    <w:rsid w:val="436D57C4"/>
    <w:rsid w:val="4422689E"/>
    <w:rsid w:val="4450457A"/>
    <w:rsid w:val="44767F39"/>
    <w:rsid w:val="4478779D"/>
    <w:rsid w:val="449B2A60"/>
    <w:rsid w:val="44A756C5"/>
    <w:rsid w:val="450F63C8"/>
    <w:rsid w:val="459842AD"/>
    <w:rsid w:val="46107F64"/>
    <w:rsid w:val="466D5C2D"/>
    <w:rsid w:val="469F700F"/>
    <w:rsid w:val="46D4327F"/>
    <w:rsid w:val="4728571D"/>
    <w:rsid w:val="47D360B1"/>
    <w:rsid w:val="47E71247"/>
    <w:rsid w:val="47EB17E0"/>
    <w:rsid w:val="48CA6B01"/>
    <w:rsid w:val="48FA5C20"/>
    <w:rsid w:val="49532EE1"/>
    <w:rsid w:val="498B5309"/>
    <w:rsid w:val="49A30577"/>
    <w:rsid w:val="4A1D4AD4"/>
    <w:rsid w:val="4B63508A"/>
    <w:rsid w:val="4BA82AAC"/>
    <w:rsid w:val="4BAD6738"/>
    <w:rsid w:val="4BBD0443"/>
    <w:rsid w:val="4BC35A11"/>
    <w:rsid w:val="4C0871E0"/>
    <w:rsid w:val="4C2802FD"/>
    <w:rsid w:val="4C753AFA"/>
    <w:rsid w:val="4CA94757"/>
    <w:rsid w:val="4D532397"/>
    <w:rsid w:val="4DC63E60"/>
    <w:rsid w:val="4DE6344D"/>
    <w:rsid w:val="4E3F0252"/>
    <w:rsid w:val="4EA65023"/>
    <w:rsid w:val="4EFD3A3D"/>
    <w:rsid w:val="4F014649"/>
    <w:rsid w:val="4FE04607"/>
    <w:rsid w:val="5043533F"/>
    <w:rsid w:val="50AB16B5"/>
    <w:rsid w:val="50AE1DED"/>
    <w:rsid w:val="517648AA"/>
    <w:rsid w:val="518341F5"/>
    <w:rsid w:val="51DB41B3"/>
    <w:rsid w:val="51FE1CDE"/>
    <w:rsid w:val="525E100B"/>
    <w:rsid w:val="5278732E"/>
    <w:rsid w:val="53023F53"/>
    <w:rsid w:val="539A29F7"/>
    <w:rsid w:val="53FD74FB"/>
    <w:rsid w:val="54033AB1"/>
    <w:rsid w:val="54266FE4"/>
    <w:rsid w:val="546A4355"/>
    <w:rsid w:val="54D25033"/>
    <w:rsid w:val="555D0B35"/>
    <w:rsid w:val="558E1BF2"/>
    <w:rsid w:val="55A84374"/>
    <w:rsid w:val="55E00DC9"/>
    <w:rsid w:val="56674D33"/>
    <w:rsid w:val="56B54986"/>
    <w:rsid w:val="56B77010"/>
    <w:rsid w:val="56FE23F5"/>
    <w:rsid w:val="57241773"/>
    <w:rsid w:val="574B2302"/>
    <w:rsid w:val="579100F8"/>
    <w:rsid w:val="57AB30BA"/>
    <w:rsid w:val="57C540DC"/>
    <w:rsid w:val="57DA7B88"/>
    <w:rsid w:val="57E020A2"/>
    <w:rsid w:val="57EB7DDD"/>
    <w:rsid w:val="58185CEE"/>
    <w:rsid w:val="58896936"/>
    <w:rsid w:val="589C40ED"/>
    <w:rsid w:val="58A720A2"/>
    <w:rsid w:val="58D77B96"/>
    <w:rsid w:val="58E33628"/>
    <w:rsid w:val="58FB1ADD"/>
    <w:rsid w:val="58FB64F2"/>
    <w:rsid w:val="590050E2"/>
    <w:rsid w:val="596B4479"/>
    <w:rsid w:val="596C33BD"/>
    <w:rsid w:val="597A47EB"/>
    <w:rsid w:val="59B344EB"/>
    <w:rsid w:val="59C52C50"/>
    <w:rsid w:val="59DC7028"/>
    <w:rsid w:val="5AA5407F"/>
    <w:rsid w:val="5AB6397D"/>
    <w:rsid w:val="5AD30723"/>
    <w:rsid w:val="5B025CB5"/>
    <w:rsid w:val="5B641B31"/>
    <w:rsid w:val="5BE85C64"/>
    <w:rsid w:val="5BF557FE"/>
    <w:rsid w:val="5CD925C0"/>
    <w:rsid w:val="5CEF60D4"/>
    <w:rsid w:val="5CF05758"/>
    <w:rsid w:val="5D213549"/>
    <w:rsid w:val="5D85388A"/>
    <w:rsid w:val="5DA9085B"/>
    <w:rsid w:val="5DC03F12"/>
    <w:rsid w:val="5EB065FA"/>
    <w:rsid w:val="5EBD4A7C"/>
    <w:rsid w:val="5ED1242A"/>
    <w:rsid w:val="5F931291"/>
    <w:rsid w:val="5FD61646"/>
    <w:rsid w:val="5FFC357A"/>
    <w:rsid w:val="60664F57"/>
    <w:rsid w:val="60721E05"/>
    <w:rsid w:val="61826B9A"/>
    <w:rsid w:val="618B3CA1"/>
    <w:rsid w:val="61CB4CD1"/>
    <w:rsid w:val="6210469A"/>
    <w:rsid w:val="6257525C"/>
    <w:rsid w:val="63287DD9"/>
    <w:rsid w:val="632E51CD"/>
    <w:rsid w:val="6346190E"/>
    <w:rsid w:val="63817D9B"/>
    <w:rsid w:val="63BB1135"/>
    <w:rsid w:val="63BF776D"/>
    <w:rsid w:val="6429032E"/>
    <w:rsid w:val="650E0E71"/>
    <w:rsid w:val="651008F6"/>
    <w:rsid w:val="65554306"/>
    <w:rsid w:val="65740539"/>
    <w:rsid w:val="65BB733F"/>
    <w:rsid w:val="660959C7"/>
    <w:rsid w:val="661E2D6B"/>
    <w:rsid w:val="661F736E"/>
    <w:rsid w:val="663A3EE7"/>
    <w:rsid w:val="66654E6E"/>
    <w:rsid w:val="66B20069"/>
    <w:rsid w:val="679B7776"/>
    <w:rsid w:val="679C3A3A"/>
    <w:rsid w:val="67EF6F4F"/>
    <w:rsid w:val="67F31CCF"/>
    <w:rsid w:val="68A50AFB"/>
    <w:rsid w:val="68B013FE"/>
    <w:rsid w:val="697138F9"/>
    <w:rsid w:val="69C272B4"/>
    <w:rsid w:val="6A67588C"/>
    <w:rsid w:val="6A76145C"/>
    <w:rsid w:val="6AB2107A"/>
    <w:rsid w:val="6B13101A"/>
    <w:rsid w:val="6B490E13"/>
    <w:rsid w:val="6B6712DB"/>
    <w:rsid w:val="6BAF7928"/>
    <w:rsid w:val="6BD776AA"/>
    <w:rsid w:val="6C28071C"/>
    <w:rsid w:val="6C2B1118"/>
    <w:rsid w:val="6C8A5B49"/>
    <w:rsid w:val="6C962D65"/>
    <w:rsid w:val="6CF30E40"/>
    <w:rsid w:val="6D761146"/>
    <w:rsid w:val="6E47278A"/>
    <w:rsid w:val="6E5B5F7C"/>
    <w:rsid w:val="6EC05CF4"/>
    <w:rsid w:val="6F155743"/>
    <w:rsid w:val="6F42340E"/>
    <w:rsid w:val="705E3A35"/>
    <w:rsid w:val="707C221D"/>
    <w:rsid w:val="7098002C"/>
    <w:rsid w:val="70A04A87"/>
    <w:rsid w:val="70AB7874"/>
    <w:rsid w:val="70EE7819"/>
    <w:rsid w:val="71061D22"/>
    <w:rsid w:val="71276572"/>
    <w:rsid w:val="71301E7D"/>
    <w:rsid w:val="71472E46"/>
    <w:rsid w:val="7150119D"/>
    <w:rsid w:val="717867C9"/>
    <w:rsid w:val="71AA5CB6"/>
    <w:rsid w:val="71C303EA"/>
    <w:rsid w:val="71D823DB"/>
    <w:rsid w:val="71DC6050"/>
    <w:rsid w:val="72230469"/>
    <w:rsid w:val="72C13499"/>
    <w:rsid w:val="72C36E4A"/>
    <w:rsid w:val="730679B7"/>
    <w:rsid w:val="73885757"/>
    <w:rsid w:val="73B947DD"/>
    <w:rsid w:val="73CB4252"/>
    <w:rsid w:val="73E44501"/>
    <w:rsid w:val="744B2F44"/>
    <w:rsid w:val="74AF1364"/>
    <w:rsid w:val="75477563"/>
    <w:rsid w:val="75970A0E"/>
    <w:rsid w:val="7607033B"/>
    <w:rsid w:val="76950BB7"/>
    <w:rsid w:val="76A84635"/>
    <w:rsid w:val="770355BD"/>
    <w:rsid w:val="777F251D"/>
    <w:rsid w:val="778610E0"/>
    <w:rsid w:val="778C4EB2"/>
    <w:rsid w:val="77F62F87"/>
    <w:rsid w:val="78420BE3"/>
    <w:rsid w:val="785A5C6C"/>
    <w:rsid w:val="789A36A2"/>
    <w:rsid w:val="78D6184E"/>
    <w:rsid w:val="78F01624"/>
    <w:rsid w:val="79057077"/>
    <w:rsid w:val="796C3F60"/>
    <w:rsid w:val="79DC4140"/>
    <w:rsid w:val="7A4C152C"/>
    <w:rsid w:val="7A985A3E"/>
    <w:rsid w:val="7B2A08C8"/>
    <w:rsid w:val="7B375F65"/>
    <w:rsid w:val="7B503344"/>
    <w:rsid w:val="7BA50B86"/>
    <w:rsid w:val="7BD06A28"/>
    <w:rsid w:val="7C0E7550"/>
    <w:rsid w:val="7C290F36"/>
    <w:rsid w:val="7C567566"/>
    <w:rsid w:val="7CA12EA3"/>
    <w:rsid w:val="7D142FB1"/>
    <w:rsid w:val="7D43500E"/>
    <w:rsid w:val="7D916CAD"/>
    <w:rsid w:val="7DA52E0C"/>
    <w:rsid w:val="7DDB0CA3"/>
    <w:rsid w:val="7DED6275"/>
    <w:rsid w:val="7E262E46"/>
    <w:rsid w:val="7E5C7CC4"/>
    <w:rsid w:val="7ECC242D"/>
    <w:rsid w:val="7F097842"/>
    <w:rsid w:val="7F7E782C"/>
    <w:rsid w:val="7FB8743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qFormat="1" w:unhideWhenUsed="0" w:uiPriority="0" w:semiHidden="0"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09"/>
    <w:qFormat/>
    <w:uiPriority w:val="99"/>
    <w:pPr>
      <w:keepNext/>
      <w:keepLines/>
      <w:spacing w:before="340" w:after="330" w:line="578" w:lineRule="auto"/>
      <w:outlineLvl w:val="0"/>
    </w:pPr>
    <w:rPr>
      <w:rFonts w:ascii="Calibri" w:hAnsi="Calibri"/>
      <w:b/>
      <w:kern w:val="44"/>
      <w:sz w:val="44"/>
      <w:szCs w:val="20"/>
    </w:rPr>
  </w:style>
  <w:style w:type="paragraph" w:styleId="7">
    <w:name w:val="heading 2"/>
    <w:basedOn w:val="1"/>
    <w:next w:val="1"/>
    <w:link w:val="62"/>
    <w:qFormat/>
    <w:uiPriority w:val="99"/>
    <w:pPr>
      <w:keepNext/>
      <w:keepLines/>
      <w:spacing w:before="260" w:after="260" w:line="416" w:lineRule="auto"/>
      <w:outlineLvl w:val="1"/>
    </w:pPr>
    <w:rPr>
      <w:rFonts w:ascii="Arial" w:hAnsi="Arial" w:eastAsia="黑体"/>
      <w:b/>
      <w:sz w:val="32"/>
      <w:szCs w:val="20"/>
    </w:rPr>
  </w:style>
  <w:style w:type="paragraph" w:styleId="8">
    <w:name w:val="heading 3"/>
    <w:basedOn w:val="1"/>
    <w:next w:val="4"/>
    <w:link w:val="63"/>
    <w:qFormat/>
    <w:uiPriority w:val="99"/>
    <w:pPr>
      <w:keepNext/>
      <w:keepLines/>
      <w:autoSpaceDE w:val="0"/>
      <w:autoSpaceDN w:val="0"/>
      <w:adjustRightInd w:val="0"/>
      <w:spacing w:before="360" w:after="120"/>
      <w:jc w:val="left"/>
      <w:outlineLvl w:val="2"/>
    </w:pPr>
    <w:rPr>
      <w:rFonts w:ascii="宋体" w:hAnsi="Calibri"/>
      <w:b/>
      <w:kern w:val="0"/>
      <w:sz w:val="24"/>
      <w:szCs w:val="20"/>
      <w:u w:val="single"/>
    </w:rPr>
  </w:style>
  <w:style w:type="paragraph" w:styleId="9">
    <w:name w:val="heading 4"/>
    <w:basedOn w:val="1"/>
    <w:next w:val="4"/>
    <w:link w:val="64"/>
    <w:qFormat/>
    <w:uiPriority w:val="99"/>
    <w:pPr>
      <w:keepNext/>
      <w:keepLines/>
      <w:spacing w:before="280" w:after="290" w:line="376" w:lineRule="auto"/>
      <w:outlineLvl w:val="3"/>
    </w:pPr>
    <w:rPr>
      <w:rFonts w:ascii="Arial" w:hAnsi="Arial" w:eastAsia="黑体"/>
      <w:b/>
      <w:sz w:val="28"/>
      <w:szCs w:val="20"/>
    </w:rPr>
  </w:style>
  <w:style w:type="paragraph" w:styleId="10">
    <w:name w:val="heading 5"/>
    <w:basedOn w:val="1"/>
    <w:next w:val="1"/>
    <w:link w:val="65"/>
    <w:qFormat/>
    <w:uiPriority w:val="99"/>
    <w:pPr>
      <w:keepNext/>
      <w:keepLines/>
      <w:spacing w:before="280" w:after="290" w:line="376" w:lineRule="auto"/>
      <w:outlineLvl w:val="4"/>
    </w:pPr>
    <w:rPr>
      <w:rFonts w:ascii="Calibri" w:hAnsi="Calibri"/>
      <w:b/>
      <w:bCs/>
      <w:kern w:val="0"/>
      <w:sz w:val="28"/>
      <w:szCs w:val="28"/>
    </w:rPr>
  </w:style>
  <w:style w:type="paragraph" w:styleId="11">
    <w:name w:val="heading 6"/>
    <w:basedOn w:val="1"/>
    <w:next w:val="1"/>
    <w:link w:val="66"/>
    <w:qFormat/>
    <w:uiPriority w:val="99"/>
    <w:pPr>
      <w:keepNext/>
      <w:keepLines/>
      <w:spacing w:before="240" w:after="64" w:line="320" w:lineRule="auto"/>
      <w:outlineLvl w:val="5"/>
    </w:pPr>
    <w:rPr>
      <w:rFonts w:ascii="Cambria" w:hAnsi="Cambria"/>
      <w:b/>
      <w:bCs/>
      <w:kern w:val="0"/>
      <w:sz w:val="24"/>
    </w:rPr>
  </w:style>
  <w:style w:type="paragraph" w:styleId="12">
    <w:name w:val="heading 7"/>
    <w:basedOn w:val="1"/>
    <w:next w:val="1"/>
    <w:link w:val="67"/>
    <w:qFormat/>
    <w:uiPriority w:val="99"/>
    <w:pPr>
      <w:keepNext/>
      <w:keepLines/>
      <w:adjustRightInd w:val="0"/>
      <w:spacing w:before="240" w:after="64" w:line="320" w:lineRule="atLeast"/>
      <w:textAlignment w:val="baseline"/>
      <w:outlineLvl w:val="6"/>
    </w:pPr>
    <w:rPr>
      <w:rFonts w:ascii="Calibri" w:hAnsi="Calibri"/>
      <w:b/>
      <w:bCs/>
      <w:kern w:val="0"/>
      <w:sz w:val="24"/>
    </w:rPr>
  </w:style>
  <w:style w:type="paragraph" w:styleId="13">
    <w:name w:val="heading 8"/>
    <w:basedOn w:val="1"/>
    <w:next w:val="1"/>
    <w:link w:val="68"/>
    <w:qFormat/>
    <w:uiPriority w:val="99"/>
    <w:pPr>
      <w:keepNext/>
      <w:keepLines/>
      <w:adjustRightInd w:val="0"/>
      <w:spacing w:before="240" w:after="64" w:line="320" w:lineRule="atLeast"/>
      <w:textAlignment w:val="baseline"/>
      <w:outlineLvl w:val="7"/>
    </w:pPr>
    <w:rPr>
      <w:rFonts w:ascii="Cambria" w:hAnsi="Cambria"/>
      <w:kern w:val="0"/>
      <w:sz w:val="24"/>
    </w:rPr>
  </w:style>
  <w:style w:type="paragraph" w:styleId="14">
    <w:name w:val="heading 9"/>
    <w:basedOn w:val="1"/>
    <w:next w:val="1"/>
    <w:link w:val="69"/>
    <w:qFormat/>
    <w:uiPriority w:val="99"/>
    <w:pPr>
      <w:keepNext/>
      <w:keepLines/>
      <w:adjustRightInd w:val="0"/>
      <w:spacing w:before="240" w:after="64" w:line="320" w:lineRule="atLeast"/>
      <w:textAlignment w:val="baseline"/>
      <w:outlineLvl w:val="8"/>
    </w:pPr>
    <w:rPr>
      <w:rFonts w:ascii="Cambria" w:hAnsi="Cambria"/>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90"/>
    <w:qFormat/>
    <w:locked/>
    <w:uiPriority w:val="99"/>
    <w:pPr>
      <w:ind w:firstLine="420" w:firstLineChars="200"/>
    </w:pPr>
  </w:style>
  <w:style w:type="paragraph" w:styleId="3">
    <w:name w:val="Body Text Indent"/>
    <w:basedOn w:val="1"/>
    <w:next w:val="4"/>
    <w:link w:val="70"/>
    <w:qFormat/>
    <w:uiPriority w:val="99"/>
    <w:pPr>
      <w:spacing w:line="200" w:lineRule="exact"/>
      <w:ind w:firstLine="301"/>
    </w:pPr>
    <w:rPr>
      <w:rFonts w:ascii="宋体" w:hAnsi="Courier New"/>
      <w:spacing w:val="-4"/>
      <w:sz w:val="18"/>
      <w:szCs w:val="20"/>
    </w:rPr>
  </w:style>
  <w:style w:type="paragraph" w:styleId="4">
    <w:name w:val="Normal Indent"/>
    <w:basedOn w:val="1"/>
    <w:next w:val="3"/>
    <w:link w:val="103"/>
    <w:qFormat/>
    <w:uiPriority w:val="99"/>
    <w:pPr>
      <w:ind w:firstLine="420"/>
    </w:pPr>
    <w:rPr>
      <w:rFonts w:ascii="Calibri" w:hAnsi="Calibri"/>
      <w:szCs w:val="20"/>
    </w:rPr>
  </w:style>
  <w:style w:type="paragraph" w:customStyle="1" w:styleId="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5">
    <w:name w:val="List Number"/>
    <w:basedOn w:val="1"/>
    <w:next w:val="16"/>
    <w:qFormat/>
    <w:uiPriority w:val="99"/>
    <w:pPr>
      <w:widowControl/>
      <w:tabs>
        <w:tab w:val="left" w:pos="454"/>
        <w:tab w:val="left" w:pos="720"/>
      </w:tabs>
      <w:spacing w:afterLines="50"/>
      <w:ind w:left="454" w:hanging="284"/>
      <w:jc w:val="left"/>
    </w:pPr>
    <w:rPr>
      <w:kern w:val="0"/>
      <w:sz w:val="24"/>
      <w:szCs w:val="20"/>
    </w:rPr>
  </w:style>
  <w:style w:type="paragraph" w:styleId="16">
    <w:name w:val="Body Text"/>
    <w:basedOn w:val="1"/>
    <w:next w:val="17"/>
    <w:link w:val="71"/>
    <w:qFormat/>
    <w:uiPriority w:val="99"/>
    <w:pPr>
      <w:spacing w:after="120"/>
    </w:pPr>
    <w:rPr>
      <w:rFonts w:ascii="Calibri" w:hAnsi="Calibri"/>
      <w:sz w:val="24"/>
      <w:szCs w:val="20"/>
    </w:rPr>
  </w:style>
  <w:style w:type="paragraph" w:styleId="17">
    <w:name w:val="Body Text First Indent"/>
    <w:basedOn w:val="16"/>
    <w:next w:val="1"/>
    <w:link w:val="89"/>
    <w:qFormat/>
    <w:uiPriority w:val="99"/>
    <w:pPr>
      <w:spacing w:line="360" w:lineRule="auto"/>
      <w:ind w:firstLine="200" w:firstLineChars="200"/>
      <w:jc w:val="left"/>
    </w:pPr>
    <w:rPr>
      <w:szCs w:val="24"/>
    </w:rPr>
  </w:style>
  <w:style w:type="paragraph" w:styleId="18">
    <w:name w:val="caption"/>
    <w:basedOn w:val="1"/>
    <w:next w:val="1"/>
    <w:qFormat/>
    <w:uiPriority w:val="99"/>
    <w:pPr>
      <w:spacing w:before="152" w:after="160"/>
    </w:pPr>
    <w:rPr>
      <w:rFonts w:ascii="Arial" w:hAnsi="Arial" w:eastAsia="黑体" w:cs="Arial"/>
      <w:sz w:val="20"/>
      <w:szCs w:val="20"/>
    </w:rPr>
  </w:style>
  <w:style w:type="paragraph" w:styleId="19">
    <w:name w:val="List Bullet"/>
    <w:basedOn w:val="1"/>
    <w:qFormat/>
    <w:uiPriority w:val="99"/>
    <w:pPr>
      <w:widowControl/>
      <w:tabs>
        <w:tab w:val="left" w:pos="900"/>
      </w:tabs>
      <w:spacing w:before="100" w:beforeAutospacing="1" w:afterLines="50" w:afterAutospacing="1"/>
      <w:ind w:left="900" w:hanging="420"/>
      <w:jc w:val="left"/>
    </w:pPr>
    <w:rPr>
      <w:kern w:val="0"/>
      <w:szCs w:val="20"/>
    </w:rPr>
  </w:style>
  <w:style w:type="paragraph" w:styleId="20">
    <w:name w:val="Document Map"/>
    <w:basedOn w:val="1"/>
    <w:link w:val="72"/>
    <w:semiHidden/>
    <w:qFormat/>
    <w:uiPriority w:val="99"/>
    <w:pPr>
      <w:shd w:val="clear" w:color="auto" w:fill="000080"/>
    </w:pPr>
    <w:rPr>
      <w:rFonts w:ascii="Calibri" w:hAnsi="Calibri"/>
      <w:sz w:val="24"/>
    </w:rPr>
  </w:style>
  <w:style w:type="paragraph" w:styleId="21">
    <w:name w:val="annotation text"/>
    <w:basedOn w:val="1"/>
    <w:link w:val="73"/>
    <w:semiHidden/>
    <w:qFormat/>
    <w:uiPriority w:val="99"/>
    <w:pPr>
      <w:jc w:val="left"/>
    </w:pPr>
    <w:rPr>
      <w:rFonts w:ascii="Calibri" w:hAnsi="Calibri"/>
      <w:sz w:val="24"/>
      <w:szCs w:val="20"/>
    </w:rPr>
  </w:style>
  <w:style w:type="paragraph" w:styleId="22">
    <w:name w:val="Salutation"/>
    <w:basedOn w:val="1"/>
    <w:next w:val="1"/>
    <w:link w:val="74"/>
    <w:qFormat/>
    <w:uiPriority w:val="99"/>
    <w:rPr>
      <w:rFonts w:ascii="Calibri" w:hAnsi="Calibri"/>
      <w:kern w:val="0"/>
      <w:sz w:val="24"/>
    </w:rPr>
  </w:style>
  <w:style w:type="paragraph" w:styleId="23">
    <w:name w:val="Body Text 3"/>
    <w:basedOn w:val="1"/>
    <w:link w:val="75"/>
    <w:qFormat/>
    <w:uiPriority w:val="99"/>
    <w:pPr>
      <w:snapToGrid w:val="0"/>
      <w:spacing w:before="50" w:after="50"/>
    </w:pPr>
    <w:rPr>
      <w:rFonts w:ascii="Calibri" w:hAnsi="Calibri"/>
      <w:kern w:val="0"/>
      <w:sz w:val="16"/>
      <w:szCs w:val="16"/>
    </w:rPr>
  </w:style>
  <w:style w:type="paragraph" w:styleId="24">
    <w:name w:val="List Number 3"/>
    <w:basedOn w:val="1"/>
    <w:qFormat/>
    <w:uiPriority w:val="99"/>
    <w:pPr>
      <w:tabs>
        <w:tab w:val="left" w:pos="1200"/>
      </w:tabs>
      <w:ind w:left="1200" w:leftChars="400" w:hanging="360" w:hangingChars="200"/>
    </w:pPr>
  </w:style>
  <w:style w:type="paragraph" w:styleId="25">
    <w:name w:val="List 2"/>
    <w:basedOn w:val="1"/>
    <w:qFormat/>
    <w:uiPriority w:val="99"/>
    <w:pPr>
      <w:ind w:left="100" w:leftChars="200" w:hanging="200" w:hangingChars="200"/>
    </w:pPr>
    <w:rPr>
      <w:sz w:val="28"/>
    </w:rPr>
  </w:style>
  <w:style w:type="paragraph" w:styleId="26">
    <w:name w:val="List Bullet 2"/>
    <w:basedOn w:val="1"/>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27">
    <w:name w:val="Plain Text"/>
    <w:basedOn w:val="1"/>
    <w:next w:val="1"/>
    <w:link w:val="76"/>
    <w:qFormat/>
    <w:uiPriority w:val="99"/>
    <w:pPr>
      <w:spacing w:beforeLines="50" w:afterLines="50" w:line="400" w:lineRule="exact"/>
    </w:pPr>
    <w:rPr>
      <w:rFonts w:ascii="宋体" w:hAnsi="Courier New"/>
      <w:sz w:val="24"/>
      <w:szCs w:val="20"/>
    </w:rPr>
  </w:style>
  <w:style w:type="paragraph" w:styleId="28">
    <w:name w:val="Date"/>
    <w:basedOn w:val="1"/>
    <w:next w:val="1"/>
    <w:link w:val="77"/>
    <w:qFormat/>
    <w:uiPriority w:val="99"/>
    <w:pPr>
      <w:ind w:left="2500" w:leftChars="2500"/>
    </w:pPr>
    <w:rPr>
      <w:rFonts w:ascii="Calibri" w:hAnsi="Calibri"/>
      <w:kern w:val="0"/>
      <w:sz w:val="24"/>
    </w:rPr>
  </w:style>
  <w:style w:type="paragraph" w:styleId="29">
    <w:name w:val="Body Text Indent 2"/>
    <w:basedOn w:val="1"/>
    <w:link w:val="78"/>
    <w:qFormat/>
    <w:uiPriority w:val="99"/>
    <w:pPr>
      <w:snapToGrid w:val="0"/>
      <w:ind w:firstLine="542" w:firstLineChars="225"/>
    </w:pPr>
    <w:rPr>
      <w:rFonts w:ascii="仿宋_GB2312" w:hAnsi="宋体"/>
      <w:b/>
      <w:color w:val="000000"/>
      <w:sz w:val="24"/>
      <w:szCs w:val="20"/>
    </w:rPr>
  </w:style>
  <w:style w:type="paragraph" w:styleId="30">
    <w:name w:val="endnote text"/>
    <w:basedOn w:val="1"/>
    <w:link w:val="79"/>
    <w:semiHidden/>
    <w:qFormat/>
    <w:uiPriority w:val="99"/>
    <w:pPr>
      <w:snapToGrid w:val="0"/>
      <w:spacing w:afterLines="50"/>
      <w:jc w:val="left"/>
    </w:pPr>
    <w:rPr>
      <w:rFonts w:ascii="Calibri" w:hAnsi="Calibri"/>
      <w:kern w:val="0"/>
      <w:sz w:val="24"/>
    </w:rPr>
  </w:style>
  <w:style w:type="paragraph" w:styleId="31">
    <w:name w:val="Balloon Text"/>
    <w:basedOn w:val="1"/>
    <w:link w:val="80"/>
    <w:semiHidden/>
    <w:qFormat/>
    <w:uiPriority w:val="99"/>
    <w:rPr>
      <w:rFonts w:ascii="Calibri" w:hAnsi="Calibri"/>
      <w:sz w:val="18"/>
      <w:szCs w:val="18"/>
    </w:rPr>
  </w:style>
  <w:style w:type="paragraph" w:styleId="32">
    <w:name w:val="footer"/>
    <w:basedOn w:val="1"/>
    <w:link w:val="81"/>
    <w:qFormat/>
    <w:uiPriority w:val="99"/>
    <w:pPr>
      <w:tabs>
        <w:tab w:val="center" w:pos="4153"/>
        <w:tab w:val="right" w:pos="8306"/>
      </w:tabs>
      <w:snapToGrid w:val="0"/>
      <w:jc w:val="left"/>
    </w:pPr>
    <w:rPr>
      <w:rFonts w:ascii="Calibri" w:hAnsi="Calibri" w:eastAsia="黑体"/>
      <w:kern w:val="0"/>
      <w:sz w:val="18"/>
      <w:szCs w:val="20"/>
    </w:rPr>
  </w:style>
  <w:style w:type="paragraph" w:styleId="33">
    <w:name w:val="header"/>
    <w:basedOn w:val="1"/>
    <w:link w:val="82"/>
    <w:qFormat/>
    <w:uiPriority w:val="99"/>
    <w:pPr>
      <w:pBdr>
        <w:bottom w:val="single" w:color="auto" w:sz="6" w:space="1"/>
      </w:pBdr>
      <w:tabs>
        <w:tab w:val="center" w:pos="4153"/>
        <w:tab w:val="right" w:pos="8306"/>
      </w:tabs>
      <w:snapToGrid w:val="0"/>
      <w:jc w:val="center"/>
    </w:pPr>
    <w:rPr>
      <w:rFonts w:ascii="Calibri" w:hAnsi="Calibri" w:eastAsia="仿宋_GB2312"/>
      <w:sz w:val="18"/>
      <w:szCs w:val="20"/>
    </w:rPr>
  </w:style>
  <w:style w:type="paragraph" w:styleId="34">
    <w:name w:val="toc 1"/>
    <w:basedOn w:val="1"/>
    <w:next w:val="1"/>
    <w:semiHidden/>
    <w:qFormat/>
    <w:uiPriority w:val="99"/>
  </w:style>
  <w:style w:type="paragraph" w:styleId="35">
    <w:name w:val="toc 4"/>
    <w:basedOn w:val="1"/>
    <w:next w:val="1"/>
    <w:qFormat/>
    <w:locked/>
    <w:uiPriority w:val="0"/>
    <w:pPr>
      <w:ind w:left="630"/>
      <w:jc w:val="left"/>
    </w:pPr>
    <w:rPr>
      <w:sz w:val="18"/>
      <w:szCs w:val="18"/>
    </w:rPr>
  </w:style>
  <w:style w:type="paragraph" w:styleId="36">
    <w:name w:val="Subtitle"/>
    <w:basedOn w:val="1"/>
    <w:link w:val="83"/>
    <w:qFormat/>
    <w:uiPriority w:val="99"/>
    <w:pPr>
      <w:spacing w:afterLines="50"/>
      <w:jc w:val="center"/>
    </w:pPr>
    <w:rPr>
      <w:rFonts w:ascii="Cambria" w:hAnsi="Cambria"/>
      <w:b/>
      <w:bCs/>
      <w:kern w:val="28"/>
      <w:sz w:val="32"/>
      <w:szCs w:val="32"/>
    </w:rPr>
  </w:style>
  <w:style w:type="paragraph" w:styleId="37">
    <w:name w:val="List"/>
    <w:basedOn w:val="1"/>
    <w:next w:val="1"/>
    <w:qFormat/>
    <w:uiPriority w:val="99"/>
    <w:pPr>
      <w:ind w:left="200" w:hanging="200" w:hangingChars="200"/>
    </w:pPr>
    <w:rPr>
      <w:sz w:val="28"/>
    </w:rPr>
  </w:style>
  <w:style w:type="paragraph" w:styleId="38">
    <w:name w:val="toc 6"/>
    <w:basedOn w:val="1"/>
    <w:next w:val="1"/>
    <w:qFormat/>
    <w:locked/>
    <w:uiPriority w:val="0"/>
    <w:pPr>
      <w:ind w:left="2100" w:leftChars="1000"/>
    </w:pPr>
    <w:rPr>
      <w:rFonts w:ascii="Times New Roman" w:hAnsi="Times New Roman" w:eastAsia="宋体" w:cs="Times New Roman"/>
    </w:rPr>
  </w:style>
  <w:style w:type="paragraph" w:styleId="39">
    <w:name w:val="Body Text Indent 3"/>
    <w:basedOn w:val="1"/>
    <w:next w:val="1"/>
    <w:link w:val="84"/>
    <w:qFormat/>
    <w:uiPriority w:val="99"/>
    <w:pPr>
      <w:snapToGrid w:val="0"/>
      <w:ind w:firstLine="480" w:firstLineChars="200"/>
      <w:jc w:val="left"/>
    </w:pPr>
    <w:rPr>
      <w:rFonts w:ascii="仿宋_GB2312" w:hAnsi="宋体" w:eastAsia="仿宋_GB2312"/>
      <w:color w:val="000000"/>
      <w:sz w:val="24"/>
      <w:szCs w:val="20"/>
    </w:rPr>
  </w:style>
  <w:style w:type="paragraph" w:styleId="40">
    <w:name w:val="Body Text 2"/>
    <w:basedOn w:val="1"/>
    <w:link w:val="85"/>
    <w:qFormat/>
    <w:uiPriority w:val="99"/>
    <w:pPr>
      <w:widowControl/>
      <w:snapToGrid w:val="0"/>
      <w:spacing w:before="50" w:afterLines="50" w:line="400" w:lineRule="exact"/>
      <w:jc w:val="left"/>
    </w:pPr>
    <w:rPr>
      <w:rFonts w:ascii="Calibri" w:hAnsi="Calibri"/>
      <w:kern w:val="0"/>
      <w:sz w:val="24"/>
    </w:rPr>
  </w:style>
  <w:style w:type="paragraph" w:styleId="41">
    <w:name w:val="HTML Preformatted"/>
    <w:basedOn w:val="1"/>
    <w:link w:val="86"/>
    <w:qFormat/>
    <w:uiPriority w:val="99"/>
    <w:rPr>
      <w:rFonts w:ascii="Courier New" w:hAnsi="Courier New"/>
      <w:kern w:val="0"/>
      <w:sz w:val="20"/>
      <w:szCs w:val="20"/>
    </w:rPr>
  </w:style>
  <w:style w:type="paragraph" w:styleId="42">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43">
    <w:name w:val="Title"/>
    <w:basedOn w:val="1"/>
    <w:next w:val="1"/>
    <w:link w:val="87"/>
    <w:qFormat/>
    <w:uiPriority w:val="99"/>
    <w:pPr>
      <w:widowControl/>
      <w:overflowPunct w:val="0"/>
      <w:autoSpaceDE w:val="0"/>
      <w:autoSpaceDN w:val="0"/>
      <w:adjustRightInd w:val="0"/>
      <w:jc w:val="center"/>
      <w:textAlignment w:val="baseline"/>
    </w:pPr>
    <w:rPr>
      <w:rFonts w:ascii="Cambria" w:hAnsi="Cambria"/>
      <w:b/>
      <w:bCs/>
      <w:kern w:val="0"/>
      <w:sz w:val="32"/>
      <w:szCs w:val="32"/>
    </w:rPr>
  </w:style>
  <w:style w:type="paragraph" w:styleId="44">
    <w:name w:val="annotation subject"/>
    <w:basedOn w:val="21"/>
    <w:next w:val="21"/>
    <w:link w:val="88"/>
    <w:semiHidden/>
    <w:qFormat/>
    <w:uiPriority w:val="99"/>
    <w:rPr>
      <w:b/>
      <w:bCs/>
      <w:szCs w:val="24"/>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single"/>
    </w:rPr>
  </w:style>
  <w:style w:type="character" w:styleId="51">
    <w:name w:val="Emphasis"/>
    <w:basedOn w:val="47"/>
    <w:qFormat/>
    <w:locked/>
    <w:uiPriority w:val="99"/>
    <w:rPr>
      <w:rFonts w:cs="Times New Roman"/>
      <w:i/>
    </w:rPr>
  </w:style>
  <w:style w:type="character" w:styleId="52">
    <w:name w:val="Hyperlink"/>
    <w:basedOn w:val="47"/>
    <w:qFormat/>
    <w:uiPriority w:val="99"/>
    <w:rPr>
      <w:rFonts w:cs="Times New Roman"/>
      <w:color w:val="0000FF"/>
      <w:u w:val="single"/>
    </w:rPr>
  </w:style>
  <w:style w:type="character" w:styleId="53">
    <w:name w:val="annotation reference"/>
    <w:basedOn w:val="47"/>
    <w:qFormat/>
    <w:uiPriority w:val="99"/>
    <w:rPr>
      <w:rFonts w:cs="Times New Roman"/>
      <w:sz w:val="21"/>
    </w:rPr>
  </w:style>
  <w:style w:type="paragraph" w:customStyle="1" w:styleId="54">
    <w:name w:val="BodyText1I"/>
    <w:basedOn w:val="55"/>
    <w:next w:val="1"/>
    <w:qFormat/>
    <w:uiPriority w:val="0"/>
    <w:pPr>
      <w:ind w:firstLine="420" w:firstLineChars="100"/>
    </w:pPr>
  </w:style>
  <w:style w:type="paragraph" w:customStyle="1" w:styleId="55">
    <w:name w:val="BodyText"/>
    <w:basedOn w:val="1"/>
    <w:next w:val="56"/>
    <w:qFormat/>
    <w:uiPriority w:val="0"/>
    <w:pPr>
      <w:textAlignment w:val="baseline"/>
    </w:pPr>
    <w:rPr>
      <w:rFonts w:ascii="宋体" w:hAnsi="宋体"/>
      <w:szCs w:val="21"/>
      <w:lang w:val="zh-CN" w:bidi="zh-CN"/>
    </w:rPr>
  </w:style>
  <w:style w:type="paragraph" w:customStyle="1" w:styleId="56">
    <w:name w:val="TOC2"/>
    <w:basedOn w:val="1"/>
    <w:next w:val="1"/>
    <w:qFormat/>
    <w:uiPriority w:val="0"/>
    <w:pPr>
      <w:ind w:left="420" w:leftChars="200"/>
      <w:textAlignment w:val="baseline"/>
    </w:pPr>
  </w:style>
  <w:style w:type="paragraph" w:customStyle="1" w:styleId="57">
    <w:name w:val="表格文字"/>
    <w:basedOn w:val="1"/>
    <w:next w:val="16"/>
    <w:qFormat/>
    <w:uiPriority w:val="99"/>
    <w:pPr>
      <w:adjustRightInd w:val="0"/>
      <w:spacing w:line="420" w:lineRule="atLeast"/>
      <w:jc w:val="left"/>
      <w:textAlignment w:val="baseline"/>
    </w:pPr>
    <w:rPr>
      <w:kern w:val="0"/>
    </w:rPr>
  </w:style>
  <w:style w:type="paragraph" w:customStyle="1" w:styleId="58">
    <w:name w:val="章正文"/>
    <w:basedOn w:val="1"/>
    <w:qFormat/>
    <w:uiPriority w:val="99"/>
    <w:pPr>
      <w:spacing w:beforeLines="50" w:after="120" w:line="300" w:lineRule="auto"/>
      <w:ind w:firstLine="480"/>
    </w:pPr>
    <w:rPr>
      <w:rFonts w:ascii="Helvetica" w:hAnsi="Helvetica"/>
      <w:kern w:val="0"/>
      <w:sz w:val="24"/>
    </w:rPr>
  </w:style>
  <w:style w:type="paragraph" w:customStyle="1" w:styleId="59">
    <w:name w:val="样式 表格正文 + 两端对齐"/>
    <w:basedOn w:val="1"/>
    <w:next w:val="60"/>
    <w:qFormat/>
    <w:uiPriority w:val="0"/>
    <w:pPr>
      <w:spacing w:line="300" w:lineRule="auto"/>
    </w:pPr>
    <w:rPr>
      <w:rFonts w:ascii="Times New Roman"/>
    </w:rPr>
  </w:style>
  <w:style w:type="paragraph" w:customStyle="1" w:styleId="60">
    <w:name w:val="正文1"/>
    <w:basedOn w:val="20"/>
    <w:next w:val="1"/>
    <w:qFormat/>
    <w:uiPriority w:val="99"/>
    <w:pPr>
      <w:adjustRightInd w:val="0"/>
      <w:spacing w:line="360" w:lineRule="atLeast"/>
      <w:jc w:val="left"/>
      <w:textAlignment w:val="baseline"/>
    </w:pPr>
    <w:rPr>
      <w:kern w:val="0"/>
      <w:szCs w:val="20"/>
    </w:rPr>
  </w:style>
  <w:style w:type="character" w:customStyle="1" w:styleId="61">
    <w:name w:val="Heading 1 Char"/>
    <w:basedOn w:val="47"/>
    <w:link w:val="6"/>
    <w:qFormat/>
    <w:locked/>
    <w:uiPriority w:val="99"/>
    <w:rPr>
      <w:b/>
      <w:kern w:val="44"/>
      <w:sz w:val="44"/>
    </w:rPr>
  </w:style>
  <w:style w:type="character" w:customStyle="1" w:styleId="62">
    <w:name w:val="标题 2 Char"/>
    <w:basedOn w:val="47"/>
    <w:link w:val="7"/>
    <w:qFormat/>
    <w:locked/>
    <w:uiPriority w:val="99"/>
    <w:rPr>
      <w:rFonts w:ascii="Arial" w:hAnsi="Arial" w:eastAsia="黑体"/>
      <w:b/>
      <w:kern w:val="2"/>
      <w:sz w:val="32"/>
      <w:lang w:val="en-US" w:eastAsia="zh-CN"/>
    </w:rPr>
  </w:style>
  <w:style w:type="character" w:customStyle="1" w:styleId="63">
    <w:name w:val="标题 3 Char1"/>
    <w:basedOn w:val="47"/>
    <w:link w:val="8"/>
    <w:qFormat/>
    <w:locked/>
    <w:uiPriority w:val="99"/>
    <w:rPr>
      <w:rFonts w:ascii="宋体" w:eastAsia="宋体"/>
      <w:b/>
      <w:sz w:val="24"/>
      <w:u w:val="single"/>
      <w:lang w:val="en-US" w:eastAsia="zh-CN"/>
    </w:rPr>
  </w:style>
  <w:style w:type="character" w:customStyle="1" w:styleId="64">
    <w:name w:val="标题 4 Char"/>
    <w:basedOn w:val="47"/>
    <w:link w:val="9"/>
    <w:qFormat/>
    <w:locked/>
    <w:uiPriority w:val="99"/>
    <w:rPr>
      <w:rFonts w:ascii="Arial" w:hAnsi="Arial" w:eastAsia="黑体"/>
      <w:b/>
      <w:kern w:val="2"/>
      <w:sz w:val="28"/>
      <w:lang w:val="en-US" w:eastAsia="zh-CN"/>
    </w:rPr>
  </w:style>
  <w:style w:type="character" w:customStyle="1" w:styleId="65">
    <w:name w:val="标题 5 Char"/>
    <w:basedOn w:val="47"/>
    <w:link w:val="10"/>
    <w:semiHidden/>
    <w:qFormat/>
    <w:locked/>
    <w:uiPriority w:val="99"/>
    <w:rPr>
      <w:b/>
      <w:sz w:val="28"/>
    </w:rPr>
  </w:style>
  <w:style w:type="character" w:customStyle="1" w:styleId="66">
    <w:name w:val="标题 6 Char"/>
    <w:basedOn w:val="47"/>
    <w:link w:val="11"/>
    <w:semiHidden/>
    <w:qFormat/>
    <w:locked/>
    <w:uiPriority w:val="99"/>
    <w:rPr>
      <w:rFonts w:ascii="Cambria" w:hAnsi="Cambria" w:eastAsia="宋体"/>
      <w:b/>
      <w:sz w:val="24"/>
    </w:rPr>
  </w:style>
  <w:style w:type="character" w:customStyle="1" w:styleId="67">
    <w:name w:val="标题 7 Char"/>
    <w:basedOn w:val="47"/>
    <w:link w:val="12"/>
    <w:semiHidden/>
    <w:qFormat/>
    <w:locked/>
    <w:uiPriority w:val="99"/>
    <w:rPr>
      <w:b/>
      <w:sz w:val="24"/>
    </w:rPr>
  </w:style>
  <w:style w:type="character" w:customStyle="1" w:styleId="68">
    <w:name w:val="标题 8 Char"/>
    <w:basedOn w:val="47"/>
    <w:link w:val="13"/>
    <w:semiHidden/>
    <w:qFormat/>
    <w:locked/>
    <w:uiPriority w:val="99"/>
    <w:rPr>
      <w:rFonts w:ascii="Cambria" w:hAnsi="Cambria" w:eastAsia="宋体"/>
      <w:sz w:val="24"/>
    </w:rPr>
  </w:style>
  <w:style w:type="character" w:customStyle="1" w:styleId="69">
    <w:name w:val="标题 9 Char"/>
    <w:basedOn w:val="47"/>
    <w:link w:val="14"/>
    <w:semiHidden/>
    <w:qFormat/>
    <w:locked/>
    <w:uiPriority w:val="99"/>
    <w:rPr>
      <w:rFonts w:ascii="Cambria" w:hAnsi="Cambria" w:eastAsia="宋体"/>
      <w:sz w:val="21"/>
    </w:rPr>
  </w:style>
  <w:style w:type="character" w:customStyle="1" w:styleId="70">
    <w:name w:val="正文文本缩进 Char"/>
    <w:basedOn w:val="47"/>
    <w:link w:val="3"/>
    <w:qFormat/>
    <w:locked/>
    <w:uiPriority w:val="99"/>
    <w:rPr>
      <w:rFonts w:ascii="宋体" w:hAnsi="Courier New"/>
      <w:spacing w:val="-4"/>
      <w:kern w:val="2"/>
      <w:sz w:val="18"/>
    </w:rPr>
  </w:style>
  <w:style w:type="character" w:customStyle="1" w:styleId="71">
    <w:name w:val="正文文本 Char"/>
    <w:basedOn w:val="47"/>
    <w:link w:val="16"/>
    <w:qFormat/>
    <w:locked/>
    <w:uiPriority w:val="99"/>
    <w:rPr>
      <w:rFonts w:eastAsia="宋体"/>
      <w:kern w:val="2"/>
      <w:sz w:val="24"/>
      <w:lang w:val="en-US" w:eastAsia="zh-CN"/>
    </w:rPr>
  </w:style>
  <w:style w:type="character" w:customStyle="1" w:styleId="72">
    <w:name w:val="文档结构图 Char"/>
    <w:basedOn w:val="47"/>
    <w:link w:val="20"/>
    <w:qFormat/>
    <w:locked/>
    <w:uiPriority w:val="99"/>
    <w:rPr>
      <w:rFonts w:eastAsia="宋体"/>
      <w:kern w:val="2"/>
      <w:sz w:val="24"/>
      <w:lang w:val="en-US" w:eastAsia="zh-CN"/>
    </w:rPr>
  </w:style>
  <w:style w:type="character" w:customStyle="1" w:styleId="73">
    <w:name w:val="批注文字 Char"/>
    <w:basedOn w:val="47"/>
    <w:link w:val="21"/>
    <w:qFormat/>
    <w:locked/>
    <w:uiPriority w:val="99"/>
    <w:rPr>
      <w:rFonts w:eastAsia="宋体"/>
      <w:kern w:val="2"/>
      <w:sz w:val="24"/>
      <w:lang w:val="en-US" w:eastAsia="zh-CN"/>
    </w:rPr>
  </w:style>
  <w:style w:type="character" w:customStyle="1" w:styleId="74">
    <w:name w:val="称呼 Char"/>
    <w:basedOn w:val="47"/>
    <w:link w:val="22"/>
    <w:semiHidden/>
    <w:qFormat/>
    <w:locked/>
    <w:uiPriority w:val="99"/>
    <w:rPr>
      <w:sz w:val="24"/>
    </w:rPr>
  </w:style>
  <w:style w:type="character" w:customStyle="1" w:styleId="75">
    <w:name w:val="正文文本 3 Char"/>
    <w:basedOn w:val="47"/>
    <w:link w:val="23"/>
    <w:semiHidden/>
    <w:qFormat/>
    <w:locked/>
    <w:uiPriority w:val="99"/>
    <w:rPr>
      <w:sz w:val="16"/>
    </w:rPr>
  </w:style>
  <w:style w:type="character" w:customStyle="1" w:styleId="76">
    <w:name w:val="纯文本 Char"/>
    <w:basedOn w:val="47"/>
    <w:link w:val="27"/>
    <w:qFormat/>
    <w:locked/>
    <w:uiPriority w:val="99"/>
    <w:rPr>
      <w:rFonts w:ascii="宋体" w:hAnsi="Courier New" w:eastAsia="宋体"/>
      <w:kern w:val="2"/>
      <w:sz w:val="24"/>
      <w:lang w:val="en-US" w:eastAsia="zh-CN"/>
    </w:rPr>
  </w:style>
  <w:style w:type="character" w:customStyle="1" w:styleId="77">
    <w:name w:val="日期 Char"/>
    <w:basedOn w:val="47"/>
    <w:link w:val="28"/>
    <w:semiHidden/>
    <w:qFormat/>
    <w:locked/>
    <w:uiPriority w:val="99"/>
    <w:rPr>
      <w:sz w:val="24"/>
    </w:rPr>
  </w:style>
  <w:style w:type="character" w:customStyle="1" w:styleId="78">
    <w:name w:val="正文文本缩进 2 Char"/>
    <w:basedOn w:val="47"/>
    <w:link w:val="29"/>
    <w:qFormat/>
    <w:locked/>
    <w:uiPriority w:val="99"/>
    <w:rPr>
      <w:rFonts w:ascii="仿宋_GB2312" w:hAnsi="宋体" w:eastAsia="宋体"/>
      <w:b/>
      <w:color w:val="000000"/>
      <w:kern w:val="2"/>
      <w:sz w:val="24"/>
      <w:lang w:val="en-US" w:eastAsia="zh-CN"/>
    </w:rPr>
  </w:style>
  <w:style w:type="character" w:customStyle="1" w:styleId="79">
    <w:name w:val="尾注文本 Char"/>
    <w:basedOn w:val="47"/>
    <w:link w:val="30"/>
    <w:semiHidden/>
    <w:qFormat/>
    <w:locked/>
    <w:uiPriority w:val="99"/>
    <w:rPr>
      <w:sz w:val="24"/>
    </w:rPr>
  </w:style>
  <w:style w:type="character" w:customStyle="1" w:styleId="80">
    <w:name w:val="批注框文本 Char"/>
    <w:basedOn w:val="47"/>
    <w:link w:val="31"/>
    <w:qFormat/>
    <w:locked/>
    <w:uiPriority w:val="99"/>
    <w:rPr>
      <w:rFonts w:eastAsia="宋体"/>
      <w:kern w:val="2"/>
      <w:sz w:val="18"/>
      <w:lang w:val="en-US" w:eastAsia="zh-CN"/>
    </w:rPr>
  </w:style>
  <w:style w:type="character" w:customStyle="1" w:styleId="81">
    <w:name w:val="页脚 Char"/>
    <w:basedOn w:val="47"/>
    <w:link w:val="32"/>
    <w:qFormat/>
    <w:locked/>
    <w:uiPriority w:val="99"/>
    <w:rPr>
      <w:rFonts w:eastAsia="黑体"/>
      <w:snapToGrid w:val="0"/>
      <w:sz w:val="18"/>
      <w:lang w:val="en-US" w:eastAsia="zh-CN"/>
    </w:rPr>
  </w:style>
  <w:style w:type="character" w:customStyle="1" w:styleId="82">
    <w:name w:val="页眉 Char"/>
    <w:basedOn w:val="47"/>
    <w:link w:val="33"/>
    <w:qFormat/>
    <w:locked/>
    <w:uiPriority w:val="99"/>
    <w:rPr>
      <w:rFonts w:eastAsia="仿宋_GB2312"/>
      <w:kern w:val="2"/>
      <w:sz w:val="18"/>
      <w:lang w:val="en-US" w:eastAsia="zh-CN"/>
    </w:rPr>
  </w:style>
  <w:style w:type="character" w:customStyle="1" w:styleId="83">
    <w:name w:val="副标题 Char"/>
    <w:basedOn w:val="47"/>
    <w:link w:val="36"/>
    <w:qFormat/>
    <w:locked/>
    <w:uiPriority w:val="99"/>
    <w:rPr>
      <w:rFonts w:ascii="Cambria" w:hAnsi="Cambria"/>
      <w:b/>
      <w:kern w:val="28"/>
      <w:sz w:val="32"/>
    </w:rPr>
  </w:style>
  <w:style w:type="character" w:customStyle="1" w:styleId="84">
    <w:name w:val="正文文本缩进 3 Char"/>
    <w:basedOn w:val="47"/>
    <w:link w:val="39"/>
    <w:qFormat/>
    <w:locked/>
    <w:uiPriority w:val="99"/>
    <w:rPr>
      <w:rFonts w:ascii="仿宋_GB2312" w:hAnsi="宋体" w:eastAsia="仿宋_GB2312"/>
      <w:color w:val="000000"/>
      <w:kern w:val="2"/>
      <w:sz w:val="24"/>
      <w:lang w:val="en-US" w:eastAsia="zh-CN"/>
    </w:rPr>
  </w:style>
  <w:style w:type="character" w:customStyle="1" w:styleId="85">
    <w:name w:val="正文文本 2 Char"/>
    <w:basedOn w:val="47"/>
    <w:link w:val="40"/>
    <w:semiHidden/>
    <w:qFormat/>
    <w:locked/>
    <w:uiPriority w:val="99"/>
    <w:rPr>
      <w:sz w:val="24"/>
    </w:rPr>
  </w:style>
  <w:style w:type="character" w:customStyle="1" w:styleId="86">
    <w:name w:val="HTML 预设格式 Char"/>
    <w:basedOn w:val="47"/>
    <w:link w:val="41"/>
    <w:semiHidden/>
    <w:qFormat/>
    <w:locked/>
    <w:uiPriority w:val="99"/>
    <w:rPr>
      <w:rFonts w:ascii="Courier New" w:hAnsi="Courier New"/>
      <w:sz w:val="20"/>
    </w:rPr>
  </w:style>
  <w:style w:type="character" w:customStyle="1" w:styleId="87">
    <w:name w:val="标题 Char"/>
    <w:basedOn w:val="47"/>
    <w:link w:val="43"/>
    <w:qFormat/>
    <w:locked/>
    <w:uiPriority w:val="99"/>
    <w:rPr>
      <w:rFonts w:ascii="Cambria" w:hAnsi="Cambria"/>
      <w:b/>
      <w:sz w:val="32"/>
    </w:rPr>
  </w:style>
  <w:style w:type="character" w:customStyle="1" w:styleId="88">
    <w:name w:val="批注主题 Char"/>
    <w:basedOn w:val="73"/>
    <w:link w:val="44"/>
    <w:semiHidden/>
    <w:qFormat/>
    <w:locked/>
    <w:uiPriority w:val="99"/>
    <w:rPr>
      <w:b/>
    </w:rPr>
  </w:style>
  <w:style w:type="character" w:customStyle="1" w:styleId="89">
    <w:name w:val="正文首行缩进 Char"/>
    <w:basedOn w:val="71"/>
    <w:link w:val="17"/>
    <w:semiHidden/>
    <w:qFormat/>
    <w:locked/>
    <w:uiPriority w:val="99"/>
  </w:style>
  <w:style w:type="character" w:customStyle="1" w:styleId="90">
    <w:name w:val="正文首行缩进 2 Char"/>
    <w:basedOn w:val="70"/>
    <w:link w:val="2"/>
    <w:semiHidden/>
    <w:qFormat/>
    <w:uiPriority w:val="99"/>
    <w:rPr>
      <w:rFonts w:ascii="Times New Roman" w:hAnsi="Times New Roman"/>
      <w:szCs w:val="24"/>
    </w:rPr>
  </w:style>
  <w:style w:type="character" w:customStyle="1" w:styleId="91">
    <w:name w:val="tw4winInternal"/>
    <w:qFormat/>
    <w:uiPriority w:val="99"/>
    <w:rPr>
      <w:rFonts w:ascii="Courier New" w:hAnsi="Courier New"/>
      <w:color w:val="FF0000"/>
    </w:rPr>
  </w:style>
  <w:style w:type="character" w:customStyle="1" w:styleId="92">
    <w:name w:val="Char Char3"/>
    <w:qFormat/>
    <w:uiPriority w:val="99"/>
    <w:rPr>
      <w:rFonts w:ascii="仿宋_GB2312" w:hAnsi="宋体" w:eastAsia="仿宋_GB2312"/>
      <w:color w:val="000000"/>
      <w:sz w:val="24"/>
    </w:rPr>
  </w:style>
  <w:style w:type="character" w:customStyle="1" w:styleId="93">
    <w:name w:val="标题 1 Char Char"/>
    <w:qFormat/>
    <w:uiPriority w:val="99"/>
    <w:rPr>
      <w:rFonts w:eastAsia="宋体"/>
      <w:b/>
      <w:spacing w:val="-2"/>
      <w:sz w:val="24"/>
      <w:lang w:val="en-US" w:eastAsia="zh-CN"/>
    </w:rPr>
  </w:style>
  <w:style w:type="character" w:customStyle="1" w:styleId="94">
    <w:name w:val="tw4winMark"/>
    <w:qFormat/>
    <w:uiPriority w:val="99"/>
    <w:rPr>
      <w:rFonts w:ascii="Courier New" w:hAnsi="Courier New"/>
      <w:vanish/>
      <w:color w:val="800080"/>
      <w:vertAlign w:val="subscript"/>
    </w:rPr>
  </w:style>
  <w:style w:type="character" w:customStyle="1" w:styleId="95">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96">
    <w:name w:val="style11"/>
    <w:qFormat/>
    <w:uiPriority w:val="99"/>
    <w:rPr>
      <w:rFonts w:eastAsia="宋体"/>
      <w:kern w:val="2"/>
      <w:sz w:val="21"/>
      <w:lang w:val="en-US" w:eastAsia="zh-CN"/>
    </w:rPr>
  </w:style>
  <w:style w:type="character" w:customStyle="1" w:styleId="97">
    <w:name w:val="font2"/>
    <w:qFormat/>
    <w:uiPriority w:val="99"/>
    <w:rPr>
      <w:rFonts w:ascii="Arial" w:hAnsi="Arial"/>
      <w:color w:val="333333"/>
      <w:spacing w:val="0"/>
      <w:sz w:val="18"/>
    </w:rPr>
  </w:style>
  <w:style w:type="character" w:customStyle="1" w:styleId="98">
    <w:name w:val="b titlename wangputoptitle"/>
    <w:qFormat/>
    <w:uiPriority w:val="99"/>
  </w:style>
  <w:style w:type="character" w:customStyle="1" w:styleId="99">
    <w:name w:val="tw4winTerm"/>
    <w:qFormat/>
    <w:uiPriority w:val="99"/>
    <w:rPr>
      <w:color w:val="0000FF"/>
    </w:rPr>
  </w:style>
  <w:style w:type="character" w:customStyle="1" w:styleId="100">
    <w:name w:val="样式 小四"/>
    <w:qFormat/>
    <w:uiPriority w:val="99"/>
    <w:rPr>
      <w:sz w:val="21"/>
    </w:rPr>
  </w:style>
  <w:style w:type="character" w:customStyle="1" w:styleId="101">
    <w:name w:val="para"/>
    <w:qFormat/>
    <w:uiPriority w:val="99"/>
  </w:style>
  <w:style w:type="character" w:customStyle="1" w:styleId="102">
    <w:name w:val="tw4winError"/>
    <w:qFormat/>
    <w:uiPriority w:val="99"/>
    <w:rPr>
      <w:rFonts w:ascii="Courier New" w:hAnsi="Courier New"/>
      <w:color w:val="00FF00"/>
      <w:sz w:val="40"/>
    </w:rPr>
  </w:style>
  <w:style w:type="character" w:customStyle="1" w:styleId="103">
    <w:name w:val="正文缩进 Char"/>
    <w:link w:val="4"/>
    <w:qFormat/>
    <w:locked/>
    <w:uiPriority w:val="99"/>
    <w:rPr>
      <w:rFonts w:eastAsia="宋体"/>
      <w:kern w:val="2"/>
      <w:sz w:val="21"/>
      <w:lang w:val="en-US" w:eastAsia="zh-CN"/>
    </w:rPr>
  </w:style>
  <w:style w:type="character" w:customStyle="1" w:styleId="104">
    <w:name w:val="style31"/>
    <w:qFormat/>
    <w:uiPriority w:val="99"/>
    <w:rPr>
      <w:color w:val="4B4B4B"/>
    </w:rPr>
  </w:style>
  <w:style w:type="character" w:customStyle="1" w:styleId="105">
    <w:name w:val="!我的正文 Ctr+Q Char"/>
    <w:link w:val="106"/>
    <w:qFormat/>
    <w:locked/>
    <w:uiPriority w:val="99"/>
    <w:rPr>
      <w:rFonts w:ascii="Arial" w:hAnsi="Arial" w:eastAsia="宋体"/>
      <w:kern w:val="2"/>
      <w:sz w:val="21"/>
      <w:lang w:val="en-US" w:eastAsia="zh-CN"/>
    </w:rPr>
  </w:style>
  <w:style w:type="paragraph" w:customStyle="1" w:styleId="106">
    <w:name w:val="!我的正文 Ctr+Q"/>
    <w:basedOn w:val="1"/>
    <w:link w:val="105"/>
    <w:qFormat/>
    <w:uiPriority w:val="99"/>
    <w:pPr>
      <w:adjustRightInd w:val="0"/>
      <w:snapToGrid w:val="0"/>
      <w:spacing w:line="360" w:lineRule="auto"/>
      <w:ind w:firstLine="480" w:firstLineChars="200"/>
    </w:pPr>
    <w:rPr>
      <w:rFonts w:ascii="Arial" w:hAnsi="Arial"/>
      <w:szCs w:val="20"/>
    </w:rPr>
  </w:style>
  <w:style w:type="character" w:customStyle="1" w:styleId="107">
    <w:name w:val="font3"/>
    <w:qFormat/>
    <w:uiPriority w:val="99"/>
  </w:style>
  <w:style w:type="character" w:customStyle="1" w:styleId="108">
    <w:name w:val="tw4winExternal"/>
    <w:qFormat/>
    <w:uiPriority w:val="99"/>
    <w:rPr>
      <w:rFonts w:ascii="Courier New" w:hAnsi="Courier New"/>
      <w:color w:val="808080"/>
    </w:rPr>
  </w:style>
  <w:style w:type="character" w:customStyle="1" w:styleId="109">
    <w:name w:val="标题 1 Char"/>
    <w:link w:val="6"/>
    <w:qFormat/>
    <w:locked/>
    <w:uiPriority w:val="99"/>
    <w:rPr>
      <w:rFonts w:eastAsia="宋体"/>
      <w:b/>
      <w:kern w:val="44"/>
      <w:sz w:val="44"/>
      <w:lang w:val="en-US" w:eastAsia="zh-CN"/>
    </w:rPr>
  </w:style>
  <w:style w:type="character" w:customStyle="1" w:styleId="110">
    <w:name w:val="point_normal1"/>
    <w:qFormat/>
    <w:uiPriority w:val="99"/>
    <w:rPr>
      <w:rFonts w:ascii="Arial" w:hAnsi="Arial"/>
      <w:sz w:val="18"/>
    </w:rPr>
  </w:style>
  <w:style w:type="character" w:customStyle="1" w:styleId="111">
    <w:name w:val="fontblank12"/>
    <w:qFormat/>
    <w:uiPriority w:val="99"/>
  </w:style>
  <w:style w:type="character" w:customStyle="1" w:styleId="112">
    <w:name w:val="huide001"/>
    <w:qFormat/>
    <w:uiPriority w:val="99"/>
    <w:rPr>
      <w:rFonts w:ascii="Arial" w:hAnsi="Arial"/>
      <w:color w:val="666666"/>
      <w:sz w:val="18"/>
    </w:rPr>
  </w:style>
  <w:style w:type="character" w:customStyle="1" w:styleId="113">
    <w:name w:val="tw4winPopup"/>
    <w:qFormat/>
    <w:uiPriority w:val="99"/>
    <w:rPr>
      <w:rFonts w:ascii="Courier New" w:hAnsi="Courier New"/>
      <w:color w:val="008000"/>
    </w:rPr>
  </w:style>
  <w:style w:type="character" w:customStyle="1" w:styleId="114">
    <w:name w:val="标题 3 Char"/>
    <w:qFormat/>
    <w:uiPriority w:val="99"/>
    <w:rPr>
      <w:rFonts w:eastAsia="宋体"/>
      <w:b/>
      <w:kern w:val="2"/>
      <w:sz w:val="32"/>
      <w:lang w:val="en-US" w:eastAsia="zh-CN"/>
    </w:rPr>
  </w:style>
  <w:style w:type="character" w:customStyle="1" w:styleId="115">
    <w:name w:val="unnamed11"/>
    <w:qFormat/>
    <w:uiPriority w:val="99"/>
    <w:rPr>
      <w:sz w:val="20"/>
    </w:rPr>
  </w:style>
  <w:style w:type="character" w:customStyle="1" w:styleId="116">
    <w:name w:val="pagetitle"/>
    <w:qFormat/>
    <w:uiPriority w:val="99"/>
  </w:style>
  <w:style w:type="character" w:customStyle="1" w:styleId="117">
    <w:name w:val="line1"/>
    <w:qFormat/>
    <w:uiPriority w:val="99"/>
    <w:rPr>
      <w:u w:val="none"/>
    </w:rPr>
  </w:style>
  <w:style w:type="character" w:customStyle="1" w:styleId="118">
    <w:name w:val="text11"/>
    <w:qFormat/>
    <w:uiPriority w:val="99"/>
    <w:rPr>
      <w:rFonts w:ascii="Verdana" w:hAnsi="Verdana"/>
      <w:color w:val="4E4E4E"/>
      <w:sz w:val="18"/>
    </w:rPr>
  </w:style>
  <w:style w:type="character" w:customStyle="1" w:styleId="119">
    <w:name w:val="样式 样式3 + 宋体 五号 Char Char Char Char"/>
    <w:qFormat/>
    <w:uiPriority w:val="99"/>
    <w:rPr>
      <w:rFonts w:ascii="宋体" w:hAnsi="宋体" w:eastAsia="宋体"/>
      <w:b/>
      <w:kern w:val="2"/>
      <w:sz w:val="24"/>
      <w:lang w:val="en-US" w:eastAsia="zh-CN"/>
    </w:rPr>
  </w:style>
  <w:style w:type="character" w:customStyle="1" w:styleId="120">
    <w:name w:val="A C"/>
    <w:qFormat/>
    <w:uiPriority w:val="99"/>
    <w:rPr>
      <w:rFonts w:ascii="仿宋_GB2312"/>
      <w:sz w:val="24"/>
    </w:rPr>
  </w:style>
  <w:style w:type="character" w:customStyle="1" w:styleId="121">
    <w:name w:val="tw4winJump"/>
    <w:qFormat/>
    <w:uiPriority w:val="99"/>
    <w:rPr>
      <w:rFonts w:ascii="Courier New" w:hAnsi="Courier New"/>
      <w:color w:val="008080"/>
    </w:rPr>
  </w:style>
  <w:style w:type="character" w:customStyle="1" w:styleId="122">
    <w:name w:val="Char Char7"/>
    <w:qFormat/>
    <w:uiPriority w:val="99"/>
    <w:rPr>
      <w:rFonts w:ascii="Cambria" w:hAnsi="Cambria" w:eastAsia="宋体"/>
      <w:b/>
      <w:sz w:val="32"/>
    </w:rPr>
  </w:style>
  <w:style w:type="character" w:customStyle="1" w:styleId="123">
    <w:name w:val="style101"/>
    <w:qFormat/>
    <w:uiPriority w:val="99"/>
    <w:rPr>
      <w:color w:val="FFFFFF"/>
    </w:rPr>
  </w:style>
  <w:style w:type="paragraph" w:customStyle="1" w:styleId="124">
    <w:name w:val="样式2"/>
    <w:basedOn w:val="7"/>
    <w:qFormat/>
    <w:uiPriority w:val="99"/>
    <w:pPr>
      <w:tabs>
        <w:tab w:val="left" w:pos="600"/>
      </w:tabs>
      <w:ind w:left="600" w:hanging="600"/>
    </w:pPr>
    <w:rPr>
      <w:rFonts w:eastAsia="宋体"/>
    </w:rPr>
  </w:style>
  <w:style w:type="paragraph" w:customStyle="1" w:styleId="125">
    <w:name w:val="p0"/>
    <w:basedOn w:val="1"/>
    <w:qFormat/>
    <w:uiPriority w:val="99"/>
    <w:pPr>
      <w:widowControl/>
      <w:spacing w:after="50"/>
    </w:pPr>
    <w:rPr>
      <w:kern w:val="0"/>
      <w:szCs w:val="21"/>
    </w:rPr>
  </w:style>
  <w:style w:type="paragraph" w:customStyle="1" w:styleId="126">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127">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28">
    <w:name w:val="Paragraph2"/>
    <w:basedOn w:val="1"/>
    <w:qFormat/>
    <w:uiPriority w:val="99"/>
    <w:pPr>
      <w:spacing w:before="80" w:afterLines="50"/>
      <w:ind w:left="720"/>
    </w:pPr>
    <w:rPr>
      <w:rFonts w:ascii="宋体"/>
      <w:color w:val="000000"/>
      <w:kern w:val="0"/>
      <w:szCs w:val="20"/>
      <w:lang w:val="en-AU"/>
    </w:rPr>
  </w:style>
  <w:style w:type="paragraph" w:customStyle="1" w:styleId="129">
    <w:name w:val="Char Char Char Char Char Char Char Char Char Char"/>
    <w:basedOn w:val="20"/>
    <w:qFormat/>
    <w:uiPriority w:val="99"/>
    <w:rPr>
      <w:rFonts w:ascii="Tahoma" w:hAnsi="Tahoma"/>
    </w:rPr>
  </w:style>
  <w:style w:type="paragraph" w:customStyle="1" w:styleId="130">
    <w:name w:val="P3"/>
    <w:basedOn w:val="1"/>
    <w:qFormat/>
    <w:uiPriority w:val="99"/>
    <w:pPr>
      <w:widowControl/>
      <w:spacing w:before="240" w:line="240" w:lineRule="atLeast"/>
      <w:ind w:left="1152"/>
      <w:jc w:val="left"/>
    </w:pPr>
    <w:rPr>
      <w:b/>
      <w:kern w:val="0"/>
      <w:szCs w:val="21"/>
      <w:lang w:val="en-AU" w:eastAsia="en-US"/>
    </w:rPr>
  </w:style>
  <w:style w:type="paragraph" w:customStyle="1" w:styleId="131">
    <w:name w:val="Char1 Char Char Char Char Char Char"/>
    <w:basedOn w:val="1"/>
    <w:qFormat/>
    <w:uiPriority w:val="99"/>
    <w:rPr>
      <w:rFonts w:ascii="Tahoma" w:hAnsi="Tahoma"/>
      <w:sz w:val="24"/>
      <w:szCs w:val="20"/>
    </w:rPr>
  </w:style>
  <w:style w:type="paragraph" w:customStyle="1" w:styleId="132">
    <w:name w:val="Paragraph4"/>
    <w:basedOn w:val="1"/>
    <w:qFormat/>
    <w:uiPriority w:val="99"/>
    <w:pPr>
      <w:spacing w:before="80" w:afterLines="50"/>
      <w:ind w:left="2250"/>
    </w:pPr>
    <w:rPr>
      <w:rFonts w:ascii="宋体"/>
      <w:kern w:val="0"/>
      <w:szCs w:val="20"/>
    </w:rPr>
  </w:style>
  <w:style w:type="paragraph" w:customStyle="1" w:styleId="133">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34">
    <w:name w:val="样式 标题 3Chapter X.X.X. + 五号 段后: 0.5 行"/>
    <w:basedOn w:val="8"/>
    <w:qFormat/>
    <w:uiPriority w:val="99"/>
    <w:pPr>
      <w:keepLines w:val="0"/>
      <w:autoSpaceDE/>
      <w:autoSpaceDN/>
      <w:adjustRightInd/>
      <w:spacing w:before="120" w:afterLines="50"/>
    </w:pPr>
    <w:rPr>
      <w:rFonts w:cs="宋体"/>
      <w:bCs/>
      <w:sz w:val="21"/>
      <w:u w:val="none"/>
    </w:rPr>
  </w:style>
  <w:style w:type="paragraph" w:customStyle="1" w:styleId="135">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6">
    <w:name w:val="TableTextLeft"/>
    <w:qFormat/>
    <w:uiPriority w:val="99"/>
    <w:rPr>
      <w:rFonts w:ascii="Century Gothic" w:hAnsi="Century Gothic" w:eastAsia="宋体" w:cs="Times New Roman"/>
      <w:szCs w:val="18"/>
      <w:lang w:val="en-US" w:eastAsia="en-US" w:bidi="ar-SA"/>
    </w:rPr>
  </w:style>
  <w:style w:type="paragraph" w:customStyle="1" w:styleId="137">
    <w:name w:val="Body"/>
    <w:basedOn w:val="1"/>
    <w:qFormat/>
    <w:uiPriority w:val="99"/>
    <w:pPr>
      <w:widowControl/>
      <w:spacing w:before="120" w:afterLines="50"/>
    </w:pPr>
    <w:rPr>
      <w:rFonts w:ascii="宋体"/>
      <w:kern w:val="0"/>
      <w:szCs w:val="20"/>
    </w:rPr>
  </w:style>
  <w:style w:type="paragraph" w:customStyle="1" w:styleId="13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39">
    <w:name w:val="标准标题2"/>
    <w:basedOn w:val="7"/>
    <w:qFormat/>
    <w:uiPriority w:val="99"/>
    <w:pPr>
      <w:spacing w:line="360" w:lineRule="auto"/>
    </w:pPr>
    <w:rPr>
      <w:rFonts w:eastAsia="仿宋_GB2312"/>
      <w:sz w:val="28"/>
    </w:rPr>
  </w:style>
  <w:style w:type="paragraph" w:customStyle="1" w:styleId="140">
    <w:name w:val="Blockquote"/>
    <w:basedOn w:val="1"/>
    <w:qFormat/>
    <w:uiPriority w:val="99"/>
    <w:pPr>
      <w:widowControl/>
      <w:spacing w:before="100" w:afterLines="50"/>
      <w:ind w:left="360" w:right="360"/>
      <w:jc w:val="left"/>
    </w:pPr>
    <w:rPr>
      <w:rFonts w:ascii="宋体"/>
      <w:kern w:val="0"/>
      <w:sz w:val="24"/>
      <w:szCs w:val="20"/>
      <w:lang w:val="en-CA"/>
    </w:rPr>
  </w:style>
  <w:style w:type="paragraph" w:customStyle="1" w:styleId="141">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14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43">
    <w:name w:val="Char Char Char Char Char Char Char Char Char Char Char Char Char Char Char Char"/>
    <w:basedOn w:val="1"/>
    <w:qFormat/>
    <w:uiPriority w:val="99"/>
    <w:pPr>
      <w:tabs>
        <w:tab w:val="left" w:pos="360"/>
      </w:tabs>
    </w:pPr>
    <w:rPr>
      <w:sz w:val="24"/>
    </w:rPr>
  </w:style>
  <w:style w:type="paragraph" w:customStyle="1" w:styleId="144">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0"/>
    </w:rPr>
  </w:style>
  <w:style w:type="paragraph" w:customStyle="1" w:styleId="145">
    <w:name w:val="Char3 Char Char Char"/>
    <w:basedOn w:val="1"/>
    <w:qFormat/>
    <w:uiPriority w:val="99"/>
    <w:pPr>
      <w:tabs>
        <w:tab w:val="left" w:pos="1455"/>
      </w:tabs>
      <w:ind w:left="1455" w:hanging="1275"/>
    </w:pPr>
    <w:rPr>
      <w:sz w:val="24"/>
    </w:rPr>
  </w:style>
  <w:style w:type="paragraph" w:customStyle="1" w:styleId="146">
    <w:name w:val="样式　标题4"/>
    <w:basedOn w:val="147"/>
    <w:next w:val="1"/>
    <w:qFormat/>
    <w:uiPriority w:val="99"/>
  </w:style>
  <w:style w:type="paragraph" w:customStyle="1" w:styleId="147">
    <w:name w:val="样式 标题 4Chapter X.X.X. + 段后: 0.5 行1"/>
    <w:basedOn w:val="9"/>
    <w:next w:val="9"/>
    <w:qFormat/>
    <w:uiPriority w:val="99"/>
    <w:pPr>
      <w:keepLines w:val="0"/>
      <w:spacing w:before="120" w:afterLines="50" w:line="240" w:lineRule="auto"/>
      <w:ind w:left="425" w:hanging="425"/>
      <w:jc w:val="left"/>
    </w:pPr>
    <w:rPr>
      <w:rFonts w:ascii="宋体" w:hAnsi="Times New Roman" w:eastAsia="宋体" w:cs="宋体"/>
      <w:kern w:val="0"/>
      <w:sz w:val="21"/>
    </w:rPr>
  </w:style>
  <w:style w:type="paragraph" w:customStyle="1" w:styleId="148">
    <w:name w:val="样式 标题 2 + 五号"/>
    <w:basedOn w:val="7"/>
    <w:qFormat/>
    <w:uiPriority w:val="99"/>
    <w:pPr>
      <w:spacing w:before="0" w:after="0" w:line="240" w:lineRule="auto"/>
    </w:pPr>
    <w:rPr>
      <w:rFonts w:ascii="宋体" w:hAnsi="宋体" w:eastAsia="宋体"/>
      <w:sz w:val="21"/>
    </w:rPr>
  </w:style>
  <w:style w:type="paragraph" w:customStyle="1" w:styleId="149">
    <w:name w:val="Main Title"/>
    <w:basedOn w:val="1"/>
    <w:qFormat/>
    <w:uiPriority w:val="99"/>
    <w:pPr>
      <w:spacing w:before="480" w:afterLines="50"/>
      <w:jc w:val="center"/>
    </w:pPr>
    <w:rPr>
      <w:rFonts w:ascii="宋体"/>
      <w:b/>
      <w:kern w:val="28"/>
      <w:sz w:val="32"/>
      <w:szCs w:val="20"/>
    </w:rPr>
  </w:style>
  <w:style w:type="paragraph" w:customStyle="1" w:styleId="150">
    <w:name w:val="表格内容"/>
    <w:basedOn w:val="16"/>
    <w:qFormat/>
    <w:uiPriority w:val="99"/>
    <w:pPr>
      <w:suppressLineNumbers/>
      <w:suppressAutoHyphens/>
    </w:pPr>
    <w:rPr>
      <w:kern w:val="1"/>
      <w:sz w:val="21"/>
      <w:lang w:eastAsia="ar-SA"/>
    </w:rPr>
  </w:style>
  <w:style w:type="paragraph" w:customStyle="1" w:styleId="15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2">
    <w:name w:val="S4-L15-C"/>
    <w:basedOn w:val="1"/>
    <w:qFormat/>
    <w:uiPriority w:val="99"/>
    <w:pPr>
      <w:spacing w:after="120" w:line="360" w:lineRule="auto"/>
      <w:jc w:val="center"/>
    </w:pPr>
    <w:rPr>
      <w:szCs w:val="21"/>
    </w:rPr>
  </w:style>
  <w:style w:type="paragraph" w:customStyle="1" w:styleId="153">
    <w:name w:val="样式 标题 4 + 段后: 0.5 行"/>
    <w:basedOn w:val="9"/>
    <w:qFormat/>
    <w:uiPriority w:val="99"/>
    <w:pPr>
      <w:keepLines w:val="0"/>
      <w:spacing w:before="120" w:afterLines="50" w:line="240" w:lineRule="auto"/>
      <w:jc w:val="left"/>
    </w:pPr>
    <w:rPr>
      <w:rFonts w:ascii="宋体" w:hAnsi="Times New Roman" w:eastAsia="宋体" w:cs="宋体"/>
      <w:kern w:val="0"/>
      <w:sz w:val="21"/>
    </w:rPr>
  </w:style>
  <w:style w:type="paragraph" w:customStyle="1" w:styleId="154">
    <w:name w:val="样式 标题 4"/>
    <w:basedOn w:val="155"/>
    <w:next w:val="156"/>
    <w:qFormat/>
    <w:uiPriority w:val="99"/>
    <w:pPr>
      <w:tabs>
        <w:tab w:val="left" w:pos="2100"/>
      </w:tabs>
      <w:spacing w:after="50"/>
      <w:ind w:left="2100" w:hanging="420"/>
    </w:pPr>
  </w:style>
  <w:style w:type="paragraph" w:customStyle="1" w:styleId="155">
    <w:name w:val="样式 标题 4Chapter X.X.X.X. + 段后: 0.5 行1"/>
    <w:basedOn w:val="153"/>
    <w:qFormat/>
    <w:uiPriority w:val="99"/>
    <w:pPr>
      <w:spacing w:after="120"/>
    </w:pPr>
  </w:style>
  <w:style w:type="paragraph" w:customStyle="1" w:styleId="156">
    <w:name w:val="样式 正文"/>
    <w:basedOn w:val="1"/>
    <w:next w:val="1"/>
    <w:qFormat/>
    <w:uiPriority w:val="99"/>
    <w:pPr>
      <w:spacing w:afterLines="50"/>
      <w:jc w:val="left"/>
    </w:pPr>
    <w:rPr>
      <w:rFonts w:ascii="宋体" w:cs="宋体"/>
      <w:kern w:val="0"/>
      <w:szCs w:val="20"/>
    </w:rPr>
  </w:style>
  <w:style w:type="paragraph" w:customStyle="1" w:styleId="157">
    <w:name w:val="Char Char"/>
    <w:basedOn w:val="1"/>
    <w:qFormat/>
    <w:uiPriority w:val="99"/>
    <w:pPr>
      <w:spacing w:line="240" w:lineRule="atLeast"/>
      <w:ind w:left="420" w:firstLine="420"/>
    </w:pPr>
    <w:rPr>
      <w:kern w:val="0"/>
      <w:szCs w:val="21"/>
    </w:rPr>
  </w:style>
  <w:style w:type="paragraph" w:customStyle="1" w:styleId="158">
    <w:name w:val="表格标题"/>
    <w:basedOn w:val="150"/>
    <w:qFormat/>
    <w:uiPriority w:val="99"/>
    <w:pPr>
      <w:jc w:val="center"/>
    </w:pPr>
    <w:rPr>
      <w:b/>
      <w:bCs/>
      <w:i/>
      <w:iCs/>
    </w:rPr>
  </w:style>
  <w:style w:type="paragraph" w:customStyle="1" w:styleId="159">
    <w:name w:val="样式 标题 1 + 段后: 0.5 行"/>
    <w:basedOn w:val="6"/>
    <w:qFormat/>
    <w:uiPriority w:val="99"/>
    <w:pPr>
      <w:keepLines w:val="0"/>
      <w:spacing w:before="120" w:afterLines="50" w:line="240" w:lineRule="auto"/>
      <w:jc w:val="left"/>
    </w:pPr>
    <w:rPr>
      <w:rFonts w:ascii="宋体" w:cs="宋体"/>
      <w:kern w:val="0"/>
      <w:sz w:val="28"/>
    </w:rPr>
  </w:style>
  <w:style w:type="paragraph" w:customStyle="1" w:styleId="160">
    <w:name w:val="最新标题3"/>
    <w:basedOn w:val="161"/>
    <w:next w:val="162"/>
    <w:qFormat/>
    <w:uiPriority w:val="99"/>
  </w:style>
  <w:style w:type="paragraph" w:customStyle="1" w:styleId="161">
    <w:name w:val="样式 标题 3"/>
    <w:basedOn w:val="8"/>
    <w:next w:val="162"/>
    <w:qFormat/>
    <w:uiPriority w:val="99"/>
    <w:pPr>
      <w:keepLines w:val="0"/>
      <w:autoSpaceDE/>
      <w:autoSpaceDN/>
      <w:adjustRightInd/>
      <w:spacing w:before="120" w:afterLines="50"/>
    </w:pPr>
    <w:rPr>
      <w:rFonts w:cs="宋体"/>
      <w:bCs/>
      <w:u w:val="none"/>
    </w:rPr>
  </w:style>
  <w:style w:type="paragraph" w:customStyle="1" w:styleId="162">
    <w:name w:val="最新标题4"/>
    <w:basedOn w:val="154"/>
    <w:next w:val="1"/>
    <w:qFormat/>
    <w:uiPriority w:val="99"/>
    <w:pPr>
      <w:tabs>
        <w:tab w:val="clear" w:pos="2100"/>
      </w:tabs>
      <w:spacing w:after="120"/>
      <w:ind w:left="0" w:firstLine="0"/>
    </w:pPr>
  </w:style>
  <w:style w:type="paragraph" w:customStyle="1" w:styleId="163">
    <w:name w:val="Char Char Char1 Char Char Char Char"/>
    <w:basedOn w:val="1"/>
    <w:qFormat/>
    <w:uiPriority w:val="99"/>
    <w:rPr>
      <w:rFonts w:ascii="仿宋_GB2312" w:eastAsia="仿宋_GB2312"/>
      <w:b/>
      <w:sz w:val="32"/>
      <w:szCs w:val="32"/>
    </w:rPr>
  </w:style>
  <w:style w:type="paragraph" w:customStyle="1" w:styleId="164">
    <w:name w:val="样式 标题 3Chapter X.X.X. + 段后: 0.5 行"/>
    <w:basedOn w:val="8"/>
    <w:qFormat/>
    <w:uiPriority w:val="99"/>
    <w:pPr>
      <w:keepLines w:val="0"/>
      <w:autoSpaceDE/>
      <w:autoSpaceDN/>
      <w:adjustRightInd/>
      <w:spacing w:before="120" w:afterLines="50"/>
    </w:pPr>
    <w:rPr>
      <w:rFonts w:cs="宋体"/>
      <w:bCs/>
      <w:u w:val="none"/>
    </w:rPr>
  </w:style>
  <w:style w:type="paragraph" w:customStyle="1" w:styleId="165">
    <w:name w:val="样式 标题 2Chapter X.X. Statementh22Header 2l2Level 2 Headhea..."/>
    <w:basedOn w:val="7"/>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166">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7">
    <w:name w:val="标准标题3"/>
    <w:basedOn w:val="8"/>
    <w:qFormat/>
    <w:uiPriority w:val="99"/>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168">
    <w:name w:val="样式 样式 正文文本缩进 + 仿宋_GB2312 小四 首行缩进:  0 厘米 行距: 1.5 倍行距 + (中文) 仿宋_GB... Char Char"/>
    <w:basedOn w:val="126"/>
    <w:qFormat/>
    <w:uiPriority w:val="99"/>
    <w:pPr>
      <w:ind w:firstLine="480" w:firstLineChars="200"/>
    </w:pPr>
  </w:style>
  <w:style w:type="paragraph" w:customStyle="1" w:styleId="169">
    <w:name w:val="样式 标题 3Chapter X.X.X. + 段后: 0.5 行1"/>
    <w:basedOn w:val="8"/>
    <w:next w:val="1"/>
    <w:qFormat/>
    <w:uiPriority w:val="99"/>
    <w:pPr>
      <w:keepLines w:val="0"/>
      <w:autoSpaceDE/>
      <w:autoSpaceDN/>
      <w:adjustRightInd/>
      <w:spacing w:before="120" w:afterLines="50"/>
    </w:pPr>
    <w:rPr>
      <w:rFonts w:cs="宋体"/>
      <w:bCs/>
      <w:u w:val="none"/>
    </w:rPr>
  </w:style>
  <w:style w:type="paragraph" w:customStyle="1" w:styleId="170">
    <w:name w:val="最新标题1"/>
    <w:basedOn w:val="171"/>
    <w:next w:val="172"/>
    <w:qFormat/>
    <w:uiPriority w:val="99"/>
    <w:pPr>
      <w:tabs>
        <w:tab w:val="left" w:pos="1140"/>
      </w:tabs>
      <w:spacing w:after="120"/>
    </w:pPr>
    <w:rPr>
      <w:bCs/>
    </w:rPr>
  </w:style>
  <w:style w:type="paragraph" w:customStyle="1" w:styleId="171">
    <w:name w:val="样式 标题1"/>
    <w:basedOn w:val="159"/>
    <w:next w:val="172"/>
    <w:qFormat/>
    <w:uiPriority w:val="99"/>
    <w:pPr>
      <w:tabs>
        <w:tab w:val="left" w:pos="1140"/>
      </w:tabs>
      <w:spacing w:after="50"/>
      <w:ind w:left="1140" w:hanging="720"/>
    </w:pPr>
    <w:rPr>
      <w:sz w:val="32"/>
    </w:rPr>
  </w:style>
  <w:style w:type="paragraph" w:customStyle="1" w:styleId="172">
    <w:name w:val="最新标题2"/>
    <w:basedOn w:val="173"/>
    <w:next w:val="160"/>
    <w:qFormat/>
    <w:uiPriority w:val="99"/>
    <w:pPr>
      <w:spacing w:after="120"/>
    </w:pPr>
  </w:style>
  <w:style w:type="paragraph" w:customStyle="1" w:styleId="173">
    <w:name w:val="样式 标题 2"/>
    <w:basedOn w:val="7"/>
    <w:next w:val="160"/>
    <w:qFormat/>
    <w:uiPriority w:val="99"/>
    <w:pPr>
      <w:keepLines w:val="0"/>
      <w:spacing w:before="120" w:afterLines="50" w:line="240" w:lineRule="auto"/>
      <w:ind w:left="380" w:hanging="380"/>
      <w:jc w:val="left"/>
    </w:pPr>
    <w:rPr>
      <w:rFonts w:ascii="宋体" w:hAnsi="Times New Roman" w:eastAsia="宋体" w:cs="宋体"/>
      <w:kern w:val="0"/>
      <w:sz w:val="28"/>
    </w:rPr>
  </w:style>
  <w:style w:type="paragraph" w:customStyle="1" w:styleId="174">
    <w:name w:val="样式 样式 标题 3Chapter X.X.X. + 段后: 0.5 行 + 段后: 0.5 行"/>
    <w:basedOn w:val="164"/>
    <w:qFormat/>
    <w:uiPriority w:val="99"/>
  </w:style>
  <w:style w:type="paragraph" w:customStyle="1" w:styleId="175">
    <w:name w:val="样式 样式 样式 标题 3Chapter X.X.X. + 段后: 0.5 行 + 段后: 0.5 行 + 段后: 0.5 行"/>
    <w:basedOn w:val="174"/>
    <w:qFormat/>
    <w:uiPriority w:val="99"/>
  </w:style>
  <w:style w:type="paragraph" w:customStyle="1" w:styleId="176">
    <w:name w:val="Char Char Char"/>
    <w:basedOn w:val="1"/>
    <w:qFormat/>
    <w:uiPriority w:val="99"/>
    <w:rPr>
      <w:rFonts w:ascii="Tahoma" w:hAnsi="Tahoma"/>
      <w:sz w:val="24"/>
      <w:szCs w:val="20"/>
    </w:rPr>
  </w:style>
  <w:style w:type="paragraph" w:customStyle="1" w:styleId="177">
    <w:name w:val="IBM 正文"/>
    <w:basedOn w:val="1"/>
    <w:qFormat/>
    <w:uiPriority w:val="99"/>
    <w:pPr>
      <w:spacing w:line="360" w:lineRule="atLeast"/>
    </w:pPr>
    <w:rPr>
      <w:sz w:val="24"/>
      <w:szCs w:val="20"/>
    </w:rPr>
  </w:style>
  <w:style w:type="paragraph" w:customStyle="1" w:styleId="178">
    <w:name w:val="第1.3标题"/>
    <w:basedOn w:val="8"/>
    <w:next w:val="1"/>
    <w:qFormat/>
    <w:uiPriority w:val="99"/>
    <w:pPr>
      <w:keepNext w:val="0"/>
      <w:widowControl/>
      <w:spacing w:beforeLines="50" w:afterLines="50" w:line="360" w:lineRule="auto"/>
      <w:textAlignment w:val="baseline"/>
    </w:pPr>
    <w:rPr>
      <w:rFonts w:ascii="Times New Roman"/>
      <w:sz w:val="30"/>
      <w:u w:val="none"/>
    </w:rPr>
  </w:style>
  <w:style w:type="paragraph" w:customStyle="1" w:styleId="179">
    <w:name w:val="Paragraph1"/>
    <w:basedOn w:val="1"/>
    <w:qFormat/>
    <w:uiPriority w:val="99"/>
    <w:pPr>
      <w:spacing w:before="80" w:afterLines="50"/>
    </w:pPr>
    <w:rPr>
      <w:rFonts w:ascii="宋体"/>
      <w:kern w:val="0"/>
      <w:szCs w:val="20"/>
    </w:rPr>
  </w:style>
  <w:style w:type="paragraph" w:customStyle="1" w:styleId="180">
    <w:name w:val="Tabletext"/>
    <w:basedOn w:val="1"/>
    <w:qFormat/>
    <w:uiPriority w:val="99"/>
    <w:pPr>
      <w:keepLines/>
      <w:spacing w:afterLines="50"/>
      <w:jc w:val="left"/>
    </w:pPr>
    <w:rPr>
      <w:rFonts w:ascii="宋体"/>
      <w:kern w:val="0"/>
      <w:szCs w:val="20"/>
    </w:rPr>
  </w:style>
  <w:style w:type="paragraph" w:customStyle="1" w:styleId="181">
    <w:name w:val="Char"/>
    <w:basedOn w:val="1"/>
    <w:qFormat/>
    <w:uiPriority w:val="99"/>
    <w:rPr>
      <w:szCs w:val="20"/>
    </w:rPr>
  </w:style>
  <w:style w:type="paragraph" w:customStyle="1" w:styleId="182">
    <w:name w:val="Char Char7 Char"/>
    <w:basedOn w:val="1"/>
    <w:qFormat/>
    <w:uiPriority w:val="99"/>
    <w:pPr>
      <w:tabs>
        <w:tab w:val="left" w:pos="425"/>
      </w:tabs>
      <w:ind w:left="420" w:leftChars="200" w:firstLine="270" w:firstLineChars="150"/>
    </w:pPr>
    <w:rPr>
      <w:szCs w:val="20"/>
    </w:rPr>
  </w:style>
  <w:style w:type="paragraph" w:customStyle="1" w:styleId="18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185">
    <w:name w:val="此正文"/>
    <w:basedOn w:val="1"/>
    <w:qFormat/>
    <w:uiPriority w:val="99"/>
    <w:pPr>
      <w:spacing w:line="360" w:lineRule="auto"/>
      <w:ind w:firstLine="200" w:firstLineChars="200"/>
    </w:pPr>
    <w:rPr>
      <w:sz w:val="24"/>
      <w:szCs w:val="20"/>
    </w:rPr>
  </w:style>
  <w:style w:type="paragraph" w:customStyle="1" w:styleId="186">
    <w:name w:val="InfoBlue"/>
    <w:basedOn w:val="1"/>
    <w:next w:val="16"/>
    <w:qFormat/>
    <w:uiPriority w:val="99"/>
    <w:pPr>
      <w:spacing w:afterLines="50"/>
      <w:ind w:left="720"/>
      <w:jc w:val="left"/>
    </w:pPr>
    <w:rPr>
      <w:rFonts w:ascii="宋体"/>
      <w:i/>
      <w:color w:val="0000FF"/>
      <w:kern w:val="0"/>
      <w:szCs w:val="20"/>
    </w:rPr>
  </w:style>
  <w:style w:type="paragraph" w:customStyle="1" w:styleId="187">
    <w:name w:val="S4-B-L15"/>
    <w:basedOn w:val="1"/>
    <w:qFormat/>
    <w:uiPriority w:val="99"/>
    <w:pPr>
      <w:spacing w:line="360" w:lineRule="auto"/>
    </w:pPr>
    <w:rPr>
      <w:b/>
      <w:bCs/>
      <w:sz w:val="24"/>
    </w:rPr>
  </w:style>
  <w:style w:type="paragraph" w:customStyle="1" w:styleId="188">
    <w:name w:val="表格(五号)"/>
    <w:basedOn w:val="1"/>
    <w:qFormat/>
    <w:uiPriority w:val="99"/>
    <w:pPr>
      <w:adjustRightInd w:val="0"/>
      <w:snapToGrid w:val="0"/>
      <w:spacing w:line="300" w:lineRule="auto"/>
      <w:jc w:val="center"/>
    </w:pPr>
    <w:rPr>
      <w:kern w:val="0"/>
      <w:sz w:val="18"/>
      <w:szCs w:val="20"/>
    </w:rPr>
  </w:style>
  <w:style w:type="paragraph" w:customStyle="1" w:styleId="18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190">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191">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宋体"/>
      <w:color w:val="51585D"/>
      <w:kern w:val="0"/>
      <w:szCs w:val="18"/>
    </w:rPr>
  </w:style>
  <w:style w:type="paragraph" w:customStyle="1" w:styleId="192">
    <w:name w:val="Char1"/>
    <w:basedOn w:val="1"/>
    <w:qFormat/>
    <w:uiPriority w:val="99"/>
    <w:pPr>
      <w:tabs>
        <w:tab w:val="left" w:pos="432"/>
      </w:tabs>
      <w:spacing w:beforeLines="50" w:afterLines="50"/>
      <w:ind w:left="432" w:hanging="432"/>
    </w:pPr>
    <w:rPr>
      <w:sz w:val="24"/>
    </w:rPr>
  </w:style>
  <w:style w:type="paragraph" w:customStyle="1" w:styleId="193">
    <w:name w:val="样式 标题 2Chapter X.X. Statementh22Header 2l2Level 2 Headhea...1"/>
    <w:basedOn w:val="8"/>
    <w:qFormat/>
    <w:uiPriority w:val="99"/>
    <w:pPr>
      <w:keepLines w:val="0"/>
      <w:autoSpaceDE/>
      <w:autoSpaceDN/>
      <w:adjustRightInd/>
      <w:spacing w:before="120" w:afterLines="50"/>
    </w:pPr>
    <w:rPr>
      <w:rFonts w:cs="宋体"/>
      <w:bCs/>
      <w:u w:val="none"/>
    </w:rPr>
  </w:style>
  <w:style w:type="paragraph" w:customStyle="1" w:styleId="194">
    <w:name w:val="S4-L15"/>
    <w:basedOn w:val="1"/>
    <w:qFormat/>
    <w:uiPriority w:val="99"/>
    <w:pPr>
      <w:spacing w:after="120" w:line="360" w:lineRule="auto"/>
      <w:ind w:left="720" w:firstLine="392"/>
    </w:pPr>
    <w:rPr>
      <w:szCs w:val="21"/>
      <w:lang w:val="fr-FR"/>
    </w:rPr>
  </w:style>
  <w:style w:type="paragraph" w:customStyle="1" w:styleId="195">
    <w:name w:val="标准有序列表（L1）"/>
    <w:basedOn w:val="4"/>
    <w:qFormat/>
    <w:uiPriority w:val="99"/>
    <w:pPr>
      <w:tabs>
        <w:tab w:val="left" w:pos="0"/>
      </w:tabs>
      <w:spacing w:line="360" w:lineRule="auto"/>
      <w:ind w:firstLine="0"/>
    </w:pPr>
    <w:rPr>
      <w:rFonts w:ascii="黑体" w:eastAsia="黑体"/>
      <w:color w:val="000000"/>
      <w:sz w:val="24"/>
    </w:rPr>
  </w:style>
  <w:style w:type="paragraph" w:customStyle="1" w:styleId="196">
    <w:name w:val="Char Char Char Char Char"/>
    <w:basedOn w:val="1"/>
    <w:qFormat/>
    <w:uiPriority w:val="99"/>
    <w:pPr>
      <w:widowControl/>
      <w:adjustRightInd w:val="0"/>
      <w:ind w:firstLine="200" w:firstLineChars="200"/>
      <w:jc w:val="left"/>
      <w:textAlignment w:val="baseline"/>
    </w:pPr>
  </w:style>
  <w:style w:type="paragraph" w:customStyle="1" w:styleId="197">
    <w:name w:val="标题1"/>
    <w:basedOn w:val="27"/>
    <w:qFormat/>
    <w:uiPriority w:val="99"/>
    <w:pPr>
      <w:spacing w:beforeLines="0" w:afterLines="0" w:line="360" w:lineRule="auto"/>
    </w:pPr>
    <w:rPr>
      <w:b/>
      <w:sz w:val="30"/>
    </w:rPr>
  </w:style>
  <w:style w:type="paragraph" w:customStyle="1" w:styleId="198">
    <w:name w:val="沈标题四"/>
    <w:basedOn w:val="9"/>
    <w:next w:val="1"/>
    <w:qFormat/>
    <w:uiPriority w:val="99"/>
    <w:pPr>
      <w:keepNext w:val="0"/>
      <w:keepLines w:val="0"/>
      <w:spacing w:line="377" w:lineRule="auto"/>
    </w:pPr>
    <w:rPr>
      <w:rFonts w:ascii="Arial Narrow" w:hAnsi="Arial Narrow" w:eastAsia="方正姚体"/>
      <w:b w:val="0"/>
      <w:sz w:val="24"/>
      <w:szCs w:val="24"/>
    </w:rPr>
  </w:style>
  <w:style w:type="paragraph" w:customStyle="1" w:styleId="199">
    <w:name w:val="样式 标题 1 + 五号"/>
    <w:basedOn w:val="6"/>
    <w:qFormat/>
    <w:uiPriority w:val="99"/>
    <w:pPr>
      <w:spacing w:before="0" w:after="0" w:line="240" w:lineRule="auto"/>
      <w:jc w:val="center"/>
    </w:pPr>
    <w:rPr>
      <w:sz w:val="32"/>
      <w:szCs w:val="32"/>
    </w:rPr>
  </w:style>
  <w:style w:type="paragraph" w:customStyle="1" w:styleId="200">
    <w:name w:val="表格11"/>
    <w:basedOn w:val="1"/>
    <w:qFormat/>
    <w:uiPriority w:val="99"/>
    <w:pPr>
      <w:widowControl/>
      <w:jc w:val="center"/>
    </w:pPr>
    <w:rPr>
      <w:rFonts w:ascii="宋体" w:hAnsi="宋体" w:cs="宋体"/>
      <w:b/>
      <w:kern w:val="0"/>
      <w:szCs w:val="21"/>
    </w:rPr>
  </w:style>
  <w:style w:type="paragraph" w:customStyle="1" w:styleId="201">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02">
    <w:name w:val="样式 三号 加粗 段后: 0.5 行"/>
    <w:basedOn w:val="1"/>
    <w:qFormat/>
    <w:uiPriority w:val="99"/>
    <w:pPr>
      <w:spacing w:afterLines="50"/>
      <w:jc w:val="left"/>
    </w:pPr>
    <w:rPr>
      <w:rFonts w:ascii="宋体" w:cs="宋体"/>
      <w:b/>
      <w:bCs/>
      <w:kern w:val="0"/>
      <w:sz w:val="32"/>
      <w:szCs w:val="20"/>
    </w:rPr>
  </w:style>
  <w:style w:type="paragraph" w:customStyle="1" w:styleId="203">
    <w:name w:val="Char21"/>
    <w:basedOn w:val="1"/>
    <w:qFormat/>
    <w:uiPriority w:val="99"/>
  </w:style>
  <w:style w:type="paragraph" w:customStyle="1" w:styleId="204">
    <w:name w:val="标题 3Chapter X.X.X. + 段后: 0.5 行 + 段后: 0.5 行 + 段后: 0.5 行1"/>
    <w:basedOn w:val="174"/>
    <w:qFormat/>
    <w:uiPriority w:val="99"/>
  </w:style>
  <w:style w:type="paragraph" w:customStyle="1" w:styleId="205">
    <w:name w:val="S4-I-L15-U"/>
    <w:basedOn w:val="1"/>
    <w:qFormat/>
    <w:uiPriority w:val="99"/>
    <w:pPr>
      <w:spacing w:line="360" w:lineRule="auto"/>
    </w:pPr>
    <w:rPr>
      <w:b/>
      <w:i/>
      <w:sz w:val="24"/>
      <w:u w:val="single"/>
    </w:rPr>
  </w:style>
  <w:style w:type="paragraph" w:customStyle="1" w:styleId="206">
    <w:name w:val="Paragraph3"/>
    <w:basedOn w:val="1"/>
    <w:qFormat/>
    <w:uiPriority w:val="99"/>
    <w:pPr>
      <w:spacing w:before="80" w:afterLines="50"/>
      <w:ind w:left="1530"/>
    </w:pPr>
    <w:rPr>
      <w:rFonts w:ascii="宋体"/>
      <w:kern w:val="0"/>
      <w:szCs w:val="20"/>
    </w:rPr>
  </w:style>
  <w:style w:type="paragraph" w:customStyle="1" w:styleId="207">
    <w:name w:val="样式 样式 正文文本缩进 + 仿宋_GB2312 小四 首行缩进:  0 厘米 行距: 1.5 倍行距 + (中文) 仿宋_GB..."/>
    <w:basedOn w:val="126"/>
    <w:qFormat/>
    <w:uiPriority w:val="99"/>
    <w:pPr>
      <w:ind w:firstLine="480" w:firstLineChars="200"/>
    </w:pPr>
  </w:style>
  <w:style w:type="paragraph" w:customStyle="1" w:styleId="208">
    <w:name w:val="样式 标题 1 + 五号1 Char Char Char Char Char Char Char Char Char Char Char Char Char Char Char Char Char"/>
    <w:basedOn w:val="6"/>
    <w:qFormat/>
    <w:uiPriority w:val="99"/>
    <w:pPr>
      <w:spacing w:before="0" w:after="0" w:line="480" w:lineRule="auto"/>
    </w:pPr>
    <w:rPr>
      <w:sz w:val="21"/>
    </w:rPr>
  </w:style>
  <w:style w:type="paragraph" w:customStyle="1" w:styleId="209">
    <w:name w:val="纯文本1"/>
    <w:basedOn w:val="1"/>
    <w:qFormat/>
    <w:uiPriority w:val="99"/>
    <w:pPr>
      <w:adjustRightInd w:val="0"/>
    </w:pPr>
    <w:rPr>
      <w:rFonts w:ascii="宋体" w:hAnsi="Courier New" w:eastAsia="楷体_GB2312"/>
      <w:sz w:val="28"/>
      <w:szCs w:val="20"/>
    </w:rPr>
  </w:style>
  <w:style w:type="paragraph" w:customStyle="1" w:styleId="210">
    <w:name w:val="Table - Text"/>
    <w:basedOn w:val="1"/>
    <w:qFormat/>
    <w:uiPriority w:val="99"/>
    <w:pPr>
      <w:widowControl/>
      <w:spacing w:before="60" w:afterLines="50"/>
      <w:jc w:val="left"/>
    </w:pPr>
    <w:rPr>
      <w:kern w:val="0"/>
      <w:szCs w:val="20"/>
      <w:lang w:eastAsia="en-US"/>
    </w:rPr>
  </w:style>
  <w:style w:type="paragraph" w:customStyle="1" w:styleId="211">
    <w:name w:val="样式 标题 3(A-3)sect1.2.3h3H3level_3PIM 3Level 3 HeadHeading..."/>
    <w:basedOn w:val="8"/>
    <w:qFormat/>
    <w:uiPriority w:val="99"/>
    <w:pPr>
      <w:autoSpaceDE/>
      <w:autoSpaceDN/>
      <w:adjustRightInd/>
      <w:spacing w:before="260" w:after="260" w:line="416" w:lineRule="auto"/>
      <w:jc w:val="both"/>
    </w:pPr>
    <w:rPr>
      <w:rFonts w:ascii="Arial" w:hAnsi="Arial"/>
      <w:bCs/>
      <w:kern w:val="2"/>
      <w:sz w:val="30"/>
      <w:szCs w:val="32"/>
      <w:u w:val="none"/>
    </w:rPr>
  </w:style>
  <w:style w:type="paragraph" w:customStyle="1" w:styleId="212">
    <w:name w:val="表格正文"/>
    <w:basedOn w:val="1"/>
    <w:qFormat/>
    <w:uiPriority w:val="99"/>
    <w:pPr>
      <w:adjustRightInd w:val="0"/>
      <w:snapToGrid w:val="0"/>
      <w:spacing w:before="60" w:after="60"/>
      <w:jc w:val="center"/>
      <w:textAlignment w:val="baseline"/>
    </w:pPr>
    <w:rPr>
      <w:kern w:val="0"/>
      <w:sz w:val="24"/>
      <w:szCs w:val="20"/>
    </w:rPr>
  </w:style>
  <w:style w:type="paragraph" w:customStyle="1" w:styleId="213">
    <w:name w:val="Char Char Char Char Char Char Char Char Char"/>
    <w:basedOn w:val="1"/>
    <w:qFormat/>
    <w:uiPriority w:val="99"/>
    <w:rPr>
      <w:rFonts w:ascii="Tahoma" w:hAnsi="Tahoma" w:eastAsia="仿宋_GB2312"/>
      <w:sz w:val="24"/>
      <w:szCs w:val="20"/>
    </w:rPr>
  </w:style>
  <w:style w:type="paragraph" w:customStyle="1" w:styleId="214">
    <w:name w:val="列出段落1"/>
    <w:basedOn w:val="1"/>
    <w:qFormat/>
    <w:uiPriority w:val="99"/>
    <w:pPr>
      <w:ind w:firstLine="420" w:firstLineChars="200"/>
    </w:pPr>
    <w:rPr>
      <w:rFonts w:ascii="Calibri" w:hAnsi="Calibri"/>
      <w:szCs w:val="22"/>
    </w:rPr>
  </w:style>
  <w:style w:type="paragraph" w:customStyle="1" w:styleId="215">
    <w:name w:val="标准标题1"/>
    <w:basedOn w:val="6"/>
    <w:qFormat/>
    <w:uiPriority w:val="99"/>
    <w:pPr>
      <w:pageBreakBefore/>
      <w:tabs>
        <w:tab w:val="left" w:pos="1080"/>
      </w:tabs>
      <w:ind w:left="425" w:hanging="425"/>
    </w:pPr>
    <w:rPr>
      <w:rFonts w:eastAsia="仿宋_GB2312"/>
      <w:sz w:val="32"/>
    </w:rPr>
  </w:style>
  <w:style w:type="paragraph" w:customStyle="1" w:styleId="216">
    <w:name w:val="Char Char Char Char"/>
    <w:basedOn w:val="1"/>
    <w:qFormat/>
    <w:uiPriority w:val="99"/>
  </w:style>
  <w:style w:type="paragraph" w:customStyle="1" w:styleId="217">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218">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19">
    <w:name w:val="Bullet1"/>
    <w:basedOn w:val="1"/>
    <w:qFormat/>
    <w:uiPriority w:val="99"/>
    <w:pPr>
      <w:spacing w:afterLines="50"/>
      <w:ind w:left="720" w:hanging="432"/>
      <w:jc w:val="left"/>
    </w:pPr>
    <w:rPr>
      <w:rFonts w:ascii="宋体"/>
      <w:kern w:val="0"/>
      <w:szCs w:val="20"/>
    </w:rPr>
  </w:style>
  <w:style w:type="paragraph" w:customStyle="1" w:styleId="220">
    <w:name w:val="列出段落11"/>
    <w:basedOn w:val="1"/>
    <w:qFormat/>
    <w:uiPriority w:val="99"/>
    <w:pPr>
      <w:spacing w:line="360" w:lineRule="auto"/>
      <w:ind w:firstLine="420" w:firstLineChars="200"/>
      <w:jc w:val="left"/>
    </w:pPr>
    <w:rPr>
      <w:rFonts w:ascii="Calibri" w:hAnsi="Calibri"/>
      <w:sz w:val="24"/>
      <w:szCs w:val="22"/>
    </w:rPr>
  </w:style>
  <w:style w:type="paragraph" w:customStyle="1" w:styleId="22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222">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223">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224">
    <w:name w:val="列表内容"/>
    <w:basedOn w:val="1"/>
    <w:next w:val="1"/>
    <w:qFormat/>
    <w:uiPriority w:val="99"/>
    <w:pPr>
      <w:widowControl/>
      <w:tabs>
        <w:tab w:val="left" w:pos="840"/>
      </w:tabs>
      <w:ind w:left="840" w:hanging="420"/>
      <w:jc w:val="left"/>
    </w:pPr>
    <w:rPr>
      <w:kern w:val="0"/>
      <w:sz w:val="18"/>
      <w:szCs w:val="20"/>
    </w:rPr>
  </w:style>
  <w:style w:type="paragraph" w:customStyle="1" w:styleId="225">
    <w:name w:val="P2"/>
    <w:basedOn w:val="1"/>
    <w:qFormat/>
    <w:uiPriority w:val="99"/>
    <w:pPr>
      <w:widowControl/>
      <w:spacing w:before="240" w:line="240" w:lineRule="atLeast"/>
      <w:ind w:left="578"/>
      <w:jc w:val="left"/>
    </w:pPr>
    <w:rPr>
      <w:b/>
      <w:kern w:val="0"/>
      <w:szCs w:val="21"/>
      <w:lang w:val="en-AU" w:eastAsia="en-US"/>
    </w:rPr>
  </w:style>
  <w:style w:type="paragraph" w:customStyle="1" w:styleId="226">
    <w:name w:val="样式 标题 3Chapter X.X.X"/>
    <w:basedOn w:val="204"/>
    <w:qFormat/>
    <w:uiPriority w:val="99"/>
  </w:style>
  <w:style w:type="paragraph" w:customStyle="1" w:styleId="227">
    <w:name w:val="样式 左侧:  1 厘米 段后: 0.5 行"/>
    <w:basedOn w:val="1"/>
    <w:qFormat/>
    <w:uiPriority w:val="99"/>
    <w:pPr>
      <w:spacing w:afterLines="50"/>
      <w:ind w:firstLine="425"/>
      <w:jc w:val="left"/>
    </w:pPr>
    <w:rPr>
      <w:rFonts w:ascii="宋体" w:cs="宋体"/>
      <w:kern w:val="0"/>
      <w:szCs w:val="20"/>
    </w:rPr>
  </w:style>
  <w:style w:type="paragraph" w:customStyle="1" w:styleId="228">
    <w:name w:val="Style-正文"/>
    <w:basedOn w:val="1"/>
    <w:qFormat/>
    <w:uiPriority w:val="99"/>
    <w:pPr>
      <w:spacing w:line="360" w:lineRule="auto"/>
      <w:ind w:firstLine="420"/>
    </w:pPr>
    <w:rPr>
      <w:rFonts w:ascii="宋体" w:hAnsi="宋体"/>
      <w:sz w:val="24"/>
    </w:rPr>
  </w:style>
  <w:style w:type="paragraph" w:customStyle="1" w:styleId="229">
    <w:name w:val="Plain Text1"/>
    <w:basedOn w:val="1"/>
    <w:qFormat/>
    <w:uiPriority w:val="99"/>
    <w:pPr>
      <w:autoSpaceDE w:val="0"/>
      <w:autoSpaceDN w:val="0"/>
      <w:adjustRightInd w:val="0"/>
      <w:spacing w:line="360" w:lineRule="auto"/>
    </w:pPr>
    <w:rPr>
      <w:rFonts w:ascii="宋体" w:hAnsi="宋体"/>
      <w:sz w:val="24"/>
      <w:szCs w:val="20"/>
    </w:rPr>
  </w:style>
  <w:style w:type="paragraph" w:customStyle="1" w:styleId="230">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231">
    <w:name w:val="样式 模板描述"/>
    <w:basedOn w:val="1"/>
    <w:next w:val="156"/>
    <w:qFormat/>
    <w:uiPriority w:val="99"/>
    <w:pPr>
      <w:spacing w:afterLines="50"/>
      <w:jc w:val="left"/>
    </w:pPr>
    <w:rPr>
      <w:rFonts w:ascii="宋体" w:cs="宋体"/>
      <w:i/>
      <w:iCs/>
      <w:color w:val="0000FF"/>
      <w:kern w:val="0"/>
      <w:szCs w:val="21"/>
    </w:rPr>
  </w:style>
  <w:style w:type="paragraph" w:customStyle="1" w:styleId="232">
    <w:name w:val="Char2"/>
    <w:basedOn w:val="1"/>
    <w:qFormat/>
    <w:uiPriority w:val="99"/>
    <w:pPr>
      <w:tabs>
        <w:tab w:val="left" w:pos="432"/>
      </w:tabs>
      <w:spacing w:beforeLines="50" w:afterLines="50"/>
      <w:ind w:left="432" w:hanging="432"/>
    </w:pPr>
    <w:rPr>
      <w:sz w:val="24"/>
    </w:rPr>
  </w:style>
  <w:style w:type="paragraph" w:customStyle="1" w:styleId="233">
    <w:name w:val="Bullet2"/>
    <w:basedOn w:val="1"/>
    <w:qFormat/>
    <w:uiPriority w:val="99"/>
    <w:pPr>
      <w:spacing w:afterLines="50"/>
      <w:ind w:left="1440" w:hanging="360"/>
      <w:jc w:val="left"/>
    </w:pPr>
    <w:rPr>
      <w:rFonts w:ascii="宋体"/>
      <w:color w:val="000080"/>
      <w:kern w:val="0"/>
      <w:szCs w:val="20"/>
    </w:rPr>
  </w:style>
  <w:style w:type="paragraph" w:customStyle="1" w:styleId="234">
    <w:name w:val="S4-I-U-L15-No-dot"/>
    <w:basedOn w:val="1"/>
    <w:qFormat/>
    <w:uiPriority w:val="99"/>
    <w:pPr>
      <w:tabs>
        <w:tab w:val="left" w:pos="1112"/>
      </w:tabs>
      <w:spacing w:after="120" w:line="360" w:lineRule="auto"/>
      <w:ind w:left="1112" w:hanging="420"/>
    </w:pPr>
    <w:rPr>
      <w:i/>
      <w:sz w:val="24"/>
      <w:u w:val="single"/>
    </w:rPr>
  </w:style>
  <w:style w:type="paragraph" w:customStyle="1" w:styleId="235">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6">
    <w:name w:val="样式 样式 标题 4 + 段后: 0.5 行1"/>
    <w:basedOn w:val="153"/>
    <w:next w:val="30"/>
    <w:qFormat/>
    <w:uiPriority w:val="99"/>
    <w:pPr>
      <w:spacing w:after="120"/>
    </w:pPr>
  </w:style>
  <w:style w:type="paragraph" w:customStyle="1" w:styleId="237">
    <w:name w:val="文档正文"/>
    <w:basedOn w:val="1"/>
    <w:qFormat/>
    <w:uiPriority w:val="99"/>
    <w:pPr>
      <w:adjustRightInd w:val="0"/>
      <w:spacing w:line="440" w:lineRule="exact"/>
      <w:ind w:firstLine="567"/>
      <w:textAlignment w:val="baseline"/>
    </w:pPr>
    <w:rPr>
      <w:rFonts w:ascii="Arial Narrow" w:hAnsi="Arial Narrow"/>
      <w:kern w:val="0"/>
      <w:sz w:val="24"/>
    </w:rPr>
  </w:style>
  <w:style w:type="paragraph" w:customStyle="1" w:styleId="238">
    <w:name w:val="文本框内文字"/>
    <w:basedOn w:val="1"/>
    <w:qFormat/>
    <w:uiPriority w:val="99"/>
    <w:pPr>
      <w:spacing w:line="240" w:lineRule="atLeast"/>
    </w:pPr>
    <w:rPr>
      <w:rFonts w:eastAsia="仿宋_GB2312"/>
      <w:sz w:val="22"/>
    </w:rPr>
  </w:style>
  <w:style w:type="paragraph" w:customStyle="1" w:styleId="239">
    <w:name w:val="样式 样式 标题 4 + 段后: 0.5 行 + 段后: 0.5 行"/>
    <w:basedOn w:val="153"/>
    <w:qFormat/>
    <w:uiPriority w:val="99"/>
  </w:style>
  <w:style w:type="paragraph" w:customStyle="1" w:styleId="240">
    <w:name w:val="Figure Description"/>
    <w:next w:val="1"/>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241">
    <w:name w:val="paragraph1"/>
    <w:basedOn w:val="1"/>
    <w:qFormat/>
    <w:uiPriority w:val="99"/>
    <w:pPr>
      <w:spacing w:afterLines="30" w:line="360" w:lineRule="auto"/>
      <w:ind w:firstLine="420" w:firstLineChars="200"/>
    </w:pPr>
    <w:rPr>
      <w:rFonts w:eastAsia="楷体_GB2312"/>
      <w:sz w:val="24"/>
      <w:szCs w:val="20"/>
    </w:rPr>
  </w:style>
  <w:style w:type="paragraph" w:customStyle="1" w:styleId="242">
    <w:name w:val="S4-L15-No"/>
    <w:basedOn w:val="194"/>
    <w:qFormat/>
    <w:uiPriority w:val="99"/>
    <w:pPr>
      <w:tabs>
        <w:tab w:val="left" w:pos="720"/>
      </w:tabs>
      <w:ind w:hanging="720"/>
    </w:pPr>
  </w:style>
  <w:style w:type="paragraph" w:customStyle="1" w:styleId="243">
    <w:name w:val="广咨正文"/>
    <w:basedOn w:val="1"/>
    <w:qFormat/>
    <w:uiPriority w:val="99"/>
    <w:pPr>
      <w:snapToGrid w:val="0"/>
      <w:spacing w:line="360" w:lineRule="auto"/>
      <w:ind w:firstLine="480" w:firstLineChars="200"/>
    </w:pPr>
    <w:rPr>
      <w:szCs w:val="20"/>
    </w:rPr>
  </w:style>
  <w:style w:type="paragraph" w:customStyle="1" w:styleId="244">
    <w:name w:val="样式 样式3 + 宋体 五号 Char Char Char"/>
    <w:basedOn w:val="1"/>
    <w:qFormat/>
    <w:uiPriority w:val="99"/>
    <w:pPr>
      <w:keepNext/>
      <w:keepLines/>
      <w:tabs>
        <w:tab w:val="left" w:pos="1050"/>
      </w:tabs>
      <w:ind w:left="1050" w:hanging="450"/>
      <w:jc w:val="left"/>
      <w:outlineLvl w:val="7"/>
    </w:pPr>
    <w:rPr>
      <w:rFonts w:ascii="宋体" w:hAnsi="宋体"/>
      <w:b/>
      <w:bCs/>
    </w:rPr>
  </w:style>
  <w:style w:type="paragraph" w:customStyle="1" w:styleId="245">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46">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247">
    <w:name w:val="正文2"/>
    <w:basedOn w:val="1"/>
    <w:qFormat/>
    <w:uiPriority w:val="99"/>
    <w:pPr>
      <w:spacing w:beforeLines="50" w:afterLines="50" w:line="360" w:lineRule="auto"/>
      <w:ind w:firstLine="480" w:firstLineChars="200"/>
    </w:pPr>
    <w:rPr>
      <w:rFonts w:ascii="仿宋_GB2312"/>
      <w:sz w:val="24"/>
      <w:szCs w:val="20"/>
    </w:rPr>
  </w:style>
  <w:style w:type="paragraph" w:customStyle="1" w:styleId="248">
    <w:name w:val="列出段落2"/>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249">
    <w:name w:val="正文段"/>
    <w:basedOn w:val="1"/>
    <w:qFormat/>
    <w:uiPriority w:val="99"/>
    <w:pPr>
      <w:widowControl/>
      <w:snapToGrid w:val="0"/>
      <w:spacing w:afterLines="50"/>
      <w:ind w:firstLine="200" w:firstLineChars="200"/>
    </w:pPr>
    <w:rPr>
      <w:kern w:val="0"/>
      <w:sz w:val="24"/>
      <w:szCs w:val="20"/>
    </w:rPr>
  </w:style>
  <w:style w:type="paragraph" w:customStyle="1" w:styleId="250">
    <w:name w:val="正文 1.5 倍行距"/>
    <w:basedOn w:val="1"/>
    <w:qFormat/>
    <w:uiPriority w:val="99"/>
    <w:pPr>
      <w:autoSpaceDE w:val="0"/>
      <w:autoSpaceDN w:val="0"/>
      <w:adjustRightInd w:val="0"/>
      <w:spacing w:line="360" w:lineRule="auto"/>
      <w:ind w:firstLine="200" w:firstLineChars="200"/>
      <w:textAlignment w:val="baseline"/>
    </w:pPr>
    <w:rPr>
      <w:kern w:val="0"/>
      <w:sz w:val="28"/>
      <w:szCs w:val="20"/>
    </w:rPr>
  </w:style>
  <w:style w:type="paragraph" w:customStyle="1" w:styleId="251">
    <w:name w:val="Bullet"/>
    <w:basedOn w:val="1"/>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252">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253">
    <w:name w:val="样式 标题 4Chapter X.X.X. + 段后: 0.5 行1 + 段后: 0.5 行"/>
    <w:basedOn w:val="147"/>
    <w:qFormat/>
    <w:uiPriority w:val="99"/>
    <w:rPr>
      <w:szCs w:val="21"/>
    </w:rPr>
  </w:style>
  <w:style w:type="paragraph" w:customStyle="1" w:styleId="254">
    <w:name w:val="P1"/>
    <w:basedOn w:val="1"/>
    <w:qFormat/>
    <w:uiPriority w:val="99"/>
    <w:pPr>
      <w:widowControl/>
      <w:spacing w:before="240" w:line="240" w:lineRule="atLeast"/>
      <w:jc w:val="left"/>
    </w:pPr>
    <w:rPr>
      <w:b/>
      <w:kern w:val="0"/>
      <w:szCs w:val="21"/>
      <w:lang w:val="en-AU" w:eastAsia="en-US"/>
    </w:rPr>
  </w:style>
  <w:style w:type="paragraph" w:customStyle="1" w:styleId="255">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56">
    <w:name w:val="Char3 Char Char Char1"/>
    <w:basedOn w:val="1"/>
    <w:qFormat/>
    <w:uiPriority w:val="99"/>
    <w:pPr>
      <w:widowControl/>
      <w:spacing w:after="160" w:line="240" w:lineRule="exact"/>
      <w:jc w:val="left"/>
    </w:pPr>
  </w:style>
  <w:style w:type="paragraph" w:customStyle="1" w:styleId="257">
    <w:name w:val="默认段落字体 Para Char Char Char Char Char Char Char Char Char1 Char Char Char Char"/>
    <w:basedOn w:val="1"/>
    <w:qFormat/>
    <w:uiPriority w:val="99"/>
    <w:rPr>
      <w:rFonts w:ascii="Tahoma" w:hAnsi="Tahoma"/>
      <w:sz w:val="24"/>
      <w:szCs w:val="20"/>
    </w:rPr>
  </w:style>
  <w:style w:type="paragraph" w:styleId="258">
    <w:name w:val="List Paragraph"/>
    <w:basedOn w:val="1"/>
    <w:link w:val="259"/>
    <w:qFormat/>
    <w:uiPriority w:val="99"/>
    <w:pPr>
      <w:ind w:firstLine="420" w:firstLineChars="200"/>
    </w:pPr>
    <w:rPr>
      <w:rFonts w:ascii="Calibri" w:hAnsi="Calibri"/>
      <w:sz w:val="24"/>
      <w:szCs w:val="20"/>
    </w:rPr>
  </w:style>
  <w:style w:type="character" w:customStyle="1" w:styleId="259">
    <w:name w:val="列出段落 Char"/>
    <w:link w:val="258"/>
    <w:qFormat/>
    <w:locked/>
    <w:uiPriority w:val="99"/>
    <w:rPr>
      <w:kern w:val="2"/>
      <w:sz w:val="24"/>
    </w:rPr>
  </w:style>
  <w:style w:type="character" w:customStyle="1" w:styleId="260">
    <w:name w:val="apple-converted-space"/>
    <w:basedOn w:val="47"/>
    <w:qFormat/>
    <w:uiPriority w:val="99"/>
    <w:rPr>
      <w:rFonts w:cs="Times New Roman"/>
    </w:rPr>
  </w:style>
  <w:style w:type="character" w:customStyle="1" w:styleId="261">
    <w:name w:val="标题 2 Char1"/>
    <w:qFormat/>
    <w:uiPriority w:val="99"/>
    <w:rPr>
      <w:rFonts w:ascii="Arial" w:hAnsi="Arial" w:eastAsia="宋体"/>
      <w:b/>
      <w:kern w:val="2"/>
      <w:sz w:val="32"/>
      <w:lang w:val="en-US" w:eastAsia="zh-CN"/>
    </w:rPr>
  </w:style>
  <w:style w:type="paragraph" w:customStyle="1" w:styleId="262">
    <w:name w:val="msonormal 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3">
    <w:name w:val="msoplaintext msoplain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4">
    <w:name w:val="壹"/>
    <w:basedOn w:val="265"/>
    <w:qFormat/>
    <w:uiPriority w:val="99"/>
    <w:pPr>
      <w:numPr>
        <w:ilvl w:val="0"/>
        <w:numId w:val="1"/>
      </w:numPr>
    </w:pPr>
  </w:style>
  <w:style w:type="paragraph" w:customStyle="1" w:styleId="265">
    <w:name w:val="一级标题"/>
    <w:basedOn w:val="1"/>
    <w:qFormat/>
    <w:uiPriority w:val="99"/>
    <w:pPr>
      <w:spacing w:line="360" w:lineRule="auto"/>
      <w:jc w:val="center"/>
      <w:outlineLvl w:val="0"/>
    </w:pPr>
    <w:rPr>
      <w:rFonts w:eastAsia="黑体"/>
      <w:b/>
      <w:sz w:val="36"/>
    </w:rPr>
  </w:style>
  <w:style w:type="paragraph" w:customStyle="1" w:styleId="266">
    <w:name w:val="贰"/>
    <w:basedOn w:val="267"/>
    <w:qFormat/>
    <w:uiPriority w:val="99"/>
    <w:pPr>
      <w:numPr>
        <w:ilvl w:val="1"/>
        <w:numId w:val="1"/>
      </w:numPr>
    </w:pPr>
    <w:rPr>
      <w:sz w:val="32"/>
    </w:rPr>
  </w:style>
  <w:style w:type="paragraph" w:customStyle="1" w:styleId="267">
    <w:name w:val="二级标题"/>
    <w:basedOn w:val="1"/>
    <w:qFormat/>
    <w:uiPriority w:val="99"/>
    <w:pPr>
      <w:widowControl/>
      <w:autoSpaceDE w:val="0"/>
      <w:autoSpaceDN w:val="0"/>
      <w:adjustRightInd w:val="0"/>
      <w:spacing w:line="360" w:lineRule="auto"/>
      <w:jc w:val="left"/>
      <w:outlineLvl w:val="1"/>
    </w:pPr>
    <w:rPr>
      <w:rFonts w:ascii="宋体" w:hAnsi="宋体" w:eastAsia="黑体"/>
      <w:b/>
      <w:kern w:val="0"/>
      <w:sz w:val="30"/>
      <w:szCs w:val="28"/>
    </w:rPr>
  </w:style>
  <w:style w:type="paragraph" w:customStyle="1" w:styleId="268">
    <w:name w:val="叁"/>
    <w:basedOn w:val="1"/>
    <w:qFormat/>
    <w:uiPriority w:val="99"/>
    <w:pPr>
      <w:numPr>
        <w:ilvl w:val="2"/>
        <w:numId w:val="1"/>
      </w:numPr>
      <w:spacing w:line="360" w:lineRule="auto"/>
      <w:outlineLvl w:val="2"/>
    </w:pPr>
    <w:rPr>
      <w:rFonts w:eastAsia="黑体"/>
      <w:b/>
      <w:sz w:val="30"/>
    </w:rPr>
  </w:style>
  <w:style w:type="paragraph" w:customStyle="1" w:styleId="269">
    <w:name w:val="肆"/>
    <w:basedOn w:val="268"/>
    <w:qFormat/>
    <w:uiPriority w:val="99"/>
    <w:pPr>
      <w:numPr>
        <w:ilvl w:val="3"/>
      </w:numPr>
      <w:ind w:left="360" w:hanging="360"/>
      <w:outlineLvl w:val="3"/>
    </w:pPr>
    <w:rPr>
      <w:sz w:val="28"/>
    </w:rPr>
  </w:style>
  <w:style w:type="character" w:customStyle="1" w:styleId="270">
    <w:name w:val="font01"/>
    <w:basedOn w:val="47"/>
    <w:qFormat/>
    <w:uiPriority w:val="99"/>
    <w:rPr>
      <w:rFonts w:ascii="宋体" w:hAnsi="宋体" w:eastAsia="宋体" w:cs="宋体"/>
      <w:color w:val="000000"/>
      <w:sz w:val="21"/>
      <w:szCs w:val="21"/>
      <w:u w:val="none"/>
    </w:rPr>
  </w:style>
  <w:style w:type="character" w:customStyle="1" w:styleId="271">
    <w:name w:val="font11"/>
    <w:basedOn w:val="47"/>
    <w:qFormat/>
    <w:uiPriority w:val="99"/>
    <w:rPr>
      <w:rFonts w:ascii="微软雅黑" w:hAnsi="微软雅黑" w:eastAsia="微软雅黑" w:cs="微软雅黑"/>
      <w:color w:val="000000"/>
      <w:sz w:val="22"/>
      <w:szCs w:val="22"/>
      <w:u w:val="none"/>
    </w:rPr>
  </w:style>
  <w:style w:type="paragraph" w:customStyle="1" w:styleId="27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character" w:customStyle="1" w:styleId="274">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52</Pages>
  <Words>3000</Words>
  <Characters>3925</Characters>
  <Lines>21</Lines>
  <Paragraphs>44</Paragraphs>
  <TotalTime>51</TotalTime>
  <ScaleCrop>false</ScaleCrop>
  <LinksUpToDate>false</LinksUpToDate>
  <CharactersWithSpaces>4198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2020-01-13T11:16:00Z</dcterms:created>
  <dc:creator>Administrator</dc:creator>
  <cp:lastModifiedBy>54398</cp:lastModifiedBy>
  <cp:lastPrinted>2025-04-27T09:12:11Z</cp:lastPrinted>
  <dcterms:modified xsi:type="dcterms:W3CDTF">2025-04-27T09:28:32Z</dcterms:modified>
  <dc:title>东阳市湖溪镇美丽城镇、旅游风情小镇</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03412DE812384A219A53819EC387F5F1_13</vt:lpwstr>
  </property>
  <property fmtid="{D5CDD505-2E9C-101B-9397-08002B2CF9AE}" pid="4" name="commondata">
    <vt:lpwstr>eyJoZGlkIjoiMWQ4NGNlZTVlZjNlNzdiMThjOWI1ZTQ4YzY4NGIzZjEifQ==</vt:lpwstr>
  </property>
  <property fmtid="{D5CDD505-2E9C-101B-9397-08002B2CF9AE}" pid="5" name="KSOTemplateDocerSaveRecord">
    <vt:lpwstr>eyJoZGlkIjoiOWQ1YmEyMTY5NDk4MDE5MzA2YmMyNjYyN2VhZjE0MjAifQ==</vt:lpwstr>
  </property>
</Properties>
</file>