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bidi w:val="0"/>
      </w:pPr>
    </w:p>
    <w:p>
      <w:pPr>
        <w:pStyle w:val="31"/>
        <w:widowControl w:val="0"/>
        <w:snapToGrid w:val="0"/>
        <w:spacing w:before="120" w:after="120" w:line="360" w:lineRule="auto"/>
        <w:jc w:val="center"/>
        <w:rPr>
          <w:rFonts w:ascii="Times New Roman" w:hAnsi="Times New Roman" w:cs="Times New Roman"/>
          <w:b/>
          <w:bCs/>
          <w:sz w:val="32"/>
          <w:szCs w:val="32"/>
        </w:rPr>
      </w:pPr>
    </w:p>
    <w:p>
      <w:pPr>
        <w:pStyle w:val="31"/>
        <w:widowControl w:val="0"/>
        <w:snapToGrid w:val="0"/>
        <w:spacing w:before="120" w:after="120" w:line="360" w:lineRule="auto"/>
        <w:jc w:val="center"/>
        <w:rPr>
          <w:rFonts w:ascii="Times New Roman" w:hAnsi="Times New Roman" w:cs="Times New Roman"/>
          <w:b/>
          <w:bCs/>
          <w:sz w:val="32"/>
          <w:szCs w:val="32"/>
        </w:rPr>
      </w:pPr>
    </w:p>
    <w:p>
      <w:pPr>
        <w:pStyle w:val="31"/>
        <w:widowControl w:val="0"/>
        <w:jc w:val="center"/>
        <w:rPr>
          <w:rFonts w:ascii="Times New Roman" w:hAnsi="Times New Roman" w:cs="Times New Roman"/>
          <w:b/>
          <w:bCs/>
          <w:sz w:val="52"/>
          <w:szCs w:val="52"/>
        </w:rPr>
      </w:pPr>
      <w:bookmarkStart w:id="0" w:name="OLE_LINK2"/>
      <w:r>
        <w:rPr>
          <w:rFonts w:hint="eastAsia" w:ascii="Times New Roman" w:hAnsi="Times New Roman" w:cs="Times New Roman"/>
          <w:b/>
          <w:bCs/>
          <w:sz w:val="52"/>
          <w:szCs w:val="52"/>
        </w:rPr>
        <w:t>义乌市人民政府城西街道办事处6个办公区</w:t>
      </w:r>
      <w:r>
        <w:rPr>
          <w:rFonts w:hint="eastAsia" w:ascii="Times New Roman" w:hAnsi="Times New Roman" w:cs="Times New Roman"/>
          <w:b/>
          <w:bCs/>
          <w:sz w:val="52"/>
          <w:szCs w:val="52"/>
          <w:lang w:val="en-US" w:eastAsia="zh-CN"/>
        </w:rPr>
        <w:t>域</w:t>
      </w:r>
      <w:r>
        <w:rPr>
          <w:rFonts w:hint="eastAsia" w:ascii="Times New Roman" w:hAnsi="Times New Roman" w:cs="Times New Roman"/>
          <w:b/>
          <w:bCs/>
          <w:sz w:val="52"/>
          <w:szCs w:val="52"/>
        </w:rPr>
        <w:t>安保及保洁服务采购项目</w:t>
      </w:r>
    </w:p>
    <w:bookmarkEnd w:id="0"/>
    <w:p>
      <w:pPr>
        <w:widowControl w:val="0"/>
        <w:spacing w:line="360" w:lineRule="auto"/>
        <w:jc w:val="center"/>
        <w:rPr>
          <w:b/>
          <w:sz w:val="48"/>
          <w:szCs w:val="48"/>
        </w:rPr>
      </w:pPr>
    </w:p>
    <w:p>
      <w:pPr>
        <w:widowControl w:val="0"/>
        <w:spacing w:line="360" w:lineRule="auto"/>
        <w:jc w:val="center"/>
        <w:rPr>
          <w:b/>
          <w:sz w:val="48"/>
          <w:szCs w:val="48"/>
        </w:rPr>
      </w:pPr>
    </w:p>
    <w:p>
      <w:pPr>
        <w:widowControl w:val="0"/>
        <w:spacing w:line="360" w:lineRule="auto"/>
        <w:jc w:val="center"/>
        <w:rPr>
          <w:sz w:val="84"/>
          <w:szCs w:val="84"/>
        </w:rPr>
      </w:pPr>
      <w:r>
        <w:rPr>
          <w:rFonts w:hint="eastAsia"/>
          <w:sz w:val="84"/>
          <w:szCs w:val="84"/>
        </w:rPr>
        <w:t>招标文件</w:t>
      </w:r>
    </w:p>
    <w:p>
      <w:pPr>
        <w:widowControl w:val="0"/>
        <w:spacing w:line="360" w:lineRule="auto"/>
        <w:jc w:val="center"/>
        <w:rPr>
          <w:sz w:val="72"/>
          <w:szCs w:val="72"/>
        </w:rPr>
      </w:pPr>
    </w:p>
    <w:p>
      <w:pPr>
        <w:widowControl w:val="0"/>
        <w:spacing w:line="360" w:lineRule="auto"/>
        <w:jc w:val="center"/>
        <w:rPr>
          <w:sz w:val="72"/>
          <w:szCs w:val="72"/>
        </w:rPr>
      </w:pPr>
    </w:p>
    <w:p>
      <w:pPr>
        <w:pStyle w:val="31"/>
        <w:widowControl w:val="0"/>
        <w:snapToGrid w:val="0"/>
        <w:spacing w:before="120" w:after="120" w:line="360" w:lineRule="auto"/>
        <w:jc w:val="center"/>
        <w:rPr>
          <w:rFonts w:ascii="Times New Roman" w:hAnsi="Times New Roman" w:cs="Times New Roman"/>
          <w:b/>
          <w:bCs/>
          <w:sz w:val="32"/>
          <w:szCs w:val="32"/>
        </w:rPr>
      </w:pPr>
      <w:r>
        <w:rPr>
          <w:rFonts w:hint="eastAsia" w:ascii="Times New Roman" w:hAnsi="Times New Roman" w:cs="Times New Roman"/>
          <w:b/>
          <w:bCs/>
          <w:sz w:val="32"/>
          <w:szCs w:val="32"/>
        </w:rPr>
        <w:t>采购编号：</w:t>
      </w:r>
      <w:bookmarkStart w:id="1" w:name="OLE_LINK3"/>
      <w:r>
        <w:rPr>
          <w:rFonts w:hint="eastAsia" w:ascii="Times New Roman" w:hAnsi="Times New Roman" w:cs="Times New Roman"/>
          <w:b/>
          <w:bCs/>
          <w:sz w:val="32"/>
          <w:szCs w:val="32"/>
        </w:rPr>
        <w:t>YWCG2025001GK</w:t>
      </w:r>
      <w:bookmarkEnd w:id="1"/>
    </w:p>
    <w:p>
      <w:pPr>
        <w:widowControl w:val="0"/>
        <w:snapToGrid w:val="0"/>
        <w:spacing w:line="360" w:lineRule="auto"/>
        <w:jc w:val="center"/>
        <w:rPr>
          <w:sz w:val="30"/>
          <w:szCs w:val="72"/>
        </w:rPr>
      </w:pPr>
    </w:p>
    <w:p>
      <w:pPr>
        <w:widowControl w:val="0"/>
        <w:snapToGrid w:val="0"/>
        <w:spacing w:line="360" w:lineRule="auto"/>
        <w:jc w:val="center"/>
        <w:rPr>
          <w:sz w:val="30"/>
          <w:szCs w:val="72"/>
        </w:rPr>
      </w:pPr>
    </w:p>
    <w:p>
      <w:pPr>
        <w:widowControl w:val="0"/>
        <w:snapToGrid w:val="0"/>
        <w:spacing w:line="360" w:lineRule="auto"/>
        <w:jc w:val="center"/>
        <w:rPr>
          <w:sz w:val="30"/>
          <w:szCs w:val="72"/>
        </w:rPr>
      </w:pPr>
    </w:p>
    <w:p>
      <w:pPr>
        <w:widowControl w:val="0"/>
        <w:snapToGrid w:val="0"/>
        <w:spacing w:line="360" w:lineRule="auto"/>
        <w:jc w:val="center"/>
        <w:rPr>
          <w:rFonts w:hint="eastAsia" w:ascii="Times New Roman" w:hAnsi="Times New Roman" w:eastAsia="宋体" w:cs="Times New Roman"/>
          <w:b/>
          <w:bCs/>
          <w:kern w:val="2"/>
          <w:sz w:val="32"/>
          <w:szCs w:val="32"/>
          <w:lang w:val="en-US" w:eastAsia="zh-CN" w:bidi="ar-SA"/>
        </w:rPr>
      </w:pPr>
      <w:r>
        <w:rPr>
          <w:rFonts w:hint="eastAsia"/>
          <w:b/>
          <w:bCs/>
          <w:sz w:val="32"/>
          <w:szCs w:val="32"/>
        </w:rPr>
        <w:t>采购人：义乌市</w:t>
      </w:r>
      <w:r>
        <w:rPr>
          <w:rFonts w:hint="eastAsia" w:ascii="Times New Roman" w:hAnsi="Times New Roman" w:eastAsia="宋体" w:cs="Times New Roman"/>
          <w:b/>
          <w:bCs/>
          <w:kern w:val="2"/>
          <w:sz w:val="32"/>
          <w:szCs w:val="32"/>
          <w:lang w:val="en-US" w:eastAsia="zh-CN" w:bidi="ar-SA"/>
        </w:rPr>
        <w:t>人民政府城西街道办事处</w:t>
      </w:r>
    </w:p>
    <w:p>
      <w:pPr>
        <w:pStyle w:val="31"/>
        <w:widowControl w:val="0"/>
        <w:jc w:val="center"/>
        <w:rPr>
          <w:rFonts w:ascii="Times New Roman" w:hAnsi="Times New Roman" w:cs="Times New Roman"/>
          <w:b/>
          <w:bCs/>
          <w:sz w:val="32"/>
          <w:szCs w:val="32"/>
        </w:rPr>
      </w:pPr>
      <w:r>
        <w:rPr>
          <w:rFonts w:hint="eastAsia" w:ascii="Times New Roman" w:hAnsi="Times New Roman" w:cs="Times New Roman"/>
          <w:b/>
          <w:bCs/>
          <w:sz w:val="32"/>
          <w:szCs w:val="32"/>
        </w:rPr>
        <w:t>采购代理机构：义乌市政府采购中心</w:t>
      </w:r>
    </w:p>
    <w:p>
      <w:pPr>
        <w:pStyle w:val="31"/>
        <w:widowControl w:val="0"/>
        <w:snapToGrid w:val="0"/>
        <w:spacing w:before="120" w:after="120" w:line="360" w:lineRule="auto"/>
        <w:jc w:val="center"/>
        <w:rPr>
          <w:rFonts w:ascii="Times New Roman" w:hAnsi="Times New Roman" w:cs="Times New Roman"/>
          <w:b/>
          <w:bCs/>
          <w:sz w:val="32"/>
          <w:szCs w:val="32"/>
        </w:rPr>
      </w:pPr>
      <w:r>
        <w:rPr>
          <w:rFonts w:ascii="Times New Roman" w:hAnsi="Times New Roman" w:cs="Times New Roman"/>
          <w:b/>
          <w:bCs/>
          <w:sz w:val="32"/>
          <w:szCs w:val="32"/>
        </w:rPr>
        <w:t>202</w:t>
      </w:r>
      <w:r>
        <w:rPr>
          <w:rFonts w:hint="default" w:ascii="Times New Roman" w:hAnsi="Times New Roman" w:cs="Times New Roman"/>
          <w:b/>
          <w:bCs/>
          <w:sz w:val="32"/>
          <w:szCs w:val="32"/>
          <w:lang w:val="en-US"/>
        </w:rPr>
        <w:t>5</w:t>
      </w:r>
      <w:r>
        <w:rPr>
          <w:rFonts w:hint="eastAsia" w:ascii="Times New Roman" w:hAnsi="Times New Roman" w:cs="Times New Roman"/>
          <w:b/>
          <w:bCs/>
          <w:sz w:val="32"/>
          <w:szCs w:val="32"/>
        </w:rPr>
        <w:t>年</w:t>
      </w:r>
      <w:r>
        <w:rPr>
          <w:rFonts w:hint="default" w:ascii="Times New Roman" w:hAnsi="Times New Roman" w:cs="Times New Roman"/>
          <w:b/>
          <w:bCs/>
          <w:sz w:val="32"/>
          <w:szCs w:val="32"/>
          <w:lang w:val="en-US"/>
        </w:rPr>
        <w:t>0</w:t>
      </w:r>
      <w:r>
        <w:rPr>
          <w:rFonts w:ascii="Times New Roman" w:hAnsi="Times New Roman" w:cs="Times New Roman"/>
          <w:b/>
          <w:bCs/>
          <w:sz w:val="32"/>
          <w:szCs w:val="32"/>
        </w:rPr>
        <w:t>1</w:t>
      </w:r>
      <w:r>
        <w:rPr>
          <w:rFonts w:hint="eastAsia" w:ascii="Times New Roman" w:hAnsi="Times New Roman" w:cs="Times New Roman"/>
          <w:b/>
          <w:bCs/>
          <w:sz w:val="32"/>
          <w:szCs w:val="32"/>
        </w:rPr>
        <w:t>月</w:t>
      </w:r>
      <w:r>
        <w:rPr>
          <w:rFonts w:hint="default" w:ascii="Times New Roman" w:hAnsi="Times New Roman" w:cs="Times New Roman"/>
          <w:b/>
          <w:bCs/>
          <w:sz w:val="32"/>
          <w:szCs w:val="32"/>
          <w:lang w:val="en-US"/>
        </w:rPr>
        <w:t>22</w:t>
      </w:r>
      <w:r>
        <w:rPr>
          <w:rFonts w:hint="eastAsia" w:ascii="Times New Roman" w:hAnsi="Times New Roman" w:cs="Times New Roman"/>
          <w:b/>
          <w:bCs/>
          <w:sz w:val="32"/>
          <w:szCs w:val="32"/>
        </w:rPr>
        <w:t>日</w:t>
      </w:r>
    </w:p>
    <w:p>
      <w:pPr>
        <w:pStyle w:val="31"/>
        <w:widowControl w:val="0"/>
        <w:spacing w:before="120" w:after="120" w:line="360" w:lineRule="auto"/>
        <w:jc w:val="center"/>
        <w:rPr>
          <w:rFonts w:ascii="Times New Roman" w:hAnsi="Times New Roman" w:cs="Times New Roman"/>
          <w:b/>
          <w:sz w:val="44"/>
          <w:szCs w:val="44"/>
        </w:rPr>
      </w:pPr>
      <w:r>
        <w:rPr>
          <w:rFonts w:ascii="Times New Roman" w:hAnsi="Times New Roman" w:cs="Times New Roman"/>
        </w:rPr>
        <w:br w:type="page"/>
      </w:r>
      <w:r>
        <w:rPr>
          <w:rFonts w:hint="eastAsia" w:ascii="Times New Roman" w:hAnsi="Times New Roman" w:cs="Times New Roman"/>
          <w:b/>
          <w:sz w:val="44"/>
          <w:szCs w:val="44"/>
        </w:rPr>
        <w:t>招标文件目录</w:t>
      </w:r>
    </w:p>
    <w:p>
      <w:pPr>
        <w:pStyle w:val="39"/>
        <w:widowControl w:val="0"/>
        <w:rPr>
          <w:rFonts w:ascii="Times New Roman" w:hAnsi="Times New Roman"/>
          <w:b w:val="0"/>
          <w:bCs w:val="0"/>
          <w:color w:val="auto"/>
          <w:kern w:val="2"/>
          <w:sz w:val="21"/>
          <w:szCs w:val="22"/>
        </w:rPr>
      </w:pPr>
      <w:r>
        <w:rPr>
          <w:rFonts w:ascii="Times New Roman" w:hAnsi="Times New Roman"/>
          <w:color w:val="auto"/>
          <w:sz w:val="24"/>
        </w:rPr>
        <w:fldChar w:fldCharType="begin"/>
      </w:r>
      <w:r>
        <w:rPr>
          <w:rFonts w:ascii="Times New Roman" w:hAnsi="Times New Roman"/>
          <w:color w:val="auto"/>
          <w:sz w:val="24"/>
        </w:rPr>
        <w:instrText xml:space="preserve"> TOC \o "1-3" \h \z \u </w:instrText>
      </w:r>
      <w:r>
        <w:rPr>
          <w:rFonts w:ascii="Times New Roman" w:hAnsi="Times New Roman"/>
          <w:color w:val="auto"/>
          <w:sz w:val="24"/>
        </w:rPr>
        <w:fldChar w:fldCharType="separate"/>
      </w:r>
      <w:r>
        <w:fldChar w:fldCharType="begin"/>
      </w:r>
      <w:r>
        <w:instrText xml:space="preserve"> HYPERLINK \l "_Toc132380051" </w:instrText>
      </w:r>
      <w:r>
        <w:fldChar w:fldCharType="separate"/>
      </w:r>
      <w:r>
        <w:rPr>
          <w:rStyle w:val="63"/>
          <w:rFonts w:hint="eastAsia" w:ascii="Times New Roman" w:hAnsi="Times New Roman"/>
          <w:color w:val="auto"/>
        </w:rPr>
        <w:t>第一章　</w:t>
      </w:r>
      <w:r>
        <w:rPr>
          <w:rStyle w:val="63"/>
          <w:rFonts w:hint="default" w:ascii="Times New Roman" w:hAnsi="Times New Roman"/>
          <w:color w:val="auto"/>
          <w:lang w:val="en-US"/>
        </w:rPr>
        <w:t xml:space="preserve"> </w:t>
      </w:r>
      <w:r>
        <w:rPr>
          <w:rStyle w:val="63"/>
          <w:rFonts w:hint="eastAsia" w:ascii="Times New Roman" w:hAnsi="Times New Roman"/>
          <w:color w:val="auto"/>
        </w:rPr>
        <w:t>采购公告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_Toc132380051 \h </w:instrText>
      </w:r>
      <w:r>
        <w:rPr>
          <w:rFonts w:ascii="Times New Roman" w:hAnsi="Times New Roman"/>
          <w:color w:val="auto"/>
        </w:rPr>
        <w:fldChar w:fldCharType="separate"/>
      </w:r>
      <w:r>
        <w:rPr>
          <w:rFonts w:ascii="Times New Roman" w:hAnsi="Times New Roman"/>
          <w:color w:val="auto"/>
        </w:rPr>
        <w:t>2</w:t>
      </w:r>
      <w:r>
        <w:rPr>
          <w:rFonts w:ascii="Times New Roman" w:hAnsi="Times New Roman"/>
          <w:color w:val="auto"/>
        </w:rPr>
        <w:fldChar w:fldCharType="end"/>
      </w:r>
      <w:r>
        <w:rPr>
          <w:rFonts w:ascii="Times New Roman" w:hAnsi="Times New Roman"/>
          <w:color w:val="auto"/>
        </w:rPr>
        <w:fldChar w:fldCharType="end"/>
      </w:r>
    </w:p>
    <w:p>
      <w:pPr>
        <w:pStyle w:val="39"/>
        <w:widowControl w:val="0"/>
        <w:rPr>
          <w:rFonts w:ascii="Times New Roman" w:hAnsi="Times New Roman"/>
          <w:b w:val="0"/>
          <w:bCs w:val="0"/>
          <w:color w:val="auto"/>
          <w:kern w:val="2"/>
          <w:sz w:val="21"/>
          <w:szCs w:val="22"/>
        </w:rPr>
      </w:pPr>
      <w:r>
        <w:fldChar w:fldCharType="begin"/>
      </w:r>
      <w:r>
        <w:instrText xml:space="preserve"> HYPERLINK \l "_Toc132380059" </w:instrText>
      </w:r>
      <w:r>
        <w:fldChar w:fldCharType="separate"/>
      </w:r>
      <w:r>
        <w:rPr>
          <w:rStyle w:val="63"/>
          <w:rFonts w:hint="eastAsia" w:ascii="Times New Roman" w:hAnsi="Times New Roman"/>
          <w:color w:val="auto"/>
        </w:rPr>
        <w:t>第二章　</w:t>
      </w:r>
      <w:r>
        <w:rPr>
          <w:rStyle w:val="63"/>
          <w:rFonts w:hint="default" w:ascii="Times New Roman" w:hAnsi="Times New Roman"/>
          <w:color w:val="auto"/>
          <w:lang w:val="en-US"/>
        </w:rPr>
        <w:t xml:space="preserve"> </w:t>
      </w:r>
      <w:r>
        <w:rPr>
          <w:rStyle w:val="63"/>
          <w:rFonts w:hint="eastAsia" w:ascii="Times New Roman" w:hAnsi="Times New Roman"/>
          <w:color w:val="auto"/>
        </w:rPr>
        <w:t>投标须知前附表和投标须知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_Toc132380059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pPr>
        <w:pStyle w:val="39"/>
        <w:widowControl w:val="0"/>
        <w:rPr>
          <w:rFonts w:ascii="Times New Roman" w:hAnsi="Times New Roman"/>
          <w:b w:val="0"/>
          <w:bCs w:val="0"/>
          <w:color w:val="auto"/>
          <w:kern w:val="2"/>
          <w:sz w:val="21"/>
          <w:szCs w:val="22"/>
        </w:rPr>
      </w:pPr>
      <w:r>
        <w:fldChar w:fldCharType="begin"/>
      </w:r>
      <w:r>
        <w:instrText xml:space="preserve"> HYPERLINK \l "_Toc132380065" </w:instrText>
      </w:r>
      <w:r>
        <w:fldChar w:fldCharType="separate"/>
      </w:r>
      <w:r>
        <w:rPr>
          <w:rStyle w:val="63"/>
          <w:rFonts w:hint="eastAsia" w:ascii="Times New Roman" w:hAnsi="Times New Roman"/>
          <w:color w:val="auto"/>
        </w:rPr>
        <w:t>第三章</w:t>
      </w:r>
      <w:r>
        <w:rPr>
          <w:rStyle w:val="63"/>
          <w:rFonts w:hint="default" w:ascii="Times New Roman" w:hAnsi="Times New Roman"/>
          <w:color w:val="auto"/>
          <w:lang w:val="en-US"/>
        </w:rPr>
        <w:t xml:space="preserve">   </w:t>
      </w:r>
      <w:r>
        <w:rPr>
          <w:rStyle w:val="63"/>
          <w:rFonts w:hint="eastAsia" w:ascii="Times New Roman" w:hAnsi="Times New Roman"/>
          <w:color w:val="auto"/>
        </w:rPr>
        <w:t>招标项目要求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_Toc132380065 \h </w:instrText>
      </w:r>
      <w:r>
        <w:rPr>
          <w:rFonts w:ascii="Times New Roman" w:hAnsi="Times New Roman"/>
          <w:color w:val="auto"/>
        </w:rPr>
        <w:fldChar w:fldCharType="separate"/>
      </w:r>
      <w:r>
        <w:rPr>
          <w:rFonts w:ascii="Times New Roman" w:hAnsi="Times New Roman"/>
          <w:color w:val="auto"/>
        </w:rPr>
        <w:t>16</w:t>
      </w:r>
      <w:r>
        <w:rPr>
          <w:rFonts w:ascii="Times New Roman" w:hAnsi="Times New Roman"/>
          <w:color w:val="auto"/>
        </w:rPr>
        <w:fldChar w:fldCharType="end"/>
      </w:r>
      <w:r>
        <w:rPr>
          <w:rFonts w:ascii="Times New Roman" w:hAnsi="Times New Roman"/>
          <w:color w:val="auto"/>
        </w:rPr>
        <w:fldChar w:fldCharType="end"/>
      </w:r>
    </w:p>
    <w:p>
      <w:pPr>
        <w:pStyle w:val="39"/>
        <w:widowControl w:val="0"/>
        <w:tabs>
          <w:tab w:val="left" w:pos="1260"/>
        </w:tabs>
        <w:rPr>
          <w:rFonts w:ascii="Times New Roman" w:hAnsi="Times New Roman"/>
          <w:b w:val="0"/>
          <w:bCs w:val="0"/>
          <w:color w:val="auto"/>
          <w:kern w:val="2"/>
          <w:sz w:val="21"/>
          <w:szCs w:val="22"/>
        </w:rPr>
      </w:pPr>
      <w:r>
        <w:fldChar w:fldCharType="begin"/>
      </w:r>
      <w:r>
        <w:instrText xml:space="preserve"> HYPERLINK \l "_Toc132380067" </w:instrText>
      </w:r>
      <w:r>
        <w:fldChar w:fldCharType="separate"/>
      </w:r>
      <w:r>
        <w:rPr>
          <w:rStyle w:val="63"/>
          <w:rFonts w:hint="eastAsia" w:ascii="Times New Roman" w:hAnsi="Times New Roman"/>
          <w:color w:val="auto"/>
        </w:rPr>
        <w:t>第四章</w:t>
      </w:r>
      <w:r>
        <w:rPr>
          <w:rFonts w:ascii="Times New Roman" w:hAnsi="Times New Roman"/>
          <w:b w:val="0"/>
          <w:bCs w:val="0"/>
          <w:color w:val="auto"/>
          <w:kern w:val="2"/>
          <w:sz w:val="21"/>
          <w:szCs w:val="22"/>
        </w:rPr>
        <w:tab/>
      </w:r>
      <w:r>
        <w:rPr>
          <w:rStyle w:val="63"/>
          <w:rFonts w:hint="eastAsia" w:ascii="Times New Roman" w:hAnsi="Times New Roman"/>
          <w:color w:val="auto"/>
        </w:rPr>
        <w:t>开标、评标和定标须知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_Toc132380067 \h </w:instrText>
      </w:r>
      <w:r>
        <w:rPr>
          <w:rFonts w:ascii="Times New Roman" w:hAnsi="Times New Roman"/>
          <w:color w:val="auto"/>
        </w:rPr>
        <w:fldChar w:fldCharType="separate"/>
      </w:r>
      <w:r>
        <w:rPr>
          <w:rFonts w:ascii="Times New Roman" w:hAnsi="Times New Roman"/>
          <w:color w:val="auto"/>
        </w:rPr>
        <w:t>35</w:t>
      </w:r>
      <w:r>
        <w:rPr>
          <w:rFonts w:ascii="Times New Roman" w:hAnsi="Times New Roman"/>
          <w:color w:val="auto"/>
        </w:rPr>
        <w:fldChar w:fldCharType="end"/>
      </w:r>
      <w:r>
        <w:rPr>
          <w:rFonts w:ascii="Times New Roman" w:hAnsi="Times New Roman"/>
          <w:color w:val="auto"/>
        </w:rPr>
        <w:fldChar w:fldCharType="end"/>
      </w:r>
    </w:p>
    <w:p>
      <w:pPr>
        <w:pStyle w:val="39"/>
        <w:widowControl w:val="0"/>
        <w:rPr>
          <w:rFonts w:ascii="Times New Roman" w:hAnsi="Times New Roman"/>
          <w:b w:val="0"/>
          <w:bCs w:val="0"/>
          <w:color w:val="auto"/>
          <w:kern w:val="2"/>
          <w:sz w:val="21"/>
          <w:szCs w:val="22"/>
        </w:rPr>
      </w:pPr>
      <w:r>
        <w:fldChar w:fldCharType="begin"/>
      </w:r>
      <w:r>
        <w:instrText xml:space="preserve"> HYPERLINK \l "_Toc132380071" </w:instrText>
      </w:r>
      <w:r>
        <w:fldChar w:fldCharType="separate"/>
      </w:r>
      <w:r>
        <w:rPr>
          <w:rStyle w:val="63"/>
          <w:rFonts w:hint="eastAsia" w:ascii="Times New Roman" w:hAnsi="Times New Roman"/>
          <w:color w:val="auto"/>
        </w:rPr>
        <w:t>第五章</w:t>
      </w:r>
      <w:r>
        <w:rPr>
          <w:rStyle w:val="63"/>
          <w:rFonts w:hint="default" w:ascii="Times New Roman" w:hAnsi="Times New Roman"/>
          <w:color w:val="auto"/>
          <w:lang w:val="en-US"/>
        </w:rPr>
        <w:t xml:space="preserve">   </w:t>
      </w:r>
      <w:r>
        <w:rPr>
          <w:rStyle w:val="63"/>
          <w:rFonts w:hint="eastAsia" w:ascii="Times New Roman" w:hAnsi="Times New Roman"/>
          <w:color w:val="auto"/>
        </w:rPr>
        <w:t>投标文件的无效情形</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_Toc132380071 \h </w:instrText>
      </w:r>
      <w:r>
        <w:rPr>
          <w:rFonts w:ascii="Times New Roman" w:hAnsi="Times New Roman"/>
          <w:color w:val="auto"/>
        </w:rPr>
        <w:fldChar w:fldCharType="separate"/>
      </w:r>
      <w:r>
        <w:rPr>
          <w:rFonts w:ascii="Times New Roman" w:hAnsi="Times New Roman"/>
          <w:color w:val="auto"/>
        </w:rPr>
        <w:t>40</w:t>
      </w:r>
      <w:r>
        <w:rPr>
          <w:rFonts w:ascii="Times New Roman" w:hAnsi="Times New Roman"/>
          <w:color w:val="auto"/>
        </w:rPr>
        <w:fldChar w:fldCharType="end"/>
      </w:r>
      <w:r>
        <w:rPr>
          <w:rFonts w:ascii="Times New Roman" w:hAnsi="Times New Roman"/>
          <w:color w:val="auto"/>
        </w:rPr>
        <w:fldChar w:fldCharType="end"/>
      </w:r>
    </w:p>
    <w:p>
      <w:pPr>
        <w:pStyle w:val="39"/>
        <w:widowControl w:val="0"/>
        <w:tabs>
          <w:tab w:val="left" w:pos="1260"/>
        </w:tabs>
        <w:rPr>
          <w:rFonts w:ascii="Times New Roman" w:hAnsi="Times New Roman"/>
          <w:b w:val="0"/>
          <w:bCs w:val="0"/>
          <w:color w:val="auto"/>
          <w:kern w:val="2"/>
          <w:sz w:val="21"/>
          <w:szCs w:val="22"/>
        </w:rPr>
      </w:pPr>
      <w:r>
        <w:fldChar w:fldCharType="begin"/>
      </w:r>
      <w:r>
        <w:instrText xml:space="preserve"> HYPERLINK \l "_Toc132380072" </w:instrText>
      </w:r>
      <w:r>
        <w:fldChar w:fldCharType="separate"/>
      </w:r>
      <w:r>
        <w:rPr>
          <w:rStyle w:val="63"/>
          <w:rFonts w:hint="eastAsia" w:ascii="Times New Roman" w:hAnsi="Times New Roman"/>
          <w:color w:val="auto"/>
        </w:rPr>
        <w:t>第六章</w:t>
      </w:r>
      <w:r>
        <w:rPr>
          <w:rFonts w:ascii="Times New Roman" w:hAnsi="Times New Roman"/>
          <w:b w:val="0"/>
          <w:bCs w:val="0"/>
          <w:color w:val="auto"/>
          <w:kern w:val="2"/>
          <w:sz w:val="21"/>
          <w:szCs w:val="22"/>
        </w:rPr>
        <w:tab/>
      </w:r>
      <w:r>
        <w:rPr>
          <w:rStyle w:val="63"/>
          <w:rFonts w:hint="eastAsia" w:ascii="Times New Roman" w:hAnsi="Times New Roman"/>
          <w:color w:val="auto"/>
        </w:rPr>
        <w:t>评标办法</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_Toc132380072 \h </w:instrText>
      </w:r>
      <w:r>
        <w:rPr>
          <w:rFonts w:ascii="Times New Roman" w:hAnsi="Times New Roman"/>
          <w:color w:val="auto"/>
        </w:rPr>
        <w:fldChar w:fldCharType="separate"/>
      </w:r>
      <w:r>
        <w:rPr>
          <w:rFonts w:ascii="Times New Roman" w:hAnsi="Times New Roman"/>
          <w:color w:val="auto"/>
        </w:rPr>
        <w:t>42</w:t>
      </w:r>
      <w:r>
        <w:rPr>
          <w:rFonts w:ascii="Times New Roman" w:hAnsi="Times New Roman"/>
          <w:color w:val="auto"/>
        </w:rPr>
        <w:fldChar w:fldCharType="end"/>
      </w:r>
      <w:r>
        <w:rPr>
          <w:rFonts w:ascii="Times New Roman" w:hAnsi="Times New Roman"/>
          <w:color w:val="auto"/>
        </w:rPr>
        <w:fldChar w:fldCharType="end"/>
      </w:r>
    </w:p>
    <w:p>
      <w:pPr>
        <w:pStyle w:val="39"/>
        <w:widowControl w:val="0"/>
        <w:tabs>
          <w:tab w:val="left" w:pos="1260"/>
        </w:tabs>
        <w:rPr>
          <w:rFonts w:ascii="Times New Roman" w:hAnsi="Times New Roman"/>
          <w:b w:val="0"/>
          <w:bCs w:val="0"/>
          <w:color w:val="auto"/>
          <w:kern w:val="2"/>
          <w:sz w:val="21"/>
          <w:szCs w:val="22"/>
        </w:rPr>
      </w:pPr>
      <w:r>
        <w:fldChar w:fldCharType="begin"/>
      </w:r>
      <w:r>
        <w:instrText xml:space="preserve"> HYPERLINK \l "_Toc132380073" </w:instrText>
      </w:r>
      <w:r>
        <w:fldChar w:fldCharType="separate"/>
      </w:r>
      <w:r>
        <w:rPr>
          <w:rStyle w:val="63"/>
          <w:rFonts w:hint="eastAsia" w:ascii="Times New Roman" w:hAnsi="Times New Roman"/>
          <w:color w:val="auto"/>
        </w:rPr>
        <w:t>第七章</w:t>
      </w:r>
      <w:r>
        <w:rPr>
          <w:rFonts w:ascii="Times New Roman" w:hAnsi="Times New Roman"/>
          <w:b w:val="0"/>
          <w:bCs w:val="0"/>
          <w:color w:val="auto"/>
          <w:kern w:val="2"/>
          <w:sz w:val="21"/>
          <w:szCs w:val="22"/>
        </w:rPr>
        <w:tab/>
      </w:r>
      <w:r>
        <w:rPr>
          <w:rStyle w:val="63"/>
          <w:rFonts w:hint="eastAsia" w:ascii="Times New Roman" w:hAnsi="Times New Roman"/>
          <w:color w:val="auto"/>
        </w:rPr>
        <w:t>义乌市政府采购合同（样本）</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_Toc132380073 \h </w:instrText>
      </w:r>
      <w:r>
        <w:rPr>
          <w:rFonts w:ascii="Times New Roman" w:hAnsi="Times New Roman"/>
          <w:color w:val="auto"/>
        </w:rPr>
        <w:fldChar w:fldCharType="separate"/>
      </w:r>
      <w:r>
        <w:rPr>
          <w:rFonts w:ascii="Times New Roman" w:hAnsi="Times New Roman"/>
          <w:color w:val="auto"/>
        </w:rPr>
        <w:t>45</w:t>
      </w:r>
      <w:r>
        <w:rPr>
          <w:rFonts w:ascii="Times New Roman" w:hAnsi="Times New Roman"/>
          <w:color w:val="auto"/>
        </w:rPr>
        <w:fldChar w:fldCharType="end"/>
      </w:r>
      <w:r>
        <w:rPr>
          <w:rFonts w:ascii="Times New Roman" w:hAnsi="Times New Roman"/>
          <w:color w:val="auto"/>
        </w:rPr>
        <w:fldChar w:fldCharType="end"/>
      </w:r>
    </w:p>
    <w:p>
      <w:pPr>
        <w:pStyle w:val="39"/>
        <w:widowControl w:val="0"/>
        <w:tabs>
          <w:tab w:val="left" w:pos="1260"/>
        </w:tabs>
        <w:rPr>
          <w:rFonts w:ascii="Times New Roman" w:hAnsi="Times New Roman"/>
          <w:b w:val="0"/>
          <w:bCs w:val="0"/>
          <w:color w:val="auto"/>
          <w:kern w:val="2"/>
          <w:sz w:val="21"/>
          <w:szCs w:val="22"/>
        </w:rPr>
      </w:pPr>
      <w:r>
        <w:fldChar w:fldCharType="begin"/>
      </w:r>
      <w:r>
        <w:instrText xml:space="preserve"> HYPERLINK \l "_Toc132380077" </w:instrText>
      </w:r>
      <w:r>
        <w:fldChar w:fldCharType="separate"/>
      </w:r>
      <w:r>
        <w:rPr>
          <w:rStyle w:val="63"/>
          <w:rFonts w:hint="eastAsia" w:ascii="Times New Roman" w:hAnsi="Times New Roman"/>
          <w:color w:val="auto"/>
        </w:rPr>
        <w:t>第八章</w:t>
      </w:r>
      <w:r>
        <w:rPr>
          <w:rFonts w:ascii="Times New Roman" w:hAnsi="Times New Roman"/>
          <w:b w:val="0"/>
          <w:bCs w:val="0"/>
          <w:color w:val="auto"/>
          <w:kern w:val="2"/>
          <w:sz w:val="21"/>
          <w:szCs w:val="22"/>
        </w:rPr>
        <w:tab/>
      </w:r>
      <w:r>
        <w:rPr>
          <w:rStyle w:val="63"/>
          <w:rFonts w:hint="eastAsia" w:ascii="Times New Roman" w:hAnsi="Times New Roman"/>
          <w:color w:val="auto"/>
        </w:rPr>
        <w:t>投标文件部分格式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_Toc132380077 \h </w:instrText>
      </w:r>
      <w:r>
        <w:rPr>
          <w:rFonts w:ascii="Times New Roman" w:hAnsi="Times New Roman"/>
          <w:color w:val="auto"/>
        </w:rPr>
        <w:fldChar w:fldCharType="separate"/>
      </w:r>
      <w:r>
        <w:rPr>
          <w:rFonts w:ascii="Times New Roman" w:hAnsi="Times New Roman"/>
          <w:color w:val="auto"/>
        </w:rPr>
        <w:t>50</w:t>
      </w:r>
      <w:r>
        <w:rPr>
          <w:rFonts w:ascii="Times New Roman" w:hAnsi="Times New Roman"/>
          <w:color w:val="auto"/>
        </w:rPr>
        <w:fldChar w:fldCharType="end"/>
      </w:r>
      <w:r>
        <w:rPr>
          <w:rFonts w:ascii="Times New Roman" w:hAnsi="Times New Roman"/>
          <w:color w:val="auto"/>
        </w:rPr>
        <w:fldChar w:fldCharType="end"/>
      </w:r>
    </w:p>
    <w:p>
      <w:pPr>
        <w:pStyle w:val="31"/>
        <w:widowControl w:val="0"/>
        <w:spacing w:before="120" w:after="120" w:line="360" w:lineRule="auto"/>
        <w:ind w:firstLine="480" w:firstLineChars="200"/>
        <w:jc w:val="center"/>
        <w:rPr>
          <w:rFonts w:ascii="Times New Roman" w:hAnsi="Times New Roman" w:cs="Times New Roman"/>
          <w:b/>
          <w:sz w:val="44"/>
          <w:szCs w:val="44"/>
        </w:rPr>
      </w:pPr>
      <w:r>
        <w:rPr>
          <w:rFonts w:ascii="Times New Roman" w:hAnsi="Times New Roman"/>
          <w:sz w:val="24"/>
        </w:rPr>
        <w:fldChar w:fldCharType="end"/>
      </w:r>
    </w:p>
    <w:p>
      <w:pPr>
        <w:widowControl w:val="0"/>
      </w:pPr>
    </w:p>
    <w:p>
      <w:pPr>
        <w:widowControl w:val="0"/>
      </w:pPr>
    </w:p>
    <w:p>
      <w:pPr>
        <w:pStyle w:val="5"/>
        <w:keepNext w:val="0"/>
        <w:keepLines w:val="0"/>
        <w:widowControl w:val="0"/>
        <w:spacing w:before="0" w:after="0" w:line="360" w:lineRule="auto"/>
        <w:jc w:val="center"/>
        <w:rPr>
          <w:sz w:val="36"/>
          <w:szCs w:val="36"/>
        </w:rPr>
      </w:pPr>
      <w:bookmarkStart w:id="2" w:name="_Toc406413925"/>
      <w:r>
        <w:rPr>
          <w:sz w:val="36"/>
          <w:szCs w:val="36"/>
        </w:rPr>
        <w:br w:type="page"/>
      </w:r>
      <w:bookmarkStart w:id="3" w:name="_Toc132380051"/>
      <w:r>
        <w:rPr>
          <w:rFonts w:hint="eastAsia"/>
          <w:sz w:val="36"/>
          <w:szCs w:val="36"/>
        </w:rPr>
        <w:t>第一章　采购公告</w:t>
      </w:r>
      <w:bookmarkEnd w:id="2"/>
      <w:bookmarkEnd w:id="3"/>
    </w:p>
    <w:p>
      <w:pPr>
        <w:widowControl w:val="0"/>
        <w:snapToGrid w:val="0"/>
        <w:spacing w:line="360" w:lineRule="auto"/>
        <w:jc w:val="left"/>
        <w:rPr>
          <w:b/>
          <w:bCs/>
        </w:rPr>
      </w:pPr>
      <w:r>
        <w:rPr>
          <w:rFonts w:hint="eastAsia"/>
        </w:rPr>
        <w:t>根据《中华人民共和国政府采购法》等有关规定，义乌市政府采购中心受义乌市</w:t>
      </w:r>
      <w:r>
        <w:rPr>
          <w:rFonts w:hint="eastAsia"/>
          <w:lang w:val="en-US" w:eastAsia="zh-CN"/>
        </w:rPr>
        <w:t>人民政府城西街道办事处</w:t>
      </w:r>
      <w:r>
        <w:rPr>
          <w:rFonts w:hint="eastAsia"/>
        </w:rPr>
        <w:t>委托，就其</w:t>
      </w:r>
      <w:r>
        <w:rPr>
          <w:rFonts w:hint="eastAsia"/>
          <w:lang w:val="en-US" w:eastAsia="zh-CN"/>
        </w:rPr>
        <w:t>6个办公区域安保及保洁服务</w:t>
      </w:r>
      <w:r>
        <w:rPr>
          <w:rFonts w:hint="eastAsia"/>
        </w:rPr>
        <w:t>采购项目进行公开招标，欢迎国内合格的供应商参加投标。</w:t>
      </w:r>
    </w:p>
    <w:p>
      <w:pPr>
        <w:pStyle w:val="6"/>
        <w:keepNext w:val="0"/>
        <w:keepLines w:val="0"/>
        <w:widowControl w:val="0"/>
        <w:spacing w:before="0" w:after="0" w:line="460" w:lineRule="exact"/>
        <w:rPr>
          <w:rFonts w:ascii="Times New Roman" w:hAnsi="Times New Roman" w:eastAsia="宋体"/>
          <w:sz w:val="24"/>
          <w:szCs w:val="24"/>
        </w:rPr>
      </w:pPr>
      <w:bookmarkStart w:id="4" w:name="_Toc130822922"/>
      <w:bookmarkStart w:id="5" w:name="_Toc3629"/>
      <w:bookmarkStart w:id="6" w:name="_Toc132380052"/>
      <w:r>
        <w:rPr>
          <w:rFonts w:hint="eastAsia" w:ascii="Times New Roman" w:hAnsi="Times New Roman" w:eastAsia="宋体"/>
          <w:sz w:val="24"/>
          <w:szCs w:val="24"/>
        </w:rPr>
        <w:t>一、项目基本情况</w:t>
      </w:r>
      <w:bookmarkEnd w:id="4"/>
      <w:bookmarkEnd w:id="5"/>
      <w:bookmarkEnd w:id="6"/>
    </w:p>
    <w:p>
      <w:pPr>
        <w:widowControl w:val="0"/>
        <w:snapToGrid w:val="0"/>
        <w:spacing w:line="460" w:lineRule="exact"/>
        <w:ind w:firstLine="470" w:firstLineChars="196"/>
      </w:pPr>
      <w:r>
        <w:t>1.</w:t>
      </w:r>
      <w:r>
        <w:rPr>
          <w:rFonts w:hint="eastAsia"/>
        </w:rPr>
        <w:t>采购编号：</w:t>
      </w:r>
      <w:r>
        <w:rPr>
          <w:bCs/>
        </w:rPr>
        <w:t>YWCG2025001GK</w:t>
      </w:r>
    </w:p>
    <w:p>
      <w:pPr>
        <w:widowControl w:val="0"/>
        <w:snapToGrid w:val="0"/>
        <w:spacing w:line="460" w:lineRule="exact"/>
        <w:ind w:firstLine="470" w:firstLineChars="196"/>
        <w:rPr>
          <w:rFonts w:hint="eastAsia"/>
        </w:rPr>
      </w:pPr>
      <w:r>
        <w:t>2.</w:t>
      </w:r>
      <w:r>
        <w:rPr>
          <w:rFonts w:hint="eastAsia"/>
        </w:rPr>
        <w:t>项目名称：义乌市人民政府城西街道办事处6个办公</w:t>
      </w:r>
      <w:r>
        <w:rPr>
          <w:rFonts w:hint="eastAsia"/>
          <w:lang w:val="en-US" w:eastAsia="zh-CN"/>
        </w:rPr>
        <w:t>区域</w:t>
      </w:r>
      <w:r>
        <w:rPr>
          <w:rFonts w:hint="eastAsia"/>
        </w:rPr>
        <w:t>安保及保洁服务</w:t>
      </w:r>
    </w:p>
    <w:p>
      <w:pPr>
        <w:widowControl w:val="0"/>
        <w:snapToGrid w:val="0"/>
        <w:spacing w:line="460" w:lineRule="exact"/>
        <w:ind w:firstLine="470" w:firstLineChars="196"/>
      </w:pPr>
      <w:r>
        <w:t>3.</w:t>
      </w:r>
      <w:r>
        <w:rPr>
          <w:rFonts w:hint="eastAsia"/>
        </w:rPr>
        <w:t>项目预算：</w:t>
      </w:r>
      <w:r>
        <w:rPr>
          <w:rFonts w:hint="default"/>
          <w:lang w:val="en-US"/>
        </w:rPr>
        <w:t>435</w:t>
      </w:r>
      <w:r>
        <w:rPr>
          <w:rFonts w:hint="eastAsia"/>
        </w:rPr>
        <w:t>万元；最高限价：</w:t>
      </w:r>
      <w:r>
        <w:rPr>
          <w:rFonts w:hint="default"/>
          <w:lang w:val="en-US"/>
        </w:rPr>
        <w:t>435</w:t>
      </w:r>
      <w:r>
        <w:rPr>
          <w:rFonts w:hint="eastAsia"/>
          <w:szCs w:val="21"/>
        </w:rPr>
        <w:t>万元</w:t>
      </w:r>
    </w:p>
    <w:p>
      <w:pPr>
        <w:widowControl w:val="0"/>
        <w:snapToGrid w:val="0"/>
        <w:spacing w:line="460" w:lineRule="exact"/>
        <w:ind w:firstLine="470" w:firstLineChars="196"/>
      </w:pPr>
      <w:r>
        <w:t>4.</w:t>
      </w:r>
      <w:r>
        <w:rPr>
          <w:rFonts w:hint="eastAsia"/>
        </w:rPr>
        <w:t>采购需求</w:t>
      </w:r>
    </w:p>
    <w:tbl>
      <w:tblPr>
        <w:tblStyle w:val="5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565"/>
        <w:gridCol w:w="1665"/>
        <w:gridCol w:w="944"/>
        <w:gridCol w:w="240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Style w:val="2"/>
              <w:widowControl w:val="0"/>
              <w:spacing w:after="0" w:line="460" w:lineRule="exact"/>
              <w:ind w:left="0" w:leftChars="0" w:firstLine="0" w:firstLineChars="0"/>
              <w:jc w:val="center"/>
            </w:pPr>
            <w:r>
              <w:rPr>
                <w:rFonts w:hint="eastAsia"/>
              </w:rPr>
              <w:t>序号</w:t>
            </w:r>
          </w:p>
        </w:tc>
        <w:tc>
          <w:tcPr>
            <w:tcW w:w="2565" w:type="dxa"/>
            <w:vAlign w:val="center"/>
          </w:tcPr>
          <w:p>
            <w:pPr>
              <w:pStyle w:val="2"/>
              <w:widowControl w:val="0"/>
              <w:spacing w:after="0" w:line="460" w:lineRule="exact"/>
              <w:ind w:left="0" w:leftChars="0" w:firstLine="0" w:firstLineChars="0"/>
              <w:jc w:val="center"/>
            </w:pPr>
            <w:r>
              <w:rPr>
                <w:rFonts w:hint="eastAsia"/>
              </w:rPr>
              <w:t>项目内容</w:t>
            </w:r>
          </w:p>
        </w:tc>
        <w:tc>
          <w:tcPr>
            <w:tcW w:w="1665" w:type="dxa"/>
            <w:vAlign w:val="center"/>
          </w:tcPr>
          <w:p>
            <w:pPr>
              <w:pStyle w:val="2"/>
              <w:widowControl w:val="0"/>
              <w:spacing w:after="0" w:line="460" w:lineRule="exact"/>
              <w:ind w:left="0" w:leftChars="0" w:firstLine="0" w:firstLineChars="0"/>
              <w:jc w:val="center"/>
            </w:pPr>
            <w:r>
              <w:rPr>
                <w:rFonts w:hint="eastAsia"/>
              </w:rPr>
              <w:t>技术要求</w:t>
            </w:r>
          </w:p>
        </w:tc>
        <w:tc>
          <w:tcPr>
            <w:tcW w:w="944" w:type="dxa"/>
            <w:vAlign w:val="center"/>
          </w:tcPr>
          <w:p>
            <w:pPr>
              <w:pStyle w:val="2"/>
              <w:widowControl w:val="0"/>
              <w:spacing w:after="0" w:line="460" w:lineRule="exact"/>
              <w:ind w:left="0" w:leftChars="0" w:firstLine="0" w:firstLineChars="0"/>
              <w:jc w:val="center"/>
            </w:pPr>
            <w:r>
              <w:rPr>
                <w:rFonts w:hint="eastAsia"/>
              </w:rPr>
              <w:t>数量</w:t>
            </w:r>
          </w:p>
        </w:tc>
        <w:tc>
          <w:tcPr>
            <w:tcW w:w="2409" w:type="dxa"/>
          </w:tcPr>
          <w:p>
            <w:pPr>
              <w:pStyle w:val="2"/>
              <w:widowControl w:val="0"/>
              <w:spacing w:after="0" w:line="460" w:lineRule="exact"/>
              <w:ind w:left="0" w:leftChars="0" w:firstLine="0" w:firstLineChars="0"/>
              <w:jc w:val="center"/>
            </w:pPr>
            <w:r>
              <w:rPr>
                <w:rFonts w:hint="eastAsia"/>
              </w:rPr>
              <w:t>项目预算及最高限价</w:t>
            </w:r>
          </w:p>
        </w:tc>
        <w:tc>
          <w:tcPr>
            <w:tcW w:w="892" w:type="dxa"/>
            <w:vAlign w:val="center"/>
          </w:tcPr>
          <w:p>
            <w:pPr>
              <w:pStyle w:val="2"/>
              <w:widowControl w:val="0"/>
              <w:spacing w:after="0" w:line="460" w:lineRule="exact"/>
              <w:ind w:left="0" w:leftChars="0"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2" w:type="dxa"/>
            <w:vAlign w:val="center"/>
          </w:tcPr>
          <w:p>
            <w:pPr>
              <w:pStyle w:val="2"/>
              <w:widowControl w:val="0"/>
              <w:spacing w:after="0" w:line="460" w:lineRule="exact"/>
              <w:ind w:left="0" w:leftChars="0" w:firstLine="0" w:firstLineChars="0"/>
              <w:jc w:val="center"/>
            </w:pPr>
            <w:r>
              <w:t>1</w:t>
            </w:r>
          </w:p>
        </w:tc>
        <w:tc>
          <w:tcPr>
            <w:tcW w:w="2565" w:type="dxa"/>
            <w:vAlign w:val="center"/>
          </w:tcPr>
          <w:p>
            <w:pPr>
              <w:pStyle w:val="2"/>
              <w:widowControl w:val="0"/>
              <w:spacing w:after="0" w:line="460" w:lineRule="exact"/>
              <w:ind w:left="0" w:leftChars="0" w:firstLine="0" w:firstLineChars="0"/>
              <w:jc w:val="center"/>
            </w:pPr>
            <w:r>
              <w:rPr>
                <w:rFonts w:hint="eastAsia"/>
                <w:lang w:val="en-US" w:eastAsia="zh-CN"/>
              </w:rPr>
              <w:t>6个办公区域安保及保洁服务</w:t>
            </w:r>
          </w:p>
        </w:tc>
        <w:tc>
          <w:tcPr>
            <w:tcW w:w="1665" w:type="dxa"/>
            <w:vAlign w:val="center"/>
          </w:tcPr>
          <w:p>
            <w:pPr>
              <w:pStyle w:val="2"/>
              <w:widowControl w:val="0"/>
              <w:spacing w:after="0" w:line="460" w:lineRule="exact"/>
              <w:ind w:left="0" w:leftChars="0" w:firstLine="0" w:firstLineChars="0"/>
              <w:jc w:val="center"/>
            </w:pPr>
            <w:r>
              <w:rPr>
                <w:rFonts w:hint="eastAsia"/>
              </w:rPr>
              <w:t>详见第三章</w:t>
            </w:r>
          </w:p>
        </w:tc>
        <w:tc>
          <w:tcPr>
            <w:tcW w:w="944" w:type="dxa"/>
            <w:vAlign w:val="center"/>
          </w:tcPr>
          <w:p>
            <w:pPr>
              <w:pStyle w:val="2"/>
              <w:widowControl w:val="0"/>
              <w:spacing w:after="0" w:line="460" w:lineRule="exact"/>
              <w:ind w:left="0" w:leftChars="0" w:firstLine="0" w:firstLineChars="0"/>
              <w:jc w:val="center"/>
            </w:pPr>
            <w:r>
              <w:rPr>
                <w:rFonts w:hint="eastAsia"/>
                <w:lang w:val="en-US" w:eastAsia="zh-CN"/>
              </w:rPr>
              <w:t>三</w:t>
            </w:r>
            <w:r>
              <w:rPr>
                <w:rFonts w:hint="eastAsia"/>
              </w:rPr>
              <w:t>年</w:t>
            </w:r>
          </w:p>
        </w:tc>
        <w:tc>
          <w:tcPr>
            <w:tcW w:w="2409" w:type="dxa"/>
            <w:vAlign w:val="center"/>
          </w:tcPr>
          <w:p>
            <w:pPr>
              <w:pStyle w:val="2"/>
              <w:widowControl w:val="0"/>
              <w:spacing w:after="0" w:line="460" w:lineRule="exact"/>
              <w:ind w:left="0" w:leftChars="0" w:firstLine="0" w:firstLineChars="0"/>
              <w:jc w:val="center"/>
            </w:pPr>
            <w:r>
              <w:rPr>
                <w:rFonts w:hint="default"/>
                <w:lang w:val="en-US"/>
              </w:rPr>
              <w:t>435</w:t>
            </w:r>
            <w:r>
              <w:rPr>
                <w:rFonts w:hint="eastAsia"/>
              </w:rPr>
              <w:t>万元</w:t>
            </w:r>
          </w:p>
        </w:tc>
        <w:tc>
          <w:tcPr>
            <w:tcW w:w="892" w:type="dxa"/>
          </w:tcPr>
          <w:p>
            <w:pPr>
              <w:pStyle w:val="2"/>
              <w:widowControl w:val="0"/>
              <w:spacing w:after="0" w:line="460" w:lineRule="exact"/>
              <w:ind w:left="0" w:leftChars="0" w:firstLine="0" w:firstLineChars="0"/>
              <w:jc w:val="center"/>
            </w:pPr>
          </w:p>
        </w:tc>
      </w:tr>
    </w:tbl>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5.</w:t>
      </w:r>
      <w:r>
        <w:rPr>
          <w:rFonts w:hint="eastAsia" w:ascii="Times New Roman" w:hAnsi="Times New Roman" w:cs="Times New Roman"/>
          <w:kern w:val="0"/>
          <w:sz w:val="24"/>
          <w:szCs w:val="24"/>
        </w:rPr>
        <w:t>合同履约期限：详见招标文件第三章</w:t>
      </w:r>
    </w:p>
    <w:p>
      <w:pPr>
        <w:widowControl w:val="0"/>
        <w:spacing w:line="460" w:lineRule="exact"/>
      </w:pPr>
      <w:r>
        <w:t xml:space="preserve">    6.</w:t>
      </w:r>
      <w:r>
        <w:rPr>
          <w:rFonts w:hint="eastAsia"/>
          <w:kern w:val="2"/>
        </w:rPr>
        <w:t>本项目</w:t>
      </w:r>
      <w:r>
        <w:rPr/>
        <w:sym w:font="Wingdings 2" w:char="F0A3"/>
      </w:r>
      <w:r>
        <w:rPr>
          <w:rFonts w:hint="eastAsia"/>
          <w:kern w:val="2"/>
        </w:rPr>
        <w:t>是</w:t>
      </w:r>
      <w:r>
        <w:rPr/>
        <w:sym w:font="Wingdings 2" w:char="F052"/>
      </w:r>
      <w:r>
        <w:rPr>
          <w:rFonts w:hint="eastAsia"/>
          <w:kern w:val="2"/>
        </w:rPr>
        <w:t>否接受联合体投标</w:t>
      </w:r>
    </w:p>
    <w:p>
      <w:pPr>
        <w:pStyle w:val="6"/>
        <w:keepNext w:val="0"/>
        <w:keepLines w:val="0"/>
        <w:widowControl w:val="0"/>
        <w:spacing w:before="0" w:after="0" w:line="460" w:lineRule="exact"/>
        <w:rPr>
          <w:rFonts w:ascii="Times New Roman" w:hAnsi="Times New Roman" w:eastAsia="宋体"/>
          <w:sz w:val="24"/>
          <w:szCs w:val="24"/>
        </w:rPr>
      </w:pPr>
      <w:bookmarkStart w:id="7" w:name="_Toc130822923"/>
      <w:bookmarkStart w:id="8" w:name="_Toc132380053"/>
      <w:bookmarkStart w:id="9" w:name="_Toc21232"/>
      <w:r>
        <w:rPr>
          <w:rFonts w:hint="eastAsia" w:ascii="Times New Roman" w:hAnsi="Times New Roman" w:eastAsia="宋体"/>
          <w:sz w:val="24"/>
          <w:szCs w:val="24"/>
        </w:rPr>
        <w:t>二、投标人的资格要求，须同时满足以下条件：</w:t>
      </w:r>
      <w:bookmarkEnd w:id="7"/>
      <w:bookmarkEnd w:id="8"/>
      <w:bookmarkEnd w:id="9"/>
    </w:p>
    <w:p>
      <w:pPr>
        <w:widowControl w:val="0"/>
        <w:snapToGrid w:val="0"/>
        <w:spacing w:line="460" w:lineRule="exact"/>
        <w:ind w:firstLine="480" w:firstLineChars="200"/>
      </w:pPr>
      <w:r>
        <w:t>1.</w:t>
      </w:r>
      <w:r>
        <w:rPr>
          <w:rFonts w:hint="eastAsia"/>
        </w:rPr>
        <w:t>符合《中华人民共和国政府采购法》第二十二条供应商应当具备的条件或符合浙财采监【</w:t>
      </w:r>
      <w:r>
        <w:t>2013</w:t>
      </w:r>
      <w:r>
        <w:rPr>
          <w:rFonts w:hint="eastAsia"/>
        </w:rPr>
        <w:t>】</w:t>
      </w:r>
      <w:r>
        <w:t>24</w:t>
      </w:r>
      <w:r>
        <w:rPr>
          <w:rFonts w:hint="eastAsia"/>
        </w:rPr>
        <w:t>号《关于规范政府采购供应商资格设定及资格审查的通知》第六条规定；</w:t>
      </w:r>
    </w:p>
    <w:p>
      <w:pPr>
        <w:widowControl w:val="0"/>
        <w:snapToGrid w:val="0"/>
        <w:spacing w:line="460" w:lineRule="exact"/>
        <w:ind w:firstLine="480" w:firstLineChars="200"/>
      </w:pPr>
      <w:r>
        <w:t>2.</w:t>
      </w:r>
      <w:r>
        <w:rPr>
          <w:rFonts w:hint="eastAsia"/>
        </w:rPr>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）列入失信被执行人、重大税收违法案件当事人名单、政府采购严重违法失信行为记录名单的；联合体成员任意一方存在不良信用记录的，视同联合体存在不良信用记录；</w:t>
      </w:r>
    </w:p>
    <w:p>
      <w:pPr>
        <w:widowControl w:val="0"/>
        <w:snapToGrid w:val="0"/>
        <w:spacing w:line="460" w:lineRule="exact"/>
        <w:ind w:firstLine="480" w:firstLineChars="200"/>
      </w:pPr>
      <w:r>
        <w:t>3.</w:t>
      </w:r>
      <w:r>
        <w:rPr>
          <w:rFonts w:hint="eastAsia"/>
        </w:rPr>
        <w:t>投标人自</w:t>
      </w:r>
      <w:r>
        <w:t>202</w:t>
      </w:r>
      <w:r>
        <w:rPr>
          <w:rFonts w:hint="default"/>
          <w:lang w:val="en-US"/>
        </w:rPr>
        <w:t>2</w:t>
      </w:r>
      <w:r>
        <w:rPr>
          <w:rFonts w:hint="eastAsia"/>
        </w:rPr>
        <w:t>年</w:t>
      </w:r>
      <w:r>
        <w:t>01</w:t>
      </w:r>
      <w:r>
        <w:rPr>
          <w:rFonts w:hint="eastAsia"/>
        </w:rPr>
        <w:t>月</w:t>
      </w:r>
      <w:r>
        <w:t>01</w:t>
      </w:r>
      <w:r>
        <w:rPr>
          <w:rFonts w:hint="eastAsia"/>
        </w:rPr>
        <w:t>日起到中标公告期结束前无行贿犯罪记录；</w:t>
      </w:r>
    </w:p>
    <w:p>
      <w:pPr>
        <w:widowControl w:val="0"/>
        <w:snapToGrid w:val="0"/>
        <w:spacing w:line="460" w:lineRule="exact"/>
        <w:ind w:firstLine="480" w:firstLineChars="200"/>
      </w:pPr>
      <w:r>
        <w:t>4.</w:t>
      </w:r>
      <w:r>
        <w:rPr>
          <w:rFonts w:hint="eastAsia"/>
        </w:rPr>
        <w:t>根据《浙江省公共信用信息管理条例》第二十六条的规定，未列入严重失信名单的（查询结果以开标当日网站页面显示为准）；</w:t>
      </w:r>
    </w:p>
    <w:p>
      <w:pPr>
        <w:widowControl w:val="0"/>
        <w:snapToGrid w:val="0"/>
        <w:spacing w:line="460" w:lineRule="exact"/>
        <w:ind w:firstLine="480" w:firstLineChars="200"/>
      </w:pPr>
      <w:r>
        <w:t>5.</w:t>
      </w:r>
      <w:r>
        <w:rPr>
          <w:rFonts w:hint="eastAsia"/>
        </w:rPr>
        <w:t>单位负责人为同一人或者存在直接控股、管理关系的不同供应商，不得参加同一合同项（同一标项）下的政府采购活动；为采购项目提供整体设计、规范编制或者项目管理、监理、检测等服务的供应商，不得再参加该采购项目的其他采购活动；</w:t>
      </w:r>
    </w:p>
    <w:p>
      <w:pPr>
        <w:widowControl w:val="0"/>
        <w:snapToGrid w:val="0"/>
        <w:spacing w:line="460" w:lineRule="exact"/>
        <w:ind w:firstLine="480" w:firstLineChars="200"/>
      </w:pPr>
      <w:r>
        <w:t>6.</w:t>
      </w:r>
      <w:r>
        <w:rPr>
          <w:rFonts w:hint="eastAsia"/>
        </w:rPr>
        <w:t>公益一类事业单位不属于政府购买服务的承接主体，不得参与承接购买服务采购项目；</w:t>
      </w:r>
    </w:p>
    <w:p>
      <w:pPr>
        <w:widowControl w:val="0"/>
        <w:snapToGrid w:val="0"/>
        <w:spacing w:line="460" w:lineRule="exact"/>
        <w:ind w:firstLine="480" w:firstLineChars="200"/>
      </w:pPr>
      <w:r>
        <w:t>7.</w:t>
      </w:r>
      <w:r>
        <w:rPr>
          <w:rFonts w:hint="eastAsia"/>
        </w:rPr>
        <w:t>落实政府采购政策需满足的资格要求；</w:t>
      </w:r>
    </w:p>
    <w:p>
      <w:pPr>
        <w:widowControl w:val="0"/>
        <w:snapToGrid w:val="0"/>
        <w:spacing w:line="460" w:lineRule="exact"/>
        <w:ind w:firstLine="480" w:firstLineChars="200"/>
      </w:pPr>
      <w:r>
        <w:rPr/>
        <w:sym w:font="Wingdings 2" w:char="F0A3"/>
      </w:r>
      <w:r>
        <w:rPr>
          <w:rFonts w:hint="eastAsia"/>
        </w:rPr>
        <w:t>无；</w:t>
      </w:r>
    </w:p>
    <w:p>
      <w:pPr>
        <w:widowControl w:val="0"/>
        <w:snapToGrid w:val="0"/>
        <w:spacing w:line="460" w:lineRule="exact"/>
        <w:ind w:firstLine="480" w:firstLineChars="200"/>
      </w:pPr>
      <w:r>
        <w:rPr/>
        <w:sym w:font="Wingdings 2" w:char="F052"/>
      </w:r>
      <w:bookmarkStart w:id="10" w:name="OLE_LINK4"/>
      <w:r>
        <w:rPr>
          <w:rFonts w:hint="eastAsia"/>
        </w:rPr>
        <w:t>专门面向中小企业</w:t>
      </w:r>
      <w:bookmarkEnd w:id="10"/>
      <w:r>
        <w:rPr>
          <w:rFonts w:hint="eastAsia"/>
        </w:rPr>
        <w:t>；</w:t>
      </w:r>
    </w:p>
    <w:p>
      <w:pPr>
        <w:widowControl w:val="0"/>
        <w:snapToGrid w:val="0"/>
        <w:spacing w:line="460" w:lineRule="exact"/>
        <w:ind w:firstLine="480" w:firstLineChars="200"/>
      </w:pPr>
      <w:r>
        <w:t>8.</w:t>
      </w:r>
      <w:r>
        <w:rPr>
          <w:rFonts w:hint="eastAsia"/>
        </w:rPr>
        <w:t>本项目的特定资格要求：无。</w:t>
      </w:r>
    </w:p>
    <w:p>
      <w:pPr>
        <w:pStyle w:val="6"/>
        <w:keepNext w:val="0"/>
        <w:keepLines w:val="0"/>
        <w:widowControl w:val="0"/>
        <w:spacing w:before="0" w:after="0" w:line="460" w:lineRule="exact"/>
        <w:rPr>
          <w:rFonts w:ascii="Times New Roman" w:hAnsi="Times New Roman" w:eastAsia="宋体"/>
          <w:sz w:val="24"/>
          <w:szCs w:val="24"/>
        </w:rPr>
      </w:pPr>
      <w:bookmarkStart w:id="11" w:name="_Toc6085"/>
      <w:bookmarkStart w:id="12" w:name="_Toc130822924"/>
      <w:bookmarkStart w:id="13" w:name="_Toc132380054"/>
      <w:r>
        <w:rPr>
          <w:rFonts w:hint="eastAsia" w:ascii="Times New Roman" w:hAnsi="Times New Roman" w:eastAsia="宋体"/>
          <w:sz w:val="24"/>
          <w:szCs w:val="24"/>
        </w:rPr>
        <w:t>三、招标文件获取时间、地点及方式：</w:t>
      </w:r>
      <w:bookmarkEnd w:id="11"/>
      <w:bookmarkEnd w:id="12"/>
      <w:bookmarkEnd w:id="13"/>
    </w:p>
    <w:p>
      <w:pPr>
        <w:widowControl w:val="0"/>
        <w:snapToGrid w:val="0"/>
        <w:spacing w:line="460" w:lineRule="exact"/>
        <w:ind w:firstLine="470" w:firstLineChars="196"/>
      </w:pPr>
      <w:r>
        <w:t>1.</w:t>
      </w:r>
      <w:r>
        <w:rPr>
          <w:rFonts w:hint="eastAsia"/>
        </w:rPr>
        <w:t>时间：公告发布时间起至投标截止时间止。</w:t>
      </w:r>
    </w:p>
    <w:p>
      <w:pPr>
        <w:widowControl w:val="0"/>
        <w:snapToGrid w:val="0"/>
        <w:spacing w:line="460" w:lineRule="exact"/>
        <w:ind w:firstLine="470" w:firstLineChars="196"/>
      </w:pPr>
      <w:r>
        <w:t>2.</w:t>
      </w:r>
      <w:r>
        <w:rPr>
          <w:rFonts w:hint="eastAsia"/>
        </w:rPr>
        <w:t>地点：浙江政府采购网（</w:t>
      </w:r>
      <w:r>
        <w:t>http://zfcg.czt.zj.gov.cn/</w:t>
      </w:r>
      <w:r>
        <w:rPr>
          <w:rFonts w:hint="eastAsia"/>
        </w:rPr>
        <w:t>）。</w:t>
      </w:r>
    </w:p>
    <w:p>
      <w:pPr>
        <w:widowControl w:val="0"/>
        <w:snapToGrid w:val="0"/>
        <w:spacing w:line="460" w:lineRule="exact"/>
        <w:ind w:firstLine="470" w:firstLineChars="196"/>
      </w:pPr>
      <w:r>
        <w:t>3.</w:t>
      </w:r>
      <w:r>
        <w:rPr>
          <w:rFonts w:hint="eastAsia"/>
        </w:rPr>
        <w:t>方式：潜在供应商应按照浙江省政府采购网上所提示的方式免费获取招标文件。</w:t>
      </w:r>
    </w:p>
    <w:p>
      <w:pPr>
        <w:widowControl w:val="0"/>
        <w:snapToGrid w:val="0"/>
        <w:spacing w:line="460" w:lineRule="exact"/>
        <w:ind w:firstLine="470" w:firstLineChars="196"/>
      </w:pPr>
      <w:r>
        <w:rPr>
          <w:rFonts w:hint="eastAsia"/>
        </w:rPr>
        <w:t>对未在规定的期限内按照上述方式获取招标文件的潜在供应商对该文件提出的质疑，采购人、采购代理机构将不予受理。</w:t>
      </w:r>
    </w:p>
    <w:p>
      <w:pPr>
        <w:pStyle w:val="6"/>
        <w:keepNext w:val="0"/>
        <w:keepLines w:val="0"/>
        <w:widowControl w:val="0"/>
        <w:spacing w:before="0" w:after="0" w:line="460" w:lineRule="exact"/>
        <w:rPr>
          <w:rFonts w:ascii="Times New Roman" w:hAnsi="Times New Roman" w:eastAsia="宋体"/>
          <w:sz w:val="24"/>
          <w:szCs w:val="24"/>
        </w:rPr>
      </w:pPr>
      <w:bookmarkStart w:id="14" w:name="_Toc130822925"/>
      <w:bookmarkStart w:id="15" w:name="_Toc4701"/>
      <w:bookmarkStart w:id="16" w:name="_Toc132380055"/>
      <w:r>
        <w:rPr>
          <w:rFonts w:hint="eastAsia" w:ascii="Times New Roman" w:hAnsi="Times New Roman" w:eastAsia="宋体"/>
          <w:sz w:val="24"/>
          <w:szCs w:val="24"/>
        </w:rPr>
        <w:t>四、投标截止时间及地点：</w:t>
      </w:r>
      <w:bookmarkEnd w:id="14"/>
      <w:bookmarkEnd w:id="15"/>
      <w:bookmarkEnd w:id="16"/>
    </w:p>
    <w:p>
      <w:pPr>
        <w:widowControl w:val="0"/>
        <w:snapToGrid w:val="0"/>
        <w:spacing w:line="460" w:lineRule="exact"/>
        <w:ind w:firstLine="470" w:firstLineChars="196"/>
      </w:pPr>
      <w:r>
        <w:t>1.</w:t>
      </w:r>
      <w:r>
        <w:rPr>
          <w:rFonts w:hint="eastAsia"/>
        </w:rPr>
        <w:t>提交投标文件截止时间：</w:t>
      </w:r>
      <w:r>
        <w:t>2025</w:t>
      </w:r>
      <w:r>
        <w:rPr>
          <w:rFonts w:hint="eastAsia"/>
        </w:rPr>
        <w:t>年</w:t>
      </w:r>
      <w:r>
        <w:rPr>
          <w:rFonts w:hint="default"/>
          <w:lang w:val="en-US"/>
        </w:rPr>
        <w:t>02</w:t>
      </w:r>
      <w:r>
        <w:rPr>
          <w:rFonts w:hint="eastAsia"/>
        </w:rPr>
        <w:t>月</w:t>
      </w:r>
      <w:r>
        <w:rPr>
          <w:rFonts w:hint="default"/>
          <w:lang w:val="en-US"/>
        </w:rPr>
        <w:t>14</w:t>
      </w:r>
      <w:r>
        <w:rPr>
          <w:rFonts w:hint="eastAsia"/>
        </w:rPr>
        <w:t>日</w:t>
      </w:r>
      <w:r>
        <w:t xml:space="preserve"> </w:t>
      </w:r>
      <w:r>
        <w:rPr>
          <w:rFonts w:hint="default"/>
          <w:lang w:val="en-US"/>
        </w:rPr>
        <w:t>09:30</w:t>
      </w:r>
      <w:r>
        <w:rPr>
          <w:rFonts w:hint="eastAsia"/>
        </w:rPr>
        <w:t>（北京时间，下同）</w:t>
      </w:r>
    </w:p>
    <w:p>
      <w:pPr>
        <w:widowControl w:val="0"/>
        <w:snapToGrid w:val="0"/>
        <w:spacing w:line="460" w:lineRule="exact"/>
        <w:ind w:firstLine="470" w:firstLineChars="196"/>
      </w:pPr>
      <w:r>
        <w:t>2.</w:t>
      </w:r>
      <w:r>
        <w:rPr>
          <w:rFonts w:hint="eastAsia"/>
        </w:rPr>
        <w:t>投标地点（网址）：政采云平台（</w:t>
      </w:r>
      <w:r>
        <w:t>https://www.zcygov.cn/</w:t>
      </w:r>
      <w:r>
        <w:rPr>
          <w:rFonts w:hint="eastAsia"/>
        </w:rPr>
        <w:t>）（以下简称</w:t>
      </w:r>
      <w:r>
        <w:t>“</w:t>
      </w:r>
      <w:r>
        <w:rPr>
          <w:rFonts w:hint="eastAsia"/>
        </w:rPr>
        <w:t>政采云</w:t>
      </w:r>
      <w:r>
        <w:t>”</w:t>
      </w:r>
      <w:r>
        <w:rPr>
          <w:rFonts w:hint="eastAsia"/>
        </w:rPr>
        <w:t>）</w:t>
      </w:r>
    </w:p>
    <w:p>
      <w:pPr>
        <w:widowControl w:val="0"/>
        <w:snapToGrid w:val="0"/>
        <w:spacing w:line="460" w:lineRule="exact"/>
        <w:ind w:firstLine="470" w:firstLineChars="196"/>
      </w:pPr>
      <w:r>
        <w:t>3.</w:t>
      </w:r>
      <w:r>
        <w:rPr>
          <w:rFonts w:hint="eastAsia"/>
        </w:rPr>
        <w:t>开标时间：</w:t>
      </w:r>
      <w:r>
        <w:t xml:space="preserve"> 2025</w:t>
      </w:r>
      <w:r>
        <w:rPr>
          <w:rFonts w:hint="eastAsia"/>
        </w:rPr>
        <w:t>年</w:t>
      </w:r>
      <w:r>
        <w:t>0</w:t>
      </w:r>
      <w:r>
        <w:rPr>
          <w:rFonts w:hint="default"/>
          <w:lang w:val="en-US"/>
        </w:rPr>
        <w:t>2</w:t>
      </w:r>
      <w:r>
        <w:rPr>
          <w:rFonts w:hint="eastAsia"/>
        </w:rPr>
        <w:t>月</w:t>
      </w:r>
      <w:r>
        <w:rPr>
          <w:rFonts w:hint="default"/>
          <w:lang w:val="en-US"/>
        </w:rPr>
        <w:t>14</w:t>
      </w:r>
      <w:r>
        <w:rPr>
          <w:rFonts w:hint="eastAsia"/>
        </w:rPr>
        <w:t>日</w:t>
      </w:r>
      <w:r>
        <w:t xml:space="preserve"> </w:t>
      </w:r>
      <w:r>
        <w:rPr>
          <w:rFonts w:hint="default"/>
          <w:lang w:val="en-US"/>
        </w:rPr>
        <w:t>09:30</w:t>
      </w:r>
      <w:r>
        <w:t> </w:t>
      </w:r>
    </w:p>
    <w:p>
      <w:pPr>
        <w:widowControl w:val="0"/>
        <w:snapToGrid w:val="0"/>
        <w:spacing w:line="460" w:lineRule="exact"/>
        <w:ind w:firstLine="470" w:firstLineChars="196"/>
      </w:pPr>
      <w:r>
        <w:t>4.</w:t>
      </w:r>
      <w:r>
        <w:rPr>
          <w:rFonts w:hint="eastAsia"/>
        </w:rPr>
        <w:t>开标地点（网址）：</w:t>
      </w:r>
      <w:r>
        <w:t>“</w:t>
      </w:r>
      <w:r>
        <w:rPr>
          <w:rFonts w:hint="eastAsia"/>
        </w:rPr>
        <w:t>政采云</w:t>
      </w:r>
      <w:r>
        <w:t>”</w:t>
      </w:r>
      <w:r>
        <w:rPr>
          <w:rFonts w:hint="eastAsia"/>
        </w:rPr>
        <w:t>（</w:t>
      </w:r>
      <w:r>
        <w:t>https://www.zcygov.cn/</w:t>
      </w:r>
      <w:r>
        <w:rPr>
          <w:rFonts w:hint="eastAsia"/>
        </w:rPr>
        <w:t>）</w:t>
      </w:r>
    </w:p>
    <w:p>
      <w:pPr>
        <w:pStyle w:val="6"/>
        <w:keepNext w:val="0"/>
        <w:keepLines w:val="0"/>
        <w:widowControl w:val="0"/>
        <w:spacing w:before="0" w:after="0" w:line="460" w:lineRule="exact"/>
        <w:rPr>
          <w:rFonts w:ascii="Times New Roman" w:hAnsi="Times New Roman" w:eastAsia="宋体"/>
          <w:sz w:val="24"/>
          <w:szCs w:val="24"/>
        </w:rPr>
      </w:pPr>
      <w:bookmarkStart w:id="17" w:name="_Toc132380056"/>
      <w:bookmarkStart w:id="18" w:name="_Toc0"/>
      <w:bookmarkStart w:id="19" w:name="_Toc130822926"/>
      <w:r>
        <w:rPr>
          <w:rFonts w:hint="eastAsia" w:ascii="Times New Roman" w:hAnsi="Times New Roman" w:eastAsia="宋体"/>
          <w:sz w:val="24"/>
          <w:szCs w:val="24"/>
        </w:rPr>
        <w:t>五、公告期限：</w:t>
      </w:r>
      <w:bookmarkEnd w:id="17"/>
      <w:bookmarkEnd w:id="18"/>
      <w:bookmarkEnd w:id="19"/>
    </w:p>
    <w:p>
      <w:pPr>
        <w:pStyle w:val="31"/>
        <w:widowControl w:val="0"/>
        <w:adjustRightInd w:val="0"/>
        <w:snapToGrid w:val="0"/>
        <w:spacing w:line="460" w:lineRule="exact"/>
        <w:ind w:firstLine="470" w:firstLineChars="196"/>
        <w:rPr>
          <w:rFonts w:ascii="Times New Roman" w:hAnsi="Times New Roman" w:cs="Times New Roman"/>
          <w:kern w:val="0"/>
          <w:sz w:val="24"/>
          <w:szCs w:val="24"/>
        </w:rPr>
      </w:pPr>
      <w:r>
        <w:rPr>
          <w:rFonts w:hint="eastAsia" w:ascii="Times New Roman" w:hAnsi="Times New Roman" w:cs="Times New Roman"/>
          <w:kern w:val="0"/>
          <w:sz w:val="24"/>
          <w:szCs w:val="24"/>
        </w:rPr>
        <w:t>自本公告发布之日起</w:t>
      </w:r>
      <w:r>
        <w:rPr>
          <w:rFonts w:ascii="Times New Roman" w:hAnsi="Times New Roman" w:cs="Times New Roman"/>
          <w:kern w:val="0"/>
          <w:sz w:val="24"/>
          <w:szCs w:val="24"/>
        </w:rPr>
        <w:t>5</w:t>
      </w:r>
      <w:r>
        <w:rPr>
          <w:rFonts w:hint="eastAsia" w:ascii="Times New Roman" w:hAnsi="Times New Roman" w:cs="Times New Roman"/>
          <w:kern w:val="0"/>
          <w:sz w:val="24"/>
          <w:szCs w:val="24"/>
        </w:rPr>
        <w:t>个工作日。</w:t>
      </w:r>
    </w:p>
    <w:p>
      <w:pPr>
        <w:pStyle w:val="6"/>
        <w:keepNext w:val="0"/>
        <w:keepLines w:val="0"/>
        <w:widowControl w:val="0"/>
        <w:spacing w:before="0" w:after="0" w:line="460" w:lineRule="exact"/>
        <w:rPr>
          <w:rFonts w:ascii="Times New Roman" w:hAnsi="Times New Roman" w:eastAsia="宋体"/>
          <w:sz w:val="24"/>
          <w:szCs w:val="24"/>
        </w:rPr>
      </w:pPr>
      <w:bookmarkStart w:id="20" w:name="_Toc130822927"/>
      <w:bookmarkStart w:id="21" w:name="_Toc13505"/>
      <w:bookmarkStart w:id="22" w:name="_Toc132380057"/>
      <w:r>
        <w:rPr>
          <w:rFonts w:hint="eastAsia" w:ascii="Times New Roman" w:hAnsi="Times New Roman" w:eastAsia="宋体"/>
          <w:sz w:val="24"/>
          <w:szCs w:val="24"/>
        </w:rPr>
        <w:t>六、其他补充事宜</w:t>
      </w:r>
      <w:bookmarkEnd w:id="20"/>
      <w:bookmarkEnd w:id="21"/>
      <w:bookmarkEnd w:id="22"/>
    </w:p>
    <w:p>
      <w:pPr>
        <w:widowControl w:val="0"/>
        <w:spacing w:line="460" w:lineRule="exact"/>
      </w:pPr>
      <w:r>
        <w:t xml:space="preserve">    </w:t>
      </w:r>
      <w:bookmarkStart w:id="23" w:name="OLE_LINK5"/>
      <w:r>
        <w:t>1.</w:t>
      </w:r>
      <w:r>
        <w:rPr>
          <w:rFonts w:hint="eastAsia"/>
        </w:rPr>
        <w:t>根据《浙江省财政厅关于进一步促进政府采购公平竞争打造最优营商环境的通知》（浙财采监〔</w:t>
      </w:r>
      <w:r>
        <w:t>2021</w:t>
      </w:r>
      <w:r>
        <w:rPr>
          <w:rFonts w:hint="eastAsia"/>
        </w:rPr>
        <w:t>〕</w:t>
      </w:r>
      <w:r>
        <w:t>22</w:t>
      </w:r>
      <w:r>
        <w:rPr>
          <w:rFonts w:hint="eastAsia"/>
        </w:rPr>
        <w:t>号）文件关于</w:t>
      </w:r>
      <w:r>
        <w:t>“</w:t>
      </w:r>
      <w:r>
        <w:rPr>
          <w:rFonts w:hint="eastAsia"/>
        </w:rPr>
        <w:t>健全行政裁决机制</w:t>
      </w:r>
      <w:r>
        <w:t>”</w:t>
      </w:r>
      <w:r>
        <w:rPr>
          <w:rFonts w:hint="eastAsia"/>
        </w:rPr>
        <w:t>要求，鼓励供应商在线提起询问，路径为：</w:t>
      </w:r>
      <w:r>
        <w:t>“</w:t>
      </w:r>
      <w:r>
        <w:rPr>
          <w:rFonts w:hint="eastAsia"/>
        </w:rPr>
        <w:t>政采云</w:t>
      </w:r>
      <w:r>
        <w:t>”-</w:t>
      </w:r>
      <w:r>
        <w:rPr>
          <w:rFonts w:hint="eastAsia"/>
        </w:rPr>
        <w:t>项目采购</w:t>
      </w:r>
      <w:r>
        <w:t>-</w:t>
      </w:r>
      <w:r>
        <w:rPr>
          <w:rFonts w:hint="eastAsia"/>
        </w:rPr>
        <w:t>询问质疑投诉</w:t>
      </w:r>
      <w:r>
        <w:t>-</w:t>
      </w:r>
      <w:r>
        <w:rPr>
          <w:rFonts w:hint="eastAsia"/>
        </w:rPr>
        <w:t>询问列表：鼓励供应商在线提起质疑，路径为：</w:t>
      </w:r>
      <w:r>
        <w:t>“</w:t>
      </w:r>
      <w:r>
        <w:rPr>
          <w:rFonts w:hint="eastAsia"/>
        </w:rPr>
        <w:t>政采云</w:t>
      </w:r>
      <w:r>
        <w:t>”-</w:t>
      </w:r>
      <w:r>
        <w:rPr>
          <w:rFonts w:hint="eastAsia"/>
        </w:rPr>
        <w:t>项目采购</w:t>
      </w:r>
      <w:r>
        <w:t>-</w:t>
      </w:r>
      <w:r>
        <w:rPr>
          <w:rFonts w:hint="eastAsia"/>
        </w:rPr>
        <w:t>询问质疑投诉</w:t>
      </w:r>
      <w:r>
        <w:t>-</w:t>
      </w:r>
      <w:r>
        <w:rPr>
          <w:rFonts w:hint="eastAsia"/>
        </w:rPr>
        <w:t>质疑列表。质疑供应商对在线质疑答复不满意的，可在线提起投诉，路径为：浙江政务服务网</w:t>
      </w:r>
      <w:r>
        <w:t>-</w:t>
      </w:r>
      <w:r>
        <w:rPr>
          <w:rFonts w:hint="eastAsia"/>
        </w:rPr>
        <w:t>政府采购投诉处理</w:t>
      </w:r>
      <w:r>
        <w:t>-</w:t>
      </w:r>
      <w:r>
        <w:rPr>
          <w:rFonts w:hint="eastAsia"/>
        </w:rPr>
        <w:t>在线办理。</w:t>
      </w:r>
    </w:p>
    <w:p>
      <w:pPr>
        <w:pStyle w:val="31"/>
        <w:widowControl w:val="0"/>
        <w:spacing w:line="460" w:lineRule="exact"/>
        <w:ind w:firstLine="470" w:firstLineChars="196"/>
        <w:rPr>
          <w:rFonts w:ascii="Times New Roman" w:hAnsi="Times New Roman" w:cs="Times New Roman"/>
          <w:kern w:val="0"/>
          <w:sz w:val="24"/>
          <w:szCs w:val="24"/>
        </w:rPr>
      </w:pPr>
      <w:r>
        <w:rPr>
          <w:rFonts w:ascii="Times New Roman" w:hAnsi="Times New Roman" w:cs="Times New Roman"/>
          <w:kern w:val="0"/>
          <w:sz w:val="24"/>
          <w:szCs w:val="24"/>
        </w:rPr>
        <w:t>2.</w:t>
      </w:r>
      <w:r>
        <w:rPr>
          <w:rFonts w:hint="eastAsia" w:ascii="Times New Roman" w:hAnsi="Times New Roman" w:cs="Times New Roman"/>
          <w:kern w:val="0"/>
          <w:sz w:val="24"/>
          <w:szCs w:val="24"/>
        </w:rPr>
        <w:t>供应商认为</w:t>
      </w:r>
      <w:r>
        <w:rPr>
          <w:rFonts w:hint="eastAsia" w:ascii="Times New Roman" w:hAnsi="Times New Roman" w:cs="Times New Roman"/>
          <w:sz w:val="24"/>
        </w:rPr>
        <w:t>招标文件</w:t>
      </w:r>
      <w:r>
        <w:rPr>
          <w:rFonts w:hint="eastAsia" w:ascii="Times New Roman" w:hAnsi="Times New Roman" w:cs="Times New Roman"/>
          <w:kern w:val="0"/>
          <w:sz w:val="24"/>
          <w:szCs w:val="24"/>
        </w:rPr>
        <w:t>使自己的权益受到损害的，可以自获取采购文件之日或者</w:t>
      </w:r>
      <w:r>
        <w:rPr>
          <w:rFonts w:hint="eastAsia" w:ascii="Times New Roman" w:hAnsi="Times New Roman" w:cs="Times New Roman"/>
          <w:sz w:val="24"/>
        </w:rPr>
        <w:t>招标文件</w:t>
      </w:r>
      <w:r>
        <w:rPr>
          <w:rFonts w:hint="eastAsia" w:ascii="Times New Roman" w:hAnsi="Times New Roman" w:cs="Times New Roman"/>
          <w:kern w:val="0"/>
          <w:sz w:val="24"/>
          <w:szCs w:val="24"/>
        </w:rPr>
        <w:t>公告期限届满之日（公告期限届满后获取</w:t>
      </w:r>
      <w:r>
        <w:rPr>
          <w:rFonts w:hint="eastAsia" w:ascii="Times New Roman" w:hAnsi="Times New Roman" w:cs="Times New Roman"/>
          <w:sz w:val="24"/>
        </w:rPr>
        <w:t>招标文件</w:t>
      </w:r>
      <w:r>
        <w:rPr>
          <w:rFonts w:hint="eastAsia" w:ascii="Times New Roman" w:hAnsi="Times New Roman" w:cs="Times New Roman"/>
          <w:kern w:val="0"/>
          <w:sz w:val="24"/>
          <w:szCs w:val="24"/>
        </w:rPr>
        <w:t>的，以公告期限届满之日为准）起</w:t>
      </w:r>
      <w:r>
        <w:rPr>
          <w:rFonts w:ascii="Times New Roman" w:hAnsi="Times New Roman" w:cs="Times New Roman"/>
          <w:kern w:val="0"/>
          <w:sz w:val="24"/>
          <w:szCs w:val="24"/>
        </w:rPr>
        <w:t>7</w:t>
      </w:r>
      <w:r>
        <w:rPr>
          <w:rFonts w:hint="eastAsia" w:ascii="Times New Roman" w:hAnsi="Times New Roman" w:cs="Times New Roman"/>
          <w:kern w:val="0"/>
          <w:sz w:val="24"/>
          <w:szCs w:val="24"/>
        </w:rPr>
        <w:t>个工作日内，对</w:t>
      </w:r>
      <w:r>
        <w:rPr>
          <w:rFonts w:hint="eastAsia" w:ascii="Times New Roman" w:hAnsi="Times New Roman" w:cs="Times New Roman"/>
          <w:sz w:val="24"/>
        </w:rPr>
        <w:t>招标文件</w:t>
      </w:r>
      <w:r>
        <w:rPr>
          <w:rFonts w:hint="eastAsia" w:ascii="Times New Roman" w:hAnsi="Times New Roman" w:cs="Times New Roman"/>
          <w:kern w:val="0"/>
          <w:sz w:val="24"/>
          <w:szCs w:val="24"/>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23"/>
    <w:p>
      <w:pPr>
        <w:pStyle w:val="31"/>
        <w:widowControl w:val="0"/>
        <w:spacing w:line="460" w:lineRule="exact"/>
        <w:ind w:firstLine="470" w:firstLineChars="196"/>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投标保证金：无</w:t>
      </w:r>
    </w:p>
    <w:p>
      <w:pPr>
        <w:widowControl w:val="0"/>
        <w:snapToGrid w:val="0"/>
        <w:spacing w:line="460" w:lineRule="exact"/>
        <w:ind w:firstLine="480" w:firstLineChars="200"/>
      </w:pPr>
      <w:r>
        <w:t>4.</w:t>
      </w:r>
      <w:r>
        <w:rPr>
          <w:rFonts w:hint="eastAsia"/>
        </w:rPr>
        <w:t>投标与开标注意事项：</w:t>
      </w:r>
    </w:p>
    <w:p>
      <w:pPr>
        <w:widowControl w:val="0"/>
        <w:snapToGrid w:val="0"/>
        <w:spacing w:line="460" w:lineRule="exact"/>
        <w:ind w:firstLine="480" w:firstLineChars="200"/>
      </w:pPr>
      <w:r>
        <w:rPr>
          <w:rFonts w:hint="eastAsia" w:ascii="宋体" w:hAnsi="宋体" w:cs="宋体"/>
        </w:rPr>
        <w:t>①</w:t>
      </w:r>
      <w:r>
        <w:rPr>
          <w:rFonts w:hint="eastAsia"/>
        </w:rPr>
        <w:t>标前准备：本项目通过</w:t>
      </w:r>
      <w:r>
        <w:t>“</w:t>
      </w:r>
      <w:r>
        <w:rPr>
          <w:rFonts w:hint="eastAsia"/>
        </w:rPr>
        <w:t>政采云</w:t>
      </w:r>
      <w:r>
        <w:t>”</w:t>
      </w:r>
      <w:r>
        <w:rPr>
          <w:rFonts w:hint="eastAsia"/>
        </w:rPr>
        <w:t>实行在线投标（电子投标），各供应商在投标前应确保成为浙江政府采购网正式注册入库供应商，并完成</w:t>
      </w:r>
      <w:r>
        <w:t>CA</w:t>
      </w:r>
      <w:r>
        <w:rPr>
          <w:rFonts w:hint="eastAsia"/>
        </w:rPr>
        <w:t>数字证书办理。【办理流程详见电子投标工具链接：（</w:t>
      </w:r>
      <w:r>
        <w:fldChar w:fldCharType="begin"/>
      </w:r>
      <w:r>
        <w:instrText xml:space="preserve"> HYPERLINK "file:///C:\\Users\\Administrator\\AppData\\Roaming\\Microsoft\\Word\\CA申领操作指南.pdf" </w:instrText>
      </w:r>
      <w:r>
        <w:fldChar w:fldCharType="separate"/>
      </w:r>
      <w:r>
        <w:rPr>
          <w:rFonts w:hint="eastAsia"/>
        </w:rPr>
        <w:t>目前</w:t>
      </w:r>
      <w:r>
        <w:t>“</w:t>
      </w:r>
      <w:r>
        <w:rPr>
          <w:rFonts w:hint="eastAsia"/>
        </w:rPr>
        <w:t>政采云</w:t>
      </w:r>
      <w:r>
        <w:t>”</w:t>
      </w:r>
      <w:r>
        <w:rPr>
          <w:rFonts w:hint="eastAsia"/>
        </w:rPr>
        <w:t>仅支持浙江汇信或天谷</w:t>
      </w:r>
      <w:r>
        <w:t>CA</w:t>
      </w:r>
      <w:r>
        <w:rPr>
          <w:rFonts w:hint="eastAsia"/>
        </w:rPr>
        <w:t>锁，个体工商户投标仅支持浙江汇信</w:t>
      </w:r>
      <w:r>
        <w:t>CA</w:t>
      </w:r>
      <w:r>
        <w:rPr>
          <w:rFonts w:hint="eastAsia"/>
        </w:rPr>
        <w:t>锁）申领操作流程</w:t>
      </w:r>
      <w:r>
        <w:rPr>
          <w:rFonts w:hint="eastAsia"/>
        </w:rPr>
        <w:fldChar w:fldCharType="end"/>
      </w:r>
      <w:r>
        <w:rPr>
          <w:rFonts w:hint="eastAsia"/>
        </w:rPr>
        <w:t>】。因未注册入库、未办理</w:t>
      </w:r>
      <w:r>
        <w:t>CA</w:t>
      </w:r>
      <w:r>
        <w:rPr>
          <w:rFonts w:hint="eastAsia"/>
        </w:rPr>
        <w:t>数字证书等原因造成无法投标或投标失败等后果由供应商自行承担。</w:t>
      </w:r>
    </w:p>
    <w:p>
      <w:pPr>
        <w:widowControl w:val="0"/>
        <w:snapToGrid w:val="0"/>
        <w:spacing w:line="460" w:lineRule="exact"/>
        <w:ind w:firstLine="480" w:firstLineChars="200"/>
      </w:pPr>
      <w:r>
        <w:rPr>
          <w:rFonts w:hint="eastAsia" w:ascii="宋体" w:hAnsi="宋体" w:cs="宋体"/>
        </w:rPr>
        <w:t>②</w:t>
      </w:r>
      <w:r>
        <w:rPr>
          <w:rFonts w:hint="eastAsia"/>
        </w:rPr>
        <w:t>投标文件制作：投标人通过</w:t>
      </w:r>
      <w:r>
        <w:t>“</w:t>
      </w:r>
      <w:r>
        <w:rPr>
          <w:rFonts w:hint="eastAsia"/>
        </w:rPr>
        <w:t>政采云</w:t>
      </w:r>
      <w:r>
        <w:t>”</w:t>
      </w:r>
      <w:r>
        <w:rPr>
          <w:rFonts w:hint="eastAsia"/>
        </w:rPr>
        <w:t>电子投标工具制作投标文件（</w:t>
      </w:r>
      <w:r>
        <w:t>https://customer.zcygov.cn/CA-driver-download</w:t>
      </w:r>
      <w:r>
        <w:rPr>
          <w:rFonts w:hint="eastAsia"/>
        </w:rPr>
        <w:t>），投标文件制作具体流程详见</w:t>
      </w:r>
      <w:r>
        <w:t>“</w:t>
      </w:r>
      <w:r>
        <w:rPr>
          <w:rFonts w:hint="eastAsia"/>
        </w:rPr>
        <w:t>政采云</w:t>
      </w:r>
      <w:r>
        <w:t>”</w:t>
      </w:r>
      <w:r>
        <w:rPr>
          <w:rFonts w:hint="eastAsia"/>
        </w:rPr>
        <w:t>供应商项目采购</w:t>
      </w:r>
      <w:r>
        <w:t>-</w:t>
      </w:r>
      <w:r>
        <w:rPr>
          <w:rFonts w:hint="eastAsia"/>
        </w:rPr>
        <w:t>电子招投标操作指南（</w:t>
      </w:r>
      <w:r>
        <w:t xml:space="preserve"> https://edu.zcygov.cn/luban/e-biding</w:t>
      </w:r>
      <w:r>
        <w:rPr>
          <w:rFonts w:hint="eastAsia"/>
        </w:rPr>
        <w:t>）以获取最新操作指南。</w:t>
      </w:r>
    </w:p>
    <w:p>
      <w:pPr>
        <w:pStyle w:val="31"/>
        <w:widowControl w:val="0"/>
        <w:adjustRightInd w:val="0"/>
        <w:snapToGrid w:val="0"/>
        <w:spacing w:line="460" w:lineRule="exact"/>
        <w:ind w:firstLine="480" w:firstLineChars="200"/>
        <w:rPr>
          <w:rFonts w:ascii="Times New Roman" w:hAnsi="Times New Roman" w:cs="Times New Roman"/>
          <w:b/>
          <w:sz w:val="24"/>
          <w:szCs w:val="24"/>
        </w:rPr>
      </w:pPr>
      <w:r>
        <w:rPr>
          <w:rFonts w:hint="eastAsia" w:hAnsi="宋体" w:cs="宋体"/>
          <w:kern w:val="0"/>
          <w:sz w:val="24"/>
          <w:szCs w:val="24"/>
        </w:rPr>
        <w:t>③</w:t>
      </w:r>
      <w:r>
        <w:rPr>
          <w:rFonts w:hint="eastAsia" w:ascii="Times New Roman" w:hAnsi="Times New Roman" w:cs="Times New Roman"/>
          <w:kern w:val="0"/>
          <w:sz w:val="24"/>
          <w:szCs w:val="24"/>
        </w:rPr>
        <w:t>投标文件上传：投标人应在投标截止时间之前上传投标文件，同时，投标人可在投标截止时间前将在</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上最后生成的具备电子签章的备份投标文件以电子邮件方式传送至义乌市政府采购中心邮箱（</w:t>
      </w:r>
      <w:r>
        <w:rPr>
          <w:rFonts w:ascii="Times New Roman" w:hAnsi="Times New Roman" w:cs="Times New Roman"/>
          <w:kern w:val="0"/>
          <w:sz w:val="24"/>
          <w:szCs w:val="24"/>
        </w:rPr>
        <w:t>ywszfcgzx@163.com</w:t>
      </w:r>
      <w:r>
        <w:rPr>
          <w:rFonts w:hint="eastAsia" w:ascii="Times New Roman" w:hAnsi="Times New Roman" w:cs="Times New Roman"/>
          <w:kern w:val="0"/>
          <w:sz w:val="24"/>
          <w:szCs w:val="24"/>
        </w:rPr>
        <w:t>），传送的备份投标文件（文件名采用</w:t>
      </w:r>
      <w:r>
        <w:rPr>
          <w:rFonts w:ascii="Times New Roman" w:hAnsi="Times New Roman" w:cs="Times New Roman"/>
          <w:kern w:val="0"/>
          <w:sz w:val="24"/>
          <w:szCs w:val="24"/>
        </w:rPr>
        <w:t>“</w:t>
      </w:r>
      <w:r>
        <w:rPr>
          <w:rFonts w:hint="eastAsia" w:ascii="Times New Roman" w:hAnsi="Times New Roman" w:cs="Times New Roman"/>
          <w:kern w:val="0"/>
          <w:sz w:val="24"/>
          <w:szCs w:val="24"/>
        </w:rPr>
        <w:t>采购编号</w:t>
      </w:r>
      <w:r>
        <w:rPr>
          <w:rFonts w:ascii="Times New Roman" w:hAnsi="Times New Roman" w:cs="Times New Roman"/>
          <w:kern w:val="0"/>
          <w:sz w:val="24"/>
          <w:szCs w:val="24"/>
        </w:rPr>
        <w:t>+</w:t>
      </w:r>
      <w:r>
        <w:rPr>
          <w:rFonts w:hint="eastAsia" w:ascii="Times New Roman" w:hAnsi="Times New Roman" w:cs="Times New Roman"/>
          <w:kern w:val="0"/>
          <w:sz w:val="24"/>
          <w:szCs w:val="24"/>
        </w:rPr>
        <w:t>投标人名称</w:t>
      </w:r>
      <w:r>
        <w:rPr>
          <w:rFonts w:ascii="Times New Roman" w:hAnsi="Times New Roman" w:cs="Times New Roman"/>
          <w:kern w:val="0"/>
          <w:sz w:val="24"/>
          <w:szCs w:val="24"/>
        </w:rPr>
        <w:t>+</w:t>
      </w:r>
      <w:r>
        <w:rPr>
          <w:rFonts w:hint="eastAsia" w:ascii="Times New Roman" w:hAnsi="Times New Roman" w:cs="Times New Roman"/>
          <w:kern w:val="0"/>
          <w:sz w:val="24"/>
          <w:szCs w:val="24"/>
        </w:rPr>
        <w:t>系统自动生成的后缀名</w:t>
      </w:r>
      <w:r>
        <w:rPr>
          <w:rFonts w:ascii="Times New Roman" w:hAnsi="Times New Roman" w:cs="Times New Roman"/>
          <w:kern w:val="0"/>
          <w:sz w:val="24"/>
          <w:szCs w:val="24"/>
        </w:rPr>
        <w:t>”</w:t>
      </w:r>
      <w:r>
        <w:rPr>
          <w:rFonts w:hint="eastAsia" w:ascii="Times New Roman" w:hAnsi="Times New Roman" w:cs="Times New Roman"/>
          <w:kern w:val="0"/>
          <w:sz w:val="24"/>
          <w:szCs w:val="24"/>
        </w:rPr>
        <w:t>）需打包压缩并加密，加密密码由投标人自行保管。为了防止泄密，建议投标人在设置加密密码时采用大小写字母加数字的组合方式。</w:t>
      </w:r>
      <w:r>
        <w:rPr>
          <w:rFonts w:hint="eastAsia" w:ascii="Times New Roman" w:hAnsi="Times New Roman" w:cs="Times New Roman"/>
          <w:b/>
          <w:sz w:val="24"/>
          <w:szCs w:val="24"/>
        </w:rPr>
        <w:t>投标供应商仅递交备份投标文件的，投标无效。</w:t>
      </w:r>
    </w:p>
    <w:p>
      <w:pPr>
        <w:widowControl w:val="0"/>
        <w:snapToGrid w:val="0"/>
        <w:spacing w:line="460" w:lineRule="exact"/>
        <w:ind w:firstLine="470" w:firstLineChars="196"/>
      </w:pPr>
      <w:r>
        <w:rPr>
          <w:rFonts w:hint="eastAsia" w:ascii="宋体" w:hAnsi="宋体" w:cs="宋体"/>
        </w:rPr>
        <w:t>④</w:t>
      </w:r>
      <w:r>
        <w:rPr>
          <w:rFonts w:hint="eastAsia"/>
        </w:rPr>
        <w:t>开标与投标文件解密：本项目采用线上开标，供应商无需到开标现场，但应准时参加线上开标。开标时间后招标方开启解密。开启解密后的</w:t>
      </w:r>
      <w:r>
        <w:t>1</w:t>
      </w:r>
      <w:r>
        <w:rPr>
          <w:rFonts w:hint="eastAsia"/>
        </w:rPr>
        <w:t>小时内，供应商应当登录</w:t>
      </w:r>
      <w:r>
        <w:t>“</w:t>
      </w:r>
      <w:r>
        <w:rPr>
          <w:rFonts w:hint="eastAsia"/>
        </w:rPr>
        <w:t>政采云</w:t>
      </w:r>
      <w:r>
        <w:t>”</w:t>
      </w:r>
      <w:r>
        <w:rPr>
          <w:rFonts w:hint="eastAsia"/>
        </w:rPr>
        <w:t>，用</w:t>
      </w:r>
      <w:r>
        <w:t>“</w:t>
      </w:r>
      <w:r>
        <w:rPr>
          <w:rFonts w:hint="eastAsia"/>
        </w:rPr>
        <w:t>项目采购</w:t>
      </w:r>
      <w:r>
        <w:t>-</w:t>
      </w:r>
      <w:r>
        <w:rPr>
          <w:rFonts w:hint="eastAsia"/>
        </w:rPr>
        <w:t>开标评标</w:t>
      </w:r>
      <w:r>
        <w:t>”</w:t>
      </w:r>
      <w:r>
        <w:rPr>
          <w:rFonts w:hint="eastAsia"/>
        </w:rPr>
        <w:t>功能解密投标文件。</w:t>
      </w:r>
    </w:p>
    <w:p>
      <w:pPr>
        <w:widowControl w:val="0"/>
        <w:snapToGrid w:val="0"/>
        <w:spacing w:line="460" w:lineRule="exact"/>
        <w:ind w:firstLine="480" w:firstLineChars="200"/>
      </w:pPr>
      <w:r>
        <w:rPr>
          <w:rFonts w:hint="eastAsia"/>
        </w:rPr>
        <w:t>如</w:t>
      </w:r>
      <w:r>
        <w:t>“</w:t>
      </w:r>
      <w:r>
        <w:rPr>
          <w:rFonts w:hint="eastAsia"/>
        </w:rPr>
        <w:t>政采云</w:t>
      </w:r>
      <w:r>
        <w:t>”</w:t>
      </w:r>
      <w:r>
        <w:rPr>
          <w:rFonts w:hint="eastAsia"/>
        </w:rPr>
        <w:t>上投标文件在规定时间内出现解密失败的，投标人可按照自身意愿确认同意提供加密密码，启用备份文件，并由招标方把备份文件上传至</w:t>
      </w:r>
      <w:r>
        <w:t>“</w:t>
      </w:r>
      <w:r>
        <w:rPr>
          <w:rFonts w:hint="eastAsia"/>
        </w:rPr>
        <w:t>政采云</w:t>
      </w:r>
      <w:r>
        <w:t>”</w:t>
      </w:r>
      <w:r>
        <w:rPr>
          <w:rFonts w:hint="eastAsia"/>
        </w:rPr>
        <w:t>。如投标人未按照规定时间及要求提供有效备份标书，同时</w:t>
      </w:r>
      <w:r>
        <w:t>“</w:t>
      </w:r>
      <w:r>
        <w:rPr>
          <w:rFonts w:hint="eastAsia"/>
        </w:rPr>
        <w:t>政采云</w:t>
      </w:r>
      <w:r>
        <w:t>”</w:t>
      </w:r>
      <w:r>
        <w:rPr>
          <w:rFonts w:hint="eastAsia"/>
        </w:rPr>
        <w:t>上投标文件解密失败的，将导致投标无效。</w:t>
      </w:r>
    </w:p>
    <w:p>
      <w:pPr>
        <w:pStyle w:val="31"/>
        <w:widowControl w:val="0"/>
        <w:adjustRightInd w:val="0"/>
        <w:snapToGrid w:val="0"/>
        <w:spacing w:line="460" w:lineRule="exact"/>
        <w:ind w:firstLine="480" w:firstLineChars="200"/>
        <w:rPr>
          <w:rFonts w:ascii="Times New Roman" w:hAnsi="Times New Roman" w:cs="Times New Roman"/>
          <w:b/>
          <w:sz w:val="24"/>
          <w:szCs w:val="24"/>
        </w:rPr>
      </w:pPr>
      <w:r>
        <w:rPr>
          <w:rFonts w:hint="eastAsia" w:ascii="Times New Roman" w:hAnsi="Times New Roman" w:cs="Times New Roman"/>
          <w:kern w:val="0"/>
          <w:sz w:val="24"/>
          <w:szCs w:val="24"/>
        </w:rPr>
        <w:t>如果投标人发送两份以上备份投标文件的，以最后收到的一份为准，</w:t>
      </w:r>
      <w:r>
        <w:rPr>
          <w:rFonts w:hint="eastAsia" w:ascii="Times New Roman" w:hAnsi="Times New Roman" w:cs="Times New Roman"/>
          <w:sz w:val="24"/>
          <w:szCs w:val="24"/>
        </w:rPr>
        <w:t>通过</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上</w:t>
      </w:r>
      <w:r>
        <w:rPr>
          <w:rFonts w:hint="eastAsia" w:ascii="Times New Roman" w:hAnsi="Times New Roman" w:cs="Times New Roman"/>
          <w:sz w:val="24"/>
          <w:szCs w:val="24"/>
        </w:rPr>
        <w:t>传递交的</w:t>
      </w:r>
      <w:r>
        <w:rPr>
          <w:rFonts w:ascii="Times New Roman" w:hAnsi="Times New Roman" w:cs="Times New Roman"/>
          <w:sz w:val="24"/>
          <w:szCs w:val="24"/>
        </w:rPr>
        <w:t>“</w:t>
      </w:r>
      <w:r>
        <w:rPr>
          <w:rFonts w:hint="eastAsia" w:ascii="Times New Roman" w:hAnsi="Times New Roman" w:cs="Times New Roman"/>
          <w:sz w:val="24"/>
          <w:szCs w:val="24"/>
        </w:rPr>
        <w:t>加密投标文件</w:t>
      </w:r>
      <w:r>
        <w:rPr>
          <w:rFonts w:ascii="Times New Roman" w:hAnsi="Times New Roman" w:cs="Times New Roman"/>
          <w:sz w:val="24"/>
          <w:szCs w:val="24"/>
        </w:rPr>
        <w:t>”</w:t>
      </w:r>
      <w:r>
        <w:rPr>
          <w:rFonts w:hint="eastAsia" w:ascii="Times New Roman" w:hAnsi="Times New Roman" w:cs="Times New Roman"/>
          <w:sz w:val="24"/>
          <w:szCs w:val="24"/>
        </w:rPr>
        <w:t>已按时解密的，</w:t>
      </w:r>
      <w:r>
        <w:rPr>
          <w:rFonts w:ascii="Times New Roman" w:hAnsi="Times New Roman" w:cs="Times New Roman"/>
          <w:sz w:val="24"/>
          <w:szCs w:val="24"/>
        </w:rPr>
        <w:t>“</w:t>
      </w:r>
      <w:r>
        <w:rPr>
          <w:rFonts w:hint="eastAsia" w:ascii="Times New Roman" w:hAnsi="Times New Roman" w:cs="Times New Roman"/>
          <w:sz w:val="24"/>
          <w:szCs w:val="24"/>
        </w:rPr>
        <w:t>备份投标文件</w:t>
      </w:r>
      <w:r>
        <w:rPr>
          <w:rFonts w:ascii="Times New Roman" w:hAnsi="Times New Roman" w:cs="Times New Roman"/>
          <w:sz w:val="24"/>
          <w:szCs w:val="24"/>
        </w:rPr>
        <w:t>”</w:t>
      </w:r>
      <w:r>
        <w:rPr>
          <w:rFonts w:hint="eastAsia" w:ascii="Times New Roman" w:hAnsi="Times New Roman" w:cs="Times New Roman"/>
          <w:sz w:val="24"/>
          <w:szCs w:val="24"/>
        </w:rPr>
        <w:t>自动失效。</w:t>
      </w:r>
    </w:p>
    <w:p>
      <w:pPr>
        <w:widowControl w:val="0"/>
        <w:snapToGrid w:val="0"/>
        <w:spacing w:line="460" w:lineRule="exact"/>
        <w:ind w:firstLine="470" w:firstLineChars="196"/>
      </w:pPr>
      <w:r>
        <w:t>5.</w:t>
      </w:r>
      <w:r>
        <w:rPr>
          <w:rFonts w:hint="eastAsia"/>
        </w:rPr>
        <w:t>参与在线投标时如遇平台技术问题可登录</w:t>
      </w:r>
      <w:r>
        <w:t>“</w:t>
      </w:r>
      <w:r>
        <w:rPr>
          <w:rFonts w:hint="eastAsia"/>
        </w:rPr>
        <w:t>政采云</w:t>
      </w:r>
      <w:r>
        <w:t>”</w:t>
      </w:r>
      <w:r>
        <w:rPr>
          <w:rFonts w:hint="eastAsia"/>
        </w:rPr>
        <w:t>，点击右侧咨询小采，获取采小蜜智能服务管家帮助，或拨打</w:t>
      </w:r>
      <w:r>
        <w:t>“</w:t>
      </w:r>
      <w:r>
        <w:rPr>
          <w:rFonts w:hint="eastAsia"/>
        </w:rPr>
        <w:t>政采云</w:t>
      </w:r>
      <w:r>
        <w:t>”</w:t>
      </w:r>
      <w:r>
        <w:rPr>
          <w:rFonts w:hint="eastAsia"/>
        </w:rPr>
        <w:t>服务热线</w:t>
      </w:r>
      <w:r>
        <w:t>95763</w:t>
      </w:r>
      <w:r>
        <w:rPr>
          <w:rFonts w:hint="eastAsia"/>
          <w:shd w:val="clear" w:color="auto" w:fill="FFFFFF"/>
        </w:rPr>
        <w:t>（服务时间：工作日</w:t>
      </w:r>
      <w:r>
        <w:rPr>
          <w:shd w:val="clear" w:color="auto" w:fill="FFFFFF"/>
        </w:rPr>
        <w:t>8</w:t>
      </w:r>
      <w:r>
        <w:rPr>
          <w:rFonts w:hint="eastAsia"/>
          <w:shd w:val="clear" w:color="auto" w:fill="FFFFFF"/>
        </w:rPr>
        <w:t>：</w:t>
      </w:r>
      <w:r>
        <w:rPr>
          <w:shd w:val="clear" w:color="auto" w:fill="FFFFFF"/>
        </w:rPr>
        <w:t>00-20</w:t>
      </w:r>
      <w:r>
        <w:rPr>
          <w:rFonts w:hint="eastAsia"/>
          <w:shd w:val="clear" w:color="auto" w:fill="FFFFFF"/>
        </w:rPr>
        <w:t>：</w:t>
      </w:r>
      <w:r>
        <w:rPr>
          <w:shd w:val="clear" w:color="auto" w:fill="FFFFFF"/>
        </w:rPr>
        <w:t>00</w:t>
      </w:r>
      <w:r>
        <w:rPr>
          <w:rFonts w:hint="eastAsia"/>
          <w:shd w:val="clear" w:color="auto" w:fill="FFFFFF"/>
        </w:rPr>
        <w:t>）</w:t>
      </w:r>
      <w:r>
        <w:rPr>
          <w:rFonts w:hint="eastAsia"/>
        </w:rPr>
        <w:t>；电子投标制作问题详询：汪先生</w:t>
      </w:r>
      <w:r>
        <w:t>0579</w:t>
      </w:r>
      <w:r>
        <w:rPr>
          <w:rFonts w:hint="eastAsia"/>
        </w:rPr>
        <w:t>－</w:t>
      </w:r>
      <w:r>
        <w:t>85583800</w:t>
      </w:r>
      <w:r>
        <w:rPr>
          <w:rFonts w:hint="eastAsia"/>
        </w:rPr>
        <w:t>。</w:t>
      </w:r>
    </w:p>
    <w:p>
      <w:pPr>
        <w:widowControl w:val="0"/>
        <w:spacing w:line="460" w:lineRule="exact"/>
      </w:pPr>
      <w:r>
        <w:t xml:space="preserve">    6. CA</w:t>
      </w:r>
      <w:r>
        <w:rPr>
          <w:rFonts w:hint="eastAsia"/>
        </w:rPr>
        <w:t>问题联系电话（人工）：汇信</w:t>
      </w:r>
      <w:r>
        <w:t>CA 400-888-4636</w:t>
      </w:r>
      <w:r>
        <w:rPr>
          <w:rFonts w:hint="eastAsia"/>
        </w:rPr>
        <w:t>；天谷</w:t>
      </w:r>
      <w:r>
        <w:t>CA 400-087-8198</w:t>
      </w:r>
      <w:r>
        <w:rPr>
          <w:rFonts w:hint="eastAsia"/>
        </w:rPr>
        <w:t>。</w:t>
      </w:r>
    </w:p>
    <w:p>
      <w:pPr>
        <w:pStyle w:val="6"/>
        <w:keepNext w:val="0"/>
        <w:keepLines w:val="0"/>
        <w:widowControl w:val="0"/>
        <w:spacing w:before="0" w:after="0" w:line="460" w:lineRule="exact"/>
        <w:rPr>
          <w:rFonts w:ascii="Times New Roman" w:hAnsi="Times New Roman" w:eastAsia="宋体"/>
          <w:sz w:val="24"/>
          <w:szCs w:val="24"/>
        </w:rPr>
      </w:pPr>
      <w:bookmarkStart w:id="24" w:name="_Toc7088"/>
      <w:bookmarkStart w:id="25" w:name="_Toc132380058"/>
      <w:bookmarkStart w:id="26" w:name="_Toc130822928"/>
      <w:r>
        <w:rPr>
          <w:rFonts w:hint="eastAsia" w:ascii="Times New Roman" w:hAnsi="Times New Roman" w:eastAsia="宋体"/>
          <w:sz w:val="24"/>
          <w:szCs w:val="24"/>
        </w:rPr>
        <w:t>七、对本次招标提出询问、质疑、投诉，请按以下方式联系。</w:t>
      </w:r>
      <w:bookmarkEnd w:id="24"/>
      <w:bookmarkEnd w:id="25"/>
      <w:bookmarkEnd w:id="26"/>
    </w:p>
    <w:p>
      <w:pPr>
        <w:pStyle w:val="31"/>
        <w:widowControl w:val="0"/>
        <w:adjustRightInd w:val="0"/>
        <w:snapToGrid w:val="0"/>
        <w:spacing w:line="4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1.</w:t>
      </w:r>
      <w:r>
        <w:rPr>
          <w:rFonts w:hint="eastAsia" w:ascii="Times New Roman" w:hAnsi="Times New Roman" w:cs="Times New Roman"/>
          <w:b/>
          <w:kern w:val="0"/>
          <w:sz w:val="24"/>
          <w:szCs w:val="24"/>
        </w:rPr>
        <w:t>采购人信息</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名</w:t>
      </w:r>
      <w:r>
        <w:rPr>
          <w:rFonts w:ascii="Times New Roman" w:hAnsi="Times New Roman" w:cs="Times New Roman"/>
          <w:kern w:val="0"/>
          <w:sz w:val="24"/>
          <w:szCs w:val="24"/>
        </w:rPr>
        <w:t>  </w:t>
      </w:r>
      <w:r>
        <w:rPr>
          <w:rFonts w:hint="eastAsia" w:ascii="Times New Roman" w:hAnsi="Times New Roman" w:cs="Times New Roman"/>
          <w:kern w:val="0"/>
          <w:sz w:val="24"/>
          <w:szCs w:val="24"/>
        </w:rPr>
        <w:t>称：</w:t>
      </w:r>
      <w:bookmarkStart w:id="27" w:name="OLE_LINK1"/>
      <w:r>
        <w:rPr>
          <w:rFonts w:hint="eastAsia" w:ascii="Times New Roman" w:hAnsi="Times New Roman" w:cs="Times New Roman"/>
          <w:kern w:val="0"/>
          <w:sz w:val="24"/>
          <w:szCs w:val="24"/>
        </w:rPr>
        <w:t>义乌市</w:t>
      </w:r>
      <w:r>
        <w:rPr>
          <w:rFonts w:hint="eastAsia" w:ascii="Times New Roman" w:hAnsi="Times New Roman" w:cs="Times New Roman"/>
          <w:kern w:val="0"/>
          <w:sz w:val="24"/>
          <w:szCs w:val="24"/>
          <w:lang w:val="en-US" w:eastAsia="zh-CN"/>
        </w:rPr>
        <w:t>人民政府城西街道办事处</w:t>
      </w:r>
      <w:bookmarkEnd w:id="27"/>
    </w:p>
    <w:p>
      <w:pPr>
        <w:pStyle w:val="31"/>
        <w:widowControl w:val="0"/>
        <w:adjustRightInd w:val="0"/>
        <w:snapToGrid w:val="0"/>
        <w:spacing w:line="460" w:lineRule="exact"/>
        <w:ind w:firstLine="480" w:firstLineChars="200"/>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rPr>
        <w:t>地</w:t>
      </w:r>
      <w:r>
        <w:rPr>
          <w:rFonts w:ascii="Times New Roman" w:hAnsi="Times New Roman" w:cs="Times New Roman"/>
          <w:kern w:val="0"/>
          <w:sz w:val="24"/>
          <w:szCs w:val="24"/>
        </w:rPr>
        <w:t>  </w:t>
      </w:r>
      <w:r>
        <w:rPr>
          <w:rFonts w:hint="eastAsia" w:ascii="Times New Roman" w:hAnsi="Times New Roman" w:cs="Times New Roman"/>
          <w:kern w:val="0"/>
          <w:sz w:val="24"/>
          <w:szCs w:val="24"/>
        </w:rPr>
        <w:t>址：义乌市</w:t>
      </w:r>
      <w:r>
        <w:rPr>
          <w:rFonts w:hint="eastAsia" w:ascii="Times New Roman" w:hAnsi="Times New Roman" w:cs="Times New Roman"/>
          <w:kern w:val="0"/>
          <w:sz w:val="24"/>
          <w:szCs w:val="24"/>
          <w:lang w:val="en-US" w:eastAsia="zh-CN"/>
        </w:rPr>
        <w:t>伏龙山北路</w:t>
      </w:r>
      <w:r>
        <w:rPr>
          <w:rFonts w:hint="default" w:ascii="Times New Roman" w:hAnsi="Times New Roman" w:cs="Times New Roman"/>
          <w:kern w:val="0"/>
          <w:sz w:val="24"/>
          <w:szCs w:val="24"/>
          <w:lang w:val="en-US" w:eastAsia="zh-CN"/>
        </w:rPr>
        <w:t>116</w:t>
      </w:r>
      <w:r>
        <w:rPr>
          <w:rFonts w:hint="eastAsia" w:ascii="Times New Roman" w:hAnsi="Times New Roman" w:cs="Times New Roman"/>
          <w:kern w:val="0"/>
          <w:sz w:val="24"/>
          <w:szCs w:val="24"/>
          <w:lang w:val="en-US" w:eastAsia="zh-CN"/>
        </w:rPr>
        <w:t>号</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项目联系人：</w:t>
      </w:r>
      <w:r>
        <w:rPr>
          <w:rFonts w:hint="eastAsia" w:ascii="Times New Roman" w:hAnsi="Times New Roman" w:cs="Times New Roman"/>
          <w:kern w:val="0"/>
          <w:sz w:val="24"/>
          <w:szCs w:val="24"/>
          <w:lang w:val="en-US" w:eastAsia="zh-CN"/>
        </w:rPr>
        <w:t>陈</w:t>
      </w:r>
      <w:r>
        <w:rPr>
          <w:rFonts w:hint="eastAsia" w:ascii="Times New Roman" w:hAnsi="Times New Roman" w:cs="Times New Roman"/>
          <w:kern w:val="0"/>
          <w:sz w:val="24"/>
          <w:szCs w:val="24"/>
        </w:rPr>
        <w:t>先生</w:t>
      </w:r>
    </w:p>
    <w:p>
      <w:pPr>
        <w:pStyle w:val="31"/>
        <w:widowControl w:val="0"/>
        <w:adjustRightInd w:val="0"/>
        <w:snapToGrid w:val="0"/>
        <w:spacing w:line="460" w:lineRule="exact"/>
        <w:ind w:firstLine="480" w:firstLineChars="200"/>
        <w:rPr>
          <w:rFonts w:hint="default" w:ascii="Times New Roman" w:hAnsi="Times New Roman" w:cs="Times New Roman"/>
          <w:kern w:val="0"/>
          <w:sz w:val="24"/>
          <w:szCs w:val="24"/>
          <w:lang w:val="en-US"/>
        </w:rPr>
      </w:pPr>
      <w:r>
        <w:rPr>
          <w:rFonts w:hint="eastAsia" w:ascii="Times New Roman" w:hAnsi="Times New Roman" w:cs="Times New Roman"/>
          <w:kern w:val="0"/>
          <w:sz w:val="24"/>
          <w:szCs w:val="24"/>
        </w:rPr>
        <w:t>项目联系方式：</w:t>
      </w:r>
      <w:bookmarkStart w:id="28" w:name="OLE_LINK6"/>
      <w:r>
        <w:rPr>
          <w:rFonts w:hint="default" w:ascii="Times New Roman" w:hAnsi="Times New Roman" w:cs="Times New Roman"/>
          <w:kern w:val="0"/>
          <w:sz w:val="24"/>
          <w:szCs w:val="24"/>
          <w:lang w:val="en-US"/>
        </w:rPr>
        <w:t>18858967666</w:t>
      </w:r>
    </w:p>
    <w:bookmarkEnd w:id="28"/>
    <w:p>
      <w:pPr>
        <w:pStyle w:val="31"/>
        <w:widowControl w:val="0"/>
        <w:adjustRightInd w:val="0"/>
        <w:snapToGrid w:val="0"/>
        <w:spacing w:line="460" w:lineRule="exact"/>
        <w:ind w:firstLine="480" w:firstLineChars="200"/>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rPr>
        <w:t>质疑联系人：</w:t>
      </w:r>
      <w:r>
        <w:rPr>
          <w:rFonts w:hint="eastAsia" w:ascii="Times New Roman" w:hAnsi="Times New Roman" w:cs="Times New Roman"/>
          <w:kern w:val="0"/>
          <w:sz w:val="24"/>
          <w:szCs w:val="24"/>
          <w:highlight w:val="none"/>
          <w:lang w:val="en-US" w:eastAsia="zh-CN"/>
        </w:rPr>
        <w:t>王魁彪</w:t>
      </w:r>
    </w:p>
    <w:p>
      <w:pPr>
        <w:pStyle w:val="31"/>
        <w:widowControl w:val="0"/>
        <w:adjustRightInd w:val="0"/>
        <w:snapToGrid w:val="0"/>
        <w:spacing w:line="460" w:lineRule="exact"/>
        <w:ind w:firstLine="480" w:firstLineChars="200"/>
        <w:rPr>
          <w:rFonts w:hint="default" w:ascii="Times New Roman" w:hAnsi="Times New Roman" w:cs="Times New Roman"/>
          <w:kern w:val="0"/>
          <w:sz w:val="24"/>
          <w:szCs w:val="24"/>
          <w:highlight w:val="none"/>
          <w:lang w:val="en-US"/>
        </w:rPr>
      </w:pPr>
      <w:r>
        <w:rPr>
          <w:rFonts w:hint="eastAsia" w:ascii="Times New Roman" w:hAnsi="Times New Roman" w:cs="Times New Roman"/>
          <w:kern w:val="0"/>
          <w:sz w:val="24"/>
          <w:szCs w:val="24"/>
          <w:highlight w:val="none"/>
        </w:rPr>
        <w:t>质疑联系方式：</w:t>
      </w:r>
      <w:r>
        <w:rPr>
          <w:rFonts w:hint="default" w:ascii="Times New Roman" w:hAnsi="Times New Roman" w:cs="Times New Roman"/>
          <w:kern w:val="0"/>
          <w:sz w:val="24"/>
          <w:szCs w:val="24"/>
          <w:highlight w:val="none"/>
          <w:lang w:val="en-US"/>
        </w:rPr>
        <w:t>13757979693</w:t>
      </w:r>
    </w:p>
    <w:p>
      <w:pPr>
        <w:pStyle w:val="31"/>
        <w:widowControl w:val="0"/>
        <w:adjustRightInd w:val="0"/>
        <w:snapToGrid w:val="0"/>
        <w:spacing w:line="460" w:lineRule="exact"/>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2.</w:t>
      </w:r>
      <w:r>
        <w:rPr>
          <w:rFonts w:hint="eastAsia" w:ascii="Times New Roman" w:hAnsi="Times New Roman" w:cs="Times New Roman"/>
          <w:b/>
          <w:kern w:val="0"/>
          <w:sz w:val="24"/>
          <w:szCs w:val="24"/>
        </w:rPr>
        <w:t>采购代理机构信息</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名</w:t>
      </w:r>
      <w:r>
        <w:rPr>
          <w:rFonts w:ascii="Times New Roman" w:hAnsi="Times New Roman" w:cs="Times New Roman"/>
          <w:kern w:val="0"/>
          <w:sz w:val="24"/>
          <w:szCs w:val="24"/>
        </w:rPr>
        <w:t>  </w:t>
      </w:r>
      <w:r>
        <w:rPr>
          <w:rFonts w:hint="eastAsia" w:ascii="Times New Roman" w:hAnsi="Times New Roman" w:cs="Times New Roman"/>
          <w:kern w:val="0"/>
          <w:sz w:val="24"/>
          <w:szCs w:val="24"/>
        </w:rPr>
        <w:t>称：义乌市政府采购中心</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地</w:t>
      </w:r>
      <w:r>
        <w:rPr>
          <w:rFonts w:ascii="Times New Roman" w:hAnsi="Times New Roman" w:cs="Times New Roman"/>
          <w:kern w:val="0"/>
          <w:sz w:val="24"/>
          <w:szCs w:val="24"/>
        </w:rPr>
        <w:t>  </w:t>
      </w:r>
      <w:r>
        <w:rPr>
          <w:rFonts w:hint="eastAsia" w:ascii="Times New Roman" w:hAnsi="Times New Roman" w:cs="Times New Roman"/>
          <w:kern w:val="0"/>
          <w:sz w:val="24"/>
          <w:szCs w:val="24"/>
        </w:rPr>
        <w:t>址：义乌市望道路</w:t>
      </w:r>
      <w:r>
        <w:rPr>
          <w:rFonts w:ascii="Times New Roman" w:hAnsi="Times New Roman" w:cs="Times New Roman"/>
          <w:kern w:val="0"/>
          <w:sz w:val="24"/>
          <w:szCs w:val="24"/>
        </w:rPr>
        <w:t>300</w:t>
      </w:r>
      <w:r>
        <w:rPr>
          <w:rFonts w:hint="eastAsia" w:ascii="Times New Roman" w:hAnsi="Times New Roman" w:cs="Times New Roman"/>
          <w:kern w:val="0"/>
          <w:sz w:val="24"/>
          <w:szCs w:val="24"/>
        </w:rPr>
        <w:t>号</w:t>
      </w:r>
      <w:r>
        <w:rPr>
          <w:rFonts w:ascii="Times New Roman" w:hAnsi="Times New Roman" w:cs="Times New Roman"/>
          <w:kern w:val="0"/>
          <w:sz w:val="24"/>
          <w:szCs w:val="24"/>
        </w:rPr>
        <w:t>4</w:t>
      </w:r>
      <w:r>
        <w:rPr>
          <w:rFonts w:hint="eastAsia" w:ascii="Times New Roman" w:hAnsi="Times New Roman" w:cs="Times New Roman"/>
          <w:kern w:val="0"/>
          <w:sz w:val="24"/>
          <w:szCs w:val="24"/>
        </w:rPr>
        <w:t>楼</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传</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真：</w:t>
      </w:r>
      <w:r>
        <w:rPr>
          <w:rFonts w:ascii="Times New Roman" w:hAnsi="Times New Roman" w:cs="Times New Roman"/>
          <w:kern w:val="0"/>
          <w:sz w:val="24"/>
          <w:szCs w:val="24"/>
        </w:rPr>
        <w:t>0579-85570067</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项目联系人：</w:t>
      </w:r>
      <w:r>
        <w:rPr>
          <w:rFonts w:hint="eastAsia" w:ascii="Times New Roman" w:hAnsi="Times New Roman" w:cs="Times New Roman"/>
          <w:kern w:val="0"/>
          <w:sz w:val="24"/>
          <w:szCs w:val="24"/>
          <w:lang w:val="en-US" w:eastAsia="zh-CN"/>
        </w:rPr>
        <w:t>楼</w:t>
      </w:r>
      <w:r>
        <w:rPr>
          <w:rFonts w:hint="eastAsia" w:ascii="Times New Roman" w:hAnsi="Times New Roman" w:cs="Times New Roman"/>
          <w:kern w:val="0"/>
          <w:sz w:val="24"/>
          <w:szCs w:val="24"/>
        </w:rPr>
        <w:t>女士</w:t>
      </w:r>
    </w:p>
    <w:p>
      <w:pPr>
        <w:pStyle w:val="31"/>
        <w:widowControl w:val="0"/>
        <w:adjustRightInd w:val="0"/>
        <w:snapToGrid w:val="0"/>
        <w:spacing w:line="460" w:lineRule="exact"/>
        <w:ind w:firstLine="480" w:firstLineChars="200"/>
        <w:rPr>
          <w:rFonts w:hint="default" w:ascii="Times New Roman" w:hAnsi="Times New Roman" w:cs="Times New Roman"/>
          <w:sz w:val="24"/>
          <w:szCs w:val="24"/>
          <w:lang w:val="en-US"/>
        </w:rPr>
      </w:pPr>
      <w:r>
        <w:rPr>
          <w:rFonts w:hint="eastAsia" w:ascii="Times New Roman" w:hAnsi="Times New Roman" w:cs="Times New Roman"/>
          <w:sz w:val="24"/>
          <w:szCs w:val="24"/>
        </w:rPr>
        <w:t>项目联系方式：</w:t>
      </w:r>
      <w:r>
        <w:rPr>
          <w:rFonts w:ascii="Times New Roman" w:hAnsi="Times New Roman" w:cs="Times New Roman"/>
          <w:sz w:val="24"/>
          <w:szCs w:val="24"/>
        </w:rPr>
        <w:t>0579-8558380</w:t>
      </w:r>
      <w:r>
        <w:rPr>
          <w:rFonts w:hint="default" w:ascii="Times New Roman" w:hAnsi="Times New Roman" w:cs="Times New Roman"/>
          <w:sz w:val="24"/>
          <w:szCs w:val="24"/>
          <w:lang w:val="en-US"/>
        </w:rPr>
        <w:t>1</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质疑联系人：</w:t>
      </w:r>
      <w:bookmarkStart w:id="29" w:name="OLE_LINK7"/>
      <w:r>
        <w:rPr>
          <w:rFonts w:hint="eastAsia" w:ascii="Times New Roman" w:hAnsi="Times New Roman" w:cs="Times New Roman"/>
          <w:kern w:val="0"/>
          <w:sz w:val="24"/>
          <w:szCs w:val="24"/>
        </w:rPr>
        <w:t>洪艳</w:t>
      </w:r>
      <w:bookmarkEnd w:id="29"/>
      <w:r>
        <w:rPr>
          <w:rFonts w:ascii="Times New Roman" w:hAnsi="Times New Roman" w:cs="Times New Roman"/>
          <w:kern w:val="0"/>
          <w:sz w:val="24"/>
          <w:szCs w:val="24"/>
        </w:rPr>
        <w:t> </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质疑联系方式：</w:t>
      </w:r>
      <w:r>
        <w:rPr>
          <w:rFonts w:ascii="Times New Roman" w:hAnsi="Times New Roman" w:cs="Times New Roman"/>
          <w:kern w:val="0"/>
          <w:sz w:val="24"/>
          <w:szCs w:val="24"/>
        </w:rPr>
        <w:t>0579-85232979</w:t>
      </w:r>
      <w:r>
        <w:rPr>
          <w:rFonts w:hint="eastAsia" w:ascii="Times New Roman" w:hAnsi="Times New Roman" w:cs="Times New Roman"/>
          <w:kern w:val="0"/>
          <w:sz w:val="24"/>
          <w:szCs w:val="24"/>
        </w:rPr>
        <w:t>　</w:t>
      </w:r>
    </w:p>
    <w:p>
      <w:pPr>
        <w:pStyle w:val="31"/>
        <w:widowControl w:val="0"/>
        <w:adjustRightInd w:val="0"/>
        <w:snapToGrid w:val="0"/>
        <w:spacing w:line="460" w:lineRule="exact"/>
        <w:ind w:firstLine="482" w:firstLineChars="200"/>
        <w:rPr>
          <w:rFonts w:ascii="Times New Roman" w:hAnsi="Times New Roman" w:cs="Times New Roman"/>
          <w:b/>
          <w:bCs/>
          <w:kern w:val="0"/>
          <w:sz w:val="24"/>
          <w:szCs w:val="24"/>
        </w:rPr>
      </w:pPr>
      <w:r>
        <w:rPr>
          <w:rFonts w:ascii="Times New Roman" w:hAnsi="Times New Roman" w:cs="Times New Roman"/>
          <w:b/>
          <w:bCs/>
          <w:kern w:val="0"/>
          <w:sz w:val="24"/>
          <w:szCs w:val="24"/>
        </w:rPr>
        <w:t>3.</w:t>
      </w:r>
      <w:r>
        <w:rPr>
          <w:rFonts w:hint="eastAsia" w:ascii="Times New Roman" w:hAnsi="Times New Roman" w:cs="Times New Roman"/>
          <w:b/>
          <w:bCs/>
          <w:kern w:val="0"/>
          <w:sz w:val="24"/>
          <w:szCs w:val="24"/>
        </w:rPr>
        <w:t>同级政府采购监督管理部门</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名</w:t>
      </w:r>
      <w:r>
        <w:rPr>
          <w:rFonts w:ascii="Times New Roman" w:hAnsi="Times New Roman" w:cs="Times New Roman"/>
          <w:kern w:val="0"/>
          <w:sz w:val="24"/>
          <w:szCs w:val="24"/>
        </w:rPr>
        <w:t>  </w:t>
      </w:r>
      <w:r>
        <w:rPr>
          <w:rFonts w:hint="eastAsia" w:ascii="Times New Roman" w:hAnsi="Times New Roman" w:cs="Times New Roman"/>
          <w:kern w:val="0"/>
          <w:sz w:val="24"/>
          <w:szCs w:val="24"/>
        </w:rPr>
        <w:t>称：义乌市财政局</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地</w:t>
      </w:r>
      <w:r>
        <w:rPr>
          <w:rFonts w:ascii="Times New Roman" w:hAnsi="Times New Roman" w:cs="Times New Roman"/>
          <w:kern w:val="0"/>
          <w:sz w:val="24"/>
          <w:szCs w:val="24"/>
        </w:rPr>
        <w:t>  </w:t>
      </w:r>
      <w:r>
        <w:rPr>
          <w:rFonts w:hint="eastAsia" w:ascii="Times New Roman" w:hAnsi="Times New Roman" w:cs="Times New Roman"/>
          <w:kern w:val="0"/>
          <w:sz w:val="24"/>
          <w:szCs w:val="24"/>
        </w:rPr>
        <w:t>址：义乌市望道路</w:t>
      </w:r>
      <w:r>
        <w:rPr>
          <w:rFonts w:ascii="Times New Roman" w:hAnsi="Times New Roman" w:cs="Times New Roman"/>
          <w:kern w:val="0"/>
          <w:sz w:val="24"/>
          <w:szCs w:val="24"/>
        </w:rPr>
        <w:t>300</w:t>
      </w:r>
      <w:r>
        <w:rPr>
          <w:rFonts w:hint="eastAsia" w:ascii="Times New Roman" w:hAnsi="Times New Roman" w:cs="Times New Roman"/>
          <w:kern w:val="0"/>
          <w:sz w:val="24"/>
          <w:szCs w:val="24"/>
        </w:rPr>
        <w:t>号</w:t>
      </w:r>
      <w:r>
        <w:rPr>
          <w:rFonts w:ascii="Times New Roman" w:hAnsi="Times New Roman" w:cs="Times New Roman"/>
          <w:kern w:val="0"/>
          <w:sz w:val="24"/>
          <w:szCs w:val="24"/>
        </w:rPr>
        <w:t>5</w:t>
      </w:r>
      <w:r>
        <w:rPr>
          <w:rFonts w:hint="eastAsia" w:ascii="Times New Roman" w:hAnsi="Times New Roman" w:cs="Times New Roman"/>
          <w:kern w:val="0"/>
          <w:sz w:val="24"/>
          <w:szCs w:val="24"/>
        </w:rPr>
        <w:t>楼</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联系人：王女士</w:t>
      </w:r>
    </w:p>
    <w:p>
      <w:pPr>
        <w:pStyle w:val="31"/>
        <w:widowControl w:val="0"/>
        <w:adjustRightInd w:val="0"/>
        <w:snapToGrid w:val="0"/>
        <w:spacing w:line="46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监督投诉电话：</w:t>
      </w:r>
      <w:bookmarkStart w:id="30" w:name="OLE_LINK8"/>
      <w:r>
        <w:rPr>
          <w:rFonts w:ascii="Times New Roman" w:hAnsi="Times New Roman" w:cs="Times New Roman"/>
          <w:kern w:val="0"/>
          <w:sz w:val="24"/>
          <w:szCs w:val="24"/>
        </w:rPr>
        <w:t>0579-89915066</w:t>
      </w:r>
      <w:bookmarkEnd w:id="30"/>
    </w:p>
    <w:p>
      <w:pPr>
        <w:pStyle w:val="31"/>
        <w:widowControl w:val="0"/>
        <w:adjustRightInd w:val="0"/>
        <w:snapToGrid w:val="0"/>
        <w:spacing w:line="460" w:lineRule="exact"/>
        <w:ind w:firstLine="480" w:firstLineChars="200"/>
        <w:jc w:val="right"/>
        <w:rPr>
          <w:rFonts w:ascii="Times New Roman" w:hAnsi="Times New Roman" w:cs="Times New Roman"/>
          <w:kern w:val="0"/>
          <w:sz w:val="24"/>
          <w:szCs w:val="24"/>
        </w:rPr>
      </w:pPr>
    </w:p>
    <w:p>
      <w:pPr>
        <w:pStyle w:val="31"/>
        <w:widowControl w:val="0"/>
        <w:adjustRightInd w:val="0"/>
        <w:snapToGrid w:val="0"/>
        <w:spacing w:line="460" w:lineRule="exact"/>
        <w:ind w:firstLine="480" w:firstLineChars="200"/>
        <w:jc w:val="right"/>
        <w:rPr>
          <w:rFonts w:ascii="Times New Roman" w:hAnsi="Times New Roman" w:cs="Times New Roman"/>
          <w:kern w:val="0"/>
          <w:sz w:val="24"/>
          <w:szCs w:val="24"/>
        </w:rPr>
      </w:pPr>
    </w:p>
    <w:p>
      <w:pPr>
        <w:pStyle w:val="31"/>
        <w:widowControl w:val="0"/>
        <w:adjustRightInd w:val="0"/>
        <w:snapToGrid w:val="0"/>
        <w:spacing w:line="460" w:lineRule="exact"/>
        <w:ind w:firstLine="480" w:firstLineChars="200"/>
        <w:jc w:val="right"/>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rPr>
        <w:t>义乌市</w:t>
      </w:r>
      <w:r>
        <w:rPr>
          <w:rFonts w:hint="eastAsia" w:ascii="Times New Roman" w:hAnsi="Times New Roman" w:cs="Times New Roman"/>
          <w:kern w:val="0"/>
          <w:sz w:val="24"/>
          <w:szCs w:val="24"/>
          <w:lang w:val="en-US" w:eastAsia="zh-CN"/>
        </w:rPr>
        <w:t>人民政府城西街道办事处</w:t>
      </w:r>
    </w:p>
    <w:p>
      <w:pPr>
        <w:pStyle w:val="31"/>
        <w:widowControl w:val="0"/>
        <w:adjustRightInd w:val="0"/>
        <w:snapToGrid w:val="0"/>
        <w:spacing w:line="460" w:lineRule="exact"/>
        <w:ind w:firstLine="480" w:firstLineChars="200"/>
        <w:jc w:val="right"/>
        <w:rPr>
          <w:rFonts w:ascii="Times New Roman" w:hAnsi="Times New Roman" w:cs="Times New Roman"/>
          <w:kern w:val="0"/>
          <w:sz w:val="24"/>
          <w:szCs w:val="24"/>
        </w:rPr>
      </w:pPr>
      <w:r>
        <w:rPr>
          <w:rFonts w:hint="eastAsia" w:ascii="Times New Roman" w:hAnsi="Times New Roman" w:cs="Times New Roman"/>
          <w:kern w:val="0"/>
          <w:sz w:val="24"/>
          <w:szCs w:val="24"/>
        </w:rPr>
        <w:t>义乌市政府采购中心</w:t>
      </w:r>
    </w:p>
    <w:p>
      <w:pPr>
        <w:pStyle w:val="31"/>
        <w:widowControl w:val="0"/>
        <w:adjustRightInd w:val="0"/>
        <w:snapToGrid w:val="0"/>
        <w:spacing w:line="460" w:lineRule="exact"/>
        <w:ind w:firstLine="480" w:firstLineChars="200"/>
        <w:jc w:val="right"/>
        <w:rPr>
          <w:rFonts w:ascii="Times New Roman" w:hAnsi="Times New Roman" w:cs="Times New Roman"/>
          <w:kern w:val="0"/>
          <w:sz w:val="24"/>
          <w:szCs w:val="24"/>
        </w:rPr>
      </w:pPr>
      <w:r>
        <w:rPr>
          <w:rFonts w:ascii="Times New Roman" w:hAnsi="Times New Roman" w:cs="Times New Roman"/>
          <w:kern w:val="0"/>
          <w:sz w:val="24"/>
          <w:szCs w:val="24"/>
        </w:rPr>
        <w:t>202</w:t>
      </w:r>
      <w:r>
        <w:rPr>
          <w:rFonts w:hint="default" w:ascii="Times New Roman" w:hAnsi="Times New Roman" w:cs="Times New Roman"/>
          <w:kern w:val="0"/>
          <w:sz w:val="24"/>
          <w:szCs w:val="24"/>
          <w:lang w:val="en-US"/>
        </w:rPr>
        <w:t>5</w:t>
      </w:r>
      <w:r>
        <w:rPr>
          <w:rFonts w:hint="eastAsia" w:ascii="Times New Roman" w:hAnsi="Times New Roman" w:cs="Times New Roman"/>
          <w:kern w:val="0"/>
          <w:sz w:val="24"/>
          <w:szCs w:val="24"/>
        </w:rPr>
        <w:t>年</w:t>
      </w:r>
      <w:r>
        <w:rPr>
          <w:rFonts w:hint="default" w:ascii="Times New Roman" w:hAnsi="Times New Roman" w:cs="Times New Roman"/>
          <w:kern w:val="0"/>
          <w:sz w:val="24"/>
          <w:szCs w:val="24"/>
          <w:lang w:val="en-US"/>
        </w:rPr>
        <w:t>01</w:t>
      </w:r>
      <w:r>
        <w:rPr>
          <w:rFonts w:hint="eastAsia" w:ascii="Times New Roman" w:hAnsi="Times New Roman" w:cs="Times New Roman"/>
          <w:kern w:val="0"/>
          <w:sz w:val="24"/>
          <w:szCs w:val="24"/>
        </w:rPr>
        <w:t>月</w:t>
      </w:r>
      <w:r>
        <w:rPr>
          <w:rFonts w:hint="default" w:ascii="Times New Roman" w:hAnsi="Times New Roman" w:cs="Times New Roman"/>
          <w:kern w:val="0"/>
          <w:sz w:val="24"/>
          <w:szCs w:val="24"/>
          <w:lang w:val="en-US"/>
        </w:rPr>
        <w:t>22</w:t>
      </w:r>
      <w:r>
        <w:rPr>
          <w:rFonts w:hint="eastAsia" w:ascii="Times New Roman" w:hAnsi="Times New Roman" w:cs="Times New Roman"/>
          <w:kern w:val="0"/>
          <w:sz w:val="24"/>
          <w:szCs w:val="24"/>
        </w:rPr>
        <w:t>日</w:t>
      </w:r>
    </w:p>
    <w:p>
      <w:pPr>
        <w:pStyle w:val="5"/>
        <w:keepNext w:val="0"/>
        <w:keepLines w:val="0"/>
        <w:widowControl w:val="0"/>
        <w:spacing w:before="0" w:after="0" w:line="400" w:lineRule="atLeast"/>
        <w:jc w:val="center"/>
        <w:rPr>
          <w:sz w:val="36"/>
          <w:szCs w:val="36"/>
        </w:rPr>
      </w:pPr>
      <w:r>
        <w:rPr>
          <w:sz w:val="24"/>
          <w:szCs w:val="24"/>
        </w:rPr>
        <w:br w:type="page"/>
      </w:r>
      <w:bookmarkStart w:id="31" w:name="_Toc406413926"/>
      <w:bookmarkStart w:id="32" w:name="_Toc132380059"/>
      <w:r>
        <w:rPr>
          <w:rFonts w:hint="eastAsia"/>
          <w:sz w:val="36"/>
          <w:szCs w:val="36"/>
        </w:rPr>
        <w:t>第二章　投标须知前附表</w:t>
      </w:r>
      <w:bookmarkEnd w:id="31"/>
      <w:r>
        <w:rPr>
          <w:rFonts w:hint="eastAsia"/>
          <w:sz w:val="36"/>
          <w:szCs w:val="36"/>
        </w:rPr>
        <w:t>和投标须知</w:t>
      </w:r>
      <w:bookmarkEnd w:id="32"/>
    </w:p>
    <w:p>
      <w:pPr>
        <w:widowControl w:val="0"/>
        <w:spacing w:line="360" w:lineRule="auto"/>
        <w:ind w:firstLine="602" w:firstLineChars="200"/>
        <w:jc w:val="center"/>
        <w:rPr>
          <w:b/>
          <w:sz w:val="30"/>
          <w:szCs w:val="30"/>
        </w:rPr>
      </w:pPr>
      <w:r>
        <w:rPr>
          <w:rFonts w:hint="eastAsia"/>
          <w:b/>
          <w:sz w:val="30"/>
          <w:szCs w:val="30"/>
        </w:rPr>
        <w:t>投标须知前附表</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92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rPr>
                <w:b/>
              </w:rPr>
            </w:pPr>
            <w:r>
              <w:rPr>
                <w:rFonts w:hint="eastAsia"/>
                <w:b/>
              </w:rPr>
              <w:t>序号</w:t>
            </w:r>
          </w:p>
        </w:tc>
        <w:tc>
          <w:tcPr>
            <w:tcW w:w="4619" w:type="pct"/>
            <w:gridSpan w:val="2"/>
            <w:vAlign w:val="center"/>
          </w:tcPr>
          <w:p>
            <w:pPr>
              <w:widowControl w:val="0"/>
              <w:spacing w:line="400" w:lineRule="exact"/>
              <w:jc w:val="center"/>
              <w:rPr>
                <w:b/>
              </w:rPr>
            </w:pPr>
            <w:r>
              <w:rPr>
                <w:rFonts w:hint="eastAsia"/>
                <w:b/>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ind w:firstLine="240" w:firstLineChars="100"/>
            </w:pPr>
            <w:r>
              <w:t>1</w:t>
            </w:r>
          </w:p>
        </w:tc>
        <w:tc>
          <w:tcPr>
            <w:tcW w:w="974" w:type="pct"/>
            <w:vAlign w:val="center"/>
          </w:tcPr>
          <w:p>
            <w:pPr>
              <w:widowControl w:val="0"/>
              <w:spacing w:line="400" w:lineRule="exact"/>
              <w:jc w:val="center"/>
            </w:pPr>
            <w:r>
              <w:rPr>
                <w:rFonts w:hint="eastAsia"/>
              </w:rPr>
              <w:t>项目综合</w:t>
            </w:r>
          </w:p>
          <w:p>
            <w:pPr>
              <w:widowControl w:val="0"/>
              <w:spacing w:line="400" w:lineRule="exact"/>
              <w:jc w:val="center"/>
            </w:pPr>
            <w:r>
              <w:rPr>
                <w:rFonts w:hint="eastAsia"/>
              </w:rPr>
              <w:t>说明</w:t>
            </w:r>
          </w:p>
        </w:tc>
        <w:tc>
          <w:tcPr>
            <w:tcW w:w="3645" w:type="pct"/>
            <w:vAlign w:val="center"/>
          </w:tcPr>
          <w:p>
            <w:pPr>
              <w:widowControl w:val="0"/>
              <w:snapToGrid w:val="0"/>
              <w:spacing w:line="460" w:lineRule="exact"/>
              <w:rPr>
                <w:rFonts w:hint="eastAsia"/>
              </w:rPr>
            </w:pPr>
            <w:r>
              <w:rPr>
                <w:rFonts w:hint="eastAsia"/>
              </w:rPr>
              <w:t>项目名称：义乌市人民政府城西街道办事处6个办公区安保及保洁服务</w:t>
            </w:r>
          </w:p>
          <w:p>
            <w:pPr>
              <w:widowControl w:val="0"/>
              <w:numPr>
                <w:ilvl w:val="0"/>
                <w:numId w:val="1"/>
              </w:numPr>
              <w:spacing w:line="400" w:lineRule="exact"/>
            </w:pPr>
            <w:r>
              <w:rPr>
                <w:rFonts w:hint="eastAsia"/>
              </w:rPr>
              <w:t>项目属性：</w:t>
            </w:r>
            <w:r>
              <w:rPr>
                <w:rFonts w:hint="eastAsia"/>
                <w:u w:val="single"/>
              </w:rPr>
              <w:t>服务类</w:t>
            </w:r>
          </w:p>
          <w:p>
            <w:pPr>
              <w:widowControl w:val="0"/>
              <w:numPr>
                <w:ilvl w:val="0"/>
                <w:numId w:val="1"/>
              </w:numPr>
              <w:spacing w:line="400" w:lineRule="exact"/>
            </w:pPr>
            <w:r>
              <w:rPr>
                <w:rFonts w:hint="eastAsia"/>
              </w:rPr>
              <w:t>采购内容及数量：具体详见《第三章招标项目要求》</w:t>
            </w:r>
          </w:p>
          <w:p>
            <w:pPr>
              <w:widowControl w:val="0"/>
              <w:numPr>
                <w:ilvl w:val="0"/>
                <w:numId w:val="1"/>
              </w:numPr>
              <w:spacing w:line="400" w:lineRule="exact"/>
            </w:pPr>
            <w:r>
              <w:rPr>
                <w:rFonts w:hint="eastAsia"/>
              </w:rPr>
              <w:t>本项目所属行业：</w:t>
            </w:r>
            <w:r>
              <w:rPr>
                <w:rFonts w:hint="eastAsia"/>
                <w:b/>
                <w:u w:val="single"/>
              </w:rPr>
              <w:t>物业管理</w:t>
            </w:r>
            <w:r>
              <w:rPr>
                <w:rFonts w:hint="eastAsia"/>
                <w:shd w:val="clear" w:color="auto" w:fill="FFFFFF"/>
              </w:rPr>
              <w:t>。</w:t>
            </w:r>
            <w:r>
              <w:rPr>
                <w:rFonts w:hint="eastAsia"/>
              </w:rPr>
              <w:t>｛投标人应根据《工业和信息化部、国家统计局、国家发展和改革委员会、财政部关于印发中小企业划型标准规定的通知》（工信部联企业〔</w:t>
            </w:r>
            <w:r>
              <w:t>2011</w:t>
            </w:r>
            <w:r>
              <w:rPr>
                <w:rFonts w:hint="eastAsia"/>
              </w:rPr>
              <w:t>〕</w:t>
            </w:r>
            <w:r>
              <w:t>300</w:t>
            </w:r>
            <w:r>
              <w:rPr>
                <w:rFonts w:hint="eastAsia"/>
              </w:rPr>
              <w:t>号）规定的划型标准，填报企业规模类型。投标人也可在国务院客户端或工业和信息化部网站上，使用中小企业规模类型自测小程序识别企业规模类型。｝</w:t>
            </w:r>
            <w:r>
              <w:rPr>
                <w:shd w:val="clear" w:color="auto" w:fill="FFFFFF"/>
              </w:rPr>
              <w:t>(</w:t>
            </w:r>
            <w:r>
              <w:rPr>
                <w:rFonts w:hint="eastAsia"/>
                <w:shd w:val="clear" w:color="auto" w:fill="FFFFFF"/>
              </w:rPr>
              <w:t>从业人员</w:t>
            </w:r>
            <w:r>
              <w:rPr>
                <w:shd w:val="clear" w:color="auto" w:fill="FFFFFF"/>
              </w:rPr>
              <w:t>1000</w:t>
            </w:r>
            <w:r>
              <w:rPr>
                <w:rFonts w:hint="eastAsia"/>
                <w:shd w:val="clear" w:color="auto" w:fill="FFFFFF"/>
              </w:rPr>
              <w:t>人以下或营业收入</w:t>
            </w:r>
            <w:r>
              <w:rPr>
                <w:shd w:val="clear" w:color="auto" w:fill="FFFFFF"/>
              </w:rPr>
              <w:t>5000</w:t>
            </w:r>
            <w:r>
              <w:rPr>
                <w:rFonts w:hint="eastAsia"/>
                <w:shd w:val="clear" w:color="auto" w:fill="FFFFFF"/>
              </w:rPr>
              <w:t>万元以下的为中小微型企业。其中，从业人员</w:t>
            </w:r>
            <w:r>
              <w:rPr>
                <w:shd w:val="clear" w:color="auto" w:fill="FFFFFF"/>
              </w:rPr>
              <w:t>300</w:t>
            </w:r>
            <w:r>
              <w:rPr>
                <w:rFonts w:hint="eastAsia"/>
                <w:shd w:val="clear" w:color="auto" w:fill="FFFFFF"/>
              </w:rPr>
              <w:t>人及以上，且营业收入</w:t>
            </w:r>
            <w:r>
              <w:rPr>
                <w:shd w:val="clear" w:color="auto" w:fill="FFFFFF"/>
              </w:rPr>
              <w:t>1000</w:t>
            </w:r>
            <w:r>
              <w:rPr>
                <w:rFonts w:hint="eastAsia"/>
                <w:shd w:val="clear" w:color="auto" w:fill="FFFFFF"/>
              </w:rPr>
              <w:t>万元及以上的为中型企业；从业人员</w:t>
            </w:r>
            <w:r>
              <w:rPr>
                <w:shd w:val="clear" w:color="auto" w:fill="FFFFFF"/>
              </w:rPr>
              <w:t>100</w:t>
            </w:r>
            <w:r>
              <w:rPr>
                <w:rFonts w:hint="eastAsia"/>
                <w:shd w:val="clear" w:color="auto" w:fill="FFFFFF"/>
              </w:rPr>
              <w:t>人及以上，且营业收入</w:t>
            </w:r>
            <w:r>
              <w:rPr>
                <w:shd w:val="clear" w:color="auto" w:fill="FFFFFF"/>
              </w:rPr>
              <w:t>500</w:t>
            </w:r>
            <w:r>
              <w:rPr>
                <w:rFonts w:hint="eastAsia"/>
                <w:shd w:val="clear" w:color="auto" w:fill="FFFFFF"/>
              </w:rPr>
              <w:t>万元及以上的为小型企业；从业人员</w:t>
            </w:r>
            <w:r>
              <w:rPr>
                <w:shd w:val="clear" w:color="auto" w:fill="FFFFFF"/>
              </w:rPr>
              <w:t>100</w:t>
            </w:r>
            <w:r>
              <w:rPr>
                <w:rFonts w:hint="eastAsia"/>
                <w:shd w:val="clear" w:color="auto" w:fill="FFFFFF"/>
              </w:rPr>
              <w:t>人以下或营业收入</w:t>
            </w:r>
            <w:r>
              <w:rPr>
                <w:shd w:val="clear" w:color="auto" w:fill="FFFFFF"/>
              </w:rPr>
              <w:t>500</w:t>
            </w:r>
            <w:r>
              <w:rPr>
                <w:rFonts w:hint="eastAsia"/>
                <w:shd w:val="clear" w:color="auto" w:fill="FFFFFF"/>
              </w:rPr>
              <w:t>万元以下的为微型企业。</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2</w:t>
            </w:r>
          </w:p>
        </w:tc>
        <w:tc>
          <w:tcPr>
            <w:tcW w:w="974" w:type="pct"/>
            <w:vAlign w:val="center"/>
          </w:tcPr>
          <w:p>
            <w:pPr>
              <w:widowControl w:val="0"/>
              <w:spacing w:line="400" w:lineRule="exact"/>
              <w:jc w:val="center"/>
            </w:pPr>
            <w:r>
              <w:rPr>
                <w:rFonts w:hint="eastAsia"/>
              </w:rPr>
              <w:t>招标方式</w:t>
            </w:r>
          </w:p>
        </w:tc>
        <w:tc>
          <w:tcPr>
            <w:tcW w:w="3645" w:type="pct"/>
            <w:vAlign w:val="center"/>
          </w:tcPr>
          <w:p>
            <w:pPr>
              <w:widowControl w:val="0"/>
              <w:spacing w:line="400" w:lineRule="exact"/>
            </w:pPr>
            <w:r>
              <w:rPr>
                <w:rFonts w:hint="eastAsi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3</w:t>
            </w:r>
          </w:p>
        </w:tc>
        <w:tc>
          <w:tcPr>
            <w:tcW w:w="974" w:type="pct"/>
            <w:vAlign w:val="center"/>
          </w:tcPr>
          <w:p>
            <w:pPr>
              <w:widowControl w:val="0"/>
              <w:spacing w:line="400" w:lineRule="exact"/>
              <w:jc w:val="center"/>
            </w:pPr>
            <w:r>
              <w:rPr>
                <w:rFonts w:hint="eastAsia"/>
              </w:rPr>
              <w:t>投标单位资格</w:t>
            </w:r>
          </w:p>
          <w:p>
            <w:pPr>
              <w:widowControl w:val="0"/>
              <w:spacing w:line="400" w:lineRule="exact"/>
              <w:jc w:val="center"/>
            </w:pPr>
            <w:r>
              <w:rPr>
                <w:rFonts w:hint="eastAsia"/>
              </w:rPr>
              <w:t>要求</w:t>
            </w:r>
          </w:p>
        </w:tc>
        <w:tc>
          <w:tcPr>
            <w:tcW w:w="3645" w:type="pct"/>
            <w:vAlign w:val="center"/>
          </w:tcPr>
          <w:p>
            <w:pPr>
              <w:widowControl w:val="0"/>
              <w:spacing w:line="400" w:lineRule="exact"/>
            </w:pPr>
            <w:r>
              <w:rPr>
                <w:rFonts w:hint="eastAsia"/>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4</w:t>
            </w:r>
          </w:p>
        </w:tc>
        <w:tc>
          <w:tcPr>
            <w:tcW w:w="974" w:type="pct"/>
            <w:vAlign w:val="center"/>
          </w:tcPr>
          <w:p>
            <w:pPr>
              <w:widowControl w:val="0"/>
              <w:spacing w:line="400" w:lineRule="exact"/>
              <w:jc w:val="center"/>
            </w:pPr>
            <w:r>
              <w:rPr>
                <w:rFonts w:hint="eastAsia"/>
              </w:rPr>
              <w:t>合同履约期限</w:t>
            </w:r>
          </w:p>
        </w:tc>
        <w:tc>
          <w:tcPr>
            <w:tcW w:w="3645" w:type="pct"/>
            <w:vAlign w:val="center"/>
          </w:tcPr>
          <w:p>
            <w:pPr>
              <w:widowControl w:val="0"/>
              <w:spacing w:line="400" w:lineRule="exact"/>
            </w:pPr>
            <w:r>
              <w:rPr>
                <w:rFonts w:hint="eastAsia"/>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5</w:t>
            </w:r>
          </w:p>
        </w:tc>
        <w:tc>
          <w:tcPr>
            <w:tcW w:w="974" w:type="pct"/>
            <w:vAlign w:val="center"/>
          </w:tcPr>
          <w:p>
            <w:pPr>
              <w:widowControl w:val="0"/>
              <w:spacing w:line="400" w:lineRule="exact"/>
              <w:jc w:val="center"/>
            </w:pPr>
            <w:r>
              <w:rPr>
                <w:rFonts w:hint="eastAsia"/>
              </w:rPr>
              <w:t>招标文件获取时间、地点及方式</w:t>
            </w:r>
          </w:p>
        </w:tc>
        <w:tc>
          <w:tcPr>
            <w:tcW w:w="3645" w:type="pct"/>
            <w:vAlign w:val="center"/>
          </w:tcPr>
          <w:p>
            <w:pPr>
              <w:widowControl w:val="0"/>
              <w:spacing w:line="400" w:lineRule="exact"/>
            </w:pPr>
            <w:r>
              <w:rPr>
                <w:rFonts w:hint="eastAsia"/>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80" w:type="pct"/>
            <w:vAlign w:val="center"/>
          </w:tcPr>
          <w:p>
            <w:pPr>
              <w:widowControl w:val="0"/>
              <w:spacing w:line="400" w:lineRule="exact"/>
              <w:jc w:val="center"/>
            </w:pPr>
            <w:r>
              <w:t>6</w:t>
            </w:r>
          </w:p>
        </w:tc>
        <w:tc>
          <w:tcPr>
            <w:tcW w:w="974" w:type="pct"/>
            <w:vAlign w:val="center"/>
          </w:tcPr>
          <w:p>
            <w:pPr>
              <w:widowControl w:val="0"/>
              <w:spacing w:line="400" w:lineRule="exact"/>
              <w:jc w:val="center"/>
            </w:pPr>
            <w:r>
              <w:rPr>
                <w:rFonts w:hint="eastAsia"/>
              </w:rPr>
              <w:t>现场踏勘时间</w:t>
            </w:r>
          </w:p>
        </w:tc>
        <w:tc>
          <w:tcPr>
            <w:tcW w:w="3645" w:type="pct"/>
            <w:vAlign w:val="center"/>
          </w:tcPr>
          <w:p>
            <w:pPr>
              <w:widowControl w:val="0"/>
              <w:spacing w:line="400" w:lineRule="exact"/>
              <w:ind w:firstLine="480" w:firstLineChars="200"/>
            </w:pPr>
            <w:r>
              <w:rPr>
                <w:rFonts w:hint="eastAsia"/>
              </w:rPr>
              <w:t>招标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380" w:type="pct"/>
            <w:vAlign w:val="center"/>
          </w:tcPr>
          <w:p>
            <w:pPr>
              <w:widowControl w:val="0"/>
              <w:spacing w:line="400" w:lineRule="exact"/>
              <w:jc w:val="center"/>
            </w:pPr>
            <w:r>
              <w:t>7</w:t>
            </w:r>
          </w:p>
        </w:tc>
        <w:tc>
          <w:tcPr>
            <w:tcW w:w="974" w:type="pct"/>
            <w:vAlign w:val="center"/>
          </w:tcPr>
          <w:p>
            <w:pPr>
              <w:widowControl w:val="0"/>
              <w:spacing w:line="400" w:lineRule="exact"/>
              <w:jc w:val="center"/>
            </w:pPr>
            <w:r>
              <w:rPr>
                <w:rFonts w:hint="eastAsia"/>
              </w:rPr>
              <w:t>招标答疑</w:t>
            </w:r>
          </w:p>
        </w:tc>
        <w:tc>
          <w:tcPr>
            <w:tcW w:w="3645" w:type="pct"/>
          </w:tcPr>
          <w:p>
            <w:pPr>
              <w:widowControl w:val="0"/>
              <w:spacing w:line="400" w:lineRule="exact"/>
              <w:ind w:firstLine="480" w:firstLineChars="200"/>
              <w:jc w:val="both"/>
            </w:pPr>
            <w:r>
              <w:rPr>
                <w:rFonts w:hint="eastAsia"/>
              </w:rPr>
              <w:t>本项目不组织答疑会；招标方的答疑内容、书面澄清文件是招标文件的组成部分，招标方的书面澄清（更正）文件会在浙江政府采购网上发布公告，同时</w:t>
            </w:r>
            <w:r>
              <w:t>“</w:t>
            </w:r>
            <w:r>
              <w:rPr>
                <w:rFonts w:hint="eastAsia"/>
              </w:rPr>
              <w:t>政采云</w:t>
            </w:r>
            <w:r>
              <w:t>”</w:t>
            </w:r>
            <w:r>
              <w:rPr>
                <w:rFonts w:hint="eastAsia"/>
              </w:rPr>
              <w:t>会向所有已按招标文件规定方式获取招标文件的潜在供应商发送澄清（更正）提醒信息，潜在供应商请及时到浙江政府采购网上下载澄清（更正）文件。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8</w:t>
            </w:r>
          </w:p>
        </w:tc>
        <w:tc>
          <w:tcPr>
            <w:tcW w:w="974" w:type="pct"/>
            <w:vAlign w:val="center"/>
          </w:tcPr>
          <w:p>
            <w:pPr>
              <w:widowControl w:val="0"/>
              <w:spacing w:line="400" w:lineRule="exact"/>
              <w:jc w:val="center"/>
            </w:pPr>
            <w:r>
              <w:rPr>
                <w:rFonts w:hint="eastAsia"/>
              </w:rPr>
              <w:t>投标有效期</w:t>
            </w:r>
          </w:p>
        </w:tc>
        <w:tc>
          <w:tcPr>
            <w:tcW w:w="3645" w:type="pct"/>
            <w:vAlign w:val="center"/>
          </w:tcPr>
          <w:p>
            <w:pPr>
              <w:widowControl w:val="0"/>
              <w:spacing w:line="400" w:lineRule="exact"/>
            </w:pPr>
            <w:r>
              <w:rPr>
                <w:rFonts w:hint="eastAsia"/>
              </w:rPr>
              <w:t>自开标之日起</w:t>
            </w:r>
            <w:r>
              <w:t>90</w:t>
            </w:r>
            <w:r>
              <w:rPr>
                <w:rFonts w:hint="eastAsia"/>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9</w:t>
            </w:r>
          </w:p>
        </w:tc>
        <w:tc>
          <w:tcPr>
            <w:tcW w:w="974" w:type="pct"/>
            <w:vAlign w:val="center"/>
          </w:tcPr>
          <w:p>
            <w:pPr>
              <w:widowControl w:val="0"/>
              <w:spacing w:line="400" w:lineRule="exact"/>
              <w:jc w:val="center"/>
            </w:pPr>
            <w:r>
              <w:rPr>
                <w:rFonts w:hint="eastAsia"/>
              </w:rPr>
              <w:t>方案讲解演示</w:t>
            </w:r>
          </w:p>
        </w:tc>
        <w:tc>
          <w:tcPr>
            <w:tcW w:w="3645" w:type="pct"/>
            <w:vAlign w:val="center"/>
          </w:tcPr>
          <w:p>
            <w:pPr>
              <w:widowControl w:val="0"/>
            </w:pPr>
            <w:r>
              <w:rPr/>
              <w:sym w:font="Wingdings 2" w:char="F052"/>
            </w:r>
            <w:r>
              <w:t xml:space="preserve"> A</w:t>
            </w:r>
            <w:r>
              <w:rPr>
                <w:rFonts w:hint="eastAsia"/>
              </w:rPr>
              <w:t>不组织</w:t>
            </w:r>
          </w:p>
          <w:p>
            <w:pPr>
              <w:widowControl w:val="0"/>
            </w:pPr>
            <w:r>
              <w:rPr/>
              <w:sym w:font="Wingdings 2" w:char="F0A3"/>
            </w:r>
            <w:r>
              <w:t xml:space="preserve"> B</w:t>
            </w:r>
            <w:r>
              <w:rPr>
                <w:rFonts w:hint="eastAsia"/>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10</w:t>
            </w:r>
          </w:p>
        </w:tc>
        <w:tc>
          <w:tcPr>
            <w:tcW w:w="974" w:type="pct"/>
            <w:vAlign w:val="center"/>
          </w:tcPr>
          <w:p>
            <w:pPr>
              <w:widowControl w:val="0"/>
              <w:spacing w:line="400" w:lineRule="exact"/>
              <w:jc w:val="center"/>
            </w:pPr>
            <w:r>
              <w:rPr>
                <w:rFonts w:hint="eastAsia"/>
                <w:highlight w:val="none"/>
              </w:rPr>
              <w:t>投标文件组成</w:t>
            </w:r>
          </w:p>
        </w:tc>
        <w:tc>
          <w:tcPr>
            <w:tcW w:w="3645" w:type="pct"/>
            <w:vAlign w:val="center"/>
          </w:tcPr>
          <w:p>
            <w:pPr>
              <w:widowControl w:val="0"/>
              <w:adjustRightInd w:val="0"/>
              <w:snapToGrid w:val="0"/>
              <w:spacing w:line="460" w:lineRule="exact"/>
              <w:ind w:firstLine="463" w:firstLineChars="192"/>
              <w:rPr>
                <w:b/>
                <w:szCs w:val="21"/>
                <w:u w:val="single"/>
              </w:rPr>
            </w:pPr>
            <w:r>
              <w:rPr>
                <w:b/>
                <w:szCs w:val="21"/>
              </w:rPr>
              <w:t>1.</w:t>
            </w:r>
            <w:r>
              <w:rPr>
                <w:rFonts w:hint="eastAsia"/>
                <w:szCs w:val="21"/>
              </w:rPr>
              <w:t>投标文件由</w:t>
            </w:r>
            <w:r>
              <w:rPr>
                <w:rFonts w:hint="eastAsia"/>
                <w:b/>
                <w:szCs w:val="21"/>
              </w:rPr>
              <w:t>资格响应文件</w:t>
            </w:r>
            <w:r>
              <w:rPr>
                <w:rFonts w:hint="eastAsia"/>
                <w:szCs w:val="21"/>
              </w:rPr>
              <w:t>、</w:t>
            </w:r>
            <w:r>
              <w:rPr>
                <w:rFonts w:hint="eastAsia"/>
                <w:b/>
                <w:szCs w:val="21"/>
              </w:rPr>
              <w:t>商务技术响应文件</w:t>
            </w:r>
            <w:r>
              <w:rPr>
                <w:rFonts w:hint="eastAsia"/>
                <w:szCs w:val="21"/>
              </w:rPr>
              <w:t>和</w:t>
            </w:r>
            <w:r>
              <w:rPr>
                <w:rFonts w:hint="eastAsia"/>
                <w:b/>
                <w:szCs w:val="21"/>
              </w:rPr>
              <w:t>报价响应文件</w:t>
            </w:r>
            <w:r>
              <w:rPr>
                <w:rFonts w:hint="eastAsia"/>
                <w:szCs w:val="21"/>
              </w:rPr>
              <w:t>组成，以下的</w:t>
            </w:r>
            <w:r>
              <w:rPr>
                <w:szCs w:val="21"/>
              </w:rPr>
              <w:t>“</w:t>
            </w:r>
            <w:r>
              <w:rPr>
                <w:rFonts w:hint="eastAsia"/>
                <w:szCs w:val="21"/>
              </w:rPr>
              <w:t>格式</w:t>
            </w:r>
            <w:r>
              <w:rPr>
                <w:szCs w:val="21"/>
              </w:rPr>
              <w:t>”</w:t>
            </w:r>
            <w:r>
              <w:rPr>
                <w:rFonts w:hint="eastAsia"/>
                <w:szCs w:val="21"/>
              </w:rPr>
              <w:t>，指的是第八章投标文件格式中的表格；</w:t>
            </w:r>
          </w:p>
          <w:p>
            <w:pPr>
              <w:widowControl w:val="0"/>
              <w:adjustRightInd w:val="0"/>
              <w:snapToGrid w:val="0"/>
              <w:spacing w:line="460" w:lineRule="exact"/>
              <w:ind w:firstLine="482" w:firstLineChars="200"/>
              <w:rPr>
                <w:b/>
                <w:szCs w:val="21"/>
                <w:u w:val="single"/>
              </w:rPr>
            </w:pPr>
            <w:r>
              <w:rPr>
                <w:b/>
                <w:szCs w:val="21"/>
              </w:rPr>
              <w:t>2.</w:t>
            </w:r>
            <w:r>
              <w:rPr>
                <w:rFonts w:hint="eastAsia"/>
                <w:b/>
                <w:szCs w:val="21"/>
              </w:rPr>
              <w:t>资格响应文件：包含以下内容</w:t>
            </w:r>
          </w:p>
          <w:p>
            <w:pPr>
              <w:pStyle w:val="51"/>
              <w:widowControl w:val="0"/>
              <w:spacing w:after="0" w:line="400" w:lineRule="exact"/>
              <w:ind w:firstLine="480" w:firstLineChars="200"/>
              <w:textAlignment w:val="baseline"/>
              <w:rPr>
                <w:iCs/>
              </w:rPr>
            </w:pPr>
            <w:r>
              <w:rPr>
                <w:rFonts w:hint="eastAsia" w:ascii="宋体" w:hAnsi="宋体" w:cs="宋体"/>
                <w:iCs/>
              </w:rPr>
              <w:t>★①</w:t>
            </w:r>
            <w:r>
              <w:rPr>
                <w:rFonts w:hint="eastAsia"/>
                <w:iCs/>
              </w:rPr>
              <w:t>义乌市政府采购项目投标承诺书（见格式）</w:t>
            </w:r>
          </w:p>
          <w:p>
            <w:pPr>
              <w:pStyle w:val="51"/>
              <w:widowControl w:val="0"/>
              <w:spacing w:after="0" w:line="400" w:lineRule="exact"/>
              <w:ind w:firstLine="480" w:firstLineChars="200"/>
              <w:textAlignment w:val="baseline"/>
              <w:rPr>
                <w:iCs/>
              </w:rPr>
            </w:pPr>
            <w:r>
              <w:rPr>
                <w:rFonts w:hint="eastAsia" w:ascii="宋体" w:hAnsi="宋体" w:cs="宋体"/>
                <w:iCs/>
              </w:rPr>
              <w:t>★②</w:t>
            </w:r>
            <w:bookmarkStart w:id="33" w:name="OLE_LINK9"/>
            <w:r>
              <w:rPr>
                <w:rFonts w:hint="eastAsia"/>
                <w:iCs/>
              </w:rPr>
              <w:t>单位营业执照副本等经营资格证明文件扫描件（加盖电子签章）</w:t>
            </w:r>
          </w:p>
          <w:bookmarkEnd w:id="33"/>
          <w:p>
            <w:pPr>
              <w:pStyle w:val="51"/>
              <w:widowControl w:val="0"/>
              <w:spacing w:after="0" w:line="400" w:lineRule="exact"/>
              <w:ind w:firstLine="480" w:firstLineChars="200"/>
              <w:textAlignment w:val="baseline"/>
              <w:rPr>
                <w:szCs w:val="21"/>
                <w:lang w:val="zh-CN"/>
              </w:rPr>
            </w:pPr>
            <w:r>
              <w:rPr>
                <w:rFonts w:hint="eastAsia" w:ascii="宋体" w:hAnsi="宋体" w:cs="宋体"/>
                <w:iCs/>
              </w:rPr>
              <w:t>★③</w:t>
            </w:r>
            <w:r>
              <w:rPr>
                <w:rFonts w:hint="eastAsia"/>
              </w:rPr>
              <w:t>中小企业声明函（见格式），或残疾人福利性单位声明函（见格式）（符合残疾人福利性单位有关政策的投标人需提供本项材料），或省级及以上监狱管理局、戒毒管理局（含新疆生产建设兵团）出具的属于监狱企业的文件扫描件加盖电子签章（符合监狱企业有关政策的投标人需提供本项材料）</w:t>
            </w:r>
          </w:p>
          <w:p>
            <w:pPr>
              <w:pStyle w:val="51"/>
              <w:widowControl w:val="0"/>
              <w:spacing w:after="0" w:line="400" w:lineRule="exact"/>
              <w:ind w:firstLine="482" w:firstLineChars="200"/>
              <w:textAlignment w:val="baseline"/>
              <w:rPr>
                <w:b/>
                <w:iCs/>
              </w:rPr>
            </w:pPr>
            <w:r>
              <w:rPr>
                <w:b/>
                <w:iCs/>
              </w:rPr>
              <w:t>3.</w:t>
            </w:r>
            <w:r>
              <w:rPr>
                <w:rFonts w:hint="eastAsia"/>
                <w:b/>
                <w:iCs/>
              </w:rPr>
              <w:t>商务技术响应文件</w:t>
            </w:r>
            <w:r>
              <w:rPr>
                <w:rFonts w:hint="eastAsia"/>
                <w:b/>
                <w:iCs/>
                <w:szCs w:val="21"/>
              </w:rPr>
              <w:t>：包含以下内容</w:t>
            </w:r>
          </w:p>
          <w:p>
            <w:pPr>
              <w:pStyle w:val="51"/>
              <w:widowControl w:val="0"/>
              <w:spacing w:after="0" w:line="400" w:lineRule="exact"/>
              <w:ind w:firstLine="480" w:firstLineChars="200"/>
              <w:textAlignment w:val="baseline"/>
              <w:rPr>
                <w:iCs/>
              </w:rPr>
            </w:pPr>
            <w:r>
              <w:rPr>
                <w:rFonts w:hint="eastAsia" w:ascii="宋体" w:hAnsi="宋体" w:cs="宋体"/>
                <w:iCs/>
              </w:rPr>
              <w:t>①</w:t>
            </w:r>
            <w:r>
              <w:rPr>
                <w:rFonts w:hint="eastAsia"/>
                <w:iCs/>
              </w:rPr>
              <w:t>服务质量及项目实施方案：包含以下内容</w:t>
            </w:r>
          </w:p>
          <w:p>
            <w:pPr>
              <w:pStyle w:val="51"/>
              <w:widowControl w:val="0"/>
              <w:spacing w:after="0" w:line="400" w:lineRule="exact"/>
              <w:ind w:firstLine="480" w:firstLineChars="200"/>
              <w:textAlignment w:val="baseline"/>
              <w:rPr>
                <w:iCs/>
              </w:rPr>
            </w:pPr>
            <w:bookmarkStart w:id="34" w:name="OLE_LINK10"/>
            <w:r>
              <w:rPr>
                <w:rFonts w:hint="eastAsia" w:ascii="宋体" w:hAnsi="宋体" w:cs="宋体"/>
                <w:iCs/>
              </w:rPr>
              <w:t>★</w:t>
            </w:r>
            <w:r>
              <w:rPr>
                <w:iCs/>
              </w:rPr>
              <w:t>a.</w:t>
            </w:r>
            <w:r>
              <w:rPr>
                <w:rFonts w:hint="eastAsia"/>
                <w:iCs/>
              </w:rPr>
              <w:t>服务质量保证承诺书（见格式）</w:t>
            </w:r>
          </w:p>
          <w:bookmarkEnd w:id="34"/>
          <w:p>
            <w:pPr>
              <w:pStyle w:val="51"/>
              <w:widowControl w:val="0"/>
              <w:spacing w:after="0" w:line="400" w:lineRule="exact"/>
              <w:ind w:firstLine="480" w:firstLineChars="200"/>
              <w:textAlignment w:val="baseline"/>
              <w:rPr>
                <w:iCs/>
                <w:highlight w:val="none"/>
              </w:rPr>
            </w:pPr>
            <w:r>
              <w:rPr>
                <w:rFonts w:hint="eastAsia" w:ascii="宋体" w:hAnsi="宋体" w:cs="宋体"/>
                <w:iCs/>
              </w:rPr>
              <w:t>★</w:t>
            </w:r>
            <w:r>
              <w:rPr>
                <w:iCs/>
              </w:rPr>
              <w:t>b</w:t>
            </w:r>
            <w:r>
              <w:rPr>
                <w:iCs/>
                <w:highlight w:val="none"/>
              </w:rPr>
              <w:t>.</w:t>
            </w:r>
            <w:bookmarkStart w:id="35" w:name="OLE_LINK14"/>
            <w:r>
              <w:rPr>
                <w:rFonts w:hint="eastAsia"/>
                <w:iCs/>
                <w:highlight w:val="none"/>
              </w:rPr>
              <w:t>项目管理人员情况表（见格式）</w:t>
            </w:r>
            <w:bookmarkEnd w:id="35"/>
          </w:p>
          <w:p>
            <w:pPr>
              <w:pStyle w:val="51"/>
              <w:widowControl w:val="0"/>
              <w:spacing w:after="0" w:line="400" w:lineRule="exact"/>
              <w:ind w:firstLine="480" w:firstLineChars="200"/>
              <w:textAlignment w:val="baseline"/>
              <w:rPr>
                <w:iCs/>
              </w:rPr>
            </w:pPr>
            <w:r>
              <w:rPr>
                <w:iCs/>
                <w:highlight w:val="none"/>
              </w:rPr>
              <w:t>c.</w:t>
            </w:r>
            <w:r>
              <w:rPr>
                <w:rFonts w:hint="eastAsia"/>
                <w:iCs/>
                <w:highlight w:val="none"/>
              </w:rPr>
              <w:t>项目实施方案（格式自</w:t>
            </w:r>
            <w:r>
              <w:rPr>
                <w:rFonts w:hint="eastAsia"/>
                <w:iCs/>
              </w:rPr>
              <w:t>拟）</w:t>
            </w:r>
          </w:p>
          <w:p>
            <w:pPr>
              <w:pStyle w:val="51"/>
              <w:widowControl w:val="0"/>
              <w:spacing w:after="0" w:line="400" w:lineRule="exact"/>
              <w:ind w:firstLine="480" w:firstLineChars="200"/>
              <w:textAlignment w:val="baseline"/>
              <w:rPr>
                <w:iCs/>
              </w:rPr>
            </w:pPr>
            <w:r>
              <w:rPr>
                <w:rFonts w:hint="eastAsia" w:ascii="宋体" w:hAnsi="宋体" w:cs="宋体"/>
                <w:iCs/>
              </w:rPr>
              <w:t>★②</w:t>
            </w:r>
            <w:bookmarkStart w:id="36" w:name="OLE_LINK11"/>
            <w:r>
              <w:rPr>
                <w:rFonts w:hint="eastAsia"/>
                <w:iCs/>
              </w:rPr>
              <w:t>规范偏离表（见格式）</w:t>
            </w:r>
            <w:bookmarkEnd w:id="36"/>
          </w:p>
          <w:p>
            <w:pPr>
              <w:pStyle w:val="51"/>
              <w:widowControl w:val="0"/>
              <w:spacing w:after="0" w:line="400" w:lineRule="exact"/>
              <w:ind w:firstLine="480" w:firstLineChars="200"/>
              <w:textAlignment w:val="baseline"/>
              <w:rPr>
                <w:iCs/>
              </w:rPr>
            </w:pPr>
            <w:r>
              <w:rPr>
                <w:rFonts w:hint="eastAsia" w:ascii="宋体" w:hAnsi="宋体" w:cs="宋体"/>
                <w:iCs/>
              </w:rPr>
              <w:t>③</w:t>
            </w:r>
            <w:r>
              <w:rPr>
                <w:rFonts w:hint="eastAsia"/>
                <w:iCs/>
              </w:rPr>
              <w:t>根据评审需要、招标文件要求等，投标人自行考虑需提供的资料</w:t>
            </w:r>
          </w:p>
          <w:p>
            <w:pPr>
              <w:pStyle w:val="51"/>
              <w:widowControl w:val="0"/>
              <w:spacing w:after="0" w:line="400" w:lineRule="exact"/>
              <w:ind w:firstLine="482" w:firstLineChars="200"/>
              <w:textAlignment w:val="baseline"/>
              <w:rPr>
                <w:b/>
                <w:iCs/>
              </w:rPr>
            </w:pPr>
            <w:r>
              <w:rPr>
                <w:b/>
                <w:iCs/>
              </w:rPr>
              <w:t>4.</w:t>
            </w:r>
            <w:r>
              <w:rPr>
                <w:rFonts w:hint="eastAsia"/>
                <w:b/>
                <w:iCs/>
              </w:rPr>
              <w:t>报价响应文件：包含下列内容</w:t>
            </w:r>
          </w:p>
          <w:p>
            <w:pPr>
              <w:pStyle w:val="51"/>
              <w:widowControl w:val="0"/>
              <w:spacing w:after="0" w:line="400" w:lineRule="exact"/>
              <w:ind w:firstLine="480" w:firstLineChars="200"/>
              <w:textAlignment w:val="baseline"/>
              <w:rPr>
                <w:rFonts w:hint="eastAsia"/>
                <w:iCs/>
              </w:rPr>
            </w:pPr>
            <w:r>
              <w:rPr>
                <w:rFonts w:hint="eastAsia" w:ascii="宋体" w:hAnsi="宋体" w:cs="宋体"/>
                <w:iCs/>
              </w:rPr>
              <w:t>★①</w:t>
            </w:r>
            <w:bookmarkStart w:id="37" w:name="OLE_LINK12"/>
            <w:r>
              <w:rPr>
                <w:rFonts w:hint="eastAsia"/>
                <w:iCs/>
              </w:rPr>
              <w:t>开标一览表（见格式）</w:t>
            </w:r>
            <w:bookmarkEnd w:id="37"/>
          </w:p>
          <w:p>
            <w:pPr>
              <w:pStyle w:val="51"/>
              <w:widowControl w:val="0"/>
              <w:spacing w:after="0" w:line="400" w:lineRule="exact"/>
              <w:ind w:firstLine="480" w:firstLineChars="200"/>
              <w:textAlignment w:val="baseline"/>
              <w:rPr>
                <w:rFonts w:hint="eastAsia"/>
                <w:iCs/>
              </w:rPr>
            </w:pPr>
            <w:r>
              <w:rPr>
                <w:rFonts w:hint="eastAsia" w:ascii="宋体" w:hAnsi="宋体" w:cs="宋体"/>
                <w:iCs/>
              </w:rPr>
              <w:t>★</w:t>
            </w:r>
            <w:r>
              <w:rPr>
                <w:rFonts w:hint="eastAsia"/>
                <w:iCs/>
                <w:lang w:val="en-US" w:eastAsia="zh-CN"/>
              </w:rPr>
              <w:t>②</w:t>
            </w:r>
            <w:bookmarkStart w:id="38" w:name="OLE_LINK13"/>
            <w:r>
              <w:rPr>
                <w:rFonts w:hint="eastAsia"/>
                <w:iCs/>
              </w:rPr>
              <w:t>项目成本报价表（见格式）</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80" w:type="pct"/>
            <w:vAlign w:val="center"/>
          </w:tcPr>
          <w:p>
            <w:pPr>
              <w:widowControl w:val="0"/>
              <w:spacing w:line="400" w:lineRule="exact"/>
              <w:jc w:val="center"/>
            </w:pPr>
            <w:r>
              <w:t>11</w:t>
            </w:r>
          </w:p>
        </w:tc>
        <w:tc>
          <w:tcPr>
            <w:tcW w:w="974" w:type="pct"/>
            <w:vAlign w:val="center"/>
          </w:tcPr>
          <w:p>
            <w:pPr>
              <w:widowControl w:val="0"/>
              <w:spacing w:line="400" w:lineRule="exact"/>
              <w:jc w:val="center"/>
            </w:pPr>
            <w:r>
              <w:rPr>
                <w:rFonts w:hint="eastAsia"/>
              </w:rPr>
              <w:t>履约保证金</w:t>
            </w:r>
          </w:p>
        </w:tc>
        <w:tc>
          <w:tcPr>
            <w:tcW w:w="3645" w:type="pct"/>
            <w:vAlign w:val="center"/>
          </w:tcPr>
          <w:p>
            <w:pPr>
              <w:widowControl w:val="0"/>
              <w:spacing w:line="40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12</w:t>
            </w:r>
          </w:p>
        </w:tc>
        <w:tc>
          <w:tcPr>
            <w:tcW w:w="974" w:type="pct"/>
            <w:vAlign w:val="center"/>
          </w:tcPr>
          <w:p>
            <w:pPr>
              <w:widowControl w:val="0"/>
              <w:spacing w:line="400" w:lineRule="exact"/>
              <w:jc w:val="center"/>
            </w:pPr>
            <w:r>
              <w:rPr>
                <w:rFonts w:hint="eastAsia"/>
              </w:rPr>
              <w:t>评标办法</w:t>
            </w:r>
          </w:p>
        </w:tc>
        <w:tc>
          <w:tcPr>
            <w:tcW w:w="3645" w:type="pct"/>
            <w:vAlign w:val="center"/>
          </w:tcPr>
          <w:p>
            <w:pPr>
              <w:widowControl w:val="0"/>
              <w:spacing w:line="400" w:lineRule="exact"/>
            </w:pPr>
            <w:r>
              <w:rPr>
                <w:rFonts w:hint="eastAsia"/>
              </w:rPr>
              <w:t>综合评分法，详见第六章评标办法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80" w:type="pct"/>
            <w:vAlign w:val="center"/>
          </w:tcPr>
          <w:p>
            <w:pPr>
              <w:widowControl w:val="0"/>
              <w:spacing w:line="400" w:lineRule="exact"/>
              <w:jc w:val="center"/>
            </w:pPr>
            <w:r>
              <w:t>13</w:t>
            </w:r>
          </w:p>
        </w:tc>
        <w:tc>
          <w:tcPr>
            <w:tcW w:w="974" w:type="pct"/>
            <w:vAlign w:val="center"/>
          </w:tcPr>
          <w:p>
            <w:pPr>
              <w:widowControl w:val="0"/>
              <w:spacing w:line="400" w:lineRule="exact"/>
              <w:jc w:val="center"/>
            </w:pPr>
            <w:r>
              <w:rPr>
                <w:rFonts w:hint="eastAsia"/>
              </w:rPr>
              <w:t>付款方式</w:t>
            </w:r>
          </w:p>
        </w:tc>
        <w:tc>
          <w:tcPr>
            <w:tcW w:w="3645" w:type="pct"/>
            <w:vAlign w:val="center"/>
          </w:tcPr>
          <w:p>
            <w:pPr>
              <w:widowControl w:val="0"/>
              <w:spacing w:line="400" w:lineRule="exact"/>
              <w:rPr>
                <w:spacing w:val="-8"/>
              </w:rPr>
            </w:pPr>
            <w:r>
              <w:rPr>
                <w:rFonts w:hint="eastAsia"/>
                <w:spacing w:val="-8"/>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80" w:type="pct"/>
            <w:vAlign w:val="center"/>
          </w:tcPr>
          <w:p>
            <w:pPr>
              <w:widowControl w:val="0"/>
              <w:spacing w:line="400" w:lineRule="exact"/>
              <w:jc w:val="center"/>
            </w:pPr>
            <w:r>
              <w:t>14</w:t>
            </w:r>
          </w:p>
        </w:tc>
        <w:tc>
          <w:tcPr>
            <w:tcW w:w="974" w:type="pct"/>
            <w:vAlign w:val="center"/>
          </w:tcPr>
          <w:p>
            <w:pPr>
              <w:widowControl w:val="0"/>
              <w:snapToGrid w:val="0"/>
              <w:spacing w:line="360" w:lineRule="exact"/>
              <w:jc w:val="center"/>
            </w:pPr>
            <w:r>
              <w:rPr>
                <w:rFonts w:hint="eastAsia"/>
              </w:rPr>
              <w:t>不良行为记录</w:t>
            </w:r>
          </w:p>
        </w:tc>
        <w:tc>
          <w:tcPr>
            <w:tcW w:w="3645" w:type="pct"/>
            <w:vAlign w:val="center"/>
          </w:tcPr>
          <w:p>
            <w:pPr>
              <w:widowControl w:val="0"/>
              <w:spacing w:line="360" w:lineRule="exact"/>
              <w:ind w:firstLine="480" w:firstLineChars="200"/>
            </w:pPr>
            <w:r>
              <w:rPr>
                <w:rFonts w:hint="eastAsia"/>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eastAsia"/>
              </w:rPr>
              <w:t>或被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80" w:type="pct"/>
            <w:vAlign w:val="center"/>
          </w:tcPr>
          <w:p>
            <w:pPr>
              <w:widowControl w:val="0"/>
              <w:spacing w:line="400" w:lineRule="exact"/>
              <w:jc w:val="center"/>
            </w:pPr>
            <w:r>
              <w:t>15</w:t>
            </w:r>
          </w:p>
        </w:tc>
        <w:tc>
          <w:tcPr>
            <w:tcW w:w="974" w:type="pct"/>
            <w:vAlign w:val="center"/>
          </w:tcPr>
          <w:p>
            <w:pPr>
              <w:widowControl w:val="0"/>
              <w:spacing w:line="400" w:lineRule="exact"/>
            </w:pPr>
            <w:r>
              <w:rPr>
                <w:rFonts w:hint="eastAsia"/>
              </w:rPr>
              <w:t>是否接受进口产品参与投标</w:t>
            </w:r>
          </w:p>
        </w:tc>
        <w:tc>
          <w:tcPr>
            <w:tcW w:w="3645" w:type="pct"/>
            <w:vAlign w:val="center"/>
          </w:tcPr>
          <w:p>
            <w:pPr>
              <w:widowControl w:val="0"/>
            </w:pPr>
            <w:r>
              <w:rPr/>
              <w:sym w:font="Wingdings 2" w:char="F052"/>
            </w:r>
            <w:r>
              <w:rPr>
                <w:rFonts w:hint="eastAsia"/>
              </w:rPr>
              <w:t>本项目不允许采购进口产品。</w:t>
            </w:r>
          </w:p>
          <w:p>
            <w:pPr>
              <w:widowControl w:val="0"/>
            </w:pPr>
            <w:r>
              <w:rPr>
                <w:rFonts w:hint="eastAsia" w:ascii="MS Mincho" w:hAnsi="MS Mincho" w:eastAsia="MS Mincho" w:cs="MS Mincho"/>
              </w:rPr>
              <w:t>☐</w:t>
            </w:r>
            <w:r>
              <w:rPr>
                <w:rFonts w:hint="eastAsia"/>
              </w:rPr>
              <w:t>本项目允许采购进口产品。</w:t>
            </w:r>
          </w:p>
          <w:p>
            <w:pPr>
              <w:pStyle w:val="3"/>
              <w:widowControl w:val="0"/>
              <w:ind w:firstLine="0" w:firstLineChars="0"/>
            </w:pPr>
            <w:r>
              <w:rPr>
                <w:rFonts w:hint="eastAsia"/>
                <w:shd w:val="clear" w:color="auto" w:fill="FFFFFF"/>
              </w:rPr>
              <w:t>详见投标须知</w:t>
            </w:r>
            <w:r>
              <w:rPr>
                <w:shd w:val="clear" w:color="auto" w:fill="FFFFFF"/>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80" w:type="pct"/>
            <w:vAlign w:val="center"/>
          </w:tcPr>
          <w:p>
            <w:pPr>
              <w:widowControl w:val="0"/>
              <w:spacing w:line="400" w:lineRule="exact"/>
              <w:jc w:val="center"/>
            </w:pPr>
            <w:r>
              <w:t>16</w:t>
            </w:r>
          </w:p>
        </w:tc>
        <w:tc>
          <w:tcPr>
            <w:tcW w:w="974" w:type="pct"/>
            <w:vAlign w:val="center"/>
          </w:tcPr>
          <w:p>
            <w:pPr>
              <w:widowControl w:val="0"/>
              <w:snapToGrid w:val="0"/>
              <w:spacing w:line="360" w:lineRule="exact"/>
            </w:pPr>
            <w:r>
              <w:rPr>
                <w:rFonts w:hint="eastAsia"/>
              </w:rPr>
              <w:t>扶持中小企业</w:t>
            </w:r>
          </w:p>
        </w:tc>
        <w:tc>
          <w:tcPr>
            <w:tcW w:w="3645" w:type="pct"/>
            <w:vAlign w:val="center"/>
          </w:tcPr>
          <w:p>
            <w:pPr>
              <w:widowControl w:val="0"/>
            </w:pPr>
            <w:r>
              <w:rPr/>
              <w:sym w:font="Wingdings 2" w:char="F052"/>
            </w:r>
            <w:r>
              <w:rPr>
                <w:rFonts w:hint="eastAsia"/>
              </w:rPr>
              <w:t>本项目（标项＿）为专门面向中小企业（具体情形详见招标公告资格要求中的情形）采购的项目或者标项，不再执行价格评审优惠的扶持政策。</w:t>
            </w:r>
          </w:p>
          <w:p>
            <w:pPr>
              <w:widowControl w:val="0"/>
            </w:pPr>
            <w:r>
              <w:rPr/>
              <w:sym w:font="Wingdings 2" w:char="F0A3"/>
            </w:r>
            <w:r>
              <w:rPr>
                <w:rFonts w:hint="eastAsia"/>
              </w:rPr>
              <w:t>本项目（标项＿）为非专门面向中小企业采购的项目</w:t>
            </w:r>
            <w:r>
              <w:t>(</w:t>
            </w:r>
            <w:r>
              <w:rPr>
                <w:rFonts w:hint="eastAsia"/>
              </w:rPr>
              <w:t>或标项</w:t>
            </w:r>
            <w:r>
              <w:t>)</w:t>
            </w:r>
            <w:r>
              <w:rPr>
                <w:rFonts w:hint="eastAsia"/>
              </w:rPr>
              <w:t>，执行价格评审优惠。</w:t>
            </w:r>
          </w:p>
          <w:p>
            <w:pPr>
              <w:pStyle w:val="3"/>
              <w:widowControl w:val="0"/>
              <w:shd w:val="clear" w:color="auto" w:fill="FFFFFF"/>
              <w:ind w:firstLine="0" w:firstLineChars="0"/>
              <w:rPr>
                <w:shd w:val="clear" w:color="auto" w:fill="FFFFFF"/>
              </w:rPr>
            </w:pPr>
            <w:r>
              <w:rPr>
                <w:rFonts w:hint="eastAsia"/>
                <w:shd w:val="clear" w:color="auto" w:fill="FFFFFF"/>
              </w:rPr>
              <w:t>详见投标须知</w:t>
            </w:r>
            <w:r>
              <w:rPr>
                <w:shd w:val="clear" w:color="auto" w:fill="FFFFFF"/>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80" w:type="pct"/>
            <w:vAlign w:val="center"/>
          </w:tcPr>
          <w:p>
            <w:pPr>
              <w:widowControl w:val="0"/>
              <w:spacing w:line="360" w:lineRule="exact"/>
              <w:jc w:val="center"/>
            </w:pPr>
            <w:r>
              <w:t>17</w:t>
            </w:r>
          </w:p>
        </w:tc>
        <w:tc>
          <w:tcPr>
            <w:tcW w:w="974" w:type="pct"/>
            <w:vAlign w:val="center"/>
          </w:tcPr>
          <w:p>
            <w:pPr>
              <w:widowControl w:val="0"/>
              <w:adjustRightInd w:val="0"/>
            </w:pPr>
            <w:r>
              <w:rPr>
                <w:rFonts w:hint="eastAsia"/>
              </w:rPr>
              <w:t>是否接受联合体投标</w:t>
            </w:r>
          </w:p>
        </w:tc>
        <w:tc>
          <w:tcPr>
            <w:tcW w:w="3645" w:type="pct"/>
            <w:vAlign w:val="center"/>
          </w:tcPr>
          <w:p>
            <w:pPr>
              <w:widowControl w:val="0"/>
              <w:adjustRightInd w:val="0"/>
              <w:spacing w:line="300" w:lineRule="exact"/>
            </w:pPr>
            <w:r>
              <w:rPr/>
              <w:sym w:font="Wingdings 2" w:char="F052"/>
            </w:r>
            <w:r>
              <w:rPr>
                <w:rFonts w:hint="eastAsia"/>
              </w:rPr>
              <w:t>不接受</w:t>
            </w:r>
          </w:p>
          <w:p>
            <w:pPr>
              <w:widowControl w:val="0"/>
              <w:adjustRightInd w:val="0"/>
              <w:spacing w:line="300" w:lineRule="exact"/>
            </w:pPr>
            <w:r>
              <w:rPr/>
              <w:sym w:font="Wingdings 2" w:char="F0A3"/>
            </w:r>
            <w:r>
              <w:rPr>
                <w:rFonts w:hint="eastAsia"/>
              </w:rPr>
              <w:t>接受</w:t>
            </w:r>
          </w:p>
          <w:p>
            <w:pPr>
              <w:pStyle w:val="3"/>
              <w:widowControl w:val="0"/>
              <w:ind w:firstLine="0" w:firstLineChars="0"/>
            </w:pPr>
            <w:r>
              <w:rPr>
                <w:rFonts w:hint="eastAsia"/>
                <w:b w:val="0"/>
                <w:bCs w:val="0"/>
                <w:shd w:val="clear" w:color="auto" w:fill="FFFFFF"/>
              </w:rPr>
              <w:t>详见投标须知</w:t>
            </w:r>
            <w:r>
              <w:rPr>
                <w:b w:val="0"/>
                <w:bCs w:val="0"/>
                <w:shd w:val="clear" w:color="auto" w:fill="FFFFFF"/>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80" w:type="pct"/>
            <w:vAlign w:val="center"/>
          </w:tcPr>
          <w:p>
            <w:pPr>
              <w:widowControl w:val="0"/>
              <w:spacing w:line="400" w:lineRule="exact"/>
              <w:jc w:val="center"/>
              <w:rPr>
                <w:kern w:val="2"/>
              </w:rPr>
            </w:pPr>
            <w:r>
              <w:t>18</w:t>
            </w:r>
          </w:p>
        </w:tc>
        <w:tc>
          <w:tcPr>
            <w:tcW w:w="974" w:type="pct"/>
            <w:vAlign w:val="center"/>
          </w:tcPr>
          <w:p>
            <w:pPr>
              <w:widowControl w:val="0"/>
              <w:snapToGrid w:val="0"/>
              <w:spacing w:line="360" w:lineRule="exact"/>
              <w:jc w:val="center"/>
              <w:rPr>
                <w:kern w:val="2"/>
              </w:rPr>
            </w:pPr>
            <w:r>
              <w:rPr>
                <w:rFonts w:hint="eastAsia"/>
              </w:rPr>
              <w:t>是否接受分包</w:t>
            </w:r>
          </w:p>
        </w:tc>
        <w:tc>
          <w:tcPr>
            <w:tcW w:w="3645" w:type="pct"/>
            <w:vAlign w:val="center"/>
          </w:tcPr>
          <w:p>
            <w:pPr>
              <w:widowControl w:val="0"/>
              <w:spacing w:line="360" w:lineRule="auto"/>
            </w:pPr>
            <w:r>
              <w:rPr>
                <w:rFonts w:hint="eastAsia" w:ascii="MS Mincho" w:hAnsi="MS Mincho" w:eastAsia="MS Mincho" w:cs="MS Mincho"/>
              </w:rPr>
              <w:t>☐</w:t>
            </w:r>
            <w:r>
              <w:t xml:space="preserve"> A</w:t>
            </w:r>
            <w:r>
              <w:rPr>
                <w:rFonts w:hint="eastAsia"/>
              </w:rPr>
              <w:t>同意将非主体、非关键性的工作分包。</w:t>
            </w:r>
          </w:p>
          <w:p>
            <w:pPr>
              <w:widowControl w:val="0"/>
              <w:spacing w:line="360" w:lineRule="auto"/>
            </w:pPr>
            <w:r>
              <w:rPr/>
              <w:sym w:font="Wingdings 2" w:char="F052"/>
            </w:r>
            <w:r>
              <w:t xml:space="preserve"> B</w:t>
            </w:r>
            <w:r>
              <w:rPr>
                <w:rFonts w:hint="eastAsia"/>
              </w:rPr>
              <w:t>不同意分包。</w:t>
            </w:r>
          </w:p>
          <w:p>
            <w:pPr>
              <w:widowControl w:val="0"/>
              <w:rPr>
                <w:kern w:val="2"/>
              </w:rPr>
            </w:pPr>
            <w:r>
              <w:rPr>
                <w:rFonts w:hint="eastAsia"/>
              </w:rPr>
              <w:t>详见投标须知</w:t>
            </w:r>
            <w:r>
              <w:t>6</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0" w:type="pct"/>
            <w:vAlign w:val="center"/>
          </w:tcPr>
          <w:p>
            <w:pPr>
              <w:widowControl w:val="0"/>
              <w:snapToGrid w:val="0"/>
              <w:spacing w:line="360" w:lineRule="auto"/>
              <w:jc w:val="center"/>
            </w:pPr>
            <w:r>
              <w:t>19</w:t>
            </w:r>
          </w:p>
        </w:tc>
        <w:tc>
          <w:tcPr>
            <w:tcW w:w="974" w:type="pct"/>
            <w:vAlign w:val="center"/>
          </w:tcPr>
          <w:p>
            <w:pPr>
              <w:widowControl w:val="0"/>
              <w:snapToGrid w:val="0"/>
              <w:spacing w:line="360" w:lineRule="exact"/>
            </w:pPr>
            <w:r>
              <w:rPr>
                <w:rFonts w:hint="eastAsia"/>
              </w:rPr>
              <w:t>节能产品、环境标志产品</w:t>
            </w:r>
          </w:p>
        </w:tc>
        <w:tc>
          <w:tcPr>
            <w:tcW w:w="3645" w:type="pct"/>
            <w:vAlign w:val="center"/>
          </w:tcPr>
          <w:p>
            <w:pPr>
              <w:widowControl w:val="0"/>
              <w:snapToGrid w:val="0"/>
              <w:spacing w:line="360" w:lineRule="exact"/>
              <w:ind w:firstLine="480" w:firstLineChars="200"/>
            </w:pPr>
            <w:r>
              <w:rPr>
                <w:rFonts w:hint="eastAsia"/>
              </w:rPr>
              <w:t>根据财库〔</w:t>
            </w:r>
            <w:r>
              <w:t>2019</w:t>
            </w:r>
            <w:r>
              <w:rPr>
                <w:rFonts w:hint="eastAsia"/>
              </w:rPr>
              <w:t>〕</w:t>
            </w:r>
            <w:r>
              <w:t>9</w:t>
            </w:r>
            <w:r>
              <w:rPr>
                <w:rFonts w:hint="eastAsia"/>
              </w:rPr>
              <w:t>号文件要求，采购人采购的产品中有属于节能产品政府采购品目清单或环境标志产品政府采购品目清单内的，投标人所投的相应产品应在中国政府采购网（</w:t>
            </w:r>
            <w:r>
              <w:t>http://www.ccgp.gov.cn</w:t>
            </w:r>
            <w:r>
              <w:rPr>
                <w:rFonts w:hint="eastAsia"/>
              </w:rPr>
              <w:t>）中可查询到，如属于强制采购节能产品的，未能在网上查询到的，其投标无效。</w:t>
            </w:r>
          </w:p>
          <w:p>
            <w:pPr>
              <w:widowControl w:val="0"/>
              <w:snapToGrid w:val="0"/>
              <w:spacing w:line="360" w:lineRule="exact"/>
              <w:ind w:firstLine="480" w:firstLineChars="200"/>
            </w:pPr>
            <w:r>
              <w:rPr>
                <w:rFonts w:hint="eastAsia"/>
              </w:rPr>
              <w:t>详见投标须知</w:t>
            </w:r>
            <w: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80" w:type="pct"/>
            <w:vAlign w:val="center"/>
          </w:tcPr>
          <w:p>
            <w:pPr>
              <w:widowControl w:val="0"/>
              <w:spacing w:line="360" w:lineRule="exact"/>
              <w:jc w:val="center"/>
            </w:pPr>
            <w:r>
              <w:t>20</w:t>
            </w:r>
          </w:p>
        </w:tc>
        <w:tc>
          <w:tcPr>
            <w:tcW w:w="974" w:type="pct"/>
            <w:vAlign w:val="center"/>
          </w:tcPr>
          <w:p>
            <w:pPr>
              <w:widowControl w:val="0"/>
              <w:snapToGrid w:val="0"/>
              <w:spacing w:line="360" w:lineRule="exact"/>
            </w:pPr>
            <w:r>
              <w:rPr>
                <w:rFonts w:hint="eastAsia"/>
              </w:rPr>
              <w:t>失信行为处理</w:t>
            </w:r>
          </w:p>
        </w:tc>
        <w:tc>
          <w:tcPr>
            <w:tcW w:w="3645" w:type="pct"/>
            <w:vAlign w:val="center"/>
          </w:tcPr>
          <w:p>
            <w:pPr>
              <w:widowControl w:val="0"/>
              <w:snapToGrid w:val="0"/>
              <w:spacing w:line="360" w:lineRule="exact"/>
              <w:ind w:firstLine="480" w:firstLineChars="200"/>
            </w:pPr>
            <w:r>
              <w:rPr>
                <w:rFonts w:hint="eastAsia"/>
              </w:rPr>
              <w:t>投标人发生下列情况之一时，除严格依法依规进行处理外，还将通报市信用管理部门，列入严重失信名单：</w:t>
            </w:r>
          </w:p>
          <w:p>
            <w:pPr>
              <w:widowControl w:val="0"/>
              <w:snapToGrid w:val="0"/>
              <w:spacing w:line="360" w:lineRule="exact"/>
            </w:pPr>
            <w:r>
              <w:rPr>
                <w:rFonts w:hint="eastAsia"/>
              </w:rPr>
              <w:t>（</w:t>
            </w:r>
            <w:r>
              <w:t>1</w:t>
            </w:r>
            <w:r>
              <w:rPr>
                <w:rFonts w:hint="eastAsia"/>
              </w:rPr>
              <w:t>）投标人在规定的投标有效期内撤回投标或放弃中标的；</w:t>
            </w:r>
          </w:p>
          <w:p>
            <w:pPr>
              <w:widowControl w:val="0"/>
              <w:snapToGrid w:val="0"/>
              <w:spacing w:line="360" w:lineRule="exact"/>
            </w:pPr>
            <w:r>
              <w:rPr>
                <w:rFonts w:hint="eastAsia"/>
              </w:rPr>
              <w:t>（</w:t>
            </w:r>
            <w:r>
              <w:t>2</w:t>
            </w:r>
            <w:r>
              <w:rPr>
                <w:rFonts w:hint="eastAsia"/>
              </w:rPr>
              <w:t>）有意串标或提供虚假材料的；</w:t>
            </w:r>
          </w:p>
          <w:p>
            <w:pPr>
              <w:widowControl w:val="0"/>
              <w:snapToGrid w:val="0"/>
              <w:spacing w:line="360" w:lineRule="exact"/>
            </w:pPr>
            <w:r>
              <w:rPr>
                <w:rFonts w:hint="eastAsia"/>
              </w:rPr>
              <w:t>（</w:t>
            </w:r>
            <w:r>
              <w:t>3</w:t>
            </w:r>
            <w:r>
              <w:rPr>
                <w:rFonts w:hint="eastAsia"/>
              </w:rPr>
              <w:t>）中标人在收到中标通知书后，因自身原因不能在投标有效期内和采购人签订合同。</w:t>
            </w:r>
          </w:p>
          <w:p>
            <w:pPr>
              <w:widowControl w:val="0"/>
              <w:snapToGrid w:val="0"/>
              <w:spacing w:line="360" w:lineRule="exact"/>
            </w:pPr>
            <w:r>
              <w:rPr>
                <w:rFonts w:hint="eastAsia"/>
              </w:rPr>
              <w:t>（</w:t>
            </w:r>
            <w:r>
              <w:t>4</w:t>
            </w:r>
            <w:r>
              <w:rPr>
                <w:rFonts w:hint="eastAsia"/>
              </w:rPr>
              <w:t>）中标人在标后履约过程中未按合同约定的期限和要求履约的。</w:t>
            </w:r>
          </w:p>
          <w:p>
            <w:pPr>
              <w:widowControl w:val="0"/>
              <w:snapToGrid w:val="0"/>
              <w:spacing w:line="360" w:lineRule="exact"/>
            </w:pPr>
            <w:r>
              <w:rPr>
                <w:rFonts w:hint="eastAsia"/>
              </w:rPr>
              <w:t>（</w:t>
            </w:r>
            <w:r>
              <w:t>5</w:t>
            </w:r>
            <w:r>
              <w:rPr>
                <w:rFonts w:hint="eastAsia"/>
              </w:rPr>
              <w:t>）因中标人原因在标后履约过程中擅自终止合同的。</w:t>
            </w:r>
          </w:p>
          <w:p>
            <w:pPr>
              <w:widowControl w:val="0"/>
              <w:snapToGrid w:val="0"/>
              <w:spacing w:line="360" w:lineRule="exact"/>
            </w:pPr>
            <w:r>
              <w:rPr>
                <w:rFonts w:hint="eastAsia"/>
              </w:rPr>
              <w:t>（</w:t>
            </w:r>
            <w:r>
              <w:t>6</w:t>
            </w:r>
            <w:r>
              <w:rPr>
                <w:rFonts w:hint="eastAsia"/>
              </w:rPr>
              <w:t>）不符合招标文件要求的其他失信行为。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80" w:type="pct"/>
            <w:vAlign w:val="center"/>
          </w:tcPr>
          <w:p>
            <w:pPr>
              <w:widowControl w:val="0"/>
              <w:spacing w:line="400" w:lineRule="exact"/>
              <w:jc w:val="center"/>
            </w:pPr>
            <w:r>
              <w:t>21</w:t>
            </w:r>
          </w:p>
        </w:tc>
        <w:tc>
          <w:tcPr>
            <w:tcW w:w="974" w:type="pct"/>
            <w:vAlign w:val="center"/>
          </w:tcPr>
          <w:p>
            <w:pPr>
              <w:widowControl w:val="0"/>
              <w:snapToGrid w:val="0"/>
              <w:spacing w:line="360" w:lineRule="exact"/>
            </w:pPr>
            <w:r>
              <w:rPr>
                <w:rFonts w:hint="eastAsia"/>
              </w:rPr>
              <w:t>政采贷</w:t>
            </w:r>
          </w:p>
        </w:tc>
        <w:tc>
          <w:tcPr>
            <w:tcW w:w="3645" w:type="pct"/>
            <w:vAlign w:val="center"/>
          </w:tcPr>
          <w:p>
            <w:pPr>
              <w:widowControl w:val="0"/>
              <w:snapToGrid w:val="0"/>
              <w:spacing w:line="360" w:lineRule="exact"/>
              <w:ind w:firstLine="480" w:firstLineChars="200"/>
            </w:pPr>
            <w:r>
              <w:rPr>
                <w:rFonts w:hint="eastAsia"/>
              </w:rPr>
              <w:t>为支持和促进中小企业发展，进一步发挥政府采购政策功能，根据《浙江省财政厅关于进一步发挥政府采购政策</w:t>
            </w:r>
            <w:r>
              <w:t> </w:t>
            </w:r>
            <w:r>
              <w:rPr>
                <w:rFonts w:hint="eastAsia"/>
              </w:rPr>
              <w:t>功能全力推动经济稳进提质的通知》（浙财采监〔</w:t>
            </w:r>
            <w:r>
              <w:t>2022</w:t>
            </w:r>
            <w:r>
              <w:rPr>
                <w:rFonts w:hint="eastAsia"/>
              </w:rPr>
              <w:t>〕</w:t>
            </w:r>
            <w:r>
              <w:t>3</w:t>
            </w:r>
            <w:r>
              <w:rPr>
                <w:rFonts w:hint="eastAsia"/>
              </w:rPr>
              <w:t>号），供应商若有融资意向，登录政府采购云平台</w:t>
            </w:r>
            <w:r>
              <w:t>“</w:t>
            </w:r>
            <w:r>
              <w:rPr>
                <w:rFonts w:hint="eastAsia"/>
              </w:rPr>
              <w:t>金融支撑</w:t>
            </w:r>
            <w:r>
              <w:t>”</w:t>
            </w:r>
            <w:r>
              <w:rPr>
                <w:rFonts w:hint="eastAsia"/>
              </w:rPr>
              <w:t>栏目进行查询，查看各相关银行服务方案。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80" w:type="pct"/>
            <w:vAlign w:val="center"/>
          </w:tcPr>
          <w:p>
            <w:pPr>
              <w:widowControl w:val="0"/>
              <w:spacing w:line="360" w:lineRule="exact"/>
              <w:jc w:val="center"/>
            </w:pPr>
            <w:r>
              <w:t>22</w:t>
            </w:r>
          </w:p>
        </w:tc>
        <w:tc>
          <w:tcPr>
            <w:tcW w:w="974" w:type="pct"/>
            <w:vAlign w:val="center"/>
          </w:tcPr>
          <w:p>
            <w:pPr>
              <w:widowControl w:val="0"/>
              <w:spacing w:line="400" w:lineRule="exact"/>
              <w:jc w:val="center"/>
            </w:pPr>
            <w:r>
              <w:rPr>
                <w:rFonts w:hint="eastAsia"/>
              </w:rPr>
              <w:t>质疑与投诉：</w:t>
            </w:r>
          </w:p>
        </w:tc>
        <w:tc>
          <w:tcPr>
            <w:tcW w:w="3645" w:type="pct"/>
            <w:vAlign w:val="center"/>
          </w:tcPr>
          <w:p>
            <w:pPr>
              <w:pStyle w:val="2"/>
              <w:widowControl w:val="0"/>
              <w:spacing w:after="0" w:line="360" w:lineRule="exact"/>
              <w:ind w:left="0" w:leftChars="0" w:firstLine="0" w:firstLineChars="0"/>
            </w:pPr>
            <w:r>
              <w:rPr>
                <w:bCs/>
              </w:rPr>
              <w:t>1.</w:t>
            </w:r>
            <w:r>
              <w:rPr>
                <w:rFonts w:hint="eastAsia"/>
              </w:rPr>
              <w:t>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widowControl w:val="0"/>
              <w:spacing w:after="0" w:line="360" w:lineRule="exact"/>
              <w:ind w:left="0" w:leftChars="0" w:firstLine="0" w:firstLineChars="0"/>
            </w:pPr>
            <w:r>
              <w:rPr>
                <w:bCs/>
              </w:rPr>
              <w:t>2.</w:t>
            </w:r>
            <w:r>
              <w:rPr>
                <w:rFonts w:hint="eastAsia"/>
              </w:rPr>
              <w:t>供应商应在法定质疑期内一次性提出针对同一采购程序环节的质疑。</w:t>
            </w:r>
          </w:p>
          <w:p>
            <w:pPr>
              <w:pStyle w:val="2"/>
              <w:widowControl w:val="0"/>
              <w:spacing w:after="0" w:line="360" w:lineRule="exact"/>
              <w:ind w:left="0" w:leftChars="0" w:firstLine="0" w:firstLineChars="0"/>
            </w:pPr>
            <w:r>
              <w:rPr>
                <w:bCs/>
              </w:rPr>
              <w:t>3.</w:t>
            </w:r>
            <w:r>
              <w:rPr>
                <w:rFonts w:hint="eastAsia"/>
              </w:rPr>
              <w:t>提出质疑的供应商应当是参与所质疑项目采购活动的供应商。</w:t>
            </w:r>
            <w:r>
              <w:t xml:space="preserve">      4.</w:t>
            </w:r>
            <w:r>
              <w:rPr>
                <w:rFonts w:hint="eastAsia"/>
              </w:rPr>
              <w:t>鼓励供应商通过</w:t>
            </w:r>
            <w:r>
              <w:t>“</w:t>
            </w:r>
            <w:r>
              <w:rPr>
                <w:rFonts w:hint="eastAsia"/>
              </w:rPr>
              <w:t>政采云</w:t>
            </w:r>
            <w:r>
              <w:t>”</w:t>
            </w:r>
            <w:r>
              <w:rPr>
                <w:rFonts w:hint="eastAsia"/>
              </w:rPr>
              <w:t>在线提起质疑。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380" w:type="pct"/>
            <w:vAlign w:val="center"/>
          </w:tcPr>
          <w:p>
            <w:pPr>
              <w:widowControl w:val="0"/>
              <w:spacing w:line="360" w:lineRule="exact"/>
              <w:jc w:val="center"/>
            </w:pPr>
            <w:r>
              <w:t>23</w:t>
            </w:r>
          </w:p>
        </w:tc>
        <w:tc>
          <w:tcPr>
            <w:tcW w:w="974" w:type="pct"/>
            <w:vAlign w:val="center"/>
          </w:tcPr>
          <w:p>
            <w:pPr>
              <w:widowControl w:val="0"/>
              <w:spacing w:line="400" w:lineRule="exact"/>
              <w:jc w:val="center"/>
            </w:pPr>
            <w:r>
              <w:rPr>
                <w:rFonts w:hint="eastAsia"/>
              </w:rPr>
              <w:t>其他</w:t>
            </w:r>
          </w:p>
        </w:tc>
        <w:tc>
          <w:tcPr>
            <w:tcW w:w="3645" w:type="pct"/>
            <w:vAlign w:val="center"/>
          </w:tcPr>
          <w:p>
            <w:pPr>
              <w:widowControl w:val="0"/>
              <w:spacing w:line="400" w:lineRule="exact"/>
            </w:pPr>
            <w:r>
              <w:rPr>
                <w:bCs/>
              </w:rPr>
              <w:t>1.</w:t>
            </w:r>
            <w:r>
              <w:rPr>
                <w:rFonts w:hint="eastAsia"/>
              </w:rPr>
              <w:t>投标报价超过预算价或最高限价的，其投标为无效标。</w:t>
            </w:r>
          </w:p>
          <w:p>
            <w:pPr>
              <w:widowControl w:val="0"/>
              <w:spacing w:line="400" w:lineRule="exact"/>
            </w:pPr>
            <w:r>
              <w:rPr>
                <w:bCs/>
              </w:rPr>
              <w:t>2.</w:t>
            </w:r>
            <w:r>
              <w:rPr>
                <w:rFonts w:hint="eastAsia"/>
              </w:rPr>
              <w:t>投标人在制作投标文件时，提供的证书等佐证材料均需采用扫描件形式，且材料的内容要求完整、清晰可辨，否则在评审时以最不利于投标人原则评审。</w:t>
            </w:r>
          </w:p>
        </w:tc>
      </w:tr>
    </w:tbl>
    <w:p>
      <w:pPr>
        <w:widowControl w:val="0"/>
        <w:spacing w:line="360" w:lineRule="auto"/>
        <w:jc w:val="center"/>
        <w:rPr>
          <w:sz w:val="36"/>
          <w:szCs w:val="36"/>
        </w:rPr>
      </w:pPr>
      <w:r>
        <w:rPr>
          <w:rFonts w:hint="eastAsia"/>
          <w:b/>
        </w:rPr>
        <w:t>注：投标人须知前附表内容与本招标文件后述内容不一致的，以投标须知前附表为准。</w:t>
      </w:r>
      <w:bookmarkStart w:id="39" w:name="_Toc362250686"/>
      <w:bookmarkStart w:id="40" w:name="_Toc274303228"/>
      <w:r>
        <w:rPr>
          <w:sz w:val="36"/>
          <w:szCs w:val="36"/>
        </w:rPr>
        <w:br w:type="page"/>
      </w:r>
      <w:bookmarkStart w:id="41" w:name="_Toc406413927"/>
      <w:r>
        <w:rPr>
          <w:rFonts w:hint="eastAsia"/>
          <w:sz w:val="36"/>
          <w:szCs w:val="36"/>
        </w:rPr>
        <w:t>投标须知</w:t>
      </w:r>
      <w:bookmarkEnd w:id="39"/>
      <w:bookmarkEnd w:id="40"/>
      <w:bookmarkEnd w:id="41"/>
    </w:p>
    <w:p>
      <w:pPr>
        <w:pStyle w:val="6"/>
        <w:keepNext w:val="0"/>
        <w:keepLines w:val="0"/>
        <w:widowControl w:val="0"/>
        <w:spacing w:before="0" w:after="0" w:line="240" w:lineRule="exact"/>
        <w:rPr>
          <w:rFonts w:ascii="Times New Roman" w:hAnsi="Times New Roman" w:eastAsia="宋体"/>
          <w:sz w:val="24"/>
          <w:szCs w:val="24"/>
        </w:rPr>
      </w:pPr>
      <w:bookmarkStart w:id="42" w:name="_Toc26564"/>
      <w:bookmarkStart w:id="43" w:name="_Toc130822931"/>
      <w:bookmarkStart w:id="44" w:name="_Toc406413928"/>
      <w:bookmarkStart w:id="45" w:name="_Toc274303229"/>
      <w:bookmarkStart w:id="46" w:name="_Toc362250687"/>
      <w:bookmarkStart w:id="47" w:name="_Toc132380060"/>
      <w:r>
        <w:rPr>
          <w:rFonts w:hint="eastAsia" w:ascii="Times New Roman" w:hAnsi="Times New Roman" w:eastAsia="宋体"/>
          <w:sz w:val="24"/>
          <w:szCs w:val="24"/>
        </w:rPr>
        <w:t>一、说明</w:t>
      </w:r>
      <w:bookmarkEnd w:id="42"/>
      <w:bookmarkEnd w:id="43"/>
      <w:bookmarkEnd w:id="44"/>
      <w:bookmarkEnd w:id="45"/>
      <w:bookmarkEnd w:id="46"/>
      <w:bookmarkEnd w:id="47"/>
    </w:p>
    <w:p>
      <w:pPr>
        <w:pStyle w:val="23"/>
        <w:widowControl w:val="0"/>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适用范围</w:t>
      </w:r>
    </w:p>
    <w:p>
      <w:pPr>
        <w:pStyle w:val="23"/>
        <w:widowControl w:val="0"/>
        <w:adjustRightInd w:val="0"/>
        <w:snapToGrid w:val="0"/>
        <w:spacing w:line="400" w:lineRule="exact"/>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1.1</w:t>
      </w:r>
      <w:r>
        <w:rPr>
          <w:rFonts w:hint="eastAsia" w:ascii="Times New Roman" w:hAnsi="Times New Roman"/>
          <w:b w:val="0"/>
          <w:bCs w:val="0"/>
          <w:color w:val="auto"/>
          <w:sz w:val="24"/>
          <w:szCs w:val="24"/>
        </w:rPr>
        <w:t>本招标文件仅适用于本次招标采购所叙述的货物和服务项目。</w:t>
      </w:r>
    </w:p>
    <w:p>
      <w:pPr>
        <w:pStyle w:val="23"/>
        <w:widowControl w:val="0"/>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定义</w:t>
      </w:r>
    </w:p>
    <w:p>
      <w:pPr>
        <w:pStyle w:val="31"/>
        <w:widowControl w:val="0"/>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2.1</w:t>
      </w:r>
      <w:r>
        <w:rPr>
          <w:rFonts w:hint="eastAsia" w:ascii="Times New Roman" w:hAnsi="Times New Roman" w:cs="Times New Roman"/>
          <w:sz w:val="24"/>
          <w:szCs w:val="24"/>
        </w:rPr>
        <w:t>招标方：系指的是采购人和采购代理机构</w:t>
      </w:r>
    </w:p>
    <w:p>
      <w:pPr>
        <w:widowControl w:val="0"/>
        <w:snapToGrid w:val="0"/>
        <w:spacing w:line="460" w:lineRule="exact"/>
        <w:ind w:firstLine="470" w:firstLineChars="196"/>
        <w:rPr>
          <w:rFonts w:hint="eastAsia"/>
        </w:rPr>
      </w:pPr>
      <w:r>
        <w:rPr>
          <w:rFonts w:ascii="Times New Roman" w:hAnsi="Times New Roman" w:cs="Times New Roman"/>
          <w:sz w:val="24"/>
          <w:szCs w:val="24"/>
        </w:rPr>
        <w:t>2.2</w:t>
      </w:r>
      <w:r>
        <w:rPr>
          <w:rFonts w:hint="eastAsia" w:ascii="Times New Roman" w:hAnsi="Times New Roman" w:cs="Times New Roman"/>
          <w:sz w:val="24"/>
          <w:szCs w:val="24"/>
        </w:rPr>
        <w:t>采购人：</w:t>
      </w:r>
      <w:r>
        <w:rPr>
          <w:rFonts w:hint="eastAsia"/>
        </w:rPr>
        <w:t>义乌市人民政府城西街道办事处</w:t>
      </w:r>
    </w:p>
    <w:p>
      <w:pPr>
        <w:pStyle w:val="31"/>
        <w:widowControl w:val="0"/>
        <w:adjustRightInd w:val="0"/>
        <w:snapToGrid w:val="0"/>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采购（招标）代理机构：系指义乌市政府采购中心。</w:t>
      </w:r>
    </w:p>
    <w:p>
      <w:pPr>
        <w:pStyle w:val="31"/>
        <w:widowControl w:val="0"/>
        <w:adjustRightInd w:val="0"/>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2.3</w:t>
      </w:r>
      <w:r>
        <w:rPr>
          <w:rFonts w:hint="eastAsia" w:ascii="Times New Roman" w:hAnsi="Times New Roman" w:cs="Times New Roman"/>
          <w:sz w:val="24"/>
          <w:szCs w:val="24"/>
        </w:rPr>
        <w:t>投标人：系指响应招标、参加投标竞争的供应商。</w:t>
      </w:r>
    </w:p>
    <w:p>
      <w:pPr>
        <w:pStyle w:val="23"/>
        <w:widowControl w:val="0"/>
        <w:adjustRightInd w:val="0"/>
        <w:snapToGrid w:val="0"/>
        <w:spacing w:line="400" w:lineRule="exact"/>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2.4</w:t>
      </w:r>
      <w:r>
        <w:rPr>
          <w:rFonts w:hint="eastAsia" w:ascii="Times New Roman" w:hAnsi="Times New Roman"/>
          <w:b w:val="0"/>
          <w:bCs w:val="0"/>
          <w:color w:val="auto"/>
          <w:sz w:val="24"/>
          <w:szCs w:val="24"/>
        </w:rPr>
        <w:t>服务：系指</w:t>
      </w:r>
      <w:r>
        <w:rPr>
          <w:rFonts w:hint="eastAsia" w:ascii="Times New Roman" w:hAnsi="Times New Roman"/>
          <w:b w:val="0"/>
          <w:color w:val="auto"/>
          <w:sz w:val="24"/>
          <w:szCs w:val="24"/>
        </w:rPr>
        <w:t>招标文件规定投标人须承担的劳务及其他类似的服务</w:t>
      </w:r>
      <w:r>
        <w:rPr>
          <w:rFonts w:hint="eastAsia" w:ascii="Times New Roman" w:hAnsi="Times New Roman"/>
          <w:b w:val="0"/>
          <w:bCs w:val="0"/>
          <w:color w:val="auto"/>
          <w:sz w:val="24"/>
          <w:szCs w:val="24"/>
        </w:rPr>
        <w:t>。</w:t>
      </w:r>
    </w:p>
    <w:p>
      <w:pPr>
        <w:pStyle w:val="35"/>
        <w:widowControl w:val="0"/>
        <w:adjustRightInd w:val="0"/>
        <w:snapToGrid w:val="0"/>
        <w:spacing w:line="400" w:lineRule="exact"/>
        <w:ind w:firstLine="480" w:firstLineChars="200"/>
        <w:rPr>
          <w:rFonts w:ascii="Times New Roman" w:eastAsia="宋体"/>
          <w:szCs w:val="24"/>
        </w:rPr>
      </w:pPr>
      <w:r>
        <w:rPr>
          <w:rFonts w:ascii="Times New Roman" w:eastAsia="宋体"/>
          <w:szCs w:val="24"/>
        </w:rPr>
        <w:t>2.5</w:t>
      </w:r>
      <w:r>
        <w:rPr>
          <w:rFonts w:hint="eastAsia" w:ascii="Times New Roman" w:eastAsia="宋体"/>
          <w:szCs w:val="24"/>
        </w:rPr>
        <w:t>货物：系指按招标文件规定投标人须向采购人提供的设备及附件等。</w:t>
      </w:r>
    </w:p>
    <w:p>
      <w:pPr>
        <w:pStyle w:val="23"/>
        <w:widowControl w:val="0"/>
        <w:spacing w:line="400" w:lineRule="exact"/>
        <w:ind w:firstLine="480" w:firstLineChars="200"/>
        <w:jc w:val="both"/>
        <w:rPr>
          <w:rFonts w:ascii="Times New Roman" w:hAnsi="Times New Roman"/>
          <w:b w:val="0"/>
          <w:color w:val="auto"/>
          <w:sz w:val="24"/>
          <w:szCs w:val="24"/>
        </w:rPr>
      </w:pPr>
      <w:r>
        <w:rPr>
          <w:rFonts w:ascii="Times New Roman" w:hAnsi="Times New Roman"/>
          <w:b w:val="0"/>
          <w:color w:val="auto"/>
          <w:sz w:val="24"/>
          <w:szCs w:val="24"/>
        </w:rPr>
        <w:t>2.6</w:t>
      </w:r>
      <w:r>
        <w:rPr>
          <w:rFonts w:hint="eastAsia" w:ascii="Times New Roman" w:hAnsi="Times New Roman"/>
          <w:b w:val="0"/>
          <w:color w:val="auto"/>
          <w:sz w:val="24"/>
          <w:szCs w:val="24"/>
        </w:rPr>
        <w:t>甲方：即采购人，在招投标阶段称为采购人，在签订和执行合同阶段称为甲方。</w:t>
      </w:r>
    </w:p>
    <w:p>
      <w:pPr>
        <w:pStyle w:val="23"/>
        <w:widowControl w:val="0"/>
        <w:spacing w:line="400" w:lineRule="exact"/>
        <w:ind w:firstLine="480" w:firstLineChars="200"/>
        <w:jc w:val="both"/>
        <w:rPr>
          <w:rFonts w:ascii="Times New Roman" w:hAnsi="Times New Roman"/>
          <w:color w:val="auto"/>
          <w:sz w:val="24"/>
          <w:szCs w:val="24"/>
        </w:rPr>
      </w:pPr>
      <w:r>
        <w:rPr>
          <w:rFonts w:ascii="Times New Roman" w:hAnsi="Times New Roman"/>
          <w:b w:val="0"/>
          <w:color w:val="auto"/>
          <w:sz w:val="24"/>
          <w:szCs w:val="24"/>
        </w:rPr>
        <w:t>2.7</w:t>
      </w:r>
      <w:r>
        <w:rPr>
          <w:rFonts w:hint="eastAsia" w:ascii="Times New Roman" w:hAnsi="Times New Roman"/>
          <w:b w:val="0"/>
          <w:color w:val="auto"/>
          <w:sz w:val="24"/>
          <w:szCs w:val="24"/>
        </w:rPr>
        <w:t>乙方：在招投标阶段称为投标人，中标后在签订和执行合同阶段称为乙方。如投标人为联合体，则乙方为联合体各方。</w:t>
      </w:r>
    </w:p>
    <w:p>
      <w:pPr>
        <w:pStyle w:val="35"/>
        <w:widowControl w:val="0"/>
        <w:adjustRightInd w:val="0"/>
        <w:snapToGrid w:val="0"/>
        <w:spacing w:line="400" w:lineRule="exact"/>
        <w:ind w:firstLine="480" w:firstLineChars="200"/>
        <w:rPr>
          <w:rFonts w:ascii="Times New Roman" w:eastAsia="宋体"/>
          <w:szCs w:val="24"/>
        </w:rPr>
      </w:pPr>
      <w:r>
        <w:rPr>
          <w:rFonts w:ascii="Times New Roman" w:eastAsia="宋体"/>
          <w:szCs w:val="24"/>
        </w:rPr>
        <w:t>2.8“</w:t>
      </w:r>
      <w:r>
        <w:rPr>
          <w:rFonts w:hint="eastAsia" w:ascii="Times New Roman" w:eastAsia="宋体"/>
          <w:szCs w:val="24"/>
        </w:rPr>
        <w:t>原产地</w:t>
      </w:r>
      <w:r>
        <w:rPr>
          <w:rFonts w:ascii="Times New Roman" w:eastAsia="宋体"/>
          <w:szCs w:val="24"/>
        </w:rPr>
        <w:t>”</w:t>
      </w:r>
      <w:r>
        <w:rPr>
          <w:rFonts w:hint="eastAsia" w:ascii="Times New Roman" w:eastAsia="宋体"/>
          <w:szCs w:val="24"/>
        </w:rPr>
        <w:t>是指货物开采、生长或生产、或提供有关服务的来源地。</w:t>
      </w:r>
    </w:p>
    <w:p>
      <w:pPr>
        <w:pStyle w:val="35"/>
        <w:widowControl w:val="0"/>
        <w:adjustRightInd w:val="0"/>
        <w:snapToGrid w:val="0"/>
        <w:spacing w:line="400" w:lineRule="exact"/>
        <w:ind w:firstLine="480" w:firstLineChars="200"/>
        <w:rPr>
          <w:rFonts w:ascii="Times New Roman" w:eastAsia="宋体"/>
          <w:szCs w:val="24"/>
        </w:rPr>
      </w:pPr>
      <w:r>
        <w:rPr>
          <w:rFonts w:ascii="Times New Roman" w:eastAsia="宋体"/>
          <w:szCs w:val="24"/>
        </w:rPr>
        <w:t>2.9“</w:t>
      </w:r>
      <w:r>
        <w:rPr>
          <w:rFonts w:hint="eastAsia" w:hAnsi="宋体" w:eastAsia="宋体" w:cs="宋体"/>
          <w:szCs w:val="24"/>
        </w:rPr>
        <w:t>★</w:t>
      </w:r>
      <w:r>
        <w:rPr>
          <w:rFonts w:ascii="Times New Roman" w:eastAsia="宋体"/>
          <w:szCs w:val="24"/>
        </w:rPr>
        <w:t>”</w:t>
      </w:r>
      <w:r>
        <w:rPr>
          <w:rFonts w:hint="eastAsia" w:ascii="Times New Roman" w:eastAsia="宋体"/>
          <w:szCs w:val="24"/>
        </w:rPr>
        <w:t>标记系指实质性要求，即须满足或必须应答的条款。</w:t>
      </w:r>
    </w:p>
    <w:p>
      <w:pPr>
        <w:pStyle w:val="35"/>
        <w:widowControl w:val="0"/>
        <w:adjustRightInd w:val="0"/>
        <w:snapToGrid w:val="0"/>
        <w:spacing w:line="400" w:lineRule="exact"/>
        <w:ind w:firstLine="480" w:firstLineChars="200"/>
        <w:rPr>
          <w:rFonts w:ascii="Times New Roman" w:eastAsia="宋体"/>
        </w:rPr>
      </w:pPr>
      <w:r>
        <w:rPr>
          <w:rFonts w:ascii="Times New Roman" w:eastAsia="宋体"/>
        </w:rPr>
        <w:t>“▲”</w:t>
      </w:r>
      <w:r>
        <w:rPr>
          <w:rFonts w:hint="eastAsia" w:ascii="Times New Roman" w:eastAsia="宋体"/>
        </w:rPr>
        <w:t>标记系指重点参数。</w:t>
      </w:r>
    </w:p>
    <w:p>
      <w:pPr>
        <w:pStyle w:val="35"/>
        <w:widowControl w:val="0"/>
        <w:adjustRightInd w:val="0"/>
        <w:snapToGrid w:val="0"/>
        <w:spacing w:line="400" w:lineRule="exact"/>
        <w:ind w:firstLine="840" w:firstLineChars="350"/>
        <w:rPr>
          <w:rFonts w:ascii="Times New Roman" w:eastAsia="宋体"/>
          <w:szCs w:val="24"/>
        </w:rPr>
      </w:pPr>
      <w:r>
        <w:rPr>
          <w:rFonts w:ascii="Times New Roman" w:eastAsia="宋体"/>
        </w:rPr>
        <w:t>“</w:t>
      </w:r>
      <w:r>
        <w:rPr>
          <w:rFonts w:ascii="Times New Roman" w:eastAsia="宋体"/>
          <w:szCs w:val="24"/>
        </w:rPr>
        <w:sym w:font="Wingdings 2" w:char="F052"/>
      </w:r>
      <w:r>
        <w:rPr>
          <w:rFonts w:ascii="Times New Roman" w:eastAsia="宋体"/>
        </w:rPr>
        <w:t xml:space="preserve">” </w:t>
      </w:r>
      <w:r>
        <w:rPr>
          <w:rFonts w:hint="eastAsia" w:ascii="Times New Roman" w:eastAsia="宋体"/>
        </w:rPr>
        <w:t>系指适用本项目的要求，</w:t>
      </w:r>
      <w:r>
        <w:rPr>
          <w:rFonts w:ascii="Times New Roman" w:eastAsia="宋体"/>
        </w:rPr>
        <w:t>“</w:t>
      </w:r>
      <w:r>
        <w:rPr>
          <w:rFonts w:hint="eastAsia" w:ascii="MS Mincho" w:hAnsi="MS Mincho" w:eastAsia="MS Mincho" w:cs="MS Mincho"/>
        </w:rPr>
        <w:t>☐</w:t>
      </w:r>
      <w:r>
        <w:rPr>
          <w:rFonts w:ascii="Times New Roman" w:eastAsia="宋体"/>
        </w:rPr>
        <w:t xml:space="preserve">” </w:t>
      </w:r>
      <w:r>
        <w:rPr>
          <w:rFonts w:hint="eastAsia" w:ascii="Times New Roman" w:eastAsia="宋体"/>
        </w:rPr>
        <w:t>系指不适用本项目的要求。</w:t>
      </w:r>
    </w:p>
    <w:p>
      <w:pPr>
        <w:pStyle w:val="23"/>
        <w:widowControl w:val="0"/>
        <w:adjustRightInd w:val="0"/>
        <w:snapToGrid w:val="0"/>
        <w:spacing w:line="400" w:lineRule="exact"/>
        <w:ind w:firstLine="482" w:firstLineChars="200"/>
        <w:jc w:val="both"/>
        <w:rPr>
          <w:rFonts w:ascii="Times New Roman" w:hAnsi="Times New Roman"/>
          <w:color w:val="auto"/>
          <w:sz w:val="24"/>
          <w:szCs w:val="24"/>
        </w:rPr>
      </w:pPr>
      <w:r>
        <w:rPr>
          <w:rFonts w:ascii="Times New Roman" w:hAnsi="Times New Roman"/>
          <w:color w:val="auto"/>
          <w:sz w:val="24"/>
          <w:szCs w:val="24"/>
        </w:rPr>
        <w:t>3.</w:t>
      </w:r>
      <w:r>
        <w:rPr>
          <w:rFonts w:hint="eastAsia" w:ascii="Times New Roman" w:hAnsi="Times New Roman"/>
          <w:color w:val="auto"/>
          <w:sz w:val="24"/>
          <w:szCs w:val="24"/>
        </w:rPr>
        <w:t>合格的投标人</w:t>
      </w:r>
    </w:p>
    <w:p>
      <w:pPr>
        <w:pStyle w:val="23"/>
        <w:widowControl w:val="0"/>
        <w:adjustRightInd w:val="0"/>
        <w:snapToGrid w:val="0"/>
        <w:spacing w:line="400" w:lineRule="exact"/>
        <w:ind w:firstLine="480" w:firstLineChars="200"/>
        <w:jc w:val="both"/>
        <w:rPr>
          <w:rFonts w:ascii="Times New Roman" w:hAnsi="Times New Roman"/>
          <w:color w:val="auto"/>
          <w:sz w:val="24"/>
          <w:szCs w:val="24"/>
        </w:rPr>
      </w:pPr>
      <w:r>
        <w:rPr>
          <w:rFonts w:hint="eastAsia" w:ascii="Times New Roman" w:hAnsi="Times New Roman"/>
          <w:b w:val="0"/>
          <w:bCs w:val="0"/>
          <w:color w:val="auto"/>
          <w:sz w:val="24"/>
          <w:szCs w:val="24"/>
        </w:rPr>
        <w:t>符合第一章采购公告中关于</w:t>
      </w:r>
      <w:r>
        <w:rPr>
          <w:rFonts w:ascii="Times New Roman" w:hAnsi="Times New Roman"/>
          <w:b w:val="0"/>
          <w:bCs w:val="0"/>
          <w:color w:val="auto"/>
          <w:sz w:val="24"/>
          <w:szCs w:val="24"/>
        </w:rPr>
        <w:t>“</w:t>
      </w:r>
      <w:r>
        <w:rPr>
          <w:rFonts w:hint="eastAsia" w:ascii="Times New Roman" w:hAnsi="Times New Roman"/>
          <w:b w:val="0"/>
          <w:bCs w:val="0"/>
          <w:color w:val="auto"/>
          <w:sz w:val="24"/>
          <w:szCs w:val="24"/>
        </w:rPr>
        <w:t>投标人资格条件</w:t>
      </w:r>
      <w:r>
        <w:rPr>
          <w:rFonts w:ascii="Times New Roman" w:hAnsi="Times New Roman"/>
          <w:b w:val="0"/>
          <w:bCs w:val="0"/>
          <w:color w:val="auto"/>
          <w:sz w:val="24"/>
          <w:szCs w:val="24"/>
        </w:rPr>
        <w:t>”</w:t>
      </w:r>
      <w:r>
        <w:rPr>
          <w:rFonts w:hint="eastAsia" w:ascii="Times New Roman" w:hAnsi="Times New Roman"/>
          <w:b w:val="0"/>
          <w:bCs w:val="0"/>
          <w:color w:val="auto"/>
          <w:sz w:val="24"/>
          <w:szCs w:val="24"/>
        </w:rPr>
        <w:t>规定的投标人。</w:t>
      </w:r>
    </w:p>
    <w:p>
      <w:pPr>
        <w:pStyle w:val="31"/>
        <w:widowControl w:val="0"/>
        <w:spacing w:line="400" w:lineRule="exact"/>
        <w:ind w:firstLine="482" w:firstLineChars="200"/>
        <w:rPr>
          <w:rFonts w:ascii="Times New Roman" w:hAnsi="Times New Roman" w:cs="Times New Roman"/>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保证</w:t>
      </w:r>
    </w:p>
    <w:p>
      <w:pPr>
        <w:pStyle w:val="31"/>
        <w:widowControl w:val="0"/>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投标人应保证所提交给采购代理机构和采购人的资料和数据是真实、有效的。</w:t>
      </w:r>
    </w:p>
    <w:p>
      <w:pPr>
        <w:pStyle w:val="31"/>
        <w:widowControl w:val="0"/>
        <w:spacing w:line="4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5.</w:t>
      </w:r>
      <w:r>
        <w:rPr>
          <w:rFonts w:hint="eastAsia" w:ascii="Times New Roman" w:hAnsi="Times New Roman" w:cs="Times New Roman"/>
          <w:b/>
          <w:sz w:val="24"/>
          <w:szCs w:val="24"/>
        </w:rPr>
        <w:t>投标费用</w:t>
      </w:r>
    </w:p>
    <w:p>
      <w:pPr>
        <w:pStyle w:val="31"/>
        <w:widowControl w:val="0"/>
        <w:spacing w:line="400" w:lineRule="exact"/>
        <w:ind w:firstLine="480" w:firstLineChars="200"/>
        <w:rPr>
          <w:rFonts w:ascii="Times New Roman" w:hAnsi="Times New Roman" w:cs="Times New Roman"/>
          <w:b/>
          <w:sz w:val="24"/>
          <w:szCs w:val="24"/>
        </w:rPr>
      </w:pPr>
      <w:r>
        <w:rPr>
          <w:rFonts w:hint="eastAsia" w:ascii="Times New Roman" w:hAnsi="Times New Roman" w:cs="Times New Roman"/>
          <w:sz w:val="24"/>
          <w:szCs w:val="24"/>
        </w:rPr>
        <w:t>不论投标过程中的做法和结果如何，投标人应承担所有与投标有关的全部费用。采购人和采购代理机构在任何情况下均无义务和责任承担上述这些费用。</w:t>
      </w:r>
    </w:p>
    <w:p>
      <w:pPr>
        <w:widowControl w:val="0"/>
        <w:adjustRightInd w:val="0"/>
        <w:snapToGrid w:val="0"/>
        <w:spacing w:line="400" w:lineRule="exact"/>
        <w:ind w:firstLine="482" w:firstLineChars="200"/>
        <w:rPr>
          <w:b/>
        </w:rPr>
      </w:pPr>
      <w:r>
        <w:rPr>
          <w:b/>
        </w:rPr>
        <w:t>6.</w:t>
      </w:r>
      <w:r>
        <w:rPr>
          <w:rFonts w:hint="eastAsia"/>
          <w:b/>
        </w:rPr>
        <w:t>转包、分包、联合体</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6.1</w:t>
      </w:r>
      <w:r>
        <w:rPr>
          <w:rFonts w:hint="eastAsia" w:ascii="Times New Roman" w:hAnsi="Times New Roman" w:cs="Times New Roman"/>
          <w:sz w:val="24"/>
        </w:rPr>
        <w:t>本项目不允许转包</w:t>
      </w:r>
    </w:p>
    <w:p>
      <w:pPr>
        <w:widowControl w:val="0"/>
        <w:spacing w:line="400" w:lineRule="exact"/>
        <w:ind w:left="31680" w:hanging="960" w:hangingChars="400"/>
      </w:pPr>
      <w:r>
        <w:rPr>
          <w:rFonts w:hint="eastAsia"/>
        </w:rPr>
        <w:t>　　</w:t>
      </w:r>
      <w:r>
        <w:t>6.2</w:t>
      </w:r>
      <w:r>
        <w:rPr>
          <w:rFonts w:hint="eastAsia"/>
        </w:rPr>
        <w:t>分包采购相关规定</w:t>
      </w:r>
    </w:p>
    <w:p>
      <w:pPr>
        <w:widowControl w:val="0"/>
        <w:spacing w:line="400" w:lineRule="exact"/>
        <w:rPr>
          <w:kern w:val="2"/>
        </w:rPr>
      </w:pPr>
      <w:r>
        <w:rPr>
          <w:rFonts w:hint="eastAsia"/>
        </w:rPr>
        <w:t>　　</w:t>
      </w:r>
      <w:r>
        <w:t>6.2.1</w:t>
      </w:r>
      <w:r>
        <w:rPr>
          <w:rFonts w:hint="eastAsia"/>
          <w:kern w:val="2"/>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
        <w:widowControl w:val="0"/>
        <w:spacing w:after="0" w:line="400" w:lineRule="exact"/>
        <w:ind w:left="0" w:leftChars="0" w:firstLine="0" w:firstLineChars="0"/>
      </w:pPr>
      <w:r>
        <w:rPr>
          <w:rFonts w:hint="eastAsia"/>
          <w:kern w:val="2"/>
        </w:rPr>
        <w:t>　　</w:t>
      </w:r>
      <w:r>
        <w:rPr>
          <w:kern w:val="2"/>
        </w:rPr>
        <w:t>6.2.2</w:t>
      </w:r>
      <w:r>
        <w:rPr>
          <w:rFonts w:hint="eastAsia"/>
          <w:kern w:val="2"/>
        </w:rPr>
        <w:t>享受中小企业扶持政策获得政府采购合同的，小微企业不得将合同分包给大中型企业，中型企业不得将合同分给大型企业。</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6.3</w:t>
      </w:r>
      <w:r>
        <w:rPr>
          <w:rFonts w:hint="eastAsia" w:ascii="Times New Roman" w:hAnsi="Times New Roman" w:cs="Times New Roman"/>
          <w:sz w:val="24"/>
        </w:rPr>
        <w:t>联合体采购相关规定</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6.3.1 </w:t>
      </w:r>
      <w:r>
        <w:rPr>
          <w:rFonts w:hint="eastAsia" w:ascii="Times New Roman" w:hAnsi="Times New Roman" w:cs="Times New Roman"/>
          <w:sz w:val="24"/>
        </w:rPr>
        <w:t>除特定资格要求外，联合体各方均应符合本项目规定的其他资格要求及根据承担工作需要的相应资格。</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6.3.2 </w:t>
      </w:r>
      <w:r>
        <w:rPr>
          <w:rFonts w:hint="eastAsia" w:ascii="Times New Roman" w:hAnsi="Times New Roman" w:cs="Times New Roman"/>
          <w:sz w:val="24"/>
        </w:rPr>
        <w:t>如本项目有特定资要求的，联合体中至少有一方应符合本文件规定的特定资格要求。但联合体中有同类资质的投标人按照联合体分工承担相同工作的，应当按照资质等级较低的投标人确定资质等级。</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6.3.4 </w:t>
      </w:r>
      <w:r>
        <w:rPr>
          <w:rFonts w:hint="eastAsia" w:ascii="Times New Roman" w:hAnsi="Times New Roman" w:cs="Times New Roman"/>
          <w:sz w:val="24"/>
        </w:rPr>
        <w:t>以联合体形式参加政府采购活动的，联合体各方不得再单独参加或者与其他投标人另外组成联合体参加同一合同项下的政府采购活动。</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6.3.5 </w:t>
      </w:r>
      <w:r>
        <w:rPr>
          <w:rFonts w:hint="eastAsia" w:ascii="Times New Roman" w:hAnsi="Times New Roman" w:cs="Times New Roman"/>
          <w:sz w:val="24"/>
        </w:rPr>
        <w:t>联合体参与的，必须提供《联合体协议书》。</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6.3.6</w:t>
      </w:r>
      <w:r>
        <w:rPr>
          <w:rFonts w:hint="eastAsia" w:ascii="Times New Roman" w:hAnsi="Times New Roman" w:cs="Times New Roman"/>
          <w:sz w:val="24"/>
        </w:rPr>
        <w:t>如采购项目对供应商有业绩要求。联合体各方分别提供与联合体协议中约定的分工内容相应的业绩材料。</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6.3.7</w:t>
      </w:r>
      <w:r>
        <w:rPr>
          <w:rFonts w:hint="eastAsia" w:ascii="Times New Roman" w:hAnsi="Times New Roman" w:cs="Times New Roman"/>
          <w:sz w:val="24"/>
        </w:rPr>
        <w:t>联合体各方均为中小企业的，该联合体视同中小企业。</w:t>
      </w:r>
    </w:p>
    <w:p>
      <w:pPr>
        <w:pStyle w:val="31"/>
        <w:widowControl w:val="0"/>
        <w:spacing w:line="400" w:lineRule="exact"/>
        <w:ind w:firstLine="480" w:firstLineChars="200"/>
        <w:rPr>
          <w:rFonts w:ascii="Times New Roman" w:hAnsi="Times New Roman" w:cs="Times New Roman"/>
          <w:sz w:val="24"/>
        </w:rPr>
      </w:pPr>
      <w:r>
        <w:rPr>
          <w:rFonts w:ascii="Times New Roman" w:hAnsi="Times New Roman" w:cs="Times New Roman"/>
          <w:sz w:val="24"/>
        </w:rPr>
        <w:t>6.3.8</w:t>
      </w:r>
      <w:r>
        <w:rPr>
          <w:rFonts w:hint="eastAsia" w:ascii="Times New Roman" w:hAnsi="Times New Roman" w:cs="Times New Roman"/>
          <w:sz w:val="24"/>
        </w:rPr>
        <w:t>以联合体形式参加政府采购活动的，其投诉应当由组成联合体的所有供应商共同提出。</w:t>
      </w:r>
    </w:p>
    <w:p>
      <w:pPr>
        <w:widowControl w:val="0"/>
        <w:spacing w:line="400" w:lineRule="exact"/>
      </w:pPr>
      <w:r>
        <w:rPr>
          <w:rFonts w:hint="eastAsia"/>
        </w:rPr>
        <w:t>　　</w:t>
      </w:r>
      <w:r>
        <w:t>6.3.9</w:t>
      </w:r>
      <w:r>
        <w:rPr>
          <w:rFonts w:hint="eastAsia"/>
        </w:rPr>
        <w:t>采购人或采购代理机构对联合体中任何一方的书面文件都对联合体各方具有约束力。</w:t>
      </w:r>
    </w:p>
    <w:p>
      <w:pPr>
        <w:widowControl w:val="0"/>
        <w:numPr>
          <w:ilvl w:val="0"/>
          <w:numId w:val="2"/>
        </w:numPr>
        <w:adjustRightInd w:val="0"/>
        <w:snapToGrid w:val="0"/>
        <w:spacing w:line="400" w:lineRule="exact"/>
        <w:ind w:firstLine="482" w:firstLineChars="200"/>
        <w:rPr>
          <w:b/>
        </w:rPr>
      </w:pPr>
      <w:bookmarkStart w:id="48" w:name="_Toc406413929"/>
      <w:bookmarkStart w:id="49" w:name="_Toc362250688"/>
      <w:bookmarkStart w:id="50" w:name="_Toc274303230"/>
      <w:bookmarkStart w:id="51" w:name="_Toc3361"/>
      <w:r>
        <w:rPr>
          <w:rFonts w:hint="eastAsia"/>
          <w:b/>
        </w:rPr>
        <w:t>政府采购政策</w:t>
      </w:r>
    </w:p>
    <w:p>
      <w:pPr>
        <w:pStyle w:val="3"/>
        <w:widowControl w:val="0"/>
        <w:spacing w:line="400" w:lineRule="exact"/>
        <w:ind w:firstLine="31680"/>
        <w:rPr>
          <w:b w:val="0"/>
          <w:bCs w:val="0"/>
          <w:shd w:val="clear" w:color="auto" w:fill="auto"/>
        </w:rPr>
      </w:pPr>
      <w:r>
        <w:rPr>
          <w:b w:val="0"/>
          <w:bCs w:val="0"/>
          <w:shd w:val="clear" w:color="auto" w:fill="auto"/>
        </w:rPr>
        <w:t>7.1</w:t>
      </w:r>
      <w:r>
        <w:rPr>
          <w:rFonts w:hint="eastAsia"/>
          <w:b w:val="0"/>
          <w:bCs w:val="0"/>
          <w:shd w:val="clear" w:color="auto" w:fill="auto"/>
        </w:rPr>
        <w:t>进口产品采购规定</w:t>
      </w:r>
    </w:p>
    <w:p>
      <w:pPr>
        <w:widowControl w:val="0"/>
        <w:spacing w:line="400" w:lineRule="exact"/>
        <w:ind w:firstLine="480" w:firstLineChars="200"/>
      </w:pPr>
      <w:r>
        <w:t>7.1.1</w:t>
      </w:r>
      <w:r>
        <w:rPr>
          <w:rFonts w:hint="eastAsia"/>
        </w:rPr>
        <w:t>进口产品认定根据财政部财库〔</w:t>
      </w:r>
      <w:r>
        <w:t>2007</w:t>
      </w:r>
      <w:r>
        <w:rPr>
          <w:rFonts w:hint="eastAsia"/>
        </w:rPr>
        <w:t>〕</w:t>
      </w:r>
      <w:r>
        <w:t>119</w:t>
      </w:r>
      <w:r>
        <w:rPr>
          <w:rFonts w:hint="eastAsia"/>
        </w:rPr>
        <w:t>号和财政部办公厅财办库〔</w:t>
      </w:r>
      <w:r>
        <w:t>2008</w:t>
      </w:r>
      <w:r>
        <w:rPr>
          <w:rFonts w:hint="eastAsia"/>
        </w:rPr>
        <w:t>〕</w:t>
      </w:r>
      <w:r>
        <w:t>248</w:t>
      </w:r>
      <w:r>
        <w:rPr>
          <w:rFonts w:hint="eastAsia"/>
        </w:rPr>
        <w:t>号文件规定，</w:t>
      </w:r>
      <w:r>
        <w:t>“</w:t>
      </w:r>
      <w:r>
        <w:rPr>
          <w:rFonts w:hint="eastAsia"/>
        </w:rPr>
        <w:t>进口产品</w:t>
      </w:r>
      <w:r>
        <w:t>”</w:t>
      </w:r>
      <w:r>
        <w:rPr>
          <w:rFonts w:hint="eastAsia"/>
        </w:rPr>
        <w:t>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widowControl w:val="0"/>
        <w:spacing w:line="400" w:lineRule="exact"/>
        <w:ind w:firstLine="480" w:firstLineChars="200"/>
        <w:rPr>
          <w:b/>
        </w:rPr>
      </w:pPr>
      <w:r>
        <w:rPr>
          <w:rFonts w:hint="eastAsia"/>
        </w:rPr>
        <w:t>特殊监管区域包括：保税区、出口加工区、保税港区、珠澳跨境工业区珠海园区、中哈霍尔果斯国际边境合作中心中方配套区、综合保税区等区域。</w:t>
      </w:r>
    </w:p>
    <w:p>
      <w:pPr>
        <w:pStyle w:val="3"/>
        <w:widowControl w:val="0"/>
        <w:spacing w:line="400" w:lineRule="exact"/>
        <w:ind w:firstLine="31680"/>
        <w:rPr>
          <w:b w:val="0"/>
          <w:bCs w:val="0"/>
          <w:shd w:val="clear" w:color="auto" w:fill="auto"/>
        </w:rPr>
      </w:pPr>
      <w:r>
        <w:rPr>
          <w:b w:val="0"/>
          <w:bCs w:val="0"/>
          <w:shd w:val="clear" w:color="auto" w:fill="auto"/>
        </w:rPr>
        <w:t>7.1.2</w:t>
      </w:r>
      <w:r>
        <w:rPr>
          <w:rFonts w:hint="eastAsia"/>
          <w:b w:val="0"/>
          <w:bCs w:val="0"/>
          <w:shd w:val="clear" w:color="auto" w:fill="auto"/>
        </w:rPr>
        <w:t>不允许进口产品参投的项目，投标人所投产品中有进口产品的，其投标无效。</w:t>
      </w:r>
    </w:p>
    <w:p>
      <w:pPr>
        <w:pStyle w:val="3"/>
        <w:widowControl w:val="0"/>
        <w:spacing w:line="400" w:lineRule="exact"/>
        <w:ind w:firstLine="31680"/>
        <w:rPr>
          <w:b w:val="0"/>
          <w:bCs w:val="0"/>
          <w:shd w:val="clear" w:color="auto" w:fill="auto"/>
        </w:rPr>
      </w:pPr>
      <w:r>
        <w:rPr>
          <w:b w:val="0"/>
          <w:bCs w:val="0"/>
          <w:shd w:val="clear" w:color="auto" w:fill="auto"/>
        </w:rPr>
        <w:t>7.1.3</w:t>
      </w:r>
      <w:r>
        <w:rPr>
          <w:rFonts w:hint="eastAsia"/>
          <w:b w:val="0"/>
          <w:bCs w:val="0"/>
          <w:shd w:val="clear" w:color="auto" w:fill="auto"/>
        </w:rPr>
        <w:t>允许进口产品参投的项目，同时也允许满足实质性需求的国内产品参与投标。</w:t>
      </w:r>
    </w:p>
    <w:p>
      <w:pPr>
        <w:widowControl w:val="0"/>
        <w:spacing w:line="400" w:lineRule="exact"/>
      </w:pPr>
      <w:r>
        <w:rPr>
          <w:rFonts w:hint="eastAsia"/>
        </w:rPr>
        <w:t>　　</w:t>
      </w:r>
      <w:r>
        <w:t>7.2</w:t>
      </w:r>
      <w:r>
        <w:rPr>
          <w:rFonts w:hint="eastAsia"/>
        </w:rPr>
        <w:t>扶持中小企业政策</w:t>
      </w:r>
    </w:p>
    <w:p>
      <w:pPr>
        <w:widowControl w:val="0"/>
        <w:spacing w:line="400" w:lineRule="exact"/>
        <w:rPr>
          <w:b/>
        </w:rPr>
      </w:pPr>
      <w:r>
        <w:rPr>
          <w:rFonts w:hint="eastAsia"/>
        </w:rPr>
        <w:t>　　</w:t>
      </w:r>
      <w:r>
        <w:t>7.2.1</w:t>
      </w:r>
      <w:r>
        <w:rPr>
          <w:rFonts w:hint="eastAsia"/>
          <w:b/>
        </w:rPr>
        <w:t>专门面向中小企业（具体情形详见招标公告资格要求中的情形）采购的项目或者标项，不再执行价格评审优惠的扶持政策。</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spacing w:line="400" w:lineRule="exact"/>
        <w:rPr>
          <w:b/>
        </w:rPr>
      </w:pPr>
      <w:r>
        <w:rPr>
          <w:rFonts w:hint="eastAsia"/>
          <w:bCs/>
        </w:rPr>
        <w:t>　　</w:t>
      </w:r>
      <w:r>
        <w:rPr>
          <w:bCs/>
        </w:rPr>
        <w:t>7.2.2.</w:t>
      </w:r>
      <w:r>
        <w:rPr>
          <w:rFonts w:hint="eastAsia"/>
          <w:b/>
          <w:bCs/>
        </w:rPr>
        <w:t>非</w:t>
      </w:r>
      <w:r>
        <w:rPr>
          <w:rFonts w:hint="eastAsia"/>
          <w:b/>
        </w:rPr>
        <w:t>专门面向中小企业采购的项目（或标项），执行价格评审优惠。</w:t>
      </w:r>
    </w:p>
    <w:p>
      <w:pPr>
        <w:widowControl w:val="0"/>
        <w:spacing w:line="400" w:lineRule="exact"/>
        <w:ind w:firstLine="480" w:firstLineChars="200"/>
        <w:rPr>
          <w:bCs/>
        </w:rPr>
      </w:pPr>
      <w:r>
        <w:rPr>
          <w:bCs/>
        </w:rPr>
        <w:t>7.2.2.1</w:t>
      </w:r>
      <w:r>
        <w:rPr>
          <w:rFonts w:hint="eastAsia"/>
          <w:bCs/>
        </w:rPr>
        <w:t>根据符合《政府采购促进中小企业发展管理办法》（财库〔</w:t>
      </w:r>
      <w:r>
        <w:rPr>
          <w:bCs/>
        </w:rPr>
        <w:t>2020</w:t>
      </w:r>
      <w:r>
        <w:rPr>
          <w:rFonts w:hint="eastAsia"/>
          <w:bCs/>
        </w:rPr>
        <w:t>〕</w:t>
      </w:r>
      <w:r>
        <w:rPr>
          <w:bCs/>
        </w:rPr>
        <w:t>46</w:t>
      </w:r>
      <w:r>
        <w:rPr>
          <w:rFonts w:hint="eastAsia"/>
          <w:bCs/>
        </w:rPr>
        <w:t>号）、《关于进一步加大政府采购支持中小企业力度的通知》（财库〔</w:t>
      </w:r>
      <w:r>
        <w:rPr>
          <w:bCs/>
        </w:rPr>
        <w:t>2022</w:t>
      </w:r>
      <w:r>
        <w:rPr>
          <w:rFonts w:hint="eastAsia"/>
          <w:bCs/>
        </w:rPr>
        <w:t>〕</w:t>
      </w:r>
      <w:r>
        <w:rPr>
          <w:bCs/>
        </w:rPr>
        <w:t>19</w:t>
      </w:r>
      <w:r>
        <w:rPr>
          <w:rFonts w:hint="eastAsia"/>
          <w:bCs/>
        </w:rPr>
        <w:t>号）等文件要求，对小微企业报价给予</w:t>
      </w:r>
      <w:r>
        <w:rPr>
          <w:bCs/>
        </w:rPr>
        <w:t>20%</w:t>
      </w:r>
      <w:r>
        <w:rPr>
          <w:rFonts w:hint="eastAsia"/>
          <w:bCs/>
        </w:rPr>
        <w:t>的扣除，用扣除后的价格参加评审；对于接受大中型企业与小微企业组成联合体或者允许大中型企业向一家或者多家小微企业分包的采购项目，对于联合协议或者分包意向协议约定小微企业的合同份额占到合同总金额</w:t>
      </w:r>
      <w:r>
        <w:rPr>
          <w:bCs/>
        </w:rPr>
        <w:t>30%</w:t>
      </w:r>
      <w:r>
        <w:rPr>
          <w:rFonts w:hint="eastAsia"/>
          <w:bCs/>
        </w:rPr>
        <w:t>以上的，对联合体或者大中型企业的报价给予</w:t>
      </w:r>
      <w:r>
        <w:rPr>
          <w:bCs/>
        </w:rPr>
        <w:t>6%</w:t>
      </w:r>
      <w:r>
        <w:rPr>
          <w:rFonts w:hint="eastAsia"/>
          <w:bCs/>
        </w:rPr>
        <w:t>的扣除，用扣除后的价格参加评审。</w:t>
      </w:r>
      <w:r>
        <w:rPr>
          <w:rFonts w:hint="eastAsia"/>
        </w:rPr>
        <w:t>享受相关中小企业扶持政策的投标人，应在投标文件中提供《中小企业声明函》。</w:t>
      </w:r>
    </w:p>
    <w:p>
      <w:pPr>
        <w:widowControl w:val="0"/>
        <w:spacing w:line="400" w:lineRule="exact"/>
      </w:pPr>
      <w:r>
        <w:rPr>
          <w:rFonts w:hint="eastAsia"/>
        </w:rPr>
        <w:t>　　</w:t>
      </w:r>
      <w:r>
        <w:t>7.2.2.2</w:t>
      </w:r>
      <w:r>
        <w:rPr>
          <w:rFonts w:hint="eastAsia"/>
        </w:rPr>
        <w:t>根据财库</w:t>
      </w:r>
      <w:r>
        <w:rPr>
          <w:rFonts w:hint="eastAsia"/>
          <w:bCs/>
        </w:rPr>
        <w:t>〔</w:t>
      </w:r>
      <w:r>
        <w:t>2017</w:t>
      </w:r>
      <w:r>
        <w:rPr>
          <w:rFonts w:hint="eastAsia"/>
        </w:rPr>
        <w:t>〕</w:t>
      </w:r>
      <w:r>
        <w:t>141</w:t>
      </w:r>
      <w:r>
        <w:rPr>
          <w:rFonts w:hint="eastAsia"/>
        </w:rPr>
        <w:t>号的相关规定，符合该文件第一条规定的残疾人福利性单位，视同小型、微型企业，享受评审中价格扣除政策，投标人应在投标文件中提供残疾人福利性单位声明函。</w:t>
      </w:r>
    </w:p>
    <w:p>
      <w:pPr>
        <w:widowControl w:val="0"/>
        <w:spacing w:line="400" w:lineRule="exact"/>
      </w:pPr>
      <w:r>
        <w:rPr>
          <w:rFonts w:hint="eastAsia"/>
        </w:rPr>
        <w:t>　　</w:t>
      </w:r>
      <w:r>
        <w:t>7.2.2.3</w:t>
      </w:r>
      <w:r>
        <w:rPr>
          <w:rFonts w:hint="eastAsia"/>
        </w:rPr>
        <w:t>根据财库</w:t>
      </w:r>
      <w:r>
        <w:rPr>
          <w:rFonts w:hint="eastAsia"/>
          <w:bCs/>
        </w:rPr>
        <w:t>〔</w:t>
      </w:r>
      <w:r>
        <w:t>2014</w:t>
      </w:r>
      <w:r>
        <w:rPr>
          <w:rFonts w:hint="eastAsia"/>
        </w:rPr>
        <w:t>〕</w:t>
      </w:r>
      <w:r>
        <w:t>68</w:t>
      </w:r>
      <w:r>
        <w:rPr>
          <w:rFonts w:hint="eastAsia"/>
        </w:rPr>
        <w:t>号的相关规定，在政府采购活动中，监狱企业视同小型、微型企业，享受中小企业扶持政策，投标人应在投标文件中提供由省级以上监狱管理局、戒毒管理局（含新疆生产建设兵团）出具的属于监狱企业的声明文件。</w:t>
      </w:r>
    </w:p>
    <w:p>
      <w:pPr>
        <w:widowControl w:val="0"/>
        <w:spacing w:line="400" w:lineRule="exact"/>
        <w:ind w:firstLine="480" w:firstLineChars="200"/>
        <w:rPr>
          <w:bCs/>
        </w:rPr>
      </w:pPr>
      <w:r>
        <w:rPr>
          <w:bCs/>
        </w:rPr>
        <w:t>7.2.3</w:t>
      </w:r>
      <w:r>
        <w:rPr>
          <w:rFonts w:hint="eastAsia"/>
          <w:bCs/>
        </w:rPr>
        <w:t>对于采购标的中有不同属性</w:t>
      </w:r>
      <w:r>
        <w:rPr>
          <w:bCs/>
        </w:rPr>
        <w:t>(</w:t>
      </w:r>
      <w:r>
        <w:rPr>
          <w:rFonts w:hint="eastAsia"/>
          <w:bCs/>
        </w:rPr>
        <w:t>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pStyle w:val="3"/>
        <w:widowControl w:val="0"/>
        <w:shd w:val="clear" w:color="auto" w:fill="FFFFFF"/>
        <w:spacing w:line="400" w:lineRule="exact"/>
        <w:ind w:firstLine="31680"/>
        <w:jc w:val="both"/>
        <w:rPr>
          <w:b w:val="0"/>
          <w:bCs w:val="0"/>
          <w:shd w:val="clear" w:color="auto" w:fill="auto"/>
        </w:rPr>
      </w:pPr>
      <w:r>
        <w:rPr>
          <w:b w:val="0"/>
          <w:bCs w:val="0"/>
          <w:shd w:val="clear" w:color="auto" w:fill="auto"/>
        </w:rPr>
        <w:t>7.3</w:t>
      </w:r>
      <w:r>
        <w:rPr>
          <w:rFonts w:hint="eastAsia"/>
          <w:b w:val="0"/>
          <w:bCs w:val="0"/>
          <w:shd w:val="clear" w:color="auto" w:fill="auto"/>
        </w:rPr>
        <w:t>节能环保</w:t>
      </w:r>
    </w:p>
    <w:p>
      <w:pPr>
        <w:widowControl w:val="0"/>
        <w:spacing w:line="400" w:lineRule="exact"/>
        <w:ind w:firstLine="480" w:firstLineChars="200"/>
      </w:pPr>
      <w:r>
        <w:rPr>
          <w:bCs/>
        </w:rPr>
        <w:t>7.3.1</w:t>
      </w:r>
      <w:r>
        <w:rPr>
          <w:rFonts w:hint="eastAsia"/>
        </w:rPr>
        <w:t>根据财库〔</w:t>
      </w:r>
      <w:r>
        <w:t>2019</w:t>
      </w:r>
      <w:r>
        <w:rPr>
          <w:rFonts w:hint="eastAsia"/>
        </w:rPr>
        <w:t>〕</w:t>
      </w:r>
      <w:r>
        <w:t>9</w:t>
      </w:r>
      <w:r>
        <w:rPr>
          <w:rFonts w:hint="eastAsia"/>
        </w:rPr>
        <w:t>号文件要求，采购人采购的产品中有属于节能产品政府采购品目清单或环境标志产品政府采购品目清单内的，投标人所投的相应产品应在中国政府采购网（</w:t>
      </w:r>
      <w:r>
        <w:t>http://www.ccgp.gov.cn</w:t>
      </w:r>
      <w:r>
        <w:rPr>
          <w:rFonts w:hint="eastAsia"/>
        </w:rPr>
        <w:t>）中可查询到，如属于强制采购节能产品的，未能在网上查询到的，其投标无效。</w:t>
      </w:r>
    </w:p>
    <w:p>
      <w:pPr>
        <w:pStyle w:val="6"/>
        <w:keepNext w:val="0"/>
        <w:keepLines w:val="0"/>
        <w:widowControl w:val="0"/>
        <w:spacing w:before="0" w:after="0" w:line="400" w:lineRule="exact"/>
        <w:rPr>
          <w:rFonts w:ascii="Times New Roman" w:hAnsi="Times New Roman" w:eastAsia="宋体"/>
          <w:sz w:val="24"/>
          <w:szCs w:val="24"/>
        </w:rPr>
      </w:pPr>
      <w:bookmarkStart w:id="52" w:name="_Toc130822932"/>
      <w:bookmarkStart w:id="53" w:name="_Toc132380061"/>
      <w:r>
        <w:rPr>
          <w:rFonts w:hint="eastAsia" w:ascii="Times New Roman" w:hAnsi="Times New Roman" w:eastAsia="宋体"/>
          <w:sz w:val="24"/>
          <w:szCs w:val="24"/>
        </w:rPr>
        <w:t>二、招标文件</w:t>
      </w:r>
      <w:bookmarkEnd w:id="48"/>
      <w:bookmarkEnd w:id="49"/>
      <w:bookmarkEnd w:id="50"/>
      <w:bookmarkEnd w:id="51"/>
      <w:bookmarkEnd w:id="52"/>
      <w:bookmarkEnd w:id="53"/>
    </w:p>
    <w:p>
      <w:pPr>
        <w:widowControl w:val="0"/>
        <w:adjustRightInd w:val="0"/>
        <w:snapToGrid w:val="0"/>
        <w:spacing w:line="400" w:lineRule="exact"/>
        <w:ind w:firstLine="482" w:firstLineChars="200"/>
        <w:rPr>
          <w:b/>
          <w:bCs/>
        </w:rPr>
      </w:pPr>
      <w:r>
        <w:rPr>
          <w:b/>
          <w:bCs/>
        </w:rPr>
        <w:t>8.</w:t>
      </w:r>
      <w:r>
        <w:rPr>
          <w:rFonts w:hint="eastAsia"/>
          <w:b/>
          <w:bCs/>
        </w:rPr>
        <w:t>招标文件的组成</w:t>
      </w:r>
    </w:p>
    <w:p>
      <w:pPr>
        <w:widowControl w:val="0"/>
        <w:adjustRightInd w:val="0"/>
        <w:snapToGrid w:val="0"/>
        <w:spacing w:line="400" w:lineRule="exact"/>
        <w:ind w:firstLine="480" w:firstLineChars="200"/>
      </w:pPr>
      <w:r>
        <w:t>8.1</w:t>
      </w:r>
      <w:r>
        <w:rPr>
          <w:rFonts w:hint="eastAsia"/>
        </w:rPr>
        <w:t>招标文件包括下列内容：</w:t>
      </w:r>
    </w:p>
    <w:p>
      <w:pPr>
        <w:widowControl w:val="0"/>
        <w:adjustRightInd w:val="0"/>
        <w:snapToGrid w:val="0"/>
        <w:spacing w:before="50" w:after="50" w:line="400" w:lineRule="exact"/>
        <w:ind w:firstLine="480" w:firstLineChars="200"/>
      </w:pPr>
      <w:r>
        <w:rPr>
          <w:rFonts w:hint="eastAsia"/>
        </w:rPr>
        <w:t>第一章采购公告</w:t>
      </w:r>
    </w:p>
    <w:p>
      <w:pPr>
        <w:widowControl w:val="0"/>
        <w:adjustRightInd w:val="0"/>
        <w:snapToGrid w:val="0"/>
        <w:spacing w:before="50" w:after="50" w:line="400" w:lineRule="exact"/>
        <w:ind w:firstLine="480" w:firstLineChars="200"/>
      </w:pPr>
      <w:r>
        <w:rPr>
          <w:rFonts w:hint="eastAsia"/>
        </w:rPr>
        <w:t>第二章投标须知和投标须知前附表</w:t>
      </w:r>
    </w:p>
    <w:p>
      <w:pPr>
        <w:widowControl w:val="0"/>
        <w:adjustRightInd w:val="0"/>
        <w:snapToGrid w:val="0"/>
        <w:spacing w:before="50" w:after="50" w:line="400" w:lineRule="exact"/>
        <w:ind w:firstLine="480" w:firstLineChars="200"/>
      </w:pPr>
      <w:r>
        <w:rPr>
          <w:rFonts w:hint="eastAsia"/>
        </w:rPr>
        <w:t>第三章招标项目要求</w:t>
      </w:r>
    </w:p>
    <w:p>
      <w:pPr>
        <w:widowControl w:val="0"/>
        <w:adjustRightInd w:val="0"/>
        <w:snapToGrid w:val="0"/>
        <w:spacing w:before="50" w:after="50" w:line="400" w:lineRule="exact"/>
        <w:ind w:firstLine="480" w:firstLineChars="200"/>
      </w:pPr>
      <w:r>
        <w:rPr>
          <w:rFonts w:hint="eastAsia"/>
        </w:rPr>
        <w:t>第四章开标、评标和定标须知</w:t>
      </w:r>
    </w:p>
    <w:p>
      <w:pPr>
        <w:widowControl w:val="0"/>
        <w:adjustRightInd w:val="0"/>
        <w:snapToGrid w:val="0"/>
        <w:spacing w:before="50" w:after="50" w:line="400" w:lineRule="exact"/>
        <w:ind w:firstLine="480" w:firstLineChars="200"/>
      </w:pPr>
      <w:r>
        <w:rPr>
          <w:rFonts w:hint="eastAsia"/>
        </w:rPr>
        <w:t>第五章投标文件的无效情形</w:t>
      </w:r>
    </w:p>
    <w:p>
      <w:pPr>
        <w:widowControl w:val="0"/>
        <w:adjustRightInd w:val="0"/>
        <w:snapToGrid w:val="0"/>
        <w:spacing w:before="50" w:after="50" w:line="400" w:lineRule="exact"/>
        <w:ind w:firstLine="480" w:firstLineChars="200"/>
      </w:pPr>
      <w:r>
        <w:rPr>
          <w:rFonts w:hint="eastAsia"/>
        </w:rPr>
        <w:t>第六章评标办法</w:t>
      </w:r>
    </w:p>
    <w:p>
      <w:pPr>
        <w:widowControl w:val="0"/>
        <w:adjustRightInd w:val="0"/>
        <w:snapToGrid w:val="0"/>
        <w:spacing w:before="50" w:after="50" w:line="400" w:lineRule="exact"/>
        <w:ind w:firstLine="480" w:firstLineChars="200"/>
      </w:pPr>
      <w:r>
        <w:rPr>
          <w:rFonts w:hint="eastAsia"/>
        </w:rPr>
        <w:t>第七章合同主要条款</w:t>
      </w:r>
    </w:p>
    <w:p>
      <w:pPr>
        <w:widowControl w:val="0"/>
        <w:adjustRightInd w:val="0"/>
        <w:snapToGrid w:val="0"/>
        <w:spacing w:before="50" w:after="50" w:line="400" w:lineRule="exact"/>
        <w:ind w:firstLine="480" w:firstLineChars="200"/>
      </w:pPr>
      <w:r>
        <w:rPr>
          <w:rFonts w:hint="eastAsia"/>
        </w:rPr>
        <w:t>第八章投标文件部分格式</w:t>
      </w:r>
    </w:p>
    <w:p>
      <w:pPr>
        <w:widowControl w:val="0"/>
        <w:adjustRightInd w:val="0"/>
        <w:snapToGrid w:val="0"/>
        <w:spacing w:before="50" w:after="50" w:line="400" w:lineRule="exact"/>
        <w:ind w:firstLine="480" w:firstLineChars="200"/>
      </w:pPr>
      <w:r>
        <w:t>8.2</w:t>
      </w:r>
      <w:r>
        <w:rPr>
          <w:rFonts w:hint="eastAsia"/>
        </w:rPr>
        <w:t>除</w:t>
      </w:r>
      <w:r>
        <w:t>8.1</w:t>
      </w:r>
      <w:r>
        <w:rPr>
          <w:rFonts w:hint="eastAsia"/>
        </w:rPr>
        <w:t>内容外，招标人在投标文件递交截止日前以公告形式发出的对招标文件的澄清或修改内容，均为招标文件的组成部分，对招标方和投标人起约束作用。</w:t>
      </w:r>
    </w:p>
    <w:p>
      <w:pPr>
        <w:widowControl w:val="0"/>
        <w:adjustRightInd w:val="0"/>
        <w:snapToGrid w:val="0"/>
        <w:spacing w:before="50" w:after="50" w:line="400" w:lineRule="exact"/>
        <w:ind w:firstLine="480" w:firstLineChars="200"/>
      </w:pPr>
      <w:r>
        <w:t>8.3</w:t>
      </w:r>
      <w:r>
        <w:rPr>
          <w:rFonts w:hint="eastAsia"/>
        </w:rPr>
        <w:t>上述所列</w:t>
      </w:r>
      <w:r>
        <w:t>8.1</w:t>
      </w:r>
      <w:r>
        <w:rPr>
          <w:rFonts w:hint="eastAsia"/>
        </w:rPr>
        <w:t>及</w:t>
      </w:r>
      <w:r>
        <w:t>8.2</w:t>
      </w:r>
      <w:r>
        <w:rPr>
          <w:rFonts w:hint="eastAsia"/>
        </w:rPr>
        <w:t>条内容均以公告内容为准，招标方的任何工作人员对投标人所作的任何口头解释、介绍、答复，对招标方和投标人无任何约束力。</w:t>
      </w:r>
    </w:p>
    <w:p>
      <w:pPr>
        <w:widowControl w:val="0"/>
        <w:adjustRightInd w:val="0"/>
        <w:snapToGrid w:val="0"/>
        <w:spacing w:line="400" w:lineRule="exact"/>
        <w:ind w:firstLine="480" w:firstLineChars="200"/>
      </w:pPr>
      <w:r>
        <w:t>8.4</w:t>
      </w:r>
      <w:r>
        <w:rPr>
          <w:rFonts w:hint="eastAsia"/>
        </w:rPr>
        <w:t>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pPr>
        <w:pStyle w:val="2"/>
        <w:widowControl w:val="0"/>
        <w:spacing w:after="0"/>
        <w:ind w:left="31680" w:firstLine="0" w:firstLineChars="0"/>
      </w:pPr>
      <w:r>
        <w:rPr>
          <w:b/>
        </w:rPr>
        <w:t>8.5</w:t>
      </w:r>
      <w:r>
        <w:rPr>
          <w:rFonts w:hint="eastAsia"/>
          <w:b/>
        </w:rPr>
        <w:t>招标方在</w:t>
      </w:r>
      <w:r>
        <w:rPr>
          <w:b/>
        </w:rPr>
        <w:t>“</w:t>
      </w:r>
      <w:r>
        <w:rPr>
          <w:rFonts w:hint="eastAsia"/>
          <w:b/>
        </w:rPr>
        <w:t>政采云</w:t>
      </w:r>
      <w:r>
        <w:rPr>
          <w:b/>
        </w:rPr>
        <w:t>”</w:t>
      </w:r>
      <w:r>
        <w:rPr>
          <w:rFonts w:hint="eastAsia"/>
          <w:b/>
        </w:rPr>
        <w:t>上设定的内容与招标文件的内容如有不一致的，以招标文件为准。</w:t>
      </w:r>
    </w:p>
    <w:p>
      <w:pPr>
        <w:widowControl w:val="0"/>
        <w:adjustRightInd w:val="0"/>
        <w:snapToGrid w:val="0"/>
        <w:spacing w:line="400" w:lineRule="exact"/>
        <w:ind w:firstLine="482" w:firstLineChars="200"/>
        <w:rPr>
          <w:b/>
          <w:bCs/>
        </w:rPr>
      </w:pPr>
      <w:r>
        <w:rPr>
          <w:b/>
          <w:bCs/>
        </w:rPr>
        <w:t>9.</w:t>
      </w:r>
      <w:r>
        <w:rPr>
          <w:rFonts w:hint="eastAsia"/>
          <w:b/>
          <w:bCs/>
        </w:rPr>
        <w:t>招标文件的澄清</w:t>
      </w:r>
    </w:p>
    <w:p>
      <w:pPr>
        <w:widowControl w:val="0"/>
        <w:adjustRightInd w:val="0"/>
        <w:snapToGrid w:val="0"/>
        <w:spacing w:line="400" w:lineRule="exact"/>
        <w:ind w:firstLine="480" w:firstLineChars="200"/>
      </w:pPr>
      <w:bookmarkStart w:id="54" w:name="_Toc362250689"/>
      <w:bookmarkStart w:id="55" w:name="_Toc406413930"/>
      <w:bookmarkStart w:id="56" w:name="_Toc274303231"/>
      <w:r>
        <w:t>9.1</w:t>
      </w:r>
      <w:r>
        <w:rPr>
          <w:rFonts w:hint="eastAsia"/>
        </w:rPr>
        <w:t>投标人若对招标文件有任何疑问，应于投标须知前附表规定的时间以书面形式送（传真）向采购人和采购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widowControl w:val="0"/>
        <w:adjustRightInd w:val="0"/>
        <w:snapToGrid w:val="0"/>
        <w:spacing w:before="50" w:after="50" w:line="400" w:lineRule="exact"/>
        <w:ind w:firstLine="480" w:firstLineChars="200"/>
      </w:pPr>
      <w:r>
        <w:t>9.2</w:t>
      </w:r>
      <w:r>
        <w:rPr>
          <w:rFonts w:hint="eastAsia"/>
        </w:rPr>
        <w:t>无论是招标方根据需要主动对招标文件进行必要澄清，或是根据投标人的要求对招标文件做出澄清，</w:t>
      </w:r>
      <w:r>
        <w:rPr>
          <w:rFonts w:hint="eastAsia"/>
          <w:b/>
          <w:u w:val="single"/>
        </w:rPr>
        <w:t>招标方的书面澄清（更正）文件会在浙江省政府网上发布公告，同</w:t>
      </w:r>
      <w:r>
        <w:rPr>
          <w:rFonts w:hint="eastAsia"/>
          <w:u w:val="single"/>
        </w:rPr>
        <w:t>时</w:t>
      </w:r>
      <w:r>
        <w:rPr>
          <w:b/>
          <w:u w:val="single"/>
        </w:rPr>
        <w:t>“</w:t>
      </w:r>
      <w:r>
        <w:rPr>
          <w:rFonts w:hint="eastAsia"/>
          <w:b/>
          <w:u w:val="single"/>
        </w:rPr>
        <w:t>政采云</w:t>
      </w:r>
      <w:r>
        <w:rPr>
          <w:b/>
          <w:u w:val="single"/>
        </w:rPr>
        <w:t>”</w:t>
      </w:r>
      <w:r>
        <w:rPr>
          <w:rFonts w:hint="eastAsia"/>
          <w:b/>
          <w:u w:val="single"/>
        </w:rPr>
        <w:t>会向所有已按招标文件规定方式获取招标文件的潜在供应商发送更正提醒信息，潜在供应商请及时到浙江省政府采购网上下载澄清（更正）文件。</w:t>
      </w:r>
    </w:p>
    <w:p>
      <w:pPr>
        <w:widowControl w:val="0"/>
        <w:adjustRightInd w:val="0"/>
        <w:snapToGrid w:val="0"/>
        <w:spacing w:line="400" w:lineRule="exact"/>
        <w:ind w:firstLine="480" w:firstLineChars="200"/>
      </w:pPr>
      <w:r>
        <w:t>9.3</w:t>
      </w:r>
      <w:r>
        <w:rPr>
          <w:rFonts w:hint="eastAsia"/>
        </w:rPr>
        <w:t>投标人在前附表规定时间未提交疑问或质疑的，视作默认对本次招标过程中招标文件无异议，招标方对其提出的问题可以不予受理。</w:t>
      </w:r>
    </w:p>
    <w:p>
      <w:pPr>
        <w:widowControl w:val="0"/>
        <w:adjustRightInd w:val="0"/>
        <w:snapToGrid w:val="0"/>
        <w:spacing w:line="400" w:lineRule="exact"/>
        <w:ind w:firstLine="480" w:firstLineChars="200"/>
      </w:pPr>
      <w:r>
        <w:t>9.4</w:t>
      </w:r>
      <w:r>
        <w:rPr>
          <w:rFonts w:hint="eastAsia"/>
        </w:rPr>
        <w:t>招标文件澄清、变更、补充等内容均以浙江政府采购网公示的内容为准。当招标文件、招标文件的澄清、变更、补充等在同一内容的表述上不一致时，以最后在浙江政府采购网发出的公示内容为准。</w:t>
      </w:r>
    </w:p>
    <w:p>
      <w:pPr>
        <w:pStyle w:val="6"/>
        <w:keepNext w:val="0"/>
        <w:keepLines w:val="0"/>
        <w:widowControl w:val="0"/>
        <w:spacing w:before="0" w:after="0" w:line="400" w:lineRule="exact"/>
        <w:rPr>
          <w:rFonts w:ascii="Times New Roman" w:hAnsi="Times New Roman" w:eastAsia="宋体"/>
          <w:sz w:val="24"/>
          <w:szCs w:val="24"/>
        </w:rPr>
      </w:pPr>
      <w:bookmarkStart w:id="57" w:name="_Toc130822933"/>
      <w:bookmarkStart w:id="58" w:name="_Toc132380062"/>
      <w:bookmarkStart w:id="59" w:name="_Toc30412"/>
      <w:r>
        <w:rPr>
          <w:rFonts w:hint="eastAsia" w:ascii="Times New Roman" w:hAnsi="Times New Roman" w:eastAsia="宋体"/>
          <w:sz w:val="24"/>
          <w:szCs w:val="24"/>
        </w:rPr>
        <w:t>三、投标文件</w:t>
      </w:r>
      <w:bookmarkEnd w:id="54"/>
      <w:bookmarkEnd w:id="55"/>
      <w:bookmarkEnd w:id="56"/>
      <w:bookmarkEnd w:id="57"/>
      <w:bookmarkEnd w:id="58"/>
      <w:bookmarkEnd w:id="59"/>
    </w:p>
    <w:p>
      <w:pPr>
        <w:widowControl w:val="0"/>
        <w:spacing w:line="400" w:lineRule="exact"/>
        <w:ind w:firstLine="480"/>
        <w:rPr>
          <w:b/>
          <w:bCs/>
        </w:rPr>
      </w:pPr>
      <w:r>
        <w:rPr>
          <w:b/>
          <w:bCs/>
        </w:rPr>
        <w:t>10.</w:t>
      </w:r>
      <w:r>
        <w:rPr>
          <w:rFonts w:hint="eastAsia"/>
          <w:b/>
          <w:bCs/>
        </w:rPr>
        <w:t>投标文件的组成</w:t>
      </w:r>
    </w:p>
    <w:p>
      <w:pPr>
        <w:pStyle w:val="51"/>
        <w:widowControl w:val="0"/>
        <w:spacing w:after="0" w:line="400" w:lineRule="exact"/>
        <w:ind w:firstLine="480" w:firstLineChars="200"/>
        <w:textAlignment w:val="baseline"/>
      </w:pPr>
      <w:r>
        <w:rPr>
          <w:rFonts w:hint="eastAsia"/>
        </w:rPr>
        <w:t>投标文件由资格响应文件、商务技术响应文件和报价响应文件组成，具体见投标须知前附表。</w:t>
      </w:r>
    </w:p>
    <w:p>
      <w:pPr>
        <w:pStyle w:val="31"/>
        <w:widowControl w:val="0"/>
        <w:spacing w:line="400" w:lineRule="exact"/>
        <w:ind w:firstLine="472" w:firstLineChars="196"/>
        <w:rPr>
          <w:rFonts w:ascii="Times New Roman" w:hAnsi="Times New Roman" w:cs="Times New Roman"/>
          <w:b/>
          <w:bCs/>
          <w:sz w:val="24"/>
          <w:szCs w:val="24"/>
        </w:rPr>
      </w:pPr>
      <w:r>
        <w:rPr>
          <w:rFonts w:ascii="Times New Roman" w:hAnsi="Times New Roman" w:cs="Times New Roman"/>
          <w:b/>
          <w:bCs/>
          <w:sz w:val="24"/>
          <w:szCs w:val="24"/>
        </w:rPr>
        <w:t>11.</w:t>
      </w:r>
      <w:r>
        <w:rPr>
          <w:rFonts w:hint="eastAsia" w:ascii="Times New Roman" w:hAnsi="Times New Roman" w:cs="Times New Roman"/>
          <w:b/>
          <w:bCs/>
          <w:sz w:val="24"/>
          <w:szCs w:val="24"/>
        </w:rPr>
        <w:t>投标文件编制要求</w:t>
      </w:r>
    </w:p>
    <w:p>
      <w:pPr>
        <w:pStyle w:val="51"/>
        <w:widowControl w:val="0"/>
        <w:spacing w:after="0" w:line="400" w:lineRule="exact"/>
        <w:ind w:firstLine="480" w:firstLineChars="200"/>
        <w:textAlignment w:val="baseline"/>
      </w:pPr>
      <w:r>
        <w:t>11.1</w:t>
      </w:r>
      <w:r>
        <w:rPr>
          <w:rFonts w:hint="eastAsia"/>
        </w:rPr>
        <w:t>投标人应仔细阅读招标文件，了解招标文件的要求，在完全了解招标项目的要求后，编制投标文件。</w:t>
      </w:r>
    </w:p>
    <w:p>
      <w:pPr>
        <w:widowControl w:val="0"/>
        <w:spacing w:line="400" w:lineRule="exact"/>
        <w:ind w:firstLine="200"/>
      </w:pPr>
      <w:r>
        <w:rPr>
          <w:rFonts w:hint="eastAsia"/>
        </w:rPr>
        <w:t>　</w:t>
      </w:r>
      <w:r>
        <w:t>11.2</w:t>
      </w:r>
      <w:r>
        <w:rPr>
          <w:rFonts w:hint="eastAsia"/>
        </w:rPr>
        <w:t>在招标文件对技术要求中，投标人必须充分应答和满足用户的强制性的需求，如</w:t>
      </w:r>
      <w:r>
        <w:t>“</w:t>
      </w:r>
      <w:r>
        <w:rPr>
          <w:rFonts w:hint="eastAsia" w:ascii="宋体" w:hAnsi="宋体" w:cs="宋体"/>
        </w:rPr>
        <w:t>★</w:t>
      </w:r>
      <w:r>
        <w:t>”</w:t>
      </w:r>
      <w:r>
        <w:rPr>
          <w:rFonts w:hint="eastAsia"/>
        </w:rPr>
        <w:t>等，否则将导致无效标。</w:t>
      </w:r>
    </w:p>
    <w:p>
      <w:pPr>
        <w:widowControl w:val="0"/>
        <w:spacing w:line="400" w:lineRule="exact"/>
        <w:ind w:firstLine="480" w:firstLineChars="200"/>
      </w:pPr>
      <w:r>
        <w:t>11.3</w:t>
      </w:r>
      <w:r>
        <w:rPr>
          <w:rFonts w:hint="eastAsia"/>
        </w:rPr>
        <w:t>编制的投标文件对招标文件中有关条款未提出异议的，均被视为接受和同意。</w:t>
      </w:r>
    </w:p>
    <w:p>
      <w:pPr>
        <w:widowControl w:val="0"/>
        <w:spacing w:line="400" w:lineRule="exact"/>
        <w:ind w:firstLine="480" w:firstLineChars="200"/>
      </w:pPr>
      <w:r>
        <w:t>11.4</w:t>
      </w:r>
      <w:r>
        <w:rPr>
          <w:rFonts w:hint="eastAsia"/>
        </w:rPr>
        <w:t>投标人应根据电子投标操作指南按本招标文件规定的格式和顺序编制电子投标文件并进行关联定位。</w:t>
      </w:r>
    </w:p>
    <w:p>
      <w:pPr>
        <w:widowControl w:val="0"/>
        <w:spacing w:line="400" w:lineRule="exact"/>
        <w:ind w:firstLine="480" w:firstLineChars="200"/>
      </w:pPr>
      <w:r>
        <w:t>11.5</w:t>
      </w:r>
      <w:r>
        <w:rPr>
          <w:rFonts w:hint="eastAsia"/>
        </w:rPr>
        <w:t>由于未按招标文件的规定要求编制投标文件，导致评审小组做出的对投标人的误判，责任由投标人自己承担。</w:t>
      </w:r>
    </w:p>
    <w:p>
      <w:pPr>
        <w:widowControl w:val="0"/>
        <w:adjustRightInd w:val="0"/>
        <w:snapToGrid w:val="0"/>
        <w:spacing w:line="400" w:lineRule="exact"/>
        <w:ind w:firstLine="480"/>
      </w:pPr>
      <w:r>
        <w:rPr>
          <w:b/>
        </w:rPr>
        <w:t>12.</w:t>
      </w:r>
      <w:r>
        <w:rPr>
          <w:rFonts w:hint="eastAsia"/>
          <w:b/>
          <w:bCs/>
        </w:rPr>
        <w:t>投标文件的语言及度量衡单位</w:t>
      </w:r>
    </w:p>
    <w:p>
      <w:pPr>
        <w:widowControl w:val="0"/>
        <w:adjustRightInd w:val="0"/>
        <w:snapToGrid w:val="0"/>
        <w:spacing w:line="400" w:lineRule="exact"/>
        <w:ind w:firstLine="480" w:firstLineChars="200"/>
      </w:pPr>
      <w:r>
        <w:t>12.1</w:t>
      </w:r>
      <w:r>
        <w:rPr>
          <w:rFonts w:hint="eastAsia"/>
        </w:rPr>
        <w:t>投标文件和与投标有关的所有文件均应使用中文简体字。</w:t>
      </w:r>
    </w:p>
    <w:p>
      <w:pPr>
        <w:pStyle w:val="167"/>
        <w:widowControl w:val="0"/>
        <w:spacing w:line="400" w:lineRule="exact"/>
        <w:ind w:firstLine="31680"/>
        <w:jc w:val="both"/>
        <w:rPr>
          <w:rFonts w:ascii="Times New Roman" w:hAnsi="Times New Roman" w:cs="Times New Roman"/>
        </w:rPr>
      </w:pPr>
      <w:r>
        <w:rPr>
          <w:rFonts w:ascii="Times New Roman" w:hAnsi="Times New Roman" w:cs="Times New Roman"/>
          <w:szCs w:val="24"/>
        </w:rPr>
        <w:t>12.2</w:t>
      </w:r>
      <w:r>
        <w:rPr>
          <w:rFonts w:hint="eastAsia" w:ascii="Times New Roman" w:hAnsi="Times New Roman" w:cs="Times New Roman"/>
        </w:rPr>
        <w:t>原版为外文的证书类文件，以及由外国人做出的本人签名、外国公司的名称或外国印章等可以是外文，但应当提供中文翻译文件并加盖电子签章。</w:t>
      </w:r>
    </w:p>
    <w:p>
      <w:pPr>
        <w:pStyle w:val="31"/>
        <w:widowControl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12.3</w:t>
      </w:r>
      <w:r>
        <w:rPr>
          <w:rFonts w:hint="eastAsia" w:ascii="Times New Roman" w:hAnsi="Times New Roman" w:cs="Times New Roman"/>
          <w:sz w:val="24"/>
          <w:szCs w:val="24"/>
        </w:rPr>
        <w:t>除工程规范另有规定外，投标文件使用的度量衡单位，均采用中华人民共和国法定计量单位。</w:t>
      </w:r>
    </w:p>
    <w:p>
      <w:pPr>
        <w:pStyle w:val="31"/>
        <w:widowControl w:val="0"/>
        <w:spacing w:line="400" w:lineRule="exact"/>
        <w:ind w:firstLine="472" w:firstLineChars="196"/>
        <w:rPr>
          <w:rFonts w:ascii="Times New Roman" w:hAnsi="Times New Roman" w:cs="Times New Roman"/>
          <w:b/>
          <w:bCs/>
          <w:sz w:val="24"/>
          <w:szCs w:val="24"/>
        </w:rPr>
      </w:pPr>
      <w:r>
        <w:rPr>
          <w:rFonts w:ascii="Times New Roman" w:hAnsi="Times New Roman" w:cs="Times New Roman"/>
          <w:b/>
          <w:bCs/>
          <w:sz w:val="24"/>
          <w:szCs w:val="24"/>
        </w:rPr>
        <w:t>13.</w:t>
      </w:r>
      <w:r>
        <w:rPr>
          <w:rFonts w:hint="eastAsia" w:ascii="Times New Roman" w:hAnsi="Times New Roman" w:cs="Times New Roman"/>
          <w:b/>
          <w:bCs/>
          <w:sz w:val="24"/>
          <w:szCs w:val="24"/>
        </w:rPr>
        <w:t>投标报价</w:t>
      </w:r>
    </w:p>
    <w:p>
      <w:pPr>
        <w:pStyle w:val="31"/>
        <w:spacing w:line="440" w:lineRule="exact"/>
        <w:rPr>
          <w:rFonts w:ascii="Times New Roman" w:hAnsi="Times New Roman" w:cs="Times New Roman"/>
          <w:sz w:val="24"/>
          <w:szCs w:val="24"/>
          <w:highlight w:val="yellow"/>
        </w:rPr>
      </w:pPr>
      <w:r>
        <w:rPr>
          <w:rFonts w:hAnsi="宋体" w:cs="Times New Roman"/>
          <w:sz w:val="24"/>
          <w:szCs w:val="24"/>
        </w:rPr>
        <w:t>13.1</w:t>
      </w:r>
      <w:r>
        <w:rPr>
          <w:rFonts w:hint="eastAsia" w:ascii="新宋体" w:hAnsi="新宋体" w:eastAsia="新宋体" w:cs="新宋体"/>
          <w:sz w:val="24"/>
          <w:highlight w:val="none"/>
        </w:rPr>
        <w:t>投标人应根据国家的有关规定和招标文件要求并结合企业的实际情况进行投标报价。投标报价以人民币为结算货币，投标报价须包含：</w:t>
      </w:r>
      <w:r>
        <w:rPr>
          <w:rFonts w:hint="eastAsia" w:hAnsi="宋体"/>
          <w:b/>
          <w:sz w:val="24"/>
          <w:szCs w:val="24"/>
          <w:highlight w:val="none"/>
        </w:rPr>
        <w:t>服务人员工资，按规定缴纳的各类保险，加班费，管理费用，税费，固定资产折旧费，企业提取费用，所有材料及易耗品（包括卫生纸、擦手纸、洗手液、塑料袋、除臭香球、除臭剂等耗材）费用，工具，福利费，培训费，安保及保洁办公费用，服装费，夜餐费，伙食费，过节费，奖励费，劳保费，体检费，弱电及供水、供电等设备设施的日常维护、保养(不含消防、空调日常维护、保养产生费用)，楼外墙、窗清洗的费用；其它一切费用，政策性文件规定及合同包含的所有风险、责任等各项应有费用（不含：(1)消防、电梯、供电、弱电等设备设施的维修材料费；(2)水、电费；(3)消防、电梯、供电等设备设施的年度检测费；(4)垃圾清运费）。如有漏项，视同已包含在其总项目中。</w:t>
      </w:r>
    </w:p>
    <w:p>
      <w:pPr>
        <w:pStyle w:val="167"/>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13.2</w:t>
      </w:r>
      <w:r>
        <w:rPr>
          <w:rFonts w:hint="eastAsia" w:ascii="Times New Roman" w:hAnsi="Times New Roman" w:cs="Times New Roman"/>
          <w:szCs w:val="24"/>
        </w:rPr>
        <w:t>投标人应在投标文件的《开标一览表》上写明投标报价项目的单价。</w:t>
      </w:r>
    </w:p>
    <w:p>
      <w:pPr>
        <w:pStyle w:val="167"/>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13.3</w:t>
      </w:r>
      <w:r>
        <w:rPr>
          <w:rFonts w:hint="eastAsia" w:ascii="Times New Roman" w:hAnsi="Times New Roman" w:cs="Times New Roman"/>
          <w:szCs w:val="24"/>
        </w:rPr>
        <w:t>中标后，中标人所填写的单价在合同实施期间不因市场变化因素而变动，投标人在计算报价时应考虑一定的风险系数。</w:t>
      </w:r>
    </w:p>
    <w:p>
      <w:pPr>
        <w:pStyle w:val="167"/>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13.4</w:t>
      </w:r>
      <w:r>
        <w:rPr>
          <w:rFonts w:hint="eastAsia" w:ascii="Times New Roman" w:hAnsi="Times New Roman" w:cs="Times New Roman"/>
          <w:szCs w:val="24"/>
        </w:rPr>
        <w:t>投标人应按招标文件规定的报价格式进行投标报价。投标人对每种货物只允许有一个报价，招标方不接受任何有选择性的报价。</w:t>
      </w:r>
    </w:p>
    <w:p>
      <w:pPr>
        <w:pStyle w:val="167"/>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13.5</w:t>
      </w:r>
      <w:r>
        <w:rPr>
          <w:rFonts w:hint="eastAsia" w:ascii="Times New Roman" w:hAnsi="Times New Roman" w:cs="Times New Roman"/>
          <w:szCs w:val="24"/>
        </w:rPr>
        <w:t>招标方不接受低于成本的投标报价。</w:t>
      </w:r>
    </w:p>
    <w:p>
      <w:pPr>
        <w:pStyle w:val="167"/>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13.6</w:t>
      </w:r>
      <w:r>
        <w:rPr>
          <w:rFonts w:hint="eastAsia" w:ascii="Times New Roman" w:hAnsi="Times New Roman" w:cs="Times New Roman"/>
          <w:szCs w:val="24"/>
        </w:rPr>
        <w:t>投标人按照上述要求编制投标报价。一旦确认某一投标人中标，除合同规定的可调整内容外，中标人不得要求追加任何费用。</w:t>
      </w:r>
    </w:p>
    <w:p>
      <w:pPr>
        <w:pStyle w:val="167"/>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13.7</w:t>
      </w:r>
      <w:r>
        <w:rPr>
          <w:rFonts w:hint="eastAsia" w:ascii="Times New Roman" w:hAnsi="Times New Roman" w:cs="Times New Roman"/>
          <w:szCs w:val="24"/>
        </w:rPr>
        <w:t>须由中标单位开具正式发票。</w:t>
      </w:r>
    </w:p>
    <w:p>
      <w:pPr>
        <w:pStyle w:val="167"/>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13.8</w:t>
      </w:r>
      <w:r>
        <w:rPr>
          <w:rFonts w:hint="eastAsia" w:ascii="Times New Roman" w:hAnsi="Times New Roman" w:cs="Times New Roman"/>
          <w:szCs w:val="24"/>
        </w:rPr>
        <w:t>招标文件中规定由投标单位承担并支付的相关费用在投标报价时应一并考虑。</w:t>
      </w:r>
    </w:p>
    <w:p>
      <w:pPr>
        <w:widowControl w:val="0"/>
        <w:adjustRightInd w:val="0"/>
        <w:snapToGrid w:val="0"/>
        <w:spacing w:line="400" w:lineRule="exact"/>
        <w:ind w:firstLine="482" w:firstLineChars="200"/>
        <w:rPr>
          <w:b/>
          <w:bCs/>
        </w:rPr>
      </w:pPr>
      <w:r>
        <w:rPr>
          <w:b/>
          <w:bCs/>
        </w:rPr>
        <w:t>14.</w:t>
      </w:r>
      <w:r>
        <w:rPr>
          <w:rFonts w:hint="eastAsia"/>
          <w:b/>
          <w:bCs/>
        </w:rPr>
        <w:t>投标文件格式</w:t>
      </w:r>
    </w:p>
    <w:p>
      <w:pPr>
        <w:widowControl w:val="0"/>
        <w:spacing w:line="400" w:lineRule="exact"/>
        <w:ind w:firstLine="480" w:firstLineChars="200"/>
      </w:pPr>
      <w:r>
        <w:rPr>
          <w:rFonts w:hint="eastAsia"/>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pPr>
        <w:pStyle w:val="31"/>
        <w:widowControl w:val="0"/>
        <w:spacing w:line="36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15.</w:t>
      </w:r>
      <w:r>
        <w:rPr>
          <w:rFonts w:hint="eastAsia" w:ascii="Times New Roman" w:hAnsi="Times New Roman" w:cs="Times New Roman"/>
          <w:b/>
          <w:bCs/>
          <w:sz w:val="24"/>
          <w:szCs w:val="24"/>
        </w:rPr>
        <w:t>履约保证金：</w:t>
      </w:r>
      <w:r>
        <w:rPr>
          <w:rFonts w:hint="eastAsia" w:ascii="Times New Roman" w:hAnsi="Times New Roman" w:cs="Times New Roman"/>
          <w:bCs/>
          <w:sz w:val="24"/>
          <w:szCs w:val="24"/>
        </w:rPr>
        <w:t>无</w:t>
      </w:r>
    </w:p>
    <w:p>
      <w:pPr>
        <w:widowControl w:val="0"/>
        <w:spacing w:line="400" w:lineRule="exact"/>
        <w:ind w:firstLine="482" w:firstLineChars="200"/>
        <w:rPr>
          <w:b/>
          <w:bCs/>
        </w:rPr>
      </w:pPr>
      <w:r>
        <w:rPr>
          <w:b/>
          <w:bCs/>
        </w:rPr>
        <w:t>16.</w:t>
      </w:r>
      <w:r>
        <w:rPr>
          <w:rFonts w:hint="eastAsia"/>
          <w:b/>
          <w:bCs/>
        </w:rPr>
        <w:t>投标有效期</w:t>
      </w:r>
    </w:p>
    <w:p>
      <w:pPr>
        <w:widowControl w:val="0"/>
        <w:spacing w:line="400" w:lineRule="exact"/>
        <w:ind w:firstLine="480" w:firstLineChars="200"/>
        <w:rPr>
          <w:b/>
          <w:bCs/>
        </w:rPr>
      </w:pPr>
      <w:r>
        <w:t>16.1</w:t>
      </w:r>
      <w:r>
        <w:rPr>
          <w:rFonts w:hint="eastAsia"/>
        </w:rPr>
        <w:t>投标文件从开标之日起，投标有效期为</w:t>
      </w:r>
      <w:r>
        <w:t>90</w:t>
      </w:r>
      <w:r>
        <w:rPr>
          <w:rFonts w:hint="eastAsia"/>
        </w:rPr>
        <w:t>天。</w:t>
      </w:r>
      <w:r>
        <w:rPr>
          <w:rFonts w:hint="eastAsia" w:ascii="宋体" w:hAnsi="宋体" w:cs="宋体"/>
        </w:rPr>
        <w:t>★</w:t>
      </w:r>
      <w:r>
        <w:rPr>
          <w:rFonts w:hint="eastAsia"/>
          <w:b/>
          <w:szCs w:val="20"/>
        </w:rPr>
        <w:t>投标人的投标文件中承</w:t>
      </w:r>
      <w:r>
        <w:rPr>
          <w:rFonts w:hint="eastAsia"/>
          <w:b/>
          <w:szCs w:val="21"/>
        </w:rPr>
        <w:t>诺的投标有效期少于招标文件中载明的投标有效期的，投标无效。</w:t>
      </w:r>
    </w:p>
    <w:p>
      <w:pPr>
        <w:pStyle w:val="31"/>
        <w:widowControl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16.2</w:t>
      </w:r>
      <w:r>
        <w:rPr>
          <w:rFonts w:hint="eastAsia" w:ascii="Times New Roman" w:hAnsi="Times New Roman" w:cs="Times New Roman"/>
          <w:sz w:val="24"/>
          <w:szCs w:val="24"/>
        </w:rPr>
        <w:t>特殊情况下，在原投标有效期截止之前，采购人可以以书面形式通知投标人延长投标有效期。投标人同意延长的，不得要求或被允许修改其投标文件，投标人拒绝延长的，其投标无效。</w:t>
      </w:r>
    </w:p>
    <w:p>
      <w:pPr>
        <w:pStyle w:val="6"/>
        <w:keepNext w:val="0"/>
        <w:keepLines w:val="0"/>
        <w:widowControl w:val="0"/>
        <w:spacing w:before="0" w:after="0" w:line="400" w:lineRule="exact"/>
        <w:rPr>
          <w:rFonts w:ascii="Times New Roman" w:hAnsi="Times New Roman" w:eastAsia="宋体"/>
          <w:sz w:val="24"/>
          <w:szCs w:val="24"/>
        </w:rPr>
      </w:pPr>
      <w:bookmarkStart w:id="60" w:name="_Toc130822934"/>
      <w:bookmarkStart w:id="61" w:name="_Toc132380063"/>
      <w:bookmarkStart w:id="62" w:name="_Toc406413931"/>
      <w:bookmarkStart w:id="63" w:name="_Toc362250690"/>
      <w:bookmarkStart w:id="64" w:name="_Toc274303232"/>
      <w:bookmarkStart w:id="65" w:name="_Toc9458"/>
      <w:r>
        <w:rPr>
          <w:rFonts w:hint="eastAsia" w:ascii="Times New Roman" w:hAnsi="Times New Roman" w:eastAsia="宋体"/>
          <w:sz w:val="24"/>
          <w:szCs w:val="24"/>
        </w:rPr>
        <w:t>四、投标文件的递交</w:t>
      </w:r>
      <w:bookmarkEnd w:id="60"/>
      <w:bookmarkEnd w:id="61"/>
      <w:bookmarkEnd w:id="62"/>
      <w:bookmarkEnd w:id="63"/>
      <w:bookmarkEnd w:id="64"/>
      <w:bookmarkEnd w:id="65"/>
    </w:p>
    <w:p>
      <w:pPr>
        <w:widowControl w:val="0"/>
        <w:tabs>
          <w:tab w:val="left" w:pos="315"/>
        </w:tabs>
        <w:adjustRightInd w:val="0"/>
        <w:snapToGrid w:val="0"/>
        <w:spacing w:line="400" w:lineRule="exact"/>
        <w:ind w:firstLine="482" w:firstLineChars="200"/>
        <w:rPr>
          <w:b/>
          <w:bCs/>
        </w:rPr>
      </w:pPr>
      <w:r>
        <w:rPr>
          <w:b/>
          <w:bCs/>
        </w:rPr>
        <w:t>17.</w:t>
      </w:r>
      <w:r>
        <w:rPr>
          <w:rFonts w:hint="eastAsia"/>
          <w:b/>
          <w:bCs/>
        </w:rPr>
        <w:t>电子投标文件上传的地点和截止时间</w:t>
      </w:r>
    </w:p>
    <w:p>
      <w:pPr>
        <w:pStyle w:val="31"/>
        <w:widowControl w:val="0"/>
        <w:adjustRightInd w:val="0"/>
        <w:snapToGrid w:val="0"/>
        <w:spacing w:line="400" w:lineRule="exact"/>
        <w:ind w:firstLine="480" w:firstLineChars="200"/>
        <w:rPr>
          <w:rFonts w:ascii="Times New Roman" w:hAnsi="Times New Roman" w:cs="Times New Roman"/>
          <w:b/>
          <w:sz w:val="24"/>
          <w:szCs w:val="24"/>
        </w:rPr>
      </w:pPr>
      <w:r>
        <w:rPr>
          <w:rFonts w:ascii="Times New Roman" w:hAnsi="Times New Roman" w:cs="Times New Roman"/>
          <w:kern w:val="0"/>
          <w:sz w:val="24"/>
          <w:szCs w:val="24"/>
        </w:rPr>
        <w:t>17.1</w:t>
      </w:r>
      <w:r>
        <w:rPr>
          <w:rFonts w:hint="eastAsia" w:ascii="Times New Roman" w:hAnsi="Times New Roman" w:cs="Times New Roman"/>
          <w:kern w:val="0"/>
          <w:sz w:val="24"/>
          <w:szCs w:val="24"/>
        </w:rPr>
        <w:t>投标人应在投标截止时间之前上传投标文件，同时，投标人可在投标截止时间前将在</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上最后生成的具备电子签章的备份投标文件以电子邮件方式传送至义乌市政府采购中心邮箱（</w:t>
      </w:r>
      <w:r>
        <w:rPr>
          <w:rFonts w:ascii="Times New Roman" w:hAnsi="Times New Roman" w:cs="Times New Roman"/>
          <w:kern w:val="0"/>
          <w:sz w:val="24"/>
          <w:szCs w:val="24"/>
        </w:rPr>
        <w:t>ywszfcgzx@163.com</w:t>
      </w:r>
      <w:r>
        <w:rPr>
          <w:rFonts w:hint="eastAsia" w:ascii="Times New Roman" w:hAnsi="Times New Roman" w:cs="Times New Roman"/>
          <w:kern w:val="0"/>
          <w:sz w:val="24"/>
          <w:szCs w:val="24"/>
        </w:rPr>
        <w:t>），传送的备份投标文件（文件名采用</w:t>
      </w:r>
      <w:r>
        <w:rPr>
          <w:rFonts w:ascii="Times New Roman" w:hAnsi="Times New Roman" w:cs="Times New Roman"/>
          <w:kern w:val="0"/>
          <w:sz w:val="24"/>
          <w:szCs w:val="24"/>
        </w:rPr>
        <w:t>“</w:t>
      </w:r>
      <w:r>
        <w:rPr>
          <w:rFonts w:hint="eastAsia" w:ascii="Times New Roman" w:hAnsi="Times New Roman" w:cs="Times New Roman"/>
          <w:kern w:val="0"/>
          <w:sz w:val="24"/>
          <w:szCs w:val="24"/>
        </w:rPr>
        <w:t>采购编号</w:t>
      </w:r>
      <w:r>
        <w:rPr>
          <w:rFonts w:ascii="Times New Roman" w:hAnsi="Times New Roman" w:cs="Times New Roman"/>
          <w:kern w:val="0"/>
          <w:sz w:val="24"/>
          <w:szCs w:val="24"/>
        </w:rPr>
        <w:t>+</w:t>
      </w:r>
      <w:r>
        <w:rPr>
          <w:rFonts w:hint="eastAsia" w:ascii="Times New Roman" w:hAnsi="Times New Roman" w:cs="Times New Roman"/>
          <w:kern w:val="0"/>
          <w:sz w:val="24"/>
          <w:szCs w:val="24"/>
        </w:rPr>
        <w:t>投标人名称</w:t>
      </w:r>
      <w:r>
        <w:rPr>
          <w:rFonts w:ascii="Times New Roman" w:hAnsi="Times New Roman" w:cs="Times New Roman"/>
          <w:kern w:val="0"/>
          <w:sz w:val="24"/>
          <w:szCs w:val="24"/>
        </w:rPr>
        <w:t>+</w:t>
      </w:r>
      <w:r>
        <w:rPr>
          <w:rFonts w:hint="eastAsia" w:ascii="Times New Roman" w:hAnsi="Times New Roman" w:cs="Times New Roman"/>
          <w:kern w:val="0"/>
          <w:sz w:val="24"/>
          <w:szCs w:val="24"/>
        </w:rPr>
        <w:t>系统自动生成的后缀名</w:t>
      </w:r>
      <w:r>
        <w:rPr>
          <w:rFonts w:ascii="Times New Roman" w:hAnsi="Times New Roman" w:cs="Times New Roman"/>
          <w:kern w:val="0"/>
          <w:sz w:val="24"/>
          <w:szCs w:val="24"/>
        </w:rPr>
        <w:t>”</w:t>
      </w:r>
      <w:r>
        <w:rPr>
          <w:rFonts w:hint="eastAsia" w:ascii="Times New Roman" w:hAnsi="Times New Roman" w:cs="Times New Roman"/>
          <w:kern w:val="0"/>
          <w:sz w:val="24"/>
          <w:szCs w:val="24"/>
        </w:rPr>
        <w:t>）需打包压缩并加密，加密密码由投标人自行保管。为了防止泄密，建议投标人在设置加密密码时采用大小写字母加数字的组合方式。</w:t>
      </w:r>
      <w:r>
        <w:rPr>
          <w:rFonts w:hint="eastAsia" w:ascii="Times New Roman" w:hAnsi="Times New Roman" w:cs="Times New Roman"/>
          <w:b/>
          <w:sz w:val="24"/>
          <w:szCs w:val="24"/>
        </w:rPr>
        <w:t>投标人仅递交备份投标文件的，投标无效。</w:t>
      </w:r>
    </w:p>
    <w:p>
      <w:pPr>
        <w:pStyle w:val="31"/>
        <w:widowControl w:val="0"/>
        <w:adjustRightInd w:val="0"/>
        <w:snapToGrid w:val="0"/>
        <w:spacing w:line="40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17.2</w:t>
      </w:r>
      <w:r>
        <w:rPr>
          <w:rFonts w:hint="eastAsia" w:ascii="Times New Roman" w:hAnsi="Times New Roman" w:cs="Times New Roman"/>
          <w:kern w:val="0"/>
          <w:sz w:val="24"/>
          <w:szCs w:val="24"/>
        </w:rPr>
        <w:t>采购人、采购代理机构可以视情况延长投标文件提交的截止时间。在上述情况下，采购代理机构与投标人以前在投标截止期方面的全部权利、责任和义务，将适用于延长至新的投标截止期。</w:t>
      </w:r>
    </w:p>
    <w:p>
      <w:pPr>
        <w:widowControl w:val="0"/>
        <w:tabs>
          <w:tab w:val="left" w:pos="315"/>
        </w:tabs>
        <w:adjustRightInd w:val="0"/>
        <w:snapToGrid w:val="0"/>
        <w:spacing w:line="400" w:lineRule="exact"/>
        <w:ind w:firstLine="482" w:firstLineChars="200"/>
        <w:rPr>
          <w:b/>
          <w:bCs/>
        </w:rPr>
      </w:pPr>
      <w:r>
        <w:rPr>
          <w:b/>
        </w:rPr>
        <w:t>18.</w:t>
      </w:r>
      <w:r>
        <w:rPr>
          <w:rFonts w:hint="eastAsia"/>
          <w:b/>
          <w:bCs/>
        </w:rPr>
        <w:t>投标文件的补充、修改与撤回</w:t>
      </w:r>
    </w:p>
    <w:p>
      <w:pPr>
        <w:widowControl w:val="0"/>
        <w:tabs>
          <w:tab w:val="left" w:pos="315"/>
        </w:tabs>
        <w:adjustRightInd w:val="0"/>
        <w:snapToGrid w:val="0"/>
        <w:spacing w:line="400" w:lineRule="exact"/>
        <w:ind w:firstLine="480" w:firstLineChars="200"/>
      </w:pPr>
      <w:r>
        <w:t>18.1</w:t>
      </w:r>
      <w:r>
        <w:rPr>
          <w:rFonts w:hint="eastAsia"/>
        </w:rPr>
        <w:t>投标人在</w:t>
      </w:r>
      <w:r>
        <w:t>“</w:t>
      </w:r>
      <w:r>
        <w:rPr>
          <w:rFonts w:hint="eastAsia"/>
        </w:rPr>
        <w:t>政采云</w:t>
      </w:r>
      <w:r>
        <w:t>”</w:t>
      </w:r>
      <w:r>
        <w:rPr>
          <w:rFonts w:hint="eastAsia"/>
        </w:rPr>
        <w:t>上提交投标文件以后，在规定的投标截止时间之前，可以重新补充、修改或撤回投标文件，补充或者修改投标文件的，应当先行撤回原文件，补充、修改后重新传输递交。投标截止时间前未完成传输的，视为撤回投标文件。投标截止时间后递交的投标文件，电子交易平台将拒收。</w:t>
      </w:r>
    </w:p>
    <w:p>
      <w:pPr>
        <w:pStyle w:val="23"/>
        <w:widowControl w:val="0"/>
        <w:spacing w:line="400" w:lineRule="exact"/>
        <w:ind w:firstLine="470" w:firstLineChars="196"/>
        <w:jc w:val="both"/>
        <w:rPr>
          <w:rFonts w:ascii="Times New Roman" w:hAnsi="Times New Roman"/>
          <w:b w:val="0"/>
          <w:color w:val="auto"/>
          <w:spacing w:val="-6"/>
          <w:sz w:val="24"/>
          <w:szCs w:val="24"/>
        </w:rPr>
      </w:pPr>
      <w:r>
        <w:rPr>
          <w:rFonts w:ascii="Times New Roman" w:hAnsi="Times New Roman"/>
          <w:b w:val="0"/>
          <w:color w:val="auto"/>
          <w:sz w:val="24"/>
          <w:szCs w:val="24"/>
        </w:rPr>
        <w:t>18.2</w:t>
      </w:r>
      <w:r>
        <w:rPr>
          <w:rFonts w:hint="eastAsia" w:ascii="Times New Roman" w:hAnsi="Times New Roman"/>
          <w:b w:val="0"/>
          <w:color w:val="auto"/>
          <w:sz w:val="24"/>
          <w:szCs w:val="24"/>
        </w:rPr>
        <w:t>在投标截止时间前，除供应商补充、修改或者撤回投标文件外，任何单位和个人不得解密或提取投标文件。</w:t>
      </w:r>
    </w:p>
    <w:p>
      <w:pPr>
        <w:pStyle w:val="31"/>
        <w:widowControl w:val="0"/>
        <w:spacing w:line="400" w:lineRule="exact"/>
        <w:ind w:firstLine="480"/>
        <w:rPr>
          <w:rFonts w:ascii="Times New Roman" w:hAnsi="Times New Roman" w:cs="Times New Roman"/>
          <w:spacing w:val="-6"/>
        </w:rPr>
      </w:pPr>
      <w:r>
        <w:rPr>
          <w:rFonts w:ascii="Times New Roman" w:hAnsi="Times New Roman" w:cs="Times New Roman"/>
          <w:spacing w:val="-6"/>
          <w:sz w:val="24"/>
          <w:szCs w:val="24"/>
        </w:rPr>
        <w:t>18.3</w:t>
      </w:r>
      <w:r>
        <w:rPr>
          <w:rFonts w:hint="eastAsia" w:ascii="Times New Roman" w:hAnsi="Times New Roman" w:cs="Times New Roman"/>
          <w:bCs/>
          <w:sz w:val="24"/>
          <w:szCs w:val="24"/>
        </w:rPr>
        <w:t>从投标截止时间至投标人在投标文件中确定的投标有效期期满这段时间内，投标人不得撤回其投标。</w:t>
      </w:r>
    </w:p>
    <w:p>
      <w:pPr>
        <w:widowControl w:val="0"/>
        <w:spacing w:line="400" w:lineRule="exact"/>
        <w:ind w:firstLine="482" w:firstLineChars="200"/>
        <w:rPr>
          <w:b/>
        </w:rPr>
      </w:pPr>
      <w:r>
        <w:rPr>
          <w:b/>
        </w:rPr>
        <w:t>19.</w:t>
      </w:r>
      <w:r>
        <w:rPr>
          <w:rFonts w:hint="eastAsia"/>
          <w:b/>
        </w:rPr>
        <w:t>投标文件解密</w:t>
      </w:r>
    </w:p>
    <w:p>
      <w:pPr>
        <w:pStyle w:val="31"/>
        <w:widowControl w:val="0"/>
        <w:adjustRightInd w:val="0"/>
        <w:snapToGrid w:val="0"/>
        <w:spacing w:line="40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本项目采用线上开标，供应商无需到开标现场，但应准时在线参加。开标时间后采购中心开启解密。开启解密后的</w:t>
      </w:r>
      <w:r>
        <w:rPr>
          <w:rFonts w:ascii="Times New Roman" w:hAnsi="Times New Roman" w:cs="Times New Roman"/>
          <w:kern w:val="0"/>
          <w:sz w:val="24"/>
          <w:szCs w:val="24"/>
        </w:rPr>
        <w:t>1</w:t>
      </w:r>
      <w:r>
        <w:rPr>
          <w:rFonts w:hint="eastAsia" w:ascii="Times New Roman" w:hAnsi="Times New Roman" w:cs="Times New Roman"/>
          <w:kern w:val="0"/>
          <w:sz w:val="24"/>
          <w:szCs w:val="24"/>
        </w:rPr>
        <w:t>小时内，供应商应当登录</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，用</w:t>
      </w:r>
      <w:r>
        <w:rPr>
          <w:rFonts w:ascii="Times New Roman" w:hAnsi="Times New Roman" w:cs="Times New Roman"/>
          <w:kern w:val="0"/>
          <w:sz w:val="24"/>
          <w:szCs w:val="24"/>
        </w:rPr>
        <w:t>“</w:t>
      </w:r>
      <w:r>
        <w:rPr>
          <w:rFonts w:hint="eastAsia" w:ascii="Times New Roman" w:hAnsi="Times New Roman" w:cs="Times New Roman"/>
          <w:kern w:val="0"/>
          <w:sz w:val="24"/>
          <w:szCs w:val="24"/>
        </w:rPr>
        <w:t>项目采购</w:t>
      </w:r>
      <w:r>
        <w:rPr>
          <w:rFonts w:ascii="Times New Roman" w:hAnsi="Times New Roman" w:cs="Times New Roman"/>
          <w:kern w:val="0"/>
          <w:sz w:val="24"/>
          <w:szCs w:val="24"/>
        </w:rPr>
        <w:t>-</w:t>
      </w:r>
      <w:r>
        <w:rPr>
          <w:rFonts w:hint="eastAsia" w:ascii="Times New Roman" w:hAnsi="Times New Roman" w:cs="Times New Roman"/>
          <w:kern w:val="0"/>
          <w:sz w:val="24"/>
          <w:szCs w:val="24"/>
        </w:rPr>
        <w:t>开标评标</w:t>
      </w:r>
      <w:r>
        <w:rPr>
          <w:rFonts w:ascii="Times New Roman" w:hAnsi="Times New Roman" w:cs="Times New Roman"/>
          <w:kern w:val="0"/>
          <w:sz w:val="24"/>
          <w:szCs w:val="24"/>
        </w:rPr>
        <w:t>”</w:t>
      </w:r>
      <w:r>
        <w:rPr>
          <w:rFonts w:hint="eastAsia" w:ascii="Times New Roman" w:hAnsi="Times New Roman" w:cs="Times New Roman"/>
          <w:kern w:val="0"/>
          <w:sz w:val="24"/>
          <w:szCs w:val="24"/>
        </w:rPr>
        <w:t>功能解密投标文件。</w:t>
      </w:r>
    </w:p>
    <w:p>
      <w:pPr>
        <w:pStyle w:val="31"/>
        <w:widowControl w:val="0"/>
        <w:adjustRightInd w:val="0"/>
        <w:snapToGrid w:val="0"/>
        <w:spacing w:line="40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如</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上投标文件在规定时间内出现解密失败的，投标人可按照自身意愿确认同意提供加密密码，启用备份文件，并由采购中心把备份文件上传至</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。如投标人未按规定时间及要求提供有效备份标书，同时</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上投标文件解密失败的，将导致投标无效。</w:t>
      </w:r>
    </w:p>
    <w:p>
      <w:pPr>
        <w:pStyle w:val="31"/>
        <w:widowControl w:val="0"/>
        <w:adjustRightInd w:val="0"/>
        <w:snapToGrid w:val="0"/>
        <w:spacing w:line="40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如果投标人发送两份以上备份文件的，以最后收到的那一份为准，通过</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上传递交的</w:t>
      </w:r>
      <w:r>
        <w:rPr>
          <w:rFonts w:ascii="Times New Roman" w:hAnsi="Times New Roman" w:cs="Times New Roman"/>
          <w:kern w:val="0"/>
          <w:sz w:val="24"/>
          <w:szCs w:val="24"/>
        </w:rPr>
        <w:t>“</w:t>
      </w:r>
      <w:r>
        <w:rPr>
          <w:rFonts w:hint="eastAsia" w:ascii="Times New Roman" w:hAnsi="Times New Roman" w:cs="Times New Roman"/>
          <w:kern w:val="0"/>
          <w:sz w:val="24"/>
          <w:szCs w:val="24"/>
        </w:rPr>
        <w:t>加密投标文件</w:t>
      </w:r>
      <w:r>
        <w:rPr>
          <w:rFonts w:ascii="Times New Roman" w:hAnsi="Times New Roman" w:cs="Times New Roman"/>
          <w:kern w:val="0"/>
          <w:sz w:val="24"/>
          <w:szCs w:val="24"/>
        </w:rPr>
        <w:t>”</w:t>
      </w:r>
      <w:r>
        <w:rPr>
          <w:rFonts w:hint="eastAsia" w:ascii="Times New Roman" w:hAnsi="Times New Roman" w:cs="Times New Roman"/>
          <w:kern w:val="0"/>
          <w:sz w:val="24"/>
          <w:szCs w:val="24"/>
        </w:rPr>
        <w:t>已按时解密的，</w:t>
      </w:r>
      <w:r>
        <w:rPr>
          <w:rFonts w:ascii="Times New Roman" w:hAnsi="Times New Roman" w:cs="Times New Roman"/>
          <w:kern w:val="0"/>
          <w:sz w:val="24"/>
          <w:szCs w:val="24"/>
        </w:rPr>
        <w:t>“</w:t>
      </w:r>
      <w:r>
        <w:rPr>
          <w:rFonts w:hint="eastAsia" w:ascii="Times New Roman" w:hAnsi="Times New Roman" w:cs="Times New Roman"/>
          <w:kern w:val="0"/>
          <w:sz w:val="24"/>
          <w:szCs w:val="24"/>
        </w:rPr>
        <w:t>备份投标文件</w:t>
      </w:r>
      <w:r>
        <w:rPr>
          <w:rFonts w:ascii="Times New Roman" w:hAnsi="Times New Roman" w:cs="Times New Roman"/>
          <w:kern w:val="0"/>
          <w:sz w:val="24"/>
          <w:szCs w:val="24"/>
        </w:rPr>
        <w:t>”</w:t>
      </w:r>
      <w:r>
        <w:rPr>
          <w:rFonts w:hint="eastAsia" w:ascii="Times New Roman" w:hAnsi="Times New Roman" w:cs="Times New Roman"/>
          <w:kern w:val="0"/>
          <w:sz w:val="24"/>
          <w:szCs w:val="24"/>
        </w:rPr>
        <w:t>自动失效。</w:t>
      </w:r>
    </w:p>
    <w:p>
      <w:pPr>
        <w:pStyle w:val="6"/>
        <w:keepNext w:val="0"/>
        <w:keepLines w:val="0"/>
        <w:widowControl w:val="0"/>
        <w:spacing w:before="120" w:after="120" w:line="400" w:lineRule="exact"/>
        <w:rPr>
          <w:rFonts w:ascii="Times New Roman" w:hAnsi="Times New Roman" w:eastAsia="宋体"/>
          <w:sz w:val="24"/>
          <w:szCs w:val="24"/>
        </w:rPr>
      </w:pPr>
      <w:bookmarkStart w:id="66" w:name="_Toc362250691"/>
      <w:bookmarkStart w:id="67" w:name="_Toc274303233"/>
      <w:bookmarkStart w:id="68" w:name="_Toc406413932"/>
      <w:bookmarkStart w:id="69" w:name="_Toc132380064"/>
      <w:bookmarkStart w:id="70" w:name="_Toc130822935"/>
      <w:bookmarkStart w:id="71" w:name="_Toc12224"/>
      <w:r>
        <w:rPr>
          <w:rFonts w:hint="eastAsia" w:ascii="Times New Roman" w:hAnsi="Times New Roman" w:eastAsia="宋体"/>
          <w:sz w:val="24"/>
          <w:szCs w:val="24"/>
        </w:rPr>
        <w:t>五、</w:t>
      </w:r>
      <w:bookmarkEnd w:id="66"/>
      <w:bookmarkEnd w:id="67"/>
      <w:bookmarkEnd w:id="68"/>
      <w:r>
        <w:rPr>
          <w:rFonts w:hint="eastAsia" w:ascii="Times New Roman" w:hAnsi="Times New Roman" w:eastAsia="宋体"/>
          <w:sz w:val="24"/>
          <w:szCs w:val="24"/>
        </w:rPr>
        <w:t>其他</w:t>
      </w:r>
      <w:bookmarkEnd w:id="69"/>
      <w:bookmarkEnd w:id="70"/>
      <w:bookmarkEnd w:id="71"/>
    </w:p>
    <w:p>
      <w:pPr>
        <w:widowControl w:val="0"/>
        <w:spacing w:line="440" w:lineRule="exact"/>
        <w:ind w:firstLine="482" w:firstLineChars="200"/>
      </w:pPr>
      <w:r>
        <w:rPr>
          <w:b/>
          <w:bCs/>
        </w:rPr>
        <w:t>20</w:t>
      </w:r>
      <w:r>
        <w:rPr>
          <w:rFonts w:hint="eastAsia"/>
          <w:b/>
          <w:bCs/>
        </w:rPr>
        <w:t>．本招标文件解释权归</w:t>
      </w:r>
      <w:r>
        <w:rPr>
          <w:b/>
          <w:bCs/>
        </w:rPr>
        <w:t>“</w:t>
      </w:r>
      <w:r>
        <w:rPr>
          <w:rFonts w:hint="eastAsia"/>
          <w:b/>
          <w:bCs/>
        </w:rPr>
        <w:t>招标方</w:t>
      </w:r>
      <w:r>
        <w:rPr>
          <w:b/>
          <w:bCs/>
        </w:rPr>
        <w:t>”</w:t>
      </w:r>
      <w:r>
        <w:rPr>
          <w:rFonts w:hint="eastAsia"/>
          <w:b/>
          <w:bCs/>
        </w:rPr>
        <w:t>。</w:t>
      </w:r>
    </w:p>
    <w:p>
      <w:pPr>
        <w:pStyle w:val="5"/>
        <w:keepNext w:val="0"/>
        <w:keepLines w:val="0"/>
        <w:widowControl w:val="0"/>
        <w:spacing w:before="0" w:after="0" w:line="240" w:lineRule="auto"/>
        <w:jc w:val="center"/>
        <w:rPr>
          <w:sz w:val="36"/>
          <w:szCs w:val="36"/>
        </w:rPr>
      </w:pPr>
      <w:bookmarkStart w:id="72" w:name="_Toc274303234"/>
      <w:bookmarkStart w:id="73" w:name="_Toc406413933"/>
      <w:r>
        <w:rPr>
          <w:sz w:val="36"/>
          <w:szCs w:val="36"/>
        </w:rPr>
        <w:br w:type="page"/>
      </w:r>
      <w:bookmarkStart w:id="74" w:name="_Toc132380065"/>
      <w:r>
        <w:rPr>
          <w:rFonts w:hint="eastAsia"/>
          <w:sz w:val="36"/>
          <w:szCs w:val="36"/>
        </w:rPr>
        <w:t>第三章招标项目要求</w:t>
      </w:r>
      <w:bookmarkEnd w:id="72"/>
      <w:bookmarkEnd w:id="73"/>
      <w:bookmarkEnd w:id="74"/>
      <w:bookmarkStart w:id="75" w:name="_Toc226973000"/>
      <w:bookmarkStart w:id="76" w:name="_Toc274303251"/>
      <w:bookmarkStart w:id="77" w:name="_Toc406413936"/>
    </w:p>
    <w:p>
      <w:pPr>
        <w:pStyle w:val="6"/>
        <w:widowControl w:val="0"/>
        <w:numPr>
          <w:ilvl w:val="1"/>
          <w:numId w:val="0"/>
        </w:numPr>
        <w:spacing w:before="120" w:after="120" w:line="360" w:lineRule="exact"/>
        <w:rPr>
          <w:rFonts w:ascii="Times New Roman" w:hAnsi="Times New Roman" w:eastAsia="宋体"/>
          <w:sz w:val="28"/>
          <w:szCs w:val="28"/>
        </w:rPr>
      </w:pPr>
      <w:bookmarkStart w:id="78" w:name="_Toc29593"/>
      <w:bookmarkStart w:id="79" w:name="_Toc956"/>
      <w:bookmarkStart w:id="80" w:name="_Toc476921614"/>
      <w:bookmarkStart w:id="81" w:name="_Toc12446"/>
      <w:bookmarkStart w:id="82" w:name="_Toc423012129"/>
      <w:bookmarkStart w:id="83" w:name="_Toc28607901"/>
      <w:bookmarkStart w:id="84" w:name="_Toc494185904"/>
      <w:bookmarkStart w:id="85" w:name="_Toc32047"/>
      <w:r>
        <w:rPr>
          <w:rFonts w:hint="eastAsia" w:ascii="Times New Roman" w:hAnsi="Times New Roman" w:eastAsia="宋体"/>
          <w:sz w:val="28"/>
          <w:szCs w:val="28"/>
        </w:rPr>
        <w:t>一、项目概况</w:t>
      </w:r>
      <w:bookmarkEnd w:id="78"/>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color w:val="000000"/>
          <w:sz w:val="24"/>
          <w:lang w:eastAsia="zh-CN"/>
        </w:rPr>
      </w:pPr>
      <w:bookmarkStart w:id="86" w:name="_Toc16704"/>
      <w:r>
        <w:rPr>
          <w:rFonts w:hint="eastAsia" w:ascii="宋体" w:hAnsi="宋体" w:eastAsia="宋体" w:cs="宋体"/>
          <w:color w:val="000000"/>
          <w:sz w:val="24"/>
          <w:lang w:val="en-US" w:eastAsia="zh-CN"/>
        </w:rPr>
        <w:t>1.</w:t>
      </w:r>
      <w:r>
        <w:rPr>
          <w:rFonts w:hint="eastAsia" w:ascii="宋体" w:hAnsi="宋体" w:eastAsia="宋体" w:cs="宋体"/>
          <w:color w:val="000000"/>
          <w:sz w:val="24"/>
        </w:rPr>
        <w:t>义乌市城西街道办事处机关大院：位于义乌市伏龙山</w:t>
      </w:r>
      <w:r>
        <w:rPr>
          <w:rFonts w:hint="eastAsia" w:ascii="宋体" w:hAnsi="宋体" w:cs="宋体"/>
          <w:color w:val="000000"/>
          <w:sz w:val="24"/>
          <w:lang w:val="en-US" w:eastAsia="zh-CN"/>
        </w:rPr>
        <w:t>北</w:t>
      </w:r>
      <w:r>
        <w:rPr>
          <w:rFonts w:hint="eastAsia" w:ascii="宋体" w:hAnsi="宋体" w:eastAsia="宋体" w:cs="宋体"/>
          <w:color w:val="000000"/>
          <w:sz w:val="24"/>
        </w:rPr>
        <w:t>路116号，包括办公楼、宿舍楼、人大联络站及大院内停车场</w:t>
      </w:r>
      <w:r>
        <w:rPr>
          <w:rFonts w:hint="eastAsia" w:ascii="宋体" w:hAnsi="宋体" w:eastAsia="宋体" w:cs="宋体"/>
          <w:color w:val="000000"/>
          <w:sz w:val="24"/>
          <w:lang w:eastAsia="zh-CN"/>
        </w:rPr>
        <w:t>，主要服务内容为屋面</w:t>
      </w:r>
      <w:r>
        <w:rPr>
          <w:rFonts w:hint="eastAsia" w:ascii="宋体" w:hAnsi="宋体" w:eastAsia="宋体" w:cs="宋体"/>
          <w:color w:val="000000"/>
          <w:sz w:val="24"/>
        </w:rPr>
        <w:t>及</w:t>
      </w:r>
      <w:r>
        <w:rPr>
          <w:rFonts w:hint="eastAsia" w:ascii="宋体" w:hAnsi="宋体" w:eastAsia="宋体" w:cs="宋体"/>
          <w:color w:val="000000"/>
          <w:sz w:val="24"/>
          <w:lang w:eastAsia="zh-CN"/>
        </w:rPr>
        <w:t>室内外保洁，</w:t>
      </w:r>
      <w:r>
        <w:rPr>
          <w:rFonts w:hint="eastAsia" w:ascii="宋体" w:hAnsi="宋体" w:eastAsia="宋体" w:cs="宋体"/>
          <w:color w:val="000000"/>
          <w:sz w:val="24"/>
        </w:rPr>
        <w:t>大楼水、电、暖通、消防、弱电智能化等系统的管理维护保洁，以及大院内部安全管理等。</w:t>
      </w:r>
      <w:r>
        <w:rPr>
          <w:rFonts w:hint="eastAsia" w:ascii="宋体" w:hAnsi="宋体" w:eastAsia="宋体" w:cs="宋体"/>
          <w:color w:val="000000"/>
          <w:sz w:val="24"/>
          <w:lang w:eastAsia="zh-CN"/>
        </w:rPr>
        <w:t>要求配备保洁人员不少于8人(含物业经理1人,保洁主管1人)，水电维养人员不少于2人，安保人员不少于8人(包括门卫4人，门口值班保安4人)，费用预算103万元</w:t>
      </w:r>
      <w:r>
        <w:rPr>
          <w:rFonts w:hint="default" w:ascii="宋体" w:hAnsi="宋体" w:cs="宋体"/>
          <w:color w:val="000000"/>
          <w:sz w:val="24"/>
          <w:lang w:val="en-US" w:eastAsia="zh-CN"/>
        </w:rPr>
        <w:t>/</w:t>
      </w:r>
      <w:r>
        <w:rPr>
          <w:rFonts w:hint="eastAsia" w:ascii="宋体" w:hAnsi="宋体" w:cs="宋体"/>
          <w:color w:val="000000"/>
          <w:sz w:val="24"/>
          <w:lang w:val="en-US" w:eastAsia="zh-CN"/>
        </w:rPr>
        <w:t>年</w:t>
      </w:r>
      <w:r>
        <w:rPr>
          <w:rFonts w:hint="eastAsia" w:ascii="宋体" w:hAnsi="宋体" w:eastAsia="宋体" w:cs="宋体"/>
          <w:color w:val="000000"/>
          <w:sz w:val="24"/>
          <w:lang w:eastAsia="zh-CN"/>
        </w:rPr>
        <w:t>。</w:t>
      </w:r>
    </w:p>
    <w:p>
      <w:pPr>
        <w:pStyle w:val="2"/>
        <w:keepNext w:val="0"/>
        <w:keepLines w:val="0"/>
        <w:pageBreakBefore w:val="0"/>
        <w:widowControl/>
        <w:kinsoku/>
        <w:wordWrap/>
        <w:overflowPunct/>
        <w:topLinePunct w:val="0"/>
        <w:autoSpaceDE/>
        <w:autoSpaceDN/>
        <w:bidi w:val="0"/>
        <w:adjustRightInd w:val="0"/>
        <w:snapToGrid w:val="0"/>
        <w:spacing w:after="0" w:line="440" w:lineRule="exact"/>
        <w:ind w:left="0" w:leftChars="0"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color w:val="171A1D"/>
          <w:spacing w:val="0"/>
          <w:sz w:val="24"/>
          <w:szCs w:val="24"/>
          <w:shd w:val="clear" w:fill="FFFFFF"/>
        </w:rPr>
        <w:t>2.独立办公的镇西、何里2个共建委和陆港、求真、汇港3个社区，主要服务内容为办公区域内日常保洁、垃圾收集处理等，人员配备9人（陆港3人、镇西、何里各2人，求真、汇港各1人），费用预算42万元</w:t>
      </w:r>
      <w:r>
        <w:rPr>
          <w:rFonts w:hint="default" w:asciiTheme="minorEastAsia" w:hAnsiTheme="minorEastAsia" w:eastAsiaTheme="minorEastAsia" w:cstheme="minorEastAsia"/>
          <w:b w:val="0"/>
          <w:bCs w:val="0"/>
          <w:i w:val="0"/>
          <w:caps w:val="0"/>
          <w:color w:val="171A1D"/>
          <w:spacing w:val="0"/>
          <w:sz w:val="24"/>
          <w:szCs w:val="24"/>
          <w:shd w:val="clear" w:fill="FFFFFF"/>
          <w:lang w:val="en-US"/>
        </w:rPr>
        <w:t>/</w:t>
      </w:r>
      <w:r>
        <w:rPr>
          <w:rFonts w:hint="eastAsia" w:asciiTheme="minorEastAsia" w:hAnsiTheme="minorEastAsia" w:eastAsiaTheme="minorEastAsia" w:cstheme="minorEastAsia"/>
          <w:b w:val="0"/>
          <w:bCs w:val="0"/>
          <w:i w:val="0"/>
          <w:caps w:val="0"/>
          <w:color w:val="171A1D"/>
          <w:spacing w:val="0"/>
          <w:sz w:val="24"/>
          <w:szCs w:val="24"/>
          <w:shd w:val="clear" w:fill="FFFFFF"/>
          <w:lang w:val="en-US" w:eastAsia="zh-CN"/>
        </w:rPr>
        <w:t>年</w:t>
      </w:r>
      <w:r>
        <w:rPr>
          <w:rFonts w:hint="eastAsia" w:asciiTheme="minorEastAsia" w:hAnsiTheme="minorEastAsia" w:eastAsiaTheme="minorEastAsia" w:cstheme="minorEastAsia"/>
          <w:b w:val="0"/>
          <w:bCs w:val="0"/>
          <w:i w:val="0"/>
          <w:caps w:val="0"/>
          <w:color w:val="171A1D"/>
          <w:spacing w:val="0"/>
          <w:sz w:val="24"/>
          <w:szCs w:val="24"/>
          <w:shd w:val="clear" w:fill="FFFFFF"/>
        </w:rPr>
        <w:t>。</w:t>
      </w:r>
    </w:p>
    <w:p>
      <w:pPr>
        <w:pageBreakBefore w:val="0"/>
        <w:widowControl/>
        <w:kinsoku/>
        <w:wordWrap/>
        <w:overflowPunct/>
        <w:topLinePunct w:val="0"/>
        <w:autoSpaceDE/>
        <w:autoSpaceDN/>
        <w:bidi w:val="0"/>
        <w:spacing w:line="440" w:lineRule="exact"/>
        <w:textAlignment w:val="auto"/>
        <w:rPr>
          <w:rFonts w:ascii="宋体" w:cs="宋体"/>
          <w:b/>
          <w:sz w:val="28"/>
          <w:szCs w:val="28"/>
        </w:rPr>
      </w:pPr>
      <w:r>
        <w:rPr>
          <w:rFonts w:hint="eastAsia" w:ascii="宋体" w:hAnsi="宋体" w:cs="宋体"/>
          <w:b/>
          <w:sz w:val="28"/>
          <w:szCs w:val="28"/>
        </w:rPr>
        <w:t>二、项目服务时间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 w:hAnsi="??"/>
        </w:rPr>
      </w:pPr>
      <w:r>
        <w:rPr>
          <w:rFonts w:hint="eastAsia" w:ascii="宋体" w:hAnsi="宋体" w:cs="宋体"/>
        </w:rPr>
        <w:t>服务时间：</w:t>
      </w:r>
      <w:r>
        <w:rPr>
          <w:rFonts w:hint="eastAsia"/>
          <w:b w:val="0"/>
          <w:shd w:val="clear" w:color="auto" w:fill="auto"/>
        </w:rPr>
        <w:t>本</w:t>
      </w:r>
      <w:r>
        <w:rPr>
          <w:rFonts w:hint="eastAsia" w:ascii="宋体" w:hAnsi="宋体"/>
          <w:b w:val="0"/>
          <w:szCs w:val="21"/>
          <w:shd w:val="clear" w:color="auto" w:fill="auto"/>
        </w:rPr>
        <w:t>项目服务期限三年，合同为一年一签</w:t>
      </w:r>
      <w:r>
        <w:rPr>
          <w:rFonts w:hint="eastAsia" w:ascii="宋体" w:hAnsi="宋体"/>
        </w:rPr>
        <w:t>，自签订合同并生效之日起</w:t>
      </w:r>
      <w:r>
        <w:rPr>
          <w:rFonts w:hint="eastAsia" w:ascii="宋体" w:hAnsi="宋体" w:cs="宋体"/>
        </w:rPr>
        <w:t>。但如果有以下情况，招标人有权提前中止合同。</w:t>
      </w:r>
      <w:r>
        <w:rPr>
          <w:rFonts w:ascii="??" w:hAnsi="??"/>
        </w:rPr>
        <w:t>(1)</w:t>
      </w:r>
      <w:r>
        <w:rPr>
          <w:rFonts w:hint="eastAsia" w:ascii="宋体" w:hAnsi="宋体" w:cs="宋体"/>
        </w:rPr>
        <w:t>经过测评，对中标人服务质量的满意率低于</w:t>
      </w:r>
      <w:r>
        <w:rPr>
          <w:rFonts w:ascii="??" w:hAnsi="??"/>
        </w:rPr>
        <w:t>85</w:t>
      </w:r>
      <w:r>
        <w:rPr>
          <w:rFonts w:hint="eastAsia" w:ascii="宋体" w:hAnsi="宋体" w:cs="宋体"/>
        </w:rPr>
        <w:t>分的；</w:t>
      </w:r>
      <w:r>
        <w:rPr>
          <w:rFonts w:ascii="??" w:hAnsi="??"/>
        </w:rPr>
        <w:t>(2)</w:t>
      </w:r>
      <w:r>
        <w:rPr>
          <w:rFonts w:hint="eastAsia" w:ascii="宋体" w:hAnsi="宋体" w:cs="宋体"/>
        </w:rPr>
        <w:t>发现员工数量缺员累计超过</w:t>
      </w:r>
      <w:r>
        <w:rPr>
          <w:rFonts w:ascii="??" w:hAnsi="??"/>
        </w:rPr>
        <w:t>20</w:t>
      </w:r>
      <w:r>
        <w:rPr>
          <w:rFonts w:hint="eastAsia" w:ascii="宋体" w:hAnsi="宋体" w:cs="宋体"/>
        </w:rPr>
        <w:t>人次的；</w:t>
      </w:r>
      <w:r>
        <w:rPr>
          <w:rFonts w:ascii="??" w:hAnsi="??"/>
        </w:rPr>
        <w:t>(3)</w:t>
      </w:r>
      <w:r>
        <w:rPr>
          <w:rFonts w:hint="eastAsia" w:ascii="宋体" w:hAnsi="宋体" w:cs="宋体"/>
        </w:rPr>
        <w:t>发现存在严重违反《劳动法》等法律法规行为的。</w:t>
      </w:r>
    </w:p>
    <w:p>
      <w:pPr>
        <w:pStyle w:val="6"/>
        <w:pageBreakBefore w:val="0"/>
        <w:widowControl/>
        <w:numPr>
          <w:ilvl w:val="0"/>
          <w:numId w:val="3"/>
        </w:numPr>
        <w:kinsoku/>
        <w:wordWrap/>
        <w:overflowPunct/>
        <w:topLinePunct w:val="0"/>
        <w:autoSpaceDE/>
        <w:autoSpaceDN/>
        <w:bidi w:val="0"/>
        <w:spacing w:before="120" w:after="120"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项目服务</w:t>
      </w:r>
      <w:r>
        <w:rPr>
          <w:rFonts w:hint="eastAsia" w:ascii="宋体" w:hAnsi="宋体" w:eastAsia="宋体" w:cs="宋体"/>
          <w:sz w:val="28"/>
          <w:szCs w:val="28"/>
        </w:rPr>
        <w:t>内容</w:t>
      </w:r>
    </w:p>
    <w:p>
      <w:pPr>
        <w:pageBreakBefore w:val="0"/>
        <w:widowControl/>
        <w:numPr>
          <w:ilvl w:val="0"/>
          <w:numId w:val="0"/>
        </w:numPr>
        <w:kinsoku/>
        <w:wordWrap/>
        <w:overflowPunct/>
        <w:topLinePunct w:val="0"/>
        <w:autoSpaceDE/>
        <w:autoSpaceDN/>
        <w:bidi w:val="0"/>
        <w:spacing w:line="440" w:lineRule="exact"/>
        <w:textAlignment w:val="auto"/>
        <w:rPr>
          <w:rFonts w:hint="default"/>
          <w:lang w:val="en-US"/>
        </w:rPr>
      </w:pPr>
      <w:r>
        <w:rPr>
          <w:rFonts w:hint="default"/>
          <w:lang w:val="en-US"/>
        </w:rPr>
        <w:t xml:space="preserve">    1.</w:t>
      </w:r>
      <w:r>
        <w:rPr>
          <w:rFonts w:hint="eastAsia" w:ascii="宋体" w:hAnsi="宋体" w:eastAsia="宋体" w:cs="宋体"/>
          <w:color w:val="000000"/>
          <w:sz w:val="24"/>
        </w:rPr>
        <w:t>服务范围及内容：</w:t>
      </w:r>
    </w:p>
    <w:p>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.1制定</w:t>
      </w:r>
      <w:r>
        <w:rPr>
          <w:rFonts w:hint="eastAsia" w:ascii="宋体" w:hAnsi="宋体" w:eastAsia="宋体" w:cs="宋体"/>
          <w:color w:val="000000"/>
          <w:sz w:val="24"/>
          <w:szCs w:val="24"/>
          <w:lang w:val="en-US" w:eastAsia="zh-CN"/>
        </w:rPr>
        <w:t>安保及保洁</w:t>
      </w:r>
      <w:r>
        <w:rPr>
          <w:rFonts w:hint="eastAsia" w:ascii="宋体" w:hAnsi="宋体" w:eastAsia="宋体" w:cs="宋体"/>
          <w:color w:val="000000"/>
          <w:sz w:val="24"/>
        </w:rPr>
        <w:t>管理服务工作计划，并组织实施；管理与</w:t>
      </w:r>
      <w:r>
        <w:rPr>
          <w:rFonts w:hint="eastAsia" w:ascii="宋体" w:hAnsi="宋体" w:eastAsia="宋体" w:cs="宋体"/>
          <w:color w:val="000000"/>
          <w:sz w:val="24"/>
          <w:szCs w:val="24"/>
          <w:lang w:val="en-US" w:eastAsia="zh-CN"/>
        </w:rPr>
        <w:t>安保及保洁</w:t>
      </w:r>
      <w:r>
        <w:rPr>
          <w:rFonts w:hint="eastAsia" w:ascii="宋体" w:hAnsi="宋体" w:eastAsia="宋体" w:cs="宋体"/>
          <w:color w:val="000000"/>
          <w:sz w:val="24"/>
        </w:rPr>
        <w:t>相关的工程图纸、档案与竣工验收材料等；</w:t>
      </w:r>
    </w:p>
    <w:p>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.2公共环境的安全管理；</w:t>
      </w:r>
    </w:p>
    <w:p>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.3办公楼保安管理；</w:t>
      </w:r>
    </w:p>
    <w:p>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.4房屋建筑部位的日常维修、养护、保洁和管理，共用部位包括：楼盖、屋顶、内外墙面、承重墙体、楼梯间、走廊通道等。</w:t>
      </w:r>
    </w:p>
    <w:p>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5共用设施的日常维修养护、运行和管理，共用设施设备包括：共用的上下水管道、落水管、垃圾道、强弱电井道、共用照明、各办公室和会议室内照明、室内外景观照明、天线、空调出回风口、高压水泵房、水泵房、配电房、中央监控设备、建筑物防雷设施、开水炉等；其他日常巡查的设施：楼内消防设施设备、电梯。</w:t>
      </w:r>
    </w:p>
    <w:p>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.6公共设施和附属建筑物、构筑物的日常维修、养护和管理，包括道路、泵房、汽车停车场、自行车电动车停车库、室外上下水管道、沟渠、池、井、自行车棚等。</w:t>
      </w:r>
    </w:p>
    <w:p>
      <w:pPr>
        <w:pageBreakBefore w:val="0"/>
        <w:widowControl/>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.7附属配套设施的维修、养护和管理（如空调、电灯等无人即关），如各类会议室、开评标室、多功能厅、接待室等。</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.8公共环境卫生，包括房屋共用部位的清洁卫生，楼顶、开水房、电梯轿箱、会议室、卫生间、洗漱间、大厅顶棚、公共门窗玻璃、垃圾桶、烟灰盅、公共场所的清洁卫生等。</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.9办公室及宿舍环境卫生。</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.10维护公共秩序，包括</w:t>
      </w:r>
      <w:r>
        <w:rPr>
          <w:rFonts w:hint="eastAsia" w:ascii="宋体" w:hAnsi="宋体" w:eastAsia="宋体" w:cs="宋体"/>
          <w:color w:val="000000"/>
          <w:sz w:val="24"/>
          <w:szCs w:val="24"/>
          <w:lang w:val="en-US" w:eastAsia="zh-CN"/>
        </w:rPr>
        <w:t>安保及保洁</w:t>
      </w:r>
      <w:r>
        <w:rPr>
          <w:rFonts w:hint="eastAsia" w:ascii="宋体" w:hAnsi="宋体" w:eastAsia="宋体" w:cs="宋体"/>
          <w:color w:val="000000"/>
          <w:sz w:val="24"/>
        </w:rPr>
        <w:t>区域内巡查。</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.11维持</w:t>
      </w:r>
      <w:r>
        <w:rPr>
          <w:rFonts w:hint="eastAsia" w:ascii="宋体" w:hAnsi="宋体" w:eastAsia="宋体" w:cs="宋体"/>
          <w:color w:val="000000"/>
          <w:sz w:val="24"/>
          <w:szCs w:val="24"/>
          <w:lang w:val="en-US" w:eastAsia="zh-CN"/>
        </w:rPr>
        <w:t>安保及保洁</w:t>
      </w:r>
      <w:r>
        <w:rPr>
          <w:rFonts w:hint="eastAsia" w:ascii="宋体" w:hAnsi="宋体" w:eastAsia="宋体" w:cs="宋体"/>
          <w:color w:val="000000"/>
          <w:sz w:val="24"/>
        </w:rPr>
        <w:t>区域车辆行驶秩序，对车辆停放进行管理。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.12消防管理服务，包括公共区域消防设施的维护。</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.13水泵的运行和日常维护管理。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.14房屋装饰装修管理服务。</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.15电话线路维护。</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.16代收发报纸、包裹等。</w:t>
      </w:r>
    </w:p>
    <w:p>
      <w:pPr>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.1</w:t>
      </w:r>
      <w:r>
        <w:rPr>
          <w:rFonts w:hint="default" w:ascii="宋体" w:hAnsi="宋体" w:cs="宋体"/>
          <w:color w:val="000000"/>
          <w:sz w:val="24"/>
          <w:lang w:val="en-US"/>
        </w:rPr>
        <w:t>7</w:t>
      </w:r>
      <w:r>
        <w:rPr>
          <w:rFonts w:hint="eastAsia" w:ascii="宋体" w:hAnsi="宋体" w:eastAsia="宋体" w:cs="宋体"/>
          <w:color w:val="000000"/>
          <w:sz w:val="24"/>
        </w:rPr>
        <w:t>其他委托事项。</w:t>
      </w:r>
    </w:p>
    <w:p>
      <w:pPr>
        <w:pStyle w:val="6"/>
        <w:spacing w:before="120" w:after="120" w:line="460" w:lineRule="exact"/>
        <w:rPr>
          <w:rFonts w:hint="eastAsia" w:ascii="宋体" w:hAnsi="宋体" w:eastAsia="宋体" w:cs="宋体"/>
          <w:b/>
          <w:bCs/>
          <w:color w:val="000000"/>
          <w:sz w:val="28"/>
          <w:szCs w:val="28"/>
        </w:rPr>
      </w:pPr>
      <w:bookmarkStart w:id="87" w:name="_Toc476578266"/>
      <w:bookmarkStart w:id="88" w:name="_Toc28682071"/>
      <w:bookmarkStart w:id="89" w:name="_Toc28005566"/>
      <w:bookmarkStart w:id="90" w:name="_Toc1783"/>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sz w:val="28"/>
          <w:szCs w:val="28"/>
        </w:rPr>
        <w:t>、</w:t>
      </w:r>
      <w:bookmarkEnd w:id="87"/>
      <w:r>
        <w:rPr>
          <w:rFonts w:hint="eastAsia" w:ascii="宋体" w:hAnsi="宋体" w:eastAsia="宋体" w:cs="宋体"/>
          <w:b/>
          <w:bCs/>
          <w:color w:val="000000"/>
          <w:sz w:val="28"/>
          <w:szCs w:val="28"/>
          <w:lang w:val="en-US" w:eastAsia="zh-CN"/>
        </w:rPr>
        <w:t>安保及保洁</w:t>
      </w:r>
      <w:r>
        <w:rPr>
          <w:rFonts w:hint="eastAsia" w:ascii="宋体" w:hAnsi="宋体" w:eastAsia="宋体" w:cs="宋体"/>
          <w:b/>
          <w:bCs/>
          <w:color w:val="000000"/>
          <w:sz w:val="28"/>
          <w:szCs w:val="28"/>
        </w:rPr>
        <w:t>管理标准</w:t>
      </w:r>
      <w:bookmarkEnd w:id="88"/>
      <w:bookmarkEnd w:id="89"/>
      <w:bookmarkEnd w:id="90"/>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（一）服务人员准则，全体</w:t>
      </w:r>
      <w:r>
        <w:rPr>
          <w:rFonts w:hint="eastAsia" w:ascii="宋体" w:hAnsi="宋体" w:eastAsia="宋体" w:cs="宋体"/>
          <w:color w:val="000000"/>
          <w:sz w:val="24"/>
          <w:szCs w:val="24"/>
          <w:lang w:val="en-US" w:eastAsia="zh-CN"/>
        </w:rPr>
        <w:t>安保及保洁</w:t>
      </w:r>
      <w:r>
        <w:rPr>
          <w:rFonts w:hint="eastAsia" w:ascii="宋体" w:hAnsi="宋体" w:eastAsia="宋体" w:cs="宋体"/>
          <w:color w:val="000000"/>
          <w:sz w:val="24"/>
          <w:lang w:val="en-US" w:eastAsia="zh-CN"/>
        </w:rPr>
        <w:t>管理人员必须遵守如下工作准则：</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1.各职守岗位统一着装；</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2.上班时间佩戴工作牌；</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3.仪容仪表整洁、大方、得体；</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4.热情待人、文明礼貌、使用服务规范用语；</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5.开展微笑服务，遇到用户时主动问候和招呼；</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6.遵守安全工作规定及操作程序，及时发现不安全因素，正确处理突发事件；</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7.不损坏、不拿取公共或用户的财物；</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8.遵守保密规定，不得擅自进入机要部位。不得随便对外透露机关消息和用户情况。</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（二）保洁项目内容及清洁标准</w:t>
      </w:r>
    </w:p>
    <w:p>
      <w:pPr>
        <w:spacing w:line="440" w:lineRule="exac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★1.保洁人员配备：不少于8人(含经理1人,保洁主管1人)，保洁人员(不含经理、保洁主管)年龄不超过48周岁，经理、保洁主管年龄不超过45周岁。</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lang w:val="en-US" w:eastAsia="zh-CN"/>
        </w:rPr>
        <w:t>1.1投标人须派一名经理。</w:t>
      </w:r>
      <w:r>
        <w:rPr>
          <w:rFonts w:hint="eastAsia" w:ascii="宋体" w:hAnsi="宋体" w:eastAsia="宋体" w:cs="宋体"/>
          <w:color w:val="000000"/>
          <w:sz w:val="24"/>
          <w:lang w:val="en-US" w:eastAsia="zh-CN"/>
        </w:rPr>
        <w:t>投标时须提供拟派经理的个人社保缴费清单（社保缴费清单要求是近三个月的在该单位任职的个人社保缴费清单，如中标单位新成立不足三个月的，按实际缴纳情况提供该人员在该单位的社保缴费清单，社保缴费清单需加盖缴费当地社保机构公章或业务章。近三个月指的是从</w:t>
      </w:r>
      <w:r>
        <w:rPr>
          <w:rFonts w:hint="eastAsia" w:ascii="宋体" w:hAnsi="宋体" w:eastAsia="宋体" w:cs="宋体"/>
          <w:color w:val="auto"/>
          <w:sz w:val="24"/>
          <w:lang w:val="en-US" w:eastAsia="zh-CN"/>
        </w:rPr>
        <w:t>2024年</w:t>
      </w:r>
      <w:r>
        <w:rPr>
          <w:rFonts w:hint="default" w:ascii="宋体" w:hAnsi="宋体" w:cs="宋体"/>
          <w:color w:val="auto"/>
          <w:sz w:val="24"/>
          <w:lang w:val="en-US" w:eastAsia="zh-CN"/>
        </w:rPr>
        <w:t>10</w:t>
      </w:r>
      <w:r>
        <w:rPr>
          <w:rFonts w:hint="eastAsia" w:ascii="宋体" w:hAnsi="宋体" w:eastAsia="宋体" w:cs="宋体"/>
          <w:color w:val="auto"/>
          <w:sz w:val="24"/>
          <w:lang w:val="en-US" w:eastAsia="zh-CN"/>
        </w:rPr>
        <w:t>月1日</w:t>
      </w:r>
      <w:r>
        <w:rPr>
          <w:rFonts w:hint="eastAsia" w:ascii="宋体" w:hAnsi="宋体" w:eastAsia="宋体" w:cs="宋体"/>
          <w:color w:val="000000"/>
          <w:sz w:val="24"/>
          <w:lang w:val="en-US" w:eastAsia="zh-CN"/>
        </w:rPr>
        <w:t>至投标截止时止期间中任何一个连续三个月）。</w:t>
      </w:r>
    </w:p>
    <w:p>
      <w:pPr>
        <w:spacing w:line="440" w:lineRule="exact"/>
        <w:ind w:firstLine="480" w:firstLineChars="200"/>
        <w:rPr>
          <w:rFonts w:hint="eastAsia"/>
          <w:lang w:val="en-US" w:eastAsia="zh-CN"/>
        </w:rPr>
      </w:pPr>
      <w:r>
        <w:rPr>
          <w:rFonts w:hint="eastAsia" w:ascii="宋体" w:hAnsi="宋体" w:eastAsia="宋体" w:cs="宋体"/>
          <w:color w:val="000000"/>
          <w:sz w:val="24"/>
          <w:highlight w:val="none"/>
          <w:lang w:val="en-US" w:eastAsia="zh-CN"/>
        </w:rPr>
        <w:t>1.2经理</w:t>
      </w:r>
      <w:r>
        <w:rPr>
          <w:rFonts w:hint="eastAsia" w:ascii="宋体" w:hAnsi="宋体" w:cs="宋体"/>
          <w:color w:val="000000"/>
          <w:sz w:val="24"/>
          <w:highlight w:val="none"/>
          <w:lang w:val="en-US" w:eastAsia="zh-CN"/>
        </w:rPr>
        <w:t>要求</w:t>
      </w:r>
      <w:r>
        <w:rPr>
          <w:rFonts w:hint="eastAsia" w:ascii="宋体" w:hAnsi="宋体" w:eastAsia="宋体" w:cs="宋体"/>
          <w:color w:val="000000"/>
          <w:sz w:val="24"/>
          <w:highlight w:val="none"/>
          <w:lang w:val="en-US" w:eastAsia="zh-CN"/>
        </w:rPr>
        <w:t>熟悉</w:t>
      </w:r>
      <w:r>
        <w:rPr>
          <w:rFonts w:hint="eastAsia" w:ascii="宋体" w:hAnsi="宋体" w:eastAsia="宋体" w:cs="宋体"/>
          <w:color w:val="000000"/>
          <w:sz w:val="24"/>
          <w:szCs w:val="24"/>
          <w:highlight w:val="none"/>
          <w:lang w:val="en-US" w:eastAsia="zh-CN"/>
        </w:rPr>
        <w:t>安保及保洁</w:t>
      </w:r>
      <w:r>
        <w:rPr>
          <w:rFonts w:hint="eastAsia" w:ascii="宋体" w:hAnsi="宋体" w:eastAsia="宋体" w:cs="宋体"/>
          <w:color w:val="000000"/>
          <w:sz w:val="24"/>
          <w:highlight w:val="none"/>
          <w:lang w:val="en-US" w:eastAsia="zh-CN"/>
        </w:rPr>
        <w:t>管理法规，</w:t>
      </w:r>
      <w:r>
        <w:rPr>
          <w:rFonts w:hint="eastAsia" w:ascii="宋体" w:hAnsi="宋体" w:eastAsia="宋体" w:cs="宋体"/>
          <w:color w:val="000000"/>
          <w:sz w:val="24"/>
          <w:lang w:val="en-US" w:eastAsia="zh-CN"/>
        </w:rPr>
        <w:t>具有较强的沟通能力，能根据招标工作计划组织落实，组织员工培训，带领员工做好质量保证体系，达到任职要求，接受义乌市城西街道办事处的指导。</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2.清扫、拖洗楼内公共走廊地面和楼梯间地面，并随时保洁。</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3.清抹擦拭各办公室、会议室、接待室外门和门套、防烟门、走廊灯具、开关、栏杆、楼梯扶手、石材墙面、窗台板等，即时关闭无人的办公室、会议室、接待室的电灯、空调等设施。</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4.随时清抹大堂玻璃门、走廊玻璃、电梯门、电梯按钮、电梯轿箱内不锈钢壁面。</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5.公共洗手间和茶水间内的墙面、地面、台面及卫生洁具的及时清洗和保洁，及时清倒、清洗垃圾桶。</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6.办公楼花岗岩地面一个季度至少打蜡一次，每个月至少抛光一次。</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7.每年10月前后应安排清洗一次大楼的外墙面、玻璃窗；如果不能如期进行清洗的，采购人将委托专业清洗公司进行清洗，并由中标人承担相关清洗费用。</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8.各停车场每天清扫，一季度清洗一次，垃圾桶每天及时清倒、清洗；及时清理公共场所、公共绿地的废弃杂物；及时清扫积水、积雪；及时组织清理乱堆放物品、乱张贴宣传品等。</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9.所有区域内的宣传栏玻璃、墙面公益广告要保持干净。</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10.按要求落实好垃圾分类、禁烟劝导、除“四害”、防疫等工作。</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11.保洁时间尽量与机关办公时间错开，避免干扰正常办公。每天地面两次清扫需在街道工作人员上班前和中午休息时间内完成。</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12.保洁标准：</w:t>
      </w: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61"/>
        <w:gridCol w:w="2410"/>
        <w:gridCol w:w="3443"/>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20" w:type="dxa"/>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861" w:type="dxa"/>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位置</w:t>
            </w:r>
          </w:p>
        </w:tc>
        <w:tc>
          <w:tcPr>
            <w:tcW w:w="2410" w:type="dxa"/>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清洁项目</w:t>
            </w:r>
          </w:p>
        </w:tc>
        <w:tc>
          <w:tcPr>
            <w:tcW w:w="3443" w:type="dxa"/>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清洁工作内容</w:t>
            </w:r>
          </w:p>
        </w:tc>
        <w:tc>
          <w:tcPr>
            <w:tcW w:w="2236" w:type="dxa"/>
            <w:noWrap/>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20" w:type="dxa"/>
            <w:vMerge w:val="restart"/>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61" w:type="dxa"/>
            <w:vMerge w:val="restart"/>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办公区</w:t>
            </w: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公共会议室及接待室</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会议桌椅每天擦拭、消毒二次；地面每天清扫、拖地、消毒二次；茶杯随时清洗、消毒；开水随时充足</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会场布置及开水服务、音响控制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办事大厅</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随时保持干净，无污渍、尘渍、痰渍，地板明洁如镜、明亮如新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领导办公室</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办公桌椅、电脑、键盘、电话、打印机等每天擦拭、消毒一次；地面每天清扫、拖地、消毒一次；茶杯随时清洗、消毒；开水随时保持充足</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保持干净，无污渍、尘渍、痰渍，地板明洁如镜、明亮如新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工作人员办公室</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办公桌椅、电脑、键盘、电话、打印机等每天擦拭、消毒一次；地面每天清扫、拖地、消毒一次；茶杯随时清洗、消毒</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保持干净，无污渍、尘渍、痰渍，地板明洁如镜、明亮如新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620" w:type="dxa"/>
            <w:vMerge w:val="restart"/>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61" w:type="dxa"/>
            <w:vMerge w:val="restart"/>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室内公共区域</w:t>
            </w: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花岗石地面</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随时保持干净，无污渍、尘渍、痰渍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石材墙面、柱面</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无尘渍、污渍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玻璃门</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每天消毒一次，随时清抹；每周用玻璃清洁剂清刮二次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天花板</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每周清扫蜘蛛网及灰尘一次；每半年大清洁一次</w:t>
            </w:r>
          </w:p>
        </w:tc>
        <w:tc>
          <w:tcPr>
            <w:tcW w:w="2236" w:type="dxa"/>
            <w:noWrap/>
            <w:vAlign w:val="center"/>
          </w:tcPr>
          <w:p>
            <w:pPr>
              <w:spacing w:line="28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灯饰、风口</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每季度清抹一次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无蛛丝、尘渍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指标牌和悬挂牌</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每周清抹二次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烟灰筒、废纸筒</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每天清倒垃圾二次、清抹筒盖、垃圾筒、垃圾缸一次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无污渍、痰渍、烟灰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电梯门按钮、门框不锈钢</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每天用毛巾配合不锈钢清洁剂随时清抹污渍、手印并消毒；每周擦不锈钢油二次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无手印、污渍，保持不锈钢表面亮丽的金属光泽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电梯间灯饰、按钮</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每天随时清抹污渍、手印并消毒；每月清洁电梯内灯饰、排气扇、防护罩二次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抛光砖</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每天上下午清扫保洁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无杂物、污渍、痰渍，保持干净、光泽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墙身、窗台</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保持干净，无尘渍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玻璃窗</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走廊装饰玻璃</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保持干净，无手印、污渍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灯饰及其他</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保持干净，无蜘蛛网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防烟门</w:t>
            </w:r>
          </w:p>
        </w:tc>
        <w:tc>
          <w:tcPr>
            <w:tcW w:w="3443" w:type="dxa"/>
            <w:noWrap/>
            <w:vAlign w:val="center"/>
          </w:tcPr>
          <w:p>
            <w:pPr>
              <w:pStyle w:val="38"/>
              <w:pBdr>
                <w:bottom w:val="none" w:color="auto" w:sz="0" w:space="0"/>
              </w:pBdr>
              <w:tabs>
                <w:tab w:val="clear" w:pos="4153"/>
                <w:tab w:val="clear" w:pos="8306"/>
              </w:tabs>
              <w:snapToGrid/>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每天保洁</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20" w:type="dxa"/>
            <w:vMerge w:val="continue"/>
            <w:noWrap/>
            <w:vAlign w:val="top"/>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烟灰筒、垃圾桶</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每天清倒垃圾二次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无痰渍、污渍、烟灰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620" w:type="dxa"/>
            <w:vMerge w:val="restart"/>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61" w:type="dxa"/>
            <w:vMerge w:val="restart"/>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男、女洗手间</w:t>
            </w:r>
          </w:p>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部分</w:t>
            </w: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瓷砖墙身</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每天保洁、消毒</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瓷砖地面</w:t>
            </w:r>
          </w:p>
        </w:tc>
        <w:tc>
          <w:tcPr>
            <w:tcW w:w="3443"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每天用清洁剂拖地、消毒并随时保持干净；每周用洁厕灵清洗二次并拖抹干净</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无污渍、无纸屑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洗手间门</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每天保洁、消毒；每周用清洁剂洗抹一次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pStyle w:val="3"/>
              <w:ind w:firstLine="420"/>
              <w:rPr>
                <w:rFonts w:hint="eastAsia" w:ascii="宋体" w:hAnsi="宋体" w:eastAsia="宋体" w:cs="宋体"/>
                <w:color w:val="000000"/>
                <w:sz w:val="24"/>
                <w:szCs w:val="24"/>
              </w:rPr>
            </w:pPr>
            <w:r>
              <w:rPr>
                <w:rFonts w:hint="eastAsia" w:ascii="宋体" w:hAnsi="宋体" w:eastAsia="宋体" w:cs="宋体"/>
                <w:b w:val="0"/>
                <w:bCs w:val="0"/>
                <w:color w:val="000000"/>
                <w:sz w:val="24"/>
                <w:szCs w:val="24"/>
                <w:shd w:val="clear" w:color="auto" w:fill="auto"/>
              </w:rPr>
              <w:t>洗手间内玻璃镜</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每天随时清抹、保持无污渍、水渍；每周用玻璃清洁剂清刮一次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大、小便器、洗手盆</w:t>
            </w:r>
          </w:p>
        </w:tc>
        <w:tc>
          <w:tcPr>
            <w:tcW w:w="3443" w:type="dxa"/>
            <w:noWrap/>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每天用清洁剂清洗并放除臭香球；每两周用强力除渍剂去除尿垢、黄斑等；每月用消毒水清洁消毒二次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无臭、无污垢，保持便瓷器的明洁如新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洗手间隔断板</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每天保洁、消毒；每周用清洁剂洗抹二次、保持干净</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spacing w:line="280" w:lineRule="exact"/>
              <w:jc w:val="center"/>
              <w:rPr>
                <w:rFonts w:hint="eastAsia" w:ascii="宋体" w:hAnsi="宋体" w:eastAsia="宋体" w:cs="宋体"/>
                <w:color w:val="000000"/>
                <w:sz w:val="24"/>
                <w:szCs w:val="24"/>
              </w:rPr>
            </w:pPr>
          </w:p>
        </w:tc>
        <w:tc>
          <w:tcPr>
            <w:tcW w:w="861" w:type="dxa"/>
            <w:vMerge w:val="continue"/>
            <w:noWrap/>
            <w:vAlign w:val="center"/>
          </w:tcPr>
          <w:p>
            <w:pPr>
              <w:spacing w:line="280" w:lineRule="exact"/>
              <w:jc w:val="cente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洗手间灯饰</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每天保洁；每月用毛巾抹擦灯饰</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无蜘蛛网丝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restart"/>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61" w:type="dxa"/>
            <w:vMerge w:val="restart"/>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室外庭院部分</w:t>
            </w: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地面</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每天清扫二次、并随时保持干净、清除杂物</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无果皮、纸屑、烟蒂、痰渍等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rPr>
                <w:rFonts w:hint="eastAsia" w:ascii="宋体" w:hAnsi="宋体" w:eastAsia="宋体" w:cs="宋体"/>
                <w:color w:val="000000"/>
                <w:sz w:val="24"/>
                <w:szCs w:val="24"/>
              </w:rPr>
            </w:pPr>
          </w:p>
        </w:tc>
        <w:tc>
          <w:tcPr>
            <w:tcW w:w="861" w:type="dxa"/>
            <w:vMerge w:val="continue"/>
            <w:noWrap/>
            <w:vAlign w:val="center"/>
          </w:tcPr>
          <w:p>
            <w:pP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绿化带</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每天清除果皮、纸屑、烟蒂等杂物</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rPr>
                <w:rFonts w:hint="eastAsia" w:ascii="宋体" w:hAnsi="宋体" w:eastAsia="宋体" w:cs="宋体"/>
                <w:color w:val="000000"/>
                <w:sz w:val="24"/>
                <w:szCs w:val="24"/>
              </w:rPr>
            </w:pPr>
          </w:p>
        </w:tc>
        <w:tc>
          <w:tcPr>
            <w:tcW w:w="861" w:type="dxa"/>
            <w:vMerge w:val="continue"/>
            <w:noWrap/>
            <w:vAlign w:val="center"/>
          </w:tcPr>
          <w:p>
            <w:pP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指示牌</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每天整齐停放；每周清抹一次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restart"/>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61" w:type="dxa"/>
            <w:vMerge w:val="restart"/>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开水间</w:t>
            </w: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墙身</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每天保洁；每周清洗一次、除污渍</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rPr>
                <w:rFonts w:hint="eastAsia" w:ascii="宋体" w:hAnsi="宋体" w:eastAsia="宋体" w:cs="宋体"/>
                <w:color w:val="000000"/>
                <w:sz w:val="24"/>
                <w:szCs w:val="24"/>
              </w:rPr>
            </w:pPr>
          </w:p>
        </w:tc>
        <w:tc>
          <w:tcPr>
            <w:tcW w:w="861" w:type="dxa"/>
            <w:vMerge w:val="continue"/>
            <w:noWrap/>
            <w:vAlign w:val="center"/>
          </w:tcPr>
          <w:p>
            <w:pP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地面</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每天随时拖抹、保洁；每周用洁清剂清洗二次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rPr>
                <w:rFonts w:hint="eastAsia" w:ascii="宋体" w:hAnsi="宋体" w:eastAsia="宋体" w:cs="宋体"/>
                <w:color w:val="000000"/>
                <w:sz w:val="24"/>
                <w:szCs w:val="24"/>
              </w:rPr>
            </w:pPr>
          </w:p>
        </w:tc>
        <w:tc>
          <w:tcPr>
            <w:tcW w:w="861" w:type="dxa"/>
            <w:vMerge w:val="continue"/>
            <w:noWrap/>
            <w:vAlign w:val="center"/>
          </w:tcPr>
          <w:p>
            <w:pP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箱体</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每周清洗水箱1次，确保水箱内外清洁</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rPr>
                <w:rFonts w:hint="eastAsia" w:ascii="宋体" w:hAnsi="宋体" w:eastAsia="宋体" w:cs="宋体"/>
                <w:color w:val="000000"/>
                <w:sz w:val="24"/>
                <w:szCs w:val="24"/>
              </w:rPr>
            </w:pPr>
          </w:p>
        </w:tc>
        <w:tc>
          <w:tcPr>
            <w:tcW w:w="861" w:type="dxa"/>
            <w:vMerge w:val="continue"/>
            <w:noWrap/>
            <w:vAlign w:val="center"/>
          </w:tcPr>
          <w:p>
            <w:pP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电源</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每天早上、下午开关</w:t>
            </w:r>
          </w:p>
        </w:tc>
        <w:tc>
          <w:tcPr>
            <w:tcW w:w="2236" w:type="dxa"/>
            <w:noWrap/>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861"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其它</w:t>
            </w: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中控房、保安、电工房</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每天保洁一次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restart"/>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61" w:type="dxa"/>
            <w:vMerge w:val="restart"/>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道路公共设施</w:t>
            </w: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垃圾桶</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每天清倒垃圾、清抹表面一次；每周洗刷一次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干净、无污渍、无异味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rPr>
                <w:rFonts w:hint="eastAsia" w:ascii="宋体" w:hAnsi="宋体" w:eastAsia="宋体" w:cs="宋体"/>
                <w:color w:val="000000"/>
                <w:sz w:val="24"/>
                <w:szCs w:val="24"/>
              </w:rPr>
            </w:pPr>
          </w:p>
        </w:tc>
        <w:tc>
          <w:tcPr>
            <w:tcW w:w="861" w:type="dxa"/>
            <w:vMerge w:val="continue"/>
            <w:noWrap/>
            <w:vAlign w:val="top"/>
          </w:tcPr>
          <w:p>
            <w:pPr>
              <w:jc w:val="cente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路灯、园林灯等</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每两周清抹一次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无灰尘、蛛丝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vMerge w:val="continue"/>
            <w:noWrap/>
            <w:vAlign w:val="center"/>
          </w:tcPr>
          <w:p>
            <w:pPr>
              <w:rPr>
                <w:rFonts w:hint="eastAsia" w:ascii="宋体" w:hAnsi="宋体" w:eastAsia="宋体" w:cs="宋体"/>
                <w:color w:val="000000"/>
                <w:sz w:val="24"/>
                <w:szCs w:val="24"/>
              </w:rPr>
            </w:pPr>
          </w:p>
        </w:tc>
        <w:tc>
          <w:tcPr>
            <w:tcW w:w="861" w:type="dxa"/>
            <w:vMerge w:val="continue"/>
            <w:noWrap/>
            <w:vAlign w:val="top"/>
          </w:tcPr>
          <w:p>
            <w:pPr>
              <w:jc w:val="center"/>
              <w:rPr>
                <w:rFonts w:hint="eastAsia" w:ascii="宋体" w:hAnsi="宋体" w:eastAsia="宋体" w:cs="宋体"/>
                <w:color w:val="000000"/>
                <w:sz w:val="24"/>
                <w:szCs w:val="24"/>
              </w:rPr>
            </w:pPr>
          </w:p>
        </w:tc>
        <w:tc>
          <w:tcPr>
            <w:tcW w:w="241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标识牌</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每天保洁；每周清抹二次</w:t>
            </w:r>
          </w:p>
        </w:tc>
        <w:tc>
          <w:tcPr>
            <w:tcW w:w="2236"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无灰尘、蛛丝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271" w:type="dxa"/>
            <w:gridSpan w:val="2"/>
            <w:noWrap/>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天面、平台</w:t>
            </w:r>
          </w:p>
        </w:tc>
        <w:tc>
          <w:tcPr>
            <w:tcW w:w="3443"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每两周清抹二次</w:t>
            </w:r>
          </w:p>
        </w:tc>
        <w:tc>
          <w:tcPr>
            <w:tcW w:w="2236" w:type="dxa"/>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271" w:type="dxa"/>
            <w:gridSpan w:val="2"/>
            <w:noWrap/>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外墙、玻璃幕墙、玻璃屋顶</w:t>
            </w:r>
          </w:p>
        </w:tc>
        <w:tc>
          <w:tcPr>
            <w:tcW w:w="5679" w:type="dxa"/>
            <w:gridSpan w:val="2"/>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每年全面清洗一次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271" w:type="dxa"/>
            <w:gridSpan w:val="2"/>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会议室、接待室</w:t>
            </w:r>
          </w:p>
        </w:tc>
        <w:tc>
          <w:tcPr>
            <w:tcW w:w="5679" w:type="dxa"/>
            <w:gridSpan w:val="2"/>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全天不间断巡查，即时清理，及时关闭照明、空调、投影仪等设备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20" w:type="dxa"/>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271" w:type="dxa"/>
            <w:gridSpan w:val="2"/>
            <w:noWrap/>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不定期项目</w:t>
            </w:r>
          </w:p>
        </w:tc>
        <w:tc>
          <w:tcPr>
            <w:tcW w:w="5679" w:type="dxa"/>
            <w:gridSpan w:val="2"/>
            <w:noWrap/>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清扫积水、积雪、清理乱堆放物品、乱张贴，清运装修垃圾</w:t>
            </w:r>
          </w:p>
        </w:tc>
      </w:tr>
    </w:tbl>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（三）房屋及公用设施维修养护工作标准</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每天巡视检查，公共设施出现损坏及时修复，保持房屋外观完好、整洁，外墙面无脱落，无污迹，公共楼梯间扶手完好，梯灯正常，消防门启闭正常，无杂物乱堆放。公共卫生间和茶水间的洁具和设施完好、使用功能正常。负责组织对房屋外墙、楼梯间通道、屋面、上下水管道等房屋本体公用设施的定期养护和维修，并编制维修计划。</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2.机关大楼公共设施维护管理工作是：</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2.1.供水设施的日常运作、维修养护和水箱一季度清洗一次；</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2.2.公共排水等的清疏、维护；</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2.3.公共场所地面、道路及其它设施的保养和维修；</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2.4.消防栓、喷淋、防排烟设备、灭火器等消防设施的定期检测和养护。</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2.5.公共楼道灯、路灯、庭院灯等公共照明的维护和保养。</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3.工作标准</w:t>
      </w: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72"/>
        <w:gridCol w:w="2706"/>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737"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472"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  目</w:t>
            </w:r>
          </w:p>
        </w:tc>
        <w:tc>
          <w:tcPr>
            <w:tcW w:w="2706"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方  式</w:t>
            </w:r>
          </w:p>
        </w:tc>
        <w:tc>
          <w:tcPr>
            <w:tcW w:w="4655"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737"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72"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室内装修</w:t>
            </w:r>
          </w:p>
        </w:tc>
        <w:tc>
          <w:tcPr>
            <w:tcW w:w="270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用户报修</w:t>
            </w:r>
          </w:p>
        </w:tc>
        <w:tc>
          <w:tcPr>
            <w:tcW w:w="4655"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接报修后20分钟内到现场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37"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72"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各层卫生间、茶水间</w:t>
            </w:r>
          </w:p>
        </w:tc>
        <w:tc>
          <w:tcPr>
            <w:tcW w:w="270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每天检查1次、即坏即修</w:t>
            </w:r>
          </w:p>
        </w:tc>
        <w:tc>
          <w:tcPr>
            <w:tcW w:w="4655"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洁具和设施完好，使用功能正常，无滴漏，无堵塞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37"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72"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道路</w:t>
            </w:r>
          </w:p>
        </w:tc>
        <w:tc>
          <w:tcPr>
            <w:tcW w:w="270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每天检查1次、即坏即修</w:t>
            </w:r>
          </w:p>
        </w:tc>
        <w:tc>
          <w:tcPr>
            <w:tcW w:w="4655"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平整无积水、无缺损、完好率100%以上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737"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72"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楼梯及墙面</w:t>
            </w:r>
          </w:p>
        </w:tc>
        <w:tc>
          <w:tcPr>
            <w:tcW w:w="270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每周检查1次、即坏即修</w:t>
            </w:r>
          </w:p>
        </w:tc>
        <w:tc>
          <w:tcPr>
            <w:tcW w:w="4655"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整洁、无缺损，扶手完好，楼灯正常，无张贴痕迹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7"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72" w:type="dxa"/>
            <w:noWrap/>
            <w:vAlign w:val="center"/>
          </w:tcPr>
          <w:p>
            <w:pPr>
              <w:pStyle w:val="38"/>
              <w:pBdr>
                <w:bottom w:val="none" w:color="auto" w:sz="0" w:space="0"/>
              </w:pBdr>
              <w:tabs>
                <w:tab w:val="clear" w:pos="4153"/>
                <w:tab w:val="clear" w:pos="8306"/>
              </w:tabs>
              <w:snapToGrid/>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明暗沟</w:t>
            </w:r>
          </w:p>
        </w:tc>
        <w:tc>
          <w:tcPr>
            <w:tcW w:w="2706" w:type="dxa"/>
            <w:noWrap/>
            <w:vAlign w:val="center"/>
          </w:tcPr>
          <w:p>
            <w:pPr>
              <w:pStyle w:val="38"/>
              <w:pBdr>
                <w:bottom w:val="none" w:color="auto" w:sz="0" w:space="0"/>
              </w:pBdr>
              <w:tabs>
                <w:tab w:val="clear" w:pos="4153"/>
                <w:tab w:val="clear" w:pos="8306"/>
              </w:tabs>
              <w:snapToGrid/>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每周检查1次</w:t>
            </w:r>
          </w:p>
        </w:tc>
        <w:tc>
          <w:tcPr>
            <w:tcW w:w="4655"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畅通、无积水、无尘土、无塌陷、无鼠洞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37"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72"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污水管</w:t>
            </w:r>
          </w:p>
        </w:tc>
        <w:tc>
          <w:tcPr>
            <w:tcW w:w="270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每月检查1次</w:t>
            </w:r>
          </w:p>
        </w:tc>
        <w:tc>
          <w:tcPr>
            <w:tcW w:w="4655"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无堵、少污积、无外溢</w:t>
            </w:r>
          </w:p>
        </w:tc>
      </w:tr>
    </w:tbl>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（四）机电设备的维修养护标准</w:t>
      </w:r>
    </w:p>
    <w:p>
      <w:pPr>
        <w:spacing w:line="440" w:lineRule="exact"/>
        <w:ind w:firstLine="480" w:firstLineChars="200"/>
        <w:rPr>
          <w:rFonts w:hint="eastAsia" w:ascii="宋体" w:hAnsi="宋体" w:eastAsia="宋体" w:cs="宋体"/>
          <w:b/>
          <w:bCs/>
          <w:color w:val="000000"/>
          <w:sz w:val="24"/>
          <w:lang w:val="en-US" w:eastAsia="zh-CN"/>
        </w:rPr>
      </w:pPr>
      <w:r>
        <w:rPr>
          <w:rFonts w:hint="eastAsia" w:ascii="宋体" w:hAnsi="宋体" w:eastAsia="宋体" w:cs="宋体"/>
          <w:color w:val="000000"/>
          <w:sz w:val="24"/>
          <w:lang w:val="en-US" w:eastAsia="zh-CN"/>
        </w:rPr>
        <w:t>★1.水电技术人员人数：不少于2人。</w:t>
      </w:r>
      <w:r>
        <w:rPr>
          <w:rFonts w:hint="eastAsia" w:ascii="宋体" w:hAnsi="宋体" w:eastAsia="宋体" w:cs="宋体"/>
          <w:b/>
          <w:bCs/>
          <w:color w:val="000000"/>
          <w:sz w:val="24"/>
          <w:lang w:val="en-US" w:eastAsia="zh-CN"/>
        </w:rPr>
        <w:t>投标时应提供至少1名人员的特种作业操作证（作业类别：电工作业）和电工进网作业许可证（作业类别：高压）。</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水电技术人员年龄不超过45周岁。中标后，所有水电技术人员要求经相关培训后持特种作业操作证（作业类别：电工作业）上岗，其中至少1人须同时持电工进网作业许可证（作业类别：高压）上岗。机电设备日常维护管理的内容有：供配电系统24小时专人值班守护，运行记录、清除框内外灰尘、污垢，机房保洁，按维修保养计划定期保养，保持良好的备用状态。</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3.高低配电系统维修养护计划和标准：</w:t>
      </w: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09"/>
        <w:gridCol w:w="3271"/>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4"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309"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保养周期</w:t>
            </w:r>
          </w:p>
        </w:tc>
        <w:tc>
          <w:tcPr>
            <w:tcW w:w="3271"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保养内容</w:t>
            </w:r>
          </w:p>
        </w:tc>
        <w:tc>
          <w:tcPr>
            <w:tcW w:w="4316"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4"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09"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日常保养</w:t>
            </w:r>
          </w:p>
        </w:tc>
        <w:tc>
          <w:tcPr>
            <w:tcW w:w="3271"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高低压配电室清洁；检查仪表、指示灯是否正常；检查变压器外观、运行温度和噪音</w:t>
            </w:r>
          </w:p>
        </w:tc>
        <w:tc>
          <w:tcPr>
            <w:tcW w:w="4316" w:type="dxa"/>
            <w:noWrap/>
            <w:vAlign w:val="center"/>
          </w:tcPr>
          <w:p>
            <w:pPr>
              <w:pStyle w:val="53"/>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室内环境整洁；配电柜内外无杂物和污物；电缆沟线无积水；仪表指示灯显示正常。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4"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09"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每周保养</w:t>
            </w:r>
          </w:p>
        </w:tc>
        <w:tc>
          <w:tcPr>
            <w:tcW w:w="3271"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检查配电元件和线路连接</w:t>
            </w:r>
          </w:p>
        </w:tc>
        <w:tc>
          <w:tcPr>
            <w:tcW w:w="4316"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元件和线路表面完好无损，压接良好。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4"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09"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每月保养</w:t>
            </w:r>
          </w:p>
        </w:tc>
        <w:tc>
          <w:tcPr>
            <w:tcW w:w="3271"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检查井道内电缆、切换箱、T接箱和控制箱；检查变压器测温报警系统及通风系统。</w:t>
            </w:r>
          </w:p>
        </w:tc>
        <w:tc>
          <w:tcPr>
            <w:tcW w:w="4316"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井道内清洁干燥；电缆表面完好，标号牌齐全，接地良好；各种控制箱应完好、清洁；操作良好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74"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09"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每季保养</w:t>
            </w:r>
          </w:p>
        </w:tc>
        <w:tc>
          <w:tcPr>
            <w:tcW w:w="3271"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低压配电柜箱内元件检查、清洁（每二季一次）</w:t>
            </w:r>
          </w:p>
        </w:tc>
        <w:tc>
          <w:tcPr>
            <w:tcW w:w="4316"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柜内无灰尘污物，螺丝坚固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74"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309"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每年保养</w:t>
            </w:r>
          </w:p>
        </w:tc>
        <w:tc>
          <w:tcPr>
            <w:tcW w:w="3271"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预防性试验（每二年一次）</w:t>
            </w:r>
          </w:p>
        </w:tc>
        <w:tc>
          <w:tcPr>
            <w:tcW w:w="4316"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参照GB50150-91标准要求</w:t>
            </w:r>
          </w:p>
        </w:tc>
      </w:tr>
    </w:tbl>
    <w:p>
      <w:pPr>
        <w:spacing w:line="440" w:lineRule="exact"/>
        <w:ind w:firstLine="480" w:firstLineChars="200"/>
        <w:rPr>
          <w:rFonts w:hint="eastAsia" w:ascii="宋体" w:hAnsi="宋体" w:eastAsia="宋体" w:cs="宋体"/>
          <w:color w:val="000000"/>
          <w:sz w:val="24"/>
          <w:lang w:val="en-US" w:eastAsia="zh-CN"/>
        </w:rPr>
      </w:pP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4.给水系统（包括消防水系统等系统）维修养护计划和标准</w:t>
      </w: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96"/>
        <w:gridCol w:w="3526"/>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86" w:type="dxa"/>
            <w:noWrap/>
            <w:vAlign w:val="top"/>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96"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保养周期</w:t>
            </w:r>
          </w:p>
        </w:tc>
        <w:tc>
          <w:tcPr>
            <w:tcW w:w="3526"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保养内容</w:t>
            </w:r>
          </w:p>
        </w:tc>
        <w:tc>
          <w:tcPr>
            <w:tcW w:w="4062" w:type="dxa"/>
            <w:noWrap/>
            <w:vAlign w:val="center"/>
          </w:tcPr>
          <w:p>
            <w:pPr>
              <w:spacing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9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日常巡查</w:t>
            </w:r>
          </w:p>
        </w:tc>
        <w:tc>
          <w:tcPr>
            <w:tcW w:w="3526"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检查水泵外观、运行温度压力和声音；水泵、阀门和管道有无锈蚀和渗漏。</w:t>
            </w:r>
          </w:p>
        </w:tc>
        <w:tc>
          <w:tcPr>
            <w:tcW w:w="4062"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水泵、阀门和管道表面无污物、无锈蚀和无渗漏；管道压力正常、水泵运行无异常噪声。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96" w:type="dxa"/>
            <w:noWrap/>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每日巡查</w:t>
            </w:r>
          </w:p>
        </w:tc>
        <w:tc>
          <w:tcPr>
            <w:tcW w:w="3526"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生活水泵轮换运行；消防栓、水泵接合器；喷淋管道的阀是否打开。</w:t>
            </w:r>
          </w:p>
        </w:tc>
        <w:tc>
          <w:tcPr>
            <w:tcW w:w="4062" w:type="dxa"/>
            <w:noWrap/>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用电用火有无违章情况；消防设施、器材和消防安全标志是否在位、完整；常闭式防火门是否处于关闭状态，防火卷帘门下是否堆放物品影响使用。</w:t>
            </w:r>
          </w:p>
        </w:tc>
      </w:tr>
    </w:tbl>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（五）保安岗位额定人数、服务规范及职责</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★1.保安岗位额定人数：不少于</w:t>
      </w:r>
      <w:r>
        <w:rPr>
          <w:rFonts w:hint="default" w:ascii="宋体" w:hAnsi="宋体" w:cs="宋体"/>
          <w:color w:val="000000"/>
          <w:sz w:val="24"/>
          <w:lang w:val="en-US" w:eastAsia="zh-CN"/>
        </w:rPr>
        <w:t>8</w:t>
      </w:r>
      <w:r>
        <w:rPr>
          <w:rFonts w:hint="eastAsia" w:ascii="宋体" w:hAnsi="宋体" w:eastAsia="宋体" w:cs="宋体"/>
          <w:color w:val="000000"/>
          <w:sz w:val="24"/>
          <w:lang w:val="en-US" w:eastAsia="zh-CN"/>
        </w:rPr>
        <w:t>人(包括门卫</w:t>
      </w:r>
      <w:r>
        <w:rPr>
          <w:rFonts w:hint="default" w:ascii="宋体" w:hAnsi="宋体" w:cs="宋体"/>
          <w:color w:val="000000"/>
          <w:sz w:val="24"/>
          <w:lang w:val="en-US" w:eastAsia="zh-CN"/>
        </w:rPr>
        <w:t>4</w:t>
      </w:r>
      <w:r>
        <w:rPr>
          <w:rFonts w:hint="eastAsia" w:ascii="宋体" w:hAnsi="宋体" w:eastAsia="宋体" w:cs="宋体"/>
          <w:color w:val="000000"/>
          <w:sz w:val="24"/>
          <w:lang w:val="en-US" w:eastAsia="zh-CN"/>
        </w:rPr>
        <w:t>人，门口值班保安4人)。</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2.保安员年龄不超过45周岁（门卫可放宽至55周岁）。中标后，保安人员应按有关规定持证上岗，在岗人员要求全部持有上岗证，新招聘人员要求有1个月内取得上岗证。相应培训费用由中标单位负责。</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3.保安岗位服务规范及职责</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3.1.街道机关大院实行24小时值班、巡逻服务</w:t>
      </w:r>
      <w:r>
        <w:rPr>
          <w:rFonts w:hint="eastAsia" w:ascii="宋体" w:hAnsi="宋体" w:cs="宋体"/>
          <w:color w:val="000000"/>
          <w:sz w:val="24"/>
          <w:lang w:val="en-US" w:eastAsia="zh-CN"/>
        </w:rPr>
        <w:t>，监控中心</w:t>
      </w:r>
      <w:r>
        <w:rPr>
          <w:rFonts w:hint="default" w:ascii="宋体" w:hAnsi="宋体" w:cs="宋体"/>
          <w:color w:val="000000"/>
          <w:sz w:val="24"/>
          <w:lang w:val="en-US" w:eastAsia="zh-CN"/>
        </w:rPr>
        <w:t>24</w:t>
      </w:r>
      <w:r>
        <w:rPr>
          <w:rFonts w:hint="eastAsia" w:ascii="宋体" w:hAnsi="宋体" w:cs="宋体"/>
          <w:color w:val="000000"/>
          <w:sz w:val="24"/>
          <w:lang w:val="en-US" w:eastAsia="zh-CN"/>
        </w:rPr>
        <w:t>小时值班</w:t>
      </w:r>
      <w:r>
        <w:rPr>
          <w:rFonts w:hint="eastAsia" w:ascii="宋体" w:hAnsi="宋体" w:eastAsia="宋体" w:cs="宋体"/>
          <w:color w:val="000000"/>
          <w:sz w:val="24"/>
          <w:lang w:val="en-US" w:eastAsia="zh-CN"/>
        </w:rPr>
        <w:t>。</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3.2.认真做好进出人员登记工作，并做好交接工作。</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3.3.注意可疑人员所携带物品，仔细询问，发现情况及时汇报。</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3.4.来车时主动上前，引导车辆有序停放，保持道路畅通。</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3.5.巡逻人员要定时定点查看，对重要部门、要害部位要勤查看，做好巡更记录。节假日、夜间巡逻时，增加巡逻次数。</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3.6.巡逻时要注意发现可疑人员及可疑情况，发现反常或意外情况，除及时向领导报告外，要采取必要措施以防止火灾事故及破坏行为的发生。发现偷盗、闹事、斗殴、凶杀、放火、投毒、爆炸等犯罪分子，要坚决果断地采取措施，力争抓获犯罪分子。</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3.7.若发现盗窃、凶案、火灾、投毒、损毁财物，以及一切有现场的案件或事件，要妥善保护好现场，迅速上报并积极协助调查。</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3.8.巡逻人员应熟练掌握灭火常识，会使用消防器材，对初起火灾能及时扑灭。</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（六）总体要求：</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1.房屋及公共配套设施完好率100%。</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2.管理区域内无重大火灾、刑事和交通事故。</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3.管理区域内卫生、消毒满意率达100%。</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4.房屋及日常设备零修、急修及时率达100%。</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5.进出人员登记制度落实到位。</w:t>
      </w:r>
    </w:p>
    <w:p>
      <w:pPr>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6.车辆管理有序，保证行车和车辆安全。</w:t>
      </w:r>
    </w:p>
    <w:p>
      <w:pPr>
        <w:spacing w:line="440" w:lineRule="exact"/>
        <w:ind w:firstLine="480" w:firstLineChars="200"/>
        <w:rPr>
          <w:rFonts w:hint="eastAsia"/>
        </w:rPr>
      </w:pPr>
      <w:r>
        <w:rPr>
          <w:rFonts w:hint="eastAsia" w:ascii="宋体" w:hAnsi="宋体" w:eastAsia="宋体" w:cs="宋体"/>
          <w:color w:val="000000"/>
          <w:sz w:val="24"/>
          <w:lang w:val="en-US" w:eastAsia="zh-CN"/>
        </w:rPr>
        <w:t>7.通过义乌市及上级相关部门组织的安保及保洁、消防、除四害、雨污分流等有关考核工作。</w:t>
      </w:r>
    </w:p>
    <w:bookmarkEnd w:id="86"/>
    <w:p>
      <w:pPr>
        <w:pStyle w:val="6"/>
        <w:widowControl w:val="0"/>
        <w:numPr>
          <w:ilvl w:val="1"/>
          <w:numId w:val="0"/>
        </w:numPr>
        <w:spacing w:before="120" w:after="120" w:line="400" w:lineRule="exact"/>
        <w:rPr>
          <w:rFonts w:hint="default" w:ascii="Times New Roman" w:hAnsi="Times New Roman" w:eastAsia="宋体"/>
          <w:sz w:val="28"/>
          <w:szCs w:val="28"/>
          <w:highlight w:val="none"/>
          <w:lang w:val="en-US" w:eastAsia="zh-CN"/>
        </w:rPr>
      </w:pPr>
      <w:r>
        <w:rPr>
          <w:rFonts w:hint="eastAsia" w:ascii="Times New Roman" w:hAnsi="Times New Roman" w:eastAsia="宋体"/>
          <w:sz w:val="28"/>
          <w:szCs w:val="28"/>
          <w:highlight w:val="none"/>
          <w:lang w:val="en-US" w:eastAsia="zh-CN"/>
        </w:rPr>
        <w:t>五、考核标准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eastAsia="宋体"/>
          <w:lang w:eastAsia="zh-CN"/>
        </w:rPr>
      </w:pPr>
      <w:r>
        <w:rPr>
          <w:rFonts w:hint="eastAsia" w:ascii="宋体" w:hAnsi="宋体"/>
        </w:rPr>
        <w:t>为了给工作人员创造一个良好的工作环境，按合同的有关要求和标准，特制订物业服务质量考核评分标准</w:t>
      </w:r>
      <w:r>
        <w:rPr>
          <w:rFonts w:hint="eastAsia" w:ascii="宋体" w:hAnsi="宋体"/>
          <w:lang w:eastAsia="zh-CN"/>
        </w:rPr>
        <w:t>（</w:t>
      </w:r>
      <w:r>
        <w:rPr>
          <w:rFonts w:hint="eastAsia" w:ascii="宋体" w:hAnsi="宋体"/>
          <w:lang w:val="en-US" w:eastAsia="zh-CN"/>
        </w:rPr>
        <w:t>详见附件</w:t>
      </w:r>
      <w:r>
        <w:rPr>
          <w:rFonts w:hint="eastAsia" w:ascii="宋体" w:hAnsi="宋体"/>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安保及保洁</w:t>
      </w:r>
      <w:r>
        <w:rPr>
          <w:rFonts w:hint="eastAsia" w:ascii="宋体" w:hAnsi="宋体" w:eastAsia="宋体" w:cs="宋体"/>
          <w:color w:val="000000"/>
          <w:sz w:val="24"/>
          <w:szCs w:val="24"/>
        </w:rPr>
        <w:t>考核</w:t>
      </w:r>
      <w:r>
        <w:rPr>
          <w:rFonts w:hint="eastAsia" w:ascii="宋体" w:hAnsi="宋体" w:eastAsia="宋体" w:cs="宋体"/>
          <w:color w:val="000000"/>
          <w:sz w:val="24"/>
          <w:szCs w:val="24"/>
          <w:lang w:val="en-US" w:eastAsia="zh-CN"/>
        </w:rPr>
        <w:t>内容</w:t>
      </w:r>
      <w:r>
        <w:rPr>
          <w:rFonts w:hint="eastAsia" w:ascii="宋体" w:hAnsi="宋体" w:cs="宋体"/>
          <w:color w:val="000000"/>
          <w:sz w:val="24"/>
          <w:szCs w:val="24"/>
          <w:lang w:val="en-US" w:eastAsia="zh-CN"/>
        </w:rPr>
        <w:t>及方法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color w:val="000000"/>
          <w:sz w:val="24"/>
          <w:lang w:val="en-US" w:eastAsia="zh-CN"/>
        </w:rPr>
        <w:t>安保及保洁</w:t>
      </w:r>
      <w:r>
        <w:rPr>
          <w:rFonts w:hint="eastAsia" w:ascii="宋体" w:hAnsi="宋体" w:eastAsia="宋体" w:cs="宋体"/>
          <w:color w:val="000000"/>
          <w:sz w:val="24"/>
          <w:szCs w:val="24"/>
        </w:rPr>
        <w:t>服务工作的考核严格按照</w:t>
      </w:r>
      <w:r>
        <w:rPr>
          <w:rFonts w:hint="eastAsia" w:ascii="宋体" w:hAnsi="宋体"/>
        </w:rPr>
        <w:t>《</w:t>
      </w:r>
      <w:r>
        <w:rPr>
          <w:rFonts w:hint="eastAsia" w:ascii="宋体" w:hAnsi="宋体"/>
          <w:lang w:val="en-US" w:eastAsia="zh-CN"/>
        </w:rPr>
        <w:t>义乌市城西街道办事处</w:t>
      </w:r>
      <w:r>
        <w:rPr>
          <w:rFonts w:hint="default" w:ascii="宋体" w:hAnsi="宋体"/>
          <w:lang w:val="en-US" w:eastAsia="zh-CN"/>
        </w:rPr>
        <w:t>6</w:t>
      </w:r>
      <w:r>
        <w:rPr>
          <w:rFonts w:hint="eastAsia" w:ascii="宋体" w:hAnsi="宋体"/>
          <w:lang w:val="en-US" w:eastAsia="zh-CN"/>
        </w:rPr>
        <w:t>个办公区安保及保洁</w:t>
      </w:r>
      <w:r>
        <w:rPr>
          <w:rFonts w:hint="eastAsia" w:ascii="宋体" w:hAnsi="宋体"/>
        </w:rPr>
        <w:t>满意度考核测评表》</w:t>
      </w:r>
      <w:r>
        <w:rPr>
          <w:rFonts w:hint="eastAsia" w:ascii="宋体" w:hAnsi="宋体" w:eastAsia="宋体" w:cs="宋体"/>
          <w:color w:val="000000"/>
          <w:sz w:val="24"/>
          <w:szCs w:val="24"/>
        </w:rPr>
        <w:t>进行。分两块内容进行考核: 一块是街道领导、党政办、监督小组、科室管理人员及重要岗位人员对日常</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工作的考核; 另一块是各科室管理人员及重要岗位人员以一个科室、区域等为打分单位,每个月对</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工作满意度进行的考核测评,总分100分，要求高于85分（包括85分）, 如果测评低于85分，每分扣200元。</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rPr>
      </w:pPr>
      <w:r>
        <w:rPr>
          <w:rFonts w:hint="default" w:ascii="宋体" w:hAnsi="宋体"/>
          <w:lang w:val="en-US"/>
        </w:rPr>
        <w:t>2.</w:t>
      </w:r>
      <w:r>
        <w:rPr>
          <w:rFonts w:hint="eastAsia" w:ascii="宋体" w:hAnsi="宋体"/>
        </w:rPr>
        <w:t>考核标准：《</w:t>
      </w:r>
      <w:r>
        <w:rPr>
          <w:rFonts w:hint="eastAsia" w:ascii="宋体" w:hAnsi="宋体"/>
          <w:lang w:val="en-US" w:eastAsia="zh-CN"/>
        </w:rPr>
        <w:t>义乌市城西街道办事处</w:t>
      </w:r>
      <w:r>
        <w:rPr>
          <w:rFonts w:hint="default" w:ascii="宋体" w:hAnsi="宋体"/>
          <w:lang w:val="en-US" w:eastAsia="zh-CN"/>
        </w:rPr>
        <w:t>6</w:t>
      </w:r>
      <w:r>
        <w:rPr>
          <w:rFonts w:hint="eastAsia" w:ascii="宋体" w:hAnsi="宋体"/>
          <w:lang w:val="en-US" w:eastAsia="zh-CN"/>
        </w:rPr>
        <w:t>个办公区安保及保洁</w:t>
      </w:r>
      <w:r>
        <w:rPr>
          <w:rFonts w:hint="eastAsia" w:ascii="宋体" w:hAnsi="宋体"/>
        </w:rPr>
        <w:t>满意度考核测评表》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b/>
          <w:bCs/>
        </w:rPr>
      </w:pPr>
      <w:r>
        <w:rPr>
          <w:rFonts w:hint="eastAsia" w:ascii="宋体" w:hAnsi="宋体"/>
        </w:rPr>
        <w:t>物业服务质量</w:t>
      </w:r>
      <w:r>
        <w:rPr>
          <w:rFonts w:hint="eastAsia" w:ascii="宋体" w:hAnsi="宋体"/>
          <w:lang w:val="en-US" w:eastAsia="zh-CN"/>
        </w:rPr>
        <w:t>每月</w:t>
      </w:r>
      <w:r>
        <w:rPr>
          <w:rFonts w:hint="eastAsia" w:ascii="宋体" w:hAnsi="宋体"/>
        </w:rPr>
        <w:t>满意度考核测评分应达到</w:t>
      </w:r>
      <w:r>
        <w:rPr>
          <w:rFonts w:ascii="宋体" w:hAnsi="宋体"/>
        </w:rPr>
        <w:t>85</w:t>
      </w:r>
      <w:r>
        <w:rPr>
          <w:rFonts w:hint="eastAsia" w:ascii="宋体" w:hAnsi="宋体"/>
        </w:rPr>
        <w:t>分以上，若未达标，则按合同有关规定处罚</w:t>
      </w:r>
      <w:r>
        <w:rPr>
          <w:rFonts w:hint="eastAsia" w:ascii="宋体" w:hAnsi="宋体"/>
          <w:b/>
          <w:bCs/>
        </w:rPr>
        <w:t>（</w:t>
      </w:r>
      <w:r>
        <w:rPr>
          <w:rFonts w:hint="eastAsia" w:ascii="宋体" w:hAnsi="宋体" w:eastAsia="宋体" w:cs="宋体"/>
          <w:b/>
          <w:bCs/>
          <w:color w:val="000000"/>
          <w:sz w:val="24"/>
          <w:szCs w:val="24"/>
        </w:rPr>
        <w:t>详见</w:t>
      </w:r>
      <w:r>
        <w:rPr>
          <w:rFonts w:hint="eastAsia" w:ascii="宋体" w:hAnsi="宋体" w:cs="宋体"/>
          <w:b/>
          <w:bCs/>
          <w:color w:val="000000"/>
          <w:sz w:val="24"/>
          <w:szCs w:val="24"/>
          <w:lang w:val="en-US" w:eastAsia="zh-CN"/>
        </w:rPr>
        <w:t>第三章第五条考核标准</w:t>
      </w:r>
      <w:r>
        <w:rPr>
          <w:rFonts w:hint="eastAsia" w:ascii="宋体" w:hAnsi="宋体"/>
          <w:b/>
          <w:bCs/>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一）员工管理基本要求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1.明确职责，服从政府机关监督及相关科室有关人员的管理。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2.上班必须统一着装，服装整洁、清爽，佩证上岗。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3.上班不迟到、不早退，工作时间内不得擅自离岗，做其他与工作无关的事情。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4.工作场所，不得会客、带小孩或住宿。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5.工作中，不得有影响政府机关的行为，如挥弄作业工具、闲聊、吵架等。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6.不得损坏政府机关财物及盗取政府机关废品。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7.不收受捐赠人的钱、物和礼品。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8.员工相对固定，如有调动必须提早与政府机关协商，并每月汇报给管理部门。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9.不能胜任本职工作或发现有严重违规现象，政府机关、科室管理人员及相关岗位人员可以随时与</w:t>
      </w:r>
      <w:r>
        <w:rPr>
          <w:rFonts w:hint="eastAsia" w:ascii="宋体" w:hAnsi="宋体" w:eastAsia="宋体" w:cs="宋体"/>
          <w:color w:val="000000"/>
          <w:sz w:val="24"/>
          <w:szCs w:val="24"/>
          <w:lang w:val="en-US" w:eastAsia="zh-CN"/>
        </w:rPr>
        <w:t>乙</w:t>
      </w:r>
      <w:r>
        <w:rPr>
          <w:rFonts w:hint="eastAsia" w:ascii="宋体" w:hAnsi="宋体" w:eastAsia="宋体" w:cs="宋体"/>
          <w:color w:val="000000"/>
          <w:sz w:val="24"/>
          <w:szCs w:val="24"/>
        </w:rPr>
        <w:t>方联系，提出对员工重新培训、调换或建议辞退人员。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10.对待家属或办事人员要有同情心，态度和蔼，不得与他人争。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11.员工身体健康、相对年轻、有一定适应工作的文化。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b/>
          <w:bCs/>
        </w:rPr>
      </w:pPr>
      <w:r>
        <w:rPr>
          <w:rFonts w:hint="eastAsia" w:ascii="宋体" w:hAnsi="宋体" w:eastAsia="宋体" w:cs="宋体"/>
          <w:color w:val="000000"/>
          <w:sz w:val="24"/>
          <w:szCs w:val="24"/>
        </w:rPr>
        <w:t>12.具备良好的职业道德，维护政府机关的形象，不违规泄露政府机关工作的任何信息、资料、数据。</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lang w:eastAsia="zh-CN"/>
        </w:rPr>
        <w:t>（</w:t>
      </w:r>
      <w:r>
        <w:rPr>
          <w:rFonts w:hint="eastAsia" w:ascii="宋体" w:hAnsi="宋体" w:eastAsia="宋体" w:cs="宋体"/>
          <w:color w:val="000000"/>
          <w:sz w:val="24"/>
          <w:szCs w:val="24"/>
        </w:rPr>
        <w:t>二）</w:t>
      </w:r>
      <w:r>
        <w:rPr>
          <w:rFonts w:hint="eastAsia" w:ascii="宋体" w:hAnsi="宋体" w:eastAsia="宋体" w:cs="宋体"/>
          <w:b w:val="0"/>
          <w:bCs w:val="0"/>
          <w:color w:val="000000"/>
          <w:sz w:val="24"/>
          <w:szCs w:val="24"/>
        </w:rPr>
        <w:t>员工队伍</w:t>
      </w:r>
      <w:r>
        <w:rPr>
          <w:rFonts w:hint="eastAsia" w:ascii="宋体" w:hAnsi="宋体" w:eastAsia="宋体" w:cs="宋体"/>
          <w:b w:val="0"/>
          <w:bCs w:val="0"/>
          <w:color w:val="000000"/>
          <w:sz w:val="24"/>
          <w:szCs w:val="24"/>
          <w:lang w:val="en-US" w:eastAsia="zh-CN"/>
        </w:rPr>
        <w:t>的</w:t>
      </w:r>
      <w:r>
        <w:rPr>
          <w:rFonts w:hint="eastAsia" w:ascii="宋体" w:hAnsi="宋体" w:eastAsia="宋体" w:cs="宋体"/>
          <w:b w:val="0"/>
          <w:bCs w:val="0"/>
          <w:color w:val="000000"/>
          <w:sz w:val="24"/>
          <w:szCs w:val="24"/>
        </w:rPr>
        <w:t>管理</w:t>
      </w:r>
      <w:r>
        <w:rPr>
          <w:rFonts w:hint="eastAsia" w:ascii="宋体" w:hAnsi="宋体" w:eastAsia="宋体" w:cs="宋体"/>
          <w:b w:val="0"/>
          <w:bCs w:val="0"/>
          <w:color w:val="000000"/>
          <w:sz w:val="24"/>
          <w:szCs w:val="24"/>
          <w:lang w:val="en-US" w:eastAsia="zh-CN"/>
        </w:rPr>
        <w:t>办法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1.员工迟到、早退、串岗、上班时间不穿工作服、不佩戴工作证、穿拖鞋、背心、粗言秽语的每人每次扣10元。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2.岗位聚堆聊天、打闹、打架的，每人每次扣50元；吵架斗殴严重的报公安部门处理。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3.员工车辆未按规定停放，发现一次扣20元。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4.员工损坏政府机关财物的，按实价赔偿。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5.员工在工作期间吸烟的，每人每次扣20元。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6.遗忘关水龙头、关灯的，每次扣20元。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7.员工将垃圾杂物扫进阴沟地漏的，在确认的情况下每人每次扣20元。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8.服务态度不良投诉，查实后每次扣50元。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9.各岗擅自离岗、脱岗、溜岗、睡岗，发现一次扣50元。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10.每天高峰期座岗的，发现一次扣30元；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11.员工缺岗的，经查实，每天扣150元。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12.员工在政府机关内住宿的，经查实，每次扣300元，如强行撬锁入住的加倍处罚，并建议开除违规员工。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13.员工违规盗卖物品，经查实，每次扣500元，并建议公司开除违规员工。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14.主管工作日每天要对自己分管的服务区域服务质量进行巡检督查并有书面记录，发现一天未巡检督查没有书面记录，每次扣50元。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15.对通道、大厅、公共区域及室内的瓷砖地面要求每周抛光打蜡一次，保持地面光亮、整洁，每漏做一次扣1000元。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16.领班不能以身作则的执行部门的规章制度，一次扣罚20元；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17.主管领班没有半小时一次联系巡查员和没有监督巡查质量的，一次扣罚20元；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（三）室内、大厅、通道</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1.地面无垃圾、无积水、无油渍、角落无蜘蛛网、各灯罩内无积灰、无死虫、发现一次不合格扣10元。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2.休息椅，垃圾筒、指示牌、整齐清洁、发现一处不合格扣10 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3.定期对各门窗户墙面，地面、扶手、栏杆、楼梯角落等进行保洁、清扫高处的保洁区域、发现一处不合格扣10元。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4.各窗户、门框、无污渍、无手印、无积灰、发现一处不合格扣10元。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5.公共电话、电视机上方无明显的灰尘、发现一处不合格扣10元。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6.天花板、挂牌目视无灰尘、无蜘蛛网、灯罩内无积灰、发现一处不合格扣10元。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（四）卫生间：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1.小便池和便坑每天循环检查、做到无黄渍、无臭味、内外光亮、白天有檀香、发现一处不合格扣10元。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2.地面无积水、无垃圾、无污渍、小便器内有樟脑丸，发现一处不合格扣10元。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3.垃圾筒、手纸篓的垃圾不溢出、发现一处不合格扣10元。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4.卫生间顶灯、灯罩、顶部无灰尘、无蜘蛛网、发现一处不合格扣10元。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5.厕所镜面无污渍、无手印，洗手池、水龙头清洁、发现一处不合格扣10元。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（五）车道、停车场、屋顶：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1.阴沟及道路无碎石、渣、尘土、泥沙、无粪便、无垃圾、烟蒂、无积水、无卫生死角。发现一处不合格扣10元。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2.各花卉、植物盆内无垃圾、无烟头、无点香、无烧纸发现一处不合格扣10元。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3.垃圾筒、楼梯扶手、栏杆、无明显灰尘、发现一处不合格扣10元。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（六）保安、消防</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1.巡查员两人站横排，对讲机声音大，乘坐电梯的，没有按照巡查路线的，每项每次罚款10元。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2.确保街道机关大院内外畅通无阻，造成交通阻塞，发现一次扣100元。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区域内发生重大事件，保安没有发现的，一次罚款100元。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4.发生突发事件保安、</w:t>
      </w:r>
      <w:r>
        <w:rPr>
          <w:rFonts w:hint="eastAsia" w:ascii="宋体" w:hAnsi="宋体"/>
          <w:color w:val="000000"/>
          <w:sz w:val="24"/>
          <w:lang w:val="en-US" w:eastAsia="zh-CN"/>
        </w:rPr>
        <w:t>安保及保洁</w:t>
      </w:r>
      <w:r>
        <w:rPr>
          <w:rFonts w:hint="eastAsia" w:ascii="宋体" w:hAnsi="宋体" w:eastAsia="宋体" w:cs="宋体"/>
          <w:color w:val="000000"/>
          <w:sz w:val="24"/>
          <w:szCs w:val="24"/>
        </w:rPr>
        <w:t>主管没有第一时间赶到处理、没有控制事态发展的，一次扣罚20元。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5.保安员盗窃政府机关和员工财产的，除赔偿损失外，每次扣500元，并建议公司开除违规员工。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（七）其它：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1.各</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工具物品摆放整齐，不杂乱，发现一处不合格扣10元。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2.政府机关内的蚊蝇、蟑螂、老鼠密度不得高于国家标准，发现一处不合格扣30元。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3.区域内墙面等处贴有牛皮癣或碎纸屑的，发现一处不合格扣10元。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4.为加强消防安全隐患管理，公共场所发现一个烟头扣10元。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5.在日常</w:t>
      </w:r>
      <w:r>
        <w:rPr>
          <w:rFonts w:hint="eastAsia" w:ascii="宋体" w:hAnsi="宋体"/>
          <w:color w:val="000000"/>
          <w:sz w:val="24"/>
          <w:lang w:val="en-US" w:eastAsia="zh-CN"/>
        </w:rPr>
        <w:t>安保及保洁</w:t>
      </w:r>
      <w:r>
        <w:rPr>
          <w:rFonts w:hint="eastAsia" w:ascii="宋体" w:hAnsi="宋体" w:eastAsia="宋体" w:cs="宋体"/>
          <w:color w:val="000000"/>
          <w:sz w:val="24"/>
          <w:szCs w:val="24"/>
        </w:rPr>
        <w:t>管理中、未对员工进行安全意识，安全技能的培训从而造成事故的，所有损失由公司承担。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6.上级部门或领导来街道考核检查、参观时因环境卫生不佳被点名批评的，每次扣500元。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工作因服务不好，被办事人员或家属投拆到市长信箱、96150或被发帖举报产生舆情的，经查实每次扣500元。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工作因服务不好，被街道领导点名批评的，每次扣1000元。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工作因服务不好，被市创建办通报批评或市级以上领导点名批评的，每次扣2000元。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10.违反劳动法规定，引起劳动纠纷，给街道造成较大负面影响的每次扣500元。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工作配备专业的洗地工具和扫地工具，发现未配备或未使用专业的洗地工具和扫地工具的，每次扣500元/台。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12.接到整改通知单二天内没有整改到位的，每次扣200元。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13.因</w:t>
      </w:r>
      <w:r>
        <w:rPr>
          <w:rFonts w:hint="eastAsia" w:ascii="宋体" w:hAnsi="宋体"/>
          <w:color w:val="000000"/>
          <w:sz w:val="24"/>
          <w:lang w:val="en-US" w:eastAsia="zh-CN"/>
        </w:rPr>
        <w:t>安保及保洁</w:t>
      </w:r>
      <w:r>
        <w:rPr>
          <w:rFonts w:hint="eastAsia" w:ascii="宋体" w:hAnsi="宋体" w:eastAsia="宋体" w:cs="宋体"/>
          <w:color w:val="000000"/>
          <w:sz w:val="24"/>
          <w:szCs w:val="24"/>
        </w:rPr>
        <w:t>工作引起的人员跌倒、损伤等伤害事件，由公司负责纠纷处置及经济赔偿。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14.全体</w:t>
      </w:r>
      <w:r>
        <w:rPr>
          <w:rFonts w:hint="eastAsia" w:ascii="宋体" w:hAnsi="宋体"/>
          <w:color w:val="000000"/>
          <w:sz w:val="24"/>
          <w:lang w:val="en-US" w:eastAsia="zh-CN"/>
        </w:rPr>
        <w:t>安保及保洁</w:t>
      </w:r>
      <w:r>
        <w:rPr>
          <w:rFonts w:hint="eastAsia" w:ascii="宋体" w:hAnsi="宋体" w:eastAsia="宋体" w:cs="宋体"/>
          <w:color w:val="000000"/>
          <w:sz w:val="24"/>
          <w:szCs w:val="24"/>
        </w:rPr>
        <w:t>服务人员都要有节能降耗意识，随手关灯、关门、关窗，要节约用水、用电，对违规用水、用电每次扣10元。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15.参加考核人员及时间：由街道领导、党政办、监督小组、科室相关管理人员参加进行不定期的督查考核。考核未明确的，由街道党政办负责解释或重新予以明确。</w:t>
      </w:r>
    </w:p>
    <w:p>
      <w:pPr>
        <w:pStyle w:val="2"/>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default" w:eastAsia="宋体"/>
          <w:b/>
          <w:bCs/>
          <w:lang w:val="en-US" w:eastAsia="zh-CN"/>
        </w:rPr>
      </w:pPr>
      <w:r>
        <w:rPr>
          <w:rFonts w:hint="eastAsia" w:eastAsia="宋体"/>
          <w:b/>
          <w:bCs/>
          <w:lang w:val="en-US" w:eastAsia="zh-CN"/>
        </w:rPr>
        <w:t>附件：</w:t>
      </w:r>
    </w:p>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宋体" w:cs="Times New Roman"/>
          <w:b/>
          <w:bCs/>
          <w:color w:val="000000"/>
          <w:kern w:val="0"/>
          <w:sz w:val="24"/>
          <w:szCs w:val="24"/>
          <w:shd w:val="clear"/>
          <w:lang w:val="en-US" w:eastAsia="zh-CN" w:bidi="ar-SA"/>
        </w:rPr>
      </w:pPr>
      <w:r>
        <w:rPr>
          <w:rFonts w:hint="eastAsia" w:ascii="Times New Roman" w:hAnsi="Times New Roman" w:eastAsia="宋体" w:cs="Times New Roman"/>
          <w:b/>
          <w:bCs/>
          <w:color w:val="000000"/>
          <w:kern w:val="0"/>
          <w:sz w:val="24"/>
          <w:szCs w:val="24"/>
          <w:shd w:val="clear"/>
          <w:lang w:val="en-US" w:eastAsia="zh-CN" w:bidi="ar-SA"/>
        </w:rPr>
        <w:t>《义乌市城西街道办事处</w:t>
      </w:r>
      <w:r>
        <w:rPr>
          <w:rFonts w:hint="default" w:ascii="Times New Roman" w:hAnsi="Times New Roman" w:eastAsia="宋体" w:cs="Times New Roman"/>
          <w:b/>
          <w:bCs/>
          <w:color w:val="000000"/>
          <w:kern w:val="0"/>
          <w:sz w:val="24"/>
          <w:szCs w:val="24"/>
          <w:shd w:val="clear"/>
          <w:lang w:val="en-US" w:eastAsia="zh-CN" w:bidi="ar-SA"/>
        </w:rPr>
        <w:t>6</w:t>
      </w:r>
      <w:r>
        <w:rPr>
          <w:rFonts w:hint="eastAsia" w:ascii="Times New Roman" w:hAnsi="Times New Roman" w:eastAsia="宋体" w:cs="Times New Roman"/>
          <w:b/>
          <w:bCs/>
          <w:color w:val="000000"/>
          <w:kern w:val="0"/>
          <w:sz w:val="24"/>
          <w:szCs w:val="24"/>
          <w:shd w:val="clear"/>
          <w:lang w:val="en-US" w:eastAsia="zh-CN" w:bidi="ar-SA"/>
        </w:rPr>
        <w:t>个办公区安保及保洁满意度考核测评表》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pPr>
      <w:r>
        <w:rPr>
          <w:rFonts w:hint="eastAsia"/>
          <w:color w:val="000000"/>
        </w:rPr>
        <w:t>满意度考核测评办法：每</w:t>
      </w:r>
      <w:r>
        <w:rPr>
          <w:rFonts w:hint="eastAsia"/>
          <w:color w:val="000000"/>
          <w:lang w:val="en-US" w:eastAsia="zh-CN"/>
        </w:rPr>
        <w:t>月</w:t>
      </w:r>
      <w:r>
        <w:rPr>
          <w:rFonts w:hint="eastAsia"/>
          <w:color w:val="000000"/>
        </w:rPr>
        <w:t>考评表格由</w:t>
      </w:r>
      <w:r>
        <w:rPr>
          <w:rFonts w:hint="eastAsia"/>
          <w:color w:val="000000"/>
          <w:lang w:val="en-US" w:eastAsia="zh-CN"/>
        </w:rPr>
        <w:t>党政办</w:t>
      </w:r>
      <w:r>
        <w:rPr>
          <w:rFonts w:hint="eastAsia"/>
          <w:color w:val="000000"/>
        </w:rPr>
        <w:t>和公司统一发放；</w:t>
      </w:r>
      <w:r>
        <w:rPr>
          <w:rFonts w:hint="eastAsia" w:ascii="宋体" w:hAnsi="宋体" w:eastAsia="宋体" w:cs="宋体"/>
          <w:color w:val="000000"/>
          <w:sz w:val="24"/>
          <w:szCs w:val="24"/>
        </w:rPr>
        <w:t>以科室为打分单位,每个月对</w:t>
      </w:r>
      <w:r>
        <w:rPr>
          <w:rFonts w:hint="eastAsia" w:ascii="宋体" w:hAnsi="宋体"/>
          <w:color w:val="000000"/>
          <w:sz w:val="24"/>
          <w:lang w:val="en-US" w:eastAsia="zh-CN"/>
        </w:rPr>
        <w:t>安保及保洁</w:t>
      </w:r>
      <w:r>
        <w:rPr>
          <w:rFonts w:hint="eastAsia" w:ascii="宋体" w:hAnsi="宋体" w:eastAsia="宋体" w:cs="宋体"/>
          <w:color w:val="000000"/>
          <w:sz w:val="24"/>
          <w:szCs w:val="24"/>
        </w:rPr>
        <w:t>服务工作满意度进行考核测评, 再由党政办工作人员负责回收、汇总及统计。</w:t>
      </w:r>
    </w:p>
    <w:tbl>
      <w:tblPr>
        <w:tblStyle w:val="5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379"/>
        <w:gridCol w:w="547"/>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379"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标准内容</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规定</w:t>
            </w:r>
          </w:p>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3984"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基础管理</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20</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1.规定岗位持证上岗：员工着装规范，佩戴明显标志，使用标准服务用语、工作规范。</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专业技术人员每发现1人无上岗证书扣0.4分；着装及标志符合1分；不符合0分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olor w:val="000000"/>
                <w:sz w:val="24"/>
                <w:lang w:val="en-US" w:eastAsia="zh-CN"/>
              </w:rPr>
              <w:t>安保及保洁</w:t>
            </w:r>
            <w:r>
              <w:rPr>
                <w:rFonts w:hint="eastAsia" w:ascii="宋体" w:hAnsi="宋体" w:eastAsia="宋体" w:cs="宋体"/>
                <w:color w:val="000000"/>
                <w:sz w:val="24"/>
                <w:szCs w:val="24"/>
              </w:rPr>
              <w:t>管理企业应用计算机、智能化设备等现代化管理手段，提高管理效率</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符合2分，基本符合1分，不符合0分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3.档案资料齐全，分类成册、管理 完善，查阅方便，</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包括所有档案，分类归档，统汁成册。每发现一项不齐全或不完善扣0.5分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4.在日常管理中要建立交接班、维修保养、保安、保洁、管理都有登记制度，设立服务电话、接受业主和使用人对街道机关</w:t>
            </w:r>
            <w:r>
              <w:rPr>
                <w:rFonts w:hint="eastAsia" w:ascii="宋体" w:hAnsi="宋体"/>
                <w:color w:val="000000"/>
                <w:sz w:val="24"/>
                <w:lang w:val="en-US" w:eastAsia="zh-CN"/>
              </w:rPr>
              <w:t>安保及保洁</w:t>
            </w:r>
            <w:r>
              <w:rPr>
                <w:rFonts w:hint="eastAsia" w:ascii="宋体" w:hAnsi="宋体" w:eastAsia="宋体" w:cs="宋体"/>
                <w:color w:val="000000"/>
                <w:sz w:val="24"/>
                <w:szCs w:val="24"/>
              </w:rPr>
              <w:t>管理服务报修、求助、建议、问询、质疑、投诉等 各类信息的收集和反馈.并及时处理，有回访制度和记录。</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符合5分，没有值班制度扣2分，末设服务电话 扣1分，发现一处处理不及时扣0.5分，没有回访记录每次扣1分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5.有</w:t>
            </w:r>
            <w:r>
              <w:rPr>
                <w:rFonts w:hint="eastAsia" w:ascii="宋体" w:hAnsi="宋体"/>
                <w:color w:val="000000"/>
                <w:sz w:val="24"/>
                <w:lang w:val="en-US" w:eastAsia="zh-CN"/>
              </w:rPr>
              <w:t>安保及保洁</w:t>
            </w:r>
            <w:r>
              <w:rPr>
                <w:rFonts w:hint="eastAsia" w:ascii="宋体" w:hAnsi="宋体" w:eastAsia="宋体" w:cs="宋体"/>
                <w:color w:val="000000"/>
                <w:sz w:val="24"/>
                <w:szCs w:val="24"/>
              </w:rPr>
              <w:t>项目的整体管理方案及各部门岗位职责、工作标准、具体落实办法，定期向科室和工作人员发放街道机关</w:t>
            </w:r>
            <w:r>
              <w:rPr>
                <w:rFonts w:hint="eastAsia" w:ascii="宋体" w:hAnsi="宋体"/>
                <w:color w:val="000000"/>
                <w:sz w:val="24"/>
                <w:lang w:val="en-US" w:eastAsia="zh-CN"/>
              </w:rPr>
              <w:t>安保及保洁</w:t>
            </w:r>
            <w:r>
              <w:rPr>
                <w:rFonts w:hint="eastAsia" w:ascii="宋体" w:hAnsi="宋体" w:eastAsia="宋体" w:cs="宋体"/>
                <w:color w:val="000000"/>
                <w:sz w:val="24"/>
                <w:szCs w:val="24"/>
              </w:rPr>
              <w:t>管理服务工作征求意见单，对合理的建议及时整改满意率达95％以上。</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符合5分，基本符合3分，不符合0分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6.建立</w:t>
            </w:r>
            <w:r>
              <w:rPr>
                <w:rFonts w:hint="eastAsia" w:ascii="宋体" w:hAnsi="宋体"/>
                <w:color w:val="000000"/>
                <w:sz w:val="24"/>
                <w:lang w:val="en-US" w:eastAsia="zh-CN"/>
              </w:rPr>
              <w:t>安保及保洁</w:t>
            </w:r>
            <w:r>
              <w:rPr>
                <w:rFonts w:hint="eastAsia" w:ascii="宋体" w:hAnsi="宋体" w:eastAsia="宋体" w:cs="宋体"/>
                <w:color w:val="000000"/>
                <w:sz w:val="24"/>
                <w:szCs w:val="24"/>
              </w:rPr>
              <w:t>服务投诉处理流程，并落实维修服务承诺制、零修急修及时率 100％，返修率不高于1％，并有回访记录</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建立并落实1分，建立但未落实扣0.4分，未建立 扣0.6分；及时率符合1分，每降低1个百分点扣 0.3分；返修率符合0.6分，不符合0分：问访记录完整 0.4分，记录不完整或无回访记录0分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二</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房屋管理与维修养护</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4</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1.室外招牌、按规定设置，保持整洁统一美观，无安全隐患或破损，无违反规划私搭乱建，无擅自改变房屋用途现象</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符合1分，每发现一处私搭乱建或擅自改变房屋使用用途扣0.5分按规定设置，但不整齐或有破损每处扣0.1分，有安全隐患每处扣0.5分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2.房屋完好、整洁，外墙是建材贴面的、无脱落；玻璃的，清洁明亮、无破损；是涂料的，无脱落、无污渍： 无纸张乱贴、乱涂、乱画和乱悬挂现象</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符合2分，房屋外墙是建材贴用的每发现一处脱落扣0.2分，是玻璃幕墙的每发现一处破损或洁扣0.2分，是涂料的每发现一处褪色不一致扣0.2分；每发现一处纸张乱贴、乱涂、乱画和乱悬挂扣0.2分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3.楼宇内楼梯、走道、扶手、天花板、吊顶等无破损；墙体整 洁，无乱张贴；共用部位门窗、灯具、开关等功能良好；卫生 间、水房等管理完好空调安装位置统一，冷凝水集中收集。支架无锈蚀</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符合1分，如发现一处不符合扣0.2分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共用设施设备管理</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15</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8" w:type="dxa"/>
            <w:vMerge w:val="continue"/>
            <w:shd w:val="clear" w:color="auto" w:fill="auto"/>
            <w:noWrap/>
            <w:vAlign w:val="top"/>
          </w:tcPr>
          <w:p>
            <w:pPr>
              <w:spacing w:line="400" w:lineRule="exact"/>
              <w:rPr>
                <w:rFonts w:hint="eastAsia" w:ascii="宋体" w:hAnsi="宋体" w:eastAsia="宋体" w:cs="宋体"/>
                <w:color w:val="000000"/>
                <w:sz w:val="24"/>
                <w:szCs w:val="24"/>
              </w:rPr>
            </w:pP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(一)综合要求</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1.设备及机房环境整治、无杂物、灰尘、无鼠、虫害发生、机 房环境符合设备要求</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符合1.0分，每发现-处不符合扣0.2分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2.配备所需各种专业技术人员。严格执行操作规程</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3.设备良好，运行正常.考核期内无重大管理责任事故</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8" w:type="dxa"/>
            <w:vMerge w:val="continue"/>
            <w:shd w:val="clear" w:color="auto" w:fill="auto"/>
            <w:noWrap/>
            <w:vAlign w:val="top"/>
          </w:tcPr>
          <w:p>
            <w:pPr>
              <w:spacing w:line="400" w:lineRule="exact"/>
              <w:rPr>
                <w:rFonts w:hint="eastAsia" w:ascii="宋体" w:hAnsi="宋体" w:eastAsia="宋体" w:cs="宋体"/>
                <w:color w:val="000000"/>
                <w:sz w:val="24"/>
                <w:szCs w:val="24"/>
              </w:rPr>
            </w:pP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(二)供电系统</w:t>
            </w:r>
          </w:p>
        </w:tc>
        <w:tc>
          <w:tcPr>
            <w:tcW w:w="547" w:type="dxa"/>
            <w:shd w:val="clear" w:color="auto" w:fill="D9D9D9"/>
            <w:noWrap/>
            <w:vAlign w:val="center"/>
          </w:tcPr>
          <w:p>
            <w:pPr>
              <w:spacing w:line="400" w:lineRule="exact"/>
              <w:jc w:val="center"/>
              <w:rPr>
                <w:rFonts w:hint="default" w:ascii="宋体" w:hAnsi="宋体" w:eastAsia="宋体" w:cs="宋体"/>
                <w:b/>
                <w:color w:val="000000"/>
                <w:sz w:val="24"/>
                <w:szCs w:val="24"/>
                <w:lang w:val="en-US"/>
              </w:rPr>
            </w:pPr>
            <w:r>
              <w:rPr>
                <w:rFonts w:hint="default" w:ascii="宋体" w:hAnsi="宋体" w:cs="宋体"/>
                <w:b/>
                <w:color w:val="000000"/>
                <w:sz w:val="24"/>
                <w:szCs w:val="24"/>
                <w:lang w:val="en-US"/>
              </w:rPr>
              <w:t>2</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1.保证正常供电.限电、停电按规定时间通知采购人，制订临时用电管理措施与停电应急处理措施，备用应急发电机可随时起用。</w:t>
            </w:r>
          </w:p>
        </w:tc>
        <w:tc>
          <w:tcPr>
            <w:tcW w:w="547" w:type="dxa"/>
            <w:noWrap/>
            <w:vAlign w:val="center"/>
          </w:tcPr>
          <w:p>
            <w:pPr>
              <w:spacing w:line="400" w:lineRule="exact"/>
              <w:jc w:val="center"/>
              <w:rPr>
                <w:rFonts w:hint="default" w:ascii="宋体" w:hAnsi="宋体" w:eastAsia="宋体" w:cs="宋体"/>
                <w:color w:val="000000"/>
                <w:sz w:val="24"/>
                <w:szCs w:val="24"/>
                <w:lang w:val="en-US"/>
              </w:rPr>
            </w:pPr>
            <w:r>
              <w:rPr>
                <w:rFonts w:hint="default" w:ascii="宋体" w:hAnsi="宋体" w:cs="宋体"/>
                <w:color w:val="000000"/>
                <w:sz w:val="24"/>
                <w:szCs w:val="24"/>
                <w:lang w:val="en-US"/>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default" w:ascii="宋体" w:hAnsi="宋体" w:cs="宋体"/>
                <w:color w:val="000000"/>
                <w:sz w:val="24"/>
                <w:szCs w:val="24"/>
                <w:lang w:val="en-US"/>
              </w:rPr>
              <w:t>2</w:t>
            </w:r>
            <w:r>
              <w:rPr>
                <w:rFonts w:hint="eastAsia" w:ascii="宋体" w:hAnsi="宋体" w:eastAsia="宋体" w:cs="宋体"/>
                <w:color w:val="000000"/>
                <w:sz w:val="24"/>
                <w:szCs w:val="24"/>
              </w:rPr>
              <w:t>.0分，临时用电措施或停电应急措施不符 各扣0.5分，发电机不能随时起用0分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48" w:type="dxa"/>
            <w:vMerge w:val="continue"/>
            <w:shd w:val="clear" w:color="auto" w:fill="auto"/>
            <w:noWrap/>
            <w:vAlign w:val="top"/>
          </w:tcPr>
          <w:p>
            <w:pPr>
              <w:spacing w:line="400" w:lineRule="exact"/>
              <w:rPr>
                <w:rFonts w:hint="eastAsia" w:ascii="宋体" w:hAnsi="宋体" w:eastAsia="宋体" w:cs="宋体"/>
                <w:color w:val="000000"/>
                <w:sz w:val="24"/>
                <w:szCs w:val="24"/>
              </w:rPr>
            </w:pP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(三)弱电系统</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1</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1.按工作标准规定时间排除故障，保证各弱电系统正常工作，监控系统等智能化设施设备运行正常。有记录并按规定期限保存</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8" w:type="dxa"/>
            <w:vMerge w:val="continue"/>
            <w:shd w:val="clear" w:color="auto" w:fill="auto"/>
            <w:noWrap/>
            <w:vAlign w:val="top"/>
          </w:tcPr>
          <w:p>
            <w:pPr>
              <w:spacing w:line="400" w:lineRule="exact"/>
              <w:rPr>
                <w:rFonts w:hint="eastAsia" w:ascii="宋体" w:hAnsi="宋体" w:eastAsia="宋体" w:cs="宋体"/>
                <w:color w:val="000000"/>
                <w:sz w:val="24"/>
                <w:szCs w:val="24"/>
              </w:rPr>
            </w:pP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(四)消防系统</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1.消防控制中心24小时值班、消防系统设施设备齐全、完好元损，可随时起用</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发现一处符合扣0.2分，设备不能随时起用0分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2.订有突发火灾应急方案，在明显处设立消防疏散示意图.照明设施、引路标志完好，紧急疏散通道畅通无阻</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无应急方案扣0.5分，各种标志每缺少一个及每 发现一处不畅通扣0.1分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3.消防，用电有严格的管理规定.室内电线、插座 安装规范，区内无安全隐患。</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符合1.0分，每发现一处安全隐患扣0.5分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48" w:type="dxa"/>
            <w:vMerge w:val="continue"/>
            <w:shd w:val="clear" w:color="auto" w:fill="auto"/>
            <w:noWrap/>
            <w:vAlign w:val="top"/>
          </w:tcPr>
          <w:p>
            <w:pPr>
              <w:spacing w:line="400" w:lineRule="exact"/>
              <w:rPr>
                <w:rFonts w:hint="eastAsia" w:ascii="宋体" w:hAnsi="宋体" w:eastAsia="宋体" w:cs="宋体"/>
                <w:color w:val="000000"/>
                <w:sz w:val="24"/>
                <w:szCs w:val="24"/>
              </w:rPr>
            </w:pP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(五)电梯系统</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1.电梯按规定时间运行，安全设施齐全，通风、照明及附属 设施完好。</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shd w:val="clear" w:color="auto" w:fill="auto"/>
            <w:noWrap/>
            <w:vAlign w:val="top"/>
          </w:tcPr>
          <w:p>
            <w:pPr>
              <w:spacing w:line="400" w:lineRule="exact"/>
              <w:rPr>
                <w:rFonts w:hint="eastAsia" w:ascii="宋体" w:hAnsi="宋体" w:eastAsia="宋体" w:cs="宋体"/>
                <w:color w:val="000000"/>
                <w:sz w:val="24"/>
                <w:szCs w:val="24"/>
              </w:rPr>
            </w:pP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(六)给排水系统</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4</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1.建立用水、供水管理制度、积极协助用户安排合理的用水和节水计划设备、阀门、管道工作正常、大跑冒滴漏；遇有事故，维修人员在规定时间内进行抢修，无大面积 跑水、泛水，长时间停水现象；制定事故应急处理方案。</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符合1.0分，基本符合0.5分，不符合0分，每发现一处不符合扣0.2分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2.水池、水箱清洁卫生，无二次污染高压水泵、水池、水箱有严格的管理措施，水池、水箱周围无污染隐患</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符合2分，每发现一项不符合扣0.5分没有管理措施扣0.5分，水箱周围每发现一处隐患扣0.2分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3.排水系统通畅，汛期道路无积水，设备房无积水，浸泡发生</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共用设施管理</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1.共用配套设施完好，无随意改变用途区域范围内的道路通畅，路面平坦</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2.道路、楼道、大堂等公共照明完好</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符合1.0分，每发现一处不亮扣0.2分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五</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保安及车辆管理</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20</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1.院内发生重大安全事故，实行一票否决制，并追究主要责任人和直接责任人的责任。</w:t>
            </w:r>
          </w:p>
        </w:tc>
        <w:tc>
          <w:tcPr>
            <w:tcW w:w="547" w:type="dxa"/>
            <w:noWrap/>
            <w:vAlign w:val="center"/>
          </w:tcPr>
          <w:p>
            <w:pPr>
              <w:spacing w:line="400" w:lineRule="exact"/>
              <w:jc w:val="center"/>
              <w:rPr>
                <w:rFonts w:hint="eastAsia" w:ascii="宋体" w:hAnsi="宋体" w:eastAsia="宋体" w:cs="宋体"/>
                <w:color w:val="000000"/>
                <w:sz w:val="24"/>
                <w:szCs w:val="24"/>
              </w:rPr>
            </w:pP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发生一次扣20分。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2.有专业保安队伍，实行24小时值班、24小时巡查、24小时监控，巡逻二小时不少于一次，保安人员熟悉工作区的环境，文明值勤，训练有素，言语手势规范，认真负责。</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符合5.0分，无专业保安队伍扣2.0分，值班及巡逻记录等不规范每处扣0.5分，巡查不到位每次扣0.5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3.建立停车管理制度，专人疏导，进出区域车辆管理有序，在车位内按照停车指示箭头，正向停车，排列整齐，无堵塞交通现象，不影响行人通行</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符合3分，基本符合1分，不符合0分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4.对突发事件有应急处理计划和措施，反应快捷，对区域内公共设施巡逻、防盗及时，没有监守自盗现象，突发应急预案必须在明显处悬挂。</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符合3分，基本符合1分，不符合0分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5.保安人员熟悉岗位流程、熟悉周边巡查重点、清楚监控范围；熟练使用安防系统及技巧；岗位职责清晰、巡查要求明确；</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符合2分，基本符合1分，不符合0分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6.监控室管理要指定专人负责，明确监控室职责、明确交接班制度、监控室与各分控点时刻保持畅通；</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符合3分，基本符合1分，不符合0分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7.负责好防盗、防火工作，确保无事故发生。要有消防检查记录备查；需有消防组织架构、及管理责任制，定期进行消防法规、消防知识技能培训，员工会使用消防器材，消防演习必须有记录并留存；确保消防控制中心系统配备齐全，完好，可随时启用；消防栓系统标识清楚，部件齐全，消防泵可随时启用；</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符合5.0分，基本符合2分，不符合0分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8.非机动车辆有集中停放场地，管理制度落实，管理有序，停放整齐，场地整洁</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符合1.0分，基本符合0.5分，不符合0分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9.危及人身安全处设有明显标志和防范措施</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六</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环境卫生管理</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23</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楼梯、标识牌、电梯、内外停车、道路</w:t>
            </w:r>
            <w:r>
              <w:rPr>
                <w:rFonts w:hint="eastAsia" w:ascii="宋体" w:hAnsi="宋体" w:eastAsia="宋体" w:cs="宋体"/>
                <w:color w:val="000000"/>
                <w:kern w:val="1"/>
                <w:sz w:val="24"/>
                <w:szCs w:val="24"/>
              </w:rPr>
              <w:t>地面、通道、服务大厅、走廊地面、内庭、边缘区域</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kern w:val="1"/>
                <w:sz w:val="24"/>
                <w:szCs w:val="24"/>
              </w:rPr>
              <w:t>无杂物、明显纸屑、污垢、无蛛丝，每个单元烟头等脏物不超过2个；目测：无灰尘，无污迹，20平方米内不得超过2个杂物。</w:t>
            </w:r>
            <w:r>
              <w:rPr>
                <w:rFonts w:hint="eastAsia" w:ascii="宋体" w:hAnsi="宋体" w:eastAsia="宋体" w:cs="宋体"/>
                <w:color w:val="000000"/>
                <w:sz w:val="24"/>
                <w:szCs w:val="24"/>
              </w:rPr>
              <w:t>符合5.0分，每发现一处不符合扣0.5分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房屋立面、</w:t>
            </w:r>
            <w:r>
              <w:rPr>
                <w:rFonts w:hint="eastAsia" w:ascii="宋体" w:hAnsi="宋体" w:eastAsia="宋体" w:cs="宋体"/>
                <w:color w:val="000000"/>
                <w:kern w:val="1"/>
                <w:sz w:val="24"/>
                <w:szCs w:val="24"/>
              </w:rPr>
              <w:t>墙面、门、窗、玻璃、扶手、座椅、垃圾筒、消防箱、室内物品、楼道灯、开关面板</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984" w:type="dxa"/>
            <w:noWrap/>
            <w:vAlign w:val="center"/>
          </w:tcPr>
          <w:p>
            <w:pPr>
              <w:spacing w:line="400" w:lineRule="exac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无乱张贴，无蜘蛛网，无痰迹，无积尘。目测：无灰尘，无蛛网、无明显污迹，纸巾测试30CM无黑灰。无过夜垃圾，无异味，桶身无污渍；桶内垃圾不得超过2/3，不过夜。</w:t>
            </w:r>
            <w:r>
              <w:rPr>
                <w:rFonts w:hint="eastAsia" w:ascii="宋体" w:hAnsi="宋体" w:eastAsia="宋体" w:cs="宋体"/>
                <w:color w:val="000000"/>
                <w:sz w:val="24"/>
                <w:szCs w:val="24"/>
              </w:rPr>
              <w:t>符合5.0，每发现一处不符合扣0.5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公共场所、沟、井、地面定期清洁、保养，污水排放通畅，定期巡查下水沟、雨水井、屋顶；保持畅通、无堵塞</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符合2分，不符合0分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卫生间做到按标准定人定点定时管理、巡查、监督。</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984" w:type="dxa"/>
            <w:noWrap/>
            <w:vAlign w:val="center"/>
          </w:tcPr>
          <w:p>
            <w:pPr>
              <w:spacing w:line="400" w:lineRule="exac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地面无积水、无污渍、无杂物、无异味，墙面瓷片、门、窗用纸巾擦拭无明显灰尘，便器无污渍；天花、灯具等目视无明显灰尘，玻璃、镜面无灰尘，无污渍。无异味、干净、清爽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清洁区域明确划分并落实责任人；清洁卫生实行责任制，有专职的清洁人员做到按制定标准全天候、全方位保洁。明确责任范围，实行标准化清洁保洁。</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未实行责任制的扣0.5，无专职清洁人员和责任范围的扣0.3，未实行标准化保洁的扣0.2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垃圾的收集、清运，做到垃圾日产日清，统一按规定堆放到指定地点。垃圾日产日清，定期进行卫生灭杀</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每发现一处垃圾扣0.1，未达到垃圾日产日清的扣0.3，未定期进行卫生消毒灭杀扣0.3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对有害垃圾管理严格按规定分装，不得与其它垃圾混杂</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七</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绿化管理</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1.绿地无改变使用用途和破坏、践踏、占用现象</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符合2.0，基本符合1.0，不符合0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2.绿地无纸屑、烟头、石块等杂物。</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符合1.0，每发现一处不符合扣0.2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548" w:type="dxa"/>
            <w:vMerge w:val="restart"/>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八</w:t>
            </w:r>
          </w:p>
        </w:tc>
        <w:tc>
          <w:tcPr>
            <w:tcW w:w="4379" w:type="dxa"/>
            <w:shd w:val="clear" w:color="auto" w:fill="D7D7D7" w:themeFill="background1" w:themeFillShade="D8"/>
            <w:noWrap/>
            <w:vAlign w:val="center"/>
          </w:tcPr>
          <w:p>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工作纪律</w:t>
            </w:r>
          </w:p>
        </w:tc>
        <w:tc>
          <w:tcPr>
            <w:tcW w:w="547" w:type="dxa"/>
            <w:shd w:val="clear" w:color="auto" w:fill="D7D7D7" w:themeFill="background1" w:themeFillShade="D8"/>
            <w:noWrap/>
            <w:vAlign w:val="center"/>
          </w:tcPr>
          <w:p>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w:t>
            </w:r>
          </w:p>
        </w:tc>
        <w:tc>
          <w:tcPr>
            <w:tcW w:w="3984" w:type="dxa"/>
            <w:shd w:val="clear" w:color="auto" w:fill="D7D7D7" w:themeFill="background1" w:themeFillShade="D8"/>
            <w:noWrap/>
            <w:vAlign w:val="center"/>
          </w:tcPr>
          <w:p>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1.不服从采购人的监管，未按时完成合同内的工作任务并酿成后果。</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符合3.0，基本符合1.0，不符合0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2.主管负责人督查不严，导致工作出现重大失误，使采购人形象受损或造成较大经济损失。</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符合2.0，基本符合1.0，不符合0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3.破坏团结、拔弄是非，工作推委、拖拉。</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4.当班饮酒或酒后上班者。员工管理规范，无打架斗殴等不良情况</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5.当班期间串岗、脱岗、睡岗。</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6.工作区域内扎堆闲聊、上网游戏、看电影或在岗聊私人电话。</w:t>
            </w:r>
            <w:r>
              <w:rPr>
                <w:rFonts w:hint="eastAsia" w:ascii="宋体" w:hAnsi="宋体" w:eastAsia="宋体" w:cs="宋体"/>
                <w:color w:val="000000"/>
                <w:sz w:val="24"/>
                <w:szCs w:val="24"/>
                <w:shd w:val="clear" w:color="auto" w:fill="FFFFFF"/>
              </w:rPr>
              <w:t>按规定足额配备人员，排班合理</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autoSpaceDN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7.未经允许不得在工作期间利用采购人的资源接私活 </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8" w:type="dxa"/>
            <w:vMerge w:val="restart"/>
            <w:shd w:val="clear" w:color="auto" w:fill="auto"/>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九</w:t>
            </w:r>
          </w:p>
        </w:tc>
        <w:tc>
          <w:tcPr>
            <w:tcW w:w="4379"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精神文明建设</w:t>
            </w:r>
          </w:p>
        </w:tc>
        <w:tc>
          <w:tcPr>
            <w:tcW w:w="547" w:type="dxa"/>
            <w:shd w:val="clear" w:color="auto" w:fill="D9D9D9"/>
            <w:noWrap/>
            <w:vAlign w:val="center"/>
          </w:tcPr>
          <w:p>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w:t>
            </w:r>
          </w:p>
        </w:tc>
        <w:tc>
          <w:tcPr>
            <w:tcW w:w="3984" w:type="dxa"/>
            <w:shd w:val="clear" w:color="auto" w:fill="D9D9D9"/>
            <w:noWrap/>
            <w:vAlign w:val="center"/>
          </w:tcPr>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1.全体员工和使用人能自觉维护公众利益，遵守各项管理规定</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2.设有学习宣传园地，宣传管理、卫生、治安、消防等方面的知识，开展积极健康向上的活动；设信息公告栏 </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ign w:val="top"/>
          </w:tcPr>
          <w:p>
            <w:pPr>
              <w:spacing w:line="400" w:lineRule="exact"/>
              <w:rPr>
                <w:rFonts w:hint="eastAsia" w:ascii="宋体" w:hAnsi="宋体" w:eastAsia="宋体" w:cs="宋体"/>
                <w:color w:val="000000"/>
                <w:sz w:val="24"/>
                <w:szCs w:val="24"/>
              </w:rPr>
            </w:pPr>
          </w:p>
        </w:tc>
        <w:tc>
          <w:tcPr>
            <w:tcW w:w="4379"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3.区内未发现重大违纪违法案件</w:t>
            </w:r>
          </w:p>
        </w:tc>
        <w:tc>
          <w:tcPr>
            <w:tcW w:w="547" w:type="dxa"/>
            <w:noWrap/>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84" w:type="dxa"/>
            <w:noWrap/>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符合1.0，基本符合0.5，不符合0</w:t>
            </w:r>
          </w:p>
        </w:tc>
      </w:tr>
    </w:tbl>
    <w:p>
      <w:pPr>
        <w:spacing w:line="590" w:lineRule="exact"/>
        <w:rPr>
          <w:rFonts w:hint="eastAsia" w:ascii="宋体" w:hAnsi="宋体" w:cs="宋体"/>
          <w:spacing w:val="-6"/>
          <w:sz w:val="28"/>
          <w:szCs w:val="28"/>
        </w:rPr>
      </w:pPr>
    </w:p>
    <w:p>
      <w:pPr>
        <w:pStyle w:val="2"/>
        <w:rPr>
          <w:rFonts w:hint="eastAsia"/>
        </w:rPr>
      </w:pPr>
    </w:p>
    <w:p>
      <w:pPr>
        <w:spacing w:line="590" w:lineRule="exact"/>
        <w:rPr>
          <w:rFonts w:eastAsia="Times New Roman"/>
          <w:spacing w:val="-6"/>
          <w:sz w:val="28"/>
          <w:szCs w:val="28"/>
        </w:rPr>
      </w:pPr>
      <w:r>
        <w:rPr>
          <w:rFonts w:hint="eastAsia" w:ascii="宋体" w:hAnsi="宋体" w:cs="宋体"/>
          <w:spacing w:val="-6"/>
          <w:sz w:val="28"/>
          <w:szCs w:val="28"/>
        </w:rPr>
        <w:t>备注：</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eastAsia" w:ascii="宋体" w:hAnsi="宋体" w:cs="宋体"/>
          <w:spacing w:val="-6"/>
        </w:rPr>
        <w:t>如</w:t>
      </w:r>
      <w:r>
        <w:rPr>
          <w:rFonts w:hint="eastAsia" w:ascii="宋体" w:hAnsi="宋体" w:cs="宋体"/>
          <w:spacing w:val="-6"/>
          <w:lang w:val="en-US" w:eastAsia="zh-CN"/>
        </w:rPr>
        <w:t>中标</w:t>
      </w:r>
      <w:r>
        <w:rPr>
          <w:rFonts w:hint="eastAsia" w:ascii="宋体" w:hAnsi="宋体" w:cs="宋体"/>
          <w:spacing w:val="-6"/>
        </w:rPr>
        <w:t>公司在调换员工时，由于员工不熟练造成</w:t>
      </w:r>
      <w:r>
        <w:rPr>
          <w:rFonts w:hint="eastAsia" w:ascii="宋体" w:hAnsi="宋体" w:eastAsia="宋体" w:cs="宋体"/>
          <w:color w:val="000000"/>
          <w:kern w:val="1"/>
          <w:sz w:val="24"/>
          <w:szCs w:val="24"/>
        </w:rPr>
        <w:t>街道相关科室</w:t>
      </w:r>
      <w:r>
        <w:rPr>
          <w:rFonts w:hint="eastAsia" w:ascii="宋体" w:hAnsi="宋体" w:cs="宋体"/>
          <w:spacing w:val="-6"/>
        </w:rPr>
        <w:t>较难开展工作或造成损失的，在</w:t>
      </w:r>
      <w:r>
        <w:rPr>
          <w:rFonts w:eastAsia="Times New Roman"/>
          <w:spacing w:val="-6"/>
        </w:rPr>
        <w:t>100</w:t>
      </w:r>
      <w:r>
        <w:rPr>
          <w:rFonts w:hint="eastAsia" w:ascii="宋体" w:hAnsi="宋体" w:cs="宋体"/>
          <w:spacing w:val="-6"/>
        </w:rPr>
        <w:t>分制内，直接扣除</w:t>
      </w:r>
      <w:r>
        <w:rPr>
          <w:rFonts w:eastAsia="Times New Roman"/>
          <w:spacing w:val="-6"/>
        </w:rPr>
        <w:t>20</w:t>
      </w:r>
      <w:r>
        <w:rPr>
          <w:rFonts w:hint="eastAsia" w:ascii="宋体" w:hAnsi="宋体" w:cs="宋体"/>
          <w:spacing w:val="-6"/>
        </w:rPr>
        <w:t>分。</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default" w:eastAsia="Times New Roman"/>
          <w:spacing w:val="-6"/>
          <w:lang w:val="en-US"/>
        </w:rPr>
        <w:t>3</w:t>
      </w:r>
      <w:r>
        <w:rPr>
          <w:rFonts w:eastAsia="Times New Roman"/>
          <w:spacing w:val="-6"/>
        </w:rPr>
        <w:t>.</w:t>
      </w:r>
      <w:r>
        <w:rPr>
          <w:rFonts w:hint="eastAsia" w:ascii="宋体" w:hAnsi="宋体" w:cs="宋体"/>
          <w:spacing w:val="-6"/>
        </w:rPr>
        <w:t>考核其他事项：</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eastAsia" w:ascii="宋体" w:hAnsi="宋体" w:cs="宋体"/>
          <w:spacing w:val="-6"/>
        </w:rPr>
        <w:t>（</w:t>
      </w:r>
      <w:r>
        <w:rPr>
          <w:rFonts w:hint="default" w:ascii="宋体" w:hAnsi="宋体" w:cs="宋体"/>
          <w:spacing w:val="-6"/>
          <w:lang w:val="en-US"/>
        </w:rPr>
        <w:t>1</w:t>
      </w:r>
      <w:r>
        <w:rPr>
          <w:rFonts w:hint="eastAsia" w:ascii="宋体" w:hAnsi="宋体" w:cs="宋体"/>
          <w:spacing w:val="-6"/>
        </w:rPr>
        <w:t>）</w:t>
      </w:r>
      <w:r>
        <w:rPr>
          <w:rFonts w:hint="eastAsia" w:ascii="宋体" w:hAnsi="宋体" w:cs="宋体"/>
          <w:spacing w:val="-6"/>
          <w:lang w:val="en-US" w:eastAsia="zh-CN"/>
        </w:rPr>
        <w:t>中标公司</w:t>
      </w:r>
      <w:r>
        <w:rPr>
          <w:rFonts w:hint="eastAsia" w:ascii="宋体" w:hAnsi="宋体" w:cs="宋体"/>
          <w:spacing w:val="-6"/>
        </w:rPr>
        <w:t>必须于每月</w:t>
      </w:r>
      <w:r>
        <w:rPr>
          <w:rFonts w:eastAsia="Times New Roman"/>
          <w:spacing w:val="-6"/>
        </w:rPr>
        <w:t>10</w:t>
      </w:r>
      <w:r>
        <w:rPr>
          <w:rFonts w:hint="eastAsia" w:ascii="宋体" w:hAnsi="宋体" w:cs="宋体"/>
          <w:spacing w:val="-6"/>
        </w:rPr>
        <w:t>日前向</w:t>
      </w:r>
      <w:r>
        <w:rPr>
          <w:rFonts w:hint="eastAsia" w:ascii="宋体" w:hAnsi="宋体" w:cs="宋体"/>
          <w:spacing w:val="-6"/>
          <w:lang w:val="en-US" w:eastAsia="zh-CN"/>
        </w:rPr>
        <w:t>采购人</w:t>
      </w:r>
      <w:r>
        <w:rPr>
          <w:rFonts w:hint="eastAsia" w:ascii="宋体" w:hAnsi="宋体" w:cs="宋体"/>
          <w:spacing w:val="-6"/>
        </w:rPr>
        <w:t>提供在职职工花名册和作业人员分布表，若不按时提供，每超出一天扣</w:t>
      </w:r>
      <w:r>
        <w:rPr>
          <w:rFonts w:eastAsia="Times New Roman"/>
          <w:spacing w:val="-6"/>
        </w:rPr>
        <w:t>100</w:t>
      </w:r>
      <w:r>
        <w:rPr>
          <w:rFonts w:hint="eastAsia" w:ascii="宋体" w:hAnsi="宋体" w:cs="宋体"/>
          <w:spacing w:val="-6"/>
        </w:rPr>
        <w:t>元人民币。</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eastAsia" w:ascii="宋体" w:hAnsi="宋体" w:cs="宋体"/>
          <w:spacing w:val="-6"/>
        </w:rPr>
        <w:t>（</w:t>
      </w:r>
      <w:r>
        <w:rPr>
          <w:rFonts w:hint="default" w:ascii="宋体" w:hAnsi="宋体" w:cs="宋体"/>
          <w:spacing w:val="-6"/>
          <w:lang w:val="en-US"/>
        </w:rPr>
        <w:t>2</w:t>
      </w:r>
      <w:r>
        <w:rPr>
          <w:rFonts w:hint="eastAsia" w:ascii="宋体" w:hAnsi="宋体" w:cs="宋体"/>
          <w:spacing w:val="-6"/>
        </w:rPr>
        <w:t>）当月的奖罚在结算承包款时兑现。</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eastAsia" w:ascii="宋体" w:hAnsi="宋体" w:cs="宋体"/>
          <w:spacing w:val="-6"/>
        </w:rPr>
        <w:t>（</w:t>
      </w:r>
      <w:r>
        <w:rPr>
          <w:rFonts w:hint="default" w:ascii="宋体" w:hAnsi="宋体" w:cs="宋体"/>
          <w:spacing w:val="-6"/>
          <w:lang w:val="en-US"/>
        </w:rPr>
        <w:t>3</w:t>
      </w:r>
      <w:r>
        <w:rPr>
          <w:rFonts w:hint="eastAsia" w:ascii="宋体" w:hAnsi="宋体" w:cs="宋体"/>
          <w:spacing w:val="-6"/>
        </w:rPr>
        <w:t>）仪表整洁，精神饱满，举止大方得体。</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eastAsia" w:ascii="宋体" w:hAnsi="宋体" w:cs="宋体"/>
          <w:spacing w:val="-6"/>
        </w:rPr>
        <w:t>（</w:t>
      </w:r>
      <w:r>
        <w:rPr>
          <w:rFonts w:hint="default" w:ascii="宋体" w:hAnsi="宋体" w:cs="宋体"/>
          <w:spacing w:val="-6"/>
          <w:lang w:val="en-US"/>
        </w:rPr>
        <w:t>4</w:t>
      </w:r>
      <w:r>
        <w:rPr>
          <w:rFonts w:hint="eastAsia" w:ascii="宋体" w:hAnsi="宋体" w:cs="宋体"/>
          <w:spacing w:val="-6"/>
        </w:rPr>
        <w:t>）不得随便翻动办公室物品、文件，办公用品应轻拿轻放。</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eastAsia" w:ascii="宋体" w:hAnsi="宋体" w:cs="宋体"/>
          <w:spacing w:val="-6"/>
        </w:rPr>
        <w:t>（</w:t>
      </w:r>
      <w:r>
        <w:rPr>
          <w:rFonts w:hint="default" w:ascii="宋体" w:hAnsi="宋体" w:cs="宋体"/>
          <w:spacing w:val="-6"/>
          <w:lang w:val="en-US"/>
        </w:rPr>
        <w:t>5</w:t>
      </w:r>
      <w:r>
        <w:rPr>
          <w:rFonts w:hint="eastAsia" w:ascii="宋体" w:hAnsi="宋体" w:cs="宋体"/>
          <w:spacing w:val="-6"/>
        </w:rPr>
        <w:t>）不能用同一条毛巾既擦台面又擦门窗。</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eastAsia="Times New Roman"/>
          <w:spacing w:val="-6"/>
        </w:rPr>
      </w:pPr>
      <w:r>
        <w:rPr>
          <w:rFonts w:hint="eastAsia" w:ascii="宋体" w:hAnsi="宋体" w:cs="宋体"/>
          <w:spacing w:val="-6"/>
        </w:rPr>
        <w:t>（</w:t>
      </w:r>
      <w:r>
        <w:rPr>
          <w:rFonts w:hint="default" w:ascii="宋体" w:hAnsi="宋体" w:cs="宋体"/>
          <w:spacing w:val="-6"/>
          <w:lang w:val="en-US"/>
        </w:rPr>
        <w:t>6</w:t>
      </w:r>
      <w:r>
        <w:rPr>
          <w:rFonts w:hint="eastAsia" w:ascii="宋体" w:hAnsi="宋体" w:cs="宋体"/>
          <w:spacing w:val="-6"/>
        </w:rPr>
        <w:t>）擦抹电脑、电器时须用干毛巾。</w:t>
      </w:r>
    </w:p>
    <w:p>
      <w:pPr>
        <w:keepNext w:val="0"/>
        <w:keepLines w:val="0"/>
        <w:pageBreakBefore w:val="0"/>
        <w:widowControl/>
        <w:kinsoku/>
        <w:wordWrap/>
        <w:overflowPunct/>
        <w:topLinePunct w:val="0"/>
        <w:autoSpaceDE/>
        <w:autoSpaceDN/>
        <w:bidi w:val="0"/>
        <w:adjustRightInd/>
        <w:snapToGrid/>
        <w:spacing w:line="440" w:lineRule="exact"/>
        <w:ind w:firstLine="456" w:firstLineChars="200"/>
        <w:textAlignment w:val="auto"/>
        <w:rPr>
          <w:rFonts w:hint="eastAsia" w:ascii="宋体" w:hAnsi="宋体" w:cs="宋体"/>
          <w:spacing w:val="-6"/>
        </w:rPr>
      </w:pPr>
      <w:r>
        <w:rPr>
          <w:rFonts w:hint="eastAsia" w:ascii="宋体" w:hAnsi="宋体" w:cs="宋体"/>
          <w:spacing w:val="-6"/>
        </w:rPr>
        <w:t>（</w:t>
      </w:r>
      <w:r>
        <w:rPr>
          <w:rFonts w:hint="default" w:ascii="宋体" w:hAnsi="宋体" w:cs="宋体"/>
          <w:spacing w:val="-6"/>
          <w:lang w:val="en-US"/>
        </w:rPr>
        <w:t>7</w:t>
      </w:r>
      <w:r>
        <w:rPr>
          <w:rFonts w:hint="eastAsia" w:ascii="宋体" w:hAnsi="宋体" w:cs="宋体"/>
          <w:spacing w:val="-6"/>
        </w:rPr>
        <w:t>）工作人员上班期间不得串岗、离岗，</w:t>
      </w:r>
      <w:r>
        <w:rPr>
          <w:rFonts w:hint="eastAsia" w:ascii="宋体" w:hAnsi="宋体" w:eastAsia="宋体" w:cs="宋体"/>
          <w:color w:val="000000"/>
          <w:sz w:val="24"/>
          <w:szCs w:val="24"/>
        </w:rPr>
        <w:t>必须服从街道党政办</w:t>
      </w:r>
      <w:r>
        <w:rPr>
          <w:rFonts w:hint="eastAsia" w:ascii="宋体" w:hAnsi="宋体" w:cs="宋体"/>
          <w:spacing w:val="-6"/>
        </w:rPr>
        <w:t>的临时工作安排。</w:t>
      </w:r>
    </w:p>
    <w:p>
      <w:pPr>
        <w:pStyle w:val="6"/>
        <w:spacing w:before="120" w:after="120" w:line="460" w:lineRule="exact"/>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六、对中标方的要求</w:t>
      </w:r>
    </w:p>
    <w:p>
      <w:pPr>
        <w:widowControl w:val="0"/>
        <w:spacing w:line="460" w:lineRule="exact"/>
        <w:ind w:firstLine="480" w:firstLineChars="200"/>
        <w:rPr>
          <w:color w:val="000000"/>
        </w:rPr>
      </w:pPr>
      <w:bookmarkStart w:id="91" w:name="_Toc1467"/>
      <w:r>
        <w:rPr>
          <w:rFonts w:hint="eastAsia"/>
        </w:rPr>
        <w:t>中标方在签订合同之前须根据《国务院物业管理条例》和省、市物业管理方面的法律法规，充分考虑实际服务内容，</w:t>
      </w:r>
      <w:r>
        <w:rPr>
          <w:rFonts w:hint="eastAsia"/>
          <w:highlight w:val="none"/>
        </w:rPr>
        <w:t>制订出详细的物业管理方案</w:t>
      </w:r>
      <w:r>
        <w:rPr>
          <w:rFonts w:hint="eastAsia"/>
        </w:rPr>
        <w:t>，包括本项目人员配备等详细的服务方案，并将该方案报采购人审定后执行。</w:t>
      </w:r>
    </w:p>
    <w:p>
      <w:pPr>
        <w:pStyle w:val="6"/>
        <w:spacing w:before="120" w:after="120" w:line="460" w:lineRule="exac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七、商务要求</w:t>
      </w:r>
      <w:bookmarkEnd w:id="91"/>
    </w:p>
    <w:p>
      <w:pPr>
        <w:widowControl w:val="0"/>
        <w:spacing w:line="460" w:lineRule="exact"/>
        <w:ind w:firstLine="482" w:firstLineChars="200"/>
        <w:rPr>
          <w:b/>
          <w:bCs/>
          <w:color w:val="000000"/>
        </w:rPr>
      </w:pPr>
      <w:r>
        <w:rPr>
          <w:rFonts w:hint="eastAsia"/>
          <w:b/>
          <w:bCs/>
          <w:color w:val="000000"/>
          <w:lang w:val="zh-CN"/>
        </w:rPr>
        <w:t>（</w:t>
      </w:r>
      <w:r>
        <w:rPr>
          <w:rFonts w:hint="eastAsia"/>
          <w:b/>
          <w:bCs/>
          <w:color w:val="000000"/>
        </w:rPr>
        <w:t>一</w:t>
      </w:r>
      <w:r>
        <w:rPr>
          <w:rFonts w:hint="eastAsia"/>
          <w:b/>
          <w:bCs/>
          <w:color w:val="000000"/>
          <w:lang w:val="zh-CN"/>
        </w:rPr>
        <w:t>）报价要求</w:t>
      </w:r>
    </w:p>
    <w:p>
      <w:pPr>
        <w:pStyle w:val="31"/>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w:t>投标人应根据国家的有关规定和招标文件要求并结合企业的实际情况进行投标报价。投标报价以人民币为结算货币，投标报价须包含：服务人员工资，按规定缴纳的各类保险，加班费，管理费用，税费，固定资产折旧费，企业提取费用，所有材料及易耗品（包括卫生纸、擦手纸、洗手液、塑料袋、除臭香球、除臭剂等耗材）费用，工具，福利费，培训费，安保及保洁办公费用，服装费，夜餐费，伙食费，过节费，奖励费，劳保费，体检费，弱电及供水、供电等设备设施的日常维护、保养(不含消防、空调日常维护、保养产生费用)，楼外墙、窗清洗的费用；其它一切费用，政策性文件规定及合同包含的所有风险、责任等各项应有费用（不含：(1)消防、电梯、供电、弱电等设备设施的维修材料费；(2)水、电费；(3)消防、电梯、供电等设备设施的年度检测费；(4)垃圾清运费）。如有漏项，视同已包含在其总项目中。</w:t>
      </w:r>
    </w:p>
    <w:p>
      <w:pPr>
        <w:widowControl w:val="0"/>
        <w:spacing w:line="460" w:lineRule="exact"/>
        <w:ind w:firstLine="482" w:firstLineChars="200"/>
        <w:rPr>
          <w:b/>
          <w:bCs/>
          <w:color w:val="000000"/>
        </w:rPr>
      </w:pPr>
      <w:r>
        <w:rPr>
          <w:rFonts w:hint="eastAsia"/>
          <w:b/>
          <w:bCs/>
          <w:color w:val="000000"/>
          <w:lang w:val="zh-CN"/>
        </w:rPr>
        <w:t>（二）服务期限</w:t>
      </w:r>
    </w:p>
    <w:p>
      <w:pPr>
        <w:keepNext w:val="0"/>
        <w:keepLines w:val="0"/>
        <w:pageBreakBefore w:val="0"/>
        <w:widowControl/>
        <w:kinsoku/>
        <w:wordWrap/>
        <w:overflowPunct/>
        <w:topLinePunct w:val="0"/>
        <w:autoSpaceDE/>
        <w:autoSpaceDN/>
        <w:bidi w:val="0"/>
        <w:adjustRightInd/>
        <w:snapToGrid/>
        <w:spacing w:line="440" w:lineRule="atLeast"/>
        <w:ind w:firstLine="480" w:firstLineChars="200"/>
        <w:textAlignment w:val="auto"/>
        <w:rPr>
          <w:rFonts w:hint="eastAsia" w:ascii="新宋体" w:hAnsi="新宋体" w:eastAsia="新宋体" w:cs="新宋体"/>
          <w:kern w:val="2"/>
          <w:sz w:val="24"/>
          <w:szCs w:val="21"/>
          <w:lang w:val="en-US" w:eastAsia="zh-CN" w:bidi="ar-SA"/>
        </w:rPr>
      </w:pPr>
      <w:r>
        <w:rPr>
          <w:rFonts w:hint="eastAsia" w:ascii="宋体" w:hAnsi="宋体" w:eastAsia="宋体" w:cs="宋体"/>
          <w:color w:val="000000"/>
          <w:kern w:val="2"/>
          <w:sz w:val="24"/>
          <w:szCs w:val="21"/>
          <w:lang w:val="en-US" w:eastAsia="zh-CN" w:bidi="ar-SA"/>
        </w:rPr>
        <w:t>1</w:t>
      </w:r>
      <w:r>
        <w:rPr>
          <w:rFonts w:hint="eastAsia" w:ascii="新宋体" w:hAnsi="新宋体" w:eastAsia="新宋体" w:cs="新宋体"/>
          <w:kern w:val="2"/>
          <w:sz w:val="24"/>
          <w:szCs w:val="21"/>
          <w:lang w:val="en-US" w:eastAsia="zh-CN" w:bidi="ar-SA"/>
        </w:rPr>
        <w:t>、服务期限：本项目服务期限三年，合同为一年一签，自签订合同并生效之日起。</w:t>
      </w:r>
    </w:p>
    <w:p>
      <w:pPr>
        <w:keepNext w:val="0"/>
        <w:keepLines w:val="0"/>
        <w:pageBreakBefore w:val="0"/>
        <w:widowControl/>
        <w:kinsoku/>
        <w:wordWrap/>
        <w:overflowPunct/>
        <w:topLinePunct w:val="0"/>
        <w:autoSpaceDE/>
        <w:autoSpaceDN/>
        <w:bidi w:val="0"/>
        <w:adjustRightInd/>
        <w:snapToGrid/>
        <w:spacing w:line="440" w:lineRule="atLeast"/>
        <w:ind w:firstLine="480" w:firstLineChars="200"/>
        <w:textAlignment w:val="auto"/>
        <w:rPr>
          <w:rFonts w:hint="eastAsia" w:ascii="新宋体" w:hAnsi="新宋体" w:eastAsia="新宋体" w:cs="新宋体"/>
          <w:kern w:val="2"/>
          <w:sz w:val="24"/>
          <w:szCs w:val="21"/>
          <w:lang w:val="en-US" w:eastAsia="zh-CN" w:bidi="ar-SA"/>
        </w:rPr>
      </w:pPr>
      <w:r>
        <w:rPr>
          <w:rFonts w:hint="eastAsia" w:ascii="新宋体" w:hAnsi="新宋体" w:eastAsia="新宋体" w:cs="新宋体"/>
          <w:kern w:val="2"/>
          <w:sz w:val="24"/>
          <w:szCs w:val="21"/>
          <w:lang w:val="en-US" w:eastAsia="zh-CN" w:bidi="ar-SA"/>
        </w:rPr>
        <w:t>2、合同期执行期间，采购人对中标方每月进行满意度考核测评（考核标准见附件：《义乌市城西街道办事处</w:t>
      </w:r>
      <w:r>
        <w:rPr>
          <w:rFonts w:hint="default" w:ascii="新宋体" w:hAnsi="新宋体" w:eastAsia="新宋体" w:cs="新宋体"/>
          <w:kern w:val="2"/>
          <w:sz w:val="24"/>
          <w:szCs w:val="21"/>
          <w:lang w:val="en-US" w:eastAsia="zh-CN" w:bidi="ar-SA"/>
        </w:rPr>
        <w:t>6</w:t>
      </w:r>
      <w:r>
        <w:rPr>
          <w:rFonts w:hint="eastAsia" w:ascii="新宋体" w:hAnsi="新宋体" w:eastAsia="新宋体" w:cs="新宋体"/>
          <w:kern w:val="2"/>
          <w:sz w:val="24"/>
          <w:szCs w:val="21"/>
          <w:lang w:val="en-US" w:eastAsia="zh-CN" w:bidi="ar-SA"/>
        </w:rPr>
        <w:t>个办公区安保及保洁满意度考核测评表》）。如果有以下情况，采购人有权提前中止合同。(1)经过测评，对中标人服务质量的满意率低于85分的；(2)发现员工数量缺员累计超过20人次的；(3)发现存在严重违反《劳动法》等法律法规行为的。</w:t>
      </w:r>
    </w:p>
    <w:p>
      <w:pPr>
        <w:keepNext w:val="0"/>
        <w:keepLines w:val="0"/>
        <w:pageBreakBefore w:val="0"/>
        <w:widowControl/>
        <w:kinsoku/>
        <w:wordWrap/>
        <w:overflowPunct/>
        <w:topLinePunct w:val="0"/>
        <w:autoSpaceDE/>
        <w:autoSpaceDN/>
        <w:bidi w:val="0"/>
        <w:adjustRightInd/>
        <w:snapToGrid/>
        <w:spacing w:line="440" w:lineRule="atLeast"/>
        <w:ind w:firstLine="480" w:firstLineChars="200"/>
        <w:textAlignment w:val="auto"/>
        <w:rPr>
          <w:rFonts w:hint="eastAsia" w:ascii="新宋体" w:hAnsi="新宋体" w:eastAsia="新宋体" w:cs="新宋体"/>
          <w:kern w:val="2"/>
          <w:sz w:val="24"/>
          <w:szCs w:val="21"/>
          <w:lang w:val="en-US" w:eastAsia="zh-CN" w:bidi="ar-SA"/>
        </w:rPr>
      </w:pPr>
      <w:r>
        <w:rPr>
          <w:rFonts w:hint="eastAsia" w:ascii="新宋体" w:hAnsi="新宋体" w:eastAsia="新宋体" w:cs="新宋体"/>
          <w:kern w:val="2"/>
          <w:sz w:val="24"/>
          <w:szCs w:val="21"/>
          <w:lang w:val="en-US" w:eastAsia="zh-CN" w:bidi="ar-SA"/>
        </w:rPr>
        <w:t>3、服务地点：采购人指定地点。</w:t>
      </w:r>
    </w:p>
    <w:p>
      <w:pPr>
        <w:widowControl w:val="0"/>
        <w:spacing w:line="460" w:lineRule="exact"/>
        <w:ind w:firstLine="482" w:firstLineChars="200"/>
        <w:rPr>
          <w:b/>
          <w:bCs/>
          <w:color w:val="000000"/>
          <w:lang w:val="zh-CN"/>
        </w:rPr>
      </w:pPr>
      <w:r>
        <w:rPr>
          <w:rFonts w:hint="eastAsia"/>
          <w:b/>
          <w:bCs/>
          <w:color w:val="000000"/>
          <w:lang w:val="zh-CN"/>
        </w:rPr>
        <w:t>（</w:t>
      </w:r>
      <w:r>
        <w:rPr>
          <w:rFonts w:hint="eastAsia"/>
          <w:b/>
          <w:bCs/>
          <w:color w:val="000000"/>
        </w:rPr>
        <w:t>三</w:t>
      </w:r>
      <w:r>
        <w:rPr>
          <w:rFonts w:hint="eastAsia"/>
          <w:b/>
          <w:bCs/>
          <w:color w:val="000000"/>
          <w:lang w:val="zh-CN"/>
        </w:rPr>
        <w:t>）验收标准</w:t>
      </w:r>
    </w:p>
    <w:p>
      <w:pPr>
        <w:widowControl w:val="0"/>
        <w:spacing w:line="460" w:lineRule="exact"/>
        <w:ind w:firstLine="480" w:firstLineChars="200"/>
        <w:rPr>
          <w:color w:val="000000"/>
          <w:lang w:val="zh-CN"/>
        </w:rPr>
      </w:pPr>
      <w:r>
        <w:rPr>
          <w:rFonts w:hint="eastAsia"/>
          <w:color w:val="000000"/>
          <w:lang w:val="zh-CN"/>
        </w:rPr>
        <w:t>根据中华人民共和国现行技术标准，按招标文件以及合同规定的验收评定标准等规范，由采购人根据《政府采购合同履约和验收管理办法（暂行）》（义招管办〔</w:t>
      </w:r>
      <w:r>
        <w:rPr>
          <w:color w:val="000000"/>
          <w:lang w:val="zh-CN"/>
        </w:rPr>
        <w:t>2008</w:t>
      </w:r>
      <w:r>
        <w:rPr>
          <w:rFonts w:hint="eastAsia"/>
          <w:color w:val="000000"/>
          <w:lang w:val="zh-CN"/>
        </w:rPr>
        <w:t>〕</w:t>
      </w:r>
      <w:r>
        <w:rPr>
          <w:color w:val="000000"/>
          <w:lang w:val="zh-CN"/>
        </w:rPr>
        <w:t>32</w:t>
      </w:r>
      <w:r>
        <w:rPr>
          <w:rFonts w:hint="eastAsia"/>
          <w:color w:val="000000"/>
          <w:lang w:val="zh-CN"/>
        </w:rPr>
        <w:t>号）文件要求和《义乌市关于规范政府采购管理的若干意见》（义政办发〔</w:t>
      </w:r>
      <w:r>
        <w:rPr>
          <w:color w:val="000000"/>
          <w:lang w:val="zh-CN"/>
        </w:rPr>
        <w:t>2017</w:t>
      </w:r>
      <w:r>
        <w:rPr>
          <w:rFonts w:hint="eastAsia"/>
          <w:color w:val="000000"/>
          <w:lang w:val="zh-CN"/>
        </w:rPr>
        <w:t>〕</w:t>
      </w:r>
      <w:r>
        <w:rPr>
          <w:color w:val="000000"/>
          <w:lang w:val="zh-CN"/>
        </w:rPr>
        <w:t>102</w:t>
      </w:r>
      <w:r>
        <w:rPr>
          <w:rFonts w:hint="eastAsia"/>
          <w:color w:val="000000"/>
          <w:lang w:val="zh-CN"/>
        </w:rPr>
        <w:t>号）要求和行业相关的规定，组织验收。</w:t>
      </w:r>
    </w:p>
    <w:p>
      <w:pPr>
        <w:widowControl w:val="0"/>
        <w:numPr>
          <w:ilvl w:val="0"/>
          <w:numId w:val="4"/>
        </w:numPr>
        <w:spacing w:line="460" w:lineRule="exact"/>
        <w:ind w:firstLine="482" w:firstLineChars="200"/>
        <w:rPr>
          <w:rFonts w:hint="eastAsia"/>
          <w:b/>
          <w:bCs/>
          <w:color w:val="000000"/>
          <w:highlight w:val="none"/>
          <w:lang w:val="zh-CN"/>
        </w:rPr>
      </w:pPr>
      <w:r>
        <w:rPr>
          <w:rFonts w:hint="eastAsia"/>
          <w:b/>
          <w:bCs/>
          <w:color w:val="000000"/>
          <w:highlight w:val="none"/>
          <w:lang w:val="zh-CN"/>
        </w:rPr>
        <w:t>结算和付款方式：</w:t>
      </w:r>
    </w:p>
    <w:p>
      <w:pPr>
        <w:pStyle w:val="31"/>
        <w:snapToGrid w:val="0"/>
        <w:spacing w:line="460" w:lineRule="exact"/>
        <w:ind w:firstLine="480" w:firstLineChars="200"/>
        <w:rPr>
          <w:rFonts w:hint="eastAsia" w:ascii="宋体" w:hAnsi="宋体" w:eastAsia="宋体" w:cs="宋体"/>
          <w:color w:val="000000"/>
          <w:sz w:val="24"/>
          <w:lang w:val="en-US" w:eastAsia="zh-CN"/>
        </w:rPr>
      </w:pPr>
      <w:r>
        <w:rPr>
          <w:rFonts w:hint="default" w:hAnsi="宋体" w:cs="宋体"/>
          <w:color w:val="000000"/>
          <w:sz w:val="24"/>
          <w:lang w:val="en-US" w:eastAsia="zh-CN"/>
        </w:rPr>
        <w:t>1.</w:t>
      </w:r>
      <w:r>
        <w:rPr>
          <w:rFonts w:hint="eastAsia" w:ascii="宋体" w:hAnsi="宋体" w:eastAsia="宋体" w:cs="宋体"/>
          <w:color w:val="000000"/>
          <w:sz w:val="24"/>
          <w:lang w:val="en-US" w:eastAsia="zh-CN"/>
        </w:rPr>
        <w:t>年度合同价的40%作为预付款，预付款每年度一付。第一年度预付款在合同生效以及具备实施条件后7个工作日内支付；第二年度预付款自第二年度合同开始后7个工作日内支付；第三年度预付款自第三年度合同开始后7个工作日内支付。（均需乙方先提供发票）</w:t>
      </w:r>
      <w:r>
        <w:rPr>
          <w:rFonts w:hint="eastAsia" w:ascii="宋体" w:hAnsi="宋体" w:eastAsia="宋体" w:cs="宋体"/>
          <w:color w:val="000000"/>
          <w:sz w:val="24"/>
          <w:lang w:val="en-US" w:eastAsia="zh-CN"/>
        </w:rPr>
        <w:br w:type="textWrapping"/>
      </w:r>
      <w:r>
        <w:rPr>
          <w:rFonts w:hint="default" w:hAnsi="宋体" w:cs="宋体"/>
          <w:color w:val="000000"/>
          <w:sz w:val="24"/>
          <w:lang w:val="en-US" w:eastAsia="zh-CN"/>
        </w:rPr>
        <w:t xml:space="preserve">   </w:t>
      </w:r>
      <w:r>
        <w:rPr>
          <w:rFonts w:hint="eastAsia" w:ascii="宋体" w:hAnsi="宋体" w:eastAsia="宋体" w:cs="宋体"/>
          <w:color w:val="000000"/>
          <w:sz w:val="24"/>
          <w:lang w:val="en-US" w:eastAsia="zh-CN"/>
        </w:rPr>
        <w:t>2.年度余款按季等额计算，每三个月支付一次。甲方每月对乙方进行考核，考核后对乙方实施的奖、罚金额纳入当季度服务费结算。计算办法（年度合同价款-年度预付款）÷4±考核奖罚金额＝实际支付金额。甲方在季度结束后次月20日前按合同、发票及要求的支付凭证等资料支付上季度费用。</w:t>
      </w:r>
    </w:p>
    <w:p>
      <w:pPr>
        <w:pStyle w:val="31"/>
        <w:snapToGrid w:val="0"/>
        <w:spacing w:line="46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3．本项目服务期限三年，合同为一年一签。采购人根据中标人上一年度的合同履约、考核等情况决定是否继续签订下一年度合同。</w:t>
      </w:r>
    </w:p>
    <w:p>
      <w:pPr>
        <w:pStyle w:val="31"/>
        <w:snapToGrid w:val="0"/>
        <w:spacing w:line="460" w:lineRule="exact"/>
        <w:ind w:firstLine="480" w:firstLineChars="200"/>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w:t>
      </w:r>
      <w:r>
        <w:rPr>
          <w:rFonts w:hint="eastAsia" w:ascii="宋体" w:hAnsi="宋体" w:eastAsia="宋体" w:cs="宋体"/>
          <w:color w:val="000000"/>
          <w:sz w:val="24"/>
          <w:lang w:val="en-US" w:eastAsia="zh-CN"/>
        </w:rPr>
        <w:t>.如提前解除合同，乙方须退回甲方提前支付的剩余预付款。</w:t>
      </w:r>
    </w:p>
    <w:p>
      <w:pPr>
        <w:widowControl w:val="0"/>
        <w:spacing w:line="460" w:lineRule="exact"/>
        <w:ind w:firstLine="482" w:firstLineChars="200"/>
        <w:rPr>
          <w:b/>
          <w:bCs/>
          <w:color w:val="000000"/>
        </w:rPr>
      </w:pPr>
      <w:r>
        <w:rPr>
          <w:rFonts w:hint="eastAsia"/>
          <w:b/>
          <w:bCs/>
          <w:color w:val="000000"/>
          <w:lang w:val="zh-CN"/>
        </w:rPr>
        <w:t>（</w:t>
      </w:r>
      <w:r>
        <w:rPr>
          <w:rFonts w:hint="eastAsia"/>
          <w:b/>
          <w:bCs/>
          <w:color w:val="000000"/>
        </w:rPr>
        <w:t>五</w:t>
      </w:r>
      <w:r>
        <w:rPr>
          <w:rFonts w:hint="eastAsia"/>
          <w:b/>
          <w:bCs/>
          <w:color w:val="000000"/>
          <w:lang w:val="zh-CN"/>
        </w:rPr>
        <w:t>）</w:t>
      </w:r>
      <w:r>
        <w:rPr>
          <w:rFonts w:hint="eastAsia"/>
          <w:b/>
          <w:bCs/>
          <w:color w:val="000000"/>
        </w:rPr>
        <w:t>其他要求</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0"/>
        </w:rPr>
        <w:t>1.</w:t>
      </w:r>
      <w:r>
        <w:rPr>
          <w:rFonts w:hint="eastAsia" w:ascii="宋体" w:hAnsi="宋体" w:eastAsia="宋体" w:cs="宋体"/>
          <w:color w:val="000000"/>
          <w:sz w:val="24"/>
        </w:rPr>
        <w:t>投标人所投货物的技术参数不得低于本项目的技术要求和档次。</w:t>
      </w:r>
    </w:p>
    <w:p>
      <w:pPr>
        <w:spacing w:line="460" w:lineRule="exact"/>
        <w:ind w:firstLine="280" w:firstLineChars="100"/>
        <w:rPr>
          <w:rFonts w:hint="eastAsia" w:ascii="宋体" w:hAnsi="宋体" w:eastAsia="宋体" w:cs="宋体"/>
          <w:color w:val="000000"/>
          <w:sz w:val="24"/>
        </w:rPr>
      </w:pPr>
      <w:r>
        <w:rPr>
          <w:rFonts w:hint="eastAsia" w:ascii="宋体" w:hAnsi="宋体" w:eastAsia="宋体" w:cs="宋体"/>
          <w:color w:val="000000"/>
          <w:sz w:val="28"/>
          <w:szCs w:val="28"/>
        </w:rPr>
        <w:t>★</w:t>
      </w:r>
      <w:r>
        <w:rPr>
          <w:rFonts w:hint="eastAsia" w:ascii="宋体" w:hAnsi="宋体" w:eastAsia="宋体" w:cs="宋体"/>
          <w:b/>
          <w:bCs/>
          <w:color w:val="000000"/>
          <w:sz w:val="24"/>
        </w:rPr>
        <w:t>2.中标单位在签订合同时，若坚持提出附加条件和不合理要求，中标资格将被取消，</w:t>
      </w:r>
      <w:r>
        <w:rPr>
          <w:rFonts w:hint="eastAsia" w:ascii="宋体" w:hAnsi="宋体" w:eastAsia="宋体" w:cs="宋体"/>
          <w:color w:val="000000"/>
          <w:sz w:val="24"/>
        </w:rPr>
        <w:t>该中标人对由此产生的一切后果负责。</w:t>
      </w:r>
    </w:p>
    <w:p>
      <w:pPr>
        <w:pStyle w:val="31"/>
        <w:snapToGrid w:val="0"/>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3.投标人提交的投标文件均归采购人所有，不再返还给投标人。</w:t>
      </w:r>
    </w:p>
    <w:p>
      <w:pPr>
        <w:pStyle w:val="31"/>
        <w:snapToGrid w:val="0"/>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中标人应按法律政策有关规定，为职工足额交纳社会保险，并按有关规定标准足额支付员工超时及节假日的加班费用。</w:t>
      </w:r>
    </w:p>
    <w:p>
      <w:pPr>
        <w:pStyle w:val="31"/>
        <w:snapToGrid w:val="0"/>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w:t>
      </w:r>
      <w:r>
        <w:rPr>
          <w:rFonts w:hint="eastAsia" w:ascii="宋体" w:hAnsi="宋体" w:eastAsia="宋体" w:cs="宋体"/>
          <w:color w:val="000000"/>
          <w:sz w:val="24"/>
          <w:lang w:eastAsia="zh-CN"/>
        </w:rPr>
        <w:t>采购人</w:t>
      </w:r>
      <w:r>
        <w:rPr>
          <w:rFonts w:hint="eastAsia" w:ascii="宋体" w:hAnsi="宋体" w:eastAsia="宋体" w:cs="宋体"/>
          <w:color w:val="000000"/>
          <w:sz w:val="24"/>
        </w:rPr>
        <w:t>不提供中标单位职工的住宿用房。</w:t>
      </w:r>
    </w:p>
    <w:p>
      <w:pPr>
        <w:pStyle w:val="31"/>
        <w:snapToGrid w:val="0"/>
        <w:spacing w:line="460" w:lineRule="exact"/>
        <w:ind w:firstLine="480" w:firstLineChars="200"/>
      </w:pPr>
      <w:r>
        <w:rPr>
          <w:rFonts w:hint="eastAsia" w:ascii="宋体" w:hAnsi="宋体" w:eastAsia="宋体" w:cs="宋体"/>
          <w:color w:val="000000"/>
          <w:sz w:val="24"/>
          <w:lang w:val="en-US" w:eastAsia="zh-CN"/>
        </w:rPr>
        <w:t>6</w:t>
      </w:r>
      <w:r>
        <w:rPr>
          <w:rFonts w:hint="eastAsia" w:ascii="宋体" w:hAnsi="宋体" w:eastAsia="宋体" w:cs="宋体"/>
          <w:color w:val="000000"/>
          <w:sz w:val="24"/>
        </w:rPr>
        <w:t>.如果因办公用房调整，本项目需要削减中标单位员工数量的，将按投标书报价扣减相应费用。</w:t>
      </w:r>
    </w:p>
    <w:p>
      <w:pPr>
        <w:pStyle w:val="6"/>
        <w:widowControl w:val="0"/>
        <w:numPr>
          <w:ilvl w:val="1"/>
          <w:numId w:val="0"/>
        </w:numPr>
        <w:spacing w:before="120" w:after="120" w:line="400" w:lineRule="exact"/>
        <w:rPr>
          <w:rFonts w:hint="eastAsia" w:ascii="Times New Roman" w:hAnsi="Times New Roman" w:eastAsia="宋体"/>
          <w:sz w:val="28"/>
          <w:szCs w:val="28"/>
        </w:rPr>
      </w:pPr>
      <w:bookmarkStart w:id="92" w:name="_Toc32268"/>
      <w:bookmarkStart w:id="93" w:name="_Toc28254"/>
      <w:bookmarkStart w:id="94" w:name="_Toc20068"/>
      <w:bookmarkStart w:id="95" w:name="_Toc464825737"/>
      <w:bookmarkStart w:id="96" w:name="_Toc7512737"/>
      <w:bookmarkStart w:id="97" w:name="_Toc39154079"/>
      <w:bookmarkStart w:id="98" w:name="_Toc17014"/>
      <w:bookmarkStart w:id="99" w:name="_Toc20343"/>
      <w:r>
        <w:rPr>
          <w:rFonts w:hint="eastAsia" w:ascii="Times New Roman" w:hAnsi="Times New Roman" w:eastAsia="宋体"/>
          <w:sz w:val="28"/>
          <w:szCs w:val="28"/>
          <w:lang w:val="en-US" w:eastAsia="zh-CN"/>
        </w:rPr>
        <w:t>八</w:t>
      </w:r>
      <w:r>
        <w:rPr>
          <w:rFonts w:hint="eastAsia" w:ascii="Times New Roman" w:hAnsi="Times New Roman" w:eastAsia="宋体"/>
          <w:sz w:val="28"/>
          <w:szCs w:val="28"/>
        </w:rPr>
        <w:t>、</w:t>
      </w:r>
      <w:r>
        <w:rPr>
          <w:rFonts w:hint="eastAsia" w:ascii="Times New Roman" w:hAnsi="Times New Roman" w:eastAsia="宋体"/>
          <w:sz w:val="28"/>
          <w:szCs w:val="28"/>
          <w:lang w:val="en-US" w:eastAsia="zh-CN"/>
        </w:rPr>
        <w:t>其他</w:t>
      </w:r>
      <w:r>
        <w:rPr>
          <w:rFonts w:hint="eastAsia" w:ascii="Times New Roman" w:hAnsi="Times New Roman" w:eastAsia="宋体"/>
          <w:sz w:val="28"/>
          <w:szCs w:val="28"/>
        </w:rPr>
        <w:t>说明</w:t>
      </w:r>
      <w:bookmarkEnd w:id="92"/>
      <w:bookmarkEnd w:id="93"/>
      <w:bookmarkEnd w:id="94"/>
      <w:bookmarkEnd w:id="95"/>
      <w:bookmarkEnd w:id="96"/>
      <w:bookmarkEnd w:id="97"/>
      <w:bookmarkEnd w:id="98"/>
      <w:bookmarkEnd w:id="99"/>
    </w:p>
    <w:p>
      <w:r>
        <w:rPr>
          <w:rFonts w:hint="eastAsia" w:ascii="宋体" w:hAnsi="宋体" w:cs="宋体"/>
          <w:color w:val="000000"/>
        </w:rPr>
        <w:t>★</w:t>
      </w:r>
      <w:r>
        <w:rPr>
          <w:color w:val="000000"/>
        </w:rPr>
        <w:t>1</w:t>
      </w:r>
      <w:r>
        <w:rPr>
          <w:color w:val="000000"/>
          <w:lang w:val="zh-CN"/>
        </w:rPr>
        <w:t>.</w:t>
      </w:r>
      <w:r>
        <w:rPr>
          <w:rFonts w:hint="eastAsia"/>
          <w:color w:val="000000"/>
          <w:lang w:val="zh-CN"/>
        </w:rPr>
        <w:t>本项目设有</w:t>
      </w:r>
      <w:r>
        <w:rPr>
          <w:rFonts w:hint="eastAsia"/>
          <w:color w:val="000000"/>
        </w:rPr>
        <w:t>一</w:t>
      </w:r>
      <w:r>
        <w:rPr>
          <w:rFonts w:hint="eastAsia"/>
          <w:color w:val="000000"/>
          <w:lang w:val="zh-CN"/>
        </w:rPr>
        <w:t>个标项，对于同一标段内的产品或服务不允许拆分参投，否则其投标无效。</w:t>
      </w:r>
    </w:p>
    <w:p/>
    <w:bookmarkEnd w:id="79"/>
    <w:bookmarkEnd w:id="80"/>
    <w:bookmarkEnd w:id="81"/>
    <w:bookmarkEnd w:id="82"/>
    <w:bookmarkEnd w:id="83"/>
    <w:bookmarkEnd w:id="84"/>
    <w:bookmarkEnd w:id="85"/>
    <w:p>
      <w:pPr>
        <w:rPr>
          <w:sz w:val="36"/>
          <w:szCs w:val="36"/>
        </w:rPr>
      </w:pPr>
      <w:bookmarkStart w:id="100" w:name="_Toc132380067"/>
    </w:p>
    <w:p>
      <w:pPr>
        <w:pStyle w:val="2"/>
        <w:rPr>
          <w:sz w:val="36"/>
          <w:szCs w:val="36"/>
        </w:rPr>
      </w:pPr>
    </w:p>
    <w:p>
      <w:pPr>
        <w:rPr>
          <w:sz w:val="36"/>
          <w:szCs w:val="36"/>
        </w:rPr>
      </w:pPr>
    </w:p>
    <w:p>
      <w:pPr>
        <w:pStyle w:val="2"/>
        <w:rPr>
          <w:sz w:val="36"/>
          <w:szCs w:val="36"/>
        </w:rPr>
      </w:pPr>
    </w:p>
    <w:p>
      <w:pPr>
        <w:rPr>
          <w:sz w:val="36"/>
          <w:szCs w:val="36"/>
        </w:rPr>
      </w:pPr>
    </w:p>
    <w:p>
      <w:pPr>
        <w:pStyle w:val="2"/>
        <w:rPr>
          <w:sz w:val="36"/>
          <w:szCs w:val="36"/>
        </w:rPr>
      </w:pPr>
    </w:p>
    <w:p>
      <w:pPr>
        <w:rPr>
          <w:sz w:val="36"/>
          <w:szCs w:val="36"/>
        </w:rPr>
      </w:pPr>
    </w:p>
    <w:p>
      <w:pPr>
        <w:pStyle w:val="2"/>
        <w:rPr>
          <w:sz w:val="36"/>
          <w:szCs w:val="36"/>
        </w:rPr>
      </w:pPr>
    </w:p>
    <w:p>
      <w:pPr>
        <w:rPr>
          <w:sz w:val="36"/>
          <w:szCs w:val="36"/>
        </w:rPr>
      </w:pPr>
    </w:p>
    <w:p>
      <w:pPr>
        <w:pStyle w:val="2"/>
        <w:rPr>
          <w:sz w:val="36"/>
          <w:szCs w:val="36"/>
        </w:rPr>
      </w:pPr>
    </w:p>
    <w:p>
      <w:pPr>
        <w:rPr>
          <w:sz w:val="36"/>
          <w:szCs w:val="36"/>
        </w:rPr>
      </w:pPr>
    </w:p>
    <w:p>
      <w:pPr>
        <w:pStyle w:val="2"/>
        <w:rPr>
          <w:sz w:val="36"/>
          <w:szCs w:val="36"/>
        </w:rPr>
      </w:pPr>
    </w:p>
    <w:p>
      <w:pPr>
        <w:rPr>
          <w:sz w:val="36"/>
          <w:szCs w:val="36"/>
        </w:rPr>
      </w:pPr>
    </w:p>
    <w:p>
      <w:pPr>
        <w:pStyle w:val="2"/>
        <w:rPr>
          <w:sz w:val="36"/>
          <w:szCs w:val="36"/>
        </w:rPr>
      </w:pPr>
    </w:p>
    <w:p/>
    <w:p>
      <w:pPr>
        <w:pStyle w:val="2"/>
        <w:ind w:left="0" w:leftChars="0" w:firstLine="0" w:firstLineChars="0"/>
      </w:pPr>
    </w:p>
    <w:p/>
    <w:p>
      <w:pPr>
        <w:pStyle w:val="2"/>
      </w:pPr>
    </w:p>
    <w:p/>
    <w:p>
      <w:pPr>
        <w:pStyle w:val="5"/>
        <w:keepNext w:val="0"/>
        <w:keepLines w:val="0"/>
        <w:widowControl w:val="0"/>
        <w:spacing w:before="0" w:after="0" w:line="240" w:lineRule="auto"/>
        <w:jc w:val="center"/>
        <w:rPr>
          <w:sz w:val="36"/>
          <w:szCs w:val="36"/>
        </w:rPr>
      </w:pPr>
      <w:r>
        <w:rPr>
          <w:rFonts w:hint="eastAsia"/>
          <w:sz w:val="36"/>
          <w:szCs w:val="36"/>
        </w:rPr>
        <w:t>第四章开标、评标和定标须知</w:t>
      </w:r>
      <w:bookmarkEnd w:id="75"/>
      <w:bookmarkEnd w:id="76"/>
      <w:bookmarkEnd w:id="77"/>
      <w:bookmarkEnd w:id="100"/>
    </w:p>
    <w:p>
      <w:pPr>
        <w:pStyle w:val="6"/>
        <w:keepNext w:val="0"/>
        <w:keepLines w:val="0"/>
        <w:widowControl w:val="0"/>
        <w:spacing w:before="0" w:after="0" w:line="460" w:lineRule="exact"/>
        <w:rPr>
          <w:rFonts w:ascii="Times New Roman" w:hAnsi="Times New Roman" w:eastAsia="宋体"/>
          <w:sz w:val="24"/>
          <w:szCs w:val="24"/>
        </w:rPr>
      </w:pPr>
      <w:bookmarkStart w:id="101" w:name="_Toc132380068"/>
      <w:bookmarkStart w:id="102" w:name="_Toc130822939"/>
      <w:bookmarkStart w:id="103" w:name="_Toc406413937"/>
      <w:bookmarkStart w:id="104" w:name="_Toc22509"/>
      <w:bookmarkStart w:id="105" w:name="_Toc274303252"/>
      <w:bookmarkStart w:id="106" w:name="_Toc362250704"/>
      <w:r>
        <w:rPr>
          <w:rFonts w:hint="eastAsia" w:ascii="Times New Roman" w:hAnsi="Times New Roman" w:eastAsia="宋体"/>
          <w:sz w:val="24"/>
          <w:szCs w:val="24"/>
        </w:rPr>
        <w:t>一、开标</w:t>
      </w:r>
      <w:bookmarkEnd w:id="101"/>
      <w:bookmarkEnd w:id="102"/>
      <w:bookmarkEnd w:id="103"/>
      <w:bookmarkEnd w:id="104"/>
      <w:bookmarkEnd w:id="105"/>
      <w:bookmarkEnd w:id="106"/>
    </w:p>
    <w:p>
      <w:pPr>
        <w:widowControl w:val="0"/>
        <w:spacing w:line="460" w:lineRule="exact"/>
        <w:ind w:firstLine="480" w:firstLineChars="200"/>
      </w:pPr>
      <w:bookmarkStart w:id="107" w:name="_Toc362250705"/>
      <w:bookmarkStart w:id="108" w:name="_Toc263090375"/>
      <w:bookmarkStart w:id="109" w:name="_Toc274303253"/>
      <w:bookmarkStart w:id="110" w:name="_Toc226973002"/>
      <w:bookmarkStart w:id="111" w:name="_Toc406413938"/>
      <w:bookmarkStart w:id="112" w:name="_Toc261519847"/>
      <w:r>
        <w:t>1.</w:t>
      </w:r>
      <w:r>
        <w:rPr>
          <w:rFonts w:hint="eastAsia"/>
        </w:rPr>
        <w:t>本项目实行电子开评标，投标人无需前往开评标现场，应在规定时间内在</w:t>
      </w:r>
      <w:r>
        <w:t>“</w:t>
      </w:r>
      <w:r>
        <w:rPr>
          <w:rFonts w:hint="eastAsia"/>
        </w:rPr>
        <w:t>政采云</w:t>
      </w:r>
      <w:r>
        <w:t>”</w:t>
      </w:r>
      <w:r>
        <w:rPr>
          <w:rFonts w:hint="eastAsia"/>
        </w:rPr>
        <w:t>上上传电子投标文件和准时在线参加开标。投标人不足</w:t>
      </w:r>
      <w:r>
        <w:t>3</w:t>
      </w:r>
      <w:r>
        <w:rPr>
          <w:rFonts w:hint="eastAsia"/>
        </w:rPr>
        <w:t>家的，不得开标。</w:t>
      </w:r>
    </w:p>
    <w:p>
      <w:pPr>
        <w:widowControl w:val="0"/>
        <w:spacing w:line="460" w:lineRule="exact"/>
        <w:ind w:firstLine="480" w:firstLineChars="200"/>
      </w:pPr>
      <w:r>
        <w:t>2.</w:t>
      </w:r>
      <w:r>
        <w:rPr>
          <w:rFonts w:hint="eastAsia"/>
        </w:rPr>
        <w:t>电子开评标及评审程序</w:t>
      </w:r>
    </w:p>
    <w:p>
      <w:pPr>
        <w:widowControl w:val="0"/>
        <w:spacing w:line="460" w:lineRule="exact"/>
        <w:ind w:firstLine="480" w:firstLineChars="200"/>
      </w:pPr>
      <w:r>
        <w:t>2.1</w:t>
      </w:r>
      <w:r>
        <w:rPr>
          <w:rFonts w:hint="eastAsia"/>
        </w:rPr>
        <w:t>采购代理机构开启解密后的</w:t>
      </w:r>
      <w:r>
        <w:t>1</w:t>
      </w:r>
      <w:r>
        <w:rPr>
          <w:rFonts w:hint="eastAsia"/>
        </w:rPr>
        <w:t>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p>
    <w:p>
      <w:pPr>
        <w:pStyle w:val="31"/>
        <w:widowControl w:val="0"/>
        <w:snapToGrid w:val="0"/>
        <w:spacing w:line="440" w:lineRule="exact"/>
        <w:ind w:firstLine="470" w:firstLineChars="196"/>
        <w:rPr>
          <w:rFonts w:ascii="Times New Roman" w:hAnsi="Times New Roman" w:cs="Times New Roman"/>
          <w:sz w:val="24"/>
          <w:szCs w:val="24"/>
        </w:rPr>
      </w:pPr>
      <w:r>
        <w:rPr>
          <w:rFonts w:ascii="Times New Roman" w:hAnsi="Times New Roman" w:cs="Times New Roman"/>
          <w:sz w:val="24"/>
          <w:szCs w:val="24"/>
        </w:rPr>
        <w:t>2.2.</w:t>
      </w:r>
      <w:r>
        <w:rPr>
          <w:rFonts w:hint="eastAsia" w:ascii="Times New Roman" w:hAnsi="Times New Roman" w:cs="Times New Roman"/>
          <w:sz w:val="24"/>
          <w:szCs w:val="24"/>
        </w:rPr>
        <w:t>采购人或采购代理机构对投标人的资格响应文件进行评审。采购人或采购代理机构应对投标人</w:t>
      </w:r>
      <w:r>
        <w:rPr>
          <w:rFonts w:ascii="Times New Roman" w:hAnsi="Times New Roman" w:cs="Times New Roman"/>
          <w:sz w:val="24"/>
          <w:szCs w:val="24"/>
        </w:rPr>
        <w:t>“</w:t>
      </w:r>
      <w:r>
        <w:rPr>
          <w:rFonts w:hint="eastAsia" w:ascii="Times New Roman" w:hAnsi="Times New Roman" w:cs="Times New Roman"/>
          <w:sz w:val="24"/>
          <w:szCs w:val="24"/>
        </w:rPr>
        <w:t>信用中国</w:t>
      </w:r>
      <w:r>
        <w:rPr>
          <w:rFonts w:ascii="Times New Roman" w:hAnsi="Times New Roman" w:cs="Times New Roman"/>
          <w:sz w:val="24"/>
          <w:szCs w:val="24"/>
        </w:rPr>
        <w:t>”</w:t>
      </w:r>
      <w:r>
        <w:rPr>
          <w:rFonts w:hint="eastAsia" w:ascii="Times New Roman" w:hAnsi="Times New Roman" w:cs="Times New Roman"/>
          <w:sz w:val="24"/>
          <w:szCs w:val="24"/>
        </w:rPr>
        <w:t>网站（</w:t>
      </w:r>
      <w:r>
        <w:rPr>
          <w:rFonts w:ascii="Times New Roman" w:hAnsi="Times New Roman" w:cs="Times New Roman"/>
          <w:sz w:val="24"/>
          <w:szCs w:val="24"/>
        </w:rPr>
        <w:t>www.creditchina.gov.cn</w:t>
      </w:r>
      <w:r>
        <w:rPr>
          <w:rFonts w:hint="eastAsia" w:ascii="Times New Roman" w:hAnsi="Times New Roman" w:cs="Times New Roman"/>
          <w:sz w:val="24"/>
          <w:szCs w:val="24"/>
        </w:rPr>
        <w:t>）、中国政府采购网（</w:t>
      </w:r>
      <w:r>
        <w:rPr>
          <w:rFonts w:ascii="Times New Roman" w:hAnsi="Times New Roman" w:cs="Times New Roman"/>
          <w:sz w:val="24"/>
          <w:szCs w:val="24"/>
        </w:rPr>
        <w:t>www.ccgp.gov.cn</w:t>
      </w:r>
      <w:r>
        <w:rPr>
          <w:rFonts w:hint="eastAsia" w:ascii="Times New Roman" w:hAnsi="Times New Roman" w:cs="Times New Roman"/>
          <w:sz w:val="24"/>
          <w:szCs w:val="24"/>
        </w:rPr>
        <w:t>）信用记录情况进行查询，根据《浙江省公共信用信息管理条例》第二十六条的规定，对投标人的综合信用报告评级进行查询。</w:t>
      </w:r>
    </w:p>
    <w:p>
      <w:pPr>
        <w:widowControl w:val="0"/>
        <w:spacing w:line="460" w:lineRule="exact"/>
        <w:ind w:firstLine="480" w:firstLineChars="200"/>
      </w:pPr>
      <w:r>
        <w:t>2.3</w:t>
      </w:r>
      <w:r>
        <w:rPr>
          <w:rFonts w:hint="eastAsia"/>
        </w:rPr>
        <w:t>评标委员会（即评标小组）对通过资格审查的投标人的商务技术响应文件进行评审。</w:t>
      </w:r>
    </w:p>
    <w:p>
      <w:pPr>
        <w:widowControl w:val="0"/>
        <w:spacing w:line="360" w:lineRule="auto"/>
        <w:ind w:firstLine="480" w:firstLineChars="200"/>
      </w:pPr>
      <w:r>
        <w:t>2.4</w:t>
      </w:r>
      <w:r>
        <w:rPr>
          <w:rFonts w:hint="eastAsia"/>
        </w:rPr>
        <w:t>评标小组对通过符合性审查的投标人的报价响应文件进行评审；</w:t>
      </w:r>
    </w:p>
    <w:p>
      <w:pPr>
        <w:widowControl w:val="0"/>
        <w:spacing w:line="360" w:lineRule="auto"/>
      </w:pPr>
      <w:r>
        <w:t xml:space="preserve">    2.5</w:t>
      </w:r>
      <w:r>
        <w:rPr>
          <w:rFonts w:hint="eastAsia"/>
        </w:rPr>
        <w:t>在系统上公布评审结果。</w:t>
      </w:r>
    </w:p>
    <w:p>
      <w:pPr>
        <w:widowControl w:val="0"/>
        <w:spacing w:line="460" w:lineRule="exact"/>
        <w:ind w:firstLine="482" w:firstLineChars="200"/>
        <w:rPr>
          <w:b/>
          <w:szCs w:val="21"/>
          <w:u w:val="single"/>
        </w:rPr>
      </w:pPr>
      <w:r>
        <w:rPr>
          <w:rFonts w:hint="eastAsia"/>
          <w:b/>
          <w:szCs w:val="21"/>
          <w:u w:val="single"/>
        </w:rPr>
        <w:t>特别说明：</w:t>
      </w:r>
      <w:r>
        <w:rPr>
          <w:b/>
          <w:szCs w:val="21"/>
          <w:u w:val="single"/>
        </w:rPr>
        <w:t>“</w:t>
      </w:r>
      <w:r>
        <w:rPr>
          <w:rFonts w:hint="eastAsia"/>
          <w:b/>
          <w:szCs w:val="21"/>
          <w:u w:val="single"/>
        </w:rPr>
        <w:t>政采云</w:t>
      </w:r>
      <w:r>
        <w:rPr>
          <w:b/>
          <w:szCs w:val="21"/>
          <w:u w:val="single"/>
        </w:rPr>
        <w:t>”</w:t>
      </w:r>
      <w:r>
        <w:rPr>
          <w:rFonts w:hint="eastAsia"/>
          <w:b/>
          <w:szCs w:val="21"/>
          <w:u w:val="single"/>
        </w:rPr>
        <w:t>如对开评标程序有调整的，按调整后的程序操作。</w:t>
      </w:r>
    </w:p>
    <w:p>
      <w:pPr>
        <w:pStyle w:val="6"/>
        <w:keepNext w:val="0"/>
        <w:keepLines w:val="0"/>
        <w:widowControl w:val="0"/>
        <w:spacing w:before="0" w:after="0" w:line="460" w:lineRule="exact"/>
        <w:rPr>
          <w:rFonts w:ascii="Times New Roman" w:hAnsi="Times New Roman" w:eastAsia="宋体"/>
          <w:sz w:val="24"/>
          <w:szCs w:val="24"/>
        </w:rPr>
      </w:pPr>
      <w:bookmarkStart w:id="113" w:name="_Toc130822940"/>
      <w:bookmarkStart w:id="114" w:name="_Toc28357"/>
      <w:bookmarkStart w:id="115" w:name="_Toc132380069"/>
      <w:r>
        <w:rPr>
          <w:rFonts w:hint="eastAsia" w:ascii="Times New Roman" w:hAnsi="Times New Roman" w:eastAsia="宋体"/>
          <w:sz w:val="24"/>
          <w:szCs w:val="24"/>
        </w:rPr>
        <w:t>二、评标</w:t>
      </w:r>
      <w:bookmarkEnd w:id="107"/>
      <w:bookmarkEnd w:id="108"/>
      <w:bookmarkEnd w:id="109"/>
      <w:bookmarkEnd w:id="110"/>
      <w:bookmarkEnd w:id="111"/>
      <w:bookmarkEnd w:id="112"/>
      <w:bookmarkEnd w:id="113"/>
      <w:bookmarkEnd w:id="114"/>
      <w:bookmarkEnd w:id="115"/>
    </w:p>
    <w:p>
      <w:pPr>
        <w:widowControl w:val="0"/>
        <w:spacing w:line="460" w:lineRule="exact"/>
        <w:ind w:firstLine="480"/>
        <w:rPr>
          <w:b/>
        </w:rPr>
      </w:pPr>
      <w:r>
        <w:rPr>
          <w:b/>
        </w:rPr>
        <w:t>3.</w:t>
      </w:r>
      <w:r>
        <w:rPr>
          <w:rFonts w:hint="eastAsia"/>
          <w:b/>
        </w:rPr>
        <w:t>评标小组</w:t>
      </w:r>
    </w:p>
    <w:p>
      <w:pPr>
        <w:widowControl w:val="0"/>
        <w:spacing w:line="460" w:lineRule="exact"/>
        <w:ind w:firstLine="480" w:firstLineChars="200"/>
      </w:pPr>
      <w:r>
        <w:rPr>
          <w:rFonts w:hint="eastAsia"/>
        </w:rPr>
        <w:t>招标方将根据招标采购项目的特点确定评标小组。其成员由评审专家和采购人代表共</w:t>
      </w:r>
      <w:r>
        <w:t>5</w:t>
      </w:r>
      <w:r>
        <w:rPr>
          <w:rFonts w:hint="eastAsia"/>
        </w:rPr>
        <w:t>人及以上单数组成。评标小组对投标文件进行审查、质疑、评估和比较。</w:t>
      </w:r>
    </w:p>
    <w:p>
      <w:pPr>
        <w:widowControl w:val="0"/>
        <w:spacing w:line="460" w:lineRule="exact"/>
        <w:ind w:firstLine="480"/>
        <w:rPr>
          <w:b/>
        </w:rPr>
      </w:pPr>
      <w:r>
        <w:rPr>
          <w:b/>
        </w:rPr>
        <w:t>4.</w:t>
      </w:r>
      <w:r>
        <w:rPr>
          <w:rFonts w:hint="eastAsia"/>
          <w:b/>
        </w:rPr>
        <w:t>评标原则</w:t>
      </w:r>
    </w:p>
    <w:p>
      <w:pPr>
        <w:widowControl w:val="0"/>
        <w:spacing w:line="460" w:lineRule="exact"/>
        <w:ind w:firstLine="480" w:firstLineChars="200"/>
      </w:pPr>
      <w:r>
        <w:t>4.1</w:t>
      </w:r>
      <w:r>
        <w:rPr>
          <w:rFonts w:hint="eastAsia"/>
        </w:rPr>
        <w:t>评标小组将遵循公开、公平、公正的原则，严格遵守评标工作纪律。</w:t>
      </w:r>
    </w:p>
    <w:p>
      <w:pPr>
        <w:widowControl w:val="0"/>
        <w:spacing w:line="460" w:lineRule="exact"/>
        <w:ind w:firstLine="480"/>
        <w:rPr>
          <w:bCs/>
        </w:rPr>
      </w:pPr>
      <w:r>
        <w:t>4.2</w:t>
      </w:r>
      <w:r>
        <w:rPr>
          <w:rFonts w:hint="eastAsia"/>
          <w:bCs/>
        </w:rPr>
        <w:t>先评资格及商务技术响应文件，再评报价响应文件。</w:t>
      </w:r>
    </w:p>
    <w:p>
      <w:pPr>
        <w:widowControl w:val="0"/>
        <w:spacing w:line="460" w:lineRule="exact"/>
        <w:ind w:firstLine="480"/>
      </w:pPr>
      <w:r>
        <w:rPr>
          <w:bCs/>
        </w:rPr>
        <w:t>4.3</w:t>
      </w:r>
      <w:r>
        <w:rPr>
          <w:rFonts w:hint="eastAsia"/>
        </w:rPr>
        <w:t>客观公正对待所有投标人，对所有投标评审均采用相同的程序和标准。评标的依据为招标文件和相关法律、法规及政策文件。</w:t>
      </w:r>
    </w:p>
    <w:p>
      <w:pPr>
        <w:pStyle w:val="31"/>
        <w:widowControl w:val="0"/>
        <w:spacing w:line="460" w:lineRule="exact"/>
        <w:ind w:firstLine="482"/>
        <w:rPr>
          <w:rFonts w:ascii="Times New Roman" w:hAnsi="Times New Roman" w:cs="Times New Roman"/>
          <w:sz w:val="24"/>
          <w:szCs w:val="24"/>
        </w:rPr>
      </w:pPr>
      <w:r>
        <w:rPr>
          <w:rFonts w:ascii="Times New Roman" w:hAnsi="Times New Roman" w:cs="Times New Roman"/>
          <w:sz w:val="24"/>
          <w:szCs w:val="24"/>
        </w:rPr>
        <w:t>4.4</w:t>
      </w:r>
      <w:r>
        <w:rPr>
          <w:rFonts w:hint="eastAsia" w:ascii="Times New Roman" w:hAnsi="Times New Roman" w:cs="Times New Roman"/>
          <w:sz w:val="24"/>
          <w:szCs w:val="24"/>
        </w:rPr>
        <w:t>异常或特殊情况处理：</w:t>
      </w:r>
    </w:p>
    <w:p>
      <w:pPr>
        <w:pStyle w:val="31"/>
        <w:widowControl w:val="0"/>
        <w:spacing w:line="460" w:lineRule="exact"/>
        <w:ind w:firstLine="482"/>
        <w:rPr>
          <w:rFonts w:ascii="Times New Roman" w:hAnsi="Times New Roman" w:cs="Times New Roman"/>
          <w:sz w:val="24"/>
          <w:szCs w:val="24"/>
        </w:rPr>
      </w:pPr>
      <w:r>
        <w:rPr>
          <w:rFonts w:ascii="Times New Roman" w:hAnsi="Times New Roman" w:cs="Times New Roman"/>
          <w:sz w:val="24"/>
          <w:szCs w:val="24"/>
        </w:rPr>
        <w:t>4.4.1</w:t>
      </w:r>
      <w:r>
        <w:rPr>
          <w:rFonts w:hint="eastAsia" w:ascii="Times New Roman" w:hAnsi="Times New Roman" w:cs="Times New Roman"/>
          <w:sz w:val="24"/>
          <w:szCs w:val="24"/>
        </w:rPr>
        <w:t>在评标过程中，如发现招标文件中内容有不一致的（招标文件中其他地方另外规定的除外），经评标委员讨论认为不影响评标的，可以继续评标。</w:t>
      </w:r>
    </w:p>
    <w:p>
      <w:pPr>
        <w:pStyle w:val="31"/>
        <w:widowControl w:val="0"/>
        <w:spacing w:line="460" w:lineRule="exact"/>
        <w:ind w:firstLine="482"/>
        <w:rPr>
          <w:rFonts w:ascii="Times New Roman" w:hAnsi="Times New Roman" w:cs="Times New Roman"/>
          <w:sz w:val="24"/>
          <w:szCs w:val="24"/>
        </w:rPr>
      </w:pPr>
      <w:r>
        <w:rPr>
          <w:rFonts w:hint="eastAsia" w:ascii="Times New Roman" w:hAnsi="Times New Roman" w:cs="Times New Roman"/>
          <w:sz w:val="24"/>
          <w:szCs w:val="24"/>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val="0"/>
        <w:spacing w:line="460" w:lineRule="exact"/>
        <w:ind w:firstLine="464" w:firstLineChars="200"/>
      </w:pPr>
      <w:r>
        <w:rPr>
          <w:spacing w:val="-4"/>
        </w:rPr>
        <w:t>4.4.2</w:t>
      </w:r>
      <w:r>
        <w:rPr>
          <w:rFonts w:hint="eastAsia"/>
        </w:rPr>
        <w:t>在评标过程中，出现其他异常或特殊情况时，由评标小组集体讨论决定。</w:t>
      </w:r>
    </w:p>
    <w:p>
      <w:pPr>
        <w:widowControl w:val="0"/>
        <w:spacing w:line="460" w:lineRule="exact"/>
        <w:ind w:left="144" w:leftChars="60" w:right="142" w:firstLine="352" w:firstLineChars="147"/>
      </w:pPr>
      <w:r>
        <w:rPr>
          <w:kern w:val="2"/>
        </w:rPr>
        <w:t>4.5</w:t>
      </w:r>
      <w:r>
        <w:rPr>
          <w:rFonts w:hint="eastAsia"/>
        </w:rPr>
        <w:t>评标小组</w:t>
      </w:r>
      <w:r>
        <w:rPr>
          <w:rFonts w:hint="eastAsia"/>
          <w:kern w:val="2"/>
        </w:rPr>
        <w:t>成员对需要共同认定的事项存在争议的，应当按照少数服从多数的原则作出结论。持不同意见的</w:t>
      </w:r>
      <w:r>
        <w:rPr>
          <w:rFonts w:hint="eastAsia"/>
        </w:rPr>
        <w:t>评标小组</w:t>
      </w:r>
      <w:r>
        <w:rPr>
          <w:rFonts w:hint="eastAsia"/>
          <w:kern w:val="2"/>
        </w:rPr>
        <w:t>成员应当在评标报告上签署不同意见及理由，否则视为同意评标报告。</w:t>
      </w:r>
    </w:p>
    <w:p>
      <w:pPr>
        <w:pStyle w:val="31"/>
        <w:widowControl w:val="0"/>
        <w:spacing w:line="460" w:lineRule="exact"/>
        <w:ind w:firstLine="482" w:firstLineChars="200"/>
        <w:rPr>
          <w:rFonts w:ascii="Times New Roman" w:hAnsi="Times New Roman" w:cs="Times New Roman"/>
          <w:sz w:val="24"/>
          <w:szCs w:val="24"/>
        </w:rPr>
      </w:pPr>
      <w:r>
        <w:rPr>
          <w:rFonts w:ascii="Times New Roman" w:hAnsi="Times New Roman" w:cs="Times New Roman"/>
          <w:b/>
          <w:sz w:val="24"/>
          <w:szCs w:val="24"/>
        </w:rPr>
        <w:t>5.</w:t>
      </w:r>
      <w:r>
        <w:rPr>
          <w:rFonts w:hint="eastAsia" w:ascii="Times New Roman" w:hAnsi="Times New Roman" w:cs="Times New Roman"/>
          <w:b/>
          <w:sz w:val="24"/>
          <w:szCs w:val="24"/>
        </w:rPr>
        <w:t>评标过程的保密</w:t>
      </w:r>
    </w:p>
    <w:p>
      <w:pPr>
        <w:widowControl w:val="0"/>
        <w:adjustRightInd w:val="0"/>
        <w:snapToGrid w:val="0"/>
        <w:spacing w:line="460" w:lineRule="exact"/>
        <w:ind w:firstLine="480" w:firstLineChars="200"/>
      </w:pPr>
      <w:r>
        <w:rPr>
          <w:rFonts w:hint="eastAsia"/>
        </w:rPr>
        <w:t>开标后，直至授予中标人合同为止，凡属于对投标文件的审查、澄清、评价和比较等与评标有关的任何资料、情况均严格保密。</w:t>
      </w:r>
    </w:p>
    <w:p>
      <w:pPr>
        <w:widowControl w:val="0"/>
        <w:adjustRightInd w:val="0"/>
        <w:snapToGrid w:val="0"/>
        <w:spacing w:line="460" w:lineRule="exact"/>
        <w:ind w:firstLine="472" w:firstLineChars="196"/>
        <w:rPr>
          <w:b/>
        </w:rPr>
      </w:pPr>
      <w:r>
        <w:rPr>
          <w:b/>
        </w:rPr>
        <w:t>6.</w:t>
      </w:r>
      <w:r>
        <w:rPr>
          <w:rFonts w:hint="eastAsia"/>
          <w:b/>
        </w:rPr>
        <w:t>投标文件中内容不一致的处理</w:t>
      </w:r>
    </w:p>
    <w:p>
      <w:pPr>
        <w:widowControl w:val="0"/>
        <w:spacing w:line="460" w:lineRule="exact"/>
        <w:ind w:firstLine="464" w:firstLineChars="200"/>
        <w:rPr>
          <w:spacing w:val="-4"/>
        </w:rPr>
      </w:pPr>
      <w:r>
        <w:rPr>
          <w:rFonts w:hint="eastAsia"/>
          <w:spacing w:val="-4"/>
        </w:rPr>
        <w:t>同一份投标文件中，彩页、官网下载资料、检测报告等证明性资料中描写的技术性能指标与投标文件中其他地方内容描述不一致的，应以上述证明性资料为准；规范偏离表等偏离表的内容与投标文件中其他地方内容有描述不一致的，应以投标文件中其他地方内容的描述为准。</w:t>
      </w:r>
    </w:p>
    <w:p>
      <w:pPr>
        <w:widowControl w:val="0"/>
        <w:adjustRightInd w:val="0"/>
        <w:snapToGrid w:val="0"/>
        <w:spacing w:line="460" w:lineRule="exact"/>
        <w:ind w:firstLine="472" w:firstLineChars="196"/>
        <w:rPr>
          <w:b/>
        </w:rPr>
      </w:pPr>
      <w:r>
        <w:rPr>
          <w:b/>
        </w:rPr>
        <w:t>7.</w:t>
      </w:r>
      <w:r>
        <w:rPr>
          <w:rFonts w:hint="eastAsia"/>
          <w:b/>
        </w:rPr>
        <w:t>投标文件的澄清</w:t>
      </w:r>
    </w:p>
    <w:p>
      <w:pPr>
        <w:widowControl w:val="0"/>
        <w:spacing w:line="460" w:lineRule="exact"/>
        <w:ind w:firstLine="480" w:firstLineChars="200"/>
      </w:pPr>
      <w:r>
        <w:t>7.1</w:t>
      </w:r>
      <w:r>
        <w:rPr>
          <w:rFonts w:hint="eastAsia"/>
        </w:rPr>
        <w:t>为有助于投标文件的审查、评价和比较，评标小组应当在</w:t>
      </w:r>
      <w:r>
        <w:t>“</w:t>
      </w:r>
      <w:r>
        <w:rPr>
          <w:rFonts w:hint="eastAsia"/>
        </w:rPr>
        <w:t>政采云</w:t>
      </w:r>
      <w:r>
        <w:t>”</w:t>
      </w:r>
      <w:r>
        <w:rPr>
          <w:rFonts w:hint="eastAsia"/>
        </w:rPr>
        <w:t>在线询标或采用其他有效形式要求投标人对同一份投标文件含义不明确、同类问题表述不一致或者有明显文字和计算错误的内容（招标文件其他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w:t>
      </w:r>
      <w:r>
        <w:t>8</w:t>
      </w:r>
      <w:r>
        <w:rPr>
          <w:rFonts w:hint="eastAsia"/>
        </w:rPr>
        <w:t>条规定，凡属于评标小组在评标中发现的计算错误并进行核实的修改不在此列。</w:t>
      </w:r>
    </w:p>
    <w:p>
      <w:pPr>
        <w:pStyle w:val="31"/>
        <w:widowControl w:val="0"/>
        <w:tabs>
          <w:tab w:val="left" w:pos="0"/>
        </w:tabs>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7.2</w:t>
      </w:r>
      <w:r>
        <w:rPr>
          <w:rFonts w:hint="eastAsia" w:ascii="Times New Roman" w:hAnsi="Times New Roman" w:cs="Times New Roman"/>
          <w:sz w:val="24"/>
          <w:szCs w:val="24"/>
        </w:rPr>
        <w:t>如果投标人代表拒绝按评标小组要求在</w:t>
      </w:r>
      <w:r>
        <w:rPr>
          <w:rFonts w:ascii="Times New Roman" w:hAnsi="Times New Roman" w:cs="Times New Roman"/>
          <w:sz w:val="24"/>
          <w:szCs w:val="24"/>
        </w:rPr>
        <w:t>“</w:t>
      </w:r>
      <w:r>
        <w:rPr>
          <w:rFonts w:hint="eastAsia" w:ascii="Times New Roman" w:hAnsi="Times New Roman" w:cs="Times New Roman"/>
          <w:sz w:val="24"/>
          <w:szCs w:val="24"/>
        </w:rPr>
        <w:t>政采云</w:t>
      </w:r>
      <w:r>
        <w:rPr>
          <w:rFonts w:ascii="Times New Roman" w:hAnsi="Times New Roman" w:cs="Times New Roman"/>
          <w:sz w:val="24"/>
          <w:szCs w:val="24"/>
        </w:rPr>
        <w:t>”</w:t>
      </w:r>
      <w:r>
        <w:rPr>
          <w:rFonts w:hint="eastAsia" w:ascii="Times New Roman" w:hAnsi="Times New Roman" w:cs="Times New Roman"/>
          <w:sz w:val="24"/>
          <w:szCs w:val="24"/>
        </w:rPr>
        <w:t>作出在线回复且无其他有效回复方式的，评标小组可以对其作出无效标处理。</w:t>
      </w:r>
    </w:p>
    <w:p>
      <w:pPr>
        <w:widowControl w:val="0"/>
        <w:adjustRightInd w:val="0"/>
        <w:snapToGrid w:val="0"/>
        <w:spacing w:line="460" w:lineRule="exact"/>
        <w:ind w:firstLine="482" w:firstLineChars="200"/>
      </w:pPr>
      <w:r>
        <w:rPr>
          <w:b/>
        </w:rPr>
        <w:t>8.</w:t>
      </w:r>
      <w:r>
        <w:rPr>
          <w:rFonts w:hint="eastAsia"/>
          <w:b/>
        </w:rPr>
        <w:t>投标文件的资格性和符合性评审</w:t>
      </w:r>
    </w:p>
    <w:p>
      <w:pPr>
        <w:widowControl w:val="0"/>
        <w:adjustRightInd w:val="0"/>
        <w:snapToGrid w:val="0"/>
        <w:spacing w:line="400" w:lineRule="exact"/>
        <w:ind w:firstLine="480" w:firstLineChars="200"/>
      </w:pPr>
      <w:r>
        <w:t>8.1</w:t>
      </w:r>
      <w:r>
        <w:rPr>
          <w:rFonts w:hint="eastAsia"/>
        </w:rPr>
        <w:t>评标时，评标小组将首先评定每份投标文件是否实质上响应了招标文件的要求。所谓实质上响应，是指投标文件应与招标文件的所有实质性条款、条件和要求相符，无显著差异或保留。</w:t>
      </w:r>
    </w:p>
    <w:p>
      <w:pPr>
        <w:widowControl w:val="0"/>
        <w:adjustRightInd w:val="0"/>
        <w:snapToGrid w:val="0"/>
        <w:spacing w:line="400" w:lineRule="exact"/>
        <w:ind w:firstLine="436" w:firstLineChars="182"/>
      </w:pPr>
      <w:r>
        <w:t>8.2</w:t>
      </w:r>
      <w:r>
        <w:rPr>
          <w:rFonts w:hint="eastAsia"/>
        </w:rPr>
        <w:t>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2"/>
        <w:widowControl w:val="0"/>
        <w:spacing w:after="0" w:line="400" w:lineRule="exact"/>
        <w:ind w:left="0" w:leftChars="0" w:firstLine="31680"/>
      </w:pPr>
      <w:r>
        <w:t>8.3</w:t>
      </w:r>
      <w:r>
        <w:rPr>
          <w:rFonts w:hint="eastAsia"/>
        </w:rPr>
        <w:t>在投标文件的评审和比较、中标候选人推荐以及授予合同的过程中，投标人向采购人和评标小组施加影响的任何行为，都将会导致其投标被拒绝。</w:t>
      </w:r>
    </w:p>
    <w:p>
      <w:pPr>
        <w:widowControl w:val="0"/>
        <w:adjustRightInd w:val="0"/>
        <w:snapToGrid w:val="0"/>
        <w:spacing w:line="460" w:lineRule="exact"/>
        <w:ind w:firstLine="480" w:firstLineChars="200"/>
      </w:pPr>
      <w:r>
        <w:t>8.4</w:t>
      </w:r>
      <w:r>
        <w:rPr>
          <w:rFonts w:hint="eastAsia"/>
        </w:rPr>
        <w:t>评标小组在作出任何一项无效标决定前，都应当严格遵循以下程序：</w:t>
      </w:r>
    </w:p>
    <w:p>
      <w:pPr>
        <w:widowControl w:val="0"/>
        <w:adjustRightInd w:val="0"/>
        <w:snapToGrid w:val="0"/>
        <w:spacing w:line="460" w:lineRule="exact"/>
        <w:ind w:firstLine="480" w:firstLineChars="200"/>
      </w:pPr>
      <w:r>
        <w:t>8.4.1</w:t>
      </w:r>
      <w:r>
        <w:rPr>
          <w:rFonts w:hint="eastAsia"/>
        </w:rPr>
        <w:t>要求当事投标人作相应的答辩。</w:t>
      </w:r>
    </w:p>
    <w:p>
      <w:pPr>
        <w:widowControl w:val="0"/>
        <w:adjustRightInd w:val="0"/>
        <w:snapToGrid w:val="0"/>
        <w:spacing w:line="460" w:lineRule="exact"/>
        <w:ind w:firstLine="480" w:firstLineChars="200"/>
      </w:pPr>
      <w:r>
        <w:t>8.4.2</w:t>
      </w:r>
      <w:r>
        <w:rPr>
          <w:rFonts w:hint="eastAsia"/>
        </w:rPr>
        <w:t>在充分讨论的基础上集体表决。</w:t>
      </w:r>
    </w:p>
    <w:p>
      <w:pPr>
        <w:pStyle w:val="31"/>
        <w:widowControl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9.</w:t>
      </w:r>
      <w:r>
        <w:rPr>
          <w:rFonts w:hint="eastAsia" w:ascii="Times New Roman" w:hAnsi="Times New Roman" w:cs="Times New Roman"/>
          <w:b/>
          <w:sz w:val="24"/>
          <w:szCs w:val="24"/>
        </w:rPr>
        <w:t>投标文件</w:t>
      </w:r>
      <w:r>
        <w:rPr>
          <w:rFonts w:hint="eastAsia" w:ascii="Times New Roman" w:hAnsi="Times New Roman" w:cs="Times New Roman"/>
          <w:b/>
          <w:sz w:val="24"/>
          <w:szCs w:val="24"/>
          <w:u w:val="single"/>
        </w:rPr>
        <w:t>计算错误和不同文字文本</w:t>
      </w:r>
      <w:r>
        <w:rPr>
          <w:rFonts w:hint="eastAsia" w:ascii="Times New Roman" w:hAnsi="Times New Roman" w:cs="Times New Roman"/>
          <w:b/>
          <w:sz w:val="24"/>
          <w:szCs w:val="24"/>
        </w:rPr>
        <w:t>的修正</w:t>
      </w:r>
    </w:p>
    <w:p>
      <w:pPr>
        <w:pStyle w:val="31"/>
        <w:widowControl w:val="0"/>
        <w:spacing w:line="4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9.1</w:t>
      </w:r>
      <w:r>
        <w:rPr>
          <w:rFonts w:hint="eastAsia" w:ascii="Times New Roman" w:hAnsi="Times New Roman" w:cs="Times New Roman"/>
          <w:kern w:val="0"/>
          <w:sz w:val="24"/>
          <w:szCs w:val="24"/>
        </w:rPr>
        <w:t>修正原则如下：</w:t>
      </w:r>
    </w:p>
    <w:p>
      <w:pPr>
        <w:pStyle w:val="31"/>
        <w:widowControl w:val="0"/>
        <w:spacing w:line="4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9.1.1</w:t>
      </w:r>
      <w:r>
        <w:rPr>
          <w:rFonts w:hint="eastAsia" w:ascii="Times New Roman" w:hAnsi="Times New Roman" w:cs="Times New Roman"/>
          <w:kern w:val="0"/>
          <w:sz w:val="24"/>
          <w:szCs w:val="24"/>
        </w:rPr>
        <w:t>对不同文字文本投标文件的解释发生异义的，以中文文本为准；</w:t>
      </w:r>
      <w:r>
        <w:rPr>
          <w:rFonts w:hint="eastAsia" w:ascii="Times New Roman" w:hAnsi="Times New Roman" w:cs="Times New Roman"/>
          <w:sz w:val="24"/>
          <w:szCs w:val="24"/>
        </w:rPr>
        <w:t>评标小组</w:t>
      </w:r>
      <w:r>
        <w:rPr>
          <w:rFonts w:hint="eastAsia" w:ascii="Times New Roman" w:hAnsi="Times New Roman" w:cs="Times New Roman"/>
          <w:kern w:val="0"/>
          <w:sz w:val="24"/>
          <w:szCs w:val="24"/>
        </w:rPr>
        <w:t>可以拒绝接受不是中文版的投标文件以及与投标相关的资料。</w:t>
      </w:r>
    </w:p>
    <w:p>
      <w:pPr>
        <w:pStyle w:val="31"/>
        <w:widowControl w:val="0"/>
        <w:spacing w:line="4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9.1.2</w:t>
      </w:r>
      <w:r>
        <w:rPr>
          <w:rFonts w:hint="eastAsia" w:ascii="Times New Roman" w:hAnsi="Times New Roman" w:cs="Times New Roman"/>
          <w:kern w:val="0"/>
          <w:sz w:val="24"/>
          <w:szCs w:val="24"/>
        </w:rPr>
        <w:t>投标文件报价出现不一致的，除招标文件另有规定外，按照下列规定修正：</w:t>
      </w:r>
    </w:p>
    <w:p>
      <w:pPr>
        <w:pStyle w:val="31"/>
        <w:widowControl w:val="0"/>
        <w:spacing w:line="460" w:lineRule="exact"/>
        <w:ind w:firstLine="482"/>
        <w:rPr>
          <w:rFonts w:ascii="Times New Roman" w:hAnsi="Times New Roman" w:cs="Times New Roman"/>
          <w:kern w:val="0"/>
          <w:sz w:val="24"/>
          <w:szCs w:val="24"/>
        </w:rPr>
      </w:pPr>
      <w:r>
        <w:rPr>
          <w:rFonts w:hint="eastAsia" w:ascii="Times New Roman" w:hAnsi="Times New Roman" w:cs="Times New Roman"/>
          <w:kern w:val="0"/>
          <w:sz w:val="24"/>
          <w:szCs w:val="24"/>
        </w:rPr>
        <w:t>（</w:t>
      </w:r>
      <w:r>
        <w:rPr>
          <w:rFonts w:ascii="Times New Roman" w:hAnsi="Times New Roman" w:cs="Times New Roman"/>
          <w:kern w:val="0"/>
          <w:sz w:val="24"/>
          <w:szCs w:val="24"/>
        </w:rPr>
        <w:t>1</w:t>
      </w:r>
      <w:r>
        <w:rPr>
          <w:rFonts w:hint="eastAsia" w:ascii="Times New Roman" w:hAnsi="Times New Roman" w:cs="Times New Roman"/>
          <w:kern w:val="0"/>
          <w:sz w:val="24"/>
          <w:szCs w:val="24"/>
        </w:rPr>
        <w:t>）客户端填写的报价与以</w:t>
      </w:r>
      <w:r>
        <w:rPr>
          <w:rFonts w:ascii="Times New Roman" w:hAnsi="Times New Roman" w:cs="Times New Roman"/>
          <w:kern w:val="0"/>
          <w:sz w:val="24"/>
          <w:szCs w:val="24"/>
        </w:rPr>
        <w:t>pdf</w:t>
      </w:r>
      <w:r>
        <w:rPr>
          <w:rFonts w:hint="eastAsia" w:ascii="Times New Roman" w:hAnsi="Times New Roman" w:cs="Times New Roman"/>
          <w:kern w:val="0"/>
          <w:sz w:val="24"/>
          <w:szCs w:val="24"/>
        </w:rPr>
        <w:t>格式上传文件中的报价不一致的，应以</w:t>
      </w:r>
      <w:r>
        <w:rPr>
          <w:rFonts w:ascii="Times New Roman" w:hAnsi="Times New Roman" w:cs="Times New Roman"/>
          <w:kern w:val="0"/>
          <w:sz w:val="24"/>
          <w:szCs w:val="24"/>
        </w:rPr>
        <w:t>pdf</w:t>
      </w:r>
      <w:r>
        <w:rPr>
          <w:rFonts w:hint="eastAsia" w:ascii="Times New Roman" w:hAnsi="Times New Roman" w:cs="Times New Roman"/>
          <w:kern w:val="0"/>
          <w:sz w:val="24"/>
          <w:szCs w:val="24"/>
        </w:rPr>
        <w:t>格式上传文件中的报价为准。</w:t>
      </w:r>
    </w:p>
    <w:p>
      <w:pPr>
        <w:pStyle w:val="31"/>
        <w:widowControl w:val="0"/>
        <w:spacing w:line="460" w:lineRule="exact"/>
        <w:ind w:firstLine="482"/>
        <w:rPr>
          <w:rFonts w:ascii="Times New Roman" w:hAnsi="Times New Roman" w:cs="Times New Roman"/>
          <w:kern w:val="0"/>
          <w:sz w:val="24"/>
          <w:szCs w:val="24"/>
        </w:rPr>
      </w:pPr>
      <w:r>
        <w:rPr>
          <w:rFonts w:hint="eastAsia" w:ascii="Times New Roman" w:hAnsi="Times New Roman" w:cs="Times New Roman"/>
          <w:kern w:val="0"/>
          <w:sz w:val="24"/>
          <w:szCs w:val="24"/>
        </w:rPr>
        <w:t>（</w:t>
      </w:r>
      <w:r>
        <w:rPr>
          <w:rFonts w:ascii="Times New Roman" w:hAnsi="Times New Roman" w:cs="Times New Roman"/>
          <w:kern w:val="0"/>
          <w:sz w:val="24"/>
          <w:szCs w:val="24"/>
        </w:rPr>
        <w:t>2</w:t>
      </w:r>
      <w:r>
        <w:rPr>
          <w:rFonts w:hint="eastAsia" w:ascii="Times New Roman" w:hAnsi="Times New Roman" w:cs="Times New Roman"/>
          <w:kern w:val="0"/>
          <w:sz w:val="24"/>
          <w:szCs w:val="24"/>
        </w:rPr>
        <w:t>）投标文件中开标一览表内容与投标文件中相应内容不一致的，以开标一览表为准；</w:t>
      </w:r>
    </w:p>
    <w:p>
      <w:pPr>
        <w:pStyle w:val="31"/>
        <w:widowControl w:val="0"/>
        <w:spacing w:line="460" w:lineRule="exact"/>
        <w:ind w:firstLine="482"/>
        <w:rPr>
          <w:rFonts w:ascii="Times New Roman" w:hAnsi="Times New Roman" w:cs="Times New Roman"/>
          <w:kern w:val="0"/>
          <w:sz w:val="24"/>
          <w:szCs w:val="24"/>
        </w:rPr>
      </w:pPr>
      <w:r>
        <w:rPr>
          <w:rFonts w:hint="eastAsia" w:ascii="Times New Roman" w:hAnsi="Times New Roman" w:cs="Times New Roman"/>
          <w:kern w:val="0"/>
          <w:sz w:val="24"/>
          <w:szCs w:val="24"/>
        </w:rPr>
        <w:t>（</w:t>
      </w:r>
      <w:r>
        <w:rPr>
          <w:rFonts w:ascii="Times New Roman" w:hAnsi="Times New Roman" w:cs="Times New Roman"/>
          <w:kern w:val="0"/>
          <w:sz w:val="24"/>
          <w:szCs w:val="24"/>
        </w:rPr>
        <w:t>3</w:t>
      </w:r>
      <w:r>
        <w:rPr>
          <w:rFonts w:hint="eastAsia" w:ascii="Times New Roman" w:hAnsi="Times New Roman" w:cs="Times New Roman"/>
          <w:kern w:val="0"/>
          <w:sz w:val="24"/>
          <w:szCs w:val="24"/>
        </w:rPr>
        <w:t>）投标文件的大写金额和小写金额不一致的，以大写金额为准。</w:t>
      </w:r>
    </w:p>
    <w:p>
      <w:pPr>
        <w:pStyle w:val="31"/>
        <w:widowControl w:val="0"/>
        <w:spacing w:line="460" w:lineRule="exact"/>
        <w:ind w:firstLine="482"/>
        <w:rPr>
          <w:rFonts w:ascii="Times New Roman" w:hAnsi="Times New Roman" w:cs="Times New Roman"/>
          <w:kern w:val="0"/>
          <w:sz w:val="24"/>
          <w:szCs w:val="24"/>
        </w:rPr>
      </w:pPr>
      <w:r>
        <w:rPr>
          <w:rFonts w:hint="eastAsia" w:ascii="Times New Roman" w:hAnsi="Times New Roman" w:cs="Times New Roman"/>
          <w:kern w:val="0"/>
          <w:sz w:val="24"/>
          <w:szCs w:val="24"/>
        </w:rPr>
        <w:t>（</w:t>
      </w:r>
      <w:r>
        <w:rPr>
          <w:rFonts w:ascii="Times New Roman" w:hAnsi="Times New Roman" w:cs="Times New Roman"/>
          <w:kern w:val="0"/>
          <w:sz w:val="24"/>
          <w:szCs w:val="24"/>
        </w:rPr>
        <w:t>4</w:t>
      </w:r>
      <w:r>
        <w:rPr>
          <w:rFonts w:hint="eastAsia" w:ascii="Times New Roman" w:hAnsi="Times New Roman" w:cs="Times New Roman"/>
          <w:kern w:val="0"/>
          <w:sz w:val="24"/>
          <w:szCs w:val="24"/>
        </w:rPr>
        <w:t>）单价金额小数点或者百分比有明显错位的，以开标一览表的总价为准，并修改单价；</w:t>
      </w:r>
    </w:p>
    <w:p>
      <w:pPr>
        <w:pStyle w:val="31"/>
        <w:widowControl w:val="0"/>
        <w:spacing w:line="460" w:lineRule="exact"/>
        <w:ind w:firstLine="482"/>
        <w:rPr>
          <w:rFonts w:ascii="Times New Roman" w:hAnsi="Times New Roman" w:cs="Times New Roman"/>
          <w:kern w:val="0"/>
          <w:sz w:val="24"/>
          <w:szCs w:val="24"/>
        </w:rPr>
      </w:pPr>
      <w:r>
        <w:rPr>
          <w:rFonts w:hint="eastAsia" w:ascii="Times New Roman" w:hAnsi="Times New Roman" w:cs="Times New Roman"/>
          <w:kern w:val="0"/>
          <w:sz w:val="24"/>
          <w:szCs w:val="24"/>
        </w:rPr>
        <w:t>（</w:t>
      </w:r>
      <w:r>
        <w:rPr>
          <w:rFonts w:ascii="Times New Roman" w:hAnsi="Times New Roman" w:cs="Times New Roman"/>
          <w:kern w:val="0"/>
          <w:sz w:val="24"/>
          <w:szCs w:val="24"/>
        </w:rPr>
        <w:t>5</w:t>
      </w:r>
      <w:r>
        <w:rPr>
          <w:rFonts w:hint="eastAsia" w:ascii="Times New Roman" w:hAnsi="Times New Roman" w:cs="Times New Roman"/>
          <w:kern w:val="0"/>
          <w:sz w:val="24"/>
          <w:szCs w:val="24"/>
        </w:rPr>
        <w:t>）总价金额与按单价汇总金额不一致的，以单价金额计算结果为准。</w:t>
      </w:r>
    </w:p>
    <w:p>
      <w:pPr>
        <w:pStyle w:val="31"/>
        <w:widowControl w:val="0"/>
        <w:spacing w:line="460" w:lineRule="exact"/>
        <w:ind w:firstLine="482"/>
        <w:rPr>
          <w:rFonts w:ascii="Times New Roman" w:hAnsi="Times New Roman" w:cs="Times New Roman"/>
          <w:kern w:val="0"/>
          <w:sz w:val="24"/>
          <w:szCs w:val="24"/>
        </w:rPr>
      </w:pPr>
      <w:r>
        <w:rPr>
          <w:rFonts w:hint="eastAsia" w:ascii="Times New Roman" w:hAnsi="Times New Roman" w:cs="Times New Roman"/>
          <w:kern w:val="0"/>
          <w:sz w:val="24"/>
          <w:szCs w:val="24"/>
        </w:rPr>
        <w:t>同时出现两种以上不一致的，按照前款规定的顺序修正。修正后的报价通过</w:t>
      </w:r>
      <w:r>
        <w:rPr>
          <w:rFonts w:ascii="Times New Roman" w:hAnsi="Times New Roman" w:cs="Times New Roman"/>
          <w:kern w:val="0"/>
          <w:sz w:val="24"/>
          <w:szCs w:val="24"/>
        </w:rPr>
        <w:t>“</w:t>
      </w:r>
      <w:r>
        <w:rPr>
          <w:rFonts w:hint="eastAsia" w:ascii="Times New Roman" w:hAnsi="Times New Roman" w:cs="Times New Roman"/>
          <w:kern w:val="0"/>
          <w:sz w:val="24"/>
          <w:szCs w:val="24"/>
        </w:rPr>
        <w:t>政采云</w:t>
      </w:r>
      <w:r>
        <w:rPr>
          <w:rFonts w:ascii="Times New Roman" w:hAnsi="Times New Roman" w:cs="Times New Roman"/>
          <w:kern w:val="0"/>
          <w:sz w:val="24"/>
          <w:szCs w:val="24"/>
        </w:rPr>
        <w:t>”</w:t>
      </w:r>
      <w:r>
        <w:rPr>
          <w:rFonts w:hint="eastAsia" w:ascii="Times New Roman" w:hAnsi="Times New Roman" w:cs="Times New Roman"/>
          <w:kern w:val="0"/>
          <w:sz w:val="24"/>
          <w:szCs w:val="24"/>
        </w:rPr>
        <w:t>经投标人确认后产生约束力，投标人不确认的，其投标无效。</w:t>
      </w:r>
    </w:p>
    <w:p>
      <w:pPr>
        <w:pStyle w:val="31"/>
        <w:widowControl w:val="0"/>
        <w:spacing w:line="460" w:lineRule="exact"/>
        <w:ind w:firstLine="482"/>
        <w:rPr>
          <w:rFonts w:ascii="Times New Roman" w:hAnsi="Times New Roman" w:cs="Times New Roman"/>
          <w:b/>
          <w:spacing w:val="-4"/>
          <w:sz w:val="24"/>
          <w:szCs w:val="24"/>
        </w:rPr>
      </w:pPr>
      <w:r>
        <w:rPr>
          <w:rFonts w:ascii="Times New Roman" w:hAnsi="Times New Roman" w:cs="Times New Roman"/>
          <w:b/>
          <w:spacing w:val="-4"/>
          <w:sz w:val="24"/>
          <w:szCs w:val="24"/>
        </w:rPr>
        <w:t>10.</w:t>
      </w:r>
      <w:r>
        <w:rPr>
          <w:rFonts w:hint="eastAsia" w:ascii="Times New Roman" w:hAnsi="Times New Roman" w:cs="Times New Roman"/>
          <w:b/>
          <w:spacing w:val="-4"/>
          <w:sz w:val="24"/>
          <w:szCs w:val="24"/>
        </w:rPr>
        <w:t>评标办法</w:t>
      </w:r>
    </w:p>
    <w:p>
      <w:pPr>
        <w:widowControl w:val="0"/>
        <w:adjustRightInd w:val="0"/>
        <w:snapToGrid w:val="0"/>
        <w:spacing w:line="460" w:lineRule="exact"/>
        <w:ind w:firstLine="472" w:firstLineChars="196"/>
        <w:rPr>
          <w:b/>
        </w:rPr>
      </w:pPr>
      <w:r>
        <w:rPr>
          <w:rFonts w:hint="eastAsia"/>
          <w:b/>
        </w:rPr>
        <w:t>本项目采用综合评分法（具体评标办法见第六章）。</w:t>
      </w:r>
    </w:p>
    <w:p>
      <w:pPr>
        <w:widowControl w:val="0"/>
        <w:adjustRightInd w:val="0"/>
        <w:snapToGrid w:val="0"/>
        <w:spacing w:line="460" w:lineRule="exact"/>
        <w:ind w:firstLine="573"/>
        <w:rPr>
          <w:b/>
        </w:rPr>
      </w:pPr>
      <w:r>
        <w:rPr>
          <w:b/>
        </w:rPr>
        <w:t>11.</w:t>
      </w:r>
      <w:r>
        <w:rPr>
          <w:rFonts w:hint="eastAsia"/>
          <w:b/>
        </w:rPr>
        <w:t>决标</w:t>
      </w:r>
    </w:p>
    <w:p>
      <w:pPr>
        <w:widowControl w:val="0"/>
        <w:adjustRightInd w:val="0"/>
        <w:snapToGrid w:val="0"/>
        <w:spacing w:line="460" w:lineRule="exact"/>
        <w:ind w:firstLine="480" w:firstLineChars="200"/>
      </w:pPr>
      <w:r>
        <w:t>11.1</w:t>
      </w:r>
      <w:r>
        <w:rPr>
          <w:rFonts w:hint="eastAsia"/>
        </w:rPr>
        <w:t>评标小组依据本招标文件规定的评标标准和方法，对投标文件进行评审和比较，向招标方提交书面评标报告。</w:t>
      </w:r>
    </w:p>
    <w:p>
      <w:pPr>
        <w:pStyle w:val="31"/>
        <w:widowControl w:val="0"/>
        <w:spacing w:line="460" w:lineRule="exact"/>
        <w:ind w:firstLine="482"/>
        <w:rPr>
          <w:rFonts w:ascii="Times New Roman" w:hAnsi="Times New Roman" w:cs="Times New Roman"/>
          <w:spacing w:val="-4"/>
          <w:sz w:val="24"/>
          <w:szCs w:val="24"/>
        </w:rPr>
      </w:pPr>
      <w:r>
        <w:rPr>
          <w:rFonts w:ascii="Times New Roman" w:hAnsi="Times New Roman" w:cs="Times New Roman"/>
          <w:spacing w:val="-4"/>
          <w:sz w:val="24"/>
          <w:szCs w:val="24"/>
        </w:rPr>
        <w:t>11.2</w:t>
      </w:r>
      <w:r>
        <w:rPr>
          <w:rFonts w:hint="eastAsia" w:ascii="Times New Roman" w:hAnsi="Times New Roman" w:cs="Times New Roman"/>
          <w:spacing w:val="-4"/>
          <w:sz w:val="24"/>
          <w:szCs w:val="24"/>
        </w:rPr>
        <w:t>在招标采购过程中，有下列情形之一的，应对采购项目予以废标：</w:t>
      </w:r>
    </w:p>
    <w:p>
      <w:pPr>
        <w:widowControl w:val="0"/>
        <w:spacing w:line="460" w:lineRule="exact"/>
        <w:ind w:firstLine="600" w:firstLineChars="250"/>
        <w:jc w:val="both"/>
      </w:pPr>
      <w:r>
        <w:rPr>
          <w:rFonts w:hint="eastAsia"/>
        </w:rPr>
        <w:t>（</w:t>
      </w:r>
      <w:r>
        <w:t>1</w:t>
      </w:r>
      <w:r>
        <w:rPr>
          <w:rFonts w:hint="eastAsia"/>
        </w:rPr>
        <w:t>）通过资格审查或评审后有效投标人不足三家的；</w:t>
      </w:r>
    </w:p>
    <w:p>
      <w:pPr>
        <w:widowControl w:val="0"/>
        <w:spacing w:line="460" w:lineRule="exact"/>
        <w:ind w:firstLine="600" w:firstLineChars="250"/>
        <w:jc w:val="both"/>
      </w:pPr>
      <w:r>
        <w:rPr>
          <w:rFonts w:hint="eastAsia"/>
        </w:rPr>
        <w:t>（</w:t>
      </w:r>
      <w:r>
        <w:t>2</w:t>
      </w:r>
      <w:r>
        <w:rPr>
          <w:rFonts w:hint="eastAsia"/>
        </w:rPr>
        <w:t>）出现影响采购公正的违法、违规行为的；</w:t>
      </w:r>
    </w:p>
    <w:p>
      <w:pPr>
        <w:widowControl w:val="0"/>
        <w:spacing w:line="460" w:lineRule="exact"/>
        <w:ind w:firstLine="600" w:firstLineChars="250"/>
        <w:jc w:val="both"/>
      </w:pPr>
      <w:r>
        <w:rPr>
          <w:rFonts w:hint="eastAsia"/>
        </w:rPr>
        <w:t>（</w:t>
      </w:r>
      <w:r>
        <w:t>3</w:t>
      </w:r>
      <w:r>
        <w:rPr>
          <w:rFonts w:hint="eastAsia"/>
        </w:rPr>
        <w:t>）因重大变故采购任务取消的；</w:t>
      </w:r>
    </w:p>
    <w:p>
      <w:pPr>
        <w:widowControl w:val="0"/>
        <w:spacing w:line="460" w:lineRule="exact"/>
        <w:ind w:firstLine="600" w:firstLineChars="250"/>
        <w:jc w:val="both"/>
      </w:pPr>
      <w:r>
        <w:rPr>
          <w:rFonts w:hint="eastAsia"/>
        </w:rPr>
        <w:t>（</w:t>
      </w:r>
      <w:r>
        <w:t>4</w:t>
      </w:r>
      <w:r>
        <w:rPr>
          <w:rFonts w:hint="eastAsia"/>
        </w:rPr>
        <w:t>）招标文件另有规定情形的。</w:t>
      </w:r>
    </w:p>
    <w:p>
      <w:pPr>
        <w:pStyle w:val="6"/>
        <w:keepNext w:val="0"/>
        <w:keepLines w:val="0"/>
        <w:widowControl w:val="0"/>
        <w:spacing w:before="0" w:after="0" w:line="460" w:lineRule="exact"/>
        <w:rPr>
          <w:rFonts w:ascii="Times New Roman" w:hAnsi="Times New Roman" w:eastAsia="宋体"/>
          <w:sz w:val="24"/>
          <w:szCs w:val="24"/>
        </w:rPr>
      </w:pPr>
      <w:bookmarkStart w:id="116" w:name="_Toc21208"/>
      <w:bookmarkStart w:id="117" w:name="_Toc261519848"/>
      <w:bookmarkStart w:id="118" w:name="_Toc362250706"/>
      <w:bookmarkStart w:id="119" w:name="_Toc263090376"/>
      <w:bookmarkStart w:id="120" w:name="_Toc274303254"/>
      <w:bookmarkStart w:id="121" w:name="_Toc406413939"/>
      <w:bookmarkStart w:id="122" w:name="_Toc130822941"/>
      <w:bookmarkStart w:id="123" w:name="_Toc132380070"/>
      <w:bookmarkStart w:id="124" w:name="_Toc226973003"/>
      <w:r>
        <w:rPr>
          <w:rFonts w:hint="eastAsia" w:ascii="Times New Roman" w:hAnsi="Times New Roman" w:eastAsia="宋体"/>
          <w:sz w:val="24"/>
          <w:szCs w:val="24"/>
        </w:rPr>
        <w:t>三、定标</w:t>
      </w:r>
      <w:bookmarkEnd w:id="116"/>
      <w:bookmarkEnd w:id="117"/>
      <w:bookmarkEnd w:id="118"/>
      <w:bookmarkEnd w:id="119"/>
      <w:bookmarkEnd w:id="120"/>
      <w:bookmarkEnd w:id="121"/>
      <w:bookmarkEnd w:id="122"/>
      <w:bookmarkEnd w:id="123"/>
      <w:bookmarkEnd w:id="124"/>
    </w:p>
    <w:p>
      <w:pPr>
        <w:widowControl w:val="0"/>
        <w:spacing w:line="460" w:lineRule="exact"/>
        <w:ind w:firstLine="482" w:firstLineChars="200"/>
        <w:rPr>
          <w:b/>
          <w:bCs/>
        </w:rPr>
      </w:pPr>
      <w:r>
        <w:rPr>
          <w:b/>
        </w:rPr>
        <w:t>12.</w:t>
      </w:r>
      <w:r>
        <w:rPr>
          <w:rFonts w:hint="eastAsia"/>
          <w:b/>
          <w:bCs/>
        </w:rPr>
        <w:t>中标通知</w:t>
      </w:r>
    </w:p>
    <w:p>
      <w:pPr>
        <w:widowControl w:val="0"/>
        <w:spacing w:line="460" w:lineRule="exact"/>
        <w:ind w:firstLine="480" w:firstLineChars="200"/>
      </w:pPr>
      <w:r>
        <w:t>12.1</w:t>
      </w:r>
      <w:r>
        <w:rPr>
          <w:rFonts w:hint="eastAsia"/>
        </w:rPr>
        <w:t>投标人自</w:t>
      </w:r>
      <w:r>
        <w:t>202</w:t>
      </w:r>
      <w:r>
        <w:rPr>
          <w:rFonts w:hint="default"/>
          <w:lang w:val="en-US"/>
        </w:rPr>
        <w:t>2</w:t>
      </w:r>
      <w:r>
        <w:rPr>
          <w:rFonts w:hint="eastAsia"/>
        </w:rPr>
        <w:t>年</w:t>
      </w:r>
      <w:r>
        <w:t>01</w:t>
      </w:r>
      <w:r>
        <w:rPr>
          <w:rFonts w:hint="eastAsia"/>
        </w:rPr>
        <w:t>月</w:t>
      </w:r>
      <w:r>
        <w:t>01</w:t>
      </w:r>
      <w:r>
        <w:rPr>
          <w:rFonts w:hint="eastAsia"/>
        </w:rPr>
        <w:t>日起到中标公告期结束前无行贿犯罪记录（评标结束后，发放中标通知书前，由采购人通过中国裁判文书网（</w:t>
      </w:r>
      <w:r>
        <w:t>http://wenshu.court.gov.cn/</w:t>
      </w:r>
      <w:r>
        <w:rPr>
          <w:rFonts w:hint="eastAsia"/>
        </w:rPr>
        <w:t>）按照招标文件约定，对拟中标（成交）单位的行贿犯罪记录进行查询，查询结果以网站页面显示内容为准），经查实，中标人有前述行贿犯罪记录的，取消其中标资格，采购人依法重新组织采购。</w:t>
      </w:r>
    </w:p>
    <w:p>
      <w:pPr>
        <w:widowControl w:val="0"/>
        <w:spacing w:line="460" w:lineRule="exact"/>
        <w:ind w:firstLine="480" w:firstLineChars="200"/>
      </w:pPr>
      <w:r>
        <w:t>12.2</w:t>
      </w:r>
      <w:r>
        <w:rPr>
          <w:rFonts w:hint="eastAsia"/>
        </w:rPr>
        <w:t>评标结束后，采购结果公告期限为</w:t>
      </w:r>
      <w:r>
        <w:t>1</w:t>
      </w:r>
      <w:r>
        <w:rPr>
          <w:rFonts w:hint="eastAsia"/>
        </w:rPr>
        <w:t>个工作日，发布采购结果公告的媒体为：浙江政府采购网。自中标人确定之日起</w:t>
      </w:r>
      <w:r>
        <w:t>2</w:t>
      </w:r>
      <w:r>
        <w:rPr>
          <w:rFonts w:hint="eastAsia"/>
        </w:rPr>
        <w:t>个工作日内，由采购代理机构通过</w:t>
      </w:r>
      <w:r>
        <w:t xml:space="preserve"> “</w:t>
      </w:r>
      <w:r>
        <w:rPr>
          <w:rFonts w:hint="eastAsia"/>
        </w:rPr>
        <w:t>政采云</w:t>
      </w:r>
      <w:r>
        <w:t>”</w:t>
      </w:r>
      <w:r>
        <w:rPr>
          <w:rFonts w:hint="eastAsia"/>
        </w:rPr>
        <w:t>签发《中标通知书》，《中标通知书》一经发出即发生法律效力。</w:t>
      </w:r>
    </w:p>
    <w:p>
      <w:pPr>
        <w:pStyle w:val="31"/>
        <w:widowControl w:val="0"/>
        <w:tabs>
          <w:tab w:val="left" w:pos="900"/>
        </w:tabs>
        <w:spacing w:line="4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13</w:t>
      </w:r>
      <w:r>
        <w:rPr>
          <w:rFonts w:hint="eastAsia" w:ascii="Times New Roman" w:hAnsi="Times New Roman" w:cs="Times New Roman"/>
          <w:b/>
          <w:sz w:val="24"/>
          <w:szCs w:val="24"/>
        </w:rPr>
        <w:t>、合同签订</w:t>
      </w:r>
    </w:p>
    <w:p>
      <w:pPr>
        <w:widowControl w:val="0"/>
        <w:spacing w:line="460" w:lineRule="exact"/>
        <w:ind w:firstLine="480" w:firstLineChars="200"/>
      </w:pPr>
      <w:r>
        <w:t>13.1</w:t>
      </w:r>
      <w:r>
        <w:rPr>
          <w:rFonts w:hint="eastAsia"/>
        </w:rPr>
        <w:t>中标人应在自《中标通知书》发出之日起三十天内与采购人签订合同，按照招标文件确定的事项签订政府采购合同，并在签订之日起</w:t>
      </w:r>
      <w:r>
        <w:t>2</w:t>
      </w:r>
      <w:r>
        <w:rPr>
          <w:rFonts w:hint="eastAsia"/>
        </w:rPr>
        <w:t>个工作日内将政府采购合同在浙江政府采购网上公告。鼓励有条件的采购人视情缩减采购合同签订时限，提高采购效率。</w:t>
      </w:r>
    </w:p>
    <w:p>
      <w:pPr>
        <w:widowControl w:val="0"/>
        <w:spacing w:line="460" w:lineRule="exact"/>
      </w:pPr>
      <w:r>
        <w:t xml:space="preserve">    13.2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p>
    <w:p>
      <w:pPr>
        <w:widowControl w:val="0"/>
        <w:spacing w:line="460" w:lineRule="exact"/>
        <w:ind w:firstLine="480" w:firstLineChars="200"/>
      </w:pPr>
      <w:r>
        <w:t>13.</w:t>
      </w:r>
      <w:r>
        <w:rPr>
          <w:rFonts w:hint="default"/>
          <w:lang w:val="en-US"/>
        </w:rPr>
        <w:t>3</w:t>
      </w:r>
      <w:r>
        <w:rPr>
          <w:rFonts w:hint="eastAsia"/>
        </w:rPr>
        <w:t>招标文件、中标人的投标文件、评标过程中投标人在询标时作出的承诺及其澄清文件等，均为签订合同的依据。</w:t>
      </w:r>
    </w:p>
    <w:p>
      <w:pPr>
        <w:widowControl w:val="0"/>
        <w:spacing w:line="460" w:lineRule="exact"/>
        <w:ind w:firstLine="480" w:firstLineChars="200"/>
      </w:pPr>
      <w:r>
        <w:t>13.</w:t>
      </w:r>
      <w:r>
        <w:rPr>
          <w:rFonts w:hint="default"/>
          <w:lang w:val="en-US"/>
        </w:rPr>
        <w:t>4</w:t>
      </w:r>
      <w:r>
        <w:rPr>
          <w:rFonts w:hint="eastAsia"/>
        </w:rPr>
        <w:t>中标人不遵守招标文件和投标文件的要约及承诺而擅自修改报价，或在接到《中标通知书》后借故拖延、拒签合同而造成超过规定时间的，取消该投标人的中标资格。在此情况下，采购人和采购代理机构重新招标，对受影响的投标人不承担任何责任。</w:t>
      </w:r>
    </w:p>
    <w:p>
      <w:pPr>
        <w:widowControl w:val="0"/>
        <w:spacing w:line="460" w:lineRule="exact"/>
        <w:ind w:firstLine="480" w:firstLineChars="200"/>
      </w:pPr>
      <w:r>
        <w:t>13.</w:t>
      </w:r>
      <w:r>
        <w:rPr>
          <w:rFonts w:hint="default"/>
          <w:lang w:val="en-US"/>
        </w:rPr>
        <w:t>5</w:t>
      </w:r>
      <w:r>
        <w:rPr>
          <w:rFonts w:hint="eastAsia"/>
        </w:rPr>
        <w:t>采购人变更数量的权利</w:t>
      </w:r>
    </w:p>
    <w:p>
      <w:pPr>
        <w:widowControl w:val="0"/>
        <w:spacing w:line="460" w:lineRule="exact"/>
        <w:ind w:firstLine="480" w:firstLineChars="200"/>
      </w:pPr>
      <w:r>
        <w:rPr>
          <w:rFonts w:hint="eastAsia"/>
        </w:rPr>
        <w:t>采购人在授予合同时有权对</w:t>
      </w:r>
      <w:r>
        <w:t>“</w:t>
      </w:r>
      <w:r>
        <w:rPr>
          <w:rFonts w:hint="eastAsia"/>
        </w:rPr>
        <w:t>第三章招标项目</w:t>
      </w:r>
      <w:r>
        <w:t>”</w:t>
      </w:r>
      <w:r>
        <w:rPr>
          <w:rFonts w:hint="eastAsia"/>
        </w:rPr>
        <w:t>要求中规定的货物数量和服务予以增加或减少，但必须符合《中华人民共和国政府采购法》及义乌市政府采购的相关规定。</w:t>
      </w:r>
    </w:p>
    <w:p>
      <w:pPr>
        <w:pStyle w:val="31"/>
        <w:widowControl w:val="0"/>
        <w:tabs>
          <w:tab w:val="left" w:pos="900"/>
        </w:tabs>
        <w:spacing w:line="460" w:lineRule="exact"/>
        <w:outlineLvl w:val="1"/>
        <w:rPr>
          <w:rFonts w:ascii="Times New Roman" w:hAnsi="Times New Roman" w:cs="Times New Roman"/>
          <w:b/>
          <w:sz w:val="24"/>
          <w:szCs w:val="24"/>
        </w:rPr>
      </w:pPr>
      <w:r>
        <w:rPr>
          <w:rFonts w:hint="eastAsia" w:ascii="Times New Roman" w:hAnsi="Times New Roman" w:cs="Times New Roman"/>
          <w:b/>
          <w:sz w:val="24"/>
          <w:szCs w:val="24"/>
        </w:rPr>
        <w:t>四、质疑和投诉</w:t>
      </w:r>
    </w:p>
    <w:p>
      <w:pPr>
        <w:pStyle w:val="31"/>
        <w:widowControl w:val="0"/>
        <w:tabs>
          <w:tab w:val="left" w:pos="900"/>
        </w:tabs>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14.1</w:t>
      </w:r>
      <w:r>
        <w:rPr>
          <w:rFonts w:hint="eastAsia" w:ascii="Times New Roman" w:hAnsi="Times New Roman" w:cs="Times New Roman"/>
          <w:sz w:val="24"/>
          <w:szCs w:val="24"/>
        </w:rPr>
        <w:t>开标过程中，投标人对开标有异议的，应当在</w:t>
      </w:r>
      <w:r>
        <w:rPr>
          <w:rFonts w:ascii="Times New Roman" w:hAnsi="Times New Roman" w:cs="Times New Roman"/>
          <w:sz w:val="24"/>
          <w:szCs w:val="24"/>
        </w:rPr>
        <w:t>“</w:t>
      </w:r>
      <w:r>
        <w:rPr>
          <w:rFonts w:hint="eastAsia" w:ascii="Times New Roman" w:hAnsi="Times New Roman" w:cs="Times New Roman"/>
          <w:sz w:val="24"/>
          <w:szCs w:val="24"/>
        </w:rPr>
        <w:t>政采云</w:t>
      </w:r>
      <w:r>
        <w:rPr>
          <w:rFonts w:ascii="Times New Roman" w:hAnsi="Times New Roman" w:cs="Times New Roman"/>
          <w:sz w:val="24"/>
          <w:szCs w:val="24"/>
        </w:rPr>
        <w:t>”</w:t>
      </w:r>
      <w:r>
        <w:rPr>
          <w:rFonts w:hint="eastAsia" w:ascii="Times New Roman" w:hAnsi="Times New Roman" w:cs="Times New Roman"/>
          <w:sz w:val="24"/>
          <w:szCs w:val="24"/>
        </w:rPr>
        <w:t>上及时提出，评标委员应对异常情况制作相关记录。</w:t>
      </w:r>
    </w:p>
    <w:p>
      <w:pPr>
        <w:pStyle w:val="31"/>
        <w:widowControl w:val="0"/>
        <w:tabs>
          <w:tab w:val="left" w:pos="900"/>
        </w:tabs>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14.2</w:t>
      </w:r>
      <w:r>
        <w:rPr>
          <w:rFonts w:hint="eastAsia" w:ascii="Times New Roman" w:hAnsi="Times New Roman" w:cs="Times New Roman"/>
          <w:sz w:val="24"/>
          <w:szCs w:val="24"/>
        </w:rPr>
        <w:t>开评标结束后，投标人对依法必须进行招标的项目的评标结果有异议的，应在采购结果公告期限结束之日起的</w:t>
      </w:r>
      <w:r>
        <w:rPr>
          <w:rFonts w:ascii="Times New Roman" w:hAnsi="Times New Roman" w:cs="Times New Roman"/>
          <w:sz w:val="24"/>
          <w:szCs w:val="24"/>
        </w:rPr>
        <w:t>7</w:t>
      </w:r>
      <w:r>
        <w:rPr>
          <w:rFonts w:hint="eastAsia" w:ascii="Times New Roman" w:hAnsi="Times New Roman" w:cs="Times New Roman"/>
          <w:sz w:val="24"/>
          <w:szCs w:val="24"/>
        </w:rPr>
        <w:t>个工作日内，依据政府采购相关法律法规向采购人、采购代理机构提出书面质疑。采购人或采购代理机构将在收到书面质疑后</w:t>
      </w:r>
      <w:r>
        <w:rPr>
          <w:rFonts w:ascii="Times New Roman" w:hAnsi="Times New Roman" w:cs="Times New Roman"/>
          <w:sz w:val="24"/>
          <w:szCs w:val="24"/>
        </w:rPr>
        <w:t>7</w:t>
      </w:r>
      <w:r>
        <w:rPr>
          <w:rFonts w:hint="eastAsia" w:ascii="Times New Roman" w:hAnsi="Times New Roman" w:cs="Times New Roman"/>
          <w:sz w:val="24"/>
          <w:szCs w:val="24"/>
        </w:rPr>
        <w:t>个工作日内对质疑内容作出答复。若投标人对采购人或采购代理机构的答复、处理结果不满意，应在收到书面答复后十五个工作日内向同级政府采购监督管理部门投诉。</w:t>
      </w:r>
    </w:p>
    <w:p>
      <w:pPr>
        <w:pStyle w:val="31"/>
        <w:widowControl w:val="0"/>
        <w:tabs>
          <w:tab w:val="left" w:pos="900"/>
        </w:tabs>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14.3</w:t>
      </w:r>
      <w:r>
        <w:rPr>
          <w:rFonts w:hint="eastAsia" w:ascii="Times New Roman" w:hAnsi="Times New Roman" w:cs="Times New Roman"/>
          <w:sz w:val="24"/>
          <w:szCs w:val="24"/>
        </w:rPr>
        <w:t>质疑函应当包括下列内容：</w:t>
      </w:r>
    </w:p>
    <w:p>
      <w:pPr>
        <w:pStyle w:val="31"/>
        <w:widowControl w:val="0"/>
        <w:tabs>
          <w:tab w:val="left" w:pos="900"/>
        </w:tabs>
        <w:spacing w:line="4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）供应商的名称（或姓名）、地址、邮编、联系人及联系电话；</w:t>
      </w:r>
    </w:p>
    <w:p>
      <w:pPr>
        <w:pStyle w:val="53"/>
        <w:widowControl w:val="0"/>
        <w:shd w:val="clear" w:color="auto" w:fill="FFFFFF"/>
        <w:spacing w:line="460" w:lineRule="exact"/>
        <w:ind w:firstLine="436" w:firstLineChars="182"/>
        <w:rPr>
          <w:kern w:val="2"/>
        </w:rPr>
      </w:pPr>
      <w:r>
        <w:rPr>
          <w:rFonts w:hint="eastAsia"/>
          <w:kern w:val="2"/>
        </w:rPr>
        <w:t>（</w:t>
      </w:r>
      <w:r>
        <w:rPr>
          <w:kern w:val="2"/>
        </w:rPr>
        <w:t>2</w:t>
      </w:r>
      <w:r>
        <w:rPr>
          <w:rFonts w:hint="eastAsia"/>
          <w:kern w:val="2"/>
        </w:rPr>
        <w:t>）质疑项目的名称、编号；</w:t>
      </w:r>
    </w:p>
    <w:p>
      <w:pPr>
        <w:pStyle w:val="53"/>
        <w:widowControl w:val="0"/>
        <w:shd w:val="clear" w:color="auto" w:fill="FFFFFF"/>
        <w:spacing w:line="460" w:lineRule="exact"/>
        <w:ind w:firstLine="436" w:firstLineChars="182"/>
        <w:rPr>
          <w:kern w:val="2"/>
        </w:rPr>
      </w:pPr>
      <w:r>
        <w:rPr>
          <w:rFonts w:hint="eastAsia"/>
          <w:kern w:val="2"/>
        </w:rPr>
        <w:t>（</w:t>
      </w:r>
      <w:r>
        <w:rPr>
          <w:kern w:val="2"/>
        </w:rPr>
        <w:t>3</w:t>
      </w:r>
      <w:r>
        <w:rPr>
          <w:rFonts w:hint="eastAsia"/>
          <w:kern w:val="2"/>
        </w:rPr>
        <w:t>）具体、明确的质疑事项和与质疑事项相关的请求；</w:t>
      </w:r>
    </w:p>
    <w:p>
      <w:pPr>
        <w:pStyle w:val="53"/>
        <w:widowControl w:val="0"/>
        <w:shd w:val="clear" w:color="auto" w:fill="FFFFFF"/>
        <w:spacing w:line="460" w:lineRule="exact"/>
        <w:ind w:firstLine="436" w:firstLineChars="182"/>
        <w:rPr>
          <w:kern w:val="2"/>
        </w:rPr>
      </w:pPr>
      <w:r>
        <w:rPr>
          <w:rFonts w:hint="eastAsia"/>
          <w:kern w:val="2"/>
        </w:rPr>
        <w:t>（</w:t>
      </w:r>
      <w:r>
        <w:rPr>
          <w:kern w:val="2"/>
        </w:rPr>
        <w:t>4</w:t>
      </w:r>
      <w:r>
        <w:rPr>
          <w:rFonts w:hint="eastAsia"/>
          <w:kern w:val="2"/>
        </w:rPr>
        <w:t>）事实依据及相关证据材料；</w:t>
      </w:r>
    </w:p>
    <w:p>
      <w:pPr>
        <w:pStyle w:val="53"/>
        <w:widowControl w:val="0"/>
        <w:shd w:val="clear" w:color="auto" w:fill="FFFFFF"/>
        <w:spacing w:line="460" w:lineRule="exact"/>
        <w:ind w:firstLine="436" w:firstLineChars="182"/>
        <w:rPr>
          <w:kern w:val="2"/>
        </w:rPr>
      </w:pPr>
      <w:r>
        <w:rPr>
          <w:rFonts w:hint="eastAsia"/>
          <w:kern w:val="2"/>
        </w:rPr>
        <w:t>（</w:t>
      </w:r>
      <w:r>
        <w:rPr>
          <w:kern w:val="2"/>
        </w:rPr>
        <w:t>5</w:t>
      </w:r>
      <w:r>
        <w:rPr>
          <w:rFonts w:hint="eastAsia"/>
          <w:kern w:val="2"/>
        </w:rPr>
        <w:t>）必要的法律依据；</w:t>
      </w:r>
    </w:p>
    <w:p>
      <w:pPr>
        <w:pStyle w:val="53"/>
        <w:widowControl w:val="0"/>
        <w:shd w:val="clear" w:color="auto" w:fill="FFFFFF"/>
        <w:spacing w:line="460" w:lineRule="exact"/>
        <w:ind w:firstLine="436" w:firstLineChars="182"/>
        <w:rPr>
          <w:kern w:val="2"/>
        </w:rPr>
      </w:pPr>
      <w:r>
        <w:rPr>
          <w:rFonts w:hint="eastAsia"/>
          <w:kern w:val="2"/>
        </w:rPr>
        <w:t>（</w:t>
      </w:r>
      <w:r>
        <w:rPr>
          <w:kern w:val="2"/>
        </w:rPr>
        <w:t>6</w:t>
      </w:r>
      <w:r>
        <w:rPr>
          <w:rFonts w:hint="eastAsia"/>
          <w:kern w:val="2"/>
        </w:rPr>
        <w:t>）提出质疑的日期。</w:t>
      </w:r>
    </w:p>
    <w:p>
      <w:pPr>
        <w:pStyle w:val="53"/>
        <w:widowControl w:val="0"/>
        <w:shd w:val="clear" w:color="auto" w:fill="FFFFFF"/>
        <w:spacing w:line="460" w:lineRule="exact"/>
        <w:ind w:firstLine="480" w:firstLineChars="200"/>
        <w:rPr>
          <w:kern w:val="2"/>
        </w:rPr>
      </w:pPr>
      <w:r>
        <w:rPr>
          <w:rFonts w:hint="eastAsia"/>
          <w:kern w:val="2"/>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pStyle w:val="53"/>
        <w:widowControl w:val="0"/>
        <w:shd w:val="clear" w:color="auto" w:fill="FFFFFF"/>
        <w:spacing w:line="460" w:lineRule="exact"/>
        <w:ind w:firstLine="480" w:firstLineChars="200"/>
        <w:rPr>
          <w:kern w:val="2"/>
        </w:rPr>
      </w:pPr>
      <w:r>
        <w:rPr>
          <w:rFonts w:hint="eastAsia"/>
          <w:kern w:val="2"/>
        </w:rPr>
        <w:t>质疑投诉存在以下情形之一的，将不予受理：</w:t>
      </w:r>
    </w:p>
    <w:p>
      <w:pPr>
        <w:pStyle w:val="53"/>
        <w:widowControl w:val="0"/>
        <w:shd w:val="clear" w:color="auto" w:fill="FFFFFF"/>
        <w:spacing w:line="460" w:lineRule="exact"/>
        <w:ind w:firstLine="480" w:firstLineChars="200"/>
        <w:rPr>
          <w:kern w:val="2"/>
        </w:rPr>
      </w:pPr>
      <w:r>
        <w:rPr>
          <w:rFonts w:hint="eastAsia"/>
          <w:kern w:val="2"/>
        </w:rPr>
        <w:t>（</w:t>
      </w:r>
      <w:r>
        <w:rPr>
          <w:kern w:val="2"/>
        </w:rPr>
        <w:t>1</w:t>
      </w:r>
      <w:r>
        <w:rPr>
          <w:rFonts w:hint="eastAsia"/>
          <w:kern w:val="2"/>
        </w:rPr>
        <w:t>）质疑投诉人不是参加本项目的供应商；</w:t>
      </w:r>
    </w:p>
    <w:p>
      <w:pPr>
        <w:pStyle w:val="53"/>
        <w:widowControl w:val="0"/>
        <w:shd w:val="clear" w:color="auto" w:fill="FFFFFF"/>
        <w:spacing w:line="460" w:lineRule="exact"/>
        <w:ind w:firstLine="480" w:firstLineChars="200"/>
        <w:rPr>
          <w:kern w:val="2"/>
        </w:rPr>
      </w:pPr>
      <w:r>
        <w:rPr>
          <w:rFonts w:hint="eastAsia"/>
          <w:kern w:val="2"/>
        </w:rPr>
        <w:t>（</w:t>
      </w:r>
      <w:r>
        <w:rPr>
          <w:kern w:val="2"/>
        </w:rPr>
        <w:t>2</w:t>
      </w:r>
      <w:r>
        <w:rPr>
          <w:rFonts w:hint="eastAsia"/>
          <w:kern w:val="2"/>
        </w:rPr>
        <w:t>）供应商自身权益未受到损害的；</w:t>
      </w:r>
    </w:p>
    <w:p>
      <w:pPr>
        <w:pStyle w:val="53"/>
        <w:widowControl w:val="0"/>
        <w:shd w:val="clear" w:color="auto" w:fill="FFFFFF"/>
        <w:spacing w:line="460" w:lineRule="exact"/>
        <w:ind w:firstLine="480" w:firstLineChars="200"/>
        <w:rPr>
          <w:kern w:val="2"/>
        </w:rPr>
      </w:pPr>
      <w:r>
        <w:rPr>
          <w:rFonts w:hint="eastAsia"/>
          <w:kern w:val="2"/>
        </w:rPr>
        <w:t>（</w:t>
      </w:r>
      <w:r>
        <w:rPr>
          <w:kern w:val="2"/>
        </w:rPr>
        <w:t>3</w:t>
      </w:r>
      <w:r>
        <w:rPr>
          <w:rFonts w:hint="eastAsia"/>
          <w:kern w:val="2"/>
        </w:rPr>
        <w:t>）已超过法定质疑投诉提出期限的事项；</w:t>
      </w:r>
    </w:p>
    <w:p>
      <w:pPr>
        <w:pStyle w:val="53"/>
        <w:widowControl w:val="0"/>
        <w:shd w:val="clear" w:color="auto" w:fill="FFFFFF"/>
        <w:spacing w:line="460" w:lineRule="exact"/>
        <w:ind w:firstLine="480" w:firstLineChars="200"/>
        <w:rPr>
          <w:kern w:val="2"/>
        </w:rPr>
      </w:pPr>
      <w:r>
        <w:rPr>
          <w:rFonts w:hint="eastAsia"/>
          <w:kern w:val="2"/>
        </w:rPr>
        <w:t>（</w:t>
      </w:r>
      <w:r>
        <w:rPr>
          <w:kern w:val="2"/>
        </w:rPr>
        <w:t>4</w:t>
      </w:r>
      <w:r>
        <w:rPr>
          <w:rFonts w:hint="eastAsia"/>
          <w:kern w:val="2"/>
        </w:rPr>
        <w:t>）质疑未提供书面质疑或未按要求签署或盖章的；</w:t>
      </w:r>
    </w:p>
    <w:p>
      <w:pPr>
        <w:pStyle w:val="53"/>
        <w:widowControl w:val="0"/>
        <w:shd w:val="clear" w:color="auto" w:fill="FFFFFF"/>
        <w:spacing w:line="460" w:lineRule="exact"/>
        <w:ind w:firstLine="480" w:firstLineChars="200"/>
        <w:rPr>
          <w:kern w:val="2"/>
        </w:rPr>
      </w:pPr>
      <w:r>
        <w:rPr>
          <w:rFonts w:hint="eastAsia"/>
          <w:kern w:val="2"/>
        </w:rPr>
        <w:t>（</w:t>
      </w:r>
      <w:r>
        <w:rPr>
          <w:kern w:val="2"/>
        </w:rPr>
        <w:t>5</w:t>
      </w:r>
      <w:r>
        <w:rPr>
          <w:rFonts w:hint="eastAsia"/>
          <w:kern w:val="2"/>
        </w:rPr>
        <w:t>）质疑已经处理并答复后，质疑人就同一事项再次提起质疑且未提供新的有效证据的；</w:t>
      </w:r>
    </w:p>
    <w:p>
      <w:pPr>
        <w:widowControl w:val="0"/>
        <w:adjustRightInd w:val="0"/>
        <w:spacing w:line="460" w:lineRule="exact"/>
        <w:ind w:firstLine="480" w:firstLineChars="200"/>
      </w:pPr>
      <w:r>
        <w:rPr>
          <w:rFonts w:hint="eastAsia"/>
          <w:kern w:val="2"/>
        </w:rPr>
        <w:t>（</w:t>
      </w:r>
      <w:r>
        <w:rPr>
          <w:kern w:val="2"/>
        </w:rPr>
        <w:t>6</w:t>
      </w:r>
      <w:r>
        <w:rPr>
          <w:rFonts w:hint="eastAsia"/>
          <w:kern w:val="2"/>
        </w:rPr>
        <w:t>）</w:t>
      </w:r>
      <w:r>
        <w:rPr>
          <w:rFonts w:hint="eastAsia"/>
        </w:rPr>
        <w:t>质疑投诉的事项已经进入行政复议或者行政诉讼程序的；投诉事项应先提出质疑而没有提出质疑的；</w:t>
      </w:r>
    </w:p>
    <w:p>
      <w:pPr>
        <w:widowControl w:val="0"/>
        <w:adjustRightInd w:val="0"/>
        <w:spacing w:line="460" w:lineRule="exact"/>
        <w:ind w:firstLine="480" w:firstLineChars="200"/>
      </w:pPr>
      <w:r>
        <w:rPr>
          <w:rFonts w:hint="eastAsia"/>
          <w:kern w:val="2"/>
        </w:rPr>
        <w:t>（</w:t>
      </w:r>
      <w:r>
        <w:rPr>
          <w:kern w:val="2"/>
        </w:rPr>
        <w:t>7</w:t>
      </w:r>
      <w:r>
        <w:rPr>
          <w:rFonts w:hint="eastAsia"/>
          <w:kern w:val="2"/>
        </w:rPr>
        <w:t>）</w:t>
      </w:r>
      <w:r>
        <w:rPr>
          <w:rFonts w:hint="eastAsia"/>
        </w:rPr>
        <w:t>不符合《政府采购质疑和投诉办法》（财政部令第</w:t>
      </w:r>
      <w:r>
        <w:t>94</w:t>
      </w:r>
      <w:r>
        <w:rPr>
          <w:rFonts w:hint="eastAsia"/>
        </w:rPr>
        <w:t>号）等有关规定的投诉。</w:t>
      </w:r>
    </w:p>
    <w:p>
      <w:pPr>
        <w:pStyle w:val="31"/>
        <w:widowControl w:val="0"/>
        <w:tabs>
          <w:tab w:val="left" w:pos="900"/>
        </w:tabs>
        <w:spacing w:line="460" w:lineRule="exact"/>
        <w:ind w:firstLine="480" w:firstLineChars="200"/>
        <w:rPr>
          <w:rFonts w:ascii="Times New Roman" w:hAnsi="Times New Roman" w:cs="Times New Roman"/>
          <w:sz w:val="24"/>
          <w:szCs w:val="24"/>
        </w:rPr>
      </w:pPr>
    </w:p>
    <w:p>
      <w:pPr>
        <w:widowControl w:val="0"/>
        <w:spacing w:line="460" w:lineRule="exact"/>
        <w:ind w:firstLine="200"/>
      </w:pPr>
    </w:p>
    <w:p>
      <w:pPr>
        <w:pStyle w:val="5"/>
        <w:keepNext w:val="0"/>
        <w:keepLines w:val="0"/>
        <w:widowControl w:val="0"/>
        <w:spacing w:before="0" w:after="0" w:line="360" w:lineRule="auto"/>
        <w:jc w:val="center"/>
        <w:rPr>
          <w:sz w:val="36"/>
          <w:szCs w:val="36"/>
        </w:rPr>
      </w:pPr>
      <w:bookmarkStart w:id="125" w:name="_Toc406413940"/>
      <w:bookmarkStart w:id="126" w:name="_Toc362268017"/>
      <w:r>
        <w:rPr>
          <w:sz w:val="36"/>
          <w:szCs w:val="36"/>
        </w:rPr>
        <w:br w:type="page"/>
      </w:r>
      <w:bookmarkStart w:id="127" w:name="_Toc132380071"/>
      <w:r>
        <w:rPr>
          <w:rFonts w:hint="eastAsia"/>
          <w:sz w:val="36"/>
          <w:szCs w:val="36"/>
        </w:rPr>
        <w:t>第五章投标文件的</w:t>
      </w:r>
      <w:bookmarkEnd w:id="125"/>
      <w:bookmarkEnd w:id="126"/>
      <w:r>
        <w:rPr>
          <w:rFonts w:hint="eastAsia"/>
          <w:sz w:val="36"/>
          <w:szCs w:val="36"/>
        </w:rPr>
        <w:t>无效情形</w:t>
      </w:r>
      <w:bookmarkEnd w:id="127"/>
    </w:p>
    <w:p>
      <w:pPr>
        <w:pStyle w:val="31"/>
        <w:widowControl w:val="0"/>
        <w:spacing w:line="360" w:lineRule="auto"/>
        <w:ind w:firstLine="472" w:firstLineChars="196"/>
        <w:rPr>
          <w:rFonts w:ascii="Times New Roman" w:hAnsi="Times New Roman" w:cs="Times New Roman"/>
          <w:b/>
          <w:sz w:val="24"/>
          <w:szCs w:val="24"/>
        </w:rPr>
      </w:pPr>
      <w:r>
        <w:rPr>
          <w:rFonts w:ascii="Times New Roman" w:hAnsi="Times New Roman" w:cs="Times New Roman"/>
          <w:b/>
          <w:sz w:val="24"/>
          <w:szCs w:val="24"/>
        </w:rPr>
        <w:t>1.</w:t>
      </w:r>
      <w:r>
        <w:rPr>
          <w:rFonts w:hint="eastAsia" w:ascii="Times New Roman" w:hAnsi="Times New Roman" w:cs="Times New Roman"/>
          <w:b/>
          <w:sz w:val="24"/>
          <w:szCs w:val="24"/>
        </w:rPr>
        <w:t>有下列情形之一的，招标方将不予受理投标文件：</w:t>
      </w:r>
    </w:p>
    <w:p>
      <w:pPr>
        <w:pStyle w:val="31"/>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逾期上传电子投标文件至</w:t>
      </w:r>
      <w:r>
        <w:rPr>
          <w:rFonts w:ascii="Times New Roman" w:hAnsi="Times New Roman" w:cs="Times New Roman"/>
          <w:sz w:val="24"/>
          <w:szCs w:val="24"/>
        </w:rPr>
        <w:t>“</w:t>
      </w:r>
      <w:r>
        <w:rPr>
          <w:rFonts w:hint="eastAsia" w:ascii="Times New Roman" w:hAnsi="Times New Roman" w:cs="Times New Roman"/>
          <w:sz w:val="24"/>
          <w:szCs w:val="24"/>
        </w:rPr>
        <w:t>政采云</w:t>
      </w:r>
      <w:r>
        <w:rPr>
          <w:rFonts w:ascii="Times New Roman" w:hAnsi="Times New Roman" w:cs="Times New Roman"/>
          <w:sz w:val="24"/>
          <w:szCs w:val="24"/>
        </w:rPr>
        <w:t>”</w:t>
      </w:r>
      <w:r>
        <w:rPr>
          <w:rFonts w:hint="eastAsia" w:ascii="Times New Roman" w:hAnsi="Times New Roman" w:cs="Times New Roman"/>
          <w:sz w:val="24"/>
          <w:szCs w:val="24"/>
        </w:rPr>
        <w:t>的；</w:t>
      </w:r>
    </w:p>
    <w:p>
      <w:pPr>
        <w:tabs>
          <w:tab w:val="left" w:pos="5325"/>
        </w:tabs>
        <w:adjustRightInd w:val="0"/>
        <w:snapToGrid w:val="0"/>
        <w:spacing w:line="440" w:lineRule="exact"/>
        <w:ind w:firstLine="480" w:firstLineChars="200"/>
        <w:rPr>
          <w:rFonts w:hint="eastAsia" w:ascii="新宋体" w:hAnsi="新宋体" w:eastAsia="新宋体" w:cs="新宋体"/>
          <w:color w:val="auto"/>
          <w:sz w:val="24"/>
          <w:highlight w:val="none"/>
          <w:lang w:eastAsia="zh-CN"/>
        </w:rPr>
      </w:pPr>
      <w:r>
        <w:rPr>
          <w:rFonts w:hint="eastAsia" w:ascii="Times New Roman" w:hAnsi="Times New Roman" w:eastAsia="宋体" w:cs="Times New Roman"/>
          <w:kern w:val="2"/>
          <w:sz w:val="24"/>
          <w:szCs w:val="24"/>
          <w:lang w:val="en-US" w:eastAsia="zh-CN" w:bidi="ar-SA"/>
        </w:rPr>
        <w:t>1.2</w:t>
      </w:r>
      <w:r>
        <w:rPr>
          <w:rFonts w:hint="eastAsia" w:ascii="新宋体" w:hAnsi="新宋体" w:eastAsia="新宋体" w:cs="新宋体"/>
          <w:color w:val="auto"/>
          <w:sz w:val="24"/>
          <w:highlight w:val="none"/>
        </w:rPr>
        <w:t>电子投标文件在规定时间内解密未成功且未提供备份投标文件</w:t>
      </w:r>
      <w:r>
        <w:rPr>
          <w:rFonts w:hint="eastAsia" w:ascii="新宋体" w:hAnsi="新宋体" w:eastAsia="新宋体" w:cs="新宋体"/>
          <w:color w:val="auto"/>
          <w:sz w:val="24"/>
          <w:highlight w:val="none"/>
          <w:lang w:val="en-US" w:eastAsia="zh-CN"/>
        </w:rPr>
        <w:t>的</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或电子投标文件在规定时间内解密未成功且提供的备份投标文件无法上传打开的</w:t>
      </w:r>
      <w:r>
        <w:rPr>
          <w:rFonts w:hint="eastAsia" w:ascii="新宋体" w:hAnsi="新宋体" w:eastAsia="新宋体" w:cs="新宋体"/>
          <w:color w:val="auto"/>
          <w:sz w:val="24"/>
          <w:highlight w:val="none"/>
          <w:lang w:eastAsia="zh-CN"/>
        </w:rPr>
        <w:t>；</w:t>
      </w:r>
    </w:p>
    <w:p>
      <w:pPr>
        <w:pStyle w:val="31"/>
        <w:widowControl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1.3</w:t>
      </w:r>
      <w:r>
        <w:rPr>
          <w:rFonts w:hint="eastAsia" w:ascii="Times New Roman" w:hAnsi="Times New Roman" w:cs="Times New Roman"/>
          <w:kern w:val="0"/>
          <w:sz w:val="24"/>
        </w:rPr>
        <w:t>仅提供备份投标文件的；</w:t>
      </w:r>
    </w:p>
    <w:p>
      <w:pPr>
        <w:adjustRightInd w:val="0"/>
        <w:snapToGrid w:val="0"/>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shd w:val="pct10" w:color="auto" w:fill="FFFFFF"/>
        </w:rPr>
        <w:t>2.投标文件在资格响应文件或商务技术响应文件评审中出现下列情形之一的，由评标委员会审核后按无效投标文件处理：</w:t>
      </w:r>
    </w:p>
    <w:p>
      <w:pPr>
        <w:widowControl w:val="0"/>
        <w:spacing w:line="360" w:lineRule="auto"/>
        <w:ind w:firstLine="480" w:firstLineChars="200"/>
      </w:pPr>
      <w:r>
        <w:rPr>
          <w:szCs w:val="21"/>
        </w:rPr>
        <w:t>2.1.</w:t>
      </w:r>
      <w:r>
        <w:rPr>
          <w:rFonts w:hint="eastAsia"/>
          <w:szCs w:val="21"/>
        </w:rPr>
        <w:t>资格响应文件或商务技术响应文件中包含商务报价的</w:t>
      </w:r>
      <w:r>
        <w:rPr>
          <w:rFonts w:hint="eastAsia"/>
        </w:rPr>
        <w:t>。</w:t>
      </w:r>
    </w:p>
    <w:p>
      <w:pPr>
        <w:widowControl w:val="0"/>
        <w:spacing w:line="360" w:lineRule="auto"/>
        <w:ind w:firstLine="480" w:firstLineChars="200"/>
        <w:rPr>
          <w:szCs w:val="21"/>
        </w:rPr>
      </w:pPr>
      <w:r>
        <w:rPr>
          <w:szCs w:val="21"/>
        </w:rPr>
        <w:t>2.2</w:t>
      </w:r>
      <w:r>
        <w:rPr>
          <w:rFonts w:hint="eastAsia"/>
          <w:szCs w:val="21"/>
        </w:rPr>
        <w:t>招标文件关于投标文件要求中打</w:t>
      </w:r>
      <w:r>
        <w:rPr>
          <w:szCs w:val="21"/>
        </w:rPr>
        <w:t>“</w:t>
      </w:r>
      <w:r>
        <w:rPr>
          <w:rFonts w:hint="eastAsia" w:ascii="宋体" w:hAnsi="宋体" w:cs="宋体"/>
          <w:szCs w:val="21"/>
        </w:rPr>
        <w:t>★</w:t>
      </w:r>
      <w:r>
        <w:rPr>
          <w:szCs w:val="21"/>
        </w:rPr>
        <w:t>”</w:t>
      </w:r>
      <w:r>
        <w:rPr>
          <w:rFonts w:hint="eastAsia"/>
          <w:szCs w:val="21"/>
        </w:rPr>
        <w:t>的内容，投标人的投标文件内容未提供完整的，或关键字迹模糊、无法辨认的，或未按其规定的格式及要求填写、签字、盖章，或提供的投标文件内容不符合招标文件的中有关打</w:t>
      </w:r>
      <w:r>
        <w:rPr>
          <w:rFonts w:hint="eastAsia" w:ascii="宋体" w:hAnsi="宋体" w:cs="宋体"/>
          <w:szCs w:val="21"/>
        </w:rPr>
        <w:t>★</w:t>
      </w:r>
      <w:r>
        <w:rPr>
          <w:rFonts w:hint="eastAsia"/>
          <w:szCs w:val="21"/>
        </w:rPr>
        <w:t>号的条款的规定；</w:t>
      </w:r>
    </w:p>
    <w:p>
      <w:pPr>
        <w:widowControl w:val="0"/>
        <w:spacing w:line="360" w:lineRule="auto"/>
        <w:ind w:firstLine="480" w:firstLineChars="200"/>
      </w:pPr>
      <w:r>
        <w:rPr>
          <w:szCs w:val="21"/>
        </w:rPr>
        <w:t>2.3</w:t>
      </w:r>
      <w:r>
        <w:rPr>
          <w:rFonts w:hint="eastAsia"/>
        </w:rPr>
        <w:t>投标人不具备招标文件中规定的资格要求的（投标人未提供有效的资格文件的，视为投标人不具备招标文件中规定的资格要求）；</w:t>
      </w:r>
    </w:p>
    <w:p>
      <w:pPr>
        <w:widowControl w:val="0"/>
        <w:spacing w:line="360" w:lineRule="auto"/>
        <w:ind w:firstLine="480" w:firstLineChars="200"/>
      </w:pPr>
      <w:r>
        <w:t>2.4</w:t>
      </w:r>
      <w:r>
        <w:rPr>
          <w:rFonts w:hint="eastAsia"/>
        </w:rPr>
        <w:t>采购人拟采购的产品属于政府强制采购的节能产品品目清单范围的，投标人相应的投标产品在中国政府采购网（</w:t>
      </w:r>
      <w:r>
        <w:t>http://www.ccgp.gov.cn</w:t>
      </w:r>
      <w:r>
        <w:rPr>
          <w:rFonts w:hint="eastAsia"/>
        </w:rPr>
        <w:t>）中未查询到；</w:t>
      </w:r>
    </w:p>
    <w:p>
      <w:pPr>
        <w:widowControl w:val="0"/>
        <w:spacing w:line="360" w:lineRule="auto"/>
        <w:ind w:firstLine="480" w:firstLineChars="200"/>
      </w:pPr>
      <w:r>
        <w:t>2.5</w:t>
      </w:r>
      <w:r>
        <w:rPr>
          <w:rFonts w:hint="eastAsia"/>
        </w:rPr>
        <w:t>投标文件中承诺的投标有效期少于招标文件中载明的投标有效期的；</w:t>
      </w:r>
    </w:p>
    <w:p>
      <w:pPr>
        <w:widowControl w:val="0"/>
        <w:spacing w:line="360" w:lineRule="auto"/>
        <w:ind w:firstLine="480" w:firstLineChars="200"/>
        <w:rPr>
          <w:szCs w:val="21"/>
        </w:rPr>
      </w:pPr>
      <w:r>
        <w:rPr>
          <w:szCs w:val="21"/>
        </w:rPr>
        <w:t>2.6</w:t>
      </w:r>
      <w:r>
        <w:rPr>
          <w:rFonts w:hint="eastAsia"/>
          <w:szCs w:val="21"/>
        </w:rPr>
        <w:t>投标人所投产品的数量不符合招标文件规定的；</w:t>
      </w:r>
    </w:p>
    <w:p>
      <w:pPr>
        <w:widowControl w:val="0"/>
        <w:spacing w:line="360" w:lineRule="auto"/>
        <w:ind w:firstLine="480" w:firstLineChars="200"/>
        <w:rPr>
          <w:szCs w:val="21"/>
        </w:rPr>
      </w:pPr>
      <w:r>
        <w:rPr>
          <w:szCs w:val="21"/>
        </w:rPr>
        <w:t>2.7</w:t>
      </w:r>
      <w:r>
        <w:rPr>
          <w:rFonts w:hint="eastAsia"/>
          <w:szCs w:val="21"/>
        </w:rPr>
        <w:t>投标人借用或冒用他人名义或证件、涂改文件、伪造或编造投标文件的；</w:t>
      </w:r>
    </w:p>
    <w:p>
      <w:pPr>
        <w:widowControl w:val="0"/>
        <w:spacing w:line="360" w:lineRule="auto"/>
        <w:ind w:firstLine="480" w:firstLineChars="200"/>
        <w:rPr>
          <w:szCs w:val="21"/>
        </w:rPr>
      </w:pPr>
      <w:r>
        <w:rPr>
          <w:szCs w:val="21"/>
        </w:rPr>
        <w:t>2.8</w:t>
      </w:r>
      <w:r>
        <w:rPr>
          <w:rFonts w:hint="eastAsia"/>
          <w:szCs w:val="21"/>
        </w:rPr>
        <w:t>投标中不同投标单位的投标文件出现雷同或相似（包括部分雷同或相似），对所有雷同或相似投标人按废标处理，招标方将保留进一步追究责任的权利；</w:t>
      </w:r>
    </w:p>
    <w:p>
      <w:pPr>
        <w:widowControl w:val="0"/>
        <w:spacing w:line="360" w:lineRule="auto"/>
        <w:ind w:firstLine="480" w:firstLineChars="200"/>
        <w:rPr>
          <w:szCs w:val="21"/>
        </w:rPr>
      </w:pPr>
      <w:r>
        <w:rPr>
          <w:szCs w:val="21"/>
        </w:rPr>
        <w:t>2.9</w:t>
      </w:r>
      <w:r>
        <w:rPr>
          <w:rFonts w:hint="eastAsia"/>
          <w:szCs w:val="21"/>
        </w:rPr>
        <w:t>其他对本招标文件中打</w:t>
      </w:r>
      <w:r>
        <w:rPr>
          <w:rFonts w:hint="eastAsia" w:ascii="宋体" w:hAnsi="宋体" w:cs="宋体"/>
          <w:szCs w:val="21"/>
        </w:rPr>
        <w:t>★</w:t>
      </w:r>
      <w:r>
        <w:rPr>
          <w:rFonts w:hint="eastAsia"/>
          <w:szCs w:val="21"/>
        </w:rPr>
        <w:t>号的条款未完全响应的；</w:t>
      </w:r>
    </w:p>
    <w:p>
      <w:pPr>
        <w:widowControl w:val="0"/>
        <w:spacing w:line="360" w:lineRule="auto"/>
        <w:ind w:firstLine="480" w:firstLineChars="200"/>
        <w:rPr>
          <w:szCs w:val="21"/>
        </w:rPr>
      </w:pPr>
      <w:r>
        <w:rPr>
          <w:szCs w:val="21"/>
        </w:rPr>
        <w:t>2.10</w:t>
      </w:r>
      <w:r>
        <w:rPr>
          <w:rFonts w:hint="eastAsia"/>
          <w:szCs w:val="21"/>
        </w:rPr>
        <w:t>经</w:t>
      </w:r>
      <w:r>
        <w:rPr>
          <w:rFonts w:hint="eastAsia"/>
        </w:rPr>
        <w:t>评标小组</w:t>
      </w:r>
      <w:r>
        <w:rPr>
          <w:rFonts w:hint="eastAsia"/>
          <w:szCs w:val="21"/>
        </w:rPr>
        <w:t>认定，投标文件附有采购人不能接受的条件；</w:t>
      </w:r>
    </w:p>
    <w:p>
      <w:pPr>
        <w:widowControl w:val="0"/>
        <w:spacing w:line="360" w:lineRule="auto"/>
        <w:ind w:firstLine="480" w:firstLineChars="200"/>
        <w:rPr>
          <w:rFonts w:hint="eastAsia"/>
          <w:szCs w:val="21"/>
        </w:rPr>
      </w:pPr>
      <w:r>
        <w:rPr>
          <w:szCs w:val="21"/>
        </w:rPr>
        <w:t>2.11</w:t>
      </w:r>
      <w:r>
        <w:rPr>
          <w:rFonts w:hint="eastAsia"/>
        </w:rPr>
        <w:t>评标小组</w:t>
      </w:r>
      <w:r>
        <w:rPr>
          <w:rFonts w:hint="eastAsia"/>
          <w:szCs w:val="21"/>
        </w:rPr>
        <w:t>要求投标人澄清或说明的，如果投标人拒绝按照招标文件规定进行澄清或说明的。</w:t>
      </w:r>
    </w:p>
    <w:p>
      <w:pPr>
        <w:widowControl w:val="0"/>
        <w:spacing w:line="360" w:lineRule="auto"/>
        <w:ind w:firstLine="480" w:firstLineChars="200"/>
        <w:rPr>
          <w:highlight w:val="none"/>
        </w:rPr>
      </w:pPr>
      <w:r>
        <w:rPr>
          <w:rFonts w:hint="eastAsia" w:ascii="Times New Roman" w:hAnsi="Times New Roman" w:eastAsia="宋体" w:cs="Times New Roman"/>
          <w:highlight w:val="none"/>
        </w:rPr>
        <w:t>2.12《中小企业声明函》中的类型、行业，填写错误或者未填写的。</w:t>
      </w:r>
    </w:p>
    <w:p>
      <w:pPr>
        <w:widowControl w:val="0"/>
        <w:numPr>
          <w:ilvl w:val="0"/>
          <w:numId w:val="0"/>
        </w:numPr>
        <w:adjustRightInd w:val="0"/>
        <w:snapToGrid w:val="0"/>
        <w:spacing w:line="360" w:lineRule="auto"/>
        <w:ind w:leftChars="0" w:firstLine="482" w:firstLineChars="200"/>
        <w:rPr>
          <w:rFonts w:hint="eastAsia" w:ascii="新宋体" w:hAnsi="新宋体" w:eastAsia="新宋体" w:cs="新宋体"/>
          <w:b/>
          <w:color w:val="auto"/>
          <w:sz w:val="24"/>
          <w:highlight w:val="none"/>
          <w:shd w:val="pct10" w:color="auto" w:fill="FFFFFF"/>
        </w:rPr>
      </w:pPr>
      <w:r>
        <w:rPr>
          <w:rFonts w:hint="default" w:ascii="新宋体" w:hAnsi="新宋体" w:eastAsia="新宋体" w:cs="新宋体"/>
          <w:b/>
          <w:color w:val="auto"/>
          <w:sz w:val="24"/>
          <w:highlight w:val="none"/>
          <w:shd w:val="pct10" w:color="auto" w:fill="FFFFFF"/>
          <w:lang w:val="en-US"/>
        </w:rPr>
        <w:t>3.</w:t>
      </w:r>
      <w:r>
        <w:rPr>
          <w:rFonts w:hint="eastAsia" w:ascii="新宋体" w:hAnsi="新宋体" w:eastAsia="新宋体" w:cs="新宋体"/>
          <w:b/>
          <w:color w:val="auto"/>
          <w:sz w:val="24"/>
          <w:highlight w:val="none"/>
          <w:shd w:val="pct10" w:color="auto" w:fill="FFFFFF"/>
        </w:rPr>
        <w:t>投标文件在报价响应文件评审出现下列情形之一的，由评标委员会审核后按无效投标文件处理：</w:t>
      </w:r>
    </w:p>
    <w:p>
      <w:pPr>
        <w:widowControl w:val="0"/>
        <w:adjustRightInd w:val="0"/>
        <w:snapToGrid w:val="0"/>
        <w:spacing w:line="360" w:lineRule="auto"/>
        <w:ind w:firstLine="480" w:firstLineChars="200"/>
      </w:pPr>
      <w:r>
        <w:t>3.1.</w:t>
      </w:r>
      <w:r>
        <w:rPr>
          <w:rFonts w:hint="eastAsia"/>
        </w:rPr>
        <w:t>招标文件关于投标文件组成内容报价响应文件要求中打</w:t>
      </w:r>
      <w:r>
        <w:t>“</w:t>
      </w:r>
      <w:r>
        <w:rPr>
          <w:rFonts w:hint="eastAsia" w:ascii="宋体" w:hAnsi="宋体" w:cs="宋体"/>
        </w:rPr>
        <w:t>★</w:t>
      </w:r>
      <w:r>
        <w:t>”</w:t>
      </w:r>
      <w:r>
        <w:rPr>
          <w:rFonts w:hint="eastAsia"/>
        </w:rPr>
        <w:t>的内容，</w:t>
      </w:r>
      <w:r>
        <w:rPr>
          <w:rFonts w:hint="eastAsia"/>
          <w:szCs w:val="21"/>
        </w:rPr>
        <w:t>投标人的投标文件内容未提供完整的，或关键字迹模糊、无法辨认的，或未按其规定的格式及要求填写、签字、盖章，或提供的投标文件内容不符合招标文件中有关打</w:t>
      </w:r>
      <w:r>
        <w:rPr>
          <w:rFonts w:hint="eastAsia" w:ascii="宋体" w:hAnsi="宋体" w:cs="宋体"/>
          <w:szCs w:val="21"/>
        </w:rPr>
        <w:t>★</w:t>
      </w:r>
      <w:r>
        <w:rPr>
          <w:rFonts w:hint="eastAsia"/>
          <w:szCs w:val="21"/>
        </w:rPr>
        <w:t>号的条款的规定；</w:t>
      </w:r>
    </w:p>
    <w:p>
      <w:pPr>
        <w:widowControl w:val="0"/>
        <w:adjustRightInd w:val="0"/>
        <w:snapToGrid w:val="0"/>
        <w:spacing w:line="360" w:lineRule="auto"/>
        <w:ind w:firstLine="480" w:firstLineChars="200"/>
      </w:pPr>
      <w:r>
        <w:t>3.2</w:t>
      </w:r>
      <w:r>
        <w:rPr>
          <w:rFonts w:hint="eastAsia"/>
        </w:rPr>
        <w:t>投标报价高于预算金额或最高限价或低于项目成本总价的；</w:t>
      </w:r>
    </w:p>
    <w:p>
      <w:pPr>
        <w:widowControl w:val="0"/>
        <w:adjustRightInd w:val="0"/>
        <w:snapToGrid w:val="0"/>
        <w:spacing w:line="360" w:lineRule="auto"/>
        <w:ind w:firstLine="480" w:firstLineChars="200"/>
      </w:pPr>
      <w:r>
        <w:t>3.3</w:t>
      </w:r>
      <w:r>
        <w:rPr>
          <w:rFonts w:hint="eastAsia"/>
        </w:rPr>
        <w:t>投标人的所投产品的数量不符合招标文件规定的；</w:t>
      </w:r>
    </w:p>
    <w:p>
      <w:pPr>
        <w:widowControl w:val="0"/>
        <w:adjustRightInd w:val="0"/>
        <w:snapToGrid w:val="0"/>
        <w:spacing w:line="360" w:lineRule="auto"/>
        <w:ind w:firstLine="480" w:firstLineChars="200"/>
      </w:pPr>
      <w:r>
        <w:t>3.4</w:t>
      </w:r>
      <w:r>
        <w:rPr>
          <w:rFonts w:hint="eastAsia"/>
        </w:rPr>
        <w:t>投标人的投标报价未明确的，或者对同一采购项目提供两个或两个以上报价且未声明哪一个有效的，或者对同一采购项目提供两个或两个以上成本价且未声明哪一个有效；</w:t>
      </w:r>
    </w:p>
    <w:p>
      <w:pPr>
        <w:widowControl w:val="0"/>
        <w:adjustRightInd w:val="0"/>
        <w:snapToGrid w:val="0"/>
        <w:spacing w:line="360" w:lineRule="auto"/>
        <w:ind w:firstLine="480" w:firstLineChars="200"/>
      </w:pPr>
      <w:r>
        <w:t>3.5</w:t>
      </w:r>
      <w:r>
        <w:rPr>
          <w:rFonts w:hint="eastAsia"/>
        </w:rPr>
        <w:t>评标小组认为投标人的报价明显低于其他通过符合性审查投标人的报价，有可能影响产品服务或者不能诚信履约的，要求其通过</w:t>
      </w:r>
      <w:r>
        <w:t>“</w:t>
      </w:r>
      <w:r>
        <w:rPr>
          <w:rFonts w:hint="eastAsia"/>
        </w:rPr>
        <w:t>政采云</w:t>
      </w:r>
      <w:r>
        <w:t>”</w:t>
      </w:r>
      <w:r>
        <w:rPr>
          <w:rFonts w:hint="eastAsia"/>
        </w:rPr>
        <w:t>在规定的时间内提供</w:t>
      </w:r>
      <w:r>
        <w:t>CA</w:t>
      </w:r>
      <w:r>
        <w:rPr>
          <w:rFonts w:hint="eastAsia"/>
        </w:rPr>
        <w:t>签章的材料，投标人不能证明其报价合理性的；</w:t>
      </w:r>
    </w:p>
    <w:p>
      <w:pPr>
        <w:widowControl w:val="0"/>
        <w:adjustRightInd w:val="0"/>
        <w:snapToGrid w:val="0"/>
        <w:spacing w:line="360" w:lineRule="auto"/>
        <w:ind w:firstLine="480" w:firstLineChars="200"/>
      </w:pPr>
      <w:r>
        <w:t>3.6</w:t>
      </w:r>
      <w:r>
        <w:rPr>
          <w:rFonts w:hint="eastAsia"/>
        </w:rPr>
        <w:t>当投标人由于报价计算错误，投标人拒绝接受按招标文件的规定进行修正处理；</w:t>
      </w:r>
    </w:p>
    <w:p>
      <w:pPr>
        <w:widowControl w:val="0"/>
        <w:tabs>
          <w:tab w:val="left" w:pos="1898"/>
        </w:tabs>
        <w:autoSpaceDE w:val="0"/>
        <w:autoSpaceDN w:val="0"/>
        <w:adjustRightInd w:val="0"/>
        <w:snapToGrid w:val="0"/>
        <w:spacing w:line="360" w:lineRule="auto"/>
        <w:ind w:firstLine="480" w:firstLineChars="200"/>
      </w:pPr>
      <w:r>
        <w:t>3.7</w:t>
      </w:r>
      <w:r>
        <w:rPr>
          <w:rFonts w:hint="eastAsia"/>
        </w:rPr>
        <w:t>经评标小组审议认为投标文件附有采购人不能接受的条件的；</w:t>
      </w:r>
    </w:p>
    <w:p>
      <w:pPr>
        <w:widowControl w:val="0"/>
        <w:tabs>
          <w:tab w:val="left" w:pos="1898"/>
        </w:tabs>
        <w:autoSpaceDE w:val="0"/>
        <w:autoSpaceDN w:val="0"/>
        <w:adjustRightInd w:val="0"/>
        <w:snapToGrid w:val="0"/>
        <w:spacing w:line="360" w:lineRule="auto"/>
        <w:ind w:firstLine="482" w:firstLineChars="200"/>
        <w:rPr>
          <w:b/>
        </w:rPr>
      </w:pPr>
      <w:r>
        <w:rPr>
          <w:b/>
        </w:rPr>
        <w:t>4.</w:t>
      </w:r>
      <w:r>
        <w:rPr>
          <w:rFonts w:hint="eastAsia"/>
          <w:b/>
        </w:rPr>
        <w:t>在资格审查及评审过程中，符合中华人民共和国财政部令第</w:t>
      </w:r>
      <w:r>
        <w:rPr>
          <w:b/>
        </w:rPr>
        <w:t>87</w:t>
      </w:r>
      <w:r>
        <w:rPr>
          <w:rFonts w:hint="eastAsia"/>
          <w:b/>
        </w:rPr>
        <w:t>号《政府采购货物和服务招标投标管理办法》第三十七条情形之一的，视为投标人串通投标，其投标无效，并移送采购监管部门：</w:t>
      </w:r>
    </w:p>
    <w:p>
      <w:pPr>
        <w:pStyle w:val="53"/>
        <w:widowControl w:val="0"/>
        <w:spacing w:line="360" w:lineRule="auto"/>
        <w:ind w:firstLine="480" w:firstLineChars="200"/>
        <w:jc w:val="both"/>
      </w:pPr>
      <w:r>
        <w:t>4.1</w:t>
      </w:r>
      <w:r>
        <w:rPr>
          <w:rFonts w:hint="eastAsia"/>
        </w:rPr>
        <w:t>不同投标人的投标文件由同一单位或者个人编制；</w:t>
      </w:r>
    </w:p>
    <w:p>
      <w:pPr>
        <w:pStyle w:val="53"/>
        <w:widowControl w:val="0"/>
        <w:spacing w:line="360" w:lineRule="auto"/>
        <w:ind w:firstLine="480" w:firstLineChars="200"/>
        <w:jc w:val="both"/>
      </w:pPr>
      <w:r>
        <w:t>4.2</w:t>
      </w:r>
      <w:r>
        <w:rPr>
          <w:rFonts w:hint="eastAsia"/>
        </w:rPr>
        <w:t>不同投标人委托同一单位或者个人办理投标事宜；</w:t>
      </w:r>
    </w:p>
    <w:p>
      <w:pPr>
        <w:pStyle w:val="53"/>
        <w:widowControl w:val="0"/>
        <w:spacing w:line="360" w:lineRule="auto"/>
        <w:ind w:firstLine="480" w:firstLineChars="200"/>
        <w:jc w:val="both"/>
      </w:pPr>
      <w:r>
        <w:t>4.3</w:t>
      </w:r>
      <w:r>
        <w:rPr>
          <w:rFonts w:hint="eastAsia"/>
        </w:rPr>
        <w:t>不同投标人的投标文件载明的项目管理成员或者联系人员为同一人；</w:t>
      </w:r>
    </w:p>
    <w:p>
      <w:pPr>
        <w:pStyle w:val="53"/>
        <w:widowControl w:val="0"/>
        <w:spacing w:line="360" w:lineRule="auto"/>
        <w:ind w:firstLine="480" w:firstLineChars="200"/>
        <w:jc w:val="both"/>
      </w:pPr>
      <w:r>
        <w:t>4.4</w:t>
      </w:r>
      <w:r>
        <w:rPr>
          <w:rFonts w:hint="eastAsia"/>
        </w:rPr>
        <w:t>不同投标人的投标文件异常一致或者投标报价呈规律性差异；</w:t>
      </w:r>
    </w:p>
    <w:p>
      <w:pPr>
        <w:pStyle w:val="53"/>
        <w:widowControl w:val="0"/>
        <w:spacing w:line="360" w:lineRule="auto"/>
        <w:ind w:firstLine="480" w:firstLineChars="200"/>
        <w:jc w:val="both"/>
      </w:pPr>
      <w:r>
        <w:t>4.5</w:t>
      </w:r>
      <w:r>
        <w:rPr>
          <w:rFonts w:hint="eastAsia"/>
        </w:rPr>
        <w:t>不同投标人的投标文件相互混装；</w:t>
      </w:r>
    </w:p>
    <w:p>
      <w:pPr>
        <w:pStyle w:val="53"/>
        <w:keepNext w:val="0"/>
        <w:keepLines w:val="0"/>
        <w:pageBreakBefore w:val="0"/>
        <w:widowControl w:val="0"/>
        <w:kinsoku/>
        <w:wordWrap/>
        <w:topLinePunct w:val="0"/>
        <w:bidi w:val="0"/>
        <w:spacing w:line="360" w:lineRule="auto"/>
        <w:ind w:firstLine="482" w:firstLineChars="200"/>
        <w:jc w:val="both"/>
        <w:rPr>
          <w:rFonts w:hint="default"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5.</w:t>
      </w:r>
      <w:r>
        <w:rPr>
          <w:rFonts w:hint="default" w:ascii="Times New Roman" w:hAnsi="Times New Roman" w:eastAsia="宋体" w:cs="Times New Roman"/>
          <w:b/>
          <w:bCs/>
          <w:color w:val="auto"/>
          <w:highlight w:val="none"/>
          <w:lang w:val="en-US" w:eastAsia="zh-CN"/>
        </w:rPr>
        <w:t>除政府采购法律法规规定的恶意串通、视同串通投标情形外，在不影响公平竞争的前提下，参与同一个标</w:t>
      </w:r>
      <w:r>
        <w:rPr>
          <w:rFonts w:hint="eastAsia" w:ascii="Times New Roman" w:hAnsi="Times New Roman" w:eastAsia="宋体" w:cs="Times New Roman"/>
          <w:b/>
          <w:bCs/>
          <w:color w:val="auto"/>
          <w:highlight w:val="none"/>
          <w:lang w:val="en-US" w:eastAsia="zh-CN"/>
        </w:rPr>
        <w:t>项</w:t>
      </w:r>
      <w:r>
        <w:rPr>
          <w:rFonts w:hint="default" w:ascii="Times New Roman" w:hAnsi="Times New Roman" w:eastAsia="宋体" w:cs="Times New Roman"/>
          <w:b/>
          <w:bCs/>
          <w:color w:val="auto"/>
          <w:highlight w:val="none"/>
          <w:lang w:val="en-US" w:eastAsia="zh-CN"/>
        </w:rPr>
        <w:t>(包)的供应商存在下列情形之一的，其投标(响应)文件无效：</w:t>
      </w:r>
      <w:r>
        <w:rPr>
          <w:rFonts w:hint="default" w:ascii="Times New Roman" w:hAnsi="Times New Roman" w:eastAsia="宋体" w:cs="Times New Roman"/>
          <w:color w:val="auto"/>
          <w:highlight w:val="none"/>
        </w:rPr>
        <w:t>(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pPr>
        <w:pStyle w:val="53"/>
        <w:widowControl w:val="0"/>
        <w:spacing w:line="360" w:lineRule="auto"/>
        <w:ind w:firstLine="482" w:firstLineChars="200"/>
        <w:jc w:val="both"/>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6.法律、法规、规章及省级以上规范性文件规定的其他无效情形。</w:t>
      </w:r>
    </w:p>
    <w:p>
      <w:pPr>
        <w:pStyle w:val="53"/>
        <w:widowControl w:val="0"/>
        <w:spacing w:line="360" w:lineRule="auto"/>
        <w:ind w:firstLine="482" w:firstLineChars="200"/>
        <w:jc w:val="both"/>
        <w:rPr>
          <w:b/>
          <w:bCs/>
        </w:rPr>
      </w:pPr>
      <w:r>
        <w:rPr>
          <w:b/>
          <w:bCs/>
        </w:rPr>
        <w:t>7.</w:t>
      </w:r>
      <w:r>
        <w:rPr>
          <w:rFonts w:hint="eastAsia"/>
          <w:b/>
          <w:bCs/>
        </w:rPr>
        <w:t>评标过程中，非上述所罗列的情况，不得以无效标处理。</w:t>
      </w:r>
    </w:p>
    <w:p>
      <w:pPr>
        <w:widowControl w:val="0"/>
        <w:spacing w:line="360" w:lineRule="auto"/>
        <w:ind w:firstLine="480" w:firstLineChars="200"/>
      </w:pPr>
    </w:p>
    <w:p>
      <w:pPr>
        <w:widowControl w:val="0"/>
        <w:spacing w:line="360" w:lineRule="auto"/>
      </w:pPr>
    </w:p>
    <w:p>
      <w:pPr>
        <w:widowControl w:val="0"/>
        <w:spacing w:line="360" w:lineRule="auto"/>
      </w:pPr>
    </w:p>
    <w:p>
      <w:pPr>
        <w:widowControl w:val="0"/>
        <w:spacing w:line="420" w:lineRule="exact"/>
      </w:pPr>
    </w:p>
    <w:p>
      <w:pPr>
        <w:pStyle w:val="5"/>
        <w:keepNext w:val="0"/>
        <w:keepLines w:val="0"/>
        <w:widowControl w:val="0"/>
        <w:numPr>
          <w:ilvl w:val="0"/>
          <w:numId w:val="5"/>
        </w:numPr>
        <w:tabs>
          <w:tab w:val="left" w:pos="1095"/>
        </w:tabs>
        <w:spacing w:before="0" w:after="0" w:line="360" w:lineRule="auto"/>
        <w:ind w:left="0" w:firstLine="0"/>
        <w:jc w:val="center"/>
        <w:rPr>
          <w:sz w:val="36"/>
        </w:rPr>
      </w:pPr>
      <w:bookmarkStart w:id="128" w:name="_Toc145992551"/>
      <w:bookmarkStart w:id="129" w:name="_Toc274303255"/>
      <w:bookmarkStart w:id="130" w:name="_Toc226973004"/>
      <w:bookmarkStart w:id="131" w:name="_Toc132380072"/>
      <w:bookmarkStart w:id="132" w:name="_Toc406413941"/>
      <w:bookmarkStart w:id="133" w:name="_Toc213038697"/>
      <w:bookmarkStart w:id="134" w:name="_Toc274303258"/>
      <w:bookmarkStart w:id="135" w:name="_Toc238878128"/>
      <w:r>
        <w:rPr>
          <w:sz w:val="36"/>
        </w:rPr>
        <w:br w:type="page"/>
      </w:r>
      <w:r>
        <w:rPr>
          <w:rFonts w:hint="eastAsia"/>
          <w:sz w:val="36"/>
        </w:rPr>
        <w:t>评标办法</w:t>
      </w:r>
      <w:bookmarkEnd w:id="128"/>
      <w:bookmarkEnd w:id="129"/>
      <w:bookmarkEnd w:id="130"/>
      <w:bookmarkEnd w:id="131"/>
      <w:bookmarkEnd w:id="132"/>
    </w:p>
    <w:p>
      <w:pPr>
        <w:pStyle w:val="31"/>
        <w:widowControl w:val="0"/>
        <w:spacing w:line="440" w:lineRule="exact"/>
        <w:ind w:firstLine="480" w:firstLineChars="200"/>
        <w:rPr>
          <w:rFonts w:ascii="Times New Roman" w:hAnsi="Times New Roman" w:cs="Times New Roman"/>
          <w:sz w:val="24"/>
          <w:szCs w:val="24"/>
        </w:rPr>
      </w:pPr>
      <w:bookmarkStart w:id="136" w:name="_Toc274303257"/>
      <w:r>
        <w:rPr>
          <w:rFonts w:hint="eastAsia" w:ascii="Times New Roman" w:hAnsi="Times New Roman" w:cs="Times New Roman"/>
          <w:sz w:val="24"/>
          <w:szCs w:val="24"/>
        </w:rPr>
        <w:t>根据《中华人民共和国政府采购法》及相关法律的有关规定，为更好地做到公开、公平、公正，结合本次招标的特点，特制定本评标办法，本项目的评标办法为综合评分法。</w:t>
      </w:r>
    </w:p>
    <w:p>
      <w:pPr>
        <w:pStyle w:val="31"/>
        <w:widowControl w:val="0"/>
        <w:spacing w:line="44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一、评审程序</w:t>
      </w:r>
    </w:p>
    <w:bookmarkEnd w:id="136"/>
    <w:p>
      <w:pPr>
        <w:pStyle w:val="31"/>
        <w:widowControl w:val="0"/>
        <w:spacing w:line="440" w:lineRule="exact"/>
        <w:ind w:firstLine="480" w:firstLineChars="200"/>
        <w:rPr>
          <w:rFonts w:ascii="Times New Roman" w:hAnsi="Times New Roman" w:cs="Times New Roman"/>
          <w:sz w:val="24"/>
          <w:szCs w:val="24"/>
        </w:rPr>
      </w:pPr>
      <w:bookmarkStart w:id="137" w:name="_Toc323024194"/>
      <w:bookmarkStart w:id="138" w:name="_Toc330474791"/>
      <w:bookmarkStart w:id="139" w:name="_Toc269969080"/>
      <w:bookmarkStart w:id="140" w:name="_Toc358884475"/>
      <w:bookmarkStart w:id="141" w:name="_Toc362250710"/>
      <w:bookmarkStart w:id="142" w:name="_Toc295815145"/>
      <w:r>
        <w:rPr>
          <w:rFonts w:hint="eastAsia" w:ascii="Times New Roman" w:hAnsi="Times New Roman" w:cs="Times New Roman"/>
          <w:sz w:val="24"/>
          <w:szCs w:val="24"/>
        </w:rPr>
        <w:t>评标小组以开标、评标、询标情况为基本依据，按照招标文件的规定，对各投标人的投标文件按商务技术部分和报价部分顺序进行分析、评议，具体按以下程序进行评审：</w:t>
      </w:r>
    </w:p>
    <w:p>
      <w:pPr>
        <w:pStyle w:val="31"/>
        <w:widowControl w:val="0"/>
        <w:spacing w:line="440" w:lineRule="exact"/>
        <w:ind w:firstLine="480"/>
        <w:rPr>
          <w:rFonts w:ascii="Times New Roman" w:hAnsi="Times New Roman" w:cs="Times New Roman"/>
          <w:sz w:val="24"/>
          <w:szCs w:val="24"/>
        </w:rPr>
      </w:pPr>
      <w:r>
        <w:rPr>
          <w:rFonts w:hint="eastAsia" w:ascii="Times New Roman" w:hAnsi="Times New Roman" w:cs="Times New Roman"/>
          <w:sz w:val="24"/>
          <w:szCs w:val="24"/>
        </w:rPr>
        <w:t>（一）对通过资格性审查合格的投标人的商务技术响应文件进行符合性审查。</w:t>
      </w:r>
    </w:p>
    <w:p>
      <w:pPr>
        <w:pStyle w:val="31"/>
        <w:widowControl w:val="0"/>
        <w:spacing w:line="440" w:lineRule="exact"/>
        <w:ind w:firstLine="480" w:firstLineChars="200"/>
        <w:rPr>
          <w:rFonts w:ascii="Times New Roman" w:hAnsi="Times New Roman" w:cs="Times New Roman"/>
          <w:sz w:val="24"/>
        </w:rPr>
      </w:pPr>
      <w:r>
        <w:rPr>
          <w:rFonts w:hint="eastAsia" w:ascii="Times New Roman" w:hAnsi="Times New Roman" w:cs="Times New Roman"/>
          <w:sz w:val="24"/>
        </w:rPr>
        <w:t>（二）对通过符合性审查有效的投标人的商务技术响应文件进行技术评分（详见三、评分细则）；</w:t>
      </w:r>
    </w:p>
    <w:p>
      <w:pPr>
        <w:pStyle w:val="31"/>
        <w:widowControl w:val="0"/>
        <w:spacing w:line="440" w:lineRule="exact"/>
        <w:ind w:firstLine="480" w:firstLineChars="200"/>
        <w:rPr>
          <w:rFonts w:ascii="Times New Roman" w:hAnsi="Times New Roman" w:cs="Times New Roman"/>
          <w:sz w:val="24"/>
        </w:rPr>
      </w:pPr>
      <w:r>
        <w:rPr>
          <w:rFonts w:hint="eastAsia" w:ascii="Times New Roman" w:hAnsi="Times New Roman" w:cs="Times New Roman"/>
          <w:sz w:val="24"/>
        </w:rPr>
        <w:t>（三）上述投标人的评分结束后，</w:t>
      </w:r>
      <w:r>
        <w:rPr>
          <w:rFonts w:hint="eastAsia" w:ascii="Times New Roman" w:hAnsi="Times New Roman" w:cs="Times New Roman"/>
          <w:sz w:val="24"/>
          <w:szCs w:val="24"/>
        </w:rPr>
        <w:t>评标小组</w:t>
      </w:r>
      <w:r>
        <w:rPr>
          <w:rFonts w:hint="eastAsia" w:ascii="Times New Roman" w:hAnsi="Times New Roman" w:cs="Times New Roman"/>
          <w:sz w:val="24"/>
        </w:rPr>
        <w:t>对上述投标人的报价文件进行评审；</w:t>
      </w:r>
      <w:r>
        <w:rPr>
          <w:rFonts w:hint="eastAsia" w:ascii="Times New Roman" w:hAnsi="Times New Roman" w:cs="Times New Roman"/>
          <w:b/>
          <w:bCs/>
          <w:sz w:val="24"/>
          <w:szCs w:val="24"/>
        </w:rPr>
        <w:t>评标小组</w:t>
      </w:r>
      <w:r>
        <w:rPr>
          <w:rFonts w:hint="eastAsia" w:ascii="Times New Roman" w:hAnsi="Times New Roman" w:cs="Times New Roman"/>
          <w:b/>
          <w:bCs/>
          <w:sz w:val="24"/>
        </w:rPr>
        <w:t>认为投标人的报价明显低于其他通过符合性审查投标人的报价，有可能影响服务质量或者不能诚信履约的，应当要求其通过</w:t>
      </w:r>
      <w:r>
        <w:rPr>
          <w:rFonts w:ascii="Times New Roman" w:hAnsi="Times New Roman" w:cs="Times New Roman"/>
          <w:b/>
          <w:bCs/>
          <w:sz w:val="24"/>
        </w:rPr>
        <w:t>“</w:t>
      </w:r>
      <w:r>
        <w:rPr>
          <w:rFonts w:hint="eastAsia" w:ascii="Times New Roman" w:hAnsi="Times New Roman" w:cs="Times New Roman"/>
          <w:b/>
          <w:bCs/>
          <w:sz w:val="24"/>
        </w:rPr>
        <w:t>政采云</w:t>
      </w:r>
      <w:r>
        <w:rPr>
          <w:rFonts w:ascii="Times New Roman" w:hAnsi="Times New Roman" w:cs="Times New Roman"/>
          <w:b/>
          <w:bCs/>
          <w:sz w:val="24"/>
        </w:rPr>
        <w:t>”</w:t>
      </w:r>
      <w:r>
        <w:rPr>
          <w:rFonts w:hint="eastAsia" w:ascii="Times New Roman" w:hAnsi="Times New Roman" w:cs="Times New Roman"/>
          <w:b/>
          <w:bCs/>
          <w:sz w:val="24"/>
        </w:rPr>
        <w:t>在规定的时间内提供加盖投标人</w:t>
      </w:r>
      <w:r>
        <w:rPr>
          <w:rFonts w:ascii="Times New Roman" w:hAnsi="Times New Roman" w:cs="Times New Roman"/>
          <w:b/>
          <w:bCs/>
          <w:sz w:val="24"/>
        </w:rPr>
        <w:t>CA</w:t>
      </w:r>
      <w:r>
        <w:rPr>
          <w:rFonts w:hint="eastAsia" w:ascii="Times New Roman" w:hAnsi="Times New Roman" w:cs="Times New Roman"/>
          <w:b/>
          <w:bCs/>
          <w:sz w:val="24"/>
        </w:rPr>
        <w:t>签章的材料，必要时提交相关佐证材料；投标人不能证明其报价合理性的，</w:t>
      </w:r>
      <w:r>
        <w:rPr>
          <w:rFonts w:hint="eastAsia" w:ascii="Times New Roman" w:hAnsi="Times New Roman" w:cs="Times New Roman"/>
          <w:b/>
          <w:bCs/>
          <w:sz w:val="24"/>
          <w:szCs w:val="24"/>
        </w:rPr>
        <w:t>评标小组</w:t>
      </w:r>
      <w:r>
        <w:rPr>
          <w:rFonts w:hint="eastAsia" w:ascii="Times New Roman" w:hAnsi="Times New Roman" w:cs="Times New Roman"/>
          <w:b/>
          <w:bCs/>
          <w:sz w:val="24"/>
        </w:rPr>
        <w:t>应当将其作为无效投标处理。</w:t>
      </w:r>
    </w:p>
    <w:p>
      <w:pPr>
        <w:pStyle w:val="31"/>
        <w:widowControl w:val="0"/>
        <w:spacing w:line="440" w:lineRule="exact"/>
        <w:ind w:firstLine="480" w:firstLineChars="200"/>
        <w:rPr>
          <w:rFonts w:ascii="Times New Roman" w:hAnsi="Times New Roman" w:cs="Times New Roman"/>
          <w:sz w:val="24"/>
        </w:rPr>
      </w:pPr>
      <w:r>
        <w:rPr>
          <w:rFonts w:hint="eastAsia" w:ascii="Times New Roman" w:hAnsi="Times New Roman" w:cs="Times New Roman"/>
          <w:sz w:val="24"/>
        </w:rPr>
        <w:t>（四）对通过报价评审有效的投标人，由</w:t>
      </w:r>
      <w:r>
        <w:rPr>
          <w:rFonts w:ascii="Times New Roman" w:hAnsi="Times New Roman" w:cs="Times New Roman"/>
          <w:sz w:val="24"/>
        </w:rPr>
        <w:t>“</w:t>
      </w:r>
      <w:r>
        <w:rPr>
          <w:rFonts w:hint="eastAsia" w:ascii="Times New Roman" w:hAnsi="Times New Roman" w:cs="Times New Roman"/>
          <w:sz w:val="24"/>
        </w:rPr>
        <w:t>政采云</w:t>
      </w:r>
      <w:r>
        <w:rPr>
          <w:rFonts w:ascii="Times New Roman" w:hAnsi="Times New Roman" w:cs="Times New Roman"/>
          <w:sz w:val="24"/>
        </w:rPr>
        <w:t>”</w:t>
      </w:r>
      <w:r>
        <w:rPr>
          <w:rFonts w:hint="eastAsia" w:ascii="Times New Roman" w:hAnsi="Times New Roman" w:cs="Times New Roman"/>
          <w:sz w:val="24"/>
        </w:rPr>
        <w:t>计算出其报价分及总得分，并由评标小组会进行确认；</w:t>
      </w:r>
    </w:p>
    <w:p>
      <w:pPr>
        <w:pStyle w:val="31"/>
        <w:widowControl w:val="0"/>
        <w:spacing w:line="440" w:lineRule="exact"/>
        <w:ind w:firstLine="480" w:firstLineChars="200"/>
        <w:rPr>
          <w:rFonts w:ascii="Times New Roman" w:hAnsi="Times New Roman" w:cs="Times New Roman"/>
          <w:sz w:val="24"/>
        </w:rPr>
      </w:pPr>
      <w:r>
        <w:rPr>
          <w:rFonts w:hint="eastAsia" w:ascii="Times New Roman" w:hAnsi="Times New Roman" w:cs="Times New Roman"/>
          <w:sz w:val="24"/>
        </w:rPr>
        <w:t>（五）确定中标候选人</w:t>
      </w:r>
    </w:p>
    <w:p>
      <w:pPr>
        <w:pStyle w:val="31"/>
        <w:widowControl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首先，评标小组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pPr>
        <w:pStyle w:val="31"/>
        <w:widowControl w:val="0"/>
        <w:spacing w:line="440" w:lineRule="exact"/>
        <w:ind w:firstLine="480" w:firstLineChars="20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其次，评标小组直接确定排名第一的投标人为中标人。</w:t>
      </w:r>
    </w:p>
    <w:p>
      <w:pPr>
        <w:pStyle w:val="31"/>
        <w:widowControl w:val="0"/>
        <w:spacing w:line="440" w:lineRule="exact"/>
        <w:ind w:firstLine="480" w:firstLineChars="200"/>
        <w:rPr>
          <w:rFonts w:ascii="Times New Roman" w:hAnsi="Times New Roman" w:cs="Times New Roman"/>
          <w:sz w:val="24"/>
        </w:rPr>
      </w:pPr>
      <w:r>
        <w:rPr>
          <w:rFonts w:hint="eastAsia" w:ascii="Times New Roman" w:hAnsi="Times New Roman" w:cs="Times New Roman"/>
          <w:sz w:val="24"/>
        </w:rPr>
        <w:t>（六）完成评标报告</w:t>
      </w:r>
    </w:p>
    <w:p>
      <w:pPr>
        <w:pStyle w:val="31"/>
        <w:widowControl w:val="0"/>
        <w:spacing w:line="440" w:lineRule="exact"/>
        <w:ind w:firstLine="480" w:firstLineChars="200"/>
        <w:rPr>
          <w:rFonts w:ascii="Times New Roman" w:hAnsi="Times New Roman" w:cs="Times New Roman"/>
          <w:sz w:val="24"/>
        </w:rPr>
      </w:pPr>
      <w:r>
        <w:rPr>
          <w:rFonts w:hint="eastAsia" w:ascii="Times New Roman" w:hAnsi="Times New Roman" w:cs="Times New Roman"/>
          <w:sz w:val="24"/>
        </w:rPr>
        <w:t>评标小组根据评审相关情况作出评标报告。</w:t>
      </w:r>
    </w:p>
    <w:p>
      <w:pPr>
        <w:widowControl w:val="0"/>
        <w:spacing w:line="440" w:lineRule="exact"/>
        <w:rPr>
          <w:b/>
        </w:rPr>
      </w:pPr>
      <w:r>
        <w:rPr>
          <w:rFonts w:hint="eastAsia"/>
          <w:b/>
        </w:rPr>
        <w:t>二、确定的中标人放弃中标等情况的处理</w:t>
      </w:r>
      <w:bookmarkEnd w:id="137"/>
      <w:bookmarkEnd w:id="138"/>
      <w:bookmarkEnd w:id="139"/>
      <w:bookmarkEnd w:id="140"/>
      <w:bookmarkEnd w:id="141"/>
      <w:bookmarkEnd w:id="142"/>
    </w:p>
    <w:p>
      <w:pPr>
        <w:widowControl w:val="0"/>
        <w:spacing w:line="440" w:lineRule="exact"/>
        <w:ind w:firstLine="470" w:firstLineChars="196"/>
        <w:rPr>
          <w:b/>
        </w:rPr>
      </w:pPr>
      <w:r>
        <w:rPr>
          <w:rFonts w:hint="eastAsia"/>
        </w:rPr>
        <w:t>当确定的中标人放弃中标，因不可抗力提出不能履行合同，或者质疑投诉成立，取消中标人资格的，都不再确定其余投标人作为中标人</w:t>
      </w:r>
      <w:r>
        <w:rPr>
          <w:rFonts w:hint="eastAsia"/>
          <w:b/>
        </w:rPr>
        <w:t>。</w:t>
      </w:r>
    </w:p>
    <w:p>
      <w:pPr>
        <w:widowControl w:val="0"/>
        <w:numPr>
          <w:ilvl w:val="0"/>
          <w:numId w:val="3"/>
        </w:numPr>
        <w:spacing w:line="400" w:lineRule="exact"/>
        <w:ind w:left="0" w:leftChars="0" w:firstLine="0" w:firstLineChars="0"/>
        <w:rPr>
          <w:rFonts w:hint="eastAsia"/>
          <w:b/>
        </w:rPr>
      </w:pPr>
      <w:r>
        <w:rPr>
          <w:rFonts w:hint="eastAsia"/>
          <w:b/>
        </w:rPr>
        <w:t>评分细则</w:t>
      </w:r>
    </w:p>
    <w:tbl>
      <w:tblPr>
        <w:tblStyle w:val="57"/>
        <w:tblW w:w="10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69"/>
        <w:gridCol w:w="5760"/>
        <w:gridCol w:w="120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91" w:type="dxa"/>
            <w:noWrap w:val="0"/>
            <w:vAlign w:val="center"/>
          </w:tcPr>
          <w:p>
            <w:pPr>
              <w:pStyle w:val="31"/>
              <w:spacing w:line="440" w:lineRule="exact"/>
              <w:jc w:val="center"/>
              <w:rPr>
                <w:rFonts w:ascii="Times New Roman" w:hAnsi="Times New Roman"/>
                <w:b/>
                <w:color w:val="000000"/>
                <w:sz w:val="24"/>
                <w:szCs w:val="24"/>
                <w:lang w:val="zh-CN"/>
              </w:rPr>
            </w:pPr>
            <w:r>
              <w:rPr>
                <w:rFonts w:ascii="Times New Roman" w:hAnsi="宋体"/>
                <w:b/>
                <w:color w:val="000000"/>
                <w:sz w:val="24"/>
                <w:szCs w:val="24"/>
                <w:lang w:val="zh-CN"/>
              </w:rPr>
              <w:t>序号</w:t>
            </w:r>
          </w:p>
        </w:tc>
        <w:tc>
          <w:tcPr>
            <w:tcW w:w="1469" w:type="dxa"/>
            <w:noWrap w:val="0"/>
            <w:vAlign w:val="center"/>
          </w:tcPr>
          <w:p>
            <w:pPr>
              <w:pStyle w:val="31"/>
              <w:spacing w:line="440" w:lineRule="exact"/>
              <w:jc w:val="center"/>
              <w:rPr>
                <w:rFonts w:ascii="Times New Roman" w:hAnsi="Times New Roman"/>
                <w:b/>
                <w:color w:val="000000"/>
                <w:sz w:val="24"/>
                <w:szCs w:val="24"/>
                <w:lang w:val="zh-CN"/>
              </w:rPr>
            </w:pPr>
            <w:r>
              <w:rPr>
                <w:rFonts w:ascii="Times New Roman" w:hAnsi="宋体"/>
                <w:b/>
                <w:color w:val="000000"/>
                <w:sz w:val="24"/>
                <w:szCs w:val="24"/>
                <w:lang w:val="zh-CN"/>
              </w:rPr>
              <w:t>评分项目</w:t>
            </w:r>
          </w:p>
        </w:tc>
        <w:tc>
          <w:tcPr>
            <w:tcW w:w="5760" w:type="dxa"/>
            <w:noWrap w:val="0"/>
            <w:vAlign w:val="center"/>
          </w:tcPr>
          <w:p>
            <w:pPr>
              <w:pStyle w:val="31"/>
              <w:spacing w:line="440" w:lineRule="exact"/>
              <w:jc w:val="center"/>
              <w:rPr>
                <w:rFonts w:ascii="Times New Roman" w:hAnsi="Times New Roman"/>
                <w:b/>
                <w:color w:val="000000"/>
                <w:sz w:val="24"/>
                <w:szCs w:val="24"/>
                <w:lang w:val="zh-CN"/>
              </w:rPr>
            </w:pPr>
            <w:r>
              <w:rPr>
                <w:rFonts w:ascii="Times New Roman" w:hAnsi="宋体"/>
                <w:b/>
                <w:color w:val="000000"/>
                <w:sz w:val="24"/>
                <w:szCs w:val="24"/>
                <w:lang w:val="zh-CN"/>
              </w:rPr>
              <w:t>评分方法</w:t>
            </w:r>
          </w:p>
        </w:tc>
        <w:tc>
          <w:tcPr>
            <w:tcW w:w="1200" w:type="dxa"/>
            <w:noWrap w:val="0"/>
            <w:vAlign w:val="center"/>
          </w:tcPr>
          <w:p>
            <w:pPr>
              <w:pStyle w:val="31"/>
              <w:spacing w:line="440" w:lineRule="exact"/>
              <w:jc w:val="center"/>
              <w:rPr>
                <w:rFonts w:hint="eastAsia" w:ascii="Times New Roman" w:hAnsi="宋体" w:eastAsia="宋体"/>
                <w:b/>
                <w:color w:val="000000"/>
                <w:sz w:val="24"/>
                <w:szCs w:val="24"/>
                <w:lang w:val="en-US" w:eastAsia="zh-CN"/>
              </w:rPr>
            </w:pPr>
            <w:r>
              <w:rPr>
                <w:rFonts w:hint="eastAsia" w:ascii="Times New Roman" w:hAnsi="宋体"/>
                <w:b/>
                <w:color w:val="000000"/>
                <w:sz w:val="24"/>
                <w:szCs w:val="24"/>
                <w:lang w:val="en-US" w:eastAsia="zh-CN"/>
              </w:rPr>
              <w:t>分值</w:t>
            </w:r>
          </w:p>
        </w:tc>
        <w:tc>
          <w:tcPr>
            <w:tcW w:w="1005" w:type="dxa"/>
            <w:noWrap w:val="0"/>
            <w:vAlign w:val="center"/>
          </w:tcPr>
          <w:p>
            <w:pPr>
              <w:pStyle w:val="31"/>
              <w:spacing w:line="440" w:lineRule="exact"/>
              <w:jc w:val="center"/>
              <w:rPr>
                <w:rFonts w:hint="default" w:ascii="Times New Roman" w:hAnsi="宋体"/>
                <w:b/>
                <w:color w:val="000000"/>
                <w:sz w:val="24"/>
                <w:szCs w:val="24"/>
                <w:lang w:val="en-US" w:eastAsia="zh-CN"/>
              </w:rPr>
            </w:pPr>
            <w:r>
              <w:rPr>
                <w:rFonts w:hint="eastAsia" w:ascii="Times New Roman" w:hAnsi="宋体"/>
                <w:b/>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1" w:type="dxa"/>
            <w:noWrap w:val="0"/>
            <w:vAlign w:val="center"/>
          </w:tcPr>
          <w:p>
            <w:pPr>
              <w:spacing w:line="320" w:lineRule="exact"/>
              <w:jc w:val="center"/>
              <w:rPr>
                <w:rFonts w:hint="eastAsia" w:ascii="??" w:hAnsi="??" w:eastAsia="宋体" w:cs="??"/>
                <w:kern w:val="0"/>
                <w:sz w:val="24"/>
                <w:szCs w:val="24"/>
                <w:lang w:val="en-US" w:eastAsia="zh-CN" w:bidi="ar-SA"/>
              </w:rPr>
            </w:pPr>
            <w:r>
              <w:rPr>
                <w:rFonts w:hint="eastAsia" w:ascii="宋体" w:hAnsi="宋体" w:cs="宋体"/>
              </w:rPr>
              <w:t>一</w:t>
            </w:r>
          </w:p>
        </w:tc>
        <w:tc>
          <w:tcPr>
            <w:tcW w:w="1469" w:type="dxa"/>
            <w:noWrap w:val="0"/>
            <w:vAlign w:val="center"/>
          </w:tcPr>
          <w:p>
            <w:pPr>
              <w:spacing w:line="320" w:lineRule="exact"/>
              <w:jc w:val="center"/>
              <w:rPr>
                <w:rFonts w:hint="eastAsia" w:ascii="??" w:hAnsi="??" w:eastAsia="宋体" w:cs="??"/>
                <w:kern w:val="0"/>
                <w:sz w:val="24"/>
                <w:szCs w:val="24"/>
                <w:lang w:val="en-US" w:eastAsia="zh-CN" w:bidi="ar-SA"/>
              </w:rPr>
            </w:pPr>
            <w:r>
              <w:rPr>
                <w:rFonts w:hint="eastAsia" w:ascii="宋体" w:hAnsi="宋体" w:cs="宋体"/>
                <w:lang w:val="en-US" w:eastAsia="zh-CN"/>
              </w:rPr>
              <w:t>商务</w:t>
            </w:r>
            <w:r>
              <w:rPr>
                <w:rFonts w:hint="eastAsia" w:ascii="宋体" w:hAnsi="宋体" w:cs="宋体"/>
              </w:rPr>
              <w:t>技术分</w:t>
            </w: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lang w:val="en-US" w:eastAsia="zh-CN"/>
              </w:rPr>
            </w:pPr>
            <w:r>
              <w:rPr>
                <w:rFonts w:hint="eastAsia" w:ascii="新宋体" w:hAnsi="新宋体" w:eastAsia="新宋体" w:cs="新宋体"/>
                <w:sz w:val="21"/>
                <w:szCs w:val="21"/>
              </w:rPr>
              <w:t>评标委员会根据评分细则，对各投标人的投标文件进行书面审核和评论后，由各成员独立给分，打分时保留小数1位，每人一份评分表，并签名。在统计得分时，如果发现某一单项评分超过评分细则规定的分值范围，则该张评分表无效。投标人商务技术分的最终得分为评标委员会组成员的有效评分的算术平均值。计算结果保留小数2位(第三位四舍五入)。</w:t>
            </w:r>
          </w:p>
        </w:tc>
        <w:tc>
          <w:tcPr>
            <w:tcW w:w="1200"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r>
              <w:rPr>
                <w:rFonts w:hint="default" w:ascii="宋体" w:hAnsi="宋体" w:cs="宋体"/>
                <w:snapToGrid w:val="0"/>
                <w:color w:val="000000"/>
                <w:kern w:val="32"/>
                <w:sz w:val="24"/>
                <w:lang w:val="en-US" w:eastAsia="zh-CN"/>
              </w:rPr>
              <w:t>70</w:t>
            </w:r>
          </w:p>
        </w:tc>
        <w:tc>
          <w:tcPr>
            <w:tcW w:w="1005"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1"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1</w:t>
            </w:r>
          </w:p>
        </w:tc>
        <w:tc>
          <w:tcPr>
            <w:tcW w:w="1469"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业绩</w:t>
            </w:r>
          </w:p>
          <w:p>
            <w:pPr>
              <w:adjustRightInd w:val="0"/>
              <w:snapToGrid w:val="0"/>
              <w:spacing w:line="440" w:lineRule="exact"/>
              <w:jc w:val="center"/>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（3分）</w:t>
            </w: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lang w:val="en-US" w:eastAsia="zh-CN"/>
              </w:rPr>
            </w:pPr>
            <w:r>
              <w:rPr>
                <w:rFonts w:hint="default" w:ascii="宋体" w:hAnsi="宋体" w:cs="宋体"/>
                <w:snapToGrid w:val="0"/>
                <w:color w:val="000000"/>
                <w:kern w:val="32"/>
                <w:sz w:val="24"/>
                <w:lang w:val="en-US" w:eastAsia="zh-CN"/>
              </w:rPr>
              <w:t>2022</w:t>
            </w:r>
            <w:r>
              <w:rPr>
                <w:rFonts w:hint="eastAsia" w:ascii="宋体" w:hAnsi="宋体" w:cs="宋体"/>
                <w:snapToGrid w:val="0"/>
                <w:color w:val="000000"/>
                <w:kern w:val="32"/>
                <w:sz w:val="24"/>
                <w:lang w:val="en-US" w:eastAsia="zh-CN"/>
              </w:rPr>
              <w:t>年</w:t>
            </w:r>
            <w:r>
              <w:rPr>
                <w:rFonts w:hint="default" w:ascii="宋体" w:hAnsi="宋体" w:cs="宋体"/>
                <w:snapToGrid w:val="0"/>
                <w:color w:val="000000"/>
                <w:kern w:val="32"/>
                <w:sz w:val="24"/>
                <w:lang w:val="en-US" w:eastAsia="zh-CN"/>
              </w:rPr>
              <w:t>1</w:t>
            </w:r>
            <w:r>
              <w:rPr>
                <w:rFonts w:hint="eastAsia" w:ascii="宋体" w:hAnsi="宋体" w:cs="宋体"/>
                <w:snapToGrid w:val="0"/>
                <w:color w:val="000000"/>
                <w:kern w:val="32"/>
                <w:sz w:val="24"/>
                <w:lang w:val="en-US" w:eastAsia="zh-CN"/>
              </w:rPr>
              <w:t>月</w:t>
            </w:r>
            <w:r>
              <w:rPr>
                <w:rFonts w:hint="default" w:ascii="宋体" w:hAnsi="宋体" w:cs="宋体"/>
                <w:snapToGrid w:val="0"/>
                <w:color w:val="000000"/>
                <w:kern w:val="32"/>
                <w:sz w:val="24"/>
                <w:lang w:val="en-US" w:eastAsia="zh-CN"/>
              </w:rPr>
              <w:t>1</w:t>
            </w:r>
            <w:r>
              <w:rPr>
                <w:rFonts w:hint="eastAsia" w:ascii="宋体" w:hAnsi="宋体" w:cs="宋体"/>
                <w:snapToGrid w:val="0"/>
                <w:color w:val="000000"/>
                <w:kern w:val="32"/>
                <w:sz w:val="24"/>
                <w:lang w:val="en-US" w:eastAsia="zh-CN"/>
              </w:rPr>
              <w:t>日以来具有同类的服务类项目业绩，每提供一个业绩得1分，最高得3分，未提供或提供内容不符合要求的不得分（同一个区域续签合同不做业绩累积；以合同签订时间为准）。（须提供合同扫描件加盖投标单位电子签章）否则不得分</w:t>
            </w:r>
          </w:p>
        </w:tc>
        <w:tc>
          <w:tcPr>
            <w:tcW w:w="1200"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1"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2</w:t>
            </w:r>
          </w:p>
        </w:tc>
        <w:tc>
          <w:tcPr>
            <w:tcW w:w="1469"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资质认证</w:t>
            </w:r>
          </w:p>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（4分）</w:t>
            </w: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highlight w:val="none"/>
                <w:lang w:val="en-US" w:eastAsia="zh-CN"/>
              </w:rPr>
            </w:pPr>
            <w:r>
              <w:rPr>
                <w:rFonts w:hint="eastAsia" w:ascii="宋体" w:hAnsi="宋体" w:cs="宋体"/>
                <w:snapToGrid w:val="0"/>
                <w:color w:val="000000"/>
                <w:kern w:val="32"/>
                <w:sz w:val="24"/>
                <w:highlight w:val="none"/>
                <w:lang w:val="en-US" w:eastAsia="zh-CN"/>
              </w:rPr>
              <w:t>提供高级物业经理证（评分值：2分，1.5分，1分，0.5分，0分）</w:t>
            </w:r>
          </w:p>
          <w:p>
            <w:pPr>
              <w:adjustRightInd w:val="0"/>
              <w:snapToGrid w:val="0"/>
              <w:spacing w:line="440" w:lineRule="exact"/>
              <w:rPr>
                <w:rFonts w:hint="eastAsia" w:ascii="宋体" w:hAnsi="宋体" w:cs="宋体"/>
                <w:snapToGrid w:val="0"/>
                <w:color w:val="000000"/>
                <w:kern w:val="32"/>
                <w:sz w:val="24"/>
                <w:lang w:val="en-US" w:eastAsia="zh-CN"/>
              </w:rPr>
            </w:pPr>
            <w:r>
              <w:rPr>
                <w:rFonts w:hint="eastAsia" w:ascii="宋体" w:hAnsi="宋体" w:cs="宋体"/>
                <w:b/>
                <w:bCs/>
                <w:snapToGrid w:val="0"/>
                <w:color w:val="000000"/>
                <w:kern w:val="32"/>
                <w:sz w:val="24"/>
                <w:lang w:val="en-US" w:eastAsia="zh-CN"/>
              </w:rPr>
              <w:t>提供1名二级保安员证及持证人的</w:t>
            </w:r>
            <w:r>
              <w:rPr>
                <w:rFonts w:hint="eastAsia" w:ascii="宋体" w:hAnsi="宋体" w:eastAsia="宋体" w:cs="宋体"/>
                <w:b/>
                <w:bCs/>
                <w:color w:val="000000"/>
                <w:sz w:val="24"/>
                <w:lang w:val="en-US" w:eastAsia="zh-CN"/>
              </w:rPr>
              <w:t>个人社保缴费清单</w:t>
            </w:r>
            <w:r>
              <w:rPr>
                <w:rFonts w:hint="eastAsia" w:ascii="宋体" w:hAnsi="宋体" w:eastAsia="宋体" w:cs="宋体"/>
                <w:color w:val="000000"/>
                <w:sz w:val="24"/>
                <w:lang w:val="en-US" w:eastAsia="zh-CN"/>
              </w:rPr>
              <w:t>（社保缴费清单要求是近三个月的在该单位任职的个人社保缴费清单，如中标单位新成立不足三个月的，按实际缴纳情况提供该人员在该单位的社保缴费清单，社保缴费清单需加盖缴费当地社保机构公章或业务章。近三个月指的是从</w:t>
            </w:r>
            <w:r>
              <w:rPr>
                <w:rFonts w:hint="eastAsia" w:ascii="宋体" w:hAnsi="宋体" w:eastAsia="宋体" w:cs="宋体"/>
                <w:color w:val="auto"/>
                <w:sz w:val="24"/>
                <w:lang w:val="en-US" w:eastAsia="zh-CN"/>
              </w:rPr>
              <w:t>2024年</w:t>
            </w:r>
            <w:r>
              <w:rPr>
                <w:rFonts w:hint="default" w:ascii="宋体" w:hAnsi="宋体" w:cs="宋体"/>
                <w:color w:val="auto"/>
                <w:sz w:val="24"/>
                <w:lang w:val="en-US" w:eastAsia="zh-CN"/>
              </w:rPr>
              <w:t>10</w:t>
            </w:r>
            <w:r>
              <w:rPr>
                <w:rFonts w:hint="eastAsia" w:ascii="宋体" w:hAnsi="宋体" w:eastAsia="宋体" w:cs="宋体"/>
                <w:color w:val="auto"/>
                <w:sz w:val="24"/>
                <w:lang w:val="en-US" w:eastAsia="zh-CN"/>
              </w:rPr>
              <w:t>月1日</w:t>
            </w:r>
            <w:r>
              <w:rPr>
                <w:rFonts w:hint="eastAsia" w:ascii="宋体" w:hAnsi="宋体" w:eastAsia="宋体" w:cs="宋体"/>
                <w:color w:val="000000"/>
                <w:sz w:val="24"/>
                <w:lang w:val="en-US" w:eastAsia="zh-CN"/>
              </w:rPr>
              <w:t>至投标截止时止期间中任何一个连续三个月）</w:t>
            </w:r>
            <w:r>
              <w:rPr>
                <w:rFonts w:hint="eastAsia" w:ascii="宋体" w:hAnsi="宋体" w:cs="宋体"/>
                <w:snapToGrid w:val="0"/>
                <w:color w:val="000000"/>
                <w:kern w:val="32"/>
                <w:sz w:val="24"/>
                <w:lang w:val="en-US" w:eastAsia="zh-CN"/>
              </w:rPr>
              <w:t>（评分值：1分，0.5分，0分）</w:t>
            </w:r>
          </w:p>
          <w:p>
            <w:pPr>
              <w:adjustRightInd w:val="0"/>
              <w:snapToGrid w:val="0"/>
              <w:spacing w:line="440" w:lineRule="exact"/>
              <w:rPr>
                <w:rFonts w:hint="eastAsia" w:ascii="宋体" w:hAnsi="宋体" w:cs="宋体"/>
                <w:snapToGrid w:val="0"/>
                <w:color w:val="000000"/>
                <w:kern w:val="32"/>
                <w:sz w:val="24"/>
                <w:lang w:val="en-US" w:eastAsia="zh-CN"/>
              </w:rPr>
            </w:pPr>
            <w:bookmarkStart w:id="143" w:name="OLE_LINK17"/>
            <w:r>
              <w:rPr>
                <w:rFonts w:hint="eastAsia" w:ascii="宋体" w:hAnsi="宋体" w:cs="宋体"/>
                <w:b/>
                <w:bCs/>
                <w:snapToGrid w:val="0"/>
                <w:color w:val="000000"/>
                <w:kern w:val="32"/>
                <w:sz w:val="24"/>
                <w:lang w:val="en-US" w:eastAsia="zh-CN"/>
              </w:rPr>
              <w:t>提供1名安全评价师证及持证人的</w:t>
            </w:r>
            <w:r>
              <w:rPr>
                <w:rFonts w:hint="eastAsia" w:ascii="宋体" w:hAnsi="宋体" w:eastAsia="宋体" w:cs="宋体"/>
                <w:b/>
                <w:bCs/>
                <w:color w:val="000000"/>
                <w:sz w:val="24"/>
                <w:lang w:val="en-US" w:eastAsia="zh-CN"/>
              </w:rPr>
              <w:t>个人社保缴费清单</w:t>
            </w:r>
            <w:r>
              <w:rPr>
                <w:rFonts w:hint="eastAsia" w:ascii="宋体" w:hAnsi="宋体" w:eastAsia="宋体" w:cs="宋体"/>
                <w:color w:val="000000"/>
                <w:sz w:val="24"/>
                <w:lang w:val="en-US" w:eastAsia="zh-CN"/>
              </w:rPr>
              <w:t>（社保缴费清单要求是近三个月的在该单位任职的个人社保缴费清单，如中标单位新成立不足三个月的，按实际缴纳情况提供该人员在该单位的社保缴费清单，社保缴费清单需加盖缴费当地社保机构公章或业务章。近三个月指的是从</w:t>
            </w:r>
            <w:r>
              <w:rPr>
                <w:rFonts w:hint="eastAsia" w:ascii="宋体" w:hAnsi="宋体" w:eastAsia="宋体" w:cs="宋体"/>
                <w:color w:val="auto"/>
                <w:sz w:val="24"/>
                <w:lang w:val="en-US" w:eastAsia="zh-CN"/>
              </w:rPr>
              <w:t>2024年</w:t>
            </w:r>
            <w:r>
              <w:rPr>
                <w:rFonts w:hint="default" w:ascii="宋体" w:hAnsi="宋体" w:cs="宋体"/>
                <w:color w:val="auto"/>
                <w:sz w:val="24"/>
                <w:lang w:val="en-US" w:eastAsia="zh-CN"/>
              </w:rPr>
              <w:t>10</w:t>
            </w:r>
            <w:r>
              <w:rPr>
                <w:rFonts w:hint="eastAsia" w:ascii="宋体" w:hAnsi="宋体" w:eastAsia="宋体" w:cs="宋体"/>
                <w:color w:val="auto"/>
                <w:sz w:val="24"/>
                <w:lang w:val="en-US" w:eastAsia="zh-CN"/>
              </w:rPr>
              <w:t>月1日</w:t>
            </w:r>
            <w:r>
              <w:rPr>
                <w:rFonts w:hint="eastAsia" w:ascii="宋体" w:hAnsi="宋体" w:eastAsia="宋体" w:cs="宋体"/>
                <w:color w:val="000000"/>
                <w:sz w:val="24"/>
                <w:lang w:val="en-US" w:eastAsia="zh-CN"/>
              </w:rPr>
              <w:t>至投标截止时止期间中任何一个连续三个月）</w:t>
            </w:r>
          </w:p>
          <w:p>
            <w:pPr>
              <w:adjustRightInd w:val="0"/>
              <w:snapToGrid w:val="0"/>
              <w:spacing w:line="440" w:lineRule="exact"/>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（评分值：1分，0.5分，0分）</w:t>
            </w:r>
            <w:bookmarkEnd w:id="143"/>
          </w:p>
        </w:tc>
        <w:tc>
          <w:tcPr>
            <w:tcW w:w="1200"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0-4分</w:t>
            </w:r>
          </w:p>
        </w:tc>
        <w:tc>
          <w:tcPr>
            <w:tcW w:w="1005" w:type="dxa"/>
            <w:noWrap w:val="0"/>
            <w:vAlign w:val="center"/>
          </w:tcPr>
          <w:p>
            <w:pPr>
              <w:adjustRightInd w:val="0"/>
              <w:snapToGrid w:val="0"/>
              <w:spacing w:line="440" w:lineRule="exact"/>
              <w:jc w:val="center"/>
              <w:rPr>
                <w:rFonts w:hint="default"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1" w:type="dxa"/>
            <w:vMerge w:val="restart"/>
            <w:noWrap w:val="0"/>
            <w:vAlign w:val="center"/>
          </w:tcPr>
          <w:p>
            <w:pPr>
              <w:snapToGrid w:val="0"/>
              <w:spacing w:line="440" w:lineRule="exact"/>
              <w:jc w:val="center"/>
              <w:rPr>
                <w:rFonts w:hint="eastAsia" w:ascii="宋体" w:hAnsi="宋体" w:cs="宋体"/>
                <w:bCs/>
                <w:color w:val="000000"/>
                <w:sz w:val="24"/>
              </w:rPr>
            </w:pPr>
            <w:r>
              <w:rPr>
                <w:rFonts w:hint="eastAsia" w:ascii="宋体" w:hAnsi="宋体" w:cs="宋体"/>
                <w:bCs/>
                <w:color w:val="000000"/>
                <w:sz w:val="24"/>
                <w:lang w:val="en-US" w:eastAsia="zh-CN"/>
              </w:rPr>
              <w:t>3</w:t>
            </w:r>
          </w:p>
        </w:tc>
        <w:tc>
          <w:tcPr>
            <w:tcW w:w="1469" w:type="dxa"/>
            <w:vMerge w:val="restart"/>
            <w:noWrap w:val="0"/>
            <w:vAlign w:val="center"/>
          </w:tcPr>
          <w:p>
            <w:pPr>
              <w:spacing w:line="440" w:lineRule="exact"/>
              <w:jc w:val="center"/>
              <w:rPr>
                <w:rFonts w:hint="eastAsia" w:ascii="宋体" w:hAnsi="宋体" w:cs="宋体"/>
                <w:bCs/>
                <w:color w:val="000000"/>
                <w:sz w:val="24"/>
              </w:rPr>
            </w:pPr>
            <w:r>
              <w:rPr>
                <w:rFonts w:hint="eastAsia" w:ascii="宋体" w:hAnsi="宋体" w:cs="宋体"/>
                <w:bCs/>
                <w:color w:val="000000"/>
                <w:sz w:val="24"/>
                <w:lang w:val="en-US" w:eastAsia="zh-CN"/>
              </w:rPr>
              <w:t>安保及保洁</w:t>
            </w:r>
            <w:r>
              <w:rPr>
                <w:rFonts w:hint="eastAsia" w:ascii="宋体" w:hAnsi="宋体" w:cs="宋体"/>
                <w:bCs/>
                <w:color w:val="000000"/>
                <w:sz w:val="24"/>
              </w:rPr>
              <w:t>管理服务</w:t>
            </w:r>
            <w:r>
              <w:rPr>
                <w:rFonts w:hint="eastAsia" w:ascii="宋体" w:hAnsi="宋体" w:cs="宋体"/>
                <w:snapToGrid w:val="0"/>
                <w:color w:val="000000"/>
                <w:kern w:val="32"/>
                <w:sz w:val="24"/>
              </w:rPr>
              <w:t>规章</w:t>
            </w:r>
            <w:r>
              <w:rPr>
                <w:rFonts w:hint="eastAsia" w:ascii="宋体" w:hAnsi="宋体" w:cs="宋体"/>
                <w:bCs/>
                <w:color w:val="000000"/>
                <w:sz w:val="24"/>
              </w:rPr>
              <w:t>制度情况</w:t>
            </w:r>
          </w:p>
          <w:p>
            <w:pPr>
              <w:spacing w:line="440" w:lineRule="exact"/>
              <w:jc w:val="center"/>
              <w:rPr>
                <w:rFonts w:hint="eastAsia" w:ascii="宋体" w:hAnsi="宋体" w:cs="宋体"/>
                <w:bCs/>
                <w:color w:val="000000"/>
                <w:sz w:val="24"/>
              </w:rPr>
            </w:pPr>
            <w:r>
              <w:rPr>
                <w:rFonts w:hint="eastAsia" w:ascii="宋体" w:hAnsi="宋体" w:cs="宋体"/>
                <w:bCs/>
                <w:color w:val="000000"/>
                <w:sz w:val="24"/>
              </w:rPr>
              <w:t>（</w:t>
            </w:r>
            <w:r>
              <w:rPr>
                <w:rFonts w:hint="eastAsia" w:ascii="宋体" w:hAnsi="宋体" w:cs="宋体"/>
                <w:bCs/>
                <w:color w:val="000000"/>
                <w:sz w:val="24"/>
                <w:lang w:val="en-US" w:eastAsia="zh-CN"/>
              </w:rPr>
              <w:t>30</w:t>
            </w:r>
            <w:r>
              <w:rPr>
                <w:rFonts w:hint="eastAsia" w:ascii="宋体" w:hAnsi="宋体" w:cs="宋体"/>
                <w:bCs/>
                <w:color w:val="000000"/>
                <w:sz w:val="24"/>
              </w:rPr>
              <w:t>分）</w:t>
            </w:r>
          </w:p>
        </w:tc>
        <w:tc>
          <w:tcPr>
            <w:tcW w:w="5760" w:type="dxa"/>
            <w:noWrap w:val="0"/>
            <w:vAlign w:val="center"/>
          </w:tcPr>
          <w:p>
            <w:pPr>
              <w:adjustRightInd w:val="0"/>
              <w:snapToGrid w:val="0"/>
              <w:spacing w:line="440" w:lineRule="exact"/>
              <w:rPr>
                <w:rFonts w:hint="eastAsia" w:ascii="宋体" w:hAnsi="宋体" w:cs="宋体"/>
                <w:b/>
                <w:color w:val="000000"/>
                <w:sz w:val="24"/>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项目考核制度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1" w:type="dxa"/>
            <w:vMerge w:val="continue"/>
            <w:noWrap w:val="0"/>
            <w:vAlign w:val="center"/>
          </w:tcPr>
          <w:p>
            <w:pPr>
              <w:snapToGrid w:val="0"/>
              <w:spacing w:line="440" w:lineRule="exact"/>
              <w:jc w:val="center"/>
              <w:rPr>
                <w:rFonts w:hint="eastAsia" w:ascii="宋体" w:hAnsi="宋体" w:cs="宋体"/>
                <w:bCs/>
                <w:color w:val="000000"/>
                <w:sz w:val="24"/>
              </w:rPr>
            </w:pPr>
          </w:p>
        </w:tc>
        <w:tc>
          <w:tcPr>
            <w:tcW w:w="1469" w:type="dxa"/>
            <w:vMerge w:val="continue"/>
            <w:noWrap w:val="0"/>
            <w:vAlign w:val="center"/>
          </w:tcPr>
          <w:p>
            <w:pPr>
              <w:spacing w:line="440" w:lineRule="exact"/>
              <w:jc w:val="center"/>
              <w:rPr>
                <w:rFonts w:hint="eastAsia" w:ascii="宋体" w:hAnsi="宋体" w:cs="宋体"/>
                <w:bCs/>
                <w:color w:val="000000"/>
                <w:sz w:val="24"/>
              </w:rPr>
            </w:pPr>
          </w:p>
        </w:tc>
        <w:tc>
          <w:tcPr>
            <w:tcW w:w="5760" w:type="dxa"/>
            <w:noWrap w:val="0"/>
            <w:vAlign w:val="center"/>
          </w:tcPr>
          <w:p>
            <w:pPr>
              <w:adjustRightInd w:val="0"/>
              <w:snapToGrid w:val="0"/>
              <w:spacing w:line="440" w:lineRule="exact"/>
              <w:rPr>
                <w:rFonts w:hint="eastAsia" w:ascii="宋体" w:hAnsi="宋体" w:cs="宋体"/>
                <w:b/>
                <w:color w:val="000000"/>
                <w:sz w:val="24"/>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auto"/>
                <w:kern w:val="32"/>
                <w:sz w:val="21"/>
                <w:szCs w:val="21"/>
                <w:lang w:val="en-US" w:eastAsia="zh-CN"/>
              </w:rPr>
              <w:t>员工</w:t>
            </w:r>
            <w:r>
              <w:rPr>
                <w:rFonts w:hint="eastAsia" w:ascii="宋体" w:hAnsi="宋体" w:cs="宋体"/>
                <w:snapToGrid w:val="0"/>
                <w:color w:val="000000"/>
                <w:kern w:val="32"/>
                <w:sz w:val="24"/>
              </w:rPr>
              <w:t>管理制度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1" w:type="dxa"/>
            <w:vMerge w:val="continue"/>
            <w:noWrap w:val="0"/>
            <w:vAlign w:val="center"/>
          </w:tcPr>
          <w:p>
            <w:pPr>
              <w:snapToGrid w:val="0"/>
              <w:spacing w:line="440" w:lineRule="exact"/>
              <w:jc w:val="center"/>
              <w:rPr>
                <w:rFonts w:hint="eastAsia" w:ascii="宋体" w:hAnsi="宋体" w:cs="宋体"/>
                <w:bCs/>
                <w:color w:val="000000"/>
                <w:sz w:val="24"/>
              </w:rPr>
            </w:pPr>
          </w:p>
        </w:tc>
        <w:tc>
          <w:tcPr>
            <w:tcW w:w="1469" w:type="dxa"/>
            <w:vMerge w:val="continue"/>
            <w:noWrap w:val="0"/>
            <w:vAlign w:val="center"/>
          </w:tcPr>
          <w:p>
            <w:pPr>
              <w:spacing w:line="440" w:lineRule="exact"/>
              <w:jc w:val="center"/>
              <w:rPr>
                <w:rFonts w:hint="eastAsia" w:ascii="宋体" w:hAnsi="宋体" w:cs="宋体"/>
                <w:bCs/>
                <w:color w:val="000000"/>
                <w:sz w:val="24"/>
              </w:rPr>
            </w:pP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员工培训制度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vMerge w:val="continue"/>
            <w:noWrap w:val="0"/>
            <w:vAlign w:val="center"/>
          </w:tcPr>
          <w:p>
            <w:pPr>
              <w:snapToGrid w:val="0"/>
              <w:spacing w:line="440" w:lineRule="exact"/>
              <w:jc w:val="center"/>
              <w:rPr>
                <w:rFonts w:hint="eastAsia" w:ascii="宋体" w:hAnsi="宋体" w:cs="宋体"/>
                <w:bCs/>
                <w:color w:val="000000"/>
                <w:sz w:val="24"/>
              </w:rPr>
            </w:pPr>
          </w:p>
        </w:tc>
        <w:tc>
          <w:tcPr>
            <w:tcW w:w="1469" w:type="dxa"/>
            <w:vMerge w:val="continue"/>
            <w:noWrap w:val="0"/>
            <w:vAlign w:val="center"/>
          </w:tcPr>
          <w:p>
            <w:pPr>
              <w:spacing w:line="440" w:lineRule="exact"/>
              <w:jc w:val="center"/>
              <w:rPr>
                <w:rFonts w:hint="eastAsia" w:ascii="宋体" w:hAnsi="宋体" w:cs="宋体"/>
                <w:bCs/>
                <w:color w:val="000000"/>
                <w:sz w:val="24"/>
              </w:rPr>
            </w:pP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财务管理制度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vMerge w:val="continue"/>
            <w:noWrap w:val="0"/>
            <w:vAlign w:val="center"/>
          </w:tcPr>
          <w:p>
            <w:pPr>
              <w:snapToGrid w:val="0"/>
              <w:spacing w:line="440" w:lineRule="exact"/>
              <w:jc w:val="center"/>
              <w:rPr>
                <w:rFonts w:hint="eastAsia" w:ascii="宋体" w:hAnsi="宋体" w:eastAsia="宋体" w:cs="宋体"/>
                <w:bCs/>
                <w:color w:val="000000"/>
                <w:sz w:val="24"/>
                <w:lang w:val="en-US" w:eastAsia="zh-CN"/>
              </w:rPr>
            </w:pPr>
          </w:p>
        </w:tc>
        <w:tc>
          <w:tcPr>
            <w:tcW w:w="1469" w:type="dxa"/>
            <w:vMerge w:val="continue"/>
            <w:noWrap w:val="0"/>
            <w:vAlign w:val="center"/>
          </w:tcPr>
          <w:p>
            <w:pPr>
              <w:spacing w:line="440" w:lineRule="exact"/>
              <w:jc w:val="center"/>
              <w:rPr>
                <w:rFonts w:hint="default" w:ascii="宋体" w:hAnsi="宋体" w:eastAsia="宋体" w:cs="宋体"/>
                <w:bCs/>
                <w:color w:val="000000"/>
                <w:sz w:val="24"/>
                <w:lang w:val="en-US" w:eastAsia="zh-CN"/>
              </w:rPr>
            </w:pP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合同管理制度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vMerge w:val="continue"/>
            <w:noWrap w:val="0"/>
            <w:vAlign w:val="center"/>
          </w:tcPr>
          <w:p>
            <w:pPr>
              <w:snapToGrid w:val="0"/>
              <w:spacing w:line="440" w:lineRule="exact"/>
              <w:jc w:val="center"/>
              <w:rPr>
                <w:rFonts w:hint="eastAsia" w:ascii="宋体" w:hAnsi="宋体" w:cs="宋体"/>
                <w:bCs/>
                <w:color w:val="000000"/>
                <w:sz w:val="24"/>
              </w:rPr>
            </w:pPr>
          </w:p>
        </w:tc>
        <w:tc>
          <w:tcPr>
            <w:tcW w:w="1469" w:type="dxa"/>
            <w:vMerge w:val="continue"/>
            <w:noWrap w:val="0"/>
            <w:vAlign w:val="center"/>
          </w:tcPr>
          <w:p>
            <w:pPr>
              <w:spacing w:line="440" w:lineRule="exact"/>
              <w:jc w:val="center"/>
              <w:rPr>
                <w:rFonts w:hint="eastAsia" w:ascii="宋体" w:hAnsi="宋体" w:cs="宋体"/>
                <w:bCs/>
                <w:color w:val="000000"/>
                <w:sz w:val="24"/>
              </w:rPr>
            </w:pP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秩序维护及消防安全管理、环境卫生及绿化养护管理制度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vMerge w:val="continue"/>
            <w:noWrap w:val="0"/>
            <w:vAlign w:val="center"/>
          </w:tcPr>
          <w:p>
            <w:pPr>
              <w:snapToGrid w:val="0"/>
              <w:spacing w:line="440" w:lineRule="exact"/>
              <w:jc w:val="center"/>
              <w:rPr>
                <w:rFonts w:hint="eastAsia" w:ascii="宋体" w:hAnsi="宋体" w:cs="宋体"/>
                <w:bCs/>
                <w:color w:val="000000"/>
                <w:sz w:val="24"/>
              </w:rPr>
            </w:pPr>
          </w:p>
        </w:tc>
        <w:tc>
          <w:tcPr>
            <w:tcW w:w="1469" w:type="dxa"/>
            <w:vMerge w:val="continue"/>
            <w:noWrap w:val="0"/>
            <w:vAlign w:val="center"/>
          </w:tcPr>
          <w:p>
            <w:pPr>
              <w:spacing w:line="440" w:lineRule="exact"/>
              <w:jc w:val="center"/>
              <w:rPr>
                <w:rFonts w:hint="eastAsia" w:ascii="宋体" w:hAnsi="宋体" w:cs="宋体"/>
                <w:bCs/>
                <w:color w:val="000000"/>
                <w:sz w:val="24"/>
              </w:rPr>
            </w:pP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根据投标人提供的安保及保洁</w:t>
            </w:r>
            <w:r>
              <w:rPr>
                <w:rFonts w:hint="eastAsia" w:ascii="宋体" w:hAnsi="宋体" w:cs="宋体"/>
                <w:snapToGrid w:val="0"/>
                <w:color w:val="000000"/>
                <w:kern w:val="32"/>
                <w:sz w:val="24"/>
              </w:rPr>
              <w:t>共用部位维护管理、供排水设施设备维护管理制度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vMerge w:val="continue"/>
            <w:noWrap w:val="0"/>
            <w:vAlign w:val="center"/>
          </w:tcPr>
          <w:p>
            <w:pPr>
              <w:snapToGrid w:val="0"/>
              <w:spacing w:line="440" w:lineRule="exact"/>
              <w:jc w:val="center"/>
              <w:rPr>
                <w:rFonts w:hint="eastAsia" w:ascii="宋体" w:hAnsi="宋体" w:cs="宋体"/>
                <w:bCs/>
                <w:color w:val="000000"/>
                <w:sz w:val="24"/>
              </w:rPr>
            </w:pPr>
          </w:p>
        </w:tc>
        <w:tc>
          <w:tcPr>
            <w:tcW w:w="1469" w:type="dxa"/>
            <w:vMerge w:val="continue"/>
            <w:noWrap w:val="0"/>
            <w:vAlign w:val="center"/>
          </w:tcPr>
          <w:p>
            <w:pPr>
              <w:spacing w:line="440" w:lineRule="exact"/>
              <w:jc w:val="center"/>
              <w:rPr>
                <w:rFonts w:hint="eastAsia" w:ascii="宋体" w:hAnsi="宋体" w:cs="宋体"/>
                <w:bCs/>
                <w:color w:val="000000"/>
                <w:sz w:val="24"/>
              </w:rPr>
            </w:pP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消防设施设备维护管理、监控安防设施设备维护管理</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vMerge w:val="continue"/>
            <w:noWrap w:val="0"/>
            <w:vAlign w:val="center"/>
          </w:tcPr>
          <w:p>
            <w:pPr>
              <w:snapToGrid w:val="0"/>
              <w:spacing w:line="440" w:lineRule="exact"/>
              <w:jc w:val="center"/>
              <w:rPr>
                <w:rFonts w:hint="eastAsia" w:ascii="宋体" w:hAnsi="宋体" w:cs="宋体"/>
                <w:bCs/>
                <w:color w:val="000000"/>
                <w:sz w:val="24"/>
              </w:rPr>
            </w:pPr>
          </w:p>
        </w:tc>
        <w:tc>
          <w:tcPr>
            <w:tcW w:w="1469" w:type="dxa"/>
            <w:vMerge w:val="continue"/>
            <w:noWrap w:val="0"/>
            <w:vAlign w:val="center"/>
          </w:tcPr>
          <w:p>
            <w:pPr>
              <w:spacing w:line="440" w:lineRule="exact"/>
              <w:jc w:val="center"/>
              <w:rPr>
                <w:rFonts w:hint="eastAsia" w:ascii="宋体" w:hAnsi="宋体" w:cs="宋体"/>
                <w:bCs/>
                <w:color w:val="000000"/>
                <w:sz w:val="24"/>
              </w:rPr>
            </w:pPr>
          </w:p>
        </w:tc>
        <w:tc>
          <w:tcPr>
            <w:tcW w:w="5760" w:type="dxa"/>
            <w:noWrap w:val="0"/>
            <w:vAlign w:val="center"/>
          </w:tcPr>
          <w:p>
            <w:pPr>
              <w:adjustRightInd w:val="0"/>
              <w:snapToGrid w:val="0"/>
              <w:spacing w:line="440" w:lineRule="exact"/>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其他共有设施设备管理制度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snapToGrid w:val="0"/>
                <w:color w:val="000000"/>
                <w:kern w:val="32"/>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vMerge w:val="continue"/>
            <w:noWrap w:val="0"/>
            <w:vAlign w:val="center"/>
          </w:tcPr>
          <w:p>
            <w:pPr>
              <w:snapToGrid w:val="0"/>
              <w:spacing w:line="440" w:lineRule="exact"/>
              <w:jc w:val="center"/>
              <w:rPr>
                <w:rFonts w:hint="eastAsia" w:ascii="宋体" w:hAnsi="宋体" w:cs="宋体"/>
                <w:color w:val="000000"/>
                <w:sz w:val="24"/>
              </w:rPr>
            </w:pPr>
          </w:p>
        </w:tc>
        <w:tc>
          <w:tcPr>
            <w:tcW w:w="1469" w:type="dxa"/>
            <w:vMerge w:val="continue"/>
            <w:noWrap w:val="0"/>
            <w:vAlign w:val="center"/>
          </w:tcPr>
          <w:p>
            <w:pPr>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宋体" w:hAnsi="宋体" w:eastAsia="宋体" w:cs="宋体"/>
                <w:color w:val="000000"/>
                <w:sz w:val="24"/>
                <w:lang w:eastAsia="zh-CN"/>
              </w:rPr>
            </w:pPr>
            <w:r>
              <w:rPr>
                <w:rFonts w:hint="eastAsia" w:ascii="宋体" w:hAnsi="宋体" w:cs="宋体"/>
                <w:snapToGrid w:val="0"/>
                <w:color w:val="000000"/>
                <w:kern w:val="32"/>
                <w:sz w:val="24"/>
                <w:lang w:val="en-US" w:eastAsia="zh-CN"/>
              </w:rPr>
              <w:t>根据投标人提供的</w:t>
            </w:r>
            <w:r>
              <w:rPr>
                <w:rFonts w:hint="eastAsia" w:ascii="宋体" w:hAnsi="宋体" w:cs="宋体"/>
                <w:snapToGrid w:val="0"/>
                <w:color w:val="000000"/>
                <w:kern w:val="32"/>
                <w:sz w:val="24"/>
              </w:rPr>
              <w:t>档案资料收集管理</w:t>
            </w:r>
            <w:r>
              <w:rPr>
                <w:rFonts w:hint="eastAsia" w:ascii="宋体" w:hAnsi="宋体" w:cs="宋体"/>
                <w:snapToGrid w:val="0"/>
                <w:color w:val="000000"/>
                <w:kern w:val="32"/>
                <w:sz w:val="24"/>
                <w:lang w:eastAsia="zh-CN"/>
              </w:rPr>
              <w:t>、</w:t>
            </w:r>
            <w:r>
              <w:rPr>
                <w:rFonts w:hint="eastAsia" w:ascii="宋体" w:hAnsi="宋体" w:cs="宋体"/>
                <w:snapToGrid w:val="0"/>
                <w:color w:val="000000"/>
                <w:kern w:val="32"/>
                <w:sz w:val="24"/>
              </w:rPr>
              <w:t>应急管理制度</w:t>
            </w:r>
            <w:r>
              <w:rPr>
                <w:rFonts w:hint="eastAsia" w:ascii="宋体" w:hAnsi="宋体" w:cs="宋体"/>
                <w:snapToGrid w:val="0"/>
                <w:color w:val="000000"/>
                <w:kern w:val="32"/>
                <w:sz w:val="24"/>
                <w:lang w:val="en-US" w:eastAsia="zh-CN"/>
              </w:rPr>
              <w:t>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snapToGrid w:val="0"/>
                <w:color w:val="000000"/>
                <w:kern w:val="32"/>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vMerge w:val="restart"/>
            <w:noWrap w:val="0"/>
            <w:vAlign w:val="center"/>
          </w:tcPr>
          <w:p>
            <w:pPr>
              <w:adjustRightInd w:val="0"/>
              <w:snapToGrid w:val="0"/>
              <w:spacing w:line="440" w:lineRule="exact"/>
              <w:jc w:val="center"/>
              <w:rPr>
                <w:rFonts w:hint="eastAsia" w:ascii="宋体" w:hAnsi="宋体" w:cs="宋体"/>
                <w:color w:val="000000"/>
                <w:sz w:val="24"/>
              </w:rPr>
            </w:pPr>
            <w:r>
              <w:rPr>
                <w:rFonts w:hint="eastAsia" w:ascii="宋体" w:hAnsi="宋体" w:cs="宋体"/>
                <w:color w:val="000000"/>
                <w:sz w:val="24"/>
                <w:lang w:val="en-US" w:eastAsia="zh-CN"/>
              </w:rPr>
              <w:t>4</w:t>
            </w:r>
          </w:p>
        </w:tc>
        <w:tc>
          <w:tcPr>
            <w:tcW w:w="1469" w:type="dxa"/>
            <w:vMerge w:val="restart"/>
            <w:noWrap w:val="0"/>
            <w:vAlign w:val="center"/>
          </w:tcPr>
          <w:p>
            <w:pPr>
              <w:adjustRightInd w:val="0"/>
              <w:snapToGrid w:val="0"/>
              <w:spacing w:line="440" w:lineRule="exact"/>
              <w:jc w:val="center"/>
              <w:rPr>
                <w:rFonts w:hint="eastAsia" w:ascii="宋体" w:hAnsi="宋体" w:cs="宋体"/>
                <w:color w:val="000000"/>
                <w:sz w:val="24"/>
              </w:rPr>
            </w:pPr>
            <w:r>
              <w:rPr>
                <w:rFonts w:hint="eastAsia" w:ascii="宋体" w:hAnsi="宋体" w:cs="宋体"/>
                <w:color w:val="000000"/>
                <w:sz w:val="24"/>
                <w:lang w:val="en-US" w:eastAsia="zh-CN"/>
              </w:rPr>
              <w:t>安保及保洁</w:t>
            </w:r>
            <w:r>
              <w:rPr>
                <w:rFonts w:hint="eastAsia" w:ascii="宋体" w:hAnsi="宋体" w:cs="宋体"/>
                <w:color w:val="000000"/>
                <w:sz w:val="24"/>
              </w:rPr>
              <w:t>管理与服务方案</w:t>
            </w:r>
          </w:p>
          <w:p>
            <w:pPr>
              <w:adjustRightInd w:val="0"/>
              <w:snapToGrid w:val="0"/>
              <w:spacing w:line="440" w:lineRule="exact"/>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auto"/>
                <w:sz w:val="24"/>
                <w:lang w:val="en-US" w:eastAsia="zh-CN"/>
              </w:rPr>
              <w:t>27</w:t>
            </w:r>
            <w:r>
              <w:rPr>
                <w:rFonts w:hint="eastAsia" w:ascii="宋体" w:hAnsi="宋体" w:cs="宋体"/>
                <w:color w:val="auto"/>
                <w:sz w:val="24"/>
              </w:rPr>
              <w:t>分</w:t>
            </w:r>
            <w:r>
              <w:rPr>
                <w:rFonts w:hint="eastAsia" w:ascii="宋体" w:hAnsi="宋体" w:cs="宋体"/>
                <w:color w:val="000000"/>
                <w:sz w:val="24"/>
              </w:rPr>
              <w:t>）</w:t>
            </w:r>
          </w:p>
        </w:tc>
        <w:tc>
          <w:tcPr>
            <w:tcW w:w="5760" w:type="dxa"/>
            <w:noWrap w:val="0"/>
            <w:vAlign w:val="center"/>
          </w:tcPr>
          <w:p>
            <w:pPr>
              <w:adjustRightInd w:val="0"/>
              <w:snapToGrid w:val="0"/>
              <w:spacing w:line="440" w:lineRule="exact"/>
              <w:rPr>
                <w:rFonts w:hint="default" w:ascii="宋体" w:hAnsi="宋体" w:eastAsia="宋体" w:cs="宋体"/>
                <w:color w:val="000000"/>
                <w:sz w:val="24"/>
                <w:lang w:val="en-US" w:eastAsia="zh-CN"/>
              </w:rPr>
            </w:pPr>
            <w:r>
              <w:rPr>
                <w:rFonts w:hint="eastAsia" w:ascii="宋体" w:hAnsi="宋体" w:cs="宋体"/>
                <w:color w:val="000000"/>
                <w:sz w:val="24"/>
              </w:rPr>
              <w:t>投标人提供的</w:t>
            </w:r>
            <w:r>
              <w:rPr>
                <w:rFonts w:hint="eastAsia" w:ascii="宋体" w:hAnsi="宋体" w:cs="宋体"/>
                <w:color w:val="000000"/>
                <w:sz w:val="24"/>
                <w:lang w:val="en-US" w:eastAsia="zh-CN"/>
              </w:rPr>
              <w:t>安保及保洁</w:t>
            </w:r>
            <w:r>
              <w:rPr>
                <w:rFonts w:hint="eastAsia" w:ascii="宋体" w:hAnsi="宋体" w:cs="宋体"/>
                <w:color w:val="000000"/>
                <w:sz w:val="24"/>
              </w:rPr>
              <w:t>管理区域内环境卫生</w:t>
            </w:r>
            <w:r>
              <w:rPr>
                <w:rFonts w:hint="eastAsia" w:ascii="宋体" w:hAnsi="宋体" w:cs="宋体"/>
                <w:color w:val="000000"/>
                <w:sz w:val="24"/>
                <w:lang w:val="en-US" w:eastAsia="zh-CN"/>
              </w:rPr>
              <w:t>保洁服务</w:t>
            </w:r>
            <w:r>
              <w:rPr>
                <w:rFonts w:hint="eastAsia" w:ascii="宋体" w:hAnsi="宋体" w:cs="宋体"/>
                <w:color w:val="000000"/>
                <w:sz w:val="24"/>
              </w:rPr>
              <w:t>管理方案进行评审</w:t>
            </w:r>
            <w:r>
              <w:rPr>
                <w:rFonts w:hint="eastAsia" w:ascii="宋体" w:hAnsi="宋体" w:cs="宋体"/>
                <w:color w:val="000000"/>
                <w:sz w:val="24"/>
                <w:lang w:eastAsia="zh-CN"/>
              </w:rPr>
              <w:t>。</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91"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1469"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宋体" w:hAnsi="宋体" w:eastAsia="宋体" w:cs="宋体"/>
                <w:color w:val="000000"/>
                <w:sz w:val="24"/>
                <w:lang w:eastAsia="zh-CN"/>
              </w:rPr>
            </w:pPr>
            <w:r>
              <w:rPr>
                <w:rFonts w:hint="eastAsia" w:ascii="宋体" w:hAnsi="宋体" w:cs="宋体"/>
                <w:color w:val="000000"/>
                <w:sz w:val="24"/>
              </w:rPr>
              <w:t>投标人提供的</w:t>
            </w:r>
            <w:r>
              <w:rPr>
                <w:rFonts w:hint="eastAsia" w:ascii="宋体" w:hAnsi="宋体" w:cs="宋体"/>
                <w:color w:val="000000"/>
                <w:sz w:val="24"/>
                <w:lang w:val="en-US" w:eastAsia="zh-CN"/>
              </w:rPr>
              <w:t>安保及保洁</w:t>
            </w:r>
            <w:r>
              <w:rPr>
                <w:rFonts w:hint="eastAsia" w:ascii="宋体" w:hAnsi="宋体" w:eastAsia="宋体" w:cs="宋体"/>
                <w:color w:val="000000"/>
                <w:sz w:val="24"/>
              </w:rPr>
              <w:t>管理区域内</w:t>
            </w:r>
            <w:r>
              <w:rPr>
                <w:rFonts w:hint="eastAsia" w:ascii="宋体" w:hAnsi="宋体" w:eastAsia="宋体" w:cs="宋体"/>
                <w:color w:val="000000"/>
                <w:sz w:val="24"/>
                <w:lang w:val="en-US" w:eastAsia="zh-CN"/>
              </w:rPr>
              <w:t>保安服务</w:t>
            </w:r>
            <w:r>
              <w:rPr>
                <w:rFonts w:hint="eastAsia" w:ascii="宋体" w:hAnsi="宋体" w:eastAsia="宋体" w:cs="宋体"/>
                <w:color w:val="000000"/>
                <w:sz w:val="24"/>
              </w:rPr>
              <w:t>管理方案进行评审。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91"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1469"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宋体" w:hAnsi="宋体" w:eastAsia="宋体" w:cs="宋体"/>
                <w:snapToGrid w:val="0"/>
                <w:color w:val="000000"/>
                <w:kern w:val="32"/>
                <w:sz w:val="24"/>
                <w:lang w:eastAsia="zh-CN"/>
              </w:rPr>
            </w:pPr>
            <w:r>
              <w:rPr>
                <w:rFonts w:hint="eastAsia" w:ascii="宋体" w:hAnsi="宋体" w:cs="宋体"/>
                <w:color w:val="000000"/>
                <w:sz w:val="24"/>
              </w:rPr>
              <w:t>投标人提供的来人来访的通报、证件检验、登记</w:t>
            </w:r>
            <w:r>
              <w:rPr>
                <w:rFonts w:hint="eastAsia" w:ascii="宋体" w:hAnsi="宋体" w:cs="宋体"/>
                <w:color w:val="000000"/>
                <w:sz w:val="24"/>
                <w:lang w:eastAsia="zh-CN"/>
              </w:rPr>
              <w:t>、</w:t>
            </w:r>
            <w:r>
              <w:rPr>
                <w:rFonts w:hint="eastAsia" w:ascii="宋体" w:hAnsi="宋体" w:cs="宋体"/>
                <w:snapToGrid w:val="0"/>
                <w:color w:val="auto"/>
                <w:kern w:val="32"/>
                <w:sz w:val="24"/>
              </w:rPr>
              <w:t>外卖及快递</w:t>
            </w:r>
            <w:r>
              <w:rPr>
                <w:rFonts w:hint="eastAsia" w:ascii="宋体" w:hAnsi="宋体" w:cs="宋体"/>
                <w:color w:val="auto"/>
                <w:sz w:val="24"/>
              </w:rPr>
              <w:t>等</w:t>
            </w:r>
            <w:r>
              <w:rPr>
                <w:rFonts w:hint="eastAsia" w:ascii="宋体" w:hAnsi="宋体" w:cs="宋体"/>
                <w:snapToGrid w:val="0"/>
                <w:color w:val="auto"/>
                <w:kern w:val="32"/>
                <w:sz w:val="24"/>
                <w:lang w:eastAsia="zh-Hans"/>
              </w:rPr>
              <w:t>秩序</w:t>
            </w:r>
            <w:r>
              <w:rPr>
                <w:rFonts w:hint="eastAsia" w:ascii="宋体" w:hAnsi="宋体" w:cs="宋体"/>
                <w:snapToGrid w:val="0"/>
                <w:color w:val="auto"/>
                <w:kern w:val="32"/>
                <w:sz w:val="24"/>
              </w:rPr>
              <w:t>管理方案</w:t>
            </w:r>
            <w:r>
              <w:rPr>
                <w:rFonts w:hint="eastAsia" w:ascii="宋体" w:hAnsi="宋体" w:cs="宋体"/>
                <w:color w:val="auto"/>
                <w:sz w:val="24"/>
              </w:rPr>
              <w:t>进行评审</w:t>
            </w:r>
            <w:r>
              <w:rPr>
                <w:rFonts w:hint="eastAsia" w:ascii="宋体" w:hAnsi="宋体" w:cs="宋体"/>
                <w:color w:val="auto"/>
                <w:sz w:val="24"/>
                <w:lang w:eastAsia="zh-CN"/>
              </w:rPr>
              <w:t>。</w:t>
            </w:r>
            <w:r>
              <w:rPr>
                <w:rFonts w:hint="eastAsia" w:ascii="宋体" w:hAnsi="宋体" w:cs="宋体"/>
                <w:snapToGrid w:val="0"/>
                <w:color w:val="auto"/>
                <w:kern w:val="32"/>
                <w:sz w:val="21"/>
                <w:szCs w:val="21"/>
                <w:lang w:val="en-US" w:eastAsia="zh-CN"/>
              </w:rPr>
              <w:t>（评分值：3</w:t>
            </w:r>
            <w:r>
              <w:rPr>
                <w:rFonts w:hint="eastAsia" w:ascii="宋体" w:hAnsi="宋体" w:cs="宋体"/>
                <w:snapToGrid w:val="0"/>
                <w:color w:val="000000"/>
                <w:kern w:val="32"/>
                <w:sz w:val="21"/>
                <w:szCs w:val="21"/>
                <w:lang w:val="en-US" w:eastAsia="zh-CN"/>
              </w:rPr>
              <w:t>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91"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1469"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仿宋_GB2312" w:hAnsi="宋体" w:eastAsia="宋体"/>
                <w:snapToGrid w:val="0"/>
                <w:color w:val="000000"/>
                <w:kern w:val="32"/>
                <w:sz w:val="24"/>
                <w:lang w:eastAsia="zh-CN"/>
              </w:rPr>
            </w:pPr>
            <w:r>
              <w:rPr>
                <w:rFonts w:hint="eastAsia" w:ascii="宋体" w:hAnsi="宋体" w:cs="宋体"/>
                <w:color w:val="000000"/>
                <w:sz w:val="24"/>
              </w:rPr>
              <w:t>投标人提供的防盗、防火报警监控设备运行管理进行评审</w:t>
            </w:r>
            <w:r>
              <w:rPr>
                <w:rFonts w:hint="eastAsia" w:ascii="宋体" w:hAnsi="宋体" w:cs="宋体"/>
                <w:color w:val="000000"/>
                <w:sz w:val="24"/>
                <w:lang w:eastAsia="zh-CN"/>
              </w:rPr>
              <w:t>。</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91"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1469"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宋体" w:hAnsi="宋体" w:eastAsia="宋体" w:cs="宋体"/>
                <w:color w:val="000000"/>
                <w:sz w:val="24"/>
                <w:lang w:eastAsia="zh-CN"/>
              </w:rPr>
            </w:pPr>
            <w:r>
              <w:rPr>
                <w:rFonts w:hint="eastAsia" w:ascii="宋体" w:hAnsi="宋体" w:cs="宋体"/>
                <w:color w:val="000000"/>
                <w:sz w:val="24"/>
              </w:rPr>
              <w:t>投标人提供的</w:t>
            </w:r>
            <w:r>
              <w:rPr>
                <w:rFonts w:hint="eastAsia" w:ascii="宋体" w:hAnsi="宋体" w:cs="宋体"/>
                <w:snapToGrid w:val="0"/>
                <w:color w:val="000000"/>
                <w:kern w:val="32"/>
                <w:sz w:val="24"/>
              </w:rPr>
              <w:t>垃圾分类管理方案</w:t>
            </w:r>
            <w:r>
              <w:rPr>
                <w:rFonts w:hint="eastAsia" w:ascii="宋体" w:hAnsi="宋体" w:cs="宋体"/>
                <w:color w:val="000000"/>
                <w:sz w:val="24"/>
              </w:rPr>
              <w:t>进行评审</w:t>
            </w:r>
            <w:r>
              <w:rPr>
                <w:rFonts w:hint="eastAsia" w:ascii="宋体" w:hAnsi="宋体" w:cs="宋体"/>
                <w:color w:val="000000"/>
                <w:sz w:val="24"/>
                <w:lang w:eastAsia="zh-CN"/>
              </w:rPr>
              <w:t>。</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1"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1469"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宋体" w:hAnsi="宋体" w:eastAsia="宋体" w:cs="宋体"/>
                <w:color w:val="000000"/>
                <w:sz w:val="24"/>
                <w:lang w:eastAsia="zh-CN"/>
              </w:rPr>
            </w:pPr>
            <w:r>
              <w:rPr>
                <w:rFonts w:hint="eastAsia" w:ascii="宋体" w:hAnsi="宋体" w:cs="宋体"/>
                <w:color w:val="000000"/>
                <w:sz w:val="24"/>
              </w:rPr>
              <w:t>投标人提供的道路交通管理</w:t>
            </w:r>
            <w:r>
              <w:rPr>
                <w:rFonts w:hint="eastAsia" w:ascii="宋体" w:hAnsi="宋体" w:cs="宋体"/>
                <w:color w:val="000000"/>
                <w:sz w:val="24"/>
                <w:lang w:eastAsia="zh-CN"/>
              </w:rPr>
              <w:t>、</w:t>
            </w:r>
            <w:r>
              <w:rPr>
                <w:rFonts w:hint="eastAsia" w:ascii="宋体" w:hAnsi="宋体" w:cs="宋体"/>
                <w:color w:val="000000"/>
                <w:sz w:val="24"/>
                <w:lang w:val="en-US" w:eastAsia="zh-CN"/>
              </w:rPr>
              <w:t>停车管</w:t>
            </w:r>
            <w:r>
              <w:rPr>
                <w:rFonts w:hint="eastAsia" w:ascii="仿宋_GB2312" w:hAnsi="宋体"/>
                <w:snapToGrid w:val="0"/>
                <w:color w:val="000000"/>
                <w:kern w:val="32"/>
                <w:sz w:val="24"/>
              </w:rPr>
              <w:t>理方案</w:t>
            </w:r>
            <w:r>
              <w:rPr>
                <w:rFonts w:hint="eastAsia" w:ascii="宋体" w:hAnsi="宋体" w:cs="宋体"/>
                <w:color w:val="000000"/>
                <w:sz w:val="24"/>
              </w:rPr>
              <w:t>进行评审</w:t>
            </w:r>
            <w:r>
              <w:rPr>
                <w:rFonts w:hint="eastAsia" w:ascii="宋体" w:hAnsi="宋体" w:cs="宋体"/>
                <w:color w:val="000000"/>
                <w:sz w:val="24"/>
                <w:lang w:eastAsia="zh-CN"/>
              </w:rPr>
              <w:t>。</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91"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1469"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宋体" w:hAnsi="宋体" w:eastAsia="宋体" w:cs="宋体"/>
                <w:color w:val="000000"/>
                <w:sz w:val="24"/>
                <w:lang w:eastAsia="zh-CN"/>
              </w:rPr>
            </w:pPr>
            <w:r>
              <w:rPr>
                <w:rFonts w:hint="eastAsia" w:ascii="宋体" w:hAnsi="宋体" w:cs="宋体"/>
                <w:color w:val="000000"/>
                <w:sz w:val="24"/>
              </w:rPr>
              <w:t>投标人提供的</w:t>
            </w:r>
            <w:r>
              <w:rPr>
                <w:rFonts w:hint="eastAsia" w:ascii="宋体" w:hAnsi="宋体" w:cs="宋体"/>
                <w:snapToGrid w:val="0"/>
                <w:color w:val="000000"/>
                <w:kern w:val="32"/>
                <w:sz w:val="24"/>
              </w:rPr>
              <w:t>消防安全管理方案</w:t>
            </w:r>
            <w:r>
              <w:rPr>
                <w:rFonts w:hint="eastAsia" w:ascii="宋体" w:hAnsi="宋体" w:cs="宋体"/>
                <w:color w:val="000000"/>
                <w:sz w:val="24"/>
              </w:rPr>
              <w:t>进行评审</w:t>
            </w:r>
            <w:r>
              <w:rPr>
                <w:rFonts w:hint="eastAsia" w:ascii="宋体" w:hAnsi="宋体" w:cs="宋体"/>
                <w:color w:val="000000"/>
                <w:sz w:val="24"/>
                <w:lang w:eastAsia="zh-CN"/>
              </w:rPr>
              <w:t>。</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000000"/>
                <w:sz w:val="24"/>
              </w:rPr>
            </w:pPr>
            <w:r>
              <w:rPr>
                <w:rFonts w:hint="eastAsia" w:ascii="宋体" w:hAnsi="宋体" w:cs="宋体"/>
                <w:color w:val="000000"/>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1"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1469" w:type="dxa"/>
            <w:vMerge w:val="continue"/>
            <w:noWrap w:val="0"/>
            <w:vAlign w:val="center"/>
          </w:tcPr>
          <w:p>
            <w:pPr>
              <w:adjustRightInd w:val="0"/>
              <w:snapToGrid w:val="0"/>
              <w:spacing w:line="440" w:lineRule="exact"/>
              <w:jc w:val="center"/>
              <w:rPr>
                <w:rFonts w:hint="eastAsia" w:ascii="宋体" w:hAnsi="宋体" w:cs="宋体"/>
                <w:color w:val="000000"/>
                <w:sz w:val="24"/>
              </w:rPr>
            </w:pPr>
          </w:p>
        </w:tc>
        <w:tc>
          <w:tcPr>
            <w:tcW w:w="5760" w:type="dxa"/>
            <w:noWrap w:val="0"/>
            <w:vAlign w:val="center"/>
          </w:tcPr>
          <w:p>
            <w:pPr>
              <w:adjustRightInd w:val="0"/>
              <w:snapToGrid w:val="0"/>
              <w:spacing w:line="440" w:lineRule="exact"/>
              <w:rPr>
                <w:rFonts w:hint="eastAsia" w:ascii="宋体" w:hAnsi="宋体" w:eastAsia="宋体" w:cs="宋体"/>
                <w:color w:val="000000"/>
                <w:sz w:val="24"/>
                <w:lang w:eastAsia="zh-CN"/>
              </w:rPr>
            </w:pPr>
            <w:r>
              <w:rPr>
                <w:rFonts w:hint="eastAsia" w:ascii="宋体" w:hAnsi="宋体" w:cs="宋体"/>
                <w:color w:val="000000"/>
                <w:sz w:val="24"/>
              </w:rPr>
              <w:t>投标人提供的</w:t>
            </w:r>
            <w:r>
              <w:rPr>
                <w:rFonts w:hint="eastAsia" w:ascii="宋体" w:hAnsi="宋体" w:cs="宋体"/>
                <w:color w:val="000000"/>
                <w:sz w:val="24"/>
                <w:lang w:val="en-US" w:eastAsia="zh-CN"/>
              </w:rPr>
              <w:t>安保及保洁</w:t>
            </w:r>
            <w:r>
              <w:rPr>
                <w:rFonts w:hint="eastAsia" w:ascii="宋体" w:hAnsi="宋体" w:cs="宋体"/>
                <w:snapToGrid w:val="0"/>
                <w:color w:val="000000"/>
                <w:kern w:val="32"/>
                <w:sz w:val="24"/>
              </w:rPr>
              <w:t>共用设施设备</w:t>
            </w:r>
            <w:r>
              <w:rPr>
                <w:rFonts w:hint="eastAsia" w:ascii="宋体" w:hAnsi="宋体" w:cs="宋体"/>
                <w:snapToGrid w:val="0"/>
                <w:color w:val="000000"/>
                <w:kern w:val="32"/>
                <w:sz w:val="24"/>
                <w:lang w:val="en-US" w:eastAsia="zh-CN"/>
              </w:rPr>
              <w:t>机电维护</w:t>
            </w:r>
            <w:r>
              <w:rPr>
                <w:rFonts w:hint="eastAsia" w:ascii="宋体" w:hAnsi="宋体" w:cs="宋体"/>
                <w:snapToGrid w:val="0"/>
                <w:color w:val="000000"/>
                <w:kern w:val="32"/>
                <w:sz w:val="24"/>
              </w:rPr>
              <w:t>管理维护方案</w:t>
            </w:r>
            <w:r>
              <w:rPr>
                <w:rFonts w:hint="eastAsia" w:ascii="宋体" w:hAnsi="宋体" w:cs="宋体"/>
                <w:color w:val="000000"/>
                <w:sz w:val="24"/>
              </w:rPr>
              <w:t>进行评审</w:t>
            </w:r>
            <w:r>
              <w:rPr>
                <w:rFonts w:hint="eastAsia" w:ascii="宋体" w:hAnsi="宋体" w:cs="宋体"/>
                <w:color w:val="000000"/>
                <w:sz w:val="24"/>
                <w:lang w:eastAsia="zh-CN"/>
              </w:rPr>
              <w:t>。</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Ansi="宋体"/>
                <w:color w:val="000000"/>
                <w:sz w:val="24"/>
              </w:rPr>
            </w:pPr>
            <w:r>
              <w:rPr>
                <w:rFonts w:hint="eastAsia" w:ascii="宋体" w:hAnsi="宋体" w:cs="宋体"/>
                <w:color w:val="000000"/>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91" w:type="dxa"/>
            <w:vMerge w:val="continue"/>
            <w:noWrap w:val="0"/>
            <w:vAlign w:val="center"/>
          </w:tcPr>
          <w:p>
            <w:pPr>
              <w:adjustRightInd w:val="0"/>
              <w:snapToGrid w:val="0"/>
              <w:spacing w:line="440" w:lineRule="exact"/>
              <w:jc w:val="center"/>
              <w:rPr>
                <w:rFonts w:hint="default" w:ascii="宋体" w:hAnsi="宋体" w:eastAsia="宋体" w:cs="宋体"/>
                <w:color w:val="000000"/>
                <w:sz w:val="24"/>
                <w:lang w:val="en-US" w:eastAsia="zh-CN"/>
              </w:rPr>
            </w:pPr>
            <w:bookmarkStart w:id="144" w:name="OLE_LINK18" w:colFirst="2" w:colLast="2"/>
          </w:p>
        </w:tc>
        <w:tc>
          <w:tcPr>
            <w:tcW w:w="1469" w:type="dxa"/>
            <w:vMerge w:val="continue"/>
            <w:noWrap w:val="0"/>
            <w:vAlign w:val="center"/>
          </w:tcPr>
          <w:p>
            <w:pPr>
              <w:adjustRightInd w:val="0"/>
              <w:snapToGrid w:val="0"/>
              <w:spacing w:line="440" w:lineRule="exact"/>
              <w:jc w:val="center"/>
              <w:rPr>
                <w:rFonts w:hint="default" w:ascii="宋体" w:hAnsi="宋体" w:eastAsia="宋体" w:cs="宋体"/>
                <w:color w:val="000000"/>
                <w:sz w:val="24"/>
                <w:lang w:val="en-US" w:eastAsia="zh-CN"/>
              </w:rPr>
            </w:pPr>
          </w:p>
        </w:tc>
        <w:tc>
          <w:tcPr>
            <w:tcW w:w="5760" w:type="dxa"/>
            <w:noWrap w:val="0"/>
            <w:vAlign w:val="center"/>
          </w:tcPr>
          <w:p>
            <w:pPr>
              <w:adjustRightInd w:val="0"/>
              <w:snapToGrid w:val="0"/>
              <w:spacing w:line="440" w:lineRule="exact"/>
              <w:rPr>
                <w:rFonts w:hint="eastAsia" w:ascii="宋体" w:hAnsi="宋体" w:cs="宋体"/>
                <w:color w:val="000000"/>
                <w:sz w:val="24"/>
              </w:rPr>
            </w:pPr>
            <w:r>
              <w:rPr>
                <w:rFonts w:hint="eastAsia" w:ascii="宋体" w:hAnsi="宋体" w:cs="宋体"/>
                <w:color w:val="000000"/>
                <w:sz w:val="24"/>
              </w:rPr>
              <w:t>投标人提供的</w:t>
            </w:r>
            <w:r>
              <w:rPr>
                <w:rFonts w:hint="eastAsia" w:ascii="宋体" w:hAnsi="宋体" w:cs="宋体"/>
                <w:color w:val="000000"/>
                <w:sz w:val="24"/>
                <w:lang w:val="en-US" w:eastAsia="zh-CN"/>
              </w:rPr>
              <w:t>安保及保洁</w:t>
            </w:r>
            <w:r>
              <w:rPr>
                <w:rFonts w:hint="eastAsia" w:ascii="宋体" w:hAnsi="宋体" w:cs="宋体"/>
                <w:snapToGrid w:val="0"/>
                <w:color w:val="000000"/>
                <w:kern w:val="32"/>
                <w:sz w:val="24"/>
              </w:rPr>
              <w:t>共用部位管理维护方案</w:t>
            </w:r>
            <w:r>
              <w:rPr>
                <w:rFonts w:hint="eastAsia" w:ascii="宋体" w:hAnsi="宋体" w:cs="宋体"/>
                <w:color w:val="000000"/>
                <w:sz w:val="24"/>
              </w:rPr>
              <w:t>进行评审</w:t>
            </w:r>
            <w:r>
              <w:rPr>
                <w:rFonts w:hint="eastAsia" w:ascii="宋体" w:hAnsi="宋体" w:cs="宋体"/>
                <w:color w:val="000000"/>
                <w:sz w:val="24"/>
                <w:lang w:eastAsia="zh-CN"/>
              </w:rPr>
              <w:t>。</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000000"/>
                <w:sz w:val="24"/>
              </w:rPr>
            </w:pPr>
            <w:r>
              <w:rPr>
                <w:rFonts w:hint="eastAsia" w:ascii="宋体" w:hAnsi="宋体" w:cs="宋体"/>
                <w:color w:val="000000"/>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bookmark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91" w:type="dxa"/>
            <w:noWrap w:val="0"/>
            <w:vAlign w:val="center"/>
          </w:tcPr>
          <w:p>
            <w:pPr>
              <w:adjustRightInd w:val="0"/>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1469" w:type="dxa"/>
            <w:noWrap w:val="0"/>
            <w:vAlign w:val="center"/>
          </w:tcPr>
          <w:p>
            <w:pPr>
              <w:adjustRightInd w:val="0"/>
              <w:snapToGrid w:val="0"/>
              <w:spacing w:line="440" w:lineRule="exact"/>
              <w:jc w:val="center"/>
              <w:rPr>
                <w:rFonts w:hint="default" w:ascii="宋体" w:hAnsi="宋体" w:eastAsia="宋体" w:cs="宋体"/>
                <w:color w:val="000000"/>
                <w:sz w:val="24"/>
                <w:lang w:val="en-US" w:eastAsia="zh-CN"/>
              </w:rPr>
            </w:pPr>
            <w:r>
              <w:rPr>
                <w:rFonts w:hint="eastAsia" w:ascii="宋体" w:hAnsi="宋体" w:cs="宋体"/>
                <w:color w:val="000000"/>
                <w:kern w:val="0"/>
                <w:sz w:val="24"/>
              </w:rPr>
              <w:t>应急处置方案</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3分）</w:t>
            </w:r>
          </w:p>
        </w:tc>
        <w:tc>
          <w:tcPr>
            <w:tcW w:w="5760" w:type="dxa"/>
            <w:noWrap w:val="0"/>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投标人提供的</w:t>
            </w:r>
            <w:r>
              <w:rPr>
                <w:rFonts w:hint="eastAsia" w:ascii="宋体" w:hAnsi="宋体" w:cs="宋体"/>
                <w:color w:val="000000"/>
                <w:kern w:val="0"/>
                <w:sz w:val="24"/>
              </w:rPr>
              <w:t>应急处置方案，</w:t>
            </w:r>
            <w:r>
              <w:rPr>
                <w:rFonts w:hint="eastAsia" w:ascii="宋体" w:hAnsi="宋体" w:cs="宋体"/>
                <w:color w:val="000000"/>
                <w:sz w:val="24"/>
              </w:rPr>
              <w:t>包括特殊情况制定给排水、供配电系统检查保养方案，及应急处理方案合理性进行评审。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eastAsia" w:ascii="宋体" w:hAnsi="宋体" w:cs="宋体"/>
                <w:color w:val="000000"/>
                <w:sz w:val="24"/>
              </w:rPr>
            </w:pPr>
            <w:r>
              <w:rPr>
                <w:rFonts w:hint="eastAsia" w:ascii="宋体" w:hAnsi="宋体" w:cs="宋体"/>
                <w:color w:val="000000"/>
                <w:sz w:val="24"/>
                <w:lang w:val="en-US" w:eastAsia="zh-CN"/>
              </w:rPr>
              <w:t>0-3分</w:t>
            </w:r>
          </w:p>
        </w:tc>
        <w:tc>
          <w:tcPr>
            <w:tcW w:w="1005" w:type="dxa"/>
            <w:noWrap w:val="0"/>
            <w:vAlign w:val="center"/>
          </w:tcPr>
          <w:p>
            <w:pPr>
              <w:adjustRightInd w:val="0"/>
              <w:snapToGrid w:val="0"/>
              <w:spacing w:line="440" w:lineRule="exact"/>
              <w:jc w:val="center"/>
              <w:rPr>
                <w:rFonts w:hint="eastAsia"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91" w:type="dxa"/>
            <w:noWrap w:val="0"/>
            <w:vAlign w:val="center"/>
          </w:tcPr>
          <w:p>
            <w:pPr>
              <w:adjustRightInd w:val="0"/>
              <w:snapToGrid w:val="0"/>
              <w:spacing w:line="440" w:lineRule="exact"/>
              <w:jc w:val="center"/>
              <w:rPr>
                <w:rFonts w:hint="default" w:ascii="宋体" w:hAnsi="宋体" w:cs="宋体"/>
                <w:lang w:val="en-US"/>
              </w:rPr>
            </w:pPr>
            <w:r>
              <w:rPr>
                <w:rFonts w:hint="eastAsia" w:ascii="宋体" w:hAnsi="宋体" w:cs="宋体"/>
                <w:color w:val="000000"/>
                <w:sz w:val="24"/>
                <w:lang w:val="en-US" w:eastAsia="zh-CN"/>
              </w:rPr>
              <w:t>6</w:t>
            </w:r>
          </w:p>
        </w:tc>
        <w:tc>
          <w:tcPr>
            <w:tcW w:w="1469" w:type="dxa"/>
            <w:noWrap w:val="0"/>
            <w:vAlign w:val="center"/>
          </w:tcPr>
          <w:p>
            <w:pPr>
              <w:adjustRightInd w:val="0"/>
              <w:snapToGrid w:val="0"/>
              <w:spacing w:line="440" w:lineRule="exact"/>
              <w:jc w:val="center"/>
              <w:rPr>
                <w:rFonts w:hint="eastAsia" w:ascii="宋体" w:hAnsi="宋体" w:cs="宋体"/>
                <w:lang w:val="en-US" w:eastAsia="zh-CN"/>
              </w:rPr>
            </w:pPr>
            <w:r>
              <w:rPr>
                <w:rFonts w:hint="eastAsia" w:ascii="宋体" w:hAnsi="宋体" w:cs="宋体"/>
                <w:color w:val="000000"/>
                <w:sz w:val="24"/>
                <w:lang w:val="en-US" w:eastAsia="zh-CN"/>
              </w:rPr>
              <w:t>设备（3分）</w:t>
            </w:r>
          </w:p>
        </w:tc>
        <w:tc>
          <w:tcPr>
            <w:tcW w:w="5760" w:type="dxa"/>
            <w:noWrap w:val="0"/>
            <w:vAlign w:val="center"/>
          </w:tcPr>
          <w:p>
            <w:pPr>
              <w:spacing w:line="360" w:lineRule="exact"/>
              <w:rPr>
                <w:rFonts w:hint="eastAsia"/>
              </w:rPr>
            </w:pPr>
            <w:r>
              <w:rPr>
                <w:rFonts w:hint="eastAsia" w:ascii="宋体" w:hAnsi="宋体" w:cs="宋体"/>
                <w:color w:val="000000"/>
                <w:sz w:val="24"/>
              </w:rPr>
              <w:t>根据各投标人拟投入本项目</w:t>
            </w:r>
            <w:r>
              <w:rPr>
                <w:rFonts w:hint="eastAsia" w:ascii="宋体" w:hAnsi="宋体" w:cs="宋体"/>
                <w:color w:val="000000"/>
                <w:kern w:val="0"/>
                <w:sz w:val="24"/>
              </w:rPr>
              <w:t>设备</w:t>
            </w:r>
            <w:r>
              <w:rPr>
                <w:rFonts w:hint="eastAsia" w:ascii="宋体" w:hAnsi="宋体" w:cs="宋体"/>
                <w:color w:val="000000"/>
                <w:sz w:val="24"/>
              </w:rPr>
              <w:t>配置数量、先进性等情况</w:t>
            </w:r>
            <w:r>
              <w:rPr>
                <w:rFonts w:hint="eastAsia" w:ascii="宋体" w:hAnsi="宋体" w:cs="宋体"/>
                <w:bCs/>
                <w:iCs/>
                <w:color w:val="000000"/>
                <w:sz w:val="24"/>
              </w:rPr>
              <w:t>进行</w:t>
            </w:r>
            <w:r>
              <w:rPr>
                <w:rFonts w:hint="eastAsia" w:ascii="宋体" w:hAnsi="宋体" w:cs="宋体"/>
                <w:color w:val="000000"/>
                <w:sz w:val="24"/>
              </w:rPr>
              <w:t>评审。</w:t>
            </w:r>
            <w:r>
              <w:rPr>
                <w:rFonts w:hint="eastAsia" w:ascii="宋体" w:hAnsi="宋体" w:cs="宋体"/>
                <w:snapToGrid w:val="0"/>
                <w:color w:val="000000"/>
                <w:kern w:val="32"/>
                <w:sz w:val="21"/>
                <w:szCs w:val="21"/>
                <w:lang w:val="en-US" w:eastAsia="zh-CN"/>
              </w:rPr>
              <w:t>（评分值：3分，2.5分，2分，1.5分，1分，0.5分，0分）</w:t>
            </w:r>
          </w:p>
        </w:tc>
        <w:tc>
          <w:tcPr>
            <w:tcW w:w="1200" w:type="dxa"/>
            <w:noWrap w:val="0"/>
            <w:vAlign w:val="center"/>
          </w:tcPr>
          <w:p>
            <w:pPr>
              <w:adjustRightInd w:val="0"/>
              <w:snapToGrid w:val="0"/>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0-3分</w:t>
            </w:r>
          </w:p>
        </w:tc>
        <w:tc>
          <w:tcPr>
            <w:tcW w:w="1005" w:type="dxa"/>
            <w:noWrap w:val="0"/>
            <w:vAlign w:val="center"/>
          </w:tcPr>
          <w:p>
            <w:pPr>
              <w:adjustRightInd w:val="0"/>
              <w:snapToGrid w:val="0"/>
              <w:spacing w:line="440" w:lineRule="exact"/>
              <w:jc w:val="center"/>
              <w:rPr>
                <w:rFonts w:hint="default" w:ascii="宋体" w:hAnsi="宋体" w:cs="宋体"/>
                <w:color w:val="000000"/>
                <w:sz w:val="24"/>
                <w:lang w:val="en-US" w:eastAsia="zh-CN"/>
              </w:rPr>
            </w:pPr>
            <w:r>
              <w:rPr>
                <w:rFonts w:hint="eastAsia" w:ascii="宋体" w:hAnsi="宋体" w:cs="宋体"/>
                <w:snapToGrid w:val="0"/>
                <w:color w:val="000000"/>
                <w:kern w:val="32"/>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91" w:type="dxa"/>
            <w:noWrap w:val="0"/>
            <w:vAlign w:val="center"/>
          </w:tcPr>
          <w:p>
            <w:pPr>
              <w:spacing w:line="320" w:lineRule="exact"/>
              <w:jc w:val="center"/>
              <w:rPr>
                <w:rFonts w:hint="eastAsia" w:ascii="??" w:hAnsi="??" w:eastAsia="宋体" w:cs="??"/>
                <w:kern w:val="0"/>
                <w:sz w:val="24"/>
                <w:szCs w:val="24"/>
                <w:lang w:val="en-US" w:eastAsia="zh-CN" w:bidi="ar-SA"/>
              </w:rPr>
            </w:pPr>
            <w:r>
              <w:rPr>
                <w:rFonts w:hint="eastAsia" w:ascii="宋体" w:hAnsi="宋体" w:cs="宋体"/>
              </w:rPr>
              <w:t>二</w:t>
            </w:r>
          </w:p>
        </w:tc>
        <w:tc>
          <w:tcPr>
            <w:tcW w:w="1469" w:type="dxa"/>
            <w:noWrap w:val="0"/>
            <w:vAlign w:val="center"/>
          </w:tcPr>
          <w:p>
            <w:pPr>
              <w:spacing w:line="320" w:lineRule="exact"/>
              <w:jc w:val="center"/>
              <w:rPr>
                <w:rFonts w:hint="eastAsia" w:ascii="??" w:hAnsi="??" w:eastAsia="宋体" w:cs="??"/>
                <w:kern w:val="0"/>
                <w:sz w:val="24"/>
                <w:szCs w:val="24"/>
                <w:lang w:val="en-US" w:eastAsia="zh-CN" w:bidi="ar-SA"/>
              </w:rPr>
            </w:pPr>
            <w:r>
              <w:rPr>
                <w:rFonts w:hint="eastAsia" w:ascii="宋体" w:hAnsi="宋体" w:cs="宋体"/>
                <w:lang w:val="en-US" w:eastAsia="zh-CN"/>
              </w:rPr>
              <w:t>报价</w:t>
            </w:r>
            <w:r>
              <w:rPr>
                <w:rFonts w:hint="eastAsia" w:ascii="宋体" w:hAnsi="宋体" w:cs="宋体"/>
              </w:rPr>
              <w:t>分</w:t>
            </w:r>
          </w:p>
        </w:tc>
        <w:tc>
          <w:tcPr>
            <w:tcW w:w="5760" w:type="dxa"/>
            <w:noWrap w:val="0"/>
            <w:vAlign w:val="top"/>
          </w:tcPr>
          <w:p>
            <w:pPr>
              <w:spacing w:line="320" w:lineRule="exact"/>
              <w:rPr>
                <w:rFonts w:ascii="??" w:hAnsi="??"/>
              </w:rPr>
            </w:pPr>
            <w:r>
              <w:rPr>
                <w:rFonts w:ascii="??" w:hAnsi="??"/>
              </w:rPr>
              <w:t>1</w:t>
            </w:r>
            <w:r>
              <w:rPr>
                <w:rFonts w:hint="eastAsia" w:ascii="宋体" w:hAnsi="宋体" w:cs="宋体"/>
              </w:rPr>
              <w:t>、以符合招标文件要求且投标价格最低的投标报价为评标基准价，其商务报价得分为满分。</w:t>
            </w:r>
          </w:p>
          <w:p>
            <w:pPr>
              <w:spacing w:line="320" w:lineRule="exact"/>
              <w:rPr>
                <w:rFonts w:ascii="??" w:hAnsi="??"/>
              </w:rPr>
            </w:pPr>
            <w:r>
              <w:rPr>
                <w:rFonts w:ascii="??" w:hAnsi="??"/>
              </w:rPr>
              <w:t>2</w:t>
            </w:r>
            <w:r>
              <w:rPr>
                <w:rFonts w:hint="eastAsia" w:ascii="宋体" w:hAnsi="宋体" w:cs="宋体"/>
              </w:rPr>
              <w:t>、其他投标人的商务报价分统一按照下列公式计算：</w:t>
            </w:r>
          </w:p>
          <w:p>
            <w:pPr>
              <w:spacing w:line="320" w:lineRule="exact"/>
              <w:rPr>
                <w:rFonts w:hint="eastAsia" w:ascii="??" w:hAnsi="??" w:eastAsia="宋体" w:cs="Times New Roman"/>
                <w:kern w:val="0"/>
                <w:sz w:val="24"/>
                <w:szCs w:val="24"/>
                <w:lang w:val="en-US" w:eastAsia="zh-CN" w:bidi="ar-SA"/>
              </w:rPr>
            </w:pPr>
            <w:r>
              <w:rPr>
                <w:rFonts w:hint="eastAsia"/>
              </w:rPr>
              <w:t>商务报价分＝（评标基准价／投标报价）</w:t>
            </w:r>
            <w:r>
              <w:rPr>
                <w:rFonts w:ascii="??" w:hAnsi="??"/>
              </w:rPr>
              <w:t>×30</w:t>
            </w:r>
            <w:r>
              <w:rPr>
                <w:rFonts w:hint="eastAsia"/>
              </w:rPr>
              <w:t>，计算结果保留</w:t>
            </w:r>
            <w:r>
              <w:rPr>
                <w:rFonts w:ascii="??" w:hAnsi="??"/>
              </w:rPr>
              <w:t>2</w:t>
            </w:r>
            <w:r>
              <w:rPr>
                <w:rFonts w:hint="eastAsia"/>
              </w:rPr>
              <w:t>位小数（第三位小数四舍五入）。</w:t>
            </w:r>
          </w:p>
        </w:tc>
        <w:tc>
          <w:tcPr>
            <w:tcW w:w="1200" w:type="dxa"/>
            <w:noWrap w:val="0"/>
            <w:vAlign w:val="center"/>
          </w:tcPr>
          <w:p>
            <w:pPr>
              <w:adjustRightInd w:val="0"/>
              <w:snapToGrid w:val="0"/>
              <w:spacing w:line="440" w:lineRule="exact"/>
              <w:jc w:val="center"/>
              <w:rPr>
                <w:rFonts w:hint="default" w:ascii="宋体" w:hAnsi="宋体" w:cs="宋体"/>
                <w:color w:val="000000"/>
                <w:sz w:val="24"/>
                <w:lang w:val="en-US" w:eastAsia="zh-CN"/>
              </w:rPr>
            </w:pPr>
            <w:r>
              <w:rPr>
                <w:rFonts w:hint="default" w:ascii="宋体" w:hAnsi="宋体" w:cs="宋体"/>
                <w:color w:val="000000"/>
                <w:sz w:val="24"/>
                <w:lang w:val="en-US" w:eastAsia="zh-CN"/>
              </w:rPr>
              <w:t>30</w:t>
            </w:r>
          </w:p>
        </w:tc>
        <w:tc>
          <w:tcPr>
            <w:tcW w:w="1005" w:type="dxa"/>
            <w:noWrap w:val="0"/>
            <w:vAlign w:val="center"/>
          </w:tcPr>
          <w:p>
            <w:pPr>
              <w:adjustRightInd w:val="0"/>
              <w:snapToGrid w:val="0"/>
              <w:spacing w:line="440" w:lineRule="exact"/>
              <w:jc w:val="center"/>
              <w:rPr>
                <w:rFonts w:hint="default" w:ascii="宋体" w:hAnsi="宋体"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91" w:type="dxa"/>
            <w:noWrap w:val="0"/>
            <w:vAlign w:val="center"/>
          </w:tcPr>
          <w:p>
            <w:pPr>
              <w:spacing w:line="320" w:lineRule="exact"/>
              <w:ind w:firstLine="120" w:firstLineChars="50"/>
              <w:jc w:val="center"/>
              <w:rPr>
                <w:rFonts w:hint="eastAsia" w:ascii="??" w:hAnsi="??" w:eastAsia="宋体" w:cs="??"/>
                <w:kern w:val="0"/>
                <w:sz w:val="24"/>
                <w:szCs w:val="24"/>
                <w:lang w:val="en-US" w:eastAsia="zh-CN" w:bidi="ar-SA"/>
              </w:rPr>
            </w:pPr>
            <w:r>
              <w:rPr>
                <w:rFonts w:hint="eastAsia" w:ascii="宋体" w:hAnsi="宋体" w:cs="宋体"/>
              </w:rPr>
              <w:t>三</w:t>
            </w:r>
          </w:p>
        </w:tc>
        <w:tc>
          <w:tcPr>
            <w:tcW w:w="1469" w:type="dxa"/>
            <w:noWrap w:val="0"/>
            <w:vAlign w:val="center"/>
          </w:tcPr>
          <w:p>
            <w:pPr>
              <w:spacing w:line="320" w:lineRule="exact"/>
              <w:jc w:val="center"/>
              <w:rPr>
                <w:rFonts w:hint="eastAsia" w:ascii="??" w:hAnsi="??" w:eastAsia="宋体" w:cs="??"/>
                <w:kern w:val="0"/>
                <w:sz w:val="24"/>
                <w:szCs w:val="24"/>
                <w:lang w:val="en-US" w:eastAsia="zh-CN" w:bidi="ar-SA"/>
              </w:rPr>
            </w:pPr>
            <w:r>
              <w:rPr>
                <w:rFonts w:hint="eastAsia" w:ascii="宋体" w:hAnsi="宋体" w:cs="宋体"/>
              </w:rPr>
              <w:t>综合得分</w:t>
            </w:r>
          </w:p>
        </w:tc>
        <w:tc>
          <w:tcPr>
            <w:tcW w:w="5760" w:type="dxa"/>
            <w:noWrap w:val="0"/>
            <w:vAlign w:val="center"/>
          </w:tcPr>
          <w:p>
            <w:pPr>
              <w:spacing w:line="320" w:lineRule="exact"/>
              <w:rPr>
                <w:rFonts w:hint="eastAsia" w:ascii="??" w:hAnsi="??" w:eastAsia="宋体" w:cs="??"/>
                <w:kern w:val="0"/>
                <w:sz w:val="24"/>
                <w:szCs w:val="24"/>
                <w:lang w:val="en-US" w:eastAsia="zh-CN" w:bidi="ar-SA"/>
              </w:rPr>
            </w:pPr>
            <w:r>
              <w:rPr>
                <w:rFonts w:hint="eastAsia" w:ascii="宋体" w:hAnsi="宋体" w:cs="宋体"/>
              </w:rPr>
              <w:t>投标人综合得分</w:t>
            </w:r>
            <w:r>
              <w:rPr>
                <w:rFonts w:ascii="??" w:hAnsi="??" w:cs="??"/>
              </w:rPr>
              <w:t>=</w:t>
            </w:r>
            <w:r>
              <w:rPr>
                <w:rFonts w:hint="eastAsia" w:ascii="??" w:hAnsi="??" w:cs="??"/>
                <w:lang w:val="en-US" w:eastAsia="zh-CN"/>
              </w:rPr>
              <w:t>商务</w:t>
            </w:r>
            <w:r>
              <w:rPr>
                <w:rFonts w:hint="eastAsia" w:ascii="宋体" w:hAnsi="宋体" w:cs="宋体"/>
              </w:rPr>
              <w:t>技术分</w:t>
            </w:r>
            <w:r>
              <w:rPr>
                <w:rFonts w:ascii="??" w:hAnsi="??" w:cs="??"/>
              </w:rPr>
              <w:t>+</w:t>
            </w:r>
            <w:r>
              <w:rPr>
                <w:rFonts w:hint="eastAsia" w:ascii="宋体" w:hAnsi="宋体" w:cs="宋体"/>
              </w:rPr>
              <w:t>报价分</w:t>
            </w:r>
          </w:p>
        </w:tc>
        <w:tc>
          <w:tcPr>
            <w:tcW w:w="1200" w:type="dxa"/>
            <w:noWrap w:val="0"/>
            <w:vAlign w:val="center"/>
          </w:tcPr>
          <w:p>
            <w:pPr>
              <w:adjustRightInd w:val="0"/>
              <w:snapToGrid w:val="0"/>
              <w:spacing w:line="440" w:lineRule="exact"/>
              <w:jc w:val="center"/>
              <w:rPr>
                <w:rFonts w:hint="default" w:ascii="宋体" w:hAnsi="宋体" w:cs="宋体"/>
                <w:color w:val="000000"/>
                <w:sz w:val="24"/>
                <w:lang w:val="en-US" w:eastAsia="zh-CN"/>
              </w:rPr>
            </w:pPr>
            <w:r>
              <w:rPr>
                <w:rFonts w:hint="default" w:ascii="宋体" w:hAnsi="宋体" w:cs="宋体"/>
                <w:color w:val="000000"/>
                <w:sz w:val="24"/>
                <w:lang w:val="en-US" w:eastAsia="zh-CN"/>
              </w:rPr>
              <w:t>100</w:t>
            </w:r>
          </w:p>
        </w:tc>
        <w:tc>
          <w:tcPr>
            <w:tcW w:w="1005" w:type="dxa"/>
            <w:noWrap w:val="0"/>
            <w:vAlign w:val="center"/>
          </w:tcPr>
          <w:p>
            <w:pPr>
              <w:adjustRightInd w:val="0"/>
              <w:snapToGrid w:val="0"/>
              <w:spacing w:line="440" w:lineRule="exact"/>
              <w:jc w:val="center"/>
              <w:rPr>
                <w:rFonts w:hint="default" w:ascii="宋体" w:hAnsi="宋体" w:cs="宋体"/>
                <w:color w:val="000000"/>
                <w:sz w:val="24"/>
                <w:lang w:val="en-US" w:eastAsia="zh-CN"/>
              </w:rPr>
            </w:pPr>
          </w:p>
        </w:tc>
      </w:tr>
    </w:tbl>
    <w:p>
      <w:pPr>
        <w:pStyle w:val="2"/>
        <w:numPr>
          <w:ilvl w:val="0"/>
          <w:numId w:val="0"/>
        </w:numPr>
        <w:ind w:leftChars="0"/>
      </w:pPr>
    </w:p>
    <w:p>
      <w:pPr>
        <w:pStyle w:val="2"/>
        <w:ind w:left="31680" w:firstLine="0" w:firstLineChars="0"/>
        <w:rPr>
          <w:rFonts w:ascii="新宋体" w:hAnsi="新宋体" w:eastAsia="新宋体" w:cs="Courier New"/>
        </w:rPr>
      </w:pPr>
      <w:r>
        <w:rPr>
          <w:rFonts w:hint="eastAsia" w:ascii="新宋体" w:hAnsi="新宋体" w:eastAsia="新宋体"/>
        </w:rPr>
        <w:t>以上评分内容仅限对未打“★”条款进行评分。</w:t>
      </w:r>
    </w:p>
    <w:p>
      <w:pPr>
        <w:pStyle w:val="2"/>
        <w:ind w:left="31680" w:firstLine="31680"/>
      </w:pPr>
    </w:p>
    <w:p/>
    <w:bookmarkEnd w:id="133"/>
    <w:bookmarkEnd w:id="134"/>
    <w:bookmarkEnd w:id="135"/>
    <w:p>
      <w:pPr>
        <w:pStyle w:val="5"/>
        <w:spacing w:before="0" w:after="0" w:line="520" w:lineRule="exact"/>
        <w:jc w:val="center"/>
        <w:rPr>
          <w:rFonts w:ascii="新宋体" w:hAnsi="新宋体" w:eastAsia="新宋体"/>
          <w:sz w:val="36"/>
          <w:szCs w:val="36"/>
          <w:highlight w:val="yellow"/>
        </w:rPr>
      </w:pPr>
      <w:bookmarkStart w:id="145" w:name="_Toc132380073"/>
      <w:bookmarkStart w:id="146" w:name="_Toc274303259"/>
      <w:bookmarkStart w:id="147" w:name="_Toc423012136"/>
      <w:bookmarkStart w:id="148" w:name="_Toc213038698"/>
      <w:bookmarkStart w:id="149" w:name="_Toc238878129"/>
      <w:bookmarkStart w:id="150" w:name="_Toc187829774"/>
      <w:bookmarkStart w:id="151" w:name="_Toc235778631"/>
      <w:r>
        <w:br w:type="page"/>
      </w:r>
      <w:bookmarkEnd w:id="145"/>
      <w:bookmarkStart w:id="152" w:name="_Toc19241"/>
      <w:r>
        <w:rPr>
          <w:rFonts w:hint="eastAsia" w:ascii="新宋体" w:hAnsi="新宋体" w:eastAsia="新宋体"/>
          <w:sz w:val="36"/>
          <w:highlight w:val="none"/>
        </w:rPr>
        <w:t xml:space="preserve">第七章 </w:t>
      </w:r>
      <w:r>
        <w:rPr>
          <w:rFonts w:hint="eastAsia" w:ascii="新宋体" w:hAnsi="新宋体" w:eastAsia="新宋体"/>
          <w:sz w:val="36"/>
          <w:szCs w:val="36"/>
          <w:highlight w:val="none"/>
        </w:rPr>
        <w:t>合同主要条款</w:t>
      </w:r>
      <w:bookmarkEnd w:id="152"/>
    </w:p>
    <w:p>
      <w:pPr>
        <w:pStyle w:val="31"/>
        <w:spacing w:line="440" w:lineRule="exact"/>
        <w:rPr>
          <w:rFonts w:ascii="新宋体" w:hAnsi="新宋体" w:eastAsia="新宋体" w:cs="新宋体"/>
          <w:sz w:val="24"/>
          <w:szCs w:val="24"/>
          <w:u w:val="single"/>
        </w:rPr>
      </w:pPr>
      <w:r>
        <w:rPr>
          <w:rFonts w:hint="eastAsia" w:ascii="新宋体" w:hAnsi="新宋体" w:eastAsia="新宋体" w:cs="新宋体"/>
          <w:sz w:val="24"/>
          <w:szCs w:val="24"/>
        </w:rPr>
        <w:t>甲方：</w:t>
      </w:r>
      <w:r>
        <w:rPr>
          <w:rFonts w:hint="eastAsia" w:ascii="新宋体" w:hAnsi="新宋体" w:eastAsia="新宋体" w:cs="新宋体"/>
          <w:kern w:val="0"/>
          <w:sz w:val="24"/>
        </w:rPr>
        <w:t>__________________________</w:t>
      </w:r>
    </w:p>
    <w:p>
      <w:pPr>
        <w:pStyle w:val="31"/>
        <w:spacing w:line="440" w:lineRule="exact"/>
        <w:rPr>
          <w:rFonts w:ascii="新宋体" w:hAnsi="新宋体" w:eastAsia="新宋体" w:cs="新宋体"/>
          <w:sz w:val="24"/>
          <w:szCs w:val="24"/>
          <w:u w:val="single"/>
        </w:rPr>
      </w:pPr>
      <w:r>
        <w:rPr>
          <w:rFonts w:hint="eastAsia" w:ascii="新宋体" w:hAnsi="新宋体" w:eastAsia="新宋体" w:cs="新宋体"/>
          <w:sz w:val="24"/>
          <w:szCs w:val="24"/>
        </w:rPr>
        <w:t>乙方：</w:t>
      </w:r>
      <w:r>
        <w:rPr>
          <w:rFonts w:hint="eastAsia" w:ascii="新宋体" w:hAnsi="新宋体" w:eastAsia="新宋体" w:cs="新宋体"/>
          <w:kern w:val="0"/>
          <w:sz w:val="24"/>
        </w:rPr>
        <w:t>__________________________</w:t>
      </w:r>
    </w:p>
    <w:p>
      <w:pPr>
        <w:pStyle w:val="31"/>
        <w:spacing w:line="440" w:lineRule="exact"/>
        <w:ind w:firstLine="448" w:firstLineChars="187"/>
        <w:rPr>
          <w:rFonts w:ascii="新宋体" w:hAnsi="新宋体" w:eastAsia="新宋体" w:cs="新宋体"/>
          <w:sz w:val="24"/>
          <w:szCs w:val="24"/>
        </w:rPr>
      </w:pPr>
      <w:r>
        <w:rPr>
          <w:rFonts w:hint="eastAsia" w:ascii="新宋体" w:hAnsi="新宋体" w:eastAsia="新宋体" w:cs="新宋体"/>
          <w:sz w:val="24"/>
          <w:szCs w:val="24"/>
        </w:rPr>
        <w:t>甲、乙双方根据</w:t>
      </w:r>
      <w:r>
        <w:rPr>
          <w:rFonts w:hint="eastAsia" w:ascii="新宋体" w:hAnsi="新宋体" w:eastAsia="新宋体" w:cs="新宋体"/>
          <w:kern w:val="0"/>
          <w:sz w:val="24"/>
        </w:rPr>
        <w:t>____</w:t>
      </w:r>
      <w:r>
        <w:rPr>
          <w:rFonts w:hint="eastAsia" w:ascii="新宋体" w:hAnsi="新宋体" w:eastAsia="新宋体" w:cs="新宋体"/>
          <w:sz w:val="24"/>
          <w:szCs w:val="24"/>
        </w:rPr>
        <w:t>年</w:t>
      </w:r>
      <w:r>
        <w:rPr>
          <w:rFonts w:hint="eastAsia" w:ascii="新宋体" w:hAnsi="新宋体" w:eastAsia="新宋体" w:cs="新宋体"/>
          <w:kern w:val="0"/>
          <w:sz w:val="24"/>
        </w:rPr>
        <w:t>____</w:t>
      </w:r>
      <w:r>
        <w:rPr>
          <w:rFonts w:hint="eastAsia" w:ascii="新宋体" w:hAnsi="新宋体" w:eastAsia="新宋体" w:cs="新宋体"/>
          <w:sz w:val="24"/>
          <w:szCs w:val="24"/>
        </w:rPr>
        <w:t>月</w:t>
      </w:r>
      <w:r>
        <w:rPr>
          <w:rFonts w:hint="eastAsia" w:ascii="新宋体" w:hAnsi="新宋体" w:eastAsia="新宋体" w:cs="新宋体"/>
          <w:kern w:val="0"/>
          <w:sz w:val="24"/>
        </w:rPr>
        <w:t>____</w:t>
      </w:r>
      <w:r>
        <w:rPr>
          <w:rFonts w:hint="eastAsia" w:ascii="新宋体" w:hAnsi="新宋体" w:eastAsia="新宋体" w:cs="新宋体"/>
          <w:sz w:val="24"/>
          <w:szCs w:val="24"/>
        </w:rPr>
        <w:t>日义乌市</w:t>
      </w:r>
      <w:r>
        <w:rPr>
          <w:rFonts w:hint="eastAsia" w:ascii="新宋体" w:hAnsi="新宋体" w:eastAsia="新宋体" w:cs="新宋体"/>
          <w:kern w:val="0"/>
          <w:sz w:val="24"/>
        </w:rPr>
        <w:t>________________</w:t>
      </w:r>
      <w:r>
        <w:rPr>
          <w:rFonts w:hint="eastAsia" w:ascii="新宋体" w:hAnsi="新宋体" w:eastAsia="新宋体" w:cs="新宋体"/>
          <w:sz w:val="24"/>
          <w:szCs w:val="24"/>
        </w:rPr>
        <w:t>项目(采购编号：</w:t>
      </w:r>
      <w:r>
        <w:rPr>
          <w:rFonts w:hint="eastAsia" w:ascii="新宋体" w:hAnsi="新宋体" w:eastAsia="新宋体" w:cs="新宋体"/>
          <w:kern w:val="0"/>
          <w:sz w:val="24"/>
        </w:rPr>
        <w:t>________________</w:t>
      </w:r>
      <w:r>
        <w:rPr>
          <w:rFonts w:hint="eastAsia" w:ascii="新宋体" w:hAnsi="新宋体" w:eastAsia="新宋体" w:cs="新宋体"/>
          <w:sz w:val="24"/>
          <w:szCs w:val="24"/>
        </w:rPr>
        <w:t>)招标结果和招标文件的要求，依据《中华人民共和国民法典》并经双方协商一致，订立本采购合同。</w:t>
      </w:r>
      <w:r>
        <w:rPr>
          <w:rFonts w:hint="eastAsia" w:ascii="新宋体" w:hAnsi="新宋体" w:eastAsia="新宋体" w:cs="新宋体"/>
          <w:sz w:val="24"/>
        </w:rPr>
        <w:t>本合同（</w:t>
      </w:r>
      <w:r>
        <w:rPr>
          <w:rFonts w:hint="eastAsia" w:ascii="新宋体" w:hAnsi="新宋体" w:eastAsia="新宋体" w:cs="新宋体"/>
          <w:sz w:val="24"/>
        </w:rPr>
        <w:sym w:font="Wingdings 2" w:char="0052"/>
      </w:r>
      <w:r>
        <w:rPr>
          <w:rFonts w:hint="eastAsia" w:ascii="新宋体" w:hAnsi="新宋体" w:eastAsia="新宋体" w:cs="新宋体"/>
          <w:sz w:val="24"/>
        </w:rPr>
        <w:t>是 □否）为中小企业预留合同。本合同（□是 □否）为可融资合同。</w:t>
      </w:r>
    </w:p>
    <w:p>
      <w:pPr>
        <w:pStyle w:val="31"/>
        <w:spacing w:line="440" w:lineRule="exact"/>
        <w:ind w:firstLine="547" w:firstLineChars="228"/>
        <w:rPr>
          <w:rFonts w:ascii="新宋体" w:hAnsi="新宋体" w:eastAsia="新宋体" w:cs="新宋体"/>
          <w:sz w:val="24"/>
          <w:szCs w:val="24"/>
        </w:rPr>
      </w:pPr>
      <w:r>
        <w:rPr>
          <w:rFonts w:hint="eastAsia" w:ascii="新宋体" w:hAnsi="新宋体" w:eastAsia="新宋体" w:cs="新宋体"/>
          <w:sz w:val="24"/>
          <w:szCs w:val="24"/>
        </w:rPr>
        <w:t>一、合同文件：招标文件及其更正文件、询标承诺、询疑答复、投标响应文件、双方来函。合同文件组成的所有内容是构成合同不可分割的部分。</w:t>
      </w:r>
    </w:p>
    <w:p>
      <w:pPr>
        <w:pStyle w:val="31"/>
        <w:snapToGrid w:val="0"/>
        <w:spacing w:line="460" w:lineRule="exact"/>
        <w:ind w:firstLine="480" w:firstLineChars="200"/>
        <w:rPr>
          <w:rFonts w:ascii="新宋体" w:hAnsi="新宋体" w:eastAsia="新宋体" w:cs="新宋体"/>
          <w:sz w:val="24"/>
        </w:rPr>
      </w:pPr>
      <w:r>
        <w:rPr>
          <w:rFonts w:hint="eastAsia" w:ascii="新宋体" w:hAnsi="新宋体" w:eastAsia="新宋体" w:cs="新宋体"/>
          <w:sz w:val="24"/>
          <w:szCs w:val="24"/>
        </w:rPr>
        <w:t>二、合同金额:</w:t>
      </w:r>
      <w:r>
        <w:rPr>
          <w:rFonts w:hint="eastAsia" w:ascii="新宋体" w:hAnsi="新宋体" w:eastAsia="新宋体" w:cs="新宋体"/>
          <w:kern w:val="0"/>
          <w:sz w:val="24"/>
        </w:rPr>
        <w:t>________________</w:t>
      </w:r>
      <w:r>
        <w:rPr>
          <w:rFonts w:hint="eastAsia" w:ascii="新宋体" w:hAnsi="新宋体" w:eastAsia="新宋体" w:cs="新宋体"/>
          <w:sz w:val="24"/>
          <w:szCs w:val="24"/>
        </w:rPr>
        <w:t>（价款以人民币进行结算，大写）。</w:t>
      </w:r>
      <w:r>
        <w:rPr>
          <w:rFonts w:hint="eastAsia" w:hAnsi="宋体" w:cs="宋体"/>
          <w:color w:val="000000"/>
          <w:sz w:val="24"/>
          <w:lang w:val="en-US" w:eastAsia="zh-CN"/>
        </w:rPr>
        <w:t>投标报价须包含：服务人员工资，按规定缴纳的各类保险，加班费，管理费用，税费，固定资产折旧费，企业提取费用，所有材料及易耗品（包括卫生纸、擦手纸、洗手液、塑料袋、除臭香球、除臭剂等耗材）费用，工具，福利费，培训费，安保及保洁办公费用，服装费，夜餐费，伙食费，过节费，奖励费，劳保费，体检费，弱电及供水、供电等设备设施的日常维护、保养(不含消防、空调日常维护、保养产生费用)，楼外墙、窗清洗的费用；其它一切费用，政策性文件规定及合同包含的所有风险、责任等各项应有费用（不含：(1)消防、电梯、供电、弱电等设备设施的维修材料费；(2)水、电费；(3)消防、电梯、供电等设备设施的年度检测费；(4)垃圾清运费）。如有漏项，视同已包含在其总项目中。</w:t>
      </w:r>
    </w:p>
    <w:p>
      <w:pPr>
        <w:pStyle w:val="31"/>
        <w:spacing w:line="440" w:lineRule="exact"/>
        <w:ind w:firstLine="547" w:firstLineChars="228"/>
        <w:rPr>
          <w:rFonts w:ascii="新宋体" w:hAnsi="新宋体" w:eastAsia="新宋体" w:cs="新宋体"/>
          <w:sz w:val="24"/>
          <w:szCs w:val="24"/>
        </w:rPr>
      </w:pPr>
      <w:r>
        <w:rPr>
          <w:rFonts w:hint="eastAsia" w:ascii="新宋体" w:hAnsi="新宋体" w:eastAsia="新宋体" w:cs="新宋体"/>
          <w:sz w:val="24"/>
          <w:szCs w:val="24"/>
        </w:rPr>
        <w:t>三、合同双方确认，本合同及合同约定的其它文件组成部分中的各项约定都是通过法定招标过程形成的合法成果，如果中标人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Style w:val="31"/>
        <w:spacing w:line="440" w:lineRule="exact"/>
        <w:ind w:firstLine="547" w:firstLineChars="228"/>
      </w:pPr>
      <w:r>
        <w:rPr>
          <w:rFonts w:hint="eastAsia" w:ascii="新宋体" w:hAnsi="新宋体" w:eastAsia="新宋体" w:cs="新宋体"/>
          <w:sz w:val="24"/>
          <w:szCs w:val="24"/>
        </w:rPr>
        <w:t>四、价格清单</w:t>
      </w:r>
    </w:p>
    <w:tbl>
      <w:tblPr>
        <w:tblStyle w:val="5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91"/>
        <w:gridCol w:w="2258"/>
        <w:gridCol w:w="1589"/>
        <w:gridCol w:w="165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42" w:type="pct"/>
            <w:vAlign w:val="center"/>
          </w:tcPr>
          <w:p>
            <w:pPr>
              <w:spacing w:line="360" w:lineRule="exact"/>
              <w:jc w:val="center"/>
              <w:rPr>
                <w:rFonts w:ascii="新宋体" w:hAnsi="新宋体" w:eastAsia="新宋体" w:cs="新宋体"/>
                <w:b/>
                <w:sz w:val="24"/>
                <w:szCs w:val="21"/>
              </w:rPr>
            </w:pPr>
            <w:r>
              <w:rPr>
                <w:rFonts w:hint="eastAsia" w:ascii="新宋体" w:hAnsi="新宋体" w:eastAsia="新宋体" w:cs="新宋体"/>
                <w:b/>
                <w:sz w:val="24"/>
                <w:szCs w:val="21"/>
              </w:rPr>
              <w:t>序号</w:t>
            </w:r>
          </w:p>
        </w:tc>
        <w:tc>
          <w:tcPr>
            <w:tcW w:w="1014" w:type="pct"/>
            <w:vAlign w:val="center"/>
          </w:tcPr>
          <w:p>
            <w:pPr>
              <w:spacing w:line="360" w:lineRule="exact"/>
              <w:jc w:val="center"/>
              <w:rPr>
                <w:rFonts w:ascii="新宋体" w:hAnsi="新宋体" w:eastAsia="新宋体" w:cs="新宋体"/>
                <w:b/>
                <w:sz w:val="24"/>
                <w:szCs w:val="21"/>
              </w:rPr>
            </w:pPr>
            <w:r>
              <w:rPr>
                <w:rFonts w:hint="eastAsia" w:ascii="新宋体" w:hAnsi="新宋体" w:eastAsia="新宋体" w:cs="新宋体"/>
                <w:b/>
                <w:sz w:val="24"/>
                <w:szCs w:val="21"/>
              </w:rPr>
              <w:t>名称及服务内容</w:t>
            </w:r>
          </w:p>
        </w:tc>
        <w:tc>
          <w:tcPr>
            <w:tcW w:w="1150" w:type="pct"/>
            <w:vAlign w:val="center"/>
          </w:tcPr>
          <w:p>
            <w:pPr>
              <w:spacing w:line="360" w:lineRule="exact"/>
              <w:jc w:val="center"/>
              <w:rPr>
                <w:rFonts w:ascii="新宋体" w:hAnsi="新宋体" w:eastAsia="新宋体" w:cs="新宋体"/>
                <w:b/>
                <w:sz w:val="24"/>
                <w:szCs w:val="21"/>
              </w:rPr>
            </w:pPr>
            <w:r>
              <w:rPr>
                <w:rFonts w:hint="eastAsia" w:ascii="新宋体" w:hAnsi="新宋体" w:eastAsia="新宋体" w:cs="新宋体"/>
                <w:b/>
                <w:sz w:val="24"/>
                <w:szCs w:val="21"/>
              </w:rPr>
              <w:t>服务期限</w:t>
            </w:r>
          </w:p>
        </w:tc>
        <w:tc>
          <w:tcPr>
            <w:tcW w:w="809" w:type="pct"/>
            <w:vAlign w:val="center"/>
          </w:tcPr>
          <w:p>
            <w:pPr>
              <w:spacing w:line="360" w:lineRule="exact"/>
              <w:jc w:val="center"/>
              <w:rPr>
                <w:rFonts w:ascii="新宋体" w:hAnsi="新宋体" w:eastAsia="新宋体" w:cs="新宋体"/>
                <w:b/>
                <w:sz w:val="24"/>
              </w:rPr>
            </w:pPr>
            <w:r>
              <w:rPr>
                <w:rFonts w:hint="eastAsia" w:ascii="新宋体" w:hAnsi="新宋体" w:eastAsia="新宋体" w:cs="新宋体"/>
                <w:b/>
                <w:sz w:val="24"/>
              </w:rPr>
              <w:t>单价（元/年）</w:t>
            </w:r>
          </w:p>
        </w:tc>
        <w:tc>
          <w:tcPr>
            <w:tcW w:w="845" w:type="pct"/>
            <w:vAlign w:val="center"/>
          </w:tcPr>
          <w:p>
            <w:pPr>
              <w:spacing w:line="360" w:lineRule="exact"/>
              <w:jc w:val="center"/>
              <w:rPr>
                <w:rFonts w:ascii="新宋体" w:hAnsi="新宋体" w:eastAsia="新宋体" w:cs="新宋体"/>
                <w:b/>
                <w:sz w:val="24"/>
              </w:rPr>
            </w:pPr>
            <w:r>
              <w:rPr>
                <w:rFonts w:hint="eastAsia" w:ascii="新宋体" w:hAnsi="新宋体" w:eastAsia="新宋体" w:cs="新宋体"/>
                <w:b/>
                <w:sz w:val="24"/>
              </w:rPr>
              <w:t>总价（元）</w:t>
            </w:r>
          </w:p>
        </w:tc>
        <w:tc>
          <w:tcPr>
            <w:tcW w:w="837" w:type="pct"/>
            <w:vAlign w:val="center"/>
          </w:tcPr>
          <w:p>
            <w:pPr>
              <w:spacing w:line="360" w:lineRule="exact"/>
              <w:jc w:val="center"/>
              <w:rPr>
                <w:rFonts w:ascii="新宋体" w:hAnsi="新宋体" w:eastAsia="新宋体" w:cs="新宋体"/>
                <w:sz w:val="24"/>
                <w:szCs w:val="21"/>
              </w:rPr>
            </w:pPr>
            <w:r>
              <w:rPr>
                <w:rFonts w:hint="eastAsia" w:ascii="新宋体" w:hAnsi="新宋体" w:eastAsia="新宋体" w:cs="新宋体"/>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42" w:type="pct"/>
            <w:vAlign w:val="center"/>
          </w:tcPr>
          <w:p>
            <w:pPr>
              <w:pStyle w:val="31"/>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一</w:t>
            </w:r>
          </w:p>
        </w:tc>
        <w:tc>
          <w:tcPr>
            <w:tcW w:w="1014" w:type="pct"/>
            <w:vAlign w:val="center"/>
          </w:tcPr>
          <w:p>
            <w:pPr>
              <w:widowControl/>
              <w:jc w:val="left"/>
              <w:textAlignment w:val="center"/>
              <w:rPr>
                <w:rFonts w:hint="eastAsia" w:ascii="宋体" w:hAnsi="宋体" w:eastAsia="宋体" w:cs="宋体"/>
                <w:caps/>
                <w:color w:val="000000"/>
                <w:kern w:val="2"/>
                <w:sz w:val="24"/>
                <w:szCs w:val="24"/>
                <w:highlight w:val="none"/>
                <w:lang w:val="en-US" w:eastAsia="zh-CN" w:bidi="ar-SA"/>
              </w:rPr>
            </w:pPr>
            <w:r>
              <w:rPr>
                <w:rFonts w:hint="eastAsia" w:ascii="宋体" w:hAnsi="宋体" w:eastAsia="宋体" w:cs="宋体"/>
                <w:caps/>
                <w:color w:val="000000"/>
                <w:kern w:val="2"/>
                <w:sz w:val="24"/>
                <w:szCs w:val="24"/>
                <w:highlight w:val="none"/>
                <w:lang w:val="en-US" w:eastAsia="zh-CN" w:bidi="ar-SA"/>
              </w:rPr>
              <w:t>义乌市城西街道6个办公区域安保及保洁服务</w:t>
            </w:r>
          </w:p>
        </w:tc>
        <w:tc>
          <w:tcPr>
            <w:tcW w:w="1150" w:type="pct"/>
            <w:vAlign w:val="center"/>
          </w:tcPr>
          <w:p>
            <w:pPr>
              <w:widowControl/>
              <w:spacing w:line="400" w:lineRule="exact"/>
              <w:jc w:val="center"/>
              <w:rPr>
                <w:rFonts w:ascii="宋体" w:hAnsi="宋体"/>
                <w:sz w:val="22"/>
              </w:rPr>
            </w:pPr>
          </w:p>
        </w:tc>
        <w:tc>
          <w:tcPr>
            <w:tcW w:w="809" w:type="pct"/>
            <w:vAlign w:val="center"/>
          </w:tcPr>
          <w:p>
            <w:pPr>
              <w:pStyle w:val="31"/>
              <w:adjustRightInd w:val="0"/>
              <w:snapToGrid w:val="0"/>
              <w:spacing w:line="400" w:lineRule="exact"/>
              <w:jc w:val="center"/>
              <w:rPr>
                <w:rFonts w:ascii="新宋体" w:hAnsi="新宋体" w:eastAsia="新宋体"/>
                <w:sz w:val="24"/>
                <w:szCs w:val="24"/>
              </w:rPr>
            </w:pPr>
          </w:p>
        </w:tc>
        <w:tc>
          <w:tcPr>
            <w:tcW w:w="845" w:type="pct"/>
            <w:vAlign w:val="center"/>
          </w:tcPr>
          <w:p>
            <w:pPr>
              <w:spacing w:line="400" w:lineRule="exact"/>
              <w:rPr>
                <w:rFonts w:ascii="新宋体" w:hAnsi="新宋体" w:eastAsia="新宋体" w:cs="新宋体"/>
                <w:sz w:val="24"/>
                <w:szCs w:val="21"/>
              </w:rPr>
            </w:pPr>
          </w:p>
        </w:tc>
        <w:tc>
          <w:tcPr>
            <w:tcW w:w="837" w:type="pct"/>
            <w:vAlign w:val="center"/>
          </w:tcPr>
          <w:p>
            <w:pPr>
              <w:spacing w:line="400" w:lineRule="exact"/>
              <w:rPr>
                <w:rFonts w:ascii="新宋体" w:hAnsi="新宋体" w:eastAsia="新宋体" w:cs="新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00" w:type="pct"/>
            <w:gridSpan w:val="6"/>
            <w:vAlign w:val="center"/>
          </w:tcPr>
          <w:p>
            <w:pPr>
              <w:spacing w:line="400" w:lineRule="exact"/>
              <w:rPr>
                <w:rFonts w:ascii="新宋体" w:hAnsi="新宋体" w:eastAsia="新宋体"/>
                <w:sz w:val="24"/>
                <w:szCs w:val="21"/>
              </w:rPr>
            </w:pPr>
            <w:r>
              <w:rPr>
                <w:rFonts w:hint="eastAsia" w:ascii="新宋体" w:hAnsi="新宋体" w:eastAsia="新宋体"/>
                <w:sz w:val="24"/>
                <w:szCs w:val="21"/>
              </w:rPr>
              <w:t>总价（元）合计：小写：¥_____________</w:t>
            </w:r>
          </w:p>
          <w:p>
            <w:pPr>
              <w:spacing w:line="400" w:lineRule="exact"/>
              <w:ind w:firstLine="1920" w:firstLineChars="800"/>
              <w:rPr>
                <w:rFonts w:ascii="新宋体" w:hAnsi="新宋体" w:eastAsia="新宋体" w:cs="新宋体"/>
                <w:sz w:val="24"/>
                <w:szCs w:val="21"/>
              </w:rPr>
            </w:pPr>
            <w:r>
              <w:rPr>
                <w:rFonts w:hint="eastAsia" w:ascii="新宋体" w:hAnsi="新宋体" w:eastAsia="新宋体"/>
                <w:sz w:val="24"/>
                <w:szCs w:val="21"/>
              </w:rPr>
              <w:t>大写：______________</w:t>
            </w:r>
          </w:p>
        </w:tc>
      </w:tr>
    </w:tbl>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五、服务内容：与招标文件一致。</w:t>
      </w:r>
    </w:p>
    <w:p>
      <w:pPr>
        <w:spacing w:line="460" w:lineRule="exact"/>
        <w:ind w:firstLine="960" w:firstLineChars="400"/>
        <w:rPr>
          <w:sz w:val="24"/>
        </w:rPr>
      </w:pPr>
      <w:r>
        <w:rPr>
          <w:sz w:val="24"/>
        </w:rPr>
        <w:t>服务地点：</w:t>
      </w:r>
      <w:r>
        <w:rPr>
          <w:rFonts w:hint="eastAsia" w:ascii="新宋体" w:hAnsi="新宋体" w:eastAsia="新宋体" w:cs="新宋体"/>
          <w:kern w:val="2"/>
          <w:sz w:val="24"/>
          <w:szCs w:val="21"/>
          <w:lang w:val="en-US" w:eastAsia="zh-CN" w:bidi="ar-SA"/>
        </w:rPr>
        <w:t>采购人指定地点</w:t>
      </w:r>
      <w:r>
        <w:rPr>
          <w:rFonts w:hint="eastAsia"/>
          <w:sz w:val="24"/>
        </w:rPr>
        <w:t>。</w:t>
      </w:r>
    </w:p>
    <w:p>
      <w:pPr>
        <w:pStyle w:val="3"/>
        <w:ind w:firstLine="480"/>
        <w:rPr>
          <w:b w:val="0"/>
          <w:shd w:val="clear" w:color="auto" w:fill="auto"/>
        </w:rPr>
      </w:pPr>
      <w:r>
        <w:rPr>
          <w:b w:val="0"/>
          <w:shd w:val="clear" w:color="auto" w:fill="auto"/>
        </w:rPr>
        <w:t>六、服务期限：</w:t>
      </w:r>
      <w:r>
        <w:rPr>
          <w:rFonts w:hint="eastAsia"/>
          <w:b w:val="0"/>
          <w:u w:val="single"/>
          <w:shd w:val="clear" w:color="auto" w:fill="auto"/>
        </w:rPr>
        <w:t xml:space="preserve">    </w:t>
      </w:r>
      <w:r>
        <w:rPr>
          <w:b w:val="0"/>
          <w:shd w:val="clear" w:color="auto" w:fill="auto"/>
        </w:rPr>
        <w:t>年；自</w:t>
      </w:r>
      <w:r>
        <w:rPr>
          <w:rFonts w:hint="eastAsia"/>
          <w:b w:val="0"/>
          <w:u w:val="single"/>
          <w:shd w:val="clear" w:color="auto" w:fill="auto"/>
        </w:rPr>
        <w:t xml:space="preserve">    </w:t>
      </w:r>
      <w:r>
        <w:rPr>
          <w:b w:val="0"/>
          <w:shd w:val="clear" w:color="auto" w:fill="auto"/>
        </w:rPr>
        <w:t>年</w:t>
      </w:r>
      <w:r>
        <w:rPr>
          <w:rFonts w:hint="eastAsia"/>
          <w:b w:val="0"/>
          <w:u w:val="single"/>
          <w:shd w:val="clear" w:color="auto" w:fill="auto"/>
        </w:rPr>
        <w:t xml:space="preserve">    </w:t>
      </w:r>
      <w:r>
        <w:rPr>
          <w:b w:val="0"/>
          <w:shd w:val="clear" w:color="auto" w:fill="auto"/>
        </w:rPr>
        <w:t>月</w:t>
      </w:r>
      <w:r>
        <w:rPr>
          <w:rFonts w:hint="eastAsia"/>
          <w:b w:val="0"/>
          <w:u w:val="single"/>
          <w:shd w:val="clear" w:color="auto" w:fill="auto"/>
        </w:rPr>
        <w:t xml:space="preserve">    </w:t>
      </w:r>
      <w:r>
        <w:rPr>
          <w:b w:val="0"/>
          <w:shd w:val="clear" w:color="auto" w:fill="auto"/>
        </w:rPr>
        <w:t>日（服务人员、物力资源全部到位之日起开始计算）起至</w:t>
      </w:r>
      <w:r>
        <w:rPr>
          <w:rFonts w:hint="eastAsia"/>
          <w:b w:val="0"/>
          <w:u w:val="single"/>
          <w:shd w:val="clear" w:color="auto" w:fill="auto"/>
        </w:rPr>
        <w:t xml:space="preserve">    </w:t>
      </w:r>
      <w:r>
        <w:rPr>
          <w:b w:val="0"/>
          <w:shd w:val="clear" w:color="auto" w:fill="auto"/>
        </w:rPr>
        <w:t>年</w:t>
      </w:r>
      <w:r>
        <w:rPr>
          <w:rFonts w:hint="eastAsia"/>
          <w:b w:val="0"/>
          <w:u w:val="single"/>
          <w:shd w:val="clear" w:color="auto" w:fill="auto"/>
        </w:rPr>
        <w:t xml:space="preserve">    </w:t>
      </w:r>
      <w:r>
        <w:rPr>
          <w:b w:val="0"/>
          <w:shd w:val="clear" w:color="auto" w:fill="auto"/>
        </w:rPr>
        <w:t>月</w:t>
      </w:r>
      <w:r>
        <w:rPr>
          <w:rFonts w:hint="eastAsia"/>
          <w:b w:val="0"/>
          <w:u w:val="single"/>
          <w:shd w:val="clear" w:color="auto" w:fill="auto"/>
        </w:rPr>
        <w:t xml:space="preserve">    </w:t>
      </w:r>
      <w:r>
        <w:rPr>
          <w:b w:val="0"/>
          <w:shd w:val="clear" w:color="auto" w:fill="auto"/>
        </w:rPr>
        <w:t>日止。</w:t>
      </w:r>
    </w:p>
    <w:p>
      <w:pPr>
        <w:keepNext w:val="0"/>
        <w:keepLines w:val="0"/>
        <w:pageBreakBefore w:val="0"/>
        <w:widowControl/>
        <w:kinsoku/>
        <w:wordWrap/>
        <w:overflowPunct/>
        <w:topLinePunct w:val="0"/>
        <w:autoSpaceDE/>
        <w:autoSpaceDN/>
        <w:bidi w:val="0"/>
        <w:adjustRightInd/>
        <w:snapToGrid/>
        <w:spacing w:line="440" w:lineRule="atLeast"/>
        <w:ind w:firstLine="480" w:firstLineChars="200"/>
        <w:textAlignment w:val="auto"/>
        <w:rPr>
          <w:rFonts w:hint="eastAsia" w:ascii="新宋体" w:hAnsi="新宋体" w:eastAsia="新宋体" w:cs="新宋体"/>
          <w:kern w:val="2"/>
          <w:sz w:val="24"/>
          <w:szCs w:val="21"/>
          <w:highlight w:val="none"/>
          <w:lang w:val="en-US" w:eastAsia="zh-CN" w:bidi="ar-SA"/>
        </w:rPr>
      </w:pPr>
      <w:r>
        <w:rPr>
          <w:rFonts w:hint="default" w:ascii="新宋体" w:hAnsi="新宋体" w:eastAsia="新宋体" w:cs="新宋体"/>
          <w:kern w:val="2"/>
          <w:sz w:val="24"/>
          <w:szCs w:val="21"/>
          <w:lang w:val="en-US" w:eastAsia="zh-CN" w:bidi="ar-SA"/>
        </w:rPr>
        <w:t>1.</w:t>
      </w:r>
      <w:r>
        <w:rPr>
          <w:rFonts w:hint="eastAsia" w:ascii="新宋体" w:hAnsi="新宋体" w:eastAsia="新宋体" w:cs="新宋体"/>
          <w:kern w:val="2"/>
          <w:sz w:val="24"/>
          <w:szCs w:val="21"/>
          <w:highlight w:val="none"/>
          <w:lang w:val="en-US" w:eastAsia="zh-CN" w:bidi="ar-SA"/>
        </w:rPr>
        <w:t>合同期执行期间，采购人对中标方每月进行满意度考核测评（具体考核标准见附件：《义乌市城西街道办事处</w:t>
      </w:r>
      <w:r>
        <w:rPr>
          <w:rFonts w:hint="default" w:ascii="新宋体" w:hAnsi="新宋体" w:eastAsia="新宋体" w:cs="新宋体"/>
          <w:kern w:val="2"/>
          <w:sz w:val="24"/>
          <w:szCs w:val="21"/>
          <w:highlight w:val="none"/>
          <w:lang w:val="en-US" w:eastAsia="zh-CN" w:bidi="ar-SA"/>
        </w:rPr>
        <w:t>6</w:t>
      </w:r>
      <w:r>
        <w:rPr>
          <w:rFonts w:hint="eastAsia" w:ascii="新宋体" w:hAnsi="新宋体" w:eastAsia="新宋体" w:cs="新宋体"/>
          <w:kern w:val="2"/>
          <w:sz w:val="24"/>
          <w:szCs w:val="21"/>
          <w:highlight w:val="none"/>
          <w:lang w:val="en-US" w:eastAsia="zh-CN" w:bidi="ar-SA"/>
        </w:rPr>
        <w:t>个办公区安保及保洁满意度考核测评表》）。如果有以下情况，采购人有权提前中止合同。(1)经过测评，对中标人服务质量的满意率低于85分的；(2)发现员工数量缺员累计超过20人次的；(3)发现存在严重违反《劳动法》等法律法规行为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sz w:val="24"/>
          <w:highlight w:val="none"/>
        </w:rPr>
        <w:t>2.考核分值为100分。考核分均为直接扣分，汇总后的得分作为最终得分，</w:t>
      </w:r>
      <w:r>
        <w:rPr>
          <w:rFonts w:hint="eastAsia" w:ascii="宋体" w:hAnsi="宋体" w:eastAsia="宋体" w:cs="宋体"/>
          <w:color w:val="000000"/>
          <w:sz w:val="24"/>
          <w:szCs w:val="24"/>
          <w:highlight w:val="none"/>
        </w:rPr>
        <w:t>要求高于85分（包括85分）, 如果测评低于85分，每分扣200元。</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b/>
          <w:bCs/>
          <w:highlight w:val="none"/>
        </w:rPr>
      </w:pPr>
      <w:r>
        <w:rPr>
          <w:rFonts w:hint="eastAsia" w:ascii="宋体" w:hAnsi="宋体"/>
          <w:highlight w:val="none"/>
        </w:rPr>
        <w:t>物业服务质量</w:t>
      </w:r>
      <w:r>
        <w:rPr>
          <w:rFonts w:hint="eastAsia" w:ascii="宋体" w:hAnsi="宋体"/>
          <w:highlight w:val="none"/>
          <w:lang w:val="en-US" w:eastAsia="zh-CN"/>
        </w:rPr>
        <w:t>每月</w:t>
      </w:r>
      <w:r>
        <w:rPr>
          <w:rFonts w:hint="eastAsia" w:ascii="宋体" w:hAnsi="宋体"/>
          <w:highlight w:val="none"/>
        </w:rPr>
        <w:t>满意度考核测评分应达到</w:t>
      </w:r>
      <w:r>
        <w:rPr>
          <w:rFonts w:ascii="宋体" w:hAnsi="宋体"/>
          <w:highlight w:val="none"/>
        </w:rPr>
        <w:t>85</w:t>
      </w:r>
      <w:r>
        <w:rPr>
          <w:rFonts w:hint="eastAsia" w:ascii="宋体" w:hAnsi="宋体"/>
          <w:highlight w:val="none"/>
        </w:rPr>
        <w:t>分以上，若未达标，则按合同有关规定处罚</w:t>
      </w:r>
      <w:r>
        <w:rPr>
          <w:rFonts w:hint="eastAsia" w:ascii="宋体" w:hAnsi="宋体"/>
          <w:b/>
          <w:bCs/>
          <w:highlight w:val="none"/>
        </w:rPr>
        <w:t>（</w:t>
      </w:r>
      <w:r>
        <w:rPr>
          <w:rFonts w:hint="eastAsia" w:ascii="宋体" w:hAnsi="宋体" w:eastAsia="宋体" w:cs="宋体"/>
          <w:b/>
          <w:bCs/>
          <w:color w:val="000000"/>
          <w:sz w:val="24"/>
          <w:szCs w:val="24"/>
          <w:highlight w:val="none"/>
        </w:rPr>
        <w:t>详见</w:t>
      </w:r>
      <w:r>
        <w:rPr>
          <w:rFonts w:hint="eastAsia" w:ascii="宋体" w:hAnsi="宋体" w:cs="宋体"/>
          <w:b/>
          <w:bCs/>
          <w:color w:val="000000"/>
          <w:sz w:val="24"/>
          <w:szCs w:val="24"/>
          <w:highlight w:val="none"/>
          <w:lang w:val="en-US" w:eastAsia="zh-CN"/>
        </w:rPr>
        <w:t>第三章第五条考核标准</w:t>
      </w:r>
      <w:r>
        <w:rPr>
          <w:rFonts w:hint="eastAsia" w:ascii="宋体" w:hAnsi="宋体"/>
          <w:b/>
          <w:bCs/>
          <w:highlight w:val="none"/>
        </w:rPr>
        <w:t>）</w:t>
      </w:r>
    </w:p>
    <w:p>
      <w:pPr>
        <w:pStyle w:val="31"/>
        <w:spacing w:line="440" w:lineRule="exact"/>
        <w:ind w:firstLine="480" w:firstLineChars="200"/>
      </w:pPr>
      <w:r>
        <w:rPr>
          <w:sz w:val="24"/>
        </w:rPr>
        <w:t>乙方未按本合同约定履约，甲方有权终止本合同，并由乙方承担甲方因此而产生的损失。</w:t>
      </w:r>
    </w:p>
    <w:p>
      <w:pPr>
        <w:spacing w:line="360" w:lineRule="auto"/>
        <w:ind w:firstLine="480" w:firstLineChars="200"/>
        <w:rPr>
          <w:rFonts w:ascii="宋体" w:hAnsi="宋体"/>
          <w:szCs w:val="21"/>
        </w:rPr>
      </w:pPr>
      <w:r>
        <w:rPr>
          <w:rFonts w:hint="eastAsia"/>
          <w:sz w:val="24"/>
        </w:rPr>
        <w:t>七</w:t>
      </w:r>
      <w:r>
        <w:rPr>
          <w:sz w:val="24"/>
        </w:rPr>
        <w:t>、履约保证金</w:t>
      </w:r>
    </w:p>
    <w:p>
      <w:pPr>
        <w:pStyle w:val="31"/>
        <w:spacing w:line="440" w:lineRule="exact"/>
        <w:ind w:firstLine="472" w:firstLineChars="225"/>
        <w:rPr>
          <w:rFonts w:hAnsi="宋体" w:cs="Arial"/>
        </w:rPr>
      </w:pPr>
      <w:r>
        <w:rPr>
          <w:rFonts w:hint="eastAsia" w:hAnsi="宋体" w:cs="Arial"/>
        </w:rPr>
        <w:t>无</w:t>
      </w:r>
    </w:p>
    <w:p>
      <w:pPr>
        <w:spacing w:line="400" w:lineRule="exact"/>
        <w:ind w:firstLine="480" w:firstLineChars="200"/>
        <w:rPr>
          <w:sz w:val="24"/>
        </w:rPr>
      </w:pPr>
      <w:r>
        <w:rPr>
          <w:rFonts w:hint="eastAsia"/>
          <w:sz w:val="24"/>
        </w:rPr>
        <w:t>八</w:t>
      </w:r>
      <w:r>
        <w:rPr>
          <w:sz w:val="24"/>
        </w:rPr>
        <w:t>、</w:t>
      </w:r>
      <w:r>
        <w:rPr>
          <w:rFonts w:hint="eastAsia"/>
          <w:sz w:val="24"/>
        </w:rPr>
        <w:t>预付款</w:t>
      </w:r>
    </w:p>
    <w:p>
      <w:pPr>
        <w:spacing w:line="360" w:lineRule="auto"/>
        <w:ind w:firstLine="480" w:firstLineChars="200"/>
        <w:rPr>
          <w:rFonts w:ascii="宋体" w:hAnsi="宋体" w:cs="Arial"/>
          <w:sz w:val="24"/>
        </w:rPr>
      </w:pPr>
      <w:r>
        <w:rPr>
          <w:rFonts w:hint="eastAsia" w:ascii="宋体" w:hAnsi="宋体" w:cs="Arial"/>
          <w:sz w:val="24"/>
        </w:rPr>
        <w:t>甲方（是/否）需要支付预付款。若需要支付预付款的，则：</w:t>
      </w:r>
    </w:p>
    <w:p>
      <w:pPr>
        <w:spacing w:line="360" w:lineRule="auto"/>
        <w:ind w:firstLine="480" w:firstLineChars="200"/>
        <w:rPr>
          <w:rFonts w:ascii="宋体" w:hAnsi="宋体" w:cs="Arial"/>
          <w:sz w:val="24"/>
        </w:rPr>
      </w:pPr>
      <w:r>
        <w:rPr>
          <w:rFonts w:hint="eastAsia" w:ascii="宋体" w:hAnsi="宋体" w:cs="Arial"/>
          <w:sz w:val="24"/>
        </w:rPr>
        <w:t>预付款比例:  、支付方式:  、支付时间：      ；</w:t>
      </w:r>
    </w:p>
    <w:p>
      <w:pPr>
        <w:spacing w:line="360" w:lineRule="auto"/>
        <w:ind w:firstLine="480" w:firstLineChars="200"/>
        <w:rPr>
          <w:rFonts w:ascii="宋体" w:hAnsi="宋体" w:cs="Arial"/>
          <w:sz w:val="24"/>
        </w:rPr>
      </w:pPr>
      <w:r>
        <w:rPr>
          <w:rFonts w:hint="eastAsia" w:ascii="宋体" w:hAnsi="宋体" w:cs="Arial"/>
          <w:sz w:val="24"/>
        </w:rPr>
        <w:t>预付款的扣回方式:          ；</w:t>
      </w:r>
    </w:p>
    <w:p>
      <w:pPr>
        <w:ind w:firstLine="480" w:firstLineChars="200"/>
      </w:pPr>
      <w:r>
        <w:rPr>
          <w:rFonts w:hint="eastAsia" w:ascii="宋体" w:hAnsi="宋体" w:cs="Arial"/>
          <w:sz w:val="24"/>
        </w:rPr>
        <w:t>预付款的担保措施</w:t>
      </w:r>
      <w:r>
        <w:rPr>
          <w:rFonts w:ascii="宋体" w:hAnsi="宋体" w:cs="Arial"/>
          <w:sz w:val="24"/>
        </w:rPr>
        <w:t>：</w:t>
      </w:r>
      <w:r>
        <w:rPr>
          <w:rFonts w:hint="eastAsia" w:ascii="宋体" w:hAnsi="宋体" w:cs="Arial"/>
          <w:sz w:val="24"/>
        </w:rPr>
        <w:t xml:space="preserve">     </w:t>
      </w:r>
      <w:r>
        <w:rPr>
          <w:rFonts w:hint="eastAsia" w:ascii="宋体" w:hAnsi="宋体" w:cs="Arial"/>
          <w:szCs w:val="21"/>
        </w:rPr>
        <w:t xml:space="preserve">    。</w:t>
      </w:r>
    </w:p>
    <w:p>
      <w:pPr>
        <w:pStyle w:val="31"/>
        <w:spacing w:line="440" w:lineRule="exact"/>
        <w:ind w:firstLine="540" w:firstLineChars="225"/>
        <w:rPr>
          <w:rFonts w:ascii="新宋体" w:hAnsi="新宋体" w:eastAsia="新宋体" w:cs="新宋体"/>
          <w:kern w:val="0"/>
          <w:sz w:val="24"/>
        </w:rPr>
      </w:pPr>
      <w:r>
        <w:rPr>
          <w:rFonts w:hint="eastAsia" w:ascii="新宋体" w:hAnsi="新宋体" w:eastAsia="新宋体" w:cs="新宋体"/>
          <w:sz w:val="24"/>
          <w:szCs w:val="24"/>
        </w:rPr>
        <w:t>九、付款方式：</w:t>
      </w:r>
      <w:r>
        <w:rPr>
          <w:rFonts w:hint="eastAsia" w:ascii="新宋体" w:hAnsi="新宋体" w:eastAsia="新宋体" w:cs="新宋体"/>
          <w:kern w:val="0"/>
          <w:sz w:val="24"/>
        </w:rPr>
        <w:t>________________</w:t>
      </w:r>
    </w:p>
    <w:p>
      <w:pPr>
        <w:pStyle w:val="31"/>
        <w:spacing w:line="440" w:lineRule="exact"/>
        <w:ind w:left="1" w:firstLine="537" w:firstLineChars="224"/>
        <w:rPr>
          <w:rFonts w:ascii="新宋体" w:hAnsi="新宋体" w:eastAsia="新宋体" w:cs="新宋体"/>
          <w:sz w:val="24"/>
          <w:szCs w:val="24"/>
        </w:rPr>
      </w:pPr>
      <w:r>
        <w:rPr>
          <w:rFonts w:hint="eastAsia" w:ascii="新宋体" w:hAnsi="新宋体" w:eastAsia="新宋体" w:cs="新宋体"/>
          <w:sz w:val="24"/>
          <w:szCs w:val="24"/>
        </w:rPr>
        <w:t>十、甲、乙双方权利和义务：</w:t>
      </w:r>
    </w:p>
    <w:p>
      <w:pPr>
        <w:widowControl/>
        <w:spacing w:line="440" w:lineRule="atLeast"/>
        <w:ind w:firstLine="480"/>
        <w:rPr>
          <w:rFonts w:ascii="新宋体" w:hAnsi="新宋体" w:eastAsia="新宋体" w:cs="新宋体"/>
          <w:kern w:val="0"/>
          <w:sz w:val="24"/>
        </w:rPr>
      </w:pPr>
      <w:r>
        <w:rPr>
          <w:rFonts w:hint="eastAsia" w:ascii="新宋体" w:hAnsi="新宋体" w:eastAsia="新宋体" w:cs="新宋体"/>
          <w:kern w:val="0"/>
          <w:sz w:val="24"/>
        </w:rPr>
        <w:t>（一）甲方权利义务</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 xml:space="preserve"> </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（二）乙方权利义务</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360" w:lineRule="auto"/>
        <w:ind w:firstLine="470" w:firstLineChars="196"/>
        <w:rPr>
          <w:rFonts w:ascii="宋体" w:hAnsi="宋体"/>
          <w:sz w:val="24"/>
        </w:rPr>
      </w:pPr>
      <w:r>
        <w:rPr>
          <w:rFonts w:hint="eastAsia" w:ascii="宋体" w:hAnsi="宋体"/>
          <w:sz w:val="24"/>
        </w:rPr>
        <w:t>十一、</w:t>
      </w:r>
      <w:r>
        <w:rPr>
          <w:rFonts w:ascii="宋体" w:hAnsi="宋体"/>
          <w:sz w:val="24"/>
        </w:rPr>
        <w:t>技术资料</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.乙方</w:t>
      </w:r>
      <w:r>
        <w:rPr>
          <w:rFonts w:ascii="宋体" w:hAnsi="宋体" w:cs="Arial"/>
          <w:sz w:val="24"/>
        </w:rPr>
        <w:t>应按</w:t>
      </w:r>
      <w:r>
        <w:rPr>
          <w:rFonts w:hint="eastAsia" w:ascii="宋体" w:hAnsi="宋体" w:cs="Arial"/>
          <w:sz w:val="24"/>
        </w:rPr>
        <w:t>招标</w:t>
      </w:r>
      <w:r>
        <w:rPr>
          <w:rFonts w:ascii="宋体" w:hAnsi="宋体" w:cs="Arial"/>
          <w:sz w:val="24"/>
        </w:rPr>
        <w:t>文件规定的时间向</w:t>
      </w:r>
      <w:r>
        <w:rPr>
          <w:rFonts w:hint="eastAsia" w:ascii="宋体" w:hAnsi="宋体" w:cs="Arial"/>
          <w:sz w:val="24"/>
        </w:rPr>
        <w:t>甲方</w:t>
      </w:r>
      <w:r>
        <w:rPr>
          <w:rFonts w:ascii="宋体" w:hAnsi="宋体" w:cs="Arial"/>
          <w:sz w:val="24"/>
        </w:rPr>
        <w:t>提供使用货物的有关技术资料。</w:t>
      </w:r>
    </w:p>
    <w:p>
      <w:pPr>
        <w:pStyle w:val="31"/>
        <w:spacing w:line="440" w:lineRule="exact"/>
        <w:ind w:firstLine="480" w:firstLineChars="200"/>
        <w:rPr>
          <w:rFonts w:hAnsi="宋体" w:cs="新宋体"/>
          <w:sz w:val="24"/>
          <w:szCs w:val="24"/>
        </w:rPr>
      </w:pPr>
      <w:r>
        <w:rPr>
          <w:rFonts w:hAnsi="宋体" w:cs="Arial"/>
          <w:sz w:val="24"/>
          <w:szCs w:val="24"/>
        </w:rPr>
        <w:t>2</w:t>
      </w:r>
      <w:r>
        <w:rPr>
          <w:rFonts w:hint="eastAsia" w:hAnsi="宋体" w:cs="Arial"/>
          <w:sz w:val="24"/>
          <w:szCs w:val="24"/>
        </w:rPr>
        <w:t>.</w:t>
      </w:r>
      <w:r>
        <w:rPr>
          <w:rFonts w:hAnsi="宋体" w:cs="Arial"/>
          <w:sz w:val="24"/>
          <w:szCs w:val="24"/>
        </w:rPr>
        <w:t>没有</w:t>
      </w:r>
      <w:r>
        <w:rPr>
          <w:rFonts w:hint="eastAsia" w:hAnsi="宋体" w:cs="Arial"/>
          <w:sz w:val="24"/>
          <w:szCs w:val="24"/>
        </w:rPr>
        <w:t>甲方</w:t>
      </w:r>
      <w:r>
        <w:rPr>
          <w:rFonts w:hAnsi="宋体" w:cs="Arial"/>
          <w:sz w:val="24"/>
          <w:szCs w:val="24"/>
        </w:rPr>
        <w:t>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spacing w:line="440" w:lineRule="exact"/>
        <w:ind w:firstLine="480" w:firstLineChars="200"/>
        <w:rPr>
          <w:rFonts w:hAnsi="宋体" w:cs="新宋体"/>
          <w:sz w:val="24"/>
          <w:szCs w:val="24"/>
        </w:rPr>
      </w:pPr>
      <w:r>
        <w:rPr>
          <w:rFonts w:hint="eastAsia" w:hAnsi="宋体" w:cs="新宋体"/>
          <w:sz w:val="24"/>
          <w:szCs w:val="24"/>
        </w:rPr>
        <w:t>十二、不可抗力事件处理</w:t>
      </w:r>
    </w:p>
    <w:p>
      <w:pPr>
        <w:pStyle w:val="31"/>
        <w:spacing w:line="440" w:lineRule="exact"/>
        <w:ind w:firstLine="480" w:firstLineChars="200"/>
        <w:rPr>
          <w:rFonts w:ascii="新宋体" w:hAnsi="新宋体" w:eastAsia="新宋体" w:cs="新宋体"/>
          <w:sz w:val="24"/>
          <w:szCs w:val="24"/>
        </w:rPr>
      </w:pPr>
      <w:r>
        <w:rPr>
          <w:rFonts w:hint="eastAsia" w:hAnsi="宋体" w:cs="新宋体"/>
          <w:sz w:val="24"/>
          <w:szCs w:val="24"/>
        </w:rPr>
        <w:t>1.在合同有效期内，任何一方因不可抗力事件导致不能履行合同，则合同履行期可延长，其延长期与不可抗力</w:t>
      </w:r>
      <w:r>
        <w:rPr>
          <w:rFonts w:hint="eastAsia" w:ascii="新宋体" w:hAnsi="新宋体" w:eastAsia="新宋体" w:cs="新宋体"/>
          <w:sz w:val="24"/>
          <w:szCs w:val="24"/>
        </w:rPr>
        <w:t>影响期相同。</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2.不可抗力事件发生后，应立即通知对方，并寄送有关权威机构出具的证明。</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3.不可抗力事件延续_____天以上，双方应通过友好协商，确定是否继续履行合同。</w:t>
      </w:r>
    </w:p>
    <w:p>
      <w:pPr>
        <w:pStyle w:val="31"/>
        <w:spacing w:line="440" w:lineRule="exact"/>
        <w:ind w:left="1" w:firstLine="537" w:firstLineChars="224"/>
        <w:rPr>
          <w:rFonts w:ascii="Times New Roman" w:hAnsi="Times New Roman" w:cs="Times New Roman"/>
          <w:sz w:val="24"/>
          <w:szCs w:val="24"/>
        </w:rPr>
      </w:pPr>
      <w:r>
        <w:rPr>
          <w:rFonts w:hint="eastAsia" w:ascii="Times New Roman" w:hAnsi="Times New Roman" w:cs="Times New Roman"/>
          <w:sz w:val="24"/>
          <w:szCs w:val="24"/>
        </w:rPr>
        <w:t>十三</w:t>
      </w:r>
      <w:r>
        <w:rPr>
          <w:rFonts w:ascii="Times New Roman" w:hAnsi="Times New Roman" w:cs="Times New Roman"/>
          <w:sz w:val="24"/>
          <w:szCs w:val="24"/>
        </w:rPr>
        <w:t>、违约责任：</w:t>
      </w:r>
    </w:p>
    <w:p>
      <w:pPr>
        <w:pStyle w:val="31"/>
        <w:spacing w:line="440" w:lineRule="exact"/>
        <w:ind w:firstLine="547" w:firstLineChars="228"/>
        <w:rPr>
          <w:rFonts w:ascii="Times New Roman" w:hAnsi="Times New Roman" w:cs="Times New Roman"/>
          <w:sz w:val="24"/>
          <w:szCs w:val="24"/>
        </w:rPr>
      </w:pPr>
      <w:r>
        <w:rPr>
          <w:rFonts w:ascii="Times New Roman" w:hAnsi="Times New Roman" w:cs="Times New Roman"/>
          <w:sz w:val="24"/>
          <w:szCs w:val="24"/>
        </w:rPr>
        <w:t>1．甲方无正当理由拒收接受服务的，甲方向乙方偿付合同款项百分之</w:t>
      </w:r>
      <w:r>
        <w:rPr>
          <w:rFonts w:hint="eastAsia" w:ascii="Times New Roman" w:hAnsi="Times New Roman" w:cs="Times New Roman"/>
          <w:sz w:val="24"/>
          <w:szCs w:val="24"/>
          <w:u w:val="single"/>
        </w:rPr>
        <w:t xml:space="preserve">    </w:t>
      </w:r>
      <w:r>
        <w:rPr>
          <w:rFonts w:ascii="Times New Roman" w:hAnsi="Times New Roman" w:cs="Times New Roman"/>
          <w:sz w:val="24"/>
          <w:szCs w:val="24"/>
        </w:rPr>
        <w:t>作为违约金。</w:t>
      </w:r>
    </w:p>
    <w:p>
      <w:pPr>
        <w:pStyle w:val="31"/>
        <w:spacing w:line="440" w:lineRule="exact"/>
        <w:ind w:firstLine="547" w:firstLineChars="228"/>
        <w:rPr>
          <w:rFonts w:ascii="Times New Roman" w:hAnsi="Times New Roman" w:cs="Times New Roman"/>
          <w:sz w:val="24"/>
          <w:szCs w:val="24"/>
        </w:rPr>
      </w:pPr>
      <w:r>
        <w:rPr>
          <w:rFonts w:ascii="Times New Roman" w:hAnsi="Times New Roman" w:cs="Times New Roman"/>
          <w:sz w:val="24"/>
          <w:szCs w:val="24"/>
        </w:rPr>
        <w:t>2．甲方无故逾期验收和办理款项支付手续的,甲方应按逾期付款总额每日万分之</w:t>
      </w:r>
      <w:r>
        <w:rPr>
          <w:rFonts w:hint="eastAsia" w:ascii="Times New Roman" w:hAnsi="Times New Roman" w:cs="Times New Roman"/>
          <w:sz w:val="24"/>
          <w:szCs w:val="24"/>
          <w:u w:val="single"/>
        </w:rPr>
        <w:t xml:space="preserve">    </w:t>
      </w:r>
      <w:r>
        <w:rPr>
          <w:rFonts w:ascii="Times New Roman" w:hAnsi="Times New Roman" w:cs="Times New Roman"/>
          <w:sz w:val="24"/>
          <w:szCs w:val="24"/>
        </w:rPr>
        <w:t>向乙方支付违约金。</w:t>
      </w:r>
    </w:p>
    <w:p>
      <w:pPr>
        <w:pStyle w:val="31"/>
        <w:spacing w:line="440" w:lineRule="exact"/>
        <w:ind w:firstLine="547" w:firstLineChars="228"/>
        <w:rPr>
          <w:rFonts w:ascii="Times New Roman" w:hAnsi="Times New Roman" w:cs="Times New Roman"/>
          <w:sz w:val="24"/>
          <w:szCs w:val="24"/>
        </w:rPr>
      </w:pPr>
      <w:r>
        <w:rPr>
          <w:rFonts w:ascii="Times New Roman" w:hAnsi="Times New Roman" w:cs="Times New Roman"/>
          <w:sz w:val="24"/>
          <w:szCs w:val="24"/>
        </w:rPr>
        <w:t>3．乙方未能如期提供服务的，每日向甲方支付合同款项的千分之</w:t>
      </w:r>
      <w:r>
        <w:rPr>
          <w:rFonts w:hint="eastAsia" w:ascii="Times New Roman" w:hAnsi="Times New Roman" w:cs="Times New Roman"/>
          <w:sz w:val="24"/>
          <w:szCs w:val="24"/>
          <w:u w:val="single"/>
        </w:rPr>
        <w:t xml:space="preserve">    </w:t>
      </w:r>
      <w:r>
        <w:rPr>
          <w:rFonts w:ascii="Times New Roman" w:hAnsi="Times New Roman" w:cs="Times New Roman"/>
          <w:sz w:val="24"/>
          <w:szCs w:val="24"/>
        </w:rPr>
        <w:t>作为违约金。乙方超过约定日期</w:t>
      </w:r>
      <w:r>
        <w:rPr>
          <w:rFonts w:hint="eastAsia" w:ascii="Times New Roman" w:hAnsi="Times New Roman" w:cs="Times New Roman"/>
          <w:sz w:val="24"/>
          <w:szCs w:val="24"/>
          <w:u w:val="single"/>
        </w:rPr>
        <w:t xml:space="preserve">   </w:t>
      </w:r>
      <w:r>
        <w:rPr>
          <w:rFonts w:ascii="Times New Roman" w:hAnsi="Times New Roman" w:cs="Times New Roman"/>
          <w:sz w:val="24"/>
          <w:szCs w:val="24"/>
        </w:rPr>
        <w:t>个工作日仍不能提供服务的，甲方可解除本合同</w:t>
      </w:r>
      <w:r>
        <w:rPr>
          <w:rFonts w:ascii="Times New Roman" w:hAnsi="Times New Roman" w:cs="Times New Roman"/>
          <w:kern w:val="0"/>
          <w:sz w:val="24"/>
        </w:rPr>
        <w:t>并要求乙方退回预付款</w:t>
      </w:r>
      <w:r>
        <w:rPr>
          <w:rFonts w:ascii="Times New Roman" w:hAnsi="Times New Roman" w:cs="Times New Roman"/>
          <w:sz w:val="24"/>
          <w:szCs w:val="24"/>
        </w:rPr>
        <w:t>。乙方因未能如期提供服务或因其他违约行为导致甲方解除合同的，乙方应</w:t>
      </w:r>
      <w:r>
        <w:rPr>
          <w:rFonts w:ascii="Times New Roman" w:hAnsi="Times New Roman" w:cs="Times New Roman"/>
          <w:kern w:val="0"/>
          <w:sz w:val="24"/>
        </w:rPr>
        <w:t>退回预付款并</w:t>
      </w:r>
      <w:r>
        <w:rPr>
          <w:rFonts w:ascii="Times New Roman" w:hAnsi="Times New Roman" w:cs="Times New Roman"/>
          <w:sz w:val="24"/>
          <w:szCs w:val="24"/>
        </w:rPr>
        <w:t>向甲方支付合同总值</w:t>
      </w:r>
      <w:r>
        <w:rPr>
          <w:rFonts w:hint="eastAsia" w:ascii="Times New Roman" w:hAnsi="Times New Roman" w:cs="Times New Roman"/>
          <w:sz w:val="24"/>
          <w:szCs w:val="24"/>
          <w:u w:val="single"/>
        </w:rPr>
        <w:t xml:space="preserve">    </w:t>
      </w:r>
      <w:r>
        <w:rPr>
          <w:rFonts w:ascii="Times New Roman" w:hAnsi="Times New Roman" w:cs="Times New Roman"/>
          <w:sz w:val="24"/>
          <w:szCs w:val="24"/>
        </w:rPr>
        <w:t xml:space="preserve">%的违约金，如造成甲方损失超过违约金的，超出部分由乙方继续承担赔偿责任。 </w:t>
      </w:r>
    </w:p>
    <w:p>
      <w:pPr>
        <w:pStyle w:val="31"/>
        <w:spacing w:line="440" w:lineRule="exact"/>
        <w:ind w:firstLine="480" w:firstLineChars="200"/>
        <w:rPr>
          <w:rFonts w:ascii="新宋体" w:hAnsi="新宋体" w:eastAsia="新宋体" w:cs="新宋体"/>
          <w:sz w:val="24"/>
          <w:szCs w:val="24"/>
        </w:rPr>
      </w:pPr>
      <w:r>
        <w:rPr>
          <w:rFonts w:ascii="Times New Roman" w:hAnsi="Times New Roman" w:cs="Times New Roman"/>
          <w:sz w:val="24"/>
          <w:szCs w:val="24"/>
        </w:rPr>
        <w:t>4.如果乙方提供的服务项目的质量未达到本合同规定标准的，则甲方有权拒绝，乙方需</w:t>
      </w:r>
      <w:r>
        <w:rPr>
          <w:rFonts w:ascii="Times New Roman" w:hAnsi="Times New Roman" w:cs="Times New Roman"/>
          <w:kern w:val="0"/>
          <w:sz w:val="24"/>
        </w:rPr>
        <w:t>退回预付款并</w:t>
      </w:r>
      <w:r>
        <w:rPr>
          <w:rFonts w:ascii="Times New Roman" w:hAnsi="Times New Roman" w:cs="Times New Roman"/>
          <w:sz w:val="24"/>
          <w:szCs w:val="24"/>
        </w:rPr>
        <w:t>向甲方偿付合同款项的</w:t>
      </w:r>
      <w:r>
        <w:rPr>
          <w:rFonts w:hint="eastAsia" w:ascii="Times New Roman" w:hAnsi="Times New Roman" w:cs="Times New Roman"/>
          <w:sz w:val="24"/>
          <w:szCs w:val="24"/>
          <w:u w:val="single"/>
        </w:rPr>
        <w:t xml:space="preserve">    </w:t>
      </w:r>
      <w:r>
        <w:rPr>
          <w:rFonts w:ascii="Times New Roman" w:hAnsi="Times New Roman" w:cs="Times New Roman"/>
          <w:sz w:val="24"/>
          <w:szCs w:val="24"/>
        </w:rPr>
        <w:t>%的违约金。如造成甲方损失超过违约金的，超出部分由乙方继续承担赔偿责任。</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十四、因服务的质量问题发生争议，由义乌市政府有关部门或其指定的技术单位进行质量鉴定，该鉴定结论是终局的，甲乙双方应当接受。</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十五、本合同项目所在地为义乌，本合同发生争议产生的诉讼，应向项目所在地有管辖权的法院提起诉讼。</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十六、本合同一式捌份，</w:t>
      </w:r>
      <w:r>
        <w:rPr>
          <w:rFonts w:ascii="Times New Roman" w:hAnsi="Times New Roman" w:cs="Times New Roman"/>
          <w:sz w:val="24"/>
          <w:szCs w:val="24"/>
        </w:rPr>
        <w:t>甲乙双方各执三份，</w:t>
      </w:r>
      <w:r>
        <w:rPr>
          <w:rFonts w:hint="eastAsia" w:ascii="新宋体" w:hAnsi="新宋体" w:eastAsia="新宋体" w:cs="新宋体"/>
          <w:sz w:val="24"/>
          <w:szCs w:val="24"/>
        </w:rPr>
        <w:t>义乌市财政局和义乌市政府采购中心各执一份，均具同等效力。</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十七、本合同未尽事宜，双方可以增加条款或补充协议的形式加以补充,但增加或补充协议的条款不得对招标文件作实质性修改。补充协议与本合同具有相同的法律效力。</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十八、技术资料</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1.乙方应按招标文件规定的时间向甲方提供服务的有关技术资料。</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十九、转包或分包</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1.本合同范围的服务，应由乙方直接供应，不得转包他人供应；</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对于通过“要求以联合体形式参加或者合同分包等措施”签订的采购合同，联合协议或者分包意向协议以附件形式作为采购合同的组成部分。未经过甲方的书面同意，</w:t>
      </w:r>
      <w:r>
        <w:rPr>
          <w:rFonts w:hint="eastAsia" w:ascii="新宋体" w:hAnsi="新宋体" w:eastAsia="新宋体" w:cs="新宋体"/>
          <w:sz w:val="24"/>
          <w:szCs w:val="24"/>
        </w:rPr>
        <w:t>乙方不得将本合同范围的服务全部或部分分包给他人供应；</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3.如有转包或未按约定分包的行为，甲方解除合同</w:t>
      </w:r>
      <w:r>
        <w:rPr>
          <w:rFonts w:hint="eastAsia" w:ascii="新宋体" w:hAnsi="新宋体" w:eastAsia="新宋体" w:cs="新宋体"/>
          <w:kern w:val="0"/>
          <w:sz w:val="24"/>
        </w:rPr>
        <w:t>并要求乙方退回预付款（如有）</w:t>
      </w:r>
      <w:r>
        <w:rPr>
          <w:rFonts w:hint="eastAsia" w:ascii="新宋体" w:hAnsi="新宋体" w:eastAsia="新宋体" w:cs="新宋体"/>
          <w:sz w:val="24"/>
          <w:szCs w:val="24"/>
        </w:rPr>
        <w:t>，没收履约保证金（如有）并追究乙方的违约责任。</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二十、合同生效及其它</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1.合同经双方法定代表人或授权代表签字并加盖单位公章后生效。</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2.合同执行中涉及采购资金和采购内容修改或补充的，应按相关规定执行，方可作为主合同不可分割的一部分。</w:t>
      </w:r>
    </w:p>
    <w:p>
      <w:pPr>
        <w:pStyle w:val="31"/>
        <w:spacing w:line="44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3.本合同未尽事宜，遵照《中华人民共和国民法典》有关条文执行。</w:t>
      </w:r>
    </w:p>
    <w:p>
      <w:pPr>
        <w:pStyle w:val="31"/>
        <w:spacing w:line="440" w:lineRule="exact"/>
        <w:rPr>
          <w:rFonts w:ascii="新宋体" w:hAnsi="新宋体" w:eastAsia="新宋体" w:cs="新宋体"/>
          <w:sz w:val="24"/>
          <w:szCs w:val="24"/>
        </w:rPr>
      </w:pP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甲    方： </w:t>
      </w:r>
      <w:r>
        <w:rPr>
          <w:rFonts w:hint="eastAsia" w:ascii="新宋体" w:hAnsi="新宋体" w:eastAsia="新宋体" w:cs="新宋体"/>
          <w:sz w:val="24"/>
          <w:u w:val="single"/>
        </w:rPr>
        <w:t xml:space="preserve">                       </w:t>
      </w:r>
      <w:r>
        <w:rPr>
          <w:rFonts w:hint="eastAsia" w:ascii="新宋体" w:hAnsi="新宋体" w:eastAsia="新宋体" w:cs="新宋体"/>
          <w:sz w:val="24"/>
        </w:rPr>
        <w:t>乙    方：</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pPr>
        <w:spacing w:line="380" w:lineRule="exact"/>
        <w:ind w:firstLine="480" w:firstLineChars="200"/>
        <w:rPr>
          <w:rFonts w:ascii="新宋体" w:hAnsi="新宋体" w:eastAsia="新宋体" w:cs="新宋体"/>
          <w:sz w:val="24"/>
          <w:u w:val="single"/>
        </w:rPr>
      </w:pPr>
      <w:r>
        <w:rPr>
          <w:rFonts w:hint="eastAsia" w:ascii="新宋体" w:hAnsi="新宋体" w:eastAsia="新宋体" w:cs="新宋体"/>
          <w:sz w:val="24"/>
        </w:rPr>
        <w:t>地    址：</w:t>
      </w:r>
      <w:r>
        <w:rPr>
          <w:rFonts w:hint="eastAsia" w:ascii="新宋体" w:hAnsi="新宋体" w:eastAsia="新宋体" w:cs="新宋体"/>
          <w:sz w:val="24"/>
          <w:u w:val="single"/>
        </w:rPr>
        <w:t xml:space="preserve">                        </w:t>
      </w:r>
      <w:r>
        <w:rPr>
          <w:rFonts w:hint="eastAsia" w:ascii="新宋体" w:hAnsi="新宋体" w:eastAsia="新宋体" w:cs="新宋体"/>
          <w:sz w:val="24"/>
        </w:rPr>
        <w:t>地    址：</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法定代表人（或负责人）：</w:t>
      </w:r>
      <w:r>
        <w:rPr>
          <w:rFonts w:hint="eastAsia" w:ascii="新宋体" w:hAnsi="新宋体" w:eastAsia="新宋体" w:cs="新宋体"/>
          <w:sz w:val="24"/>
          <w:u w:val="single"/>
        </w:rPr>
        <w:t>　　　　　</w:t>
      </w:r>
      <w:r>
        <w:rPr>
          <w:rFonts w:hint="eastAsia" w:ascii="新宋体" w:hAnsi="新宋体" w:eastAsia="新宋体" w:cs="新宋体"/>
          <w:sz w:val="24"/>
        </w:rPr>
        <w:t>法定代表人（或负责人）：</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u w:val="single"/>
        </w:rPr>
      </w:pPr>
      <w:r>
        <w:rPr>
          <w:rFonts w:hint="eastAsia" w:ascii="新宋体" w:hAnsi="新宋体" w:eastAsia="新宋体" w:cs="新宋体"/>
          <w:sz w:val="24"/>
        </w:rPr>
        <w:t>委托代理人：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委托代理人：</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u w:val="single"/>
        </w:rPr>
      </w:pPr>
      <w:r>
        <w:rPr>
          <w:rFonts w:hint="eastAsia" w:ascii="新宋体" w:hAnsi="新宋体" w:eastAsia="新宋体" w:cs="新宋体"/>
          <w:sz w:val="24"/>
        </w:rPr>
        <w:t xml:space="preserve">电    话：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电    话： </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开户名称：</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开户名称： </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开户银行：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开户银行： </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u w:val="single"/>
        </w:rPr>
      </w:pPr>
      <w:r>
        <w:rPr>
          <w:rFonts w:hint="eastAsia" w:ascii="新宋体" w:hAnsi="新宋体" w:eastAsia="新宋体" w:cs="新宋体"/>
          <w:sz w:val="24"/>
        </w:rPr>
        <w:t xml:space="preserve">账    号：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账    号： </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邮    编：</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邮    编：</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u w:val="single"/>
        </w:rPr>
      </w:pPr>
      <w:r>
        <w:rPr>
          <w:rFonts w:hint="eastAsia" w:ascii="新宋体" w:hAnsi="新宋体" w:eastAsia="新宋体" w:cs="新宋体"/>
          <w:sz w:val="24"/>
        </w:rPr>
        <w:t xml:space="preserve">签约地点：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签约时间： </w:t>
      </w:r>
      <w:r>
        <w:rPr>
          <w:rFonts w:hint="eastAsia" w:ascii="新宋体" w:hAnsi="新宋体" w:eastAsia="新宋体" w:cs="新宋体"/>
          <w:sz w:val="24"/>
          <w:u w:val="single"/>
        </w:rPr>
        <w:t xml:space="preserve">                         </w:t>
      </w:r>
    </w:p>
    <w:p>
      <w:pPr>
        <w:spacing w:line="380" w:lineRule="exact"/>
        <w:ind w:firstLine="480" w:firstLineChars="200"/>
        <w:rPr>
          <w:rFonts w:ascii="新宋体" w:hAnsi="新宋体" w:eastAsia="新宋体" w:cs="新宋体"/>
          <w:sz w:val="24"/>
          <w:u w:val="single"/>
        </w:rPr>
      </w:pPr>
    </w:p>
    <w:p/>
    <w:p/>
    <w:p>
      <w:pPr>
        <w:overflowPunct w:val="0"/>
        <w:spacing w:line="590" w:lineRule="exact"/>
        <w:ind w:firstLine="640" w:firstLineChars="200"/>
        <w:jc w:val="right"/>
        <w:rPr>
          <w:rFonts w:ascii="楷体_GB2312" w:hAnsi="楷体_GB2312" w:eastAsia="楷体_GB2312" w:cs="楷体_GB2312"/>
          <w:sz w:val="32"/>
          <w:szCs w:val="32"/>
        </w:rPr>
      </w:pPr>
    </w:p>
    <w:p>
      <w:pPr>
        <w:pStyle w:val="2"/>
        <w:ind w:left="31680" w:firstLine="31680"/>
      </w:pPr>
    </w:p>
    <w:p>
      <w:pPr>
        <w:widowControl w:val="0"/>
        <w:rPr>
          <w:sz w:val="36"/>
          <w:szCs w:val="36"/>
        </w:rPr>
      </w:pPr>
    </w:p>
    <w:p>
      <w:pPr>
        <w:pStyle w:val="2"/>
        <w:ind w:left="0" w:leftChars="0" w:firstLine="0" w:firstLineChars="0"/>
      </w:pPr>
    </w:p>
    <w:p>
      <w:pPr>
        <w:pStyle w:val="39"/>
        <w:widowControl w:val="0"/>
        <w:numPr>
          <w:ilvl w:val="0"/>
          <w:numId w:val="0"/>
        </w:numPr>
        <w:tabs>
          <w:tab w:val="left" w:pos="1095"/>
        </w:tabs>
        <w:jc w:val="both"/>
        <w:outlineLvl w:val="0"/>
        <w:rPr>
          <w:rFonts w:hint="eastAsia" w:ascii="Times New Roman" w:hAnsi="Times New Roman"/>
          <w:color w:val="auto"/>
          <w:sz w:val="36"/>
          <w:szCs w:val="36"/>
          <w:lang w:val="en-US" w:eastAsia="zh-CN"/>
        </w:rPr>
      </w:pPr>
      <w:bookmarkStart w:id="153" w:name="_Toc132380077"/>
    </w:p>
    <w:p>
      <w:pPr>
        <w:pStyle w:val="39"/>
        <w:widowControl w:val="0"/>
        <w:numPr>
          <w:ilvl w:val="0"/>
          <w:numId w:val="0"/>
        </w:numPr>
        <w:tabs>
          <w:tab w:val="left" w:pos="1095"/>
        </w:tabs>
        <w:jc w:val="both"/>
        <w:outlineLvl w:val="0"/>
        <w:rPr>
          <w:rFonts w:hint="eastAsia" w:ascii="Times New Roman" w:hAnsi="Times New Roman"/>
          <w:color w:val="auto"/>
          <w:sz w:val="36"/>
          <w:szCs w:val="36"/>
          <w:lang w:val="en-US" w:eastAsia="zh-CN"/>
        </w:rPr>
      </w:pPr>
    </w:p>
    <w:p>
      <w:pPr>
        <w:pStyle w:val="39"/>
        <w:widowControl w:val="0"/>
        <w:numPr>
          <w:ilvl w:val="0"/>
          <w:numId w:val="0"/>
        </w:numPr>
        <w:tabs>
          <w:tab w:val="left" w:pos="1095"/>
        </w:tabs>
        <w:jc w:val="both"/>
        <w:outlineLvl w:val="0"/>
        <w:rPr>
          <w:rFonts w:hint="eastAsia" w:ascii="Times New Roman" w:hAnsi="Times New Roman"/>
          <w:color w:val="auto"/>
          <w:sz w:val="36"/>
          <w:szCs w:val="36"/>
          <w:lang w:val="en-US" w:eastAsia="zh-CN"/>
        </w:rPr>
      </w:pPr>
    </w:p>
    <w:p>
      <w:pPr>
        <w:pStyle w:val="39"/>
        <w:widowControl w:val="0"/>
        <w:numPr>
          <w:ilvl w:val="0"/>
          <w:numId w:val="0"/>
        </w:numPr>
        <w:tabs>
          <w:tab w:val="left" w:pos="1095"/>
        </w:tabs>
        <w:jc w:val="both"/>
        <w:outlineLvl w:val="0"/>
        <w:rPr>
          <w:rFonts w:hint="eastAsia" w:ascii="Times New Roman" w:hAnsi="Times New Roman"/>
          <w:color w:val="auto"/>
          <w:sz w:val="36"/>
          <w:szCs w:val="36"/>
          <w:lang w:val="en-US" w:eastAsia="zh-CN"/>
        </w:rPr>
      </w:pPr>
    </w:p>
    <w:p>
      <w:pPr>
        <w:pStyle w:val="3"/>
        <w:ind w:left="0" w:leftChars="0" w:firstLine="0" w:firstLineChars="0"/>
        <w:rPr>
          <w:rFonts w:hint="eastAsia"/>
          <w:lang w:val="en-US" w:eastAsia="zh-CN"/>
        </w:rPr>
      </w:pPr>
    </w:p>
    <w:p>
      <w:pPr>
        <w:pStyle w:val="39"/>
        <w:widowControl w:val="0"/>
        <w:numPr>
          <w:ilvl w:val="0"/>
          <w:numId w:val="0"/>
        </w:numPr>
        <w:tabs>
          <w:tab w:val="left" w:pos="1095"/>
        </w:tabs>
        <w:jc w:val="center"/>
        <w:outlineLvl w:val="0"/>
        <w:rPr>
          <w:rFonts w:ascii="Times New Roman" w:hAnsi="Times New Roman"/>
          <w:color w:val="auto"/>
          <w:sz w:val="36"/>
          <w:szCs w:val="36"/>
        </w:rPr>
      </w:pPr>
      <w:r>
        <w:rPr>
          <w:rFonts w:hint="eastAsia" w:ascii="Times New Roman" w:hAnsi="Times New Roman"/>
          <w:color w:val="auto"/>
          <w:sz w:val="36"/>
          <w:szCs w:val="36"/>
          <w:lang w:val="en-US" w:eastAsia="zh-CN"/>
        </w:rPr>
        <w:t>第八章</w:t>
      </w:r>
      <w:r>
        <w:rPr>
          <w:rFonts w:hint="default" w:ascii="Times New Roman" w:hAnsi="Times New Roman"/>
          <w:color w:val="auto"/>
          <w:sz w:val="36"/>
          <w:szCs w:val="36"/>
          <w:lang w:val="en-US" w:eastAsia="zh-CN"/>
        </w:rPr>
        <w:t xml:space="preserve">  </w:t>
      </w:r>
      <w:r>
        <w:rPr>
          <w:rFonts w:hint="eastAsia" w:ascii="Times New Roman" w:hAnsi="Times New Roman"/>
          <w:color w:val="auto"/>
          <w:sz w:val="36"/>
          <w:szCs w:val="36"/>
        </w:rPr>
        <w:t>投标文件部分格式</w:t>
      </w:r>
      <w:bookmarkEnd w:id="146"/>
      <w:bookmarkEnd w:id="147"/>
      <w:bookmarkEnd w:id="148"/>
      <w:bookmarkEnd w:id="149"/>
      <w:bookmarkEnd w:id="150"/>
      <w:bookmarkEnd w:id="151"/>
      <w:bookmarkEnd w:id="153"/>
    </w:p>
    <w:p>
      <w:pPr>
        <w:widowControl w:val="0"/>
        <w:spacing w:line="360" w:lineRule="auto"/>
        <w:ind w:firstLine="480" w:firstLineChars="200"/>
      </w:pPr>
      <w:r>
        <w:rPr>
          <w:rFonts w:hint="eastAsia"/>
        </w:rPr>
        <w:t>一、封面格式</w:t>
      </w:r>
    </w:p>
    <w:p>
      <w:pPr>
        <w:widowControl w:val="0"/>
        <w:spacing w:line="360" w:lineRule="auto"/>
        <w:ind w:firstLine="480" w:firstLineChars="200"/>
      </w:pPr>
      <w:r>
        <w:rPr>
          <w:rFonts w:hint="eastAsia"/>
        </w:rPr>
        <w:t>二、资格响应文件部分格式：</w:t>
      </w:r>
    </w:p>
    <w:p>
      <w:pPr>
        <w:widowControl w:val="0"/>
        <w:adjustRightInd w:val="0"/>
        <w:snapToGrid w:val="0"/>
        <w:spacing w:before="50" w:after="50" w:line="400" w:lineRule="exact"/>
        <w:ind w:firstLine="480" w:firstLineChars="200"/>
        <w:rPr>
          <w:bCs/>
          <w:szCs w:val="30"/>
        </w:rPr>
      </w:pPr>
      <w:r>
        <w:rPr>
          <w:bCs/>
          <w:szCs w:val="30"/>
        </w:rPr>
        <w:t>1.</w:t>
      </w:r>
      <w:r>
        <w:rPr>
          <w:rFonts w:hint="eastAsia"/>
          <w:bCs/>
          <w:szCs w:val="30"/>
        </w:rPr>
        <w:t>义乌市政府采购项目投标承诺书</w:t>
      </w:r>
    </w:p>
    <w:p>
      <w:pPr>
        <w:widowControl w:val="0"/>
        <w:adjustRightInd w:val="0"/>
        <w:snapToGrid w:val="0"/>
        <w:spacing w:before="50" w:after="50" w:line="400" w:lineRule="exact"/>
        <w:ind w:firstLine="480" w:firstLineChars="200"/>
        <w:rPr>
          <w:bCs/>
          <w:szCs w:val="30"/>
        </w:rPr>
      </w:pPr>
      <w:r>
        <w:rPr>
          <w:bCs/>
          <w:szCs w:val="30"/>
        </w:rPr>
        <w:t>2.</w:t>
      </w:r>
      <w:r>
        <w:rPr>
          <w:rFonts w:hint="eastAsia"/>
          <w:bCs/>
          <w:szCs w:val="30"/>
        </w:rPr>
        <w:t>中小企业声明函</w:t>
      </w:r>
    </w:p>
    <w:p>
      <w:pPr>
        <w:widowControl w:val="0"/>
        <w:adjustRightInd w:val="0"/>
        <w:snapToGrid w:val="0"/>
        <w:spacing w:before="50" w:after="50" w:line="400" w:lineRule="exact"/>
        <w:ind w:firstLine="480" w:firstLineChars="200"/>
        <w:rPr>
          <w:bCs/>
          <w:szCs w:val="30"/>
        </w:rPr>
      </w:pPr>
      <w:r>
        <w:rPr>
          <w:bCs/>
          <w:szCs w:val="30"/>
        </w:rPr>
        <w:t>3.</w:t>
      </w:r>
      <w:r>
        <w:rPr>
          <w:rFonts w:hint="eastAsia"/>
          <w:bCs/>
          <w:szCs w:val="30"/>
        </w:rPr>
        <w:t>残疾人福利企业声明函</w:t>
      </w:r>
    </w:p>
    <w:p>
      <w:pPr>
        <w:widowControl w:val="0"/>
        <w:adjustRightInd w:val="0"/>
        <w:snapToGrid w:val="0"/>
        <w:spacing w:before="50" w:after="50" w:line="400" w:lineRule="exact"/>
        <w:ind w:firstLine="480" w:firstLineChars="200"/>
        <w:rPr>
          <w:bCs/>
          <w:szCs w:val="30"/>
        </w:rPr>
      </w:pPr>
      <w:r>
        <w:rPr>
          <w:rFonts w:hint="eastAsia"/>
          <w:bCs/>
          <w:szCs w:val="30"/>
        </w:rPr>
        <w:t>三、商务技术响应文件部分格式：</w:t>
      </w:r>
    </w:p>
    <w:p>
      <w:pPr>
        <w:widowControl w:val="0"/>
        <w:adjustRightInd w:val="0"/>
        <w:snapToGrid w:val="0"/>
        <w:spacing w:before="50" w:after="50" w:line="400" w:lineRule="exact"/>
        <w:ind w:firstLine="480" w:firstLineChars="200"/>
        <w:rPr>
          <w:bCs/>
          <w:szCs w:val="30"/>
        </w:rPr>
      </w:pPr>
      <w:r>
        <w:rPr>
          <w:bCs/>
          <w:szCs w:val="30"/>
        </w:rPr>
        <w:t>4.</w:t>
      </w:r>
      <w:r>
        <w:rPr>
          <w:rFonts w:hint="eastAsia"/>
          <w:bCs/>
          <w:szCs w:val="30"/>
        </w:rPr>
        <w:t>服务质量保证承诺书</w:t>
      </w:r>
    </w:p>
    <w:p>
      <w:pPr>
        <w:widowControl w:val="0"/>
        <w:adjustRightInd w:val="0"/>
        <w:snapToGrid w:val="0"/>
        <w:spacing w:before="50" w:after="50" w:line="400" w:lineRule="exact"/>
        <w:ind w:firstLine="480" w:firstLineChars="200"/>
        <w:rPr>
          <w:bCs/>
          <w:szCs w:val="30"/>
        </w:rPr>
      </w:pPr>
      <w:r>
        <w:rPr>
          <w:bCs/>
          <w:szCs w:val="30"/>
        </w:rPr>
        <w:t>5.</w:t>
      </w:r>
      <w:r>
        <w:rPr>
          <w:rFonts w:hint="eastAsia"/>
          <w:bCs/>
          <w:szCs w:val="30"/>
        </w:rPr>
        <w:t>项目管理人员情况表</w:t>
      </w:r>
    </w:p>
    <w:p>
      <w:pPr>
        <w:widowControl w:val="0"/>
        <w:adjustRightInd w:val="0"/>
        <w:snapToGrid w:val="0"/>
        <w:spacing w:before="50" w:after="50" w:line="400" w:lineRule="exact"/>
        <w:ind w:firstLine="480" w:firstLineChars="200"/>
        <w:rPr>
          <w:bCs/>
          <w:szCs w:val="30"/>
        </w:rPr>
      </w:pPr>
      <w:r>
        <w:rPr>
          <w:bCs/>
          <w:szCs w:val="30"/>
        </w:rPr>
        <w:t>6.</w:t>
      </w:r>
      <w:r>
        <w:rPr>
          <w:rFonts w:hint="eastAsia"/>
          <w:bCs/>
          <w:szCs w:val="30"/>
        </w:rPr>
        <w:t>规范偏离表</w:t>
      </w:r>
    </w:p>
    <w:p>
      <w:pPr>
        <w:widowControl w:val="0"/>
        <w:adjustRightInd w:val="0"/>
        <w:snapToGrid w:val="0"/>
        <w:spacing w:before="50" w:after="50" w:line="400" w:lineRule="exact"/>
        <w:ind w:firstLine="480" w:firstLineChars="200"/>
        <w:rPr>
          <w:bCs/>
          <w:szCs w:val="30"/>
        </w:rPr>
      </w:pPr>
      <w:r>
        <w:rPr>
          <w:rFonts w:hint="eastAsia"/>
          <w:bCs/>
          <w:szCs w:val="30"/>
        </w:rPr>
        <w:t>四、报价响应文件部分格式：</w:t>
      </w:r>
    </w:p>
    <w:p>
      <w:pPr>
        <w:widowControl w:val="0"/>
        <w:adjustRightInd w:val="0"/>
        <w:snapToGrid w:val="0"/>
        <w:spacing w:before="50" w:after="50" w:line="400" w:lineRule="exact"/>
        <w:ind w:firstLine="480" w:firstLineChars="200"/>
        <w:rPr>
          <w:bCs/>
          <w:szCs w:val="30"/>
        </w:rPr>
      </w:pPr>
      <w:r>
        <w:rPr>
          <w:bCs/>
          <w:szCs w:val="30"/>
        </w:rPr>
        <w:t>7.</w:t>
      </w:r>
      <w:r>
        <w:rPr>
          <w:rFonts w:hint="eastAsia"/>
          <w:bCs/>
          <w:szCs w:val="30"/>
        </w:rPr>
        <w:t>开标一览表</w:t>
      </w:r>
    </w:p>
    <w:p>
      <w:pPr>
        <w:widowControl w:val="0"/>
        <w:adjustRightInd w:val="0"/>
        <w:snapToGrid w:val="0"/>
        <w:spacing w:before="50" w:after="50" w:line="400" w:lineRule="exact"/>
        <w:ind w:firstLine="480" w:firstLineChars="200"/>
        <w:rPr>
          <w:bCs/>
          <w:szCs w:val="30"/>
        </w:rPr>
      </w:pPr>
      <w:r>
        <w:rPr>
          <w:rFonts w:hint="default"/>
          <w:bCs/>
          <w:szCs w:val="30"/>
          <w:lang w:val="en-US"/>
        </w:rPr>
        <w:t>8.</w:t>
      </w:r>
      <w:r>
        <w:rPr>
          <w:rFonts w:hint="eastAsia"/>
          <w:bCs/>
          <w:szCs w:val="30"/>
        </w:rPr>
        <w:t>项目成本报价表</w:t>
      </w:r>
    </w:p>
    <w:p>
      <w:pPr>
        <w:widowControl w:val="0"/>
        <w:rPr>
          <w:szCs w:val="21"/>
        </w:rPr>
      </w:pPr>
    </w:p>
    <w:p>
      <w:pPr>
        <w:widowControl w:val="0"/>
        <w:jc w:val="center"/>
        <w:rPr>
          <w:szCs w:val="21"/>
          <w:u w:val="single"/>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bCs/>
          <w:szCs w:val="21"/>
        </w:rPr>
      </w:pPr>
    </w:p>
    <w:p>
      <w:pPr>
        <w:widowControl w:val="0"/>
        <w:rPr>
          <w:sz w:val="52"/>
          <w:u w:val="single"/>
        </w:rPr>
      </w:pPr>
      <w:bookmarkStart w:id="156" w:name="_GoBack"/>
      <w:bookmarkEnd w:id="156"/>
      <w:r>
        <w:rPr>
          <w:bCs/>
          <w:szCs w:val="21"/>
        </w:rPr>
        <w:br w:type="page"/>
      </w:r>
      <w:r>
        <w:rPr>
          <w:rFonts w:hint="eastAsia"/>
          <w:bCs/>
          <w:sz w:val="28"/>
        </w:rPr>
        <w:t>封面格式</w:t>
      </w:r>
    </w:p>
    <w:p>
      <w:pPr>
        <w:widowControl w:val="0"/>
        <w:jc w:val="center"/>
        <w:rPr>
          <w:sz w:val="52"/>
        </w:rPr>
      </w:pPr>
    </w:p>
    <w:p>
      <w:pPr>
        <w:widowControl w:val="0"/>
        <w:jc w:val="center"/>
        <w:rPr>
          <w:sz w:val="52"/>
        </w:rPr>
      </w:pPr>
    </w:p>
    <w:p>
      <w:pPr>
        <w:widowControl w:val="0"/>
        <w:jc w:val="center"/>
        <w:rPr>
          <w:sz w:val="52"/>
        </w:rPr>
      </w:pPr>
    </w:p>
    <w:p>
      <w:pPr>
        <w:widowControl w:val="0"/>
        <w:jc w:val="center"/>
        <w:rPr>
          <w:sz w:val="52"/>
        </w:rPr>
      </w:pPr>
      <w:r>
        <w:rPr>
          <w:rFonts w:hint="eastAsia"/>
          <w:sz w:val="52"/>
        </w:rPr>
        <w:t>义乌市</w:t>
      </w:r>
      <w:r>
        <w:rPr>
          <w:rFonts w:hint="eastAsia"/>
          <w:sz w:val="52"/>
          <w:lang w:val="en-US" w:eastAsia="zh-CN"/>
        </w:rPr>
        <w:t>人民政府城西街道办事处</w:t>
      </w:r>
      <w:r>
        <w:rPr>
          <w:rFonts w:hint="default"/>
          <w:sz w:val="52"/>
          <w:lang w:val="en-US" w:eastAsia="zh-CN"/>
        </w:rPr>
        <w:t>6</w:t>
      </w:r>
      <w:r>
        <w:rPr>
          <w:rFonts w:hint="eastAsia"/>
          <w:sz w:val="52"/>
          <w:lang w:val="en-US" w:eastAsia="zh-CN"/>
        </w:rPr>
        <w:t>个办公区域安保及保洁</w:t>
      </w:r>
      <w:r>
        <w:rPr>
          <w:rFonts w:hint="eastAsia"/>
          <w:sz w:val="52"/>
        </w:rPr>
        <w:t>服务采购项目</w:t>
      </w:r>
    </w:p>
    <w:p>
      <w:pPr>
        <w:widowControl w:val="0"/>
        <w:jc w:val="center"/>
        <w:rPr>
          <w:sz w:val="52"/>
        </w:rPr>
      </w:pPr>
    </w:p>
    <w:p>
      <w:pPr>
        <w:widowControl w:val="0"/>
        <w:rPr>
          <w:sz w:val="52"/>
        </w:rPr>
      </w:pPr>
    </w:p>
    <w:p>
      <w:pPr>
        <w:widowControl w:val="0"/>
        <w:rPr>
          <w:sz w:val="52"/>
        </w:rPr>
      </w:pPr>
    </w:p>
    <w:p>
      <w:pPr>
        <w:widowControl w:val="0"/>
        <w:jc w:val="center"/>
        <w:rPr>
          <w:bCs/>
          <w:sz w:val="72"/>
        </w:rPr>
      </w:pPr>
      <w:r>
        <w:rPr>
          <w:rFonts w:hint="eastAsia"/>
          <w:bCs/>
          <w:sz w:val="72"/>
        </w:rPr>
        <w:t>投标文件</w:t>
      </w:r>
    </w:p>
    <w:p>
      <w:pPr>
        <w:widowControl w:val="0"/>
        <w:jc w:val="center"/>
        <w:rPr>
          <w:bCs/>
          <w:sz w:val="28"/>
        </w:rPr>
      </w:pPr>
      <w:r>
        <w:rPr>
          <w:rFonts w:hint="eastAsia"/>
          <w:bCs/>
          <w:sz w:val="28"/>
        </w:rPr>
        <w:t>采购编号：</w:t>
      </w:r>
      <w:r>
        <w:t>YWCG2025001GK</w:t>
      </w:r>
    </w:p>
    <w:p>
      <w:pPr>
        <w:widowControl w:val="0"/>
        <w:jc w:val="center"/>
        <w:rPr>
          <w:bCs/>
          <w:sz w:val="28"/>
        </w:rPr>
      </w:pPr>
    </w:p>
    <w:p>
      <w:pPr>
        <w:widowControl w:val="0"/>
        <w:jc w:val="center"/>
        <w:rPr>
          <w:bCs/>
          <w:sz w:val="28"/>
        </w:rPr>
      </w:pPr>
    </w:p>
    <w:p>
      <w:pPr>
        <w:widowControl w:val="0"/>
        <w:jc w:val="center"/>
        <w:rPr>
          <w:bCs/>
          <w:sz w:val="28"/>
        </w:rPr>
      </w:pPr>
    </w:p>
    <w:p>
      <w:pPr>
        <w:widowControl w:val="0"/>
        <w:jc w:val="center"/>
        <w:rPr>
          <w:bCs/>
          <w:sz w:val="28"/>
        </w:rPr>
      </w:pPr>
    </w:p>
    <w:p>
      <w:pPr>
        <w:widowControl w:val="0"/>
        <w:jc w:val="center"/>
        <w:rPr>
          <w:bCs/>
          <w:sz w:val="28"/>
        </w:rPr>
      </w:pPr>
    </w:p>
    <w:p>
      <w:pPr>
        <w:widowControl w:val="0"/>
        <w:spacing w:line="900" w:lineRule="exact"/>
        <w:ind w:firstLine="320" w:firstLineChars="100"/>
        <w:rPr>
          <w:sz w:val="32"/>
          <w:u w:val="single"/>
        </w:rPr>
      </w:pPr>
      <w:r>
        <w:rPr>
          <w:rFonts w:hint="eastAsia"/>
          <w:sz w:val="32"/>
        </w:rPr>
        <w:t>投标文件内容：</w:t>
      </w:r>
      <w:r>
        <w:rPr>
          <w:rFonts w:hint="eastAsia"/>
          <w:sz w:val="32"/>
          <w:u w:val="single"/>
        </w:rPr>
        <w:t>（资格、商务技术或报价响应文件）</w:t>
      </w:r>
    </w:p>
    <w:p>
      <w:pPr>
        <w:widowControl w:val="0"/>
        <w:spacing w:line="900" w:lineRule="exact"/>
        <w:ind w:firstLine="313" w:firstLineChars="98"/>
        <w:rPr>
          <w:sz w:val="32"/>
          <w:u w:val="single"/>
        </w:rPr>
      </w:pPr>
      <w:r>
        <w:rPr>
          <w:rFonts w:hint="eastAsia"/>
          <w:sz w:val="32"/>
        </w:rPr>
        <w:t>投标人：</w:t>
      </w:r>
      <w:r>
        <w:rPr>
          <w:rFonts w:hint="eastAsia"/>
          <w:sz w:val="32"/>
          <w:u w:val="single"/>
        </w:rPr>
        <w:t>（电子签章）</w:t>
      </w:r>
    </w:p>
    <w:p>
      <w:pPr>
        <w:widowControl w:val="0"/>
        <w:spacing w:line="900" w:lineRule="exact"/>
        <w:ind w:firstLine="320" w:firstLineChars="100"/>
        <w:rPr>
          <w:sz w:val="32"/>
        </w:rPr>
      </w:pPr>
      <w:r>
        <w:rPr>
          <w:rFonts w:hint="eastAsia"/>
          <w:sz w:val="32"/>
        </w:rPr>
        <w:t>日期：年月日</w:t>
      </w:r>
    </w:p>
    <w:p>
      <w:pPr>
        <w:pStyle w:val="31"/>
        <w:widowControl w:val="0"/>
        <w:spacing w:line="460" w:lineRule="exact"/>
        <w:ind w:left="274" w:leftChars="114"/>
        <w:jc w:val="center"/>
        <w:rPr>
          <w:rFonts w:ascii="Times New Roman" w:hAnsi="Times New Roman" w:cs="Times New Roman"/>
          <w:bCs/>
          <w:sz w:val="36"/>
          <w:szCs w:val="36"/>
        </w:rPr>
      </w:pPr>
    </w:p>
    <w:p>
      <w:pPr>
        <w:pStyle w:val="31"/>
        <w:widowControl w:val="0"/>
        <w:spacing w:line="460" w:lineRule="exact"/>
        <w:ind w:left="274" w:leftChars="114"/>
        <w:jc w:val="center"/>
        <w:rPr>
          <w:rFonts w:ascii="Times New Roman" w:hAnsi="Times New Roman" w:cs="Times New Roman"/>
          <w:bCs/>
          <w:sz w:val="36"/>
          <w:szCs w:val="36"/>
        </w:rPr>
      </w:pPr>
    </w:p>
    <w:p>
      <w:pPr>
        <w:pStyle w:val="31"/>
        <w:widowControl w:val="0"/>
        <w:spacing w:line="460" w:lineRule="exact"/>
        <w:ind w:left="274" w:leftChars="114"/>
        <w:jc w:val="center"/>
        <w:rPr>
          <w:rFonts w:ascii="Times New Roman" w:hAnsi="Times New Roman" w:cs="Times New Roman"/>
          <w:bCs/>
          <w:sz w:val="36"/>
          <w:szCs w:val="36"/>
        </w:rPr>
      </w:pPr>
    </w:p>
    <w:p>
      <w:pPr>
        <w:rPr>
          <w:kern w:val="2"/>
          <w:sz w:val="30"/>
          <w:szCs w:val="30"/>
        </w:rPr>
      </w:pPr>
      <w:r>
        <w:rPr>
          <w:kern w:val="2"/>
          <w:sz w:val="30"/>
          <w:szCs w:val="30"/>
        </w:rPr>
        <w:br w:type="page"/>
      </w:r>
      <w:r>
        <w:rPr>
          <w:kern w:val="2"/>
          <w:sz w:val="30"/>
          <w:szCs w:val="30"/>
        </w:rPr>
        <w:t>1.</w:t>
      </w:r>
    </w:p>
    <w:p>
      <w:pPr>
        <w:pStyle w:val="6"/>
        <w:keepNext w:val="0"/>
        <w:keepLines w:val="0"/>
        <w:widowControl w:val="0"/>
        <w:spacing w:before="0" w:after="0" w:line="240" w:lineRule="auto"/>
        <w:jc w:val="center"/>
        <w:rPr>
          <w:rFonts w:ascii="Times New Roman" w:hAnsi="Times New Roman" w:eastAsia="宋体"/>
          <w:bCs w:val="0"/>
          <w:kern w:val="2"/>
          <w:sz w:val="36"/>
          <w:szCs w:val="36"/>
        </w:rPr>
      </w:pPr>
      <w:r>
        <w:rPr>
          <w:rFonts w:hint="eastAsia" w:ascii="Times New Roman" w:hAnsi="Times New Roman" w:eastAsia="宋体"/>
          <w:bCs w:val="0"/>
          <w:kern w:val="2"/>
          <w:sz w:val="36"/>
          <w:szCs w:val="36"/>
        </w:rPr>
        <w:t>义乌市政府采购项目投标承诺书</w:t>
      </w:r>
    </w:p>
    <w:p>
      <w:pPr>
        <w:pStyle w:val="31"/>
        <w:widowControl w:val="0"/>
        <w:spacing w:line="360" w:lineRule="exact"/>
        <w:rPr>
          <w:rFonts w:ascii="Times New Roman" w:hAnsi="Times New Roman" w:cs="Times New Roman"/>
          <w:u w:val="single"/>
        </w:rPr>
      </w:pPr>
      <w:r>
        <w:rPr>
          <w:rFonts w:hint="eastAsia" w:ascii="Times New Roman" w:hAnsi="Times New Roman" w:cs="Times New Roman"/>
        </w:rPr>
        <w:t>致：</w:t>
      </w:r>
      <w:r>
        <w:rPr>
          <w:rFonts w:hint="eastAsia" w:ascii="Times New Roman" w:hAnsi="Times New Roman" w:cs="Times New Roman"/>
          <w:u w:val="single"/>
        </w:rPr>
        <w:t>义乌市</w:t>
      </w:r>
      <w:r>
        <w:rPr>
          <w:rFonts w:hint="eastAsia" w:ascii="Times New Roman" w:hAnsi="Times New Roman" w:cs="Times New Roman"/>
          <w:u w:val="single"/>
          <w:lang w:val="en-US" w:eastAsia="zh-CN"/>
        </w:rPr>
        <w:t>人民政府城西街道办事处</w:t>
      </w:r>
      <w:r>
        <w:rPr>
          <w:rFonts w:hint="eastAsia" w:ascii="Times New Roman" w:hAnsi="Times New Roman" w:cs="Times New Roman"/>
          <w:u w:val="single"/>
        </w:rPr>
        <w:t>和义乌市政府采购中心</w:t>
      </w:r>
    </w:p>
    <w:p>
      <w:pPr>
        <w:widowControl w:val="0"/>
        <w:tabs>
          <w:tab w:val="left" w:pos="8820"/>
        </w:tabs>
        <w:spacing w:line="360" w:lineRule="exact"/>
        <w:ind w:firstLine="420" w:firstLineChars="200"/>
        <w:rPr>
          <w:sz w:val="21"/>
          <w:szCs w:val="21"/>
        </w:rPr>
      </w:pPr>
      <w:r>
        <w:rPr>
          <w:sz w:val="21"/>
          <w:szCs w:val="21"/>
        </w:rPr>
        <w:t>1</w:t>
      </w:r>
      <w:r>
        <w:rPr>
          <w:rFonts w:hint="eastAsia"/>
          <w:sz w:val="21"/>
          <w:szCs w:val="21"/>
        </w:rPr>
        <w:t>、我方已认真阅读了</w:t>
      </w:r>
      <w:r>
        <w:rPr>
          <w:rFonts w:hint="eastAsia" w:ascii="Times New Roman" w:hAnsi="Times New Roman" w:eastAsia="宋体" w:cs="Times New Roman"/>
          <w:kern w:val="2"/>
          <w:sz w:val="21"/>
          <w:szCs w:val="21"/>
          <w:u w:val="single"/>
          <w:lang w:val="en-US" w:eastAsia="zh-CN" w:bidi="ar-SA"/>
        </w:rPr>
        <w:t>义乌市人民政府城西街道办事处</w:t>
      </w:r>
      <w:r>
        <w:rPr>
          <w:rFonts w:hint="default" w:ascii="Times New Roman" w:hAnsi="Times New Roman" w:eastAsia="宋体" w:cs="Times New Roman"/>
          <w:kern w:val="2"/>
          <w:sz w:val="21"/>
          <w:szCs w:val="21"/>
          <w:u w:val="single"/>
          <w:lang w:val="en-US" w:eastAsia="zh-CN" w:bidi="ar-SA"/>
        </w:rPr>
        <w:t>6</w:t>
      </w:r>
      <w:r>
        <w:rPr>
          <w:rFonts w:hint="eastAsia" w:ascii="Times New Roman" w:hAnsi="Times New Roman" w:eastAsia="宋体" w:cs="Times New Roman"/>
          <w:kern w:val="2"/>
          <w:sz w:val="21"/>
          <w:szCs w:val="21"/>
          <w:u w:val="single"/>
          <w:lang w:val="en-US" w:eastAsia="zh-CN" w:bidi="ar-SA"/>
        </w:rPr>
        <w:t>个办公区域安保及保洁服务采购项目</w:t>
      </w:r>
      <w:r>
        <w:rPr>
          <w:rFonts w:hint="eastAsia"/>
          <w:sz w:val="21"/>
          <w:szCs w:val="21"/>
          <w:u w:val="single"/>
        </w:rPr>
        <w:t>（采购编号：</w:t>
      </w:r>
      <w:r>
        <w:rPr>
          <w:sz w:val="21"/>
          <w:szCs w:val="21"/>
          <w:u w:val="single"/>
        </w:rPr>
        <w:t>YWCG2025001GK</w:t>
      </w:r>
      <w:r>
        <w:rPr>
          <w:rFonts w:hint="eastAsia"/>
          <w:sz w:val="21"/>
          <w:szCs w:val="21"/>
          <w:u w:val="single"/>
        </w:rPr>
        <w:t>）</w:t>
      </w:r>
      <w:r>
        <w:rPr>
          <w:rFonts w:hint="eastAsia"/>
          <w:sz w:val="21"/>
          <w:szCs w:val="21"/>
        </w:rPr>
        <w:t>招标文件、技术要求、图纸、招标补充（答疑）文件及相关资料，对其全部内容和要求有实质性了解，并对这些内容表示理解且无任何异议，接受其全部内容及要求，承诺我方的投标文件已经完全响应并符合其全部条件和要求，愿意参加投标并愿意中标。</w:t>
      </w:r>
    </w:p>
    <w:p>
      <w:pPr>
        <w:widowControl w:val="0"/>
        <w:tabs>
          <w:tab w:val="left" w:pos="8820"/>
        </w:tabs>
        <w:spacing w:line="360" w:lineRule="exact"/>
        <w:ind w:firstLine="420" w:firstLineChars="200"/>
        <w:rPr>
          <w:sz w:val="21"/>
          <w:szCs w:val="21"/>
        </w:rPr>
      </w:pPr>
      <w:r>
        <w:rPr>
          <w:sz w:val="21"/>
          <w:szCs w:val="21"/>
        </w:rPr>
        <w:t>2</w:t>
      </w:r>
      <w:r>
        <w:rPr>
          <w:rFonts w:hint="eastAsia"/>
          <w:sz w:val="21"/>
          <w:szCs w:val="21"/>
        </w:rPr>
        <w:t>、自愿接受义乌市财政局的管理，并严格遵守义乌市财政局制定的招投标管理制度、规范和纪律。</w:t>
      </w:r>
    </w:p>
    <w:p>
      <w:pPr>
        <w:widowControl w:val="0"/>
        <w:tabs>
          <w:tab w:val="left" w:pos="8820"/>
        </w:tabs>
        <w:spacing w:line="360" w:lineRule="exact"/>
        <w:ind w:firstLine="420" w:firstLineChars="200"/>
        <w:rPr>
          <w:sz w:val="21"/>
          <w:szCs w:val="21"/>
        </w:rPr>
      </w:pPr>
      <w:r>
        <w:rPr>
          <w:sz w:val="21"/>
          <w:szCs w:val="21"/>
        </w:rPr>
        <w:t>3</w:t>
      </w:r>
      <w:r>
        <w:rPr>
          <w:rFonts w:hint="eastAsia"/>
          <w:sz w:val="21"/>
          <w:szCs w:val="21"/>
        </w:rPr>
        <w:t>、我方承诺参与本次投标的资格符合《中华人民共和国政府采购法》的规定，并承诺近三年内，在经营活动中没有重大违法记录。我方承诺财务状况良好，并已依法按时缴纳税收和社会保障资金。我方承诺具备履行本项目合同所必需的设备和专业技术能力。如我方中标，我方承诺不转包和不违反招标规定分包该项目。</w:t>
      </w:r>
    </w:p>
    <w:p>
      <w:pPr>
        <w:widowControl w:val="0"/>
        <w:tabs>
          <w:tab w:val="left" w:pos="8820"/>
        </w:tabs>
        <w:spacing w:line="360" w:lineRule="exact"/>
        <w:ind w:firstLine="420" w:firstLineChars="200"/>
        <w:rPr>
          <w:sz w:val="21"/>
          <w:szCs w:val="21"/>
        </w:rPr>
      </w:pPr>
      <w:r>
        <w:rPr>
          <w:sz w:val="21"/>
          <w:szCs w:val="21"/>
        </w:rPr>
        <w:t>4</w:t>
      </w:r>
      <w:r>
        <w:rPr>
          <w:rFonts w:hint="eastAsia"/>
          <w:sz w:val="21"/>
          <w:szCs w:val="21"/>
        </w:rPr>
        <w:t>、积极主动配合义乌市财政局的调查。及时、如实、全面地回答义乌市财政局提出的问题，并在调查笔录中签字确认。如拒绝签字确认的，则视为我方及有关工作人员认可调查笔录中的全部内容，并对最终的调查结果无任何异议，且自愿放弃一切救济途径。</w:t>
      </w:r>
    </w:p>
    <w:p>
      <w:pPr>
        <w:widowControl w:val="0"/>
        <w:tabs>
          <w:tab w:val="left" w:pos="8820"/>
        </w:tabs>
        <w:spacing w:line="360" w:lineRule="exact"/>
        <w:ind w:firstLine="420" w:firstLineChars="200"/>
        <w:rPr>
          <w:sz w:val="21"/>
          <w:szCs w:val="21"/>
        </w:rPr>
      </w:pPr>
      <w:r>
        <w:rPr>
          <w:sz w:val="21"/>
          <w:szCs w:val="21"/>
        </w:rPr>
        <w:t>5</w:t>
      </w:r>
      <w:r>
        <w:rPr>
          <w:rFonts w:hint="eastAsia"/>
          <w:sz w:val="21"/>
          <w:szCs w:val="21"/>
        </w:rPr>
        <w:t>、不转让、出借、涂改、伪造资质（资格）证书或者以其他方式允许其他单位（个人）以我方（本人）名义承接业务。</w:t>
      </w:r>
    </w:p>
    <w:p>
      <w:pPr>
        <w:widowControl w:val="0"/>
        <w:tabs>
          <w:tab w:val="left" w:pos="8820"/>
        </w:tabs>
        <w:spacing w:line="360" w:lineRule="exact"/>
        <w:ind w:firstLine="420" w:firstLineChars="200"/>
        <w:rPr>
          <w:sz w:val="21"/>
          <w:szCs w:val="21"/>
        </w:rPr>
      </w:pPr>
      <w:r>
        <w:rPr>
          <w:sz w:val="21"/>
          <w:szCs w:val="21"/>
        </w:rPr>
        <w:t>6</w:t>
      </w:r>
      <w:r>
        <w:rPr>
          <w:rFonts w:hint="eastAsia"/>
          <w:sz w:val="21"/>
          <w:szCs w:val="21"/>
        </w:rPr>
        <w:t>、不与采购人或者其他投标人相互串通投标，围标，不以行贿等不正当手段谋取中标。</w:t>
      </w:r>
    </w:p>
    <w:p>
      <w:pPr>
        <w:widowControl w:val="0"/>
        <w:tabs>
          <w:tab w:val="left" w:pos="8820"/>
        </w:tabs>
        <w:spacing w:line="360" w:lineRule="exact"/>
        <w:ind w:firstLine="420" w:firstLineChars="200"/>
        <w:rPr>
          <w:sz w:val="21"/>
          <w:szCs w:val="21"/>
        </w:rPr>
      </w:pPr>
      <w:r>
        <w:rPr>
          <w:sz w:val="21"/>
          <w:szCs w:val="21"/>
        </w:rPr>
        <w:t>7</w:t>
      </w:r>
      <w:r>
        <w:rPr>
          <w:rFonts w:hint="eastAsia"/>
          <w:sz w:val="21"/>
          <w:szCs w:val="21"/>
        </w:rPr>
        <w:t>、在招标、投标、开标、评标、询标、中标、签订合同等招投标预备和进行的全过程中提供的资料均真实、有效，不弄虚作假。</w:t>
      </w:r>
    </w:p>
    <w:p>
      <w:pPr>
        <w:widowControl w:val="0"/>
        <w:tabs>
          <w:tab w:val="left" w:pos="8820"/>
        </w:tabs>
        <w:spacing w:line="360" w:lineRule="exact"/>
        <w:ind w:firstLine="420" w:firstLineChars="200"/>
        <w:rPr>
          <w:sz w:val="21"/>
          <w:szCs w:val="21"/>
        </w:rPr>
      </w:pPr>
      <w:r>
        <w:rPr>
          <w:sz w:val="21"/>
          <w:szCs w:val="21"/>
        </w:rPr>
        <w:t>8</w:t>
      </w:r>
      <w:r>
        <w:rPr>
          <w:rFonts w:hint="eastAsia"/>
          <w:sz w:val="21"/>
          <w:szCs w:val="21"/>
        </w:rPr>
        <w:t>、我方已详细审核全部招标文件，包括更正文件（若有），及有关附件，我方同意放弃提出含糊不清或误解的权利。</w:t>
      </w:r>
    </w:p>
    <w:p>
      <w:pPr>
        <w:widowControl w:val="0"/>
        <w:tabs>
          <w:tab w:val="left" w:pos="8820"/>
        </w:tabs>
        <w:spacing w:line="360" w:lineRule="exact"/>
        <w:ind w:firstLine="420" w:firstLineChars="200"/>
        <w:rPr>
          <w:sz w:val="21"/>
          <w:szCs w:val="21"/>
        </w:rPr>
      </w:pPr>
      <w:r>
        <w:rPr>
          <w:sz w:val="21"/>
          <w:szCs w:val="21"/>
        </w:rPr>
        <w:t>9.</w:t>
      </w:r>
      <w:r>
        <w:rPr>
          <w:rFonts w:hint="eastAsia"/>
          <w:sz w:val="21"/>
          <w:szCs w:val="21"/>
        </w:rPr>
        <w:t>投标文件中未明确的内容一律按招标文件规定执行。</w:t>
      </w:r>
    </w:p>
    <w:p>
      <w:pPr>
        <w:widowControl w:val="0"/>
        <w:tabs>
          <w:tab w:val="left" w:pos="8820"/>
        </w:tabs>
        <w:spacing w:line="360" w:lineRule="exact"/>
        <w:ind w:firstLine="420" w:firstLineChars="200"/>
        <w:rPr>
          <w:sz w:val="21"/>
          <w:szCs w:val="21"/>
        </w:rPr>
      </w:pPr>
      <w:r>
        <w:rPr>
          <w:sz w:val="21"/>
          <w:szCs w:val="21"/>
        </w:rPr>
        <w:t>10</w:t>
      </w:r>
      <w:r>
        <w:rPr>
          <w:rFonts w:hint="eastAsia"/>
          <w:sz w:val="21"/>
          <w:szCs w:val="21"/>
        </w:rPr>
        <w:t>、我方同意招标文件要求的投标有效期，如我方中标，我方将受此约束。</w:t>
      </w:r>
    </w:p>
    <w:p>
      <w:pPr>
        <w:widowControl w:val="0"/>
        <w:tabs>
          <w:tab w:val="left" w:pos="8820"/>
        </w:tabs>
        <w:spacing w:line="360" w:lineRule="exact"/>
        <w:ind w:firstLine="420" w:firstLineChars="200"/>
        <w:rPr>
          <w:sz w:val="21"/>
          <w:szCs w:val="21"/>
        </w:rPr>
      </w:pPr>
      <w:r>
        <w:rPr>
          <w:sz w:val="21"/>
          <w:szCs w:val="21"/>
        </w:rPr>
        <w:t>11</w:t>
      </w:r>
      <w:r>
        <w:rPr>
          <w:rFonts w:hint="eastAsia"/>
          <w:sz w:val="21"/>
          <w:szCs w:val="21"/>
        </w:rPr>
        <w:t>、我方相信贵方的招标结果是公正、合法的，无论我方中标还是落标，我方将接受这一结果。</w:t>
      </w:r>
    </w:p>
    <w:p>
      <w:pPr>
        <w:widowControl w:val="0"/>
        <w:tabs>
          <w:tab w:val="left" w:pos="8820"/>
        </w:tabs>
        <w:spacing w:line="360" w:lineRule="exact"/>
        <w:ind w:firstLine="420" w:firstLineChars="200"/>
        <w:rPr>
          <w:sz w:val="21"/>
          <w:szCs w:val="21"/>
        </w:rPr>
      </w:pPr>
      <w:r>
        <w:rPr>
          <w:sz w:val="21"/>
          <w:szCs w:val="21"/>
        </w:rPr>
        <w:t>12</w:t>
      </w:r>
      <w:r>
        <w:rPr>
          <w:rFonts w:hint="eastAsia"/>
          <w:sz w:val="21"/>
          <w:szCs w:val="21"/>
        </w:rPr>
        <w:t>、一旦我方中标，我方将严格依照招标文件和投标文件的规定与采购人签订合同。</w:t>
      </w:r>
    </w:p>
    <w:p>
      <w:pPr>
        <w:widowControl w:val="0"/>
        <w:tabs>
          <w:tab w:val="left" w:pos="8820"/>
        </w:tabs>
        <w:spacing w:line="360" w:lineRule="exact"/>
        <w:ind w:firstLine="420" w:firstLineChars="200"/>
        <w:rPr>
          <w:sz w:val="21"/>
          <w:szCs w:val="21"/>
        </w:rPr>
      </w:pPr>
      <w:r>
        <w:rPr>
          <w:sz w:val="21"/>
          <w:szCs w:val="21"/>
        </w:rPr>
        <w:t>13</w:t>
      </w:r>
      <w:r>
        <w:rPr>
          <w:rFonts w:hint="eastAsia"/>
          <w:sz w:val="21"/>
          <w:szCs w:val="21"/>
        </w:rPr>
        <w:t>、不低于企业成本价投标，不恶意过高报价，不扰乱招投标的正常秩序。</w:t>
      </w:r>
    </w:p>
    <w:p>
      <w:pPr>
        <w:widowControl w:val="0"/>
        <w:tabs>
          <w:tab w:val="left" w:pos="8820"/>
        </w:tabs>
        <w:spacing w:line="360" w:lineRule="exact"/>
        <w:ind w:firstLine="420" w:firstLineChars="200"/>
        <w:rPr>
          <w:sz w:val="21"/>
          <w:szCs w:val="21"/>
        </w:rPr>
      </w:pPr>
      <w:r>
        <w:rPr>
          <w:sz w:val="21"/>
          <w:szCs w:val="21"/>
        </w:rPr>
        <w:t>14</w:t>
      </w:r>
      <w:r>
        <w:rPr>
          <w:rFonts w:hint="eastAsia"/>
          <w:sz w:val="21"/>
          <w:szCs w:val="21"/>
        </w:rPr>
        <w:t>、严格遵守开标纪律，不在开标现场吵闹、滋事，服从工作人员指挥。</w:t>
      </w:r>
    </w:p>
    <w:p>
      <w:pPr>
        <w:widowControl w:val="0"/>
        <w:tabs>
          <w:tab w:val="left" w:pos="8820"/>
        </w:tabs>
        <w:spacing w:line="360" w:lineRule="exact"/>
        <w:ind w:firstLine="420" w:firstLineChars="200"/>
        <w:rPr>
          <w:sz w:val="21"/>
          <w:szCs w:val="21"/>
        </w:rPr>
      </w:pPr>
      <w:r>
        <w:rPr>
          <w:sz w:val="21"/>
          <w:szCs w:val="21"/>
        </w:rPr>
        <w:t>15</w:t>
      </w:r>
      <w:r>
        <w:rPr>
          <w:rFonts w:hint="eastAsia"/>
          <w:sz w:val="21"/>
          <w:szCs w:val="21"/>
        </w:rPr>
        <w:t>、按照法律法规和本项目招标文件规定的程序和方式进行异议和投诉，不越级投诉，不无理投诉。如捏造事实、伪造材料或者以非法手段取得材料进行投诉，给他人造成损失的，依法承担赔偿责任。</w:t>
      </w:r>
    </w:p>
    <w:p>
      <w:pPr>
        <w:widowControl w:val="0"/>
        <w:spacing w:line="380" w:lineRule="exact"/>
        <w:ind w:firstLine="422" w:firstLineChars="200"/>
        <w:rPr>
          <w:sz w:val="21"/>
          <w:szCs w:val="21"/>
        </w:rPr>
      </w:pPr>
      <w:r>
        <w:rPr>
          <w:b/>
          <w:sz w:val="21"/>
          <w:szCs w:val="21"/>
        </w:rPr>
        <w:t>16</w:t>
      </w:r>
      <w:r>
        <w:rPr>
          <w:rFonts w:hint="eastAsia"/>
          <w:b/>
          <w:sz w:val="21"/>
          <w:szCs w:val="21"/>
        </w:rPr>
        <w:t>、指定我方人员（姓名：</w:t>
      </w:r>
      <w:r>
        <w:rPr>
          <w:b/>
          <w:sz w:val="21"/>
          <w:szCs w:val="21"/>
        </w:rPr>
        <w:t xml:space="preserve"> _____________ </w:t>
      </w:r>
      <w:r>
        <w:rPr>
          <w:rFonts w:hint="eastAsia"/>
          <w:b/>
          <w:sz w:val="21"/>
          <w:szCs w:val="21"/>
        </w:rPr>
        <w:t>身份证号码：</w:t>
      </w:r>
      <w:r>
        <w:rPr>
          <w:b/>
          <w:sz w:val="21"/>
          <w:szCs w:val="21"/>
        </w:rPr>
        <w:t>___________</w:t>
      </w:r>
      <w:r>
        <w:rPr>
          <w:rFonts w:hint="eastAsia"/>
          <w:b/>
          <w:sz w:val="21"/>
          <w:szCs w:val="21"/>
        </w:rPr>
        <w:t>联系电话：</w:t>
      </w:r>
      <w:r>
        <w:rPr>
          <w:b/>
          <w:sz w:val="21"/>
          <w:szCs w:val="21"/>
        </w:rPr>
        <w:t>_____________</w:t>
      </w:r>
      <w:r>
        <w:rPr>
          <w:rFonts w:hint="eastAsia"/>
          <w:b/>
          <w:sz w:val="21"/>
          <w:szCs w:val="21"/>
        </w:rPr>
        <w:t>）全权代表我方联系和协调处理投标过程中的有关事项。</w:t>
      </w:r>
    </w:p>
    <w:p>
      <w:pPr>
        <w:widowControl w:val="0"/>
        <w:tabs>
          <w:tab w:val="left" w:pos="8820"/>
        </w:tabs>
        <w:spacing w:line="360" w:lineRule="exact"/>
        <w:ind w:firstLine="420" w:firstLineChars="200"/>
        <w:rPr>
          <w:sz w:val="21"/>
          <w:szCs w:val="21"/>
        </w:rPr>
      </w:pPr>
      <w:r>
        <w:rPr>
          <w:rFonts w:hint="eastAsia"/>
          <w:sz w:val="21"/>
          <w:szCs w:val="21"/>
        </w:rPr>
        <w:t>上述承诺事项已认真逐项核对，均表达我方真实意见，愿承担任何责任。若有任何弄虚作假内容或未遵守上述约定的，经查实后，愿意放弃投标及中标资格，如由此给采购人造成损失的，我方愿意承担赔偿责任。如我方违反上述承诺事项，无条件接受义乌市财政局或相关监管部门作出的任何管理和处理决定，并自愿承担一切不利的后果。</w:t>
      </w:r>
    </w:p>
    <w:p>
      <w:pPr>
        <w:widowControl w:val="0"/>
        <w:spacing w:line="360" w:lineRule="exact"/>
        <w:rPr>
          <w:sz w:val="21"/>
          <w:szCs w:val="21"/>
        </w:rPr>
      </w:pPr>
      <w:r>
        <w:rPr>
          <w:rFonts w:hint="eastAsia"/>
          <w:sz w:val="21"/>
          <w:szCs w:val="21"/>
        </w:rPr>
        <w:t>投标人（电子签章）：</w:t>
      </w:r>
      <w:r>
        <w:rPr>
          <w:rFonts w:hint="default"/>
          <w:sz w:val="21"/>
          <w:szCs w:val="21"/>
          <w:u w:val="single"/>
          <w:lang w:val="en-US"/>
        </w:rPr>
        <w:t xml:space="preserve">         </w:t>
      </w:r>
      <w:r>
        <w:rPr>
          <w:rFonts w:hint="default"/>
          <w:sz w:val="21"/>
          <w:szCs w:val="21"/>
          <w:lang w:val="en-US"/>
        </w:rPr>
        <w:t xml:space="preserve">                                   </w:t>
      </w:r>
      <w:r>
        <w:rPr>
          <w:rFonts w:hint="eastAsia"/>
          <w:sz w:val="21"/>
          <w:szCs w:val="21"/>
        </w:rPr>
        <w:t>年</w:t>
      </w:r>
      <w:r>
        <w:rPr>
          <w:rFonts w:hint="default"/>
          <w:sz w:val="21"/>
          <w:szCs w:val="21"/>
          <w:lang w:val="en-US"/>
        </w:rPr>
        <w:t xml:space="preserve">   </w:t>
      </w:r>
      <w:r>
        <w:rPr>
          <w:rFonts w:hint="eastAsia"/>
          <w:sz w:val="21"/>
          <w:szCs w:val="21"/>
        </w:rPr>
        <w:t>月</w:t>
      </w:r>
      <w:r>
        <w:rPr>
          <w:rFonts w:hint="default"/>
          <w:sz w:val="21"/>
          <w:szCs w:val="21"/>
          <w:lang w:val="en-US"/>
        </w:rPr>
        <w:t xml:space="preserve">    </w:t>
      </w:r>
      <w:r>
        <w:rPr>
          <w:rFonts w:hint="eastAsia"/>
          <w:sz w:val="21"/>
          <w:szCs w:val="21"/>
        </w:rPr>
        <w:t>日</w:t>
      </w:r>
    </w:p>
    <w:p>
      <w:pPr>
        <w:widowControl w:val="0"/>
        <w:spacing w:line="400" w:lineRule="exact"/>
        <w:rPr>
          <w:kern w:val="2"/>
          <w:sz w:val="30"/>
          <w:szCs w:val="30"/>
        </w:rPr>
      </w:pPr>
      <w:r>
        <w:rPr>
          <w:bCs/>
          <w:sz w:val="36"/>
          <w:szCs w:val="36"/>
        </w:rPr>
        <w:t>2.</w:t>
      </w:r>
    </w:p>
    <w:p>
      <w:pPr>
        <w:pStyle w:val="6"/>
        <w:keepNext w:val="0"/>
        <w:keepLines w:val="0"/>
        <w:widowControl w:val="0"/>
        <w:spacing w:before="0" w:after="0" w:line="240" w:lineRule="auto"/>
        <w:jc w:val="center"/>
        <w:rPr>
          <w:rFonts w:ascii="Times New Roman" w:hAnsi="Times New Roman" w:eastAsia="宋体"/>
          <w:sz w:val="36"/>
          <w:szCs w:val="36"/>
        </w:rPr>
      </w:pPr>
      <w:r>
        <w:rPr>
          <w:rFonts w:hint="eastAsia" w:ascii="Times New Roman" w:hAnsi="Times New Roman" w:eastAsia="宋体"/>
          <w:sz w:val="36"/>
          <w:szCs w:val="36"/>
        </w:rPr>
        <w:t>中小企业声明函（工程、服务）</w:t>
      </w:r>
    </w:p>
    <w:p>
      <w:pPr>
        <w:widowControl w:val="0"/>
        <w:snapToGrid w:val="0"/>
        <w:spacing w:line="360" w:lineRule="auto"/>
        <w:ind w:firstLine="560" w:firstLineChars="200"/>
        <w:rPr>
          <w:sz w:val="28"/>
          <w:szCs w:val="28"/>
        </w:rPr>
      </w:pPr>
    </w:p>
    <w:p>
      <w:pPr>
        <w:widowControl w:val="0"/>
        <w:snapToGrid w:val="0"/>
        <w:spacing w:line="360" w:lineRule="auto"/>
        <w:ind w:firstLine="560" w:firstLineChars="200"/>
        <w:rPr>
          <w:sz w:val="28"/>
          <w:szCs w:val="28"/>
        </w:rPr>
      </w:pPr>
      <w:r>
        <w:rPr>
          <w:rFonts w:hint="eastAsia"/>
          <w:sz w:val="28"/>
          <w:szCs w:val="28"/>
        </w:rPr>
        <w:t>本公司（联合体）郑重声明，根据《政府采购促进中小企业发展管理办法》（财库﹝</w:t>
      </w:r>
      <w:r>
        <w:rPr>
          <w:sz w:val="28"/>
          <w:szCs w:val="28"/>
        </w:rPr>
        <w:t>2020</w:t>
      </w:r>
      <w:r>
        <w:rPr>
          <w:rFonts w:hint="eastAsia"/>
          <w:sz w:val="28"/>
          <w:szCs w:val="28"/>
        </w:rPr>
        <w:t>﹞</w:t>
      </w:r>
      <w:r>
        <w:rPr>
          <w:sz w:val="28"/>
          <w:szCs w:val="28"/>
        </w:rPr>
        <w:t>46</w:t>
      </w:r>
      <w:r>
        <w:rPr>
          <w:rFonts w:hint="eastAsia"/>
          <w:sz w:val="28"/>
          <w:szCs w:val="28"/>
        </w:rPr>
        <w:t>号）的规定，本公司（联合体）参加</w:t>
      </w:r>
      <w:r>
        <w:rPr>
          <w:rFonts w:hint="eastAsia"/>
          <w:i/>
          <w:iCs/>
          <w:sz w:val="28"/>
          <w:szCs w:val="28"/>
          <w:u w:val="single"/>
        </w:rPr>
        <w:t>（单位名称）</w:t>
      </w:r>
      <w:r>
        <w:rPr>
          <w:rFonts w:hint="eastAsia"/>
          <w:sz w:val="28"/>
          <w:szCs w:val="28"/>
        </w:rPr>
        <w:t>的</w:t>
      </w:r>
      <w:r>
        <w:rPr>
          <w:rFonts w:hint="eastAsia"/>
          <w:i/>
          <w:iCs/>
          <w:sz w:val="28"/>
          <w:szCs w:val="28"/>
          <w:u w:val="single"/>
        </w:rPr>
        <w:t>（项目名称）</w:t>
      </w:r>
      <w:r>
        <w:rPr>
          <w:rFonts w:hint="eastAsia"/>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widowControl w:val="0"/>
        <w:snapToGrid w:val="0"/>
        <w:spacing w:line="360" w:lineRule="auto"/>
        <w:ind w:firstLine="560" w:firstLineChars="200"/>
        <w:rPr>
          <w:sz w:val="28"/>
          <w:szCs w:val="28"/>
        </w:rPr>
      </w:pPr>
      <w:r>
        <w:rPr>
          <w:sz w:val="28"/>
          <w:szCs w:val="28"/>
        </w:rPr>
        <w:t>1.</w:t>
      </w:r>
      <w:r>
        <w:rPr>
          <w:rFonts w:hint="eastAsia"/>
          <w:i/>
          <w:iCs/>
          <w:sz w:val="28"/>
          <w:szCs w:val="28"/>
          <w:u w:val="single"/>
        </w:rPr>
        <w:t>（标的名称）</w:t>
      </w:r>
      <w:r>
        <w:rPr>
          <w:rFonts w:hint="eastAsia"/>
          <w:sz w:val="28"/>
          <w:szCs w:val="28"/>
        </w:rPr>
        <w:t>，属于</w:t>
      </w:r>
      <w:r>
        <w:rPr>
          <w:rFonts w:hint="eastAsia"/>
          <w:i/>
          <w:iCs/>
          <w:sz w:val="28"/>
          <w:szCs w:val="28"/>
          <w:u w:val="single"/>
        </w:rPr>
        <w:t>（采购文件中明确的所属行业）</w:t>
      </w:r>
      <w:r>
        <w:rPr>
          <w:rFonts w:hint="eastAsia"/>
          <w:sz w:val="28"/>
          <w:szCs w:val="28"/>
        </w:rPr>
        <w:t>；承建（承接）企业为</w:t>
      </w:r>
      <w:r>
        <w:rPr>
          <w:rFonts w:hint="eastAsia"/>
          <w:i/>
          <w:iCs/>
          <w:sz w:val="28"/>
          <w:szCs w:val="28"/>
          <w:u w:val="single"/>
        </w:rPr>
        <w:t>（企业名称）</w:t>
      </w:r>
      <w:r>
        <w:rPr>
          <w:rFonts w:hint="eastAsia"/>
          <w:sz w:val="28"/>
          <w:szCs w:val="28"/>
        </w:rPr>
        <w:t>，从业人员</w:t>
      </w:r>
      <w:r>
        <w:rPr>
          <w:sz w:val="28"/>
          <w:szCs w:val="28"/>
        </w:rPr>
        <w:t>______</w:t>
      </w:r>
      <w:r>
        <w:rPr>
          <w:rFonts w:hint="eastAsia"/>
          <w:sz w:val="28"/>
          <w:szCs w:val="28"/>
        </w:rPr>
        <w:t>人，营业收入为</w:t>
      </w:r>
      <w:r>
        <w:rPr>
          <w:sz w:val="28"/>
          <w:szCs w:val="28"/>
        </w:rPr>
        <w:t>______</w:t>
      </w:r>
      <w:r>
        <w:rPr>
          <w:rFonts w:hint="eastAsia"/>
          <w:sz w:val="28"/>
          <w:szCs w:val="28"/>
        </w:rPr>
        <w:t>万元，资产总额为</w:t>
      </w:r>
      <w:r>
        <w:rPr>
          <w:sz w:val="28"/>
          <w:szCs w:val="28"/>
        </w:rPr>
        <w:t>______</w:t>
      </w:r>
      <w:r>
        <w:rPr>
          <w:rFonts w:hint="eastAsia"/>
          <w:sz w:val="28"/>
          <w:szCs w:val="28"/>
        </w:rPr>
        <w:t>万元，属于</w:t>
      </w:r>
      <w:r>
        <w:rPr>
          <w:rFonts w:hint="eastAsia"/>
          <w:i/>
          <w:iCs/>
          <w:sz w:val="28"/>
          <w:szCs w:val="28"/>
          <w:u w:val="single"/>
        </w:rPr>
        <w:t>（中型企业、小型企业、微型企业）</w:t>
      </w:r>
      <w:r>
        <w:rPr>
          <w:rFonts w:hint="eastAsia"/>
          <w:sz w:val="28"/>
          <w:szCs w:val="28"/>
        </w:rPr>
        <w:t>；</w:t>
      </w:r>
    </w:p>
    <w:p>
      <w:pPr>
        <w:widowControl w:val="0"/>
        <w:snapToGrid w:val="0"/>
        <w:spacing w:line="360" w:lineRule="auto"/>
        <w:ind w:firstLine="560" w:firstLineChars="200"/>
      </w:pPr>
      <w:r>
        <w:rPr>
          <w:sz w:val="28"/>
          <w:szCs w:val="28"/>
        </w:rPr>
        <w:t>2.</w:t>
      </w:r>
      <w:r>
        <w:rPr>
          <w:rFonts w:hint="eastAsia"/>
          <w:i/>
          <w:iCs/>
          <w:sz w:val="28"/>
          <w:szCs w:val="28"/>
          <w:u w:val="single"/>
        </w:rPr>
        <w:t>（标的名称）</w:t>
      </w:r>
      <w:r>
        <w:rPr>
          <w:rFonts w:hint="eastAsia"/>
          <w:sz w:val="28"/>
          <w:szCs w:val="28"/>
        </w:rPr>
        <w:t>，属于</w:t>
      </w:r>
      <w:r>
        <w:rPr>
          <w:rFonts w:hint="eastAsia"/>
          <w:i/>
          <w:iCs/>
          <w:sz w:val="28"/>
          <w:szCs w:val="28"/>
          <w:u w:val="single"/>
        </w:rPr>
        <w:t>（采购文件中明确的所属行业）</w:t>
      </w:r>
      <w:r>
        <w:rPr>
          <w:rFonts w:hint="eastAsia"/>
          <w:sz w:val="28"/>
          <w:szCs w:val="28"/>
        </w:rPr>
        <w:t>；承建（承接）企业为</w:t>
      </w:r>
      <w:r>
        <w:rPr>
          <w:rFonts w:hint="eastAsia"/>
          <w:i/>
          <w:iCs/>
          <w:sz w:val="28"/>
          <w:szCs w:val="28"/>
          <w:u w:val="single"/>
        </w:rPr>
        <w:t>（企业名称）</w:t>
      </w:r>
      <w:r>
        <w:rPr>
          <w:rFonts w:hint="eastAsia"/>
          <w:sz w:val="28"/>
          <w:szCs w:val="28"/>
        </w:rPr>
        <w:t>，从业人员</w:t>
      </w:r>
      <w:r>
        <w:rPr>
          <w:sz w:val="28"/>
          <w:szCs w:val="28"/>
        </w:rPr>
        <w:t>______</w:t>
      </w:r>
      <w:r>
        <w:rPr>
          <w:rFonts w:hint="eastAsia"/>
          <w:sz w:val="28"/>
          <w:szCs w:val="28"/>
        </w:rPr>
        <w:t>人，营业收入为</w:t>
      </w:r>
      <w:r>
        <w:rPr>
          <w:sz w:val="28"/>
          <w:szCs w:val="28"/>
        </w:rPr>
        <w:t>______</w:t>
      </w:r>
      <w:r>
        <w:rPr>
          <w:rFonts w:hint="eastAsia"/>
          <w:sz w:val="28"/>
          <w:szCs w:val="28"/>
        </w:rPr>
        <w:t>万元，资产总额为</w:t>
      </w:r>
      <w:r>
        <w:rPr>
          <w:sz w:val="28"/>
          <w:szCs w:val="28"/>
        </w:rPr>
        <w:t>______</w:t>
      </w:r>
      <w:r>
        <w:rPr>
          <w:rFonts w:hint="eastAsia"/>
          <w:sz w:val="28"/>
          <w:szCs w:val="28"/>
        </w:rPr>
        <w:t>万元，属于</w:t>
      </w:r>
      <w:r>
        <w:rPr>
          <w:rFonts w:hint="eastAsia"/>
          <w:i/>
          <w:iCs/>
          <w:sz w:val="28"/>
          <w:szCs w:val="28"/>
          <w:u w:val="single"/>
        </w:rPr>
        <w:t>（中型企业、小型企业、微型企业）</w:t>
      </w:r>
      <w:r>
        <w:rPr>
          <w:rFonts w:hint="eastAsia"/>
          <w:sz w:val="28"/>
          <w:szCs w:val="28"/>
        </w:rPr>
        <w:t>；</w:t>
      </w:r>
    </w:p>
    <w:p>
      <w:pPr>
        <w:widowControl w:val="0"/>
        <w:snapToGrid w:val="0"/>
        <w:spacing w:line="360" w:lineRule="auto"/>
        <w:ind w:firstLine="560" w:firstLineChars="200"/>
        <w:rPr>
          <w:sz w:val="28"/>
          <w:szCs w:val="28"/>
        </w:rPr>
      </w:pPr>
      <w:r>
        <w:rPr>
          <w:sz w:val="28"/>
          <w:szCs w:val="28"/>
        </w:rPr>
        <w:t>……</w:t>
      </w:r>
    </w:p>
    <w:p>
      <w:pPr>
        <w:widowControl w:val="0"/>
        <w:snapToGrid w:val="0"/>
        <w:spacing w:line="360" w:lineRule="auto"/>
        <w:ind w:firstLine="560" w:firstLineChars="200"/>
        <w:rPr>
          <w:sz w:val="28"/>
          <w:szCs w:val="28"/>
        </w:rPr>
      </w:pPr>
      <w:r>
        <w:rPr>
          <w:rFonts w:hint="eastAsia"/>
          <w:sz w:val="28"/>
          <w:szCs w:val="28"/>
        </w:rPr>
        <w:t>以上企业，不属于大企业的分支机构，不存在控股股东为大企业的情形，也不存在与大企业的负责人为同一人的情形。</w:t>
      </w:r>
    </w:p>
    <w:p>
      <w:pPr>
        <w:widowControl w:val="0"/>
        <w:snapToGrid w:val="0"/>
        <w:spacing w:line="360" w:lineRule="auto"/>
        <w:ind w:firstLine="560" w:firstLineChars="200"/>
        <w:rPr>
          <w:sz w:val="28"/>
          <w:szCs w:val="28"/>
        </w:rPr>
      </w:pPr>
      <w:r>
        <w:rPr>
          <w:rFonts w:hint="eastAsia"/>
          <w:sz w:val="28"/>
          <w:szCs w:val="28"/>
        </w:rPr>
        <w:t>本企业对上述声明内容的真实性负责。如有虚假，将依法承担相应责任。</w:t>
      </w:r>
    </w:p>
    <w:p>
      <w:pPr>
        <w:widowControl w:val="0"/>
        <w:snapToGrid w:val="0"/>
        <w:spacing w:line="360" w:lineRule="auto"/>
        <w:ind w:firstLine="3080" w:firstLineChars="1100"/>
        <w:rPr>
          <w:sz w:val="28"/>
          <w:szCs w:val="28"/>
        </w:rPr>
      </w:pPr>
      <w:r>
        <w:rPr>
          <w:rFonts w:hint="eastAsia"/>
          <w:sz w:val="28"/>
          <w:szCs w:val="28"/>
        </w:rPr>
        <w:t>企业（投标人）名称（盖章）：</w:t>
      </w:r>
      <w:r>
        <w:rPr>
          <w:sz w:val="28"/>
          <w:szCs w:val="28"/>
        </w:rPr>
        <w:t>_______</w:t>
      </w:r>
    </w:p>
    <w:p>
      <w:pPr>
        <w:widowControl w:val="0"/>
        <w:snapToGrid w:val="0"/>
        <w:spacing w:line="360" w:lineRule="auto"/>
        <w:ind w:firstLine="6020" w:firstLineChars="2150"/>
        <w:rPr>
          <w:sz w:val="28"/>
          <w:szCs w:val="28"/>
        </w:rPr>
      </w:pPr>
      <w:r>
        <w:rPr>
          <w:rFonts w:hint="eastAsia"/>
          <w:sz w:val="28"/>
          <w:szCs w:val="28"/>
        </w:rPr>
        <w:t>日期：</w:t>
      </w:r>
      <w:r>
        <w:rPr>
          <w:sz w:val="28"/>
          <w:szCs w:val="28"/>
        </w:rPr>
        <w:t>_______</w:t>
      </w:r>
    </w:p>
    <w:p>
      <w:pPr>
        <w:widowControl w:val="0"/>
        <w:snapToGrid w:val="0"/>
        <w:spacing w:line="360" w:lineRule="auto"/>
        <w:rPr>
          <w:bCs/>
          <w:sz w:val="28"/>
          <w:szCs w:val="28"/>
        </w:rPr>
      </w:pPr>
      <w:r>
        <w:rPr>
          <w:rFonts w:hint="eastAsia"/>
          <w:bCs/>
          <w:sz w:val="28"/>
          <w:szCs w:val="28"/>
        </w:rPr>
        <w:t>备注：</w:t>
      </w:r>
    </w:p>
    <w:p>
      <w:pPr>
        <w:widowControl w:val="0"/>
        <w:spacing w:line="360" w:lineRule="exact"/>
        <w:ind w:firstLine="560" w:firstLineChars="200"/>
        <w:rPr>
          <w:sz w:val="28"/>
          <w:szCs w:val="28"/>
        </w:rPr>
      </w:pPr>
      <w:r>
        <w:rPr>
          <w:sz w:val="28"/>
          <w:szCs w:val="28"/>
        </w:rPr>
        <w:t>1.</w:t>
      </w:r>
      <w:r>
        <w:rPr>
          <w:rFonts w:hint="eastAsia"/>
          <w:sz w:val="28"/>
          <w:szCs w:val="28"/>
        </w:rPr>
        <w:t>从业人员、营业收入、资产总额填报上一年度数据，无上一年度数据的新成立企业可不填报。</w:t>
      </w:r>
    </w:p>
    <w:p>
      <w:pPr>
        <w:widowControl w:val="0"/>
        <w:snapToGrid w:val="0"/>
        <w:spacing w:line="360" w:lineRule="exact"/>
        <w:ind w:firstLine="560" w:firstLineChars="200"/>
        <w:rPr>
          <w:sz w:val="28"/>
          <w:szCs w:val="28"/>
        </w:rPr>
      </w:pPr>
      <w:r>
        <w:rPr>
          <w:sz w:val="28"/>
          <w:szCs w:val="28"/>
        </w:rPr>
        <w:t>2.</w:t>
      </w:r>
      <w:r>
        <w:rPr>
          <w:rFonts w:hint="eastAsia"/>
          <w:sz w:val="28"/>
          <w:szCs w:val="28"/>
        </w:rPr>
        <w:t>本项目采购标的所属行业：物业管理。</w:t>
      </w:r>
    </w:p>
    <w:p>
      <w:pPr>
        <w:widowControl w:val="0"/>
        <w:autoSpaceDE w:val="0"/>
        <w:snapToGrid w:val="0"/>
        <w:spacing w:line="360" w:lineRule="exact"/>
        <w:ind w:firstLine="560" w:firstLineChars="200"/>
        <w:rPr>
          <w:sz w:val="28"/>
          <w:szCs w:val="28"/>
        </w:rPr>
      </w:pPr>
      <w:r>
        <w:rPr>
          <w:sz w:val="28"/>
          <w:szCs w:val="28"/>
        </w:rPr>
        <w:t>3.</w:t>
      </w:r>
      <w:r>
        <w:rPr>
          <w:rFonts w:hint="eastAsia" w:ascii="宋体" w:hAnsi="宋体"/>
          <w:sz w:val="28"/>
          <w:szCs w:val="28"/>
        </w:rPr>
        <w:t>中型企业、小型企业、微型企业等</w:t>
      </w:r>
      <w:r>
        <w:rPr>
          <w:sz w:val="28"/>
          <w:szCs w:val="28"/>
        </w:rPr>
        <w:t>3</w:t>
      </w:r>
      <w:r>
        <w:rPr>
          <w:rFonts w:hint="eastAsia" w:ascii="宋体" w:hAnsi="宋体"/>
          <w:sz w:val="28"/>
          <w:szCs w:val="28"/>
        </w:rPr>
        <w:t>种企业类型，结合以上数据，依据《中小企业划型标准规定》（工信部联企业〔</w:t>
      </w:r>
      <w:r>
        <w:rPr>
          <w:sz w:val="28"/>
          <w:szCs w:val="28"/>
        </w:rPr>
        <w:t>2011</w:t>
      </w:r>
      <w:r>
        <w:rPr>
          <w:rFonts w:hint="eastAsia" w:ascii="宋体" w:hAnsi="宋体"/>
          <w:sz w:val="28"/>
          <w:szCs w:val="28"/>
        </w:rPr>
        <w:t>〕</w:t>
      </w:r>
      <w:r>
        <w:rPr>
          <w:sz w:val="28"/>
          <w:szCs w:val="28"/>
        </w:rPr>
        <w:t>300</w:t>
      </w:r>
      <w:r>
        <w:rPr>
          <w:rFonts w:hint="eastAsia" w:ascii="宋体" w:hAnsi="宋体"/>
          <w:sz w:val="28"/>
          <w:szCs w:val="28"/>
        </w:rPr>
        <w:t>号）确定。企业类型填写错误的，声明函无效。</w:t>
      </w:r>
    </w:p>
    <w:p>
      <w:pPr>
        <w:pStyle w:val="51"/>
        <w:widowControl w:val="0"/>
        <w:spacing w:after="0" w:line="400" w:lineRule="exact"/>
        <w:textAlignment w:val="baseline"/>
      </w:pPr>
    </w:p>
    <w:p>
      <w:pPr>
        <w:widowControl w:val="0"/>
        <w:snapToGrid w:val="0"/>
        <w:spacing w:before="50" w:after="50"/>
        <w:jc w:val="center"/>
        <w:rPr>
          <w:b/>
          <w:sz w:val="36"/>
          <w:szCs w:val="36"/>
        </w:rPr>
      </w:pPr>
    </w:p>
    <w:p>
      <w:pPr>
        <w:widowControl w:val="0"/>
        <w:spacing w:line="400" w:lineRule="exact"/>
        <w:rPr>
          <w:bCs/>
          <w:sz w:val="36"/>
          <w:szCs w:val="36"/>
        </w:rPr>
      </w:pPr>
      <w:r>
        <w:rPr>
          <w:bCs/>
          <w:sz w:val="36"/>
          <w:szCs w:val="36"/>
        </w:rPr>
        <w:t>3.</w:t>
      </w:r>
    </w:p>
    <w:p>
      <w:pPr>
        <w:pStyle w:val="6"/>
        <w:keepNext w:val="0"/>
        <w:keepLines w:val="0"/>
        <w:widowControl w:val="0"/>
        <w:spacing w:before="0" w:after="0" w:line="240" w:lineRule="auto"/>
        <w:jc w:val="center"/>
        <w:rPr>
          <w:rFonts w:ascii="Times New Roman" w:hAnsi="Times New Roman" w:eastAsia="宋体"/>
          <w:sz w:val="36"/>
          <w:szCs w:val="36"/>
        </w:rPr>
      </w:pPr>
      <w:r>
        <w:rPr>
          <w:rFonts w:hint="eastAsia" w:ascii="Times New Roman" w:hAnsi="Times New Roman" w:eastAsia="宋体"/>
          <w:sz w:val="36"/>
          <w:szCs w:val="36"/>
        </w:rPr>
        <w:t>残疾人福利性单位声明函</w:t>
      </w:r>
    </w:p>
    <w:p>
      <w:pPr>
        <w:widowControl w:val="0"/>
        <w:spacing w:line="588" w:lineRule="exact"/>
        <w:rPr>
          <w:b/>
          <w:spacing w:val="6"/>
          <w:sz w:val="30"/>
          <w:szCs w:val="30"/>
        </w:rPr>
      </w:pPr>
    </w:p>
    <w:p>
      <w:pPr>
        <w:widowControl w:val="0"/>
        <w:snapToGrid w:val="0"/>
        <w:spacing w:line="360" w:lineRule="auto"/>
        <w:ind w:firstLine="480" w:firstLineChars="200"/>
      </w:pPr>
      <w:r>
        <w:rPr>
          <w:rFonts w:hint="eastAsia"/>
        </w:rPr>
        <w:t>本单位郑重声明，根据《财政部民政部中国残疾人联合会关于促进残疾人就业政府采购政策的通知》（财库〔</w:t>
      </w:r>
      <w:r>
        <w:t>2017</w:t>
      </w:r>
      <w:r>
        <w:rPr>
          <w:rFonts w:hint="eastAsia"/>
        </w:rPr>
        <w:t>〕</w:t>
      </w:r>
      <w:r>
        <w:t xml:space="preserve"> 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pPr>
        <w:widowControl w:val="0"/>
        <w:snapToGrid w:val="0"/>
        <w:spacing w:line="360" w:lineRule="auto"/>
        <w:ind w:firstLine="480" w:firstLineChars="200"/>
      </w:pPr>
      <w:r>
        <w:rPr>
          <w:rFonts w:hint="eastAsia"/>
        </w:rPr>
        <w:t>本单位对上述声明的真实性负责。如有虚假，将依法承担相应责任。</w:t>
      </w:r>
    </w:p>
    <w:p>
      <w:pPr>
        <w:widowControl w:val="0"/>
        <w:snapToGrid w:val="0"/>
        <w:spacing w:line="360" w:lineRule="auto"/>
        <w:ind w:firstLine="480" w:firstLineChars="200"/>
      </w:pPr>
    </w:p>
    <w:p>
      <w:pPr>
        <w:widowControl w:val="0"/>
        <w:spacing w:line="360" w:lineRule="auto"/>
        <w:ind w:firstLine="504" w:firstLineChars="200"/>
        <w:rPr>
          <w:spacing w:val="6"/>
        </w:rPr>
      </w:pPr>
    </w:p>
    <w:p>
      <w:pPr>
        <w:widowControl w:val="0"/>
        <w:spacing w:line="360" w:lineRule="auto"/>
        <w:jc w:val="center"/>
      </w:pPr>
      <w:r>
        <w:rPr>
          <w:rFonts w:hint="default"/>
          <w:lang w:val="en-US"/>
        </w:rPr>
        <w:t xml:space="preserve">                                               </w:t>
      </w:r>
      <w:r>
        <w:rPr>
          <w:rFonts w:hint="eastAsia"/>
        </w:rPr>
        <w:t>投标人名称（电子签章）：</w:t>
      </w:r>
    </w:p>
    <w:p>
      <w:pPr>
        <w:widowControl w:val="0"/>
        <w:snapToGrid w:val="0"/>
        <w:spacing w:line="360" w:lineRule="auto"/>
        <w:jc w:val="center"/>
      </w:pPr>
      <w:r>
        <w:rPr>
          <w:rFonts w:hint="default"/>
          <w:lang w:val="en-US"/>
        </w:rPr>
        <w:t xml:space="preserve">                                  </w:t>
      </w:r>
      <w:r>
        <w:rPr>
          <w:rFonts w:hint="eastAsia"/>
        </w:rPr>
        <w:t>日期：年月日</w:t>
      </w:r>
    </w:p>
    <w:p>
      <w:pPr>
        <w:widowControl w:val="0"/>
        <w:spacing w:line="400" w:lineRule="exact"/>
        <w:rPr>
          <w:bCs/>
          <w:sz w:val="36"/>
          <w:szCs w:val="36"/>
        </w:rPr>
      </w:pPr>
      <w:r>
        <w:rPr>
          <w:bCs/>
          <w:sz w:val="36"/>
          <w:szCs w:val="36"/>
        </w:rPr>
        <w:br w:type="page"/>
      </w:r>
      <w:r>
        <w:rPr>
          <w:bCs/>
          <w:sz w:val="36"/>
          <w:szCs w:val="36"/>
        </w:rPr>
        <w:t>4.</w:t>
      </w:r>
    </w:p>
    <w:p>
      <w:pPr>
        <w:pStyle w:val="6"/>
        <w:keepNext w:val="0"/>
        <w:keepLines w:val="0"/>
        <w:widowControl w:val="0"/>
        <w:spacing w:before="0" w:after="0" w:line="240" w:lineRule="auto"/>
        <w:jc w:val="center"/>
        <w:rPr>
          <w:rFonts w:ascii="Times New Roman" w:hAnsi="Times New Roman" w:eastAsia="宋体"/>
          <w:sz w:val="36"/>
          <w:szCs w:val="36"/>
        </w:rPr>
      </w:pPr>
      <w:r>
        <w:rPr>
          <w:rFonts w:hint="eastAsia" w:ascii="Times New Roman" w:hAnsi="Times New Roman" w:eastAsia="宋体"/>
          <w:sz w:val="36"/>
          <w:szCs w:val="36"/>
        </w:rPr>
        <w:t>服务质量保证承诺书</w:t>
      </w:r>
    </w:p>
    <w:p>
      <w:pPr>
        <w:widowControl w:val="0"/>
        <w:spacing w:line="48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val="en-US" w:eastAsia="zh-CN"/>
        </w:rPr>
        <w:t>义乌市人民政府城西街道办事处6个办公区域安保及保洁服务</w:t>
      </w:r>
    </w:p>
    <w:p>
      <w:pPr>
        <w:widowControl w:val="0"/>
        <w:spacing w:line="48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采购编号：YWCG2025001GK</w:t>
      </w:r>
    </w:p>
    <w:p>
      <w:pPr>
        <w:widowControl w:val="0"/>
        <w:spacing w:line="400" w:lineRule="atLeast"/>
        <w:ind w:firstLine="482" w:firstLineChars="200"/>
        <w:rPr>
          <w:rFonts w:hint="eastAsia" w:asciiTheme="minorEastAsia" w:hAnsiTheme="minorEastAsia" w:eastAsiaTheme="minorEastAsia" w:cstheme="minorEastAsia"/>
          <w:b/>
        </w:rPr>
      </w:pPr>
    </w:p>
    <w:p>
      <w:pPr>
        <w:widowControl w:val="0"/>
        <w:spacing w:line="400" w:lineRule="atLeas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致：</w:t>
      </w:r>
      <w:r>
        <w:rPr>
          <w:rFonts w:hint="eastAsia" w:asciiTheme="minorEastAsia" w:hAnsiTheme="minorEastAsia" w:eastAsiaTheme="minorEastAsia" w:cstheme="minorEastAsia"/>
          <w:bCs/>
          <w:lang w:val="en-US" w:eastAsia="zh-CN"/>
        </w:rPr>
        <w:t>义乌市人民政府城西街道办事处</w:t>
      </w:r>
    </w:p>
    <w:p>
      <w:pPr>
        <w:widowControl w:val="0"/>
        <w:spacing w:line="400" w:lineRule="atLeast"/>
        <w:ind w:firstLine="560" w:firstLineChars="200"/>
        <w:rPr>
          <w:sz w:val="28"/>
          <w:szCs w:val="28"/>
        </w:rPr>
      </w:pPr>
    </w:p>
    <w:p>
      <w:pPr>
        <w:widowControl w:val="0"/>
        <w:spacing w:line="400" w:lineRule="atLeast"/>
        <w:ind w:firstLine="560" w:firstLineChars="200"/>
        <w:rPr>
          <w:sz w:val="28"/>
          <w:szCs w:val="28"/>
        </w:rPr>
      </w:pPr>
      <w:r>
        <w:rPr>
          <w:rFonts w:hint="eastAsia"/>
          <w:sz w:val="28"/>
          <w:szCs w:val="28"/>
        </w:rPr>
        <w:t>我们在此声明，投标文件所提供拟参加本项目的人员是完整的、真实的和准确的，同时郑重承诺：我方若中标，保证按照招标文件的规定配备好人员设备，完全按照招标文件的要求向贵方提供优质的物业服务，并承担相应的一切费用。</w:t>
      </w:r>
    </w:p>
    <w:p>
      <w:pPr>
        <w:widowControl w:val="0"/>
        <w:tabs>
          <w:tab w:val="left" w:pos="1980"/>
        </w:tabs>
        <w:spacing w:line="360" w:lineRule="auto"/>
      </w:pPr>
    </w:p>
    <w:p>
      <w:pPr>
        <w:widowControl w:val="0"/>
        <w:tabs>
          <w:tab w:val="left" w:pos="1980"/>
        </w:tabs>
        <w:spacing w:line="360" w:lineRule="auto"/>
      </w:pPr>
    </w:p>
    <w:p>
      <w:pPr>
        <w:pStyle w:val="31"/>
        <w:widowControl w:val="0"/>
        <w:spacing w:line="400" w:lineRule="exact"/>
        <w:ind w:firstLine="472" w:firstLineChars="197"/>
        <w:jc w:val="right"/>
        <w:rPr>
          <w:rFonts w:ascii="Times New Roman" w:hAnsi="Times New Roman" w:cs="Times New Roman"/>
          <w:kern w:val="0"/>
          <w:sz w:val="24"/>
          <w:szCs w:val="24"/>
        </w:rPr>
      </w:pPr>
      <w:r>
        <w:rPr>
          <w:rFonts w:hint="eastAsia" w:ascii="Times New Roman" w:hAnsi="Times New Roman" w:cs="Times New Roman"/>
          <w:kern w:val="0"/>
          <w:sz w:val="24"/>
          <w:szCs w:val="24"/>
        </w:rPr>
        <w:t>投标人名称（电子签章）：</w:t>
      </w:r>
      <w:r>
        <w:rPr>
          <w:rFonts w:ascii="Times New Roman" w:hAnsi="Times New Roman" w:cs="Times New Roman"/>
          <w:kern w:val="0"/>
          <w:sz w:val="24"/>
          <w:szCs w:val="24"/>
        </w:rPr>
        <w:t>___________________</w:t>
      </w:r>
    </w:p>
    <w:p>
      <w:pPr>
        <w:widowControl w:val="0"/>
        <w:spacing w:line="400" w:lineRule="exact"/>
        <w:ind w:firstLine="360" w:firstLineChars="150"/>
      </w:pPr>
    </w:p>
    <w:p>
      <w:pPr>
        <w:pStyle w:val="31"/>
        <w:widowControl w:val="0"/>
        <w:spacing w:line="360" w:lineRule="auto"/>
        <w:jc w:val="right"/>
        <w:rPr>
          <w:rFonts w:ascii="Times New Roman" w:hAnsi="Times New Roman" w:cs="Times New Roman"/>
          <w:sz w:val="24"/>
          <w:szCs w:val="24"/>
        </w:rPr>
      </w:pPr>
      <w:r>
        <w:rPr>
          <w:rFonts w:hint="eastAsia" w:ascii="Times New Roman" w:hAnsi="Times New Roman" w:cs="Times New Roman"/>
          <w:kern w:val="0"/>
          <w:sz w:val="24"/>
          <w:szCs w:val="24"/>
        </w:rPr>
        <w:t>日期：</w:t>
      </w:r>
      <w:r>
        <w:rPr>
          <w:rFonts w:ascii="Times New Roman" w:hAnsi="Times New Roman" w:cs="Times New Roman"/>
          <w:sz w:val="24"/>
          <w:szCs w:val="24"/>
        </w:rPr>
        <w:t>________________</w:t>
      </w:r>
    </w:p>
    <w:p>
      <w:pPr>
        <w:widowControl w:val="0"/>
        <w:spacing w:line="400" w:lineRule="exact"/>
        <w:rPr>
          <w:bCs/>
          <w:sz w:val="36"/>
          <w:szCs w:val="36"/>
        </w:rPr>
      </w:pPr>
    </w:p>
    <w:p>
      <w:pPr>
        <w:pStyle w:val="31"/>
        <w:widowControl w:val="0"/>
        <w:spacing w:line="360" w:lineRule="auto"/>
        <w:rPr>
          <w:rFonts w:ascii="Times New Roman" w:hAnsi="Times New Roman" w:cs="Times New Roman"/>
          <w:bCs/>
          <w:sz w:val="36"/>
          <w:szCs w:val="36"/>
        </w:rPr>
      </w:pPr>
      <w:r>
        <w:rPr>
          <w:rFonts w:ascii="Times New Roman" w:hAnsi="Times New Roman" w:cs="Times New Roman"/>
          <w:bCs/>
          <w:sz w:val="36"/>
          <w:szCs w:val="36"/>
        </w:rPr>
        <w:br w:type="page"/>
      </w:r>
      <w:r>
        <w:rPr>
          <w:rFonts w:ascii="Times New Roman" w:hAnsi="Times New Roman" w:cs="Times New Roman"/>
          <w:bCs/>
          <w:sz w:val="36"/>
          <w:szCs w:val="36"/>
        </w:rPr>
        <w:t>5.</w:t>
      </w:r>
    </w:p>
    <w:p>
      <w:pPr>
        <w:pStyle w:val="6"/>
        <w:keepNext w:val="0"/>
        <w:keepLines w:val="0"/>
        <w:widowControl w:val="0"/>
        <w:spacing w:before="0" w:after="0" w:line="360" w:lineRule="auto"/>
        <w:jc w:val="center"/>
        <w:rPr>
          <w:rFonts w:ascii="Times New Roman" w:hAnsi="Times New Roman" w:eastAsia="宋体"/>
          <w:sz w:val="36"/>
          <w:szCs w:val="36"/>
        </w:rPr>
      </w:pPr>
      <w:r>
        <w:rPr>
          <w:rFonts w:hint="eastAsia" w:ascii="Times New Roman" w:hAnsi="Times New Roman" w:eastAsia="宋体"/>
          <w:sz w:val="36"/>
          <w:szCs w:val="36"/>
        </w:rPr>
        <w:t>项目管理人员情况表</w:t>
      </w:r>
    </w:p>
    <w:p>
      <w:pPr>
        <w:widowControl w:val="0"/>
        <w:spacing w:line="400" w:lineRule="exact"/>
        <w:jc w:val="center"/>
        <w:rPr>
          <w:b/>
          <w:bCs/>
          <w:sz w:val="36"/>
          <w:szCs w:val="36"/>
        </w:rPr>
      </w:pPr>
      <w:r>
        <w:rPr>
          <w:rFonts w:hint="eastAsia"/>
          <w:b/>
          <w:bCs/>
          <w:sz w:val="36"/>
          <w:szCs w:val="36"/>
        </w:rPr>
        <w:t>物业经理简历表</w:t>
      </w:r>
    </w:p>
    <w:p>
      <w:pPr>
        <w:widowControl w:val="0"/>
        <w:rPr>
          <w:b/>
          <w:szCs w:val="21"/>
        </w:rPr>
      </w:pPr>
      <w:r>
        <w:rPr>
          <w:rFonts w:hint="eastAsia"/>
          <w:bCs/>
          <w:szCs w:val="21"/>
        </w:rPr>
        <w:t>投标人：（电子签章）</w:t>
      </w:r>
      <w:r>
        <w:rPr>
          <w:bCs/>
          <w:szCs w:val="21"/>
        </w:rPr>
        <w:t>_________________</w:t>
      </w:r>
      <w:r>
        <w:rPr>
          <w:rFonts w:hint="eastAsia"/>
        </w:rPr>
        <w:t>采购编号：</w:t>
      </w:r>
      <w:r>
        <w:t>YWCG2025001GK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3"/>
        <w:gridCol w:w="952"/>
        <w:gridCol w:w="290"/>
        <w:gridCol w:w="745"/>
        <w:gridCol w:w="105"/>
        <w:gridCol w:w="516"/>
        <w:gridCol w:w="894"/>
        <w:gridCol w:w="250"/>
        <w:gridCol w:w="75"/>
        <w:gridCol w:w="495"/>
        <w:gridCol w:w="761"/>
        <w:gridCol w:w="174"/>
        <w:gridCol w:w="690"/>
        <w:gridCol w:w="501"/>
        <w:gridCol w:w="990"/>
        <w:gridCol w:w="504"/>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95" w:type="dxa"/>
            <w:gridSpan w:val="2"/>
            <w:noWrap/>
            <w:vAlign w:val="center"/>
          </w:tcPr>
          <w:p>
            <w:pPr>
              <w:widowControl w:val="0"/>
              <w:jc w:val="center"/>
              <w:rPr>
                <w:szCs w:val="21"/>
              </w:rPr>
            </w:pPr>
            <w:r>
              <w:rPr>
                <w:rFonts w:hint="eastAsia"/>
                <w:szCs w:val="21"/>
              </w:rPr>
              <w:t>姓名</w:t>
            </w:r>
          </w:p>
        </w:tc>
        <w:tc>
          <w:tcPr>
            <w:tcW w:w="1242" w:type="dxa"/>
            <w:gridSpan w:val="2"/>
            <w:noWrap/>
            <w:vAlign w:val="center"/>
          </w:tcPr>
          <w:p>
            <w:pPr>
              <w:widowControl w:val="0"/>
              <w:jc w:val="center"/>
              <w:rPr>
                <w:szCs w:val="21"/>
              </w:rPr>
            </w:pPr>
          </w:p>
        </w:tc>
        <w:tc>
          <w:tcPr>
            <w:tcW w:w="745" w:type="dxa"/>
            <w:noWrap/>
            <w:vAlign w:val="center"/>
          </w:tcPr>
          <w:p>
            <w:pPr>
              <w:widowControl w:val="0"/>
              <w:jc w:val="center"/>
              <w:rPr>
                <w:szCs w:val="21"/>
              </w:rPr>
            </w:pPr>
            <w:r>
              <w:rPr>
                <w:rFonts w:hint="eastAsia"/>
                <w:szCs w:val="21"/>
              </w:rPr>
              <w:t>性别</w:t>
            </w:r>
          </w:p>
        </w:tc>
        <w:tc>
          <w:tcPr>
            <w:tcW w:w="621" w:type="dxa"/>
            <w:gridSpan w:val="2"/>
            <w:noWrap/>
            <w:vAlign w:val="center"/>
          </w:tcPr>
          <w:p>
            <w:pPr>
              <w:widowControl w:val="0"/>
              <w:jc w:val="center"/>
              <w:rPr>
                <w:szCs w:val="21"/>
              </w:rPr>
            </w:pPr>
          </w:p>
        </w:tc>
        <w:tc>
          <w:tcPr>
            <w:tcW w:w="1144" w:type="dxa"/>
            <w:gridSpan w:val="2"/>
            <w:noWrap/>
            <w:vAlign w:val="center"/>
          </w:tcPr>
          <w:p>
            <w:pPr>
              <w:widowControl w:val="0"/>
              <w:jc w:val="center"/>
              <w:rPr>
                <w:szCs w:val="21"/>
              </w:rPr>
            </w:pPr>
            <w:r>
              <w:rPr>
                <w:rFonts w:hint="eastAsia"/>
                <w:szCs w:val="21"/>
              </w:rPr>
              <w:t>年龄</w:t>
            </w:r>
          </w:p>
        </w:tc>
        <w:tc>
          <w:tcPr>
            <w:tcW w:w="570" w:type="dxa"/>
            <w:gridSpan w:val="2"/>
            <w:noWrap/>
            <w:vAlign w:val="center"/>
          </w:tcPr>
          <w:p>
            <w:pPr>
              <w:widowControl w:val="0"/>
              <w:jc w:val="center"/>
              <w:rPr>
                <w:szCs w:val="21"/>
              </w:rPr>
            </w:pPr>
          </w:p>
        </w:tc>
        <w:tc>
          <w:tcPr>
            <w:tcW w:w="761" w:type="dxa"/>
            <w:noWrap/>
            <w:vAlign w:val="center"/>
          </w:tcPr>
          <w:p>
            <w:pPr>
              <w:widowControl w:val="0"/>
              <w:ind w:right="-110" w:rightChars="-46"/>
              <w:jc w:val="center"/>
              <w:rPr>
                <w:szCs w:val="21"/>
              </w:rPr>
            </w:pPr>
            <w:r>
              <w:rPr>
                <w:rFonts w:hint="eastAsia"/>
                <w:szCs w:val="21"/>
              </w:rPr>
              <w:t>学历</w:t>
            </w:r>
          </w:p>
        </w:tc>
        <w:tc>
          <w:tcPr>
            <w:tcW w:w="1365" w:type="dxa"/>
            <w:gridSpan w:val="3"/>
            <w:noWrap/>
            <w:vAlign w:val="center"/>
          </w:tcPr>
          <w:p>
            <w:pPr>
              <w:widowControl w:val="0"/>
              <w:jc w:val="center"/>
              <w:rPr>
                <w:szCs w:val="21"/>
              </w:rPr>
            </w:pPr>
          </w:p>
        </w:tc>
        <w:tc>
          <w:tcPr>
            <w:tcW w:w="990" w:type="dxa"/>
            <w:noWrap/>
            <w:vAlign w:val="center"/>
          </w:tcPr>
          <w:p>
            <w:pPr>
              <w:widowControl w:val="0"/>
              <w:jc w:val="center"/>
              <w:rPr>
                <w:szCs w:val="21"/>
              </w:rPr>
            </w:pPr>
            <w:r>
              <w:rPr>
                <w:rFonts w:hint="eastAsia"/>
                <w:szCs w:val="21"/>
              </w:rPr>
              <w:t>职称</w:t>
            </w:r>
          </w:p>
        </w:tc>
        <w:tc>
          <w:tcPr>
            <w:tcW w:w="1275" w:type="dxa"/>
            <w:gridSpan w:val="2"/>
            <w:noWrap/>
            <w:vAlign w:val="center"/>
          </w:tcPr>
          <w:p>
            <w:pPr>
              <w:widowControl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95" w:type="dxa"/>
            <w:gridSpan w:val="2"/>
            <w:noWrap/>
            <w:vAlign w:val="center"/>
          </w:tcPr>
          <w:p>
            <w:pPr>
              <w:widowControl w:val="0"/>
              <w:jc w:val="center"/>
              <w:rPr>
                <w:szCs w:val="21"/>
              </w:rPr>
            </w:pPr>
            <w:r>
              <w:rPr>
                <w:rFonts w:hint="eastAsia"/>
                <w:szCs w:val="21"/>
              </w:rPr>
              <w:t>职务</w:t>
            </w:r>
          </w:p>
        </w:tc>
        <w:tc>
          <w:tcPr>
            <w:tcW w:w="952" w:type="dxa"/>
            <w:noWrap/>
            <w:vAlign w:val="center"/>
          </w:tcPr>
          <w:p>
            <w:pPr>
              <w:widowControl w:val="0"/>
              <w:jc w:val="center"/>
              <w:rPr>
                <w:szCs w:val="21"/>
              </w:rPr>
            </w:pPr>
          </w:p>
        </w:tc>
        <w:tc>
          <w:tcPr>
            <w:tcW w:w="1140" w:type="dxa"/>
            <w:gridSpan w:val="3"/>
            <w:noWrap/>
            <w:vAlign w:val="center"/>
          </w:tcPr>
          <w:p>
            <w:pPr>
              <w:widowControl w:val="0"/>
              <w:jc w:val="center"/>
              <w:rPr>
                <w:szCs w:val="21"/>
              </w:rPr>
            </w:pPr>
            <w:r>
              <w:rPr>
                <w:rFonts w:hint="eastAsia"/>
                <w:szCs w:val="21"/>
              </w:rPr>
              <w:t>参加工作时间</w:t>
            </w:r>
          </w:p>
        </w:tc>
        <w:tc>
          <w:tcPr>
            <w:tcW w:w="1410" w:type="dxa"/>
            <w:gridSpan w:val="2"/>
            <w:noWrap/>
            <w:vAlign w:val="center"/>
          </w:tcPr>
          <w:p>
            <w:pPr>
              <w:widowControl w:val="0"/>
              <w:tabs>
                <w:tab w:val="left" w:pos="632"/>
              </w:tabs>
              <w:jc w:val="center"/>
              <w:rPr>
                <w:szCs w:val="21"/>
              </w:rPr>
            </w:pPr>
            <w:r>
              <w:rPr>
                <w:rFonts w:hint="eastAsia"/>
                <w:szCs w:val="21"/>
              </w:rPr>
              <w:t>年月</w:t>
            </w:r>
          </w:p>
        </w:tc>
        <w:tc>
          <w:tcPr>
            <w:tcW w:w="1755" w:type="dxa"/>
            <w:gridSpan w:val="5"/>
            <w:noWrap/>
            <w:vAlign w:val="center"/>
          </w:tcPr>
          <w:p>
            <w:pPr>
              <w:widowControl w:val="0"/>
              <w:tabs>
                <w:tab w:val="left" w:pos="632"/>
              </w:tabs>
              <w:jc w:val="center"/>
              <w:rPr>
                <w:szCs w:val="21"/>
              </w:rPr>
            </w:pPr>
            <w:r>
              <w:rPr>
                <w:rFonts w:hint="eastAsia" w:ascii="宋体" w:hAnsi="宋体" w:cs="宋体"/>
              </w:rPr>
              <w:t>从事物业管理相关工作年限</w:t>
            </w:r>
          </w:p>
        </w:tc>
        <w:tc>
          <w:tcPr>
            <w:tcW w:w="690" w:type="dxa"/>
            <w:noWrap/>
            <w:vAlign w:val="center"/>
          </w:tcPr>
          <w:p>
            <w:pPr>
              <w:widowControl w:val="0"/>
              <w:tabs>
                <w:tab w:val="left" w:pos="632"/>
              </w:tabs>
              <w:jc w:val="center"/>
              <w:rPr>
                <w:szCs w:val="21"/>
              </w:rPr>
            </w:pPr>
          </w:p>
        </w:tc>
        <w:tc>
          <w:tcPr>
            <w:tcW w:w="1995" w:type="dxa"/>
            <w:gridSpan w:val="3"/>
            <w:noWrap/>
            <w:vAlign w:val="center"/>
          </w:tcPr>
          <w:p>
            <w:pPr>
              <w:widowControl w:val="0"/>
              <w:jc w:val="center"/>
              <w:rPr>
                <w:rFonts w:ascii="宋体" w:cs="宋体"/>
                <w:highlight w:val="green"/>
              </w:rPr>
            </w:pPr>
            <w:r>
              <w:rPr>
                <w:rFonts w:hint="eastAsia"/>
                <w:szCs w:val="21"/>
              </w:rPr>
              <w:t>曾任类似项目经理的工作年限</w:t>
            </w:r>
          </w:p>
        </w:tc>
        <w:tc>
          <w:tcPr>
            <w:tcW w:w="771" w:type="dxa"/>
            <w:noWrap/>
            <w:vAlign w:val="center"/>
          </w:tcPr>
          <w:p>
            <w:pPr>
              <w:widowControl w:val="0"/>
              <w:jc w:val="center"/>
              <w:rPr>
                <w:rFonts w:ascii="宋体" w:cs="宋体"/>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508" w:type="dxa"/>
            <w:gridSpan w:val="18"/>
            <w:noWrap/>
            <w:vAlign w:val="center"/>
          </w:tcPr>
          <w:p>
            <w:pPr>
              <w:widowControl w:val="0"/>
              <w:jc w:val="center"/>
              <w:rPr>
                <w:szCs w:val="21"/>
              </w:rPr>
            </w:pPr>
            <w:r>
              <w:rPr>
                <w:rFonts w:hint="eastAsia"/>
                <w:szCs w:val="21"/>
              </w:rPr>
              <w:t>曾任类似项目经理的工作经验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42" w:type="dxa"/>
            <w:noWrap/>
            <w:vAlign w:val="center"/>
          </w:tcPr>
          <w:p>
            <w:pPr>
              <w:widowControl w:val="0"/>
              <w:jc w:val="center"/>
              <w:rPr>
                <w:szCs w:val="21"/>
              </w:rPr>
            </w:pPr>
            <w:r>
              <w:rPr>
                <w:rFonts w:hint="eastAsia"/>
                <w:szCs w:val="21"/>
              </w:rPr>
              <w:t>序号</w:t>
            </w:r>
          </w:p>
        </w:tc>
        <w:tc>
          <w:tcPr>
            <w:tcW w:w="1295" w:type="dxa"/>
            <w:gridSpan w:val="3"/>
            <w:noWrap/>
            <w:vAlign w:val="center"/>
          </w:tcPr>
          <w:p>
            <w:pPr>
              <w:widowControl w:val="0"/>
              <w:jc w:val="center"/>
              <w:rPr>
                <w:szCs w:val="21"/>
              </w:rPr>
            </w:pPr>
            <w:r>
              <w:rPr>
                <w:rFonts w:hint="eastAsia"/>
                <w:szCs w:val="21"/>
              </w:rPr>
              <w:t>业主单位</w:t>
            </w:r>
          </w:p>
        </w:tc>
        <w:tc>
          <w:tcPr>
            <w:tcW w:w="850" w:type="dxa"/>
            <w:gridSpan w:val="2"/>
            <w:noWrap/>
            <w:vAlign w:val="center"/>
          </w:tcPr>
          <w:p>
            <w:pPr>
              <w:widowControl w:val="0"/>
              <w:jc w:val="center"/>
              <w:rPr>
                <w:szCs w:val="21"/>
              </w:rPr>
            </w:pPr>
            <w:r>
              <w:rPr>
                <w:rFonts w:hint="eastAsia"/>
                <w:szCs w:val="21"/>
              </w:rPr>
              <w:t>项目名称</w:t>
            </w:r>
          </w:p>
        </w:tc>
        <w:tc>
          <w:tcPr>
            <w:tcW w:w="1735" w:type="dxa"/>
            <w:gridSpan w:val="4"/>
            <w:noWrap/>
            <w:vAlign w:val="center"/>
          </w:tcPr>
          <w:p>
            <w:pPr>
              <w:widowControl w:val="0"/>
              <w:jc w:val="center"/>
              <w:rPr>
                <w:szCs w:val="21"/>
              </w:rPr>
            </w:pPr>
            <w:r>
              <w:rPr>
                <w:rFonts w:hint="eastAsia"/>
                <w:szCs w:val="21"/>
              </w:rPr>
              <w:t>项目内容</w:t>
            </w:r>
          </w:p>
        </w:tc>
        <w:tc>
          <w:tcPr>
            <w:tcW w:w="1256" w:type="dxa"/>
            <w:gridSpan w:val="2"/>
            <w:noWrap/>
            <w:vAlign w:val="center"/>
          </w:tcPr>
          <w:p>
            <w:pPr>
              <w:widowControl w:val="0"/>
              <w:jc w:val="center"/>
              <w:rPr>
                <w:szCs w:val="21"/>
              </w:rPr>
            </w:pPr>
            <w:r>
              <w:rPr>
                <w:rFonts w:hint="eastAsia"/>
                <w:szCs w:val="21"/>
              </w:rPr>
              <w:t>起止时间</w:t>
            </w:r>
          </w:p>
        </w:tc>
        <w:tc>
          <w:tcPr>
            <w:tcW w:w="1365" w:type="dxa"/>
            <w:gridSpan w:val="3"/>
            <w:noWrap/>
            <w:vAlign w:val="center"/>
          </w:tcPr>
          <w:p>
            <w:pPr>
              <w:widowControl w:val="0"/>
              <w:jc w:val="center"/>
              <w:rPr>
                <w:szCs w:val="21"/>
              </w:rPr>
            </w:pPr>
            <w:r>
              <w:rPr>
                <w:rFonts w:hint="eastAsia"/>
                <w:szCs w:val="21"/>
              </w:rPr>
              <w:t>项目金额</w:t>
            </w:r>
          </w:p>
        </w:tc>
        <w:tc>
          <w:tcPr>
            <w:tcW w:w="990" w:type="dxa"/>
            <w:noWrap/>
            <w:vAlign w:val="center"/>
          </w:tcPr>
          <w:p>
            <w:pPr>
              <w:widowControl w:val="0"/>
              <w:jc w:val="center"/>
              <w:rPr>
                <w:szCs w:val="21"/>
              </w:rPr>
            </w:pPr>
            <w:r>
              <w:rPr>
                <w:rFonts w:hint="eastAsia"/>
                <w:szCs w:val="21"/>
              </w:rPr>
              <w:t>联系人</w:t>
            </w:r>
          </w:p>
        </w:tc>
        <w:tc>
          <w:tcPr>
            <w:tcW w:w="1275" w:type="dxa"/>
            <w:gridSpan w:val="2"/>
            <w:noWrap/>
            <w:vAlign w:val="center"/>
          </w:tcPr>
          <w:p>
            <w:pPr>
              <w:widowControl w:val="0"/>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742" w:type="dxa"/>
            <w:noWrap/>
            <w:vAlign w:val="center"/>
          </w:tcPr>
          <w:p>
            <w:pPr>
              <w:widowControl w:val="0"/>
              <w:jc w:val="center"/>
              <w:rPr>
                <w:szCs w:val="21"/>
              </w:rPr>
            </w:pPr>
            <w:r>
              <w:rPr>
                <w:szCs w:val="21"/>
              </w:rPr>
              <w:t>1</w:t>
            </w:r>
          </w:p>
        </w:tc>
        <w:tc>
          <w:tcPr>
            <w:tcW w:w="1295" w:type="dxa"/>
            <w:gridSpan w:val="3"/>
            <w:noWrap/>
            <w:vAlign w:val="center"/>
          </w:tcPr>
          <w:p>
            <w:pPr>
              <w:widowControl w:val="0"/>
              <w:jc w:val="center"/>
              <w:rPr>
                <w:szCs w:val="21"/>
              </w:rPr>
            </w:pPr>
          </w:p>
        </w:tc>
        <w:tc>
          <w:tcPr>
            <w:tcW w:w="850" w:type="dxa"/>
            <w:gridSpan w:val="2"/>
            <w:noWrap/>
            <w:vAlign w:val="center"/>
          </w:tcPr>
          <w:p>
            <w:pPr>
              <w:widowControl w:val="0"/>
              <w:jc w:val="center"/>
              <w:rPr>
                <w:szCs w:val="21"/>
              </w:rPr>
            </w:pPr>
          </w:p>
        </w:tc>
        <w:tc>
          <w:tcPr>
            <w:tcW w:w="1735" w:type="dxa"/>
            <w:gridSpan w:val="4"/>
            <w:noWrap/>
            <w:vAlign w:val="center"/>
          </w:tcPr>
          <w:p>
            <w:pPr>
              <w:widowControl w:val="0"/>
              <w:jc w:val="center"/>
              <w:rPr>
                <w:szCs w:val="21"/>
              </w:rPr>
            </w:pPr>
          </w:p>
        </w:tc>
        <w:tc>
          <w:tcPr>
            <w:tcW w:w="1256" w:type="dxa"/>
            <w:gridSpan w:val="2"/>
            <w:noWrap/>
            <w:vAlign w:val="center"/>
          </w:tcPr>
          <w:p>
            <w:pPr>
              <w:widowControl w:val="0"/>
              <w:jc w:val="center"/>
              <w:rPr>
                <w:szCs w:val="21"/>
              </w:rPr>
            </w:pPr>
          </w:p>
        </w:tc>
        <w:tc>
          <w:tcPr>
            <w:tcW w:w="1365" w:type="dxa"/>
            <w:gridSpan w:val="3"/>
            <w:noWrap/>
            <w:vAlign w:val="center"/>
          </w:tcPr>
          <w:p>
            <w:pPr>
              <w:widowControl w:val="0"/>
              <w:jc w:val="center"/>
              <w:rPr>
                <w:szCs w:val="21"/>
              </w:rPr>
            </w:pPr>
          </w:p>
        </w:tc>
        <w:tc>
          <w:tcPr>
            <w:tcW w:w="990" w:type="dxa"/>
            <w:noWrap/>
            <w:vAlign w:val="center"/>
          </w:tcPr>
          <w:p>
            <w:pPr>
              <w:widowControl w:val="0"/>
              <w:jc w:val="center"/>
              <w:rPr>
                <w:szCs w:val="21"/>
              </w:rPr>
            </w:pPr>
          </w:p>
        </w:tc>
        <w:tc>
          <w:tcPr>
            <w:tcW w:w="1275" w:type="dxa"/>
            <w:gridSpan w:val="2"/>
            <w:noWrap/>
            <w:vAlign w:val="center"/>
          </w:tcPr>
          <w:p>
            <w:pPr>
              <w:widowControl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742" w:type="dxa"/>
            <w:noWrap/>
            <w:vAlign w:val="center"/>
          </w:tcPr>
          <w:p>
            <w:pPr>
              <w:widowControl w:val="0"/>
              <w:jc w:val="center"/>
              <w:rPr>
                <w:szCs w:val="21"/>
              </w:rPr>
            </w:pPr>
            <w:r>
              <w:rPr>
                <w:szCs w:val="21"/>
              </w:rPr>
              <w:t>2</w:t>
            </w:r>
          </w:p>
        </w:tc>
        <w:tc>
          <w:tcPr>
            <w:tcW w:w="1295" w:type="dxa"/>
            <w:gridSpan w:val="3"/>
            <w:noWrap/>
            <w:vAlign w:val="center"/>
          </w:tcPr>
          <w:p>
            <w:pPr>
              <w:widowControl w:val="0"/>
              <w:jc w:val="center"/>
              <w:rPr>
                <w:szCs w:val="21"/>
              </w:rPr>
            </w:pPr>
          </w:p>
        </w:tc>
        <w:tc>
          <w:tcPr>
            <w:tcW w:w="850" w:type="dxa"/>
            <w:gridSpan w:val="2"/>
            <w:noWrap/>
            <w:vAlign w:val="center"/>
          </w:tcPr>
          <w:p>
            <w:pPr>
              <w:widowControl w:val="0"/>
              <w:jc w:val="center"/>
              <w:rPr>
                <w:szCs w:val="21"/>
              </w:rPr>
            </w:pPr>
          </w:p>
        </w:tc>
        <w:tc>
          <w:tcPr>
            <w:tcW w:w="1735" w:type="dxa"/>
            <w:gridSpan w:val="4"/>
            <w:noWrap/>
            <w:vAlign w:val="center"/>
          </w:tcPr>
          <w:p>
            <w:pPr>
              <w:widowControl w:val="0"/>
              <w:jc w:val="center"/>
              <w:rPr>
                <w:szCs w:val="21"/>
              </w:rPr>
            </w:pPr>
          </w:p>
        </w:tc>
        <w:tc>
          <w:tcPr>
            <w:tcW w:w="1256" w:type="dxa"/>
            <w:gridSpan w:val="2"/>
            <w:noWrap/>
            <w:vAlign w:val="center"/>
          </w:tcPr>
          <w:p>
            <w:pPr>
              <w:widowControl w:val="0"/>
              <w:jc w:val="center"/>
              <w:rPr>
                <w:szCs w:val="21"/>
              </w:rPr>
            </w:pPr>
          </w:p>
        </w:tc>
        <w:tc>
          <w:tcPr>
            <w:tcW w:w="1365" w:type="dxa"/>
            <w:gridSpan w:val="3"/>
            <w:noWrap/>
            <w:vAlign w:val="center"/>
          </w:tcPr>
          <w:p>
            <w:pPr>
              <w:widowControl w:val="0"/>
              <w:jc w:val="center"/>
              <w:rPr>
                <w:szCs w:val="21"/>
              </w:rPr>
            </w:pPr>
          </w:p>
        </w:tc>
        <w:tc>
          <w:tcPr>
            <w:tcW w:w="990" w:type="dxa"/>
            <w:noWrap/>
            <w:vAlign w:val="center"/>
          </w:tcPr>
          <w:p>
            <w:pPr>
              <w:widowControl w:val="0"/>
              <w:jc w:val="center"/>
              <w:rPr>
                <w:szCs w:val="21"/>
              </w:rPr>
            </w:pPr>
          </w:p>
        </w:tc>
        <w:tc>
          <w:tcPr>
            <w:tcW w:w="1275" w:type="dxa"/>
            <w:gridSpan w:val="2"/>
            <w:noWrap/>
            <w:vAlign w:val="center"/>
          </w:tcPr>
          <w:p>
            <w:pPr>
              <w:widowControl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742" w:type="dxa"/>
            <w:noWrap/>
            <w:vAlign w:val="center"/>
          </w:tcPr>
          <w:p>
            <w:pPr>
              <w:widowControl w:val="0"/>
              <w:jc w:val="center"/>
              <w:rPr>
                <w:szCs w:val="21"/>
              </w:rPr>
            </w:pPr>
            <w:r>
              <w:rPr>
                <w:szCs w:val="21"/>
              </w:rPr>
              <w:t>3</w:t>
            </w:r>
          </w:p>
        </w:tc>
        <w:tc>
          <w:tcPr>
            <w:tcW w:w="1295" w:type="dxa"/>
            <w:gridSpan w:val="3"/>
            <w:noWrap/>
            <w:vAlign w:val="center"/>
          </w:tcPr>
          <w:p>
            <w:pPr>
              <w:widowControl w:val="0"/>
              <w:jc w:val="center"/>
              <w:rPr>
                <w:szCs w:val="21"/>
              </w:rPr>
            </w:pPr>
          </w:p>
        </w:tc>
        <w:tc>
          <w:tcPr>
            <w:tcW w:w="850" w:type="dxa"/>
            <w:gridSpan w:val="2"/>
            <w:noWrap/>
            <w:vAlign w:val="center"/>
          </w:tcPr>
          <w:p>
            <w:pPr>
              <w:widowControl w:val="0"/>
              <w:jc w:val="center"/>
              <w:rPr>
                <w:szCs w:val="21"/>
              </w:rPr>
            </w:pPr>
          </w:p>
        </w:tc>
        <w:tc>
          <w:tcPr>
            <w:tcW w:w="1735" w:type="dxa"/>
            <w:gridSpan w:val="4"/>
            <w:noWrap/>
            <w:vAlign w:val="center"/>
          </w:tcPr>
          <w:p>
            <w:pPr>
              <w:widowControl w:val="0"/>
              <w:jc w:val="center"/>
              <w:rPr>
                <w:szCs w:val="21"/>
              </w:rPr>
            </w:pPr>
          </w:p>
        </w:tc>
        <w:tc>
          <w:tcPr>
            <w:tcW w:w="1256" w:type="dxa"/>
            <w:gridSpan w:val="2"/>
            <w:noWrap/>
            <w:vAlign w:val="center"/>
          </w:tcPr>
          <w:p>
            <w:pPr>
              <w:widowControl w:val="0"/>
              <w:jc w:val="center"/>
              <w:rPr>
                <w:szCs w:val="21"/>
              </w:rPr>
            </w:pPr>
          </w:p>
        </w:tc>
        <w:tc>
          <w:tcPr>
            <w:tcW w:w="1365" w:type="dxa"/>
            <w:gridSpan w:val="3"/>
            <w:noWrap/>
            <w:vAlign w:val="center"/>
          </w:tcPr>
          <w:p>
            <w:pPr>
              <w:widowControl w:val="0"/>
              <w:jc w:val="center"/>
              <w:rPr>
                <w:szCs w:val="21"/>
              </w:rPr>
            </w:pPr>
          </w:p>
        </w:tc>
        <w:tc>
          <w:tcPr>
            <w:tcW w:w="990" w:type="dxa"/>
            <w:noWrap/>
            <w:vAlign w:val="center"/>
          </w:tcPr>
          <w:p>
            <w:pPr>
              <w:widowControl w:val="0"/>
              <w:jc w:val="center"/>
              <w:rPr>
                <w:szCs w:val="21"/>
              </w:rPr>
            </w:pPr>
          </w:p>
        </w:tc>
        <w:tc>
          <w:tcPr>
            <w:tcW w:w="1275" w:type="dxa"/>
            <w:gridSpan w:val="2"/>
            <w:noWrap/>
            <w:vAlign w:val="center"/>
          </w:tcPr>
          <w:p>
            <w:pPr>
              <w:widowControl w:val="0"/>
              <w:jc w:val="center"/>
              <w:rPr>
                <w:szCs w:val="21"/>
              </w:rPr>
            </w:pPr>
          </w:p>
        </w:tc>
      </w:tr>
    </w:tbl>
    <w:p>
      <w:pPr>
        <w:pStyle w:val="31"/>
        <w:widowControl w:val="0"/>
        <w:rPr>
          <w:rFonts w:ascii="Times New Roman" w:hAnsi="Times New Roman" w:cs="Times New Roman"/>
          <w:bCs/>
        </w:rPr>
      </w:pPr>
      <w:r>
        <w:rPr>
          <w:rFonts w:hint="eastAsia" w:ascii="Times New Roman" w:hAnsi="Times New Roman" w:cs="Times New Roman"/>
          <w:bCs/>
        </w:rPr>
        <w:t>注：</w:t>
      </w:r>
      <w:r>
        <w:rPr>
          <w:rFonts w:ascii="Times New Roman" w:hAnsi="Times New Roman" w:cs="Times New Roman"/>
          <w:bCs/>
        </w:rPr>
        <w:t>1.</w:t>
      </w:r>
      <w:r>
        <w:rPr>
          <w:rFonts w:hint="eastAsia" w:ascii="Times New Roman" w:hAnsi="Times New Roman" w:cs="Times New Roman"/>
          <w:bCs/>
        </w:rPr>
        <w:t>如有技术等级或职称证书，需将证书扫描件附于表后；</w:t>
      </w:r>
    </w:p>
    <w:p>
      <w:pPr>
        <w:pStyle w:val="31"/>
        <w:widowControl w:val="0"/>
        <w:rPr>
          <w:rFonts w:ascii="Times New Roman" w:hAnsi="Times New Roman" w:cs="Times New Roman"/>
          <w:bCs/>
        </w:rPr>
      </w:pPr>
      <w:r>
        <w:rPr>
          <w:rFonts w:ascii="Times New Roman" w:hAnsi="Times New Roman" w:cs="Times New Roman"/>
          <w:bCs/>
        </w:rPr>
        <w:t xml:space="preserve">    2.</w:t>
      </w:r>
      <w:r>
        <w:rPr>
          <w:rFonts w:hint="eastAsia" w:ascii="Times New Roman" w:hAnsi="Times New Roman" w:cs="Times New Roman"/>
          <w:bCs/>
        </w:rPr>
        <w:t>在投标文件中需提供相关证书扫描件和个人社保缴费清单（社保缴费清单要求是持证人员近三个月的在投标单位缴纳的个人社保缴费清单，如投标单位新成立不足三个月的，按实际缴纳情况提供持证人员在该单位的社保缴费清单，社保缴费清单需加盖缴费当地社保机构公章或业务章。近三个月指的是从</w:t>
      </w:r>
      <w:r>
        <w:rPr>
          <w:rFonts w:ascii="Times New Roman" w:hAnsi="Times New Roman" w:cs="Times New Roman"/>
          <w:bCs/>
        </w:rPr>
        <w:t>2024</w:t>
      </w:r>
      <w:r>
        <w:rPr>
          <w:rFonts w:hint="eastAsia" w:ascii="Times New Roman" w:hAnsi="Times New Roman" w:cs="Times New Roman"/>
          <w:bCs/>
        </w:rPr>
        <w:t>年</w:t>
      </w:r>
      <w:r>
        <w:rPr>
          <w:rFonts w:hint="default" w:ascii="Times New Roman" w:hAnsi="Times New Roman" w:cs="Times New Roman"/>
          <w:bCs/>
          <w:lang w:val="en-US"/>
        </w:rPr>
        <w:t>10</w:t>
      </w:r>
      <w:r>
        <w:rPr>
          <w:rFonts w:hint="eastAsia" w:ascii="Times New Roman" w:hAnsi="Times New Roman" w:cs="Times New Roman"/>
          <w:bCs/>
        </w:rPr>
        <w:t>月</w:t>
      </w:r>
      <w:r>
        <w:rPr>
          <w:rFonts w:ascii="Times New Roman" w:hAnsi="Times New Roman" w:cs="Times New Roman"/>
          <w:bCs/>
        </w:rPr>
        <w:t>01</w:t>
      </w:r>
      <w:r>
        <w:rPr>
          <w:rFonts w:hint="eastAsia" w:ascii="Times New Roman" w:hAnsi="Times New Roman" w:cs="Times New Roman"/>
          <w:bCs/>
        </w:rPr>
        <w:t>日至投标截止时止期间中任何一个连续</w:t>
      </w:r>
      <w:r>
        <w:rPr>
          <w:rFonts w:ascii="Times New Roman" w:hAnsi="Times New Roman" w:cs="Times New Roman"/>
          <w:bCs/>
        </w:rPr>
        <w:t>3</w:t>
      </w:r>
      <w:r>
        <w:rPr>
          <w:rFonts w:hint="eastAsia" w:ascii="Times New Roman" w:hAnsi="Times New Roman" w:cs="Times New Roman"/>
          <w:bCs/>
        </w:rPr>
        <w:t>个月）。</w:t>
      </w:r>
    </w:p>
    <w:p>
      <w:pPr>
        <w:pStyle w:val="31"/>
        <w:widowControl w:val="0"/>
        <w:ind w:firstLine="420" w:firstLineChars="200"/>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此表在不改变格式内容的情况下，可自行制作。</w:t>
      </w:r>
    </w:p>
    <w:p>
      <w:pPr>
        <w:widowControl w:val="0"/>
        <w:spacing w:line="400" w:lineRule="exact"/>
        <w:jc w:val="center"/>
        <w:rPr>
          <w:b/>
          <w:bCs/>
          <w:sz w:val="36"/>
          <w:szCs w:val="36"/>
        </w:rPr>
      </w:pPr>
      <w:r>
        <w:rPr>
          <w:rFonts w:hint="eastAsia"/>
          <w:b/>
          <w:bCs/>
          <w:sz w:val="36"/>
          <w:szCs w:val="36"/>
        </w:rPr>
        <w:t>其他人员情况表</w:t>
      </w:r>
    </w:p>
    <w:p>
      <w:pPr>
        <w:widowControl w:val="0"/>
        <w:rPr>
          <w:bCs/>
          <w:szCs w:val="21"/>
        </w:rPr>
      </w:pPr>
      <w:r>
        <w:rPr>
          <w:rFonts w:hint="eastAsia"/>
          <w:bCs/>
          <w:szCs w:val="21"/>
        </w:rPr>
        <w:t>投标人：（电子签章）</w:t>
      </w:r>
      <w:r>
        <w:rPr>
          <w:bCs/>
          <w:szCs w:val="21"/>
        </w:rPr>
        <w:t>_________________</w:t>
      </w:r>
      <w:r>
        <w:rPr>
          <w:rFonts w:hint="eastAsia"/>
          <w:bCs/>
        </w:rPr>
        <w:t>采购编号：</w:t>
      </w:r>
      <w:r>
        <w:t>YWCG2025001GK</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1387"/>
        <w:gridCol w:w="975"/>
        <w:gridCol w:w="1275"/>
        <w:gridCol w:w="175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38" w:type="dxa"/>
            <w:noWrap/>
            <w:vAlign w:val="center"/>
          </w:tcPr>
          <w:p>
            <w:pPr>
              <w:widowControl w:val="0"/>
              <w:jc w:val="center"/>
              <w:rPr>
                <w:bCs/>
                <w:szCs w:val="21"/>
              </w:rPr>
            </w:pPr>
            <w:r>
              <w:rPr>
                <w:rFonts w:hint="eastAsia"/>
                <w:bCs/>
                <w:szCs w:val="21"/>
              </w:rPr>
              <w:t>序号</w:t>
            </w:r>
          </w:p>
        </w:tc>
        <w:tc>
          <w:tcPr>
            <w:tcW w:w="1332" w:type="dxa"/>
            <w:noWrap/>
            <w:vAlign w:val="center"/>
          </w:tcPr>
          <w:p>
            <w:pPr>
              <w:widowControl w:val="0"/>
              <w:jc w:val="center"/>
              <w:rPr>
                <w:bCs/>
                <w:szCs w:val="21"/>
              </w:rPr>
            </w:pPr>
            <w:r>
              <w:rPr>
                <w:rFonts w:hint="eastAsia"/>
                <w:bCs/>
                <w:szCs w:val="21"/>
              </w:rPr>
              <w:t>岗位</w:t>
            </w:r>
          </w:p>
        </w:tc>
        <w:tc>
          <w:tcPr>
            <w:tcW w:w="1387" w:type="dxa"/>
            <w:noWrap/>
            <w:vAlign w:val="center"/>
          </w:tcPr>
          <w:p>
            <w:pPr>
              <w:widowControl w:val="0"/>
              <w:jc w:val="center"/>
              <w:rPr>
                <w:bCs/>
                <w:szCs w:val="21"/>
              </w:rPr>
            </w:pPr>
            <w:r>
              <w:rPr>
                <w:rFonts w:hint="eastAsia"/>
                <w:bCs/>
                <w:szCs w:val="21"/>
              </w:rPr>
              <w:t>姓名</w:t>
            </w:r>
          </w:p>
        </w:tc>
        <w:tc>
          <w:tcPr>
            <w:tcW w:w="975" w:type="dxa"/>
            <w:noWrap/>
            <w:vAlign w:val="center"/>
          </w:tcPr>
          <w:p>
            <w:pPr>
              <w:widowControl w:val="0"/>
              <w:jc w:val="center"/>
              <w:rPr>
                <w:bCs/>
                <w:szCs w:val="21"/>
              </w:rPr>
            </w:pPr>
            <w:r>
              <w:rPr>
                <w:rFonts w:hint="eastAsia"/>
                <w:bCs/>
                <w:szCs w:val="21"/>
              </w:rPr>
              <w:t>性别</w:t>
            </w:r>
          </w:p>
        </w:tc>
        <w:tc>
          <w:tcPr>
            <w:tcW w:w="1275" w:type="dxa"/>
            <w:noWrap/>
            <w:vAlign w:val="center"/>
          </w:tcPr>
          <w:p>
            <w:pPr>
              <w:widowControl w:val="0"/>
              <w:jc w:val="center"/>
              <w:rPr>
                <w:bCs/>
                <w:szCs w:val="21"/>
              </w:rPr>
            </w:pPr>
            <w:r>
              <w:rPr>
                <w:rFonts w:hint="eastAsia"/>
                <w:bCs/>
                <w:szCs w:val="21"/>
              </w:rPr>
              <w:t>技术等级或职称</w:t>
            </w:r>
          </w:p>
        </w:tc>
        <w:tc>
          <w:tcPr>
            <w:tcW w:w="1755" w:type="dxa"/>
            <w:noWrap/>
            <w:vAlign w:val="center"/>
          </w:tcPr>
          <w:p>
            <w:pPr>
              <w:widowControl w:val="0"/>
              <w:jc w:val="center"/>
              <w:rPr>
                <w:bCs/>
                <w:szCs w:val="21"/>
              </w:rPr>
            </w:pPr>
            <w:r>
              <w:rPr>
                <w:rFonts w:hint="eastAsia" w:ascii="宋体" w:hAnsi="宋体" w:cs="宋体"/>
              </w:rPr>
              <w:t>从事物业管理相关工作年限</w:t>
            </w:r>
          </w:p>
        </w:tc>
        <w:tc>
          <w:tcPr>
            <w:tcW w:w="1415" w:type="dxa"/>
            <w:noWrap/>
            <w:vAlign w:val="center"/>
          </w:tcPr>
          <w:p>
            <w:pPr>
              <w:widowControl w:val="0"/>
              <w:tabs>
                <w:tab w:val="left" w:pos="510"/>
              </w:tabs>
              <w:jc w:val="center"/>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noWrap/>
            <w:vAlign w:val="center"/>
          </w:tcPr>
          <w:p>
            <w:pPr>
              <w:widowControl w:val="0"/>
              <w:jc w:val="center"/>
              <w:rPr>
                <w:bCs/>
                <w:szCs w:val="21"/>
              </w:rPr>
            </w:pPr>
          </w:p>
        </w:tc>
        <w:tc>
          <w:tcPr>
            <w:tcW w:w="1332" w:type="dxa"/>
            <w:noWrap/>
            <w:vAlign w:val="center"/>
          </w:tcPr>
          <w:p>
            <w:pPr>
              <w:widowControl w:val="0"/>
              <w:jc w:val="center"/>
              <w:rPr>
                <w:bCs/>
                <w:szCs w:val="21"/>
              </w:rPr>
            </w:pPr>
          </w:p>
        </w:tc>
        <w:tc>
          <w:tcPr>
            <w:tcW w:w="1387" w:type="dxa"/>
            <w:noWrap/>
            <w:vAlign w:val="center"/>
          </w:tcPr>
          <w:p>
            <w:pPr>
              <w:widowControl w:val="0"/>
              <w:jc w:val="center"/>
              <w:rPr>
                <w:bCs/>
                <w:szCs w:val="21"/>
              </w:rPr>
            </w:pPr>
          </w:p>
        </w:tc>
        <w:tc>
          <w:tcPr>
            <w:tcW w:w="975" w:type="dxa"/>
            <w:noWrap/>
            <w:vAlign w:val="center"/>
          </w:tcPr>
          <w:p>
            <w:pPr>
              <w:widowControl w:val="0"/>
              <w:jc w:val="center"/>
              <w:rPr>
                <w:bCs/>
                <w:szCs w:val="21"/>
              </w:rPr>
            </w:pPr>
          </w:p>
        </w:tc>
        <w:tc>
          <w:tcPr>
            <w:tcW w:w="1275" w:type="dxa"/>
            <w:noWrap/>
            <w:vAlign w:val="center"/>
          </w:tcPr>
          <w:p>
            <w:pPr>
              <w:widowControl w:val="0"/>
              <w:jc w:val="center"/>
              <w:rPr>
                <w:bCs/>
                <w:szCs w:val="21"/>
              </w:rPr>
            </w:pPr>
          </w:p>
        </w:tc>
        <w:tc>
          <w:tcPr>
            <w:tcW w:w="1755" w:type="dxa"/>
            <w:noWrap/>
            <w:vAlign w:val="center"/>
          </w:tcPr>
          <w:p>
            <w:pPr>
              <w:widowControl w:val="0"/>
              <w:jc w:val="center"/>
              <w:rPr>
                <w:bCs/>
                <w:szCs w:val="21"/>
              </w:rPr>
            </w:pPr>
          </w:p>
        </w:tc>
        <w:tc>
          <w:tcPr>
            <w:tcW w:w="1415" w:type="dxa"/>
            <w:noWrap/>
            <w:vAlign w:val="center"/>
          </w:tcPr>
          <w:p>
            <w:pPr>
              <w:widowControl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noWrap/>
            <w:vAlign w:val="center"/>
          </w:tcPr>
          <w:p>
            <w:pPr>
              <w:widowControl w:val="0"/>
              <w:jc w:val="center"/>
              <w:rPr>
                <w:bCs/>
                <w:szCs w:val="21"/>
              </w:rPr>
            </w:pPr>
          </w:p>
        </w:tc>
        <w:tc>
          <w:tcPr>
            <w:tcW w:w="1332" w:type="dxa"/>
            <w:noWrap/>
            <w:vAlign w:val="center"/>
          </w:tcPr>
          <w:p>
            <w:pPr>
              <w:widowControl w:val="0"/>
              <w:jc w:val="center"/>
              <w:rPr>
                <w:rFonts w:hint="eastAsia"/>
                <w:bCs/>
                <w:szCs w:val="21"/>
              </w:rPr>
            </w:pPr>
          </w:p>
        </w:tc>
        <w:tc>
          <w:tcPr>
            <w:tcW w:w="1387" w:type="dxa"/>
            <w:noWrap/>
            <w:vAlign w:val="center"/>
          </w:tcPr>
          <w:p>
            <w:pPr>
              <w:widowControl w:val="0"/>
              <w:jc w:val="center"/>
              <w:rPr>
                <w:bCs/>
                <w:szCs w:val="21"/>
              </w:rPr>
            </w:pPr>
          </w:p>
        </w:tc>
        <w:tc>
          <w:tcPr>
            <w:tcW w:w="975" w:type="dxa"/>
            <w:noWrap/>
            <w:vAlign w:val="center"/>
          </w:tcPr>
          <w:p>
            <w:pPr>
              <w:widowControl w:val="0"/>
              <w:jc w:val="center"/>
              <w:rPr>
                <w:bCs/>
                <w:szCs w:val="21"/>
              </w:rPr>
            </w:pPr>
          </w:p>
        </w:tc>
        <w:tc>
          <w:tcPr>
            <w:tcW w:w="1275" w:type="dxa"/>
            <w:noWrap/>
            <w:vAlign w:val="center"/>
          </w:tcPr>
          <w:p>
            <w:pPr>
              <w:widowControl w:val="0"/>
              <w:jc w:val="center"/>
              <w:rPr>
                <w:bCs/>
                <w:szCs w:val="21"/>
              </w:rPr>
            </w:pPr>
          </w:p>
        </w:tc>
        <w:tc>
          <w:tcPr>
            <w:tcW w:w="1755" w:type="dxa"/>
            <w:noWrap/>
            <w:vAlign w:val="center"/>
          </w:tcPr>
          <w:p>
            <w:pPr>
              <w:widowControl w:val="0"/>
              <w:jc w:val="center"/>
              <w:rPr>
                <w:bCs/>
                <w:szCs w:val="21"/>
              </w:rPr>
            </w:pPr>
          </w:p>
        </w:tc>
        <w:tc>
          <w:tcPr>
            <w:tcW w:w="1415" w:type="dxa"/>
            <w:noWrap/>
            <w:vAlign w:val="center"/>
          </w:tcPr>
          <w:p>
            <w:pPr>
              <w:widowControl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noWrap/>
            <w:vAlign w:val="center"/>
          </w:tcPr>
          <w:p>
            <w:pPr>
              <w:widowControl w:val="0"/>
              <w:jc w:val="center"/>
              <w:rPr>
                <w:bCs/>
                <w:szCs w:val="21"/>
              </w:rPr>
            </w:pPr>
          </w:p>
        </w:tc>
        <w:tc>
          <w:tcPr>
            <w:tcW w:w="1332" w:type="dxa"/>
            <w:noWrap/>
            <w:vAlign w:val="center"/>
          </w:tcPr>
          <w:p>
            <w:pPr>
              <w:widowControl w:val="0"/>
              <w:jc w:val="center"/>
              <w:rPr>
                <w:rFonts w:hint="eastAsia"/>
                <w:bCs/>
                <w:szCs w:val="21"/>
              </w:rPr>
            </w:pPr>
          </w:p>
        </w:tc>
        <w:tc>
          <w:tcPr>
            <w:tcW w:w="1387" w:type="dxa"/>
            <w:noWrap/>
            <w:vAlign w:val="center"/>
          </w:tcPr>
          <w:p>
            <w:pPr>
              <w:widowControl w:val="0"/>
              <w:jc w:val="center"/>
              <w:rPr>
                <w:bCs/>
                <w:szCs w:val="21"/>
              </w:rPr>
            </w:pPr>
          </w:p>
        </w:tc>
        <w:tc>
          <w:tcPr>
            <w:tcW w:w="975" w:type="dxa"/>
            <w:noWrap/>
            <w:vAlign w:val="center"/>
          </w:tcPr>
          <w:p>
            <w:pPr>
              <w:widowControl w:val="0"/>
              <w:jc w:val="center"/>
              <w:rPr>
                <w:bCs/>
                <w:szCs w:val="21"/>
              </w:rPr>
            </w:pPr>
          </w:p>
        </w:tc>
        <w:tc>
          <w:tcPr>
            <w:tcW w:w="1275" w:type="dxa"/>
            <w:noWrap/>
            <w:vAlign w:val="center"/>
          </w:tcPr>
          <w:p>
            <w:pPr>
              <w:widowControl w:val="0"/>
              <w:jc w:val="center"/>
              <w:rPr>
                <w:bCs/>
                <w:szCs w:val="21"/>
              </w:rPr>
            </w:pPr>
          </w:p>
        </w:tc>
        <w:tc>
          <w:tcPr>
            <w:tcW w:w="1755" w:type="dxa"/>
            <w:noWrap/>
            <w:vAlign w:val="center"/>
          </w:tcPr>
          <w:p>
            <w:pPr>
              <w:widowControl w:val="0"/>
              <w:jc w:val="center"/>
              <w:rPr>
                <w:bCs/>
                <w:szCs w:val="21"/>
              </w:rPr>
            </w:pPr>
          </w:p>
        </w:tc>
        <w:tc>
          <w:tcPr>
            <w:tcW w:w="1415" w:type="dxa"/>
            <w:noWrap/>
            <w:vAlign w:val="center"/>
          </w:tcPr>
          <w:p>
            <w:pPr>
              <w:widowControl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noWrap/>
            <w:vAlign w:val="center"/>
          </w:tcPr>
          <w:p>
            <w:pPr>
              <w:widowControl w:val="0"/>
              <w:jc w:val="center"/>
              <w:rPr>
                <w:bCs/>
                <w:szCs w:val="21"/>
              </w:rPr>
            </w:pPr>
          </w:p>
        </w:tc>
        <w:tc>
          <w:tcPr>
            <w:tcW w:w="1332" w:type="dxa"/>
            <w:noWrap/>
            <w:vAlign w:val="center"/>
          </w:tcPr>
          <w:p>
            <w:pPr>
              <w:widowControl w:val="0"/>
              <w:jc w:val="center"/>
              <w:rPr>
                <w:rFonts w:hint="eastAsia"/>
                <w:bCs/>
                <w:szCs w:val="21"/>
              </w:rPr>
            </w:pPr>
          </w:p>
        </w:tc>
        <w:tc>
          <w:tcPr>
            <w:tcW w:w="1387" w:type="dxa"/>
            <w:noWrap/>
            <w:vAlign w:val="center"/>
          </w:tcPr>
          <w:p>
            <w:pPr>
              <w:widowControl w:val="0"/>
              <w:jc w:val="center"/>
              <w:rPr>
                <w:bCs/>
                <w:szCs w:val="21"/>
              </w:rPr>
            </w:pPr>
          </w:p>
        </w:tc>
        <w:tc>
          <w:tcPr>
            <w:tcW w:w="975" w:type="dxa"/>
            <w:noWrap/>
            <w:vAlign w:val="center"/>
          </w:tcPr>
          <w:p>
            <w:pPr>
              <w:widowControl w:val="0"/>
              <w:jc w:val="center"/>
              <w:rPr>
                <w:bCs/>
                <w:szCs w:val="21"/>
              </w:rPr>
            </w:pPr>
          </w:p>
        </w:tc>
        <w:tc>
          <w:tcPr>
            <w:tcW w:w="1275" w:type="dxa"/>
            <w:noWrap/>
            <w:vAlign w:val="center"/>
          </w:tcPr>
          <w:p>
            <w:pPr>
              <w:widowControl w:val="0"/>
              <w:jc w:val="center"/>
              <w:rPr>
                <w:bCs/>
                <w:szCs w:val="21"/>
              </w:rPr>
            </w:pPr>
          </w:p>
        </w:tc>
        <w:tc>
          <w:tcPr>
            <w:tcW w:w="1755" w:type="dxa"/>
            <w:noWrap/>
            <w:vAlign w:val="center"/>
          </w:tcPr>
          <w:p>
            <w:pPr>
              <w:widowControl w:val="0"/>
              <w:jc w:val="center"/>
              <w:rPr>
                <w:bCs/>
                <w:szCs w:val="21"/>
              </w:rPr>
            </w:pPr>
          </w:p>
        </w:tc>
        <w:tc>
          <w:tcPr>
            <w:tcW w:w="1415" w:type="dxa"/>
            <w:noWrap/>
            <w:vAlign w:val="center"/>
          </w:tcPr>
          <w:p>
            <w:pPr>
              <w:widowControl w:val="0"/>
              <w:jc w:val="center"/>
              <w:rPr>
                <w:bCs/>
                <w:szCs w:val="21"/>
              </w:rPr>
            </w:pPr>
          </w:p>
        </w:tc>
      </w:tr>
    </w:tbl>
    <w:p>
      <w:pPr>
        <w:pStyle w:val="31"/>
        <w:widowControl w:val="0"/>
        <w:wordWrap w:val="0"/>
        <w:ind w:firstLine="420" w:firstLineChars="200"/>
        <w:rPr>
          <w:rFonts w:ascii="Times New Roman" w:hAnsi="Times New Roman" w:cs="Times New Roman"/>
          <w:bCs/>
        </w:rPr>
      </w:pPr>
      <w:r>
        <w:rPr>
          <w:rFonts w:hint="eastAsia" w:ascii="Times New Roman" w:hAnsi="Times New Roman" w:cs="Times New Roman"/>
          <w:bCs/>
        </w:rPr>
        <w:t>注：</w:t>
      </w:r>
      <w:r>
        <w:rPr>
          <w:rFonts w:ascii="Times New Roman" w:hAnsi="Times New Roman" w:cs="Times New Roman"/>
          <w:bCs/>
        </w:rPr>
        <w:t>1.</w:t>
      </w:r>
      <w:r>
        <w:rPr>
          <w:rFonts w:hint="eastAsia" w:ascii="Times New Roman" w:hAnsi="Times New Roman" w:cs="Times New Roman"/>
          <w:bCs/>
        </w:rPr>
        <w:t>如有技术等级或职称证书，需将证书扫描件附于表后；</w:t>
      </w:r>
    </w:p>
    <w:p>
      <w:pPr>
        <w:pStyle w:val="31"/>
        <w:widowControl w:val="0"/>
        <w:wordWrap w:val="0"/>
        <w:ind w:firstLine="420" w:firstLineChars="200"/>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在投标文件中需提供相关证书扫描件和个人社保缴费清单（社保缴费清单要求是持证人员近三个月的在投标单位缴纳的个人社保缴费清单，如投标单位新成立不足三个月的，按实际缴纳情况提供持证人员在该单位的社保缴费清单，社保缴费清单需加盖缴费当地社保机构公章或业务章。近三个月指的是从</w:t>
      </w:r>
      <w:r>
        <w:rPr>
          <w:rFonts w:ascii="Times New Roman" w:hAnsi="Times New Roman" w:cs="Times New Roman"/>
          <w:bCs/>
        </w:rPr>
        <w:t>2024</w:t>
      </w:r>
      <w:r>
        <w:rPr>
          <w:rFonts w:hint="eastAsia" w:ascii="Times New Roman" w:hAnsi="Times New Roman" w:cs="Times New Roman"/>
          <w:bCs/>
        </w:rPr>
        <w:t>年</w:t>
      </w:r>
      <w:r>
        <w:rPr>
          <w:rFonts w:hint="default" w:ascii="Times New Roman" w:hAnsi="Times New Roman" w:cs="Times New Roman"/>
          <w:bCs/>
          <w:lang w:val="en-US"/>
        </w:rPr>
        <w:t>10</w:t>
      </w:r>
      <w:r>
        <w:rPr>
          <w:rFonts w:hint="eastAsia" w:ascii="Times New Roman" w:hAnsi="Times New Roman" w:cs="Times New Roman"/>
          <w:bCs/>
        </w:rPr>
        <w:t>月</w:t>
      </w:r>
      <w:r>
        <w:rPr>
          <w:rFonts w:ascii="Times New Roman" w:hAnsi="Times New Roman" w:cs="Times New Roman"/>
          <w:bCs/>
        </w:rPr>
        <w:t>01</w:t>
      </w:r>
      <w:r>
        <w:rPr>
          <w:rFonts w:hint="eastAsia" w:ascii="Times New Roman" w:hAnsi="Times New Roman" w:cs="Times New Roman"/>
          <w:bCs/>
        </w:rPr>
        <w:t>日至投标截止时止期间中任何一个连续</w:t>
      </w:r>
      <w:r>
        <w:rPr>
          <w:rFonts w:ascii="Times New Roman" w:hAnsi="Times New Roman" w:cs="Times New Roman"/>
          <w:bCs/>
        </w:rPr>
        <w:t>3</w:t>
      </w:r>
      <w:r>
        <w:rPr>
          <w:rFonts w:hint="eastAsia" w:ascii="Times New Roman" w:hAnsi="Times New Roman" w:cs="Times New Roman"/>
          <w:bCs/>
        </w:rPr>
        <w:t>个月）。</w:t>
      </w:r>
    </w:p>
    <w:p>
      <w:pPr>
        <w:pStyle w:val="31"/>
        <w:widowControl w:val="0"/>
        <w:wordWrap w:val="0"/>
        <w:ind w:firstLine="420" w:firstLineChars="200"/>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表格后可附上人员参与的工作项目名称、项目内容、时间、联系人、联系电话等内容。</w:t>
      </w:r>
    </w:p>
    <w:p>
      <w:pPr>
        <w:pStyle w:val="31"/>
        <w:widowControl w:val="0"/>
        <w:wordWrap w:val="0"/>
        <w:ind w:firstLine="420" w:firstLineChars="200"/>
        <w:rPr>
          <w:rFonts w:ascii="Times New Roman" w:hAnsi="Times New Roman" w:cs="Times New Roman"/>
          <w:bCs/>
          <w:sz w:val="36"/>
          <w:szCs w:val="36"/>
        </w:rPr>
      </w:pPr>
      <w:r>
        <w:rPr>
          <w:rFonts w:ascii="Times New Roman" w:hAnsi="Times New Roman" w:cs="Times New Roman"/>
          <w:bCs/>
        </w:rPr>
        <w:t>4.</w:t>
      </w:r>
      <w:r>
        <w:rPr>
          <w:rFonts w:hint="eastAsia" w:ascii="Times New Roman" w:hAnsi="Times New Roman" w:cs="Times New Roman"/>
          <w:bCs/>
        </w:rPr>
        <w:t>此表在不改变格式内容的情况下，可自行制作。</w:t>
      </w:r>
    </w:p>
    <w:p>
      <w:pPr>
        <w:pStyle w:val="31"/>
        <w:widowControl w:val="0"/>
        <w:spacing w:line="360" w:lineRule="auto"/>
        <w:rPr>
          <w:rFonts w:ascii="Times New Roman" w:hAnsi="Times New Roman" w:cs="Times New Roman"/>
          <w:bCs/>
          <w:sz w:val="36"/>
          <w:szCs w:val="36"/>
        </w:rPr>
      </w:pPr>
      <w:r>
        <w:rPr>
          <w:rFonts w:ascii="Times New Roman" w:hAnsi="Times New Roman" w:cs="Times New Roman"/>
          <w:bCs/>
          <w:sz w:val="36"/>
          <w:szCs w:val="36"/>
        </w:rPr>
        <w:t xml:space="preserve">6. </w:t>
      </w:r>
    </w:p>
    <w:p>
      <w:pPr>
        <w:pStyle w:val="6"/>
        <w:keepNext w:val="0"/>
        <w:keepLines w:val="0"/>
        <w:widowControl w:val="0"/>
        <w:spacing w:before="0" w:after="0" w:line="240" w:lineRule="auto"/>
        <w:jc w:val="center"/>
        <w:rPr>
          <w:rFonts w:ascii="Times New Roman" w:hAnsi="Times New Roman" w:eastAsia="宋体"/>
          <w:sz w:val="36"/>
          <w:szCs w:val="36"/>
        </w:rPr>
      </w:pPr>
      <w:r>
        <w:rPr>
          <w:rFonts w:hint="eastAsia" w:ascii="Times New Roman" w:hAnsi="Times New Roman" w:eastAsia="宋体"/>
          <w:sz w:val="36"/>
          <w:szCs w:val="36"/>
        </w:rPr>
        <w:t>规范偏离表</w:t>
      </w:r>
    </w:p>
    <w:p>
      <w:pPr>
        <w:widowControl w:val="0"/>
        <w:spacing w:line="360" w:lineRule="auto"/>
      </w:pPr>
      <w:r>
        <w:rPr>
          <w:rFonts w:hint="eastAsia"/>
          <w:sz w:val="21"/>
          <w:szCs w:val="21"/>
        </w:rPr>
        <w:t>采购编号：</w:t>
      </w:r>
      <w:r>
        <w:t>YWCG2025001GK</w:t>
      </w:r>
    </w:p>
    <w:tbl>
      <w:tblPr>
        <w:tblStyle w:val="57"/>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40" w:type="dxa"/>
            <w:vAlign w:val="center"/>
          </w:tcPr>
          <w:p>
            <w:pPr>
              <w:widowControl w:val="0"/>
              <w:jc w:val="center"/>
            </w:pPr>
          </w:p>
        </w:tc>
        <w:tc>
          <w:tcPr>
            <w:tcW w:w="813" w:type="dxa"/>
            <w:vAlign w:val="center"/>
          </w:tcPr>
          <w:p>
            <w:pPr>
              <w:widowControl w:val="0"/>
              <w:spacing w:line="420" w:lineRule="exact"/>
              <w:jc w:val="center"/>
            </w:pPr>
            <w:r>
              <w:rPr>
                <w:rFonts w:hint="eastAsia"/>
              </w:rPr>
              <w:t>序号</w:t>
            </w:r>
          </w:p>
        </w:tc>
        <w:tc>
          <w:tcPr>
            <w:tcW w:w="1701" w:type="dxa"/>
            <w:vAlign w:val="center"/>
          </w:tcPr>
          <w:p>
            <w:pPr>
              <w:widowControl w:val="0"/>
              <w:spacing w:line="420" w:lineRule="exact"/>
              <w:jc w:val="center"/>
            </w:pPr>
            <w:r>
              <w:rPr>
                <w:rFonts w:hint="eastAsia"/>
              </w:rPr>
              <w:t>内容</w:t>
            </w:r>
          </w:p>
        </w:tc>
        <w:tc>
          <w:tcPr>
            <w:tcW w:w="1984" w:type="dxa"/>
            <w:vAlign w:val="center"/>
          </w:tcPr>
          <w:p>
            <w:pPr>
              <w:widowControl w:val="0"/>
              <w:jc w:val="center"/>
            </w:pPr>
            <w:r>
              <w:rPr>
                <w:rFonts w:hint="eastAsia"/>
              </w:rPr>
              <w:t>招标文件</w:t>
            </w:r>
          </w:p>
          <w:p>
            <w:pPr>
              <w:widowControl w:val="0"/>
              <w:jc w:val="center"/>
            </w:pPr>
            <w:r>
              <w:rPr>
                <w:rFonts w:hint="eastAsia"/>
              </w:rPr>
              <w:t>规范要求</w:t>
            </w:r>
          </w:p>
        </w:tc>
        <w:tc>
          <w:tcPr>
            <w:tcW w:w="1843" w:type="dxa"/>
            <w:vAlign w:val="center"/>
          </w:tcPr>
          <w:p>
            <w:pPr>
              <w:widowControl w:val="0"/>
              <w:jc w:val="center"/>
            </w:pPr>
            <w:r>
              <w:rPr>
                <w:rFonts w:hint="eastAsia"/>
              </w:rPr>
              <w:t>投标文件</w:t>
            </w:r>
          </w:p>
          <w:p>
            <w:pPr>
              <w:widowControl w:val="0"/>
              <w:jc w:val="center"/>
            </w:pPr>
            <w:r>
              <w:rPr>
                <w:rFonts w:hint="eastAsia"/>
              </w:rPr>
              <w:t>对应规范</w:t>
            </w:r>
          </w:p>
        </w:tc>
        <w:tc>
          <w:tcPr>
            <w:tcW w:w="3379" w:type="dxa"/>
            <w:vAlign w:val="center"/>
          </w:tcPr>
          <w:p>
            <w:pPr>
              <w:widowControl w:val="0"/>
              <w:jc w:val="center"/>
            </w:pPr>
            <w:r>
              <w:rPr>
                <w:rFonts w:hint="eastAsia"/>
              </w:rPr>
              <w:t>偏离情况</w:t>
            </w:r>
          </w:p>
          <w:p>
            <w:pPr>
              <w:widowControl w:val="0"/>
              <w:jc w:val="center"/>
            </w:pPr>
            <w:r>
              <w:rPr>
                <w:rFonts w:hint="eastAsia"/>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vAlign w:val="center"/>
          </w:tcPr>
          <w:p>
            <w:pPr>
              <w:widowControl w:val="0"/>
              <w:spacing w:line="360" w:lineRule="auto"/>
              <w:jc w:val="center"/>
            </w:pPr>
            <w:r>
              <w:rPr>
                <w:rFonts w:hint="eastAsia"/>
              </w:rPr>
              <w:t>商务偏离</w:t>
            </w: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vAlign w:val="center"/>
          </w:tcPr>
          <w:p>
            <w:pPr>
              <w:widowControl w:val="0"/>
            </w:pPr>
            <w:r>
              <w:rPr>
                <w:rFonts w:hint="eastAsia"/>
              </w:rPr>
              <w:t>技术</w:t>
            </w:r>
          </w:p>
          <w:p>
            <w:pPr>
              <w:widowControl w:val="0"/>
            </w:pPr>
            <w:r>
              <w:rPr>
                <w:rFonts w:hint="eastAsia"/>
              </w:rPr>
              <w:t>偏离</w:t>
            </w: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Pr>
          <w:p>
            <w:pPr>
              <w:widowControl w:val="0"/>
              <w:spacing w:line="360" w:lineRule="auto"/>
              <w:jc w:val="center"/>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vAlign w:val="center"/>
          </w:tcPr>
          <w:p>
            <w:pPr>
              <w:widowControl w:val="0"/>
            </w:pPr>
          </w:p>
        </w:tc>
        <w:tc>
          <w:tcPr>
            <w:tcW w:w="813" w:type="dxa"/>
          </w:tcPr>
          <w:p>
            <w:pPr>
              <w:widowControl w:val="0"/>
              <w:spacing w:line="360" w:lineRule="auto"/>
            </w:pPr>
          </w:p>
        </w:tc>
        <w:tc>
          <w:tcPr>
            <w:tcW w:w="1701" w:type="dxa"/>
          </w:tcPr>
          <w:p>
            <w:pPr>
              <w:widowControl w:val="0"/>
              <w:spacing w:line="360" w:lineRule="auto"/>
            </w:pPr>
          </w:p>
        </w:tc>
        <w:tc>
          <w:tcPr>
            <w:tcW w:w="1984" w:type="dxa"/>
          </w:tcPr>
          <w:p>
            <w:pPr>
              <w:widowControl w:val="0"/>
              <w:spacing w:line="360" w:lineRule="auto"/>
            </w:pPr>
          </w:p>
        </w:tc>
        <w:tc>
          <w:tcPr>
            <w:tcW w:w="1843" w:type="dxa"/>
          </w:tcPr>
          <w:p>
            <w:pPr>
              <w:widowControl w:val="0"/>
              <w:spacing w:line="360" w:lineRule="auto"/>
            </w:pPr>
          </w:p>
        </w:tc>
        <w:tc>
          <w:tcPr>
            <w:tcW w:w="3379" w:type="dxa"/>
          </w:tcPr>
          <w:p>
            <w:pPr>
              <w:widowControl w:val="0"/>
              <w:spacing w:line="360" w:lineRule="auto"/>
            </w:pPr>
          </w:p>
        </w:tc>
      </w:tr>
    </w:tbl>
    <w:p>
      <w:pPr>
        <w:widowControl w:val="0"/>
        <w:spacing w:line="400" w:lineRule="exact"/>
        <w:jc w:val="right"/>
      </w:pPr>
      <w:r>
        <w:rPr>
          <w:rFonts w:hint="eastAsia"/>
        </w:rPr>
        <w:t>投标人名称（电子签章）：</w:t>
      </w:r>
    </w:p>
    <w:p>
      <w:pPr>
        <w:widowControl w:val="0"/>
        <w:spacing w:line="400" w:lineRule="exact"/>
        <w:jc w:val="right"/>
      </w:pPr>
      <w:r>
        <w:rPr>
          <w:rFonts w:hint="eastAsia"/>
        </w:rPr>
        <w:t>日期：年月日</w:t>
      </w:r>
    </w:p>
    <w:p>
      <w:pPr>
        <w:pStyle w:val="2"/>
        <w:widowControl w:val="0"/>
        <w:ind w:left="31680" w:firstLine="31680"/>
      </w:pPr>
    </w:p>
    <w:p>
      <w:pPr>
        <w:pStyle w:val="2"/>
        <w:widowControl w:val="0"/>
        <w:ind w:left="31680" w:firstLine="31680"/>
      </w:pPr>
    </w:p>
    <w:p>
      <w:pPr>
        <w:widowControl w:val="0"/>
        <w:spacing w:line="400" w:lineRule="exact"/>
        <w:ind w:firstLine="480" w:firstLineChars="200"/>
      </w:pPr>
      <w:r>
        <w:rPr>
          <w:rFonts w:hint="eastAsia"/>
        </w:rPr>
        <w:t>备注：</w:t>
      </w:r>
      <w:r>
        <w:t>1</w:t>
      </w:r>
      <w:r>
        <w:rPr>
          <w:rFonts w:hint="eastAsia"/>
        </w:rPr>
        <w:t>、投标人应仔细对第三章招标项目要求进行逐条分析，如投标内容与招标文件内容有不一致的，则须在上表中列明并详细填写。</w:t>
      </w:r>
    </w:p>
    <w:p>
      <w:pPr>
        <w:widowControl w:val="0"/>
        <w:spacing w:line="400" w:lineRule="exact"/>
        <w:ind w:firstLine="480" w:firstLineChars="200"/>
      </w:pPr>
      <w:r>
        <w:t>2</w:t>
      </w:r>
      <w:r>
        <w:rPr>
          <w:rFonts w:hint="eastAsia"/>
        </w:rPr>
        <w:t>、如招标文件内容与投标文件内容都一致的，则本表可以在相关的盖章后，不需要填写其他内容或在</w:t>
      </w:r>
      <w:r>
        <w:t>“</w:t>
      </w:r>
      <w:r>
        <w:rPr>
          <w:rFonts w:hint="eastAsia"/>
        </w:rPr>
        <w:t>偏离情况详细说明</w:t>
      </w:r>
      <w:r>
        <w:t>”</w:t>
      </w:r>
      <w:r>
        <w:rPr>
          <w:rFonts w:hint="eastAsia"/>
        </w:rPr>
        <w:t>栏内只填写一个无字。</w:t>
      </w:r>
    </w:p>
    <w:p>
      <w:pPr>
        <w:widowControl w:val="0"/>
        <w:spacing w:line="400" w:lineRule="exact"/>
        <w:ind w:firstLine="480" w:firstLineChars="200"/>
      </w:pPr>
      <w:r>
        <w:t>3</w:t>
      </w:r>
      <w:r>
        <w:rPr>
          <w:rFonts w:hint="eastAsia"/>
        </w:rPr>
        <w:t>、此表在不改变表式内容的情况下可自行制作。</w:t>
      </w:r>
    </w:p>
    <w:p>
      <w:pPr>
        <w:pStyle w:val="31"/>
        <w:widowControl w:val="0"/>
        <w:spacing w:line="400" w:lineRule="exact"/>
        <w:rPr>
          <w:rFonts w:ascii="Times New Roman" w:hAnsi="Times New Roman" w:cs="Times New Roman"/>
          <w:bCs/>
          <w:sz w:val="28"/>
          <w:szCs w:val="28"/>
        </w:rPr>
      </w:pPr>
    </w:p>
    <w:p>
      <w:pPr>
        <w:pStyle w:val="31"/>
        <w:widowControl w:val="0"/>
        <w:spacing w:line="360" w:lineRule="auto"/>
        <w:rPr>
          <w:rFonts w:ascii="Times New Roman" w:hAnsi="Times New Roman" w:cs="Times New Roman"/>
          <w:sz w:val="36"/>
          <w:szCs w:val="36"/>
        </w:rPr>
      </w:pPr>
      <w:r>
        <w:rPr>
          <w:rFonts w:ascii="Times New Roman" w:hAnsi="Times New Roman" w:cs="Times New Roman"/>
          <w:bCs/>
          <w:sz w:val="36"/>
          <w:szCs w:val="36"/>
        </w:rPr>
        <w:br w:type="page"/>
      </w:r>
      <w:r>
        <w:rPr>
          <w:rFonts w:ascii="Times New Roman" w:hAnsi="Times New Roman" w:cs="Times New Roman"/>
          <w:bCs/>
          <w:sz w:val="36"/>
          <w:szCs w:val="36"/>
        </w:rPr>
        <w:t>7.</w:t>
      </w:r>
    </w:p>
    <w:p>
      <w:pPr>
        <w:pStyle w:val="6"/>
        <w:keepNext w:val="0"/>
        <w:keepLines w:val="0"/>
        <w:widowControl w:val="0"/>
        <w:spacing w:before="0" w:after="0" w:line="240" w:lineRule="auto"/>
        <w:jc w:val="center"/>
        <w:rPr>
          <w:rFonts w:ascii="Times New Roman" w:hAnsi="Times New Roman" w:eastAsia="宋体"/>
          <w:sz w:val="36"/>
          <w:szCs w:val="36"/>
        </w:rPr>
      </w:pPr>
      <w:r>
        <w:rPr>
          <w:rFonts w:hint="eastAsia" w:ascii="Times New Roman" w:hAnsi="Times New Roman" w:eastAsia="宋体"/>
          <w:sz w:val="36"/>
          <w:szCs w:val="36"/>
        </w:rPr>
        <w:t>开标一览表</w:t>
      </w:r>
    </w:p>
    <w:p>
      <w:pPr>
        <w:widowControl w:val="0"/>
        <w:spacing w:line="312" w:lineRule="auto"/>
        <w:rPr>
          <w:rFonts w:hint="eastAsia"/>
          <w:lang w:val="en-US" w:eastAsia="zh-CN"/>
        </w:rPr>
      </w:pPr>
      <w:r>
        <w:rPr>
          <w:rFonts w:hint="eastAsia"/>
        </w:rPr>
        <w:t>项目名称：</w:t>
      </w:r>
      <w:r>
        <w:rPr>
          <w:rFonts w:hint="eastAsia"/>
          <w:lang w:val="en-US" w:eastAsia="zh-CN"/>
        </w:rPr>
        <w:t>义乌市人民政府城西街道办事处</w:t>
      </w:r>
      <w:r>
        <w:rPr>
          <w:rFonts w:hint="default"/>
          <w:lang w:val="en-US" w:eastAsia="zh-CN"/>
        </w:rPr>
        <w:t>6</w:t>
      </w:r>
      <w:r>
        <w:rPr>
          <w:rFonts w:hint="eastAsia"/>
          <w:lang w:val="en-US" w:eastAsia="zh-CN"/>
        </w:rPr>
        <w:t>个办公区域安保及保洁服务</w:t>
      </w:r>
    </w:p>
    <w:p>
      <w:pPr>
        <w:widowControl w:val="0"/>
        <w:spacing w:line="312" w:lineRule="auto"/>
      </w:pPr>
      <w:r>
        <w:rPr>
          <w:rFonts w:hint="eastAsia"/>
        </w:rPr>
        <w:t>采购编号：</w:t>
      </w:r>
      <w:r>
        <w:t>YWCG2025001GK</w:t>
      </w:r>
    </w:p>
    <w:tbl>
      <w:tblPr>
        <w:tblStyle w:val="57"/>
        <w:tblW w:w="10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4350"/>
        <w:gridCol w:w="168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shd w:val="clear" w:color="auto" w:fill="FFFFFF"/>
            <w:noWrap/>
            <w:vAlign w:val="center"/>
          </w:tcPr>
          <w:p>
            <w:pPr>
              <w:spacing w:line="400" w:lineRule="exact"/>
              <w:jc w:val="center"/>
              <w:rPr>
                <w:b/>
              </w:rPr>
            </w:pPr>
            <w:r>
              <w:rPr>
                <w:rFonts w:hint="eastAsia"/>
                <w:b/>
              </w:rPr>
              <w:t>序</w:t>
            </w:r>
            <w:r>
              <w:rPr>
                <w:rFonts w:hint="default"/>
                <w:b/>
                <w:lang w:val="en-US"/>
              </w:rPr>
              <w:t xml:space="preserve">  </w:t>
            </w:r>
            <w:r>
              <w:rPr>
                <w:rFonts w:hint="eastAsia"/>
                <w:b/>
              </w:rPr>
              <w:t>号</w:t>
            </w:r>
          </w:p>
        </w:tc>
        <w:tc>
          <w:tcPr>
            <w:tcW w:w="4350" w:type="dxa"/>
            <w:shd w:val="clear" w:color="auto" w:fill="FFFFFF"/>
            <w:noWrap/>
            <w:vAlign w:val="center"/>
          </w:tcPr>
          <w:p>
            <w:pPr>
              <w:spacing w:line="400" w:lineRule="exact"/>
              <w:jc w:val="center"/>
              <w:rPr>
                <w:b/>
              </w:rPr>
            </w:pPr>
            <w:r>
              <w:rPr>
                <w:rFonts w:hint="eastAsia"/>
                <w:b/>
              </w:rPr>
              <w:t>项目名称</w:t>
            </w:r>
          </w:p>
        </w:tc>
        <w:tc>
          <w:tcPr>
            <w:tcW w:w="1682" w:type="dxa"/>
            <w:shd w:val="clear" w:color="auto" w:fill="FFFFFF"/>
            <w:noWrap/>
            <w:vAlign w:val="center"/>
          </w:tcPr>
          <w:p>
            <w:pPr>
              <w:spacing w:line="400" w:lineRule="exact"/>
              <w:jc w:val="center"/>
              <w:rPr>
                <w:rFonts w:hint="eastAsia" w:eastAsia="宋体"/>
                <w:b/>
                <w:lang w:val="en-US" w:eastAsia="zh-CN"/>
              </w:rPr>
            </w:pPr>
            <w:r>
              <w:rPr>
                <w:rFonts w:hint="eastAsia" w:ascii="新宋体" w:hAnsi="新宋体" w:eastAsia="新宋体" w:cs="新宋体"/>
                <w:b/>
                <w:sz w:val="24"/>
                <w:szCs w:val="21"/>
              </w:rPr>
              <w:t>服务期限</w:t>
            </w:r>
          </w:p>
        </w:tc>
        <w:tc>
          <w:tcPr>
            <w:tcW w:w="1701" w:type="dxa"/>
            <w:shd w:val="clear" w:color="auto" w:fill="FFFFFF"/>
            <w:noWrap/>
            <w:vAlign w:val="center"/>
          </w:tcPr>
          <w:p>
            <w:pPr>
              <w:spacing w:line="400" w:lineRule="exact"/>
              <w:jc w:val="center"/>
              <w:rPr>
                <w:rFonts w:hint="eastAsia"/>
                <w:b/>
              </w:rPr>
            </w:pPr>
            <w:r>
              <w:rPr>
                <w:rFonts w:hint="eastAsia" w:ascii="新宋体" w:hAnsi="新宋体" w:eastAsia="新宋体" w:cs="新宋体"/>
                <w:b/>
                <w:sz w:val="24"/>
              </w:rPr>
              <w:t>单价（元/年）</w:t>
            </w:r>
          </w:p>
        </w:tc>
        <w:tc>
          <w:tcPr>
            <w:tcW w:w="1701" w:type="dxa"/>
            <w:shd w:val="clear" w:color="auto" w:fill="FFFFFF"/>
            <w:noWrap/>
            <w:vAlign w:val="center"/>
          </w:tcPr>
          <w:p>
            <w:pPr>
              <w:spacing w:line="400" w:lineRule="exact"/>
              <w:jc w:val="center"/>
              <w:rPr>
                <w:b/>
              </w:rPr>
            </w:pPr>
            <w:r>
              <w:rPr>
                <w:rFonts w:hint="eastAsia"/>
                <w:b/>
              </w:rPr>
              <w:t>总</w:t>
            </w:r>
            <w:r>
              <w:rPr>
                <w:rFonts w:hint="default"/>
                <w:b/>
                <w:lang w:val="en-US"/>
              </w:rPr>
              <w:t xml:space="preserve">  </w:t>
            </w:r>
            <w:r>
              <w:rPr>
                <w:rFonts w:hint="eastAsia"/>
                <w:b/>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373" w:type="dxa"/>
            <w:shd w:val="clear" w:color="auto" w:fill="FFFFFF"/>
            <w:noWrap/>
            <w:vAlign w:val="center"/>
          </w:tcPr>
          <w:p>
            <w:pPr>
              <w:spacing w:line="400" w:lineRule="exact"/>
              <w:jc w:val="center"/>
            </w:pPr>
            <w:r>
              <w:t>1</w:t>
            </w:r>
          </w:p>
        </w:tc>
        <w:tc>
          <w:tcPr>
            <w:tcW w:w="4350" w:type="dxa"/>
            <w:shd w:val="clear" w:color="auto" w:fill="FFFFFF"/>
            <w:noWrap/>
            <w:vAlign w:val="center"/>
          </w:tcPr>
          <w:p>
            <w:pPr>
              <w:widowControl w:val="0"/>
              <w:spacing w:line="312" w:lineRule="auto"/>
              <w:jc w:val="center"/>
              <w:rPr>
                <w:rFonts w:ascii="Times New Roman" w:hAnsi="Times New Roman" w:cs="Times New Roman"/>
                <w:sz w:val="24"/>
                <w:szCs w:val="24"/>
              </w:rPr>
            </w:pPr>
            <w:r>
              <w:rPr>
                <w:rFonts w:hint="eastAsia"/>
                <w:lang w:val="en-US" w:eastAsia="zh-CN"/>
              </w:rPr>
              <w:t>义乌市人民政府城西街道办事处</w:t>
            </w:r>
            <w:r>
              <w:rPr>
                <w:rFonts w:hint="default"/>
                <w:lang w:val="en-US" w:eastAsia="zh-CN"/>
              </w:rPr>
              <w:t>6</w:t>
            </w:r>
            <w:r>
              <w:rPr>
                <w:rFonts w:hint="eastAsia"/>
                <w:lang w:val="en-US" w:eastAsia="zh-CN"/>
              </w:rPr>
              <w:t>个办公区域安保及保洁服务</w:t>
            </w:r>
            <w:r>
              <w:rPr>
                <w:rFonts w:hint="eastAsia" w:ascii="Times New Roman" w:hAnsi="Times New Roman" w:cs="Times New Roman"/>
                <w:sz w:val="24"/>
                <w:szCs w:val="24"/>
              </w:rPr>
              <w:t>采购项目</w:t>
            </w:r>
          </w:p>
          <w:p>
            <w:pPr>
              <w:pStyle w:val="31"/>
              <w:widowControl w:val="0"/>
              <w:spacing w:line="360" w:lineRule="auto"/>
              <w:jc w:val="center"/>
              <w:rPr>
                <w:rFonts w:ascii="Times New Roman" w:hAnsi="Times New Roman" w:cs="Times New Roman"/>
                <w:bCs/>
                <w:sz w:val="24"/>
                <w:szCs w:val="24"/>
              </w:rPr>
            </w:pPr>
            <w:r>
              <w:rPr>
                <w:rFonts w:hint="eastAsia" w:ascii="Times New Roman" w:hAnsi="Times New Roman" w:cs="Times New Roman"/>
                <w:bCs/>
                <w:sz w:val="24"/>
                <w:szCs w:val="24"/>
              </w:rPr>
              <w:t>（采购编号：</w:t>
            </w:r>
            <w:r>
              <w:rPr>
                <w:rFonts w:ascii="Times New Roman" w:hAnsi="Times New Roman" w:cs="Times New Roman"/>
                <w:sz w:val="24"/>
                <w:szCs w:val="24"/>
              </w:rPr>
              <w:t>YWCG2025001GK</w:t>
            </w:r>
            <w:r>
              <w:rPr>
                <w:rFonts w:hint="eastAsia" w:ascii="Times New Roman" w:hAnsi="Times New Roman" w:cs="Times New Roman"/>
                <w:bCs/>
                <w:sz w:val="24"/>
                <w:szCs w:val="24"/>
              </w:rPr>
              <w:t>）</w:t>
            </w:r>
          </w:p>
          <w:p>
            <w:pPr>
              <w:spacing w:line="400" w:lineRule="exact"/>
              <w:jc w:val="center"/>
            </w:pPr>
          </w:p>
        </w:tc>
        <w:tc>
          <w:tcPr>
            <w:tcW w:w="1682" w:type="dxa"/>
            <w:shd w:val="clear" w:color="auto" w:fill="FFFFFF"/>
            <w:noWrap/>
            <w:vAlign w:val="center"/>
          </w:tcPr>
          <w:p>
            <w:pPr>
              <w:jc w:val="center"/>
              <w:rPr>
                <w:rFonts w:hint="eastAsia" w:eastAsia="宋体"/>
                <w:lang w:val="en-US" w:eastAsia="zh-CN"/>
              </w:rPr>
            </w:pPr>
            <w:r>
              <w:rPr>
                <w:rFonts w:hint="eastAsia"/>
                <w:lang w:val="en-US" w:eastAsia="zh-CN"/>
              </w:rPr>
              <w:t>三年</w:t>
            </w:r>
          </w:p>
        </w:tc>
        <w:tc>
          <w:tcPr>
            <w:tcW w:w="1701" w:type="dxa"/>
            <w:shd w:val="clear" w:color="auto" w:fill="FFFFFF"/>
            <w:noWrap/>
            <w:vAlign w:val="center"/>
          </w:tcPr>
          <w:p>
            <w:pPr>
              <w:jc w:val="center"/>
            </w:pPr>
          </w:p>
        </w:tc>
        <w:tc>
          <w:tcPr>
            <w:tcW w:w="1701" w:type="dxa"/>
            <w:shd w:val="clear" w:color="auto" w:fill="FFFFFF"/>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73" w:type="dxa"/>
            <w:noWrap/>
            <w:vAlign w:val="center"/>
          </w:tcPr>
          <w:p>
            <w:pPr>
              <w:widowControl w:val="0"/>
              <w:spacing w:line="360" w:lineRule="auto"/>
              <w:jc w:val="center"/>
            </w:pPr>
          </w:p>
          <w:p>
            <w:pPr>
              <w:widowControl w:val="0"/>
              <w:spacing w:line="360" w:lineRule="auto"/>
              <w:jc w:val="center"/>
            </w:pPr>
            <w:r>
              <w:rPr>
                <w:rFonts w:hint="eastAsia"/>
              </w:rPr>
              <w:t>合计</w:t>
            </w:r>
          </w:p>
          <w:p>
            <w:pPr>
              <w:widowControl w:val="0"/>
              <w:spacing w:line="360" w:lineRule="auto"/>
              <w:jc w:val="center"/>
            </w:pPr>
          </w:p>
        </w:tc>
        <w:tc>
          <w:tcPr>
            <w:tcW w:w="9434" w:type="dxa"/>
            <w:gridSpan w:val="4"/>
            <w:noWrap/>
            <w:vAlign w:val="center"/>
          </w:tcPr>
          <w:p>
            <w:pPr>
              <w:widowControl w:val="0"/>
              <w:spacing w:line="360" w:lineRule="auto"/>
              <w:jc w:val="both"/>
              <w:rPr>
                <w:u w:val="single"/>
              </w:rPr>
            </w:pPr>
            <w:r>
              <w:rPr>
                <w:rFonts w:hint="eastAsia"/>
              </w:rPr>
              <w:t>大写：</w:t>
            </w:r>
          </w:p>
          <w:p>
            <w:pPr>
              <w:widowControl w:val="0"/>
              <w:spacing w:line="360" w:lineRule="auto"/>
              <w:jc w:val="both"/>
            </w:pPr>
            <w:r>
              <w:rPr>
                <w:rFonts w:hint="eastAsia"/>
              </w:rPr>
              <w:t>小写：￥</w:t>
            </w:r>
          </w:p>
        </w:tc>
      </w:tr>
    </w:tbl>
    <w:p>
      <w:pPr>
        <w:pStyle w:val="2"/>
        <w:ind w:left="31680" w:firstLine="31680"/>
      </w:pPr>
    </w:p>
    <w:p>
      <w:pPr>
        <w:pStyle w:val="31"/>
        <w:widowControl w:val="0"/>
        <w:spacing w:line="312" w:lineRule="auto"/>
        <w:rPr>
          <w:rFonts w:ascii="Times New Roman" w:hAnsi="Times New Roman" w:cs="Times New Roman"/>
          <w:sz w:val="24"/>
          <w:szCs w:val="24"/>
        </w:rPr>
      </w:pPr>
      <w:r>
        <w:rPr>
          <w:rFonts w:hint="eastAsia" w:ascii="Times New Roman" w:hAnsi="Times New Roman" w:cs="Times New Roman"/>
          <w:sz w:val="24"/>
          <w:szCs w:val="24"/>
        </w:rPr>
        <w:t>投标人名称（电子签章）：</w:t>
      </w:r>
      <w:r>
        <w:rPr>
          <w:rFonts w:ascii="Times New Roman" w:hAnsi="Times New Roman" w:cs="Times New Roman"/>
          <w:sz w:val="24"/>
          <w:szCs w:val="24"/>
        </w:rPr>
        <w:t xml:space="preserve">________________________  </w:t>
      </w:r>
    </w:p>
    <w:p>
      <w:pPr>
        <w:widowControl w:val="0"/>
        <w:spacing w:line="312" w:lineRule="auto"/>
        <w:ind w:firstLine="480" w:firstLineChars="200"/>
      </w:pPr>
      <w:r>
        <w:rPr>
          <w:rFonts w:hint="eastAsia"/>
        </w:rPr>
        <w:t>日期</w:t>
      </w:r>
      <w:r>
        <w:t>:________________</w:t>
      </w:r>
    </w:p>
    <w:p>
      <w:pPr>
        <w:pStyle w:val="31"/>
        <w:spacing w:line="440" w:lineRule="exact"/>
        <w:rPr>
          <w:rFonts w:ascii="Times New Roman" w:hAnsi="Times New Roman" w:cs="Times New Roman"/>
          <w:sz w:val="24"/>
          <w:szCs w:val="24"/>
        </w:rPr>
      </w:pPr>
      <w:r>
        <w:rPr>
          <w:rFonts w:hint="eastAsia" w:ascii="Times New Roman" w:hAnsi="Times New Roman" w:cs="Times New Roman"/>
          <w:sz w:val="24"/>
          <w:szCs w:val="24"/>
        </w:rPr>
        <w:t>备注：</w:t>
      </w:r>
      <w:bookmarkStart w:id="154" w:name="OLE_LINK15"/>
      <w:bookmarkStart w:id="155" w:name="OLE_LINK16"/>
      <w:r>
        <w:rPr>
          <w:rFonts w:ascii="Times New Roman" w:hAnsi="Times New Roman" w:cs="Times New Roman"/>
          <w:sz w:val="24"/>
          <w:szCs w:val="24"/>
        </w:rPr>
        <w:t>1.</w:t>
      </w:r>
      <w:r>
        <w:rPr>
          <w:rFonts w:hint="eastAsia" w:ascii="新宋体" w:hAnsi="新宋体" w:eastAsia="新宋体" w:cs="新宋体"/>
          <w:sz w:val="24"/>
        </w:rPr>
        <w:t>投标人应根据国家的有关规定和招标文件要求并结合企业的实际情况进行投标报价。</w:t>
      </w:r>
      <w:r>
        <w:rPr>
          <w:rFonts w:hint="eastAsia" w:hAnsi="宋体"/>
          <w:b w:val="0"/>
          <w:bCs/>
          <w:sz w:val="24"/>
          <w:szCs w:val="24"/>
        </w:rPr>
        <w:t>投标报价以人民币为结算货币，投标报价须包含：</w:t>
      </w:r>
      <w:r>
        <w:rPr>
          <w:rFonts w:hint="eastAsia" w:hAnsi="宋体"/>
          <w:b/>
          <w:sz w:val="24"/>
          <w:szCs w:val="24"/>
        </w:rPr>
        <w:t>服务人员工资，按规定缴纳的各类保险，加班费，管理费用，税费，固定资产折旧费，企业提取费用，所有材料及易耗品（包括卫生纸、擦手纸、洗手液、塑料袋、除臭香球、除臭剂等耗材）费用，工具，福利费，培训费，安保及保洁办公费用，服装费，夜餐费，伙食费，过节费，奖励费，劳保费，体检费，弱电及供水、供电等设备设施的日常维护、保养(不含消防、空调日常维护、保养产生费用)，楼外墙、窗清洗的费用；其它一切费用，政策性文件规定及合同包含的所有风险、责任等各项应有费用（不含：(1)消防、电梯、供电、弱电等设备设施的维修材料费；(2)水、电费；(3)消防、电梯、供电等设备设施的年度检测费；(4)垃圾清运费）。如有漏项，视同已包含在其总项目中。</w:t>
      </w:r>
    </w:p>
    <w:bookmarkEnd w:id="154"/>
    <w:p>
      <w:pPr>
        <w:pStyle w:val="31"/>
        <w:widowControl w:val="0"/>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由中标单位开具正式税务发票。</w:t>
      </w:r>
    </w:p>
    <w:bookmarkEnd w:id="155"/>
    <w:p>
      <w:pPr>
        <w:widowControl w:val="0"/>
        <w:ind w:firstLine="480" w:firstLineChars="200"/>
      </w:pPr>
      <w:r>
        <w:t>2.</w:t>
      </w:r>
      <w:r>
        <w:rPr>
          <w:rFonts w:hint="eastAsia"/>
        </w:rPr>
        <w:t>最低工资标准（或社保等）遇地方政府政策性调整时，甲方不调整服务费，由此产生的费用由乙方承担。</w:t>
      </w:r>
    </w:p>
    <w:p>
      <w:pPr>
        <w:widowControl w:val="0"/>
        <w:ind w:firstLine="480" w:firstLineChars="200"/>
      </w:pPr>
      <w:r>
        <w:t>3.</w:t>
      </w:r>
      <w:r>
        <w:rPr>
          <w:rFonts w:hint="eastAsia"/>
        </w:rPr>
        <w:t>项目合计总金额不得超过项目预算价及最高限价，不得低于投标人自报的成本价，否则投标无效。</w:t>
      </w:r>
    </w:p>
    <w:p>
      <w:pPr>
        <w:widowControl w:val="0"/>
        <w:ind w:firstLine="480" w:firstLineChars="200"/>
        <w:rPr>
          <w:rFonts w:hint="eastAsia"/>
        </w:rPr>
      </w:pPr>
      <w:r>
        <w:t>4.</w:t>
      </w:r>
      <w:r>
        <w:rPr>
          <w:rFonts w:hint="eastAsia"/>
        </w:rPr>
        <w:t>此表在不改变表式的情况下，可自行制作。</w:t>
      </w:r>
    </w:p>
    <w:p>
      <w:pPr>
        <w:widowControl w:val="0"/>
        <w:snapToGrid w:val="0"/>
        <w:spacing w:before="50" w:after="50"/>
        <w:rPr>
          <w:rFonts w:hint="default"/>
          <w:sz w:val="36"/>
          <w:szCs w:val="36"/>
          <w:lang w:val="en-US"/>
        </w:rPr>
      </w:pPr>
      <w:r>
        <w:rPr>
          <w:rFonts w:hint="default"/>
          <w:sz w:val="36"/>
          <w:szCs w:val="36"/>
          <w:lang w:val="en-US"/>
        </w:rPr>
        <w:t>8.</w:t>
      </w:r>
    </w:p>
    <w:p>
      <w:pPr>
        <w:pStyle w:val="6"/>
        <w:keepNext w:val="0"/>
        <w:keepLines w:val="0"/>
        <w:widowControl w:val="0"/>
        <w:spacing w:before="0" w:after="0" w:line="240" w:lineRule="auto"/>
        <w:jc w:val="center"/>
        <w:rPr>
          <w:rFonts w:ascii="Times New Roman" w:hAnsi="Times New Roman" w:eastAsia="宋体"/>
          <w:sz w:val="36"/>
          <w:szCs w:val="36"/>
        </w:rPr>
      </w:pPr>
      <w:r>
        <w:rPr>
          <w:rFonts w:hint="eastAsia" w:ascii="Times New Roman" w:hAnsi="Times New Roman" w:eastAsia="宋体"/>
          <w:sz w:val="36"/>
          <w:szCs w:val="36"/>
        </w:rPr>
        <w:t>项目成本报价表</w:t>
      </w:r>
    </w:p>
    <w:p>
      <w:pPr>
        <w:widowControl w:val="0"/>
        <w:spacing w:line="360" w:lineRule="auto"/>
      </w:pPr>
    </w:p>
    <w:p>
      <w:pPr>
        <w:widowControl w:val="0"/>
        <w:spacing w:line="312" w:lineRule="auto"/>
        <w:rPr>
          <w:rFonts w:hint="eastAsia"/>
          <w:lang w:val="en-US" w:eastAsia="zh-CN"/>
        </w:rPr>
      </w:pPr>
      <w:r>
        <w:rPr>
          <w:rFonts w:hint="eastAsia"/>
        </w:rPr>
        <w:t>项目名称：</w:t>
      </w:r>
      <w:r>
        <w:rPr>
          <w:rFonts w:hint="eastAsia"/>
          <w:lang w:val="en-US" w:eastAsia="zh-CN"/>
        </w:rPr>
        <w:t>义乌市人民政府城西街道办事处</w:t>
      </w:r>
      <w:r>
        <w:rPr>
          <w:rFonts w:hint="default"/>
          <w:lang w:val="en-US" w:eastAsia="zh-CN"/>
        </w:rPr>
        <w:t>6</w:t>
      </w:r>
      <w:r>
        <w:rPr>
          <w:rFonts w:hint="eastAsia"/>
          <w:lang w:val="en-US" w:eastAsia="zh-CN"/>
        </w:rPr>
        <w:t>个办公区域安保及保洁服务</w:t>
      </w:r>
    </w:p>
    <w:p>
      <w:pPr>
        <w:widowControl w:val="0"/>
        <w:spacing w:line="312" w:lineRule="auto"/>
      </w:pPr>
      <w:r>
        <w:rPr>
          <w:rFonts w:hint="eastAsia"/>
        </w:rPr>
        <w:t>采购编号：</w:t>
      </w:r>
      <w:r>
        <w:t>YWCG2025001GK</w:t>
      </w:r>
    </w:p>
    <w:p>
      <w:pPr>
        <w:pStyle w:val="3"/>
      </w:pPr>
    </w:p>
    <w:tbl>
      <w:tblPr>
        <w:tblStyle w:val="57"/>
        <w:tblpPr w:leftFromText="180" w:rightFromText="180" w:vertAnchor="page" w:horzAnchor="page" w:tblpX="1215" w:tblpY="415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6"/>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546" w:type="dxa"/>
            <w:noWrap/>
            <w:vAlign w:val="center"/>
          </w:tcPr>
          <w:p>
            <w:pPr>
              <w:widowControl w:val="0"/>
              <w:spacing w:line="420" w:lineRule="exact"/>
              <w:jc w:val="center"/>
            </w:pPr>
            <w:r>
              <w:rPr>
                <w:rFonts w:hint="eastAsia"/>
              </w:rPr>
              <w:t>项目名称</w:t>
            </w:r>
          </w:p>
        </w:tc>
        <w:tc>
          <w:tcPr>
            <w:tcW w:w="4024" w:type="dxa"/>
            <w:noWrap/>
            <w:vAlign w:val="center"/>
          </w:tcPr>
          <w:p>
            <w:pPr>
              <w:widowControl w:val="0"/>
              <w:spacing w:line="420" w:lineRule="exact"/>
              <w:jc w:val="center"/>
              <w:rPr>
                <w:rFonts w:hint="eastAsia" w:eastAsia="宋体"/>
                <w:lang w:eastAsia="zh-CN"/>
              </w:rPr>
            </w:pPr>
            <w:r>
              <w:rPr>
                <w:rFonts w:hint="eastAsia"/>
              </w:rPr>
              <w:t>项目成本</w:t>
            </w:r>
            <w:r>
              <w:rPr>
                <w:rFonts w:hint="eastAsia"/>
                <w:lang w:val="en-US" w:eastAsia="zh-CN"/>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546" w:type="dxa"/>
            <w:noWrap/>
            <w:vAlign w:val="center"/>
          </w:tcPr>
          <w:p>
            <w:pPr>
              <w:pStyle w:val="31"/>
              <w:widowControl w:val="0"/>
              <w:spacing w:line="360" w:lineRule="auto"/>
              <w:jc w:val="center"/>
              <w:rPr>
                <w:rFonts w:ascii="Times New Roman" w:hAnsi="Times New Roman" w:cs="Times New Roman"/>
                <w:bCs/>
                <w:sz w:val="24"/>
                <w:szCs w:val="24"/>
              </w:rPr>
            </w:pPr>
          </w:p>
          <w:p>
            <w:pPr>
              <w:widowControl w:val="0"/>
              <w:spacing w:line="312" w:lineRule="auto"/>
              <w:jc w:val="center"/>
              <w:rPr>
                <w:rFonts w:ascii="Times New Roman" w:hAnsi="Times New Roman" w:cs="Times New Roman"/>
                <w:sz w:val="24"/>
                <w:szCs w:val="24"/>
              </w:rPr>
            </w:pPr>
            <w:r>
              <w:rPr>
                <w:rFonts w:hint="eastAsia"/>
                <w:lang w:val="en-US" w:eastAsia="zh-CN"/>
              </w:rPr>
              <w:t>义乌市人民政府城西街道办事处</w:t>
            </w:r>
            <w:r>
              <w:rPr>
                <w:rFonts w:hint="default"/>
                <w:lang w:val="en-US" w:eastAsia="zh-CN"/>
              </w:rPr>
              <w:t>6</w:t>
            </w:r>
            <w:r>
              <w:rPr>
                <w:rFonts w:hint="eastAsia"/>
                <w:lang w:val="en-US" w:eastAsia="zh-CN"/>
              </w:rPr>
              <w:t>个办公区域安保及保洁服务</w:t>
            </w:r>
            <w:r>
              <w:rPr>
                <w:rFonts w:hint="eastAsia" w:ascii="Times New Roman" w:hAnsi="Times New Roman" w:cs="Times New Roman"/>
                <w:sz w:val="24"/>
                <w:szCs w:val="24"/>
              </w:rPr>
              <w:t>采购项目</w:t>
            </w:r>
          </w:p>
          <w:p>
            <w:pPr>
              <w:pStyle w:val="31"/>
              <w:widowControl w:val="0"/>
              <w:spacing w:line="360" w:lineRule="auto"/>
              <w:jc w:val="center"/>
              <w:rPr>
                <w:rFonts w:ascii="Times New Roman" w:hAnsi="Times New Roman" w:cs="Times New Roman"/>
                <w:sz w:val="24"/>
                <w:szCs w:val="24"/>
              </w:rPr>
            </w:pPr>
            <w:r>
              <w:rPr>
                <w:rFonts w:hint="eastAsia" w:ascii="Times New Roman" w:hAnsi="Times New Roman" w:cs="Times New Roman"/>
                <w:bCs/>
                <w:sz w:val="24"/>
                <w:szCs w:val="24"/>
              </w:rPr>
              <w:t>（采购编号：</w:t>
            </w:r>
            <w:r>
              <w:rPr>
                <w:rFonts w:ascii="Times New Roman" w:hAnsi="Times New Roman" w:cs="Times New Roman"/>
                <w:sz w:val="24"/>
                <w:szCs w:val="24"/>
              </w:rPr>
              <w:t>YWCG2025001GK</w:t>
            </w:r>
            <w:r>
              <w:rPr>
                <w:rFonts w:hint="eastAsia" w:ascii="Times New Roman" w:hAnsi="Times New Roman" w:cs="Times New Roman"/>
                <w:bCs/>
                <w:sz w:val="24"/>
                <w:szCs w:val="24"/>
              </w:rPr>
              <w:t>）</w:t>
            </w:r>
          </w:p>
        </w:tc>
        <w:tc>
          <w:tcPr>
            <w:tcW w:w="4024" w:type="dxa"/>
            <w:noWrap/>
            <w:vAlign w:val="center"/>
          </w:tcPr>
          <w:p>
            <w:pPr>
              <w:widowControl w:val="0"/>
              <w:spacing w:line="420" w:lineRule="exact"/>
              <w:jc w:val="center"/>
            </w:pPr>
          </w:p>
        </w:tc>
      </w:tr>
    </w:tbl>
    <w:p>
      <w:pPr>
        <w:pStyle w:val="31"/>
        <w:widowControl w:val="0"/>
        <w:spacing w:line="360" w:lineRule="auto"/>
        <w:rPr>
          <w:rFonts w:ascii="Times New Roman" w:hAnsi="Times New Roman" w:cs="Times New Roman"/>
          <w:sz w:val="24"/>
          <w:szCs w:val="24"/>
        </w:rPr>
      </w:pPr>
      <w:r>
        <w:rPr>
          <w:rFonts w:hint="eastAsia" w:ascii="Times New Roman" w:hAnsi="Times New Roman" w:cs="Times New Roman"/>
          <w:sz w:val="24"/>
          <w:szCs w:val="24"/>
        </w:rPr>
        <w:t>投标人名称（电子签章）：</w:t>
      </w:r>
      <w:r>
        <w:rPr>
          <w:rFonts w:ascii="Times New Roman" w:hAnsi="Times New Roman" w:cs="Times New Roman"/>
          <w:sz w:val="24"/>
          <w:szCs w:val="24"/>
        </w:rPr>
        <w:t xml:space="preserve">________________________  </w:t>
      </w:r>
    </w:p>
    <w:p>
      <w:pPr>
        <w:widowControl w:val="0"/>
        <w:spacing w:line="400" w:lineRule="exact"/>
        <w:ind w:firstLine="480" w:firstLineChars="200"/>
      </w:pPr>
      <w:r>
        <w:rPr>
          <w:rFonts w:hint="eastAsia"/>
        </w:rPr>
        <w:t>日期</w:t>
      </w:r>
      <w:r>
        <w:t>:________________</w:t>
      </w:r>
    </w:p>
    <w:p>
      <w:pPr>
        <w:widowControl w:val="0"/>
      </w:pPr>
    </w:p>
    <w:p>
      <w:pPr>
        <w:pStyle w:val="2"/>
        <w:widowControl w:val="0"/>
        <w:ind w:left="31680" w:firstLine="31680"/>
      </w:pPr>
    </w:p>
    <w:p>
      <w:pPr>
        <w:widowControl w:val="0"/>
        <w:spacing w:line="360" w:lineRule="auto"/>
        <w:ind w:left="31680" w:hanging="960" w:hangingChars="400"/>
        <w:rPr>
          <w:bCs/>
        </w:rPr>
      </w:pPr>
      <w:r>
        <w:rPr>
          <w:rFonts w:hint="eastAsia"/>
          <w:bCs/>
        </w:rPr>
        <w:t>备注：</w:t>
      </w:r>
    </w:p>
    <w:p>
      <w:pPr>
        <w:widowControl w:val="0"/>
        <w:spacing w:line="460" w:lineRule="exact"/>
        <w:ind w:firstLine="235" w:firstLineChars="98"/>
      </w:pPr>
      <w:r>
        <w:t>1.</w:t>
      </w:r>
      <w:r>
        <w:rPr>
          <w:rFonts w:hint="eastAsia"/>
        </w:rPr>
        <w:t>投标单位应按照招标项目内容要求，根据项目特点和企业条件确定该项目成本报价，</w:t>
      </w:r>
      <w:r>
        <w:rPr>
          <w:rFonts w:hint="eastAsia"/>
          <w:u w:val="single"/>
        </w:rPr>
        <w:t>项目成本总价不得高于投标总价，否则投标无效。</w:t>
      </w:r>
    </w:p>
    <w:p>
      <w:pPr>
        <w:widowControl w:val="0"/>
        <w:spacing w:line="460" w:lineRule="exact"/>
        <w:ind w:firstLine="235" w:firstLineChars="98"/>
      </w:pPr>
      <w:r>
        <w:t>2.</w:t>
      </w:r>
      <w:r>
        <w:rPr>
          <w:rFonts w:hint="eastAsia"/>
        </w:rPr>
        <w:t>此表在不改变表式的情况下，可自行制作。</w:t>
      </w:r>
    </w:p>
    <w:p>
      <w:pPr>
        <w:pStyle w:val="3"/>
      </w:pPr>
    </w:p>
    <w:sectPr>
      <w:headerReference r:id="rId3" w:type="default"/>
      <w:footerReference r:id="rId4" w:type="default"/>
      <w:pgSz w:w="11906" w:h="16838"/>
      <w:pgMar w:top="1134" w:right="1134" w:bottom="1134" w:left="1134"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Dutch801 Rm BT">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兰亭黑简体">
    <w:altName w:val="黑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 PAGE   \* MERGEFORMAT </w:instrText>
    </w:r>
    <w:r>
      <w:fldChar w:fldCharType="separate"/>
    </w:r>
    <w:r>
      <w:rPr>
        <w:lang w:val="zh-CN"/>
      </w:rPr>
      <w:t>21</w:t>
    </w:r>
    <w:r>
      <w:rPr>
        <w:lang w:val="zh-CN"/>
      </w:rP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4E8E3"/>
    <w:multiLevelType w:val="singleLevel"/>
    <w:tmpl w:val="E8D4E8E3"/>
    <w:lvl w:ilvl="0" w:tentative="0">
      <w:start w:val="1"/>
      <w:numFmt w:val="decimal"/>
      <w:lvlText w:val="%1."/>
      <w:lvlJc w:val="left"/>
      <w:pPr>
        <w:tabs>
          <w:tab w:val="left" w:pos="312"/>
        </w:tabs>
      </w:pPr>
      <w:rPr>
        <w:rFonts w:cs="Times New Roman"/>
      </w:rPr>
    </w:lvl>
  </w:abstractNum>
  <w:abstractNum w:abstractNumId="1">
    <w:nsid w:val="3E5C5DE5"/>
    <w:multiLevelType w:val="singleLevel"/>
    <w:tmpl w:val="3E5C5DE5"/>
    <w:lvl w:ilvl="0" w:tentative="0">
      <w:start w:val="3"/>
      <w:numFmt w:val="chineseCounting"/>
      <w:suff w:val="nothing"/>
      <w:lvlText w:val="%1、"/>
      <w:lvlJc w:val="left"/>
      <w:rPr>
        <w:rFonts w:hint="eastAsia"/>
      </w:rPr>
    </w:lvl>
  </w:abstractNum>
  <w:abstractNum w:abstractNumId="2">
    <w:nsid w:val="5F2B33F4"/>
    <w:multiLevelType w:val="multilevel"/>
    <w:tmpl w:val="5F2B33F4"/>
    <w:lvl w:ilvl="0" w:tentative="0">
      <w:start w:val="6"/>
      <w:numFmt w:val="japaneseCounting"/>
      <w:lvlText w:val="第%1章"/>
      <w:lvlJc w:val="left"/>
      <w:pPr>
        <w:tabs>
          <w:tab w:val="left" w:pos="3930"/>
        </w:tabs>
        <w:ind w:left="3930" w:hanging="1095"/>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626A4ECE"/>
    <w:multiLevelType w:val="singleLevel"/>
    <w:tmpl w:val="626A4ECE"/>
    <w:lvl w:ilvl="0" w:tentative="0">
      <w:start w:val="7"/>
      <w:numFmt w:val="decimal"/>
      <w:lvlText w:val="%1."/>
      <w:lvlJc w:val="left"/>
      <w:pPr>
        <w:tabs>
          <w:tab w:val="left" w:pos="312"/>
        </w:tabs>
      </w:pPr>
      <w:rPr>
        <w:rFonts w:cs="Times New Roman"/>
      </w:rPr>
    </w:lvl>
  </w:abstractNum>
  <w:abstractNum w:abstractNumId="4">
    <w:nsid w:val="7E242572"/>
    <w:multiLevelType w:val="singleLevel"/>
    <w:tmpl w:val="7E242572"/>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xNzk3MjRiNzg3YWNmNTliOWQ1OWIzMTAwMDlmNTkifQ=="/>
  </w:docVars>
  <w:rsids>
    <w:rsidRoot w:val="00D01565"/>
    <w:rsid w:val="0000008C"/>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99"/>
    <w:rsid w:val="00010BC4"/>
    <w:rsid w:val="00010D8E"/>
    <w:rsid w:val="00011521"/>
    <w:rsid w:val="00011578"/>
    <w:rsid w:val="00011620"/>
    <w:rsid w:val="0001170F"/>
    <w:rsid w:val="000117E1"/>
    <w:rsid w:val="00011A51"/>
    <w:rsid w:val="00011C4A"/>
    <w:rsid w:val="00012174"/>
    <w:rsid w:val="000123B3"/>
    <w:rsid w:val="0001253B"/>
    <w:rsid w:val="00012665"/>
    <w:rsid w:val="00012692"/>
    <w:rsid w:val="00012963"/>
    <w:rsid w:val="00012C0A"/>
    <w:rsid w:val="00012CF7"/>
    <w:rsid w:val="00012D37"/>
    <w:rsid w:val="00012DBF"/>
    <w:rsid w:val="00012E61"/>
    <w:rsid w:val="000130C1"/>
    <w:rsid w:val="00013546"/>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372"/>
    <w:rsid w:val="00017416"/>
    <w:rsid w:val="00017A4B"/>
    <w:rsid w:val="0002000A"/>
    <w:rsid w:val="0002023F"/>
    <w:rsid w:val="0002029D"/>
    <w:rsid w:val="0002099A"/>
    <w:rsid w:val="00020A1D"/>
    <w:rsid w:val="00020E80"/>
    <w:rsid w:val="00020F3F"/>
    <w:rsid w:val="000211E4"/>
    <w:rsid w:val="00021DEE"/>
    <w:rsid w:val="00022034"/>
    <w:rsid w:val="000221FE"/>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B45"/>
    <w:rsid w:val="00035C3A"/>
    <w:rsid w:val="00035FBC"/>
    <w:rsid w:val="0003611D"/>
    <w:rsid w:val="00036331"/>
    <w:rsid w:val="00036559"/>
    <w:rsid w:val="000371E5"/>
    <w:rsid w:val="000372EE"/>
    <w:rsid w:val="0003734C"/>
    <w:rsid w:val="00037A85"/>
    <w:rsid w:val="00037AD8"/>
    <w:rsid w:val="00037CCE"/>
    <w:rsid w:val="00037D41"/>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4FE1"/>
    <w:rsid w:val="00045728"/>
    <w:rsid w:val="00045854"/>
    <w:rsid w:val="000459A3"/>
    <w:rsid w:val="00045DAB"/>
    <w:rsid w:val="00045F25"/>
    <w:rsid w:val="00046678"/>
    <w:rsid w:val="00046776"/>
    <w:rsid w:val="00046FC0"/>
    <w:rsid w:val="000470F2"/>
    <w:rsid w:val="000475D0"/>
    <w:rsid w:val="000477AD"/>
    <w:rsid w:val="00050042"/>
    <w:rsid w:val="0005006D"/>
    <w:rsid w:val="00050163"/>
    <w:rsid w:val="000503DE"/>
    <w:rsid w:val="00050456"/>
    <w:rsid w:val="00050889"/>
    <w:rsid w:val="00051218"/>
    <w:rsid w:val="00051281"/>
    <w:rsid w:val="00051294"/>
    <w:rsid w:val="00051367"/>
    <w:rsid w:val="00051519"/>
    <w:rsid w:val="000517C0"/>
    <w:rsid w:val="000522F3"/>
    <w:rsid w:val="00052714"/>
    <w:rsid w:val="00052A0F"/>
    <w:rsid w:val="00052BDF"/>
    <w:rsid w:val="00052E00"/>
    <w:rsid w:val="000532E9"/>
    <w:rsid w:val="0005334D"/>
    <w:rsid w:val="000534F7"/>
    <w:rsid w:val="00053F3D"/>
    <w:rsid w:val="000541E6"/>
    <w:rsid w:val="000549C0"/>
    <w:rsid w:val="00054BC8"/>
    <w:rsid w:val="00054E73"/>
    <w:rsid w:val="000551EE"/>
    <w:rsid w:val="00055369"/>
    <w:rsid w:val="000556B6"/>
    <w:rsid w:val="000556FB"/>
    <w:rsid w:val="000559BF"/>
    <w:rsid w:val="00055A7D"/>
    <w:rsid w:val="00055C9B"/>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D4E"/>
    <w:rsid w:val="00067F0B"/>
    <w:rsid w:val="0007010C"/>
    <w:rsid w:val="00070339"/>
    <w:rsid w:val="00070954"/>
    <w:rsid w:val="00070FCA"/>
    <w:rsid w:val="000713BE"/>
    <w:rsid w:val="000713BF"/>
    <w:rsid w:val="000716CB"/>
    <w:rsid w:val="00071A79"/>
    <w:rsid w:val="00071B56"/>
    <w:rsid w:val="000724AC"/>
    <w:rsid w:val="000725A2"/>
    <w:rsid w:val="00072A21"/>
    <w:rsid w:val="00072A6F"/>
    <w:rsid w:val="00072AF5"/>
    <w:rsid w:val="00072B5D"/>
    <w:rsid w:val="00072D3F"/>
    <w:rsid w:val="0007310F"/>
    <w:rsid w:val="00073592"/>
    <w:rsid w:val="00073631"/>
    <w:rsid w:val="00073BAF"/>
    <w:rsid w:val="00073C3C"/>
    <w:rsid w:val="00073D89"/>
    <w:rsid w:val="0007409D"/>
    <w:rsid w:val="000742F3"/>
    <w:rsid w:val="000743C9"/>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56D"/>
    <w:rsid w:val="000819BB"/>
    <w:rsid w:val="00081B24"/>
    <w:rsid w:val="00081CC1"/>
    <w:rsid w:val="00081E7A"/>
    <w:rsid w:val="0008228A"/>
    <w:rsid w:val="0008230E"/>
    <w:rsid w:val="0008250E"/>
    <w:rsid w:val="000825A7"/>
    <w:rsid w:val="00082606"/>
    <w:rsid w:val="0008294D"/>
    <w:rsid w:val="00082C52"/>
    <w:rsid w:val="00082CD2"/>
    <w:rsid w:val="000831BC"/>
    <w:rsid w:val="00083309"/>
    <w:rsid w:val="000836A5"/>
    <w:rsid w:val="0008395E"/>
    <w:rsid w:val="0008498F"/>
    <w:rsid w:val="00084BBB"/>
    <w:rsid w:val="00084C1D"/>
    <w:rsid w:val="00084C85"/>
    <w:rsid w:val="00084FD2"/>
    <w:rsid w:val="00085013"/>
    <w:rsid w:val="0008508D"/>
    <w:rsid w:val="000850B6"/>
    <w:rsid w:val="000855E2"/>
    <w:rsid w:val="000856A5"/>
    <w:rsid w:val="000857C7"/>
    <w:rsid w:val="0008584A"/>
    <w:rsid w:val="0008598F"/>
    <w:rsid w:val="00085B55"/>
    <w:rsid w:val="000866D4"/>
    <w:rsid w:val="00086737"/>
    <w:rsid w:val="00086A1C"/>
    <w:rsid w:val="00086BD6"/>
    <w:rsid w:val="00086F71"/>
    <w:rsid w:val="00086FAA"/>
    <w:rsid w:val="00087462"/>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6C19"/>
    <w:rsid w:val="00097206"/>
    <w:rsid w:val="0009723E"/>
    <w:rsid w:val="000973A6"/>
    <w:rsid w:val="00097B17"/>
    <w:rsid w:val="00097B83"/>
    <w:rsid w:val="000A05E8"/>
    <w:rsid w:val="000A0616"/>
    <w:rsid w:val="000A0932"/>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A02"/>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A7DE3"/>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D2F"/>
    <w:rsid w:val="000B2E1E"/>
    <w:rsid w:val="000B3009"/>
    <w:rsid w:val="000B35F9"/>
    <w:rsid w:val="000B38A3"/>
    <w:rsid w:val="000B38CA"/>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B6D57"/>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35B"/>
    <w:rsid w:val="000C458C"/>
    <w:rsid w:val="000C4711"/>
    <w:rsid w:val="000C49CB"/>
    <w:rsid w:val="000C51C6"/>
    <w:rsid w:val="000C51D6"/>
    <w:rsid w:val="000C577C"/>
    <w:rsid w:val="000C5A02"/>
    <w:rsid w:val="000C5E34"/>
    <w:rsid w:val="000C6296"/>
    <w:rsid w:val="000C67A4"/>
    <w:rsid w:val="000C685E"/>
    <w:rsid w:val="000C69C5"/>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2AE"/>
    <w:rsid w:val="000D73FE"/>
    <w:rsid w:val="000D7455"/>
    <w:rsid w:val="000D7724"/>
    <w:rsid w:val="000D7E46"/>
    <w:rsid w:val="000D7EDC"/>
    <w:rsid w:val="000D7F31"/>
    <w:rsid w:val="000E063C"/>
    <w:rsid w:val="000E0B02"/>
    <w:rsid w:val="000E0B3B"/>
    <w:rsid w:val="000E0BE1"/>
    <w:rsid w:val="000E0EAF"/>
    <w:rsid w:val="000E157D"/>
    <w:rsid w:val="000E1778"/>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304"/>
    <w:rsid w:val="000E5593"/>
    <w:rsid w:val="000E58FE"/>
    <w:rsid w:val="000E5C09"/>
    <w:rsid w:val="000E5DD0"/>
    <w:rsid w:val="000E74E9"/>
    <w:rsid w:val="000E75DA"/>
    <w:rsid w:val="000E7BAD"/>
    <w:rsid w:val="000E7F35"/>
    <w:rsid w:val="000F0104"/>
    <w:rsid w:val="000F0139"/>
    <w:rsid w:val="000F0316"/>
    <w:rsid w:val="000F0E74"/>
    <w:rsid w:val="000F1086"/>
    <w:rsid w:val="000F1597"/>
    <w:rsid w:val="000F1616"/>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A9C"/>
    <w:rsid w:val="000F4AAA"/>
    <w:rsid w:val="000F4F67"/>
    <w:rsid w:val="000F5060"/>
    <w:rsid w:val="000F54E3"/>
    <w:rsid w:val="000F56D2"/>
    <w:rsid w:val="000F57D6"/>
    <w:rsid w:val="000F5B2B"/>
    <w:rsid w:val="000F60C1"/>
    <w:rsid w:val="000F61E4"/>
    <w:rsid w:val="000F6317"/>
    <w:rsid w:val="000F6612"/>
    <w:rsid w:val="000F6D0F"/>
    <w:rsid w:val="000F6D91"/>
    <w:rsid w:val="000F7038"/>
    <w:rsid w:val="000F771D"/>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5D1"/>
    <w:rsid w:val="001126F9"/>
    <w:rsid w:val="001127E1"/>
    <w:rsid w:val="0011299A"/>
    <w:rsid w:val="00112BE7"/>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4F"/>
    <w:rsid w:val="00116768"/>
    <w:rsid w:val="00116BA2"/>
    <w:rsid w:val="00116D37"/>
    <w:rsid w:val="00116F9F"/>
    <w:rsid w:val="00116FA0"/>
    <w:rsid w:val="00117399"/>
    <w:rsid w:val="00117654"/>
    <w:rsid w:val="00117661"/>
    <w:rsid w:val="001177FA"/>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039"/>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785"/>
    <w:rsid w:val="00125BEE"/>
    <w:rsid w:val="00125E8F"/>
    <w:rsid w:val="00125EB5"/>
    <w:rsid w:val="00125F3E"/>
    <w:rsid w:val="00125F9A"/>
    <w:rsid w:val="0012674B"/>
    <w:rsid w:val="00126E4B"/>
    <w:rsid w:val="001270ED"/>
    <w:rsid w:val="00127182"/>
    <w:rsid w:val="001273D4"/>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755"/>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6C9"/>
    <w:rsid w:val="00137762"/>
    <w:rsid w:val="00137C85"/>
    <w:rsid w:val="00137CCF"/>
    <w:rsid w:val="00137D2C"/>
    <w:rsid w:val="00140623"/>
    <w:rsid w:val="001406E5"/>
    <w:rsid w:val="0014083C"/>
    <w:rsid w:val="00140D1F"/>
    <w:rsid w:val="00140E5B"/>
    <w:rsid w:val="00141205"/>
    <w:rsid w:val="00141437"/>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58B"/>
    <w:rsid w:val="0014472F"/>
    <w:rsid w:val="001447E9"/>
    <w:rsid w:val="00144BEE"/>
    <w:rsid w:val="00144CEE"/>
    <w:rsid w:val="00144E87"/>
    <w:rsid w:val="00145715"/>
    <w:rsid w:val="00145C90"/>
    <w:rsid w:val="001462CF"/>
    <w:rsid w:val="001471C0"/>
    <w:rsid w:val="001471E4"/>
    <w:rsid w:val="00147341"/>
    <w:rsid w:val="00147539"/>
    <w:rsid w:val="00147876"/>
    <w:rsid w:val="0015099A"/>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42D"/>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5F8"/>
    <w:rsid w:val="0016568A"/>
    <w:rsid w:val="00165971"/>
    <w:rsid w:val="00165FCA"/>
    <w:rsid w:val="0016601F"/>
    <w:rsid w:val="00166073"/>
    <w:rsid w:val="001664D5"/>
    <w:rsid w:val="001664F0"/>
    <w:rsid w:val="001665BF"/>
    <w:rsid w:val="0016668C"/>
    <w:rsid w:val="00166CAE"/>
    <w:rsid w:val="00166F0F"/>
    <w:rsid w:val="001670E7"/>
    <w:rsid w:val="00167931"/>
    <w:rsid w:val="00167CAE"/>
    <w:rsid w:val="00167CEA"/>
    <w:rsid w:val="00170176"/>
    <w:rsid w:val="00170217"/>
    <w:rsid w:val="001702F0"/>
    <w:rsid w:val="00170532"/>
    <w:rsid w:val="00170593"/>
    <w:rsid w:val="00170916"/>
    <w:rsid w:val="00170BF1"/>
    <w:rsid w:val="00170C91"/>
    <w:rsid w:val="00171472"/>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4FA3"/>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77D83"/>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8B"/>
    <w:rsid w:val="001820A8"/>
    <w:rsid w:val="001821D8"/>
    <w:rsid w:val="00182382"/>
    <w:rsid w:val="00182A73"/>
    <w:rsid w:val="00182E4E"/>
    <w:rsid w:val="00183354"/>
    <w:rsid w:val="00183457"/>
    <w:rsid w:val="001837EC"/>
    <w:rsid w:val="00183C13"/>
    <w:rsid w:val="00184367"/>
    <w:rsid w:val="001843CC"/>
    <w:rsid w:val="00184806"/>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955"/>
    <w:rsid w:val="00191AD4"/>
    <w:rsid w:val="00191C7A"/>
    <w:rsid w:val="00191D8F"/>
    <w:rsid w:val="00191F79"/>
    <w:rsid w:val="00192057"/>
    <w:rsid w:val="00192097"/>
    <w:rsid w:val="00192373"/>
    <w:rsid w:val="0019254E"/>
    <w:rsid w:val="00192555"/>
    <w:rsid w:val="0019264D"/>
    <w:rsid w:val="001927E6"/>
    <w:rsid w:val="001928A3"/>
    <w:rsid w:val="00192A2A"/>
    <w:rsid w:val="00192AE0"/>
    <w:rsid w:val="00192E0F"/>
    <w:rsid w:val="00192E73"/>
    <w:rsid w:val="0019365D"/>
    <w:rsid w:val="0019386C"/>
    <w:rsid w:val="00193F27"/>
    <w:rsid w:val="00193F49"/>
    <w:rsid w:val="001942B5"/>
    <w:rsid w:val="00194B51"/>
    <w:rsid w:val="00194CC7"/>
    <w:rsid w:val="00194CF0"/>
    <w:rsid w:val="00194F7B"/>
    <w:rsid w:val="001958B3"/>
    <w:rsid w:val="001959CA"/>
    <w:rsid w:val="00196009"/>
    <w:rsid w:val="00196273"/>
    <w:rsid w:val="00196752"/>
    <w:rsid w:val="00196C9A"/>
    <w:rsid w:val="00196D1E"/>
    <w:rsid w:val="0019713D"/>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205"/>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9F4"/>
    <w:rsid w:val="001A6C3F"/>
    <w:rsid w:val="001A6CB8"/>
    <w:rsid w:val="001A71CA"/>
    <w:rsid w:val="001A7202"/>
    <w:rsid w:val="001A72B0"/>
    <w:rsid w:val="001A72BC"/>
    <w:rsid w:val="001A7597"/>
    <w:rsid w:val="001A7826"/>
    <w:rsid w:val="001A79A1"/>
    <w:rsid w:val="001A7AE5"/>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DAB"/>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721"/>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724"/>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80"/>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15D"/>
    <w:rsid w:val="001D6300"/>
    <w:rsid w:val="001D6506"/>
    <w:rsid w:val="001D6675"/>
    <w:rsid w:val="001D69A3"/>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1B6"/>
    <w:rsid w:val="001E02B4"/>
    <w:rsid w:val="001E03A5"/>
    <w:rsid w:val="001E04DE"/>
    <w:rsid w:val="001E051E"/>
    <w:rsid w:val="001E0621"/>
    <w:rsid w:val="001E0B1F"/>
    <w:rsid w:val="001E0C22"/>
    <w:rsid w:val="001E0CB5"/>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066"/>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00C"/>
    <w:rsid w:val="00211275"/>
    <w:rsid w:val="002114A6"/>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137"/>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9A3"/>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846"/>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50"/>
    <w:rsid w:val="00240D71"/>
    <w:rsid w:val="00241201"/>
    <w:rsid w:val="00241837"/>
    <w:rsid w:val="0024188A"/>
    <w:rsid w:val="002419BB"/>
    <w:rsid w:val="00241BD1"/>
    <w:rsid w:val="00241E1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0F4B"/>
    <w:rsid w:val="0025108F"/>
    <w:rsid w:val="00251261"/>
    <w:rsid w:val="002512B9"/>
    <w:rsid w:val="00251436"/>
    <w:rsid w:val="00251660"/>
    <w:rsid w:val="00251D17"/>
    <w:rsid w:val="00251D8A"/>
    <w:rsid w:val="00252341"/>
    <w:rsid w:val="00252398"/>
    <w:rsid w:val="00252468"/>
    <w:rsid w:val="0025263F"/>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5D83"/>
    <w:rsid w:val="002560DD"/>
    <w:rsid w:val="00256255"/>
    <w:rsid w:val="0025647B"/>
    <w:rsid w:val="00256A56"/>
    <w:rsid w:val="00257099"/>
    <w:rsid w:val="0025736D"/>
    <w:rsid w:val="002574FC"/>
    <w:rsid w:val="00257628"/>
    <w:rsid w:val="00257695"/>
    <w:rsid w:val="002578CD"/>
    <w:rsid w:val="00257C1F"/>
    <w:rsid w:val="00257C54"/>
    <w:rsid w:val="00257CF9"/>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6D"/>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AB"/>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5D"/>
    <w:rsid w:val="002877BF"/>
    <w:rsid w:val="002877CF"/>
    <w:rsid w:val="00287890"/>
    <w:rsid w:val="002878C2"/>
    <w:rsid w:val="0028797B"/>
    <w:rsid w:val="002901EF"/>
    <w:rsid w:val="00290478"/>
    <w:rsid w:val="00290665"/>
    <w:rsid w:val="002909E4"/>
    <w:rsid w:val="002909F0"/>
    <w:rsid w:val="00290BCE"/>
    <w:rsid w:val="002919B8"/>
    <w:rsid w:val="00291A8A"/>
    <w:rsid w:val="002924FE"/>
    <w:rsid w:val="00292557"/>
    <w:rsid w:val="0029277A"/>
    <w:rsid w:val="00292E2E"/>
    <w:rsid w:val="00292E5B"/>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530"/>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EBC"/>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252"/>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E02"/>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3B4"/>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647"/>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A5F"/>
    <w:rsid w:val="002E5C0C"/>
    <w:rsid w:val="002E5F2C"/>
    <w:rsid w:val="002E6279"/>
    <w:rsid w:val="002E6498"/>
    <w:rsid w:val="002E68A0"/>
    <w:rsid w:val="002E6A94"/>
    <w:rsid w:val="002E6C4D"/>
    <w:rsid w:val="002E6C76"/>
    <w:rsid w:val="002E7119"/>
    <w:rsid w:val="002E7277"/>
    <w:rsid w:val="002E7964"/>
    <w:rsid w:val="002E7A5D"/>
    <w:rsid w:val="002E7A85"/>
    <w:rsid w:val="002F0287"/>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5FA9"/>
    <w:rsid w:val="002F6268"/>
    <w:rsid w:val="002F6754"/>
    <w:rsid w:val="002F681D"/>
    <w:rsid w:val="002F6E45"/>
    <w:rsid w:val="002F6EE7"/>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7B1"/>
    <w:rsid w:val="00306A21"/>
    <w:rsid w:val="00306D18"/>
    <w:rsid w:val="00306D32"/>
    <w:rsid w:val="003077BF"/>
    <w:rsid w:val="00307AD2"/>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901"/>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1D"/>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CCD"/>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5AD"/>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76B"/>
    <w:rsid w:val="00362A03"/>
    <w:rsid w:val="00363223"/>
    <w:rsid w:val="003637B4"/>
    <w:rsid w:val="00363869"/>
    <w:rsid w:val="00363902"/>
    <w:rsid w:val="00363B17"/>
    <w:rsid w:val="00363B6D"/>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7B6"/>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364"/>
    <w:rsid w:val="00385999"/>
    <w:rsid w:val="00385A61"/>
    <w:rsid w:val="00385D98"/>
    <w:rsid w:val="00385F6F"/>
    <w:rsid w:val="00386074"/>
    <w:rsid w:val="0038643C"/>
    <w:rsid w:val="00386493"/>
    <w:rsid w:val="003864FE"/>
    <w:rsid w:val="00386602"/>
    <w:rsid w:val="00386C3D"/>
    <w:rsid w:val="00386CFE"/>
    <w:rsid w:val="003874A2"/>
    <w:rsid w:val="00387741"/>
    <w:rsid w:val="00387B20"/>
    <w:rsid w:val="00387C9B"/>
    <w:rsid w:val="00387DD6"/>
    <w:rsid w:val="00387E7F"/>
    <w:rsid w:val="00387F95"/>
    <w:rsid w:val="0039023F"/>
    <w:rsid w:val="00390667"/>
    <w:rsid w:val="00390966"/>
    <w:rsid w:val="00390C9D"/>
    <w:rsid w:val="00390E45"/>
    <w:rsid w:val="00391012"/>
    <w:rsid w:val="003911A9"/>
    <w:rsid w:val="00391414"/>
    <w:rsid w:val="003914F2"/>
    <w:rsid w:val="0039163E"/>
    <w:rsid w:val="00391654"/>
    <w:rsid w:val="00391A2D"/>
    <w:rsid w:val="00391B2B"/>
    <w:rsid w:val="00391C13"/>
    <w:rsid w:val="00391C90"/>
    <w:rsid w:val="00391CAE"/>
    <w:rsid w:val="003921C7"/>
    <w:rsid w:val="003922A8"/>
    <w:rsid w:val="00392330"/>
    <w:rsid w:val="0039252C"/>
    <w:rsid w:val="0039273B"/>
    <w:rsid w:val="0039273F"/>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AED"/>
    <w:rsid w:val="003A1DC2"/>
    <w:rsid w:val="003A2273"/>
    <w:rsid w:val="003A24ED"/>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6C3D"/>
    <w:rsid w:val="003A71A0"/>
    <w:rsid w:val="003A71C9"/>
    <w:rsid w:val="003A72C8"/>
    <w:rsid w:val="003A7A0D"/>
    <w:rsid w:val="003A7D7A"/>
    <w:rsid w:val="003A7DD5"/>
    <w:rsid w:val="003A7E11"/>
    <w:rsid w:val="003A7EAC"/>
    <w:rsid w:val="003B0E80"/>
    <w:rsid w:val="003B0F52"/>
    <w:rsid w:val="003B0F87"/>
    <w:rsid w:val="003B108D"/>
    <w:rsid w:val="003B125E"/>
    <w:rsid w:val="003B13CC"/>
    <w:rsid w:val="003B19D2"/>
    <w:rsid w:val="003B1B62"/>
    <w:rsid w:val="003B1B8E"/>
    <w:rsid w:val="003B1BDF"/>
    <w:rsid w:val="003B1DFB"/>
    <w:rsid w:val="003B22BA"/>
    <w:rsid w:val="003B267B"/>
    <w:rsid w:val="003B278B"/>
    <w:rsid w:val="003B27A8"/>
    <w:rsid w:val="003B27B1"/>
    <w:rsid w:val="003B28FF"/>
    <w:rsid w:val="003B291C"/>
    <w:rsid w:val="003B2AD1"/>
    <w:rsid w:val="003B2B70"/>
    <w:rsid w:val="003B2CC0"/>
    <w:rsid w:val="003B30BD"/>
    <w:rsid w:val="003B332E"/>
    <w:rsid w:val="003B33E2"/>
    <w:rsid w:val="003B38F6"/>
    <w:rsid w:val="003B3903"/>
    <w:rsid w:val="003B3B59"/>
    <w:rsid w:val="003B3B78"/>
    <w:rsid w:val="003B3CCF"/>
    <w:rsid w:val="003B3E0C"/>
    <w:rsid w:val="003B3F9B"/>
    <w:rsid w:val="003B4193"/>
    <w:rsid w:val="003B435A"/>
    <w:rsid w:val="003B441E"/>
    <w:rsid w:val="003B4A93"/>
    <w:rsid w:val="003B4CAA"/>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737"/>
    <w:rsid w:val="003C0A78"/>
    <w:rsid w:val="003C0D71"/>
    <w:rsid w:val="003C0E66"/>
    <w:rsid w:val="003C0F64"/>
    <w:rsid w:val="003C0F85"/>
    <w:rsid w:val="003C10E7"/>
    <w:rsid w:val="003C1D52"/>
    <w:rsid w:val="003C1E9F"/>
    <w:rsid w:val="003C2034"/>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C1B"/>
    <w:rsid w:val="003C6FFE"/>
    <w:rsid w:val="003C740F"/>
    <w:rsid w:val="003C7A98"/>
    <w:rsid w:val="003C7C25"/>
    <w:rsid w:val="003C7C3D"/>
    <w:rsid w:val="003C7C7A"/>
    <w:rsid w:val="003C7D6A"/>
    <w:rsid w:val="003D00FC"/>
    <w:rsid w:val="003D0697"/>
    <w:rsid w:val="003D0A30"/>
    <w:rsid w:val="003D10C6"/>
    <w:rsid w:val="003D1119"/>
    <w:rsid w:val="003D115D"/>
    <w:rsid w:val="003D1527"/>
    <w:rsid w:val="003D171F"/>
    <w:rsid w:val="003D1986"/>
    <w:rsid w:val="003D1CB8"/>
    <w:rsid w:val="003D2320"/>
    <w:rsid w:val="003D258C"/>
    <w:rsid w:val="003D2596"/>
    <w:rsid w:val="003D30C6"/>
    <w:rsid w:val="003D3337"/>
    <w:rsid w:val="003D369A"/>
    <w:rsid w:val="003D37D7"/>
    <w:rsid w:val="003D3891"/>
    <w:rsid w:val="003D39E6"/>
    <w:rsid w:val="003D3A67"/>
    <w:rsid w:val="003D3C24"/>
    <w:rsid w:val="003D3CCB"/>
    <w:rsid w:val="003D3D4A"/>
    <w:rsid w:val="003D3DFA"/>
    <w:rsid w:val="003D4414"/>
    <w:rsid w:val="003D466D"/>
    <w:rsid w:val="003D4BFD"/>
    <w:rsid w:val="003D500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8E2"/>
    <w:rsid w:val="003E7C41"/>
    <w:rsid w:val="003E7DC2"/>
    <w:rsid w:val="003E7F7D"/>
    <w:rsid w:val="003F0028"/>
    <w:rsid w:val="003F0139"/>
    <w:rsid w:val="003F021E"/>
    <w:rsid w:val="003F0305"/>
    <w:rsid w:val="003F0440"/>
    <w:rsid w:val="003F0495"/>
    <w:rsid w:val="003F0B98"/>
    <w:rsid w:val="003F0D26"/>
    <w:rsid w:val="003F0ECD"/>
    <w:rsid w:val="003F111A"/>
    <w:rsid w:val="003F1160"/>
    <w:rsid w:val="003F12DD"/>
    <w:rsid w:val="003F1671"/>
    <w:rsid w:val="003F1BDE"/>
    <w:rsid w:val="003F1CF9"/>
    <w:rsid w:val="003F2091"/>
    <w:rsid w:val="003F21C9"/>
    <w:rsid w:val="003F2203"/>
    <w:rsid w:val="003F24D2"/>
    <w:rsid w:val="003F253E"/>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2F8"/>
    <w:rsid w:val="00403333"/>
    <w:rsid w:val="004035C1"/>
    <w:rsid w:val="0040365B"/>
    <w:rsid w:val="004036AE"/>
    <w:rsid w:val="00403D96"/>
    <w:rsid w:val="00404292"/>
    <w:rsid w:val="0040468B"/>
    <w:rsid w:val="004046AF"/>
    <w:rsid w:val="004048B1"/>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355"/>
    <w:rsid w:val="00411E01"/>
    <w:rsid w:val="00411E85"/>
    <w:rsid w:val="00412083"/>
    <w:rsid w:val="004121EF"/>
    <w:rsid w:val="004123EE"/>
    <w:rsid w:val="00412990"/>
    <w:rsid w:val="00412E34"/>
    <w:rsid w:val="0041465B"/>
    <w:rsid w:val="004146B9"/>
    <w:rsid w:val="00414A07"/>
    <w:rsid w:val="00415123"/>
    <w:rsid w:val="004152FA"/>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3E8"/>
    <w:rsid w:val="0042255F"/>
    <w:rsid w:val="004225D3"/>
    <w:rsid w:val="0042263A"/>
    <w:rsid w:val="00422787"/>
    <w:rsid w:val="004229C9"/>
    <w:rsid w:val="00422A18"/>
    <w:rsid w:val="00422ADA"/>
    <w:rsid w:val="00422BE5"/>
    <w:rsid w:val="00423143"/>
    <w:rsid w:val="00423188"/>
    <w:rsid w:val="004235BB"/>
    <w:rsid w:val="00423662"/>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9C6"/>
    <w:rsid w:val="00426ACE"/>
    <w:rsid w:val="004271FF"/>
    <w:rsid w:val="00427325"/>
    <w:rsid w:val="00427384"/>
    <w:rsid w:val="004274EA"/>
    <w:rsid w:val="0042763C"/>
    <w:rsid w:val="00427724"/>
    <w:rsid w:val="004279AC"/>
    <w:rsid w:val="004279F6"/>
    <w:rsid w:val="00430151"/>
    <w:rsid w:val="0043035B"/>
    <w:rsid w:val="00430412"/>
    <w:rsid w:val="00430483"/>
    <w:rsid w:val="004304D4"/>
    <w:rsid w:val="0043052D"/>
    <w:rsid w:val="0043087E"/>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1ECD"/>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1B7"/>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1FF3"/>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4A"/>
    <w:rsid w:val="00455BE4"/>
    <w:rsid w:val="00455F33"/>
    <w:rsid w:val="004562DA"/>
    <w:rsid w:val="004567A0"/>
    <w:rsid w:val="00457291"/>
    <w:rsid w:val="00457359"/>
    <w:rsid w:val="004574B7"/>
    <w:rsid w:val="00457565"/>
    <w:rsid w:val="00457DB1"/>
    <w:rsid w:val="0046015F"/>
    <w:rsid w:val="00460530"/>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2DEE"/>
    <w:rsid w:val="004730B9"/>
    <w:rsid w:val="004732B9"/>
    <w:rsid w:val="004734B4"/>
    <w:rsid w:val="004739C6"/>
    <w:rsid w:val="00473BB1"/>
    <w:rsid w:val="00473C43"/>
    <w:rsid w:val="00473E18"/>
    <w:rsid w:val="00473E41"/>
    <w:rsid w:val="00473EC4"/>
    <w:rsid w:val="0047402C"/>
    <w:rsid w:val="00474087"/>
    <w:rsid w:val="004748F4"/>
    <w:rsid w:val="00474B04"/>
    <w:rsid w:val="00474B2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40"/>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CE5"/>
    <w:rsid w:val="004A3DCF"/>
    <w:rsid w:val="004A41A6"/>
    <w:rsid w:val="004A4357"/>
    <w:rsid w:val="004A43E8"/>
    <w:rsid w:val="004A443C"/>
    <w:rsid w:val="004A49BD"/>
    <w:rsid w:val="004A4E51"/>
    <w:rsid w:val="004A5037"/>
    <w:rsid w:val="004A566A"/>
    <w:rsid w:val="004A5985"/>
    <w:rsid w:val="004A60FC"/>
    <w:rsid w:val="004A65E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124"/>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4E5"/>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B7DD7"/>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34"/>
    <w:rsid w:val="004C65EC"/>
    <w:rsid w:val="004C67E0"/>
    <w:rsid w:val="004C6952"/>
    <w:rsid w:val="004C6BA2"/>
    <w:rsid w:val="004C6FE9"/>
    <w:rsid w:val="004C7156"/>
    <w:rsid w:val="004C71AC"/>
    <w:rsid w:val="004C72AD"/>
    <w:rsid w:val="004C7485"/>
    <w:rsid w:val="004C74AA"/>
    <w:rsid w:val="004C759D"/>
    <w:rsid w:val="004C75FB"/>
    <w:rsid w:val="004C774E"/>
    <w:rsid w:val="004C77A9"/>
    <w:rsid w:val="004C787E"/>
    <w:rsid w:val="004C7C27"/>
    <w:rsid w:val="004C7E6D"/>
    <w:rsid w:val="004C7F96"/>
    <w:rsid w:val="004D00D2"/>
    <w:rsid w:val="004D01DE"/>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785"/>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8F1"/>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67F"/>
    <w:rsid w:val="0050376B"/>
    <w:rsid w:val="00503877"/>
    <w:rsid w:val="00503A3C"/>
    <w:rsid w:val="00503C5C"/>
    <w:rsid w:val="00503E78"/>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5A8"/>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0798"/>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1A5F"/>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21F"/>
    <w:rsid w:val="005377F2"/>
    <w:rsid w:val="00537874"/>
    <w:rsid w:val="00537936"/>
    <w:rsid w:val="005379AB"/>
    <w:rsid w:val="00537A9F"/>
    <w:rsid w:val="0054087F"/>
    <w:rsid w:val="0054092C"/>
    <w:rsid w:val="005409CC"/>
    <w:rsid w:val="00540BFF"/>
    <w:rsid w:val="00540CD3"/>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F33"/>
    <w:rsid w:val="00552FBC"/>
    <w:rsid w:val="0055314C"/>
    <w:rsid w:val="005535B5"/>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7E5"/>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82C"/>
    <w:rsid w:val="0056391F"/>
    <w:rsid w:val="00563A61"/>
    <w:rsid w:val="00563CFF"/>
    <w:rsid w:val="00563D45"/>
    <w:rsid w:val="00563EAC"/>
    <w:rsid w:val="00564083"/>
    <w:rsid w:val="005646D1"/>
    <w:rsid w:val="00564B2A"/>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2EB"/>
    <w:rsid w:val="005705BD"/>
    <w:rsid w:val="005707D1"/>
    <w:rsid w:val="00570AFA"/>
    <w:rsid w:val="005716BF"/>
    <w:rsid w:val="00571892"/>
    <w:rsid w:val="005719FA"/>
    <w:rsid w:val="00571A2E"/>
    <w:rsid w:val="0057229D"/>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69A4"/>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AA"/>
    <w:rsid w:val="005874EB"/>
    <w:rsid w:val="005874F3"/>
    <w:rsid w:val="00587712"/>
    <w:rsid w:val="0058798A"/>
    <w:rsid w:val="00587CE8"/>
    <w:rsid w:val="00587F91"/>
    <w:rsid w:val="00590401"/>
    <w:rsid w:val="00590683"/>
    <w:rsid w:val="0059071B"/>
    <w:rsid w:val="00590C6F"/>
    <w:rsid w:val="00590D14"/>
    <w:rsid w:val="00590DE8"/>
    <w:rsid w:val="00590F1F"/>
    <w:rsid w:val="00590FD3"/>
    <w:rsid w:val="005911BF"/>
    <w:rsid w:val="00591268"/>
    <w:rsid w:val="005915F8"/>
    <w:rsid w:val="005918C4"/>
    <w:rsid w:val="00591956"/>
    <w:rsid w:val="00591DB9"/>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44"/>
    <w:rsid w:val="00593CBB"/>
    <w:rsid w:val="00593E5E"/>
    <w:rsid w:val="0059435E"/>
    <w:rsid w:val="0059437D"/>
    <w:rsid w:val="0059443F"/>
    <w:rsid w:val="00594456"/>
    <w:rsid w:val="00594733"/>
    <w:rsid w:val="0059492C"/>
    <w:rsid w:val="00594B1C"/>
    <w:rsid w:val="00594F0D"/>
    <w:rsid w:val="0059514D"/>
    <w:rsid w:val="005959C7"/>
    <w:rsid w:val="00595E2C"/>
    <w:rsid w:val="0059676C"/>
    <w:rsid w:val="00596871"/>
    <w:rsid w:val="00596D08"/>
    <w:rsid w:val="00597148"/>
    <w:rsid w:val="00597A41"/>
    <w:rsid w:val="00597CA5"/>
    <w:rsid w:val="00597D23"/>
    <w:rsid w:val="00597EC0"/>
    <w:rsid w:val="00597ED9"/>
    <w:rsid w:val="00597F77"/>
    <w:rsid w:val="005A01CC"/>
    <w:rsid w:val="005A01DB"/>
    <w:rsid w:val="005A049C"/>
    <w:rsid w:val="005A08F1"/>
    <w:rsid w:val="005A0A7C"/>
    <w:rsid w:val="005A10AD"/>
    <w:rsid w:val="005A15EA"/>
    <w:rsid w:val="005A1726"/>
    <w:rsid w:val="005A1D7E"/>
    <w:rsid w:val="005A1E2D"/>
    <w:rsid w:val="005A1E33"/>
    <w:rsid w:val="005A1F60"/>
    <w:rsid w:val="005A1FE6"/>
    <w:rsid w:val="005A20D8"/>
    <w:rsid w:val="005A25DB"/>
    <w:rsid w:val="005A2697"/>
    <w:rsid w:val="005A2C45"/>
    <w:rsid w:val="005A2D60"/>
    <w:rsid w:val="005A2DE2"/>
    <w:rsid w:val="005A308A"/>
    <w:rsid w:val="005A31B9"/>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52F"/>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959"/>
    <w:rsid w:val="005D0D09"/>
    <w:rsid w:val="005D0F81"/>
    <w:rsid w:val="005D18A2"/>
    <w:rsid w:val="005D1AA8"/>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16B"/>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9D"/>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990"/>
    <w:rsid w:val="00603CE3"/>
    <w:rsid w:val="00604266"/>
    <w:rsid w:val="006042D3"/>
    <w:rsid w:val="006043BA"/>
    <w:rsid w:val="006043E0"/>
    <w:rsid w:val="006044F0"/>
    <w:rsid w:val="00604565"/>
    <w:rsid w:val="006046ED"/>
    <w:rsid w:val="00604924"/>
    <w:rsid w:val="00605244"/>
    <w:rsid w:val="0060559B"/>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3A3"/>
    <w:rsid w:val="0061295B"/>
    <w:rsid w:val="00612B53"/>
    <w:rsid w:val="00613124"/>
    <w:rsid w:val="0061319D"/>
    <w:rsid w:val="00613505"/>
    <w:rsid w:val="0061395D"/>
    <w:rsid w:val="006139FF"/>
    <w:rsid w:val="0061407A"/>
    <w:rsid w:val="00614780"/>
    <w:rsid w:val="00614AAD"/>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82A"/>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479"/>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30B"/>
    <w:rsid w:val="00631BA9"/>
    <w:rsid w:val="00631D54"/>
    <w:rsid w:val="00631D60"/>
    <w:rsid w:val="00632486"/>
    <w:rsid w:val="00632680"/>
    <w:rsid w:val="006328F6"/>
    <w:rsid w:val="0063298A"/>
    <w:rsid w:val="006329C8"/>
    <w:rsid w:val="00632A44"/>
    <w:rsid w:val="00632B4B"/>
    <w:rsid w:val="00632FBB"/>
    <w:rsid w:val="0063330D"/>
    <w:rsid w:val="006335FF"/>
    <w:rsid w:val="00633736"/>
    <w:rsid w:val="006338D5"/>
    <w:rsid w:val="00633C70"/>
    <w:rsid w:val="00634056"/>
    <w:rsid w:val="00634259"/>
    <w:rsid w:val="00634308"/>
    <w:rsid w:val="0063435A"/>
    <w:rsid w:val="00634512"/>
    <w:rsid w:val="00634687"/>
    <w:rsid w:val="00634EB4"/>
    <w:rsid w:val="0063500F"/>
    <w:rsid w:val="0063529E"/>
    <w:rsid w:val="006356AC"/>
    <w:rsid w:val="006359B6"/>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D8F"/>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886"/>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79"/>
    <w:rsid w:val="00655FD2"/>
    <w:rsid w:val="00656378"/>
    <w:rsid w:val="006564B1"/>
    <w:rsid w:val="00656B55"/>
    <w:rsid w:val="00656BAC"/>
    <w:rsid w:val="00656CE0"/>
    <w:rsid w:val="00656F45"/>
    <w:rsid w:val="0065753D"/>
    <w:rsid w:val="006577DA"/>
    <w:rsid w:val="006578FB"/>
    <w:rsid w:val="00657954"/>
    <w:rsid w:val="006579D5"/>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2A3"/>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443"/>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85E"/>
    <w:rsid w:val="00695A1C"/>
    <w:rsid w:val="00695DA1"/>
    <w:rsid w:val="00695F83"/>
    <w:rsid w:val="006963F2"/>
    <w:rsid w:val="006965B6"/>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351"/>
    <w:rsid w:val="006A5B22"/>
    <w:rsid w:val="006A5CC9"/>
    <w:rsid w:val="006A5DE6"/>
    <w:rsid w:val="006A5E27"/>
    <w:rsid w:val="006A68A6"/>
    <w:rsid w:val="006A68EC"/>
    <w:rsid w:val="006A6A13"/>
    <w:rsid w:val="006A6A5C"/>
    <w:rsid w:val="006A6A8C"/>
    <w:rsid w:val="006A6FAF"/>
    <w:rsid w:val="006A7320"/>
    <w:rsid w:val="006A768D"/>
    <w:rsid w:val="006A774E"/>
    <w:rsid w:val="006A7A10"/>
    <w:rsid w:val="006A7C51"/>
    <w:rsid w:val="006B0643"/>
    <w:rsid w:val="006B0966"/>
    <w:rsid w:val="006B0AAD"/>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2E84"/>
    <w:rsid w:val="006B33AA"/>
    <w:rsid w:val="006B373A"/>
    <w:rsid w:val="006B3CA1"/>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3F7"/>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13E"/>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51D"/>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281"/>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2C91"/>
    <w:rsid w:val="006F3798"/>
    <w:rsid w:val="006F3839"/>
    <w:rsid w:val="006F3896"/>
    <w:rsid w:val="006F389C"/>
    <w:rsid w:val="006F3A22"/>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25"/>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1ED5"/>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445"/>
    <w:rsid w:val="00730A7A"/>
    <w:rsid w:val="00730AC2"/>
    <w:rsid w:val="00730BA0"/>
    <w:rsid w:val="0073147F"/>
    <w:rsid w:val="0073153D"/>
    <w:rsid w:val="00731A7A"/>
    <w:rsid w:val="00732232"/>
    <w:rsid w:val="00732350"/>
    <w:rsid w:val="00732609"/>
    <w:rsid w:val="0073265A"/>
    <w:rsid w:val="007327A5"/>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3F3"/>
    <w:rsid w:val="007364BE"/>
    <w:rsid w:val="00736A3A"/>
    <w:rsid w:val="0073702F"/>
    <w:rsid w:val="007371A3"/>
    <w:rsid w:val="007373AE"/>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1C9"/>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C1C"/>
    <w:rsid w:val="00745EF1"/>
    <w:rsid w:val="00745F48"/>
    <w:rsid w:val="00745F6B"/>
    <w:rsid w:val="00746BBF"/>
    <w:rsid w:val="007479AF"/>
    <w:rsid w:val="00747AD7"/>
    <w:rsid w:val="007500EB"/>
    <w:rsid w:val="007500F1"/>
    <w:rsid w:val="00750391"/>
    <w:rsid w:val="00750571"/>
    <w:rsid w:val="00750808"/>
    <w:rsid w:val="00751052"/>
    <w:rsid w:val="00751263"/>
    <w:rsid w:val="007513FF"/>
    <w:rsid w:val="0075140F"/>
    <w:rsid w:val="0075150F"/>
    <w:rsid w:val="00751620"/>
    <w:rsid w:val="00751985"/>
    <w:rsid w:val="00751C21"/>
    <w:rsid w:val="00751DAF"/>
    <w:rsid w:val="00751E16"/>
    <w:rsid w:val="00752476"/>
    <w:rsid w:val="007527F5"/>
    <w:rsid w:val="00752DB8"/>
    <w:rsid w:val="00753189"/>
    <w:rsid w:val="007535F8"/>
    <w:rsid w:val="00753655"/>
    <w:rsid w:val="00753EA9"/>
    <w:rsid w:val="00753F44"/>
    <w:rsid w:val="007545F7"/>
    <w:rsid w:val="00754834"/>
    <w:rsid w:val="00754976"/>
    <w:rsid w:val="00754987"/>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56"/>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5EA6"/>
    <w:rsid w:val="00766217"/>
    <w:rsid w:val="00766CC5"/>
    <w:rsid w:val="00766F68"/>
    <w:rsid w:val="007675FC"/>
    <w:rsid w:val="00767693"/>
    <w:rsid w:val="007677B5"/>
    <w:rsid w:val="00770897"/>
    <w:rsid w:val="00770941"/>
    <w:rsid w:val="00770B53"/>
    <w:rsid w:val="00771685"/>
    <w:rsid w:val="00771AF7"/>
    <w:rsid w:val="00771E17"/>
    <w:rsid w:val="0077252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64F"/>
    <w:rsid w:val="0078480C"/>
    <w:rsid w:val="00784F7A"/>
    <w:rsid w:val="00785E81"/>
    <w:rsid w:val="00785F42"/>
    <w:rsid w:val="00785FE6"/>
    <w:rsid w:val="00786251"/>
    <w:rsid w:val="00786317"/>
    <w:rsid w:val="0078637B"/>
    <w:rsid w:val="007864CD"/>
    <w:rsid w:val="00786B62"/>
    <w:rsid w:val="00787193"/>
    <w:rsid w:val="00787839"/>
    <w:rsid w:val="00787F90"/>
    <w:rsid w:val="00787FBF"/>
    <w:rsid w:val="0079005F"/>
    <w:rsid w:val="007900AD"/>
    <w:rsid w:val="007900E6"/>
    <w:rsid w:val="00790375"/>
    <w:rsid w:val="007905B4"/>
    <w:rsid w:val="00790E2F"/>
    <w:rsid w:val="007916FD"/>
    <w:rsid w:val="00791B35"/>
    <w:rsid w:val="00791D74"/>
    <w:rsid w:val="00791EE6"/>
    <w:rsid w:val="00791EF8"/>
    <w:rsid w:val="007921D0"/>
    <w:rsid w:val="00792279"/>
    <w:rsid w:val="00792603"/>
    <w:rsid w:val="00792C34"/>
    <w:rsid w:val="00792CB1"/>
    <w:rsid w:val="00792D96"/>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2D"/>
    <w:rsid w:val="00796B73"/>
    <w:rsid w:val="00796C60"/>
    <w:rsid w:val="00797816"/>
    <w:rsid w:val="007979E7"/>
    <w:rsid w:val="00797A47"/>
    <w:rsid w:val="00797A6B"/>
    <w:rsid w:val="00797EBA"/>
    <w:rsid w:val="007A02C6"/>
    <w:rsid w:val="007A0395"/>
    <w:rsid w:val="007A03F9"/>
    <w:rsid w:val="007A04D2"/>
    <w:rsid w:val="007A05E5"/>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A85"/>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0F1D"/>
    <w:rsid w:val="007B11CE"/>
    <w:rsid w:val="007B1DD8"/>
    <w:rsid w:val="007B26F1"/>
    <w:rsid w:val="007B2AB4"/>
    <w:rsid w:val="007B2D4F"/>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B74"/>
    <w:rsid w:val="007C0E69"/>
    <w:rsid w:val="007C1392"/>
    <w:rsid w:val="007C1492"/>
    <w:rsid w:val="007C1495"/>
    <w:rsid w:val="007C17B2"/>
    <w:rsid w:val="007C18D7"/>
    <w:rsid w:val="007C22B5"/>
    <w:rsid w:val="007C24FA"/>
    <w:rsid w:val="007C274D"/>
    <w:rsid w:val="007C29A5"/>
    <w:rsid w:val="007C2C26"/>
    <w:rsid w:val="007C2C7C"/>
    <w:rsid w:val="007C2FC6"/>
    <w:rsid w:val="007C328F"/>
    <w:rsid w:val="007C33A4"/>
    <w:rsid w:val="007C3725"/>
    <w:rsid w:val="007C3826"/>
    <w:rsid w:val="007C4153"/>
    <w:rsid w:val="007C4261"/>
    <w:rsid w:val="007C447F"/>
    <w:rsid w:val="007C44AE"/>
    <w:rsid w:val="007C46F4"/>
    <w:rsid w:val="007C48B9"/>
    <w:rsid w:val="007C4D70"/>
    <w:rsid w:val="007C4E0F"/>
    <w:rsid w:val="007C4F33"/>
    <w:rsid w:val="007C52EC"/>
    <w:rsid w:val="007C541C"/>
    <w:rsid w:val="007C5629"/>
    <w:rsid w:val="007C5716"/>
    <w:rsid w:val="007C59AD"/>
    <w:rsid w:val="007C5A38"/>
    <w:rsid w:val="007C6017"/>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814"/>
    <w:rsid w:val="007D0A6A"/>
    <w:rsid w:val="007D0A80"/>
    <w:rsid w:val="007D0F4D"/>
    <w:rsid w:val="007D1292"/>
    <w:rsid w:val="007D1C2D"/>
    <w:rsid w:val="007D1C90"/>
    <w:rsid w:val="007D21D1"/>
    <w:rsid w:val="007D220F"/>
    <w:rsid w:val="007D239B"/>
    <w:rsid w:val="007D2747"/>
    <w:rsid w:val="007D28C6"/>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BCB"/>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407"/>
    <w:rsid w:val="007E4A71"/>
    <w:rsid w:val="007E4B46"/>
    <w:rsid w:val="007E4E48"/>
    <w:rsid w:val="007E53AC"/>
    <w:rsid w:val="007E5F25"/>
    <w:rsid w:val="007E64C9"/>
    <w:rsid w:val="007E669E"/>
    <w:rsid w:val="007E67E1"/>
    <w:rsid w:val="007E69F1"/>
    <w:rsid w:val="007E6D2C"/>
    <w:rsid w:val="007E6D34"/>
    <w:rsid w:val="007E71EC"/>
    <w:rsid w:val="007E7360"/>
    <w:rsid w:val="007E74C4"/>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97"/>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3EB"/>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032"/>
    <w:rsid w:val="008067DB"/>
    <w:rsid w:val="008068E8"/>
    <w:rsid w:val="008069AC"/>
    <w:rsid w:val="00806CCC"/>
    <w:rsid w:val="00806E78"/>
    <w:rsid w:val="00806F42"/>
    <w:rsid w:val="0080738B"/>
    <w:rsid w:val="00807DA8"/>
    <w:rsid w:val="008100BB"/>
    <w:rsid w:val="0081039F"/>
    <w:rsid w:val="00810629"/>
    <w:rsid w:val="008109A2"/>
    <w:rsid w:val="00810D48"/>
    <w:rsid w:val="0081133A"/>
    <w:rsid w:val="00811B4E"/>
    <w:rsid w:val="0081201E"/>
    <w:rsid w:val="008120D5"/>
    <w:rsid w:val="0081264A"/>
    <w:rsid w:val="008127E8"/>
    <w:rsid w:val="00812AD3"/>
    <w:rsid w:val="008130B1"/>
    <w:rsid w:val="00813704"/>
    <w:rsid w:val="0081375D"/>
    <w:rsid w:val="008138CD"/>
    <w:rsid w:val="0081392F"/>
    <w:rsid w:val="00813962"/>
    <w:rsid w:val="00813CDD"/>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35E"/>
    <w:rsid w:val="008164AF"/>
    <w:rsid w:val="0081664D"/>
    <w:rsid w:val="00816977"/>
    <w:rsid w:val="00816AD6"/>
    <w:rsid w:val="00817249"/>
    <w:rsid w:val="008173C5"/>
    <w:rsid w:val="008174B0"/>
    <w:rsid w:val="0081758C"/>
    <w:rsid w:val="008176FE"/>
    <w:rsid w:val="00817742"/>
    <w:rsid w:val="00817BF2"/>
    <w:rsid w:val="00817F08"/>
    <w:rsid w:val="00820483"/>
    <w:rsid w:val="0082082B"/>
    <w:rsid w:val="0082082C"/>
    <w:rsid w:val="008208F1"/>
    <w:rsid w:val="00820CD0"/>
    <w:rsid w:val="00821607"/>
    <w:rsid w:val="00821895"/>
    <w:rsid w:val="008219A6"/>
    <w:rsid w:val="00821A11"/>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C0F"/>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0B7"/>
    <w:rsid w:val="008301AF"/>
    <w:rsid w:val="008302BE"/>
    <w:rsid w:val="008302E4"/>
    <w:rsid w:val="00830374"/>
    <w:rsid w:val="0083073B"/>
    <w:rsid w:val="00830AD3"/>
    <w:rsid w:val="00830AF2"/>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26"/>
    <w:rsid w:val="00845697"/>
    <w:rsid w:val="008456B5"/>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6E2"/>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2CE"/>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031"/>
    <w:rsid w:val="0088015C"/>
    <w:rsid w:val="008803FB"/>
    <w:rsid w:val="00880517"/>
    <w:rsid w:val="008806A1"/>
    <w:rsid w:val="008806A8"/>
    <w:rsid w:val="008807DB"/>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1AE"/>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9CB"/>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67F8"/>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AF"/>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097"/>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2EA8"/>
    <w:rsid w:val="008C305E"/>
    <w:rsid w:val="008C30ED"/>
    <w:rsid w:val="008C33F3"/>
    <w:rsid w:val="008C35F2"/>
    <w:rsid w:val="008C3891"/>
    <w:rsid w:val="008C3978"/>
    <w:rsid w:val="008C3A76"/>
    <w:rsid w:val="008C3A97"/>
    <w:rsid w:val="008C3CD2"/>
    <w:rsid w:val="008C3D9A"/>
    <w:rsid w:val="008C41B0"/>
    <w:rsid w:val="008C522D"/>
    <w:rsid w:val="008C57F8"/>
    <w:rsid w:val="008C5C29"/>
    <w:rsid w:val="008C606B"/>
    <w:rsid w:val="008C61E5"/>
    <w:rsid w:val="008C62D3"/>
    <w:rsid w:val="008C65CC"/>
    <w:rsid w:val="008C66CF"/>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990"/>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B2B"/>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4BE"/>
    <w:rsid w:val="008E454E"/>
    <w:rsid w:val="008E4906"/>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0E87"/>
    <w:rsid w:val="0090116A"/>
    <w:rsid w:val="00901476"/>
    <w:rsid w:val="009014FE"/>
    <w:rsid w:val="00901599"/>
    <w:rsid w:val="009015DD"/>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12B"/>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07B"/>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901"/>
    <w:rsid w:val="00925CDE"/>
    <w:rsid w:val="00925ED2"/>
    <w:rsid w:val="009263FB"/>
    <w:rsid w:val="00926AC2"/>
    <w:rsid w:val="00926B75"/>
    <w:rsid w:val="00926C40"/>
    <w:rsid w:val="009270FB"/>
    <w:rsid w:val="00927314"/>
    <w:rsid w:val="00927470"/>
    <w:rsid w:val="0092797D"/>
    <w:rsid w:val="00927BB5"/>
    <w:rsid w:val="00927E3A"/>
    <w:rsid w:val="00930020"/>
    <w:rsid w:val="00930087"/>
    <w:rsid w:val="009300A0"/>
    <w:rsid w:val="00930BB8"/>
    <w:rsid w:val="00930DC4"/>
    <w:rsid w:val="00931401"/>
    <w:rsid w:val="009315AA"/>
    <w:rsid w:val="0093164B"/>
    <w:rsid w:val="00931DF8"/>
    <w:rsid w:val="00931DFC"/>
    <w:rsid w:val="0093222E"/>
    <w:rsid w:val="009323AD"/>
    <w:rsid w:val="0093267C"/>
    <w:rsid w:val="00932807"/>
    <w:rsid w:val="00932D19"/>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59B"/>
    <w:rsid w:val="00936957"/>
    <w:rsid w:val="00936E6B"/>
    <w:rsid w:val="00936E9D"/>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7D7"/>
    <w:rsid w:val="00941813"/>
    <w:rsid w:val="00941AA8"/>
    <w:rsid w:val="00941BE4"/>
    <w:rsid w:val="00941F7E"/>
    <w:rsid w:val="009422CA"/>
    <w:rsid w:val="0094235A"/>
    <w:rsid w:val="009424F3"/>
    <w:rsid w:val="0094253D"/>
    <w:rsid w:val="00942643"/>
    <w:rsid w:val="00942A56"/>
    <w:rsid w:val="00942B12"/>
    <w:rsid w:val="00942B4E"/>
    <w:rsid w:val="00942F89"/>
    <w:rsid w:val="00943117"/>
    <w:rsid w:val="00943227"/>
    <w:rsid w:val="00943654"/>
    <w:rsid w:val="009436C4"/>
    <w:rsid w:val="0094388C"/>
    <w:rsid w:val="00943DB4"/>
    <w:rsid w:val="00943F5D"/>
    <w:rsid w:val="00944093"/>
    <w:rsid w:val="00944E3A"/>
    <w:rsid w:val="00944F2C"/>
    <w:rsid w:val="009451F0"/>
    <w:rsid w:val="00945609"/>
    <w:rsid w:val="009456AC"/>
    <w:rsid w:val="00945BF5"/>
    <w:rsid w:val="00945CD4"/>
    <w:rsid w:val="00945EA5"/>
    <w:rsid w:val="0094663E"/>
    <w:rsid w:val="009467ED"/>
    <w:rsid w:val="00946B04"/>
    <w:rsid w:val="00946EFA"/>
    <w:rsid w:val="00946F16"/>
    <w:rsid w:val="009475B2"/>
    <w:rsid w:val="009479E5"/>
    <w:rsid w:val="00947A43"/>
    <w:rsid w:val="00947CE8"/>
    <w:rsid w:val="00950177"/>
    <w:rsid w:val="00950569"/>
    <w:rsid w:val="00950861"/>
    <w:rsid w:val="009508FC"/>
    <w:rsid w:val="0095093B"/>
    <w:rsid w:val="00950A38"/>
    <w:rsid w:val="00950CC4"/>
    <w:rsid w:val="00950E89"/>
    <w:rsid w:val="00951077"/>
    <w:rsid w:val="009511A0"/>
    <w:rsid w:val="009511DA"/>
    <w:rsid w:val="00951733"/>
    <w:rsid w:val="0095181D"/>
    <w:rsid w:val="0095187A"/>
    <w:rsid w:val="00951910"/>
    <w:rsid w:val="00951A17"/>
    <w:rsid w:val="00951B78"/>
    <w:rsid w:val="00951DAE"/>
    <w:rsid w:val="00951FA3"/>
    <w:rsid w:val="0095262A"/>
    <w:rsid w:val="00952D9D"/>
    <w:rsid w:val="00952E6C"/>
    <w:rsid w:val="00953228"/>
    <w:rsid w:val="0095336D"/>
    <w:rsid w:val="00953536"/>
    <w:rsid w:val="009536E1"/>
    <w:rsid w:val="00953C00"/>
    <w:rsid w:val="00953EC4"/>
    <w:rsid w:val="009547DB"/>
    <w:rsid w:val="009547E6"/>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5F1D"/>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4F"/>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1909"/>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3FB2"/>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4D28"/>
    <w:rsid w:val="009A52E0"/>
    <w:rsid w:val="009A55E3"/>
    <w:rsid w:val="009A5B56"/>
    <w:rsid w:val="009A5C85"/>
    <w:rsid w:val="009A5D7E"/>
    <w:rsid w:val="009A616D"/>
    <w:rsid w:val="009A6822"/>
    <w:rsid w:val="009A6ED3"/>
    <w:rsid w:val="009A7255"/>
    <w:rsid w:val="009A758C"/>
    <w:rsid w:val="009A766B"/>
    <w:rsid w:val="009A7688"/>
    <w:rsid w:val="009A79F2"/>
    <w:rsid w:val="009A7CAA"/>
    <w:rsid w:val="009A7E88"/>
    <w:rsid w:val="009A7EE7"/>
    <w:rsid w:val="009A7F95"/>
    <w:rsid w:val="009B0160"/>
    <w:rsid w:val="009B0180"/>
    <w:rsid w:val="009B02AF"/>
    <w:rsid w:val="009B0398"/>
    <w:rsid w:val="009B0875"/>
    <w:rsid w:val="009B0A67"/>
    <w:rsid w:val="009B106E"/>
    <w:rsid w:val="009B113E"/>
    <w:rsid w:val="009B115D"/>
    <w:rsid w:val="009B19D9"/>
    <w:rsid w:val="009B1A8C"/>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984"/>
    <w:rsid w:val="009B5B52"/>
    <w:rsid w:val="009B5BFA"/>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8F5"/>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DFA"/>
    <w:rsid w:val="009C5FC6"/>
    <w:rsid w:val="009C6060"/>
    <w:rsid w:val="009C63B0"/>
    <w:rsid w:val="009C643C"/>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EDB"/>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A4A"/>
    <w:rsid w:val="009D5E58"/>
    <w:rsid w:val="009D63E8"/>
    <w:rsid w:val="009D6426"/>
    <w:rsid w:val="009D6491"/>
    <w:rsid w:val="009D64C6"/>
    <w:rsid w:val="009D6695"/>
    <w:rsid w:val="009D6719"/>
    <w:rsid w:val="009D67A7"/>
    <w:rsid w:val="009D68D7"/>
    <w:rsid w:val="009D6EDE"/>
    <w:rsid w:val="009D71AF"/>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D9"/>
    <w:rsid w:val="009E26FA"/>
    <w:rsid w:val="009E29C8"/>
    <w:rsid w:val="009E2EBF"/>
    <w:rsid w:val="009E3116"/>
    <w:rsid w:val="009E325D"/>
    <w:rsid w:val="009E41DC"/>
    <w:rsid w:val="009E4683"/>
    <w:rsid w:val="009E4A62"/>
    <w:rsid w:val="009E4B89"/>
    <w:rsid w:val="009E4D53"/>
    <w:rsid w:val="009E4EA2"/>
    <w:rsid w:val="009E4EAF"/>
    <w:rsid w:val="009E5011"/>
    <w:rsid w:val="009E579D"/>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01"/>
    <w:rsid w:val="009E76B6"/>
    <w:rsid w:val="009E76B8"/>
    <w:rsid w:val="009E7746"/>
    <w:rsid w:val="009E7A53"/>
    <w:rsid w:val="009E7D2D"/>
    <w:rsid w:val="009E7E8C"/>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0D5"/>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0EBC"/>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175"/>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1739"/>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0B"/>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84E"/>
    <w:rsid w:val="00A23A2F"/>
    <w:rsid w:val="00A23E52"/>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A7C"/>
    <w:rsid w:val="00A26B58"/>
    <w:rsid w:val="00A26EB1"/>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26E"/>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74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8E8"/>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C03"/>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6E3D"/>
    <w:rsid w:val="00A5703A"/>
    <w:rsid w:val="00A5773F"/>
    <w:rsid w:val="00A57F36"/>
    <w:rsid w:val="00A602EA"/>
    <w:rsid w:val="00A6049A"/>
    <w:rsid w:val="00A6070A"/>
    <w:rsid w:val="00A60715"/>
    <w:rsid w:val="00A60933"/>
    <w:rsid w:val="00A60D4C"/>
    <w:rsid w:val="00A60DA6"/>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0F4"/>
    <w:rsid w:val="00A77665"/>
    <w:rsid w:val="00A77695"/>
    <w:rsid w:val="00A776C3"/>
    <w:rsid w:val="00A7770B"/>
    <w:rsid w:val="00A778DE"/>
    <w:rsid w:val="00A77C9E"/>
    <w:rsid w:val="00A77CA5"/>
    <w:rsid w:val="00A77FC4"/>
    <w:rsid w:val="00A80096"/>
    <w:rsid w:val="00A8031E"/>
    <w:rsid w:val="00A8033A"/>
    <w:rsid w:val="00A80481"/>
    <w:rsid w:val="00A8063F"/>
    <w:rsid w:val="00A80A22"/>
    <w:rsid w:val="00A80AC9"/>
    <w:rsid w:val="00A80AFC"/>
    <w:rsid w:val="00A80D99"/>
    <w:rsid w:val="00A80DC2"/>
    <w:rsid w:val="00A80F68"/>
    <w:rsid w:val="00A81285"/>
    <w:rsid w:val="00A8154E"/>
    <w:rsid w:val="00A8179C"/>
    <w:rsid w:val="00A817B4"/>
    <w:rsid w:val="00A81B07"/>
    <w:rsid w:val="00A81B1C"/>
    <w:rsid w:val="00A81D43"/>
    <w:rsid w:val="00A81DA4"/>
    <w:rsid w:val="00A8213D"/>
    <w:rsid w:val="00A82191"/>
    <w:rsid w:val="00A82277"/>
    <w:rsid w:val="00A8272A"/>
    <w:rsid w:val="00A82CBB"/>
    <w:rsid w:val="00A82F29"/>
    <w:rsid w:val="00A82FCD"/>
    <w:rsid w:val="00A8314C"/>
    <w:rsid w:val="00A83422"/>
    <w:rsid w:val="00A834A4"/>
    <w:rsid w:val="00A83735"/>
    <w:rsid w:val="00A83806"/>
    <w:rsid w:val="00A83971"/>
    <w:rsid w:val="00A839C2"/>
    <w:rsid w:val="00A83B20"/>
    <w:rsid w:val="00A83C1F"/>
    <w:rsid w:val="00A83FDE"/>
    <w:rsid w:val="00A840CD"/>
    <w:rsid w:val="00A840F8"/>
    <w:rsid w:val="00A841E4"/>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5AD"/>
    <w:rsid w:val="00A9176C"/>
    <w:rsid w:val="00A91852"/>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782"/>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05"/>
    <w:rsid w:val="00AA36FE"/>
    <w:rsid w:val="00AA37FC"/>
    <w:rsid w:val="00AA382F"/>
    <w:rsid w:val="00AA3D2D"/>
    <w:rsid w:val="00AA4426"/>
    <w:rsid w:val="00AA4500"/>
    <w:rsid w:val="00AA473E"/>
    <w:rsid w:val="00AA487A"/>
    <w:rsid w:val="00AA4EC3"/>
    <w:rsid w:val="00AA4F62"/>
    <w:rsid w:val="00AA5042"/>
    <w:rsid w:val="00AA5053"/>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083"/>
    <w:rsid w:val="00AB6225"/>
    <w:rsid w:val="00AB63FC"/>
    <w:rsid w:val="00AB64F8"/>
    <w:rsid w:val="00AB658A"/>
    <w:rsid w:val="00AB69FE"/>
    <w:rsid w:val="00AB6B38"/>
    <w:rsid w:val="00AB6C7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574"/>
    <w:rsid w:val="00AC5851"/>
    <w:rsid w:val="00AC5A60"/>
    <w:rsid w:val="00AC5C7F"/>
    <w:rsid w:val="00AC5D4C"/>
    <w:rsid w:val="00AC5E82"/>
    <w:rsid w:val="00AC6164"/>
    <w:rsid w:val="00AC6709"/>
    <w:rsid w:val="00AC6B33"/>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0DC6"/>
    <w:rsid w:val="00AD11F3"/>
    <w:rsid w:val="00AD1296"/>
    <w:rsid w:val="00AD199B"/>
    <w:rsid w:val="00AD1BCA"/>
    <w:rsid w:val="00AD1D1D"/>
    <w:rsid w:val="00AD2434"/>
    <w:rsid w:val="00AD2B57"/>
    <w:rsid w:val="00AD2F03"/>
    <w:rsid w:val="00AD3047"/>
    <w:rsid w:val="00AD30E2"/>
    <w:rsid w:val="00AD32D1"/>
    <w:rsid w:val="00AD3524"/>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33A"/>
    <w:rsid w:val="00AE05D9"/>
    <w:rsid w:val="00AE0B36"/>
    <w:rsid w:val="00AE1323"/>
    <w:rsid w:val="00AE15EB"/>
    <w:rsid w:val="00AE189C"/>
    <w:rsid w:val="00AE209A"/>
    <w:rsid w:val="00AE23B3"/>
    <w:rsid w:val="00AE2521"/>
    <w:rsid w:val="00AE25A0"/>
    <w:rsid w:val="00AE3116"/>
    <w:rsid w:val="00AE3243"/>
    <w:rsid w:val="00AE3457"/>
    <w:rsid w:val="00AE3D4E"/>
    <w:rsid w:val="00AE3E51"/>
    <w:rsid w:val="00AE3E7F"/>
    <w:rsid w:val="00AE41B8"/>
    <w:rsid w:val="00AE42DE"/>
    <w:rsid w:val="00AE4881"/>
    <w:rsid w:val="00AE495E"/>
    <w:rsid w:val="00AE49AE"/>
    <w:rsid w:val="00AE54CF"/>
    <w:rsid w:val="00AE54D4"/>
    <w:rsid w:val="00AE5726"/>
    <w:rsid w:val="00AE5D0E"/>
    <w:rsid w:val="00AE5E0B"/>
    <w:rsid w:val="00AE600D"/>
    <w:rsid w:val="00AE6758"/>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AF3"/>
    <w:rsid w:val="00AF7D5D"/>
    <w:rsid w:val="00B00604"/>
    <w:rsid w:val="00B00813"/>
    <w:rsid w:val="00B00B86"/>
    <w:rsid w:val="00B00C31"/>
    <w:rsid w:val="00B00E12"/>
    <w:rsid w:val="00B01451"/>
    <w:rsid w:val="00B01948"/>
    <w:rsid w:val="00B020AA"/>
    <w:rsid w:val="00B0221C"/>
    <w:rsid w:val="00B0230A"/>
    <w:rsid w:val="00B02652"/>
    <w:rsid w:val="00B02CCF"/>
    <w:rsid w:val="00B0317B"/>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002"/>
    <w:rsid w:val="00B11170"/>
    <w:rsid w:val="00B111CB"/>
    <w:rsid w:val="00B1127F"/>
    <w:rsid w:val="00B112B5"/>
    <w:rsid w:val="00B1132D"/>
    <w:rsid w:val="00B1146A"/>
    <w:rsid w:val="00B11625"/>
    <w:rsid w:val="00B1199E"/>
    <w:rsid w:val="00B11AB4"/>
    <w:rsid w:val="00B11FDE"/>
    <w:rsid w:val="00B12061"/>
    <w:rsid w:val="00B120E2"/>
    <w:rsid w:val="00B12385"/>
    <w:rsid w:val="00B12411"/>
    <w:rsid w:val="00B12443"/>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37F"/>
    <w:rsid w:val="00B17598"/>
    <w:rsid w:val="00B175D3"/>
    <w:rsid w:val="00B1768A"/>
    <w:rsid w:val="00B17719"/>
    <w:rsid w:val="00B200A1"/>
    <w:rsid w:val="00B20A76"/>
    <w:rsid w:val="00B20ACE"/>
    <w:rsid w:val="00B2109D"/>
    <w:rsid w:val="00B214AF"/>
    <w:rsid w:val="00B21876"/>
    <w:rsid w:val="00B21AEA"/>
    <w:rsid w:val="00B21D65"/>
    <w:rsid w:val="00B21FE6"/>
    <w:rsid w:val="00B22973"/>
    <w:rsid w:val="00B2312D"/>
    <w:rsid w:val="00B23344"/>
    <w:rsid w:val="00B235F9"/>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27F97"/>
    <w:rsid w:val="00B30235"/>
    <w:rsid w:val="00B3077D"/>
    <w:rsid w:val="00B30864"/>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3ADD"/>
    <w:rsid w:val="00B33FA3"/>
    <w:rsid w:val="00B3424B"/>
    <w:rsid w:val="00B34318"/>
    <w:rsid w:val="00B344E8"/>
    <w:rsid w:val="00B3458A"/>
    <w:rsid w:val="00B349DC"/>
    <w:rsid w:val="00B34A98"/>
    <w:rsid w:val="00B35013"/>
    <w:rsid w:val="00B35016"/>
    <w:rsid w:val="00B35170"/>
    <w:rsid w:val="00B354B6"/>
    <w:rsid w:val="00B35AFF"/>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0DF"/>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47B0F"/>
    <w:rsid w:val="00B501F5"/>
    <w:rsid w:val="00B504A2"/>
    <w:rsid w:val="00B5055D"/>
    <w:rsid w:val="00B50815"/>
    <w:rsid w:val="00B509E5"/>
    <w:rsid w:val="00B50B8A"/>
    <w:rsid w:val="00B50D79"/>
    <w:rsid w:val="00B50F5B"/>
    <w:rsid w:val="00B50FD1"/>
    <w:rsid w:val="00B51324"/>
    <w:rsid w:val="00B519C8"/>
    <w:rsid w:val="00B51A6D"/>
    <w:rsid w:val="00B52207"/>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3D57"/>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2CD"/>
    <w:rsid w:val="00B6639D"/>
    <w:rsid w:val="00B663A4"/>
    <w:rsid w:val="00B66490"/>
    <w:rsid w:val="00B66F2F"/>
    <w:rsid w:val="00B672A4"/>
    <w:rsid w:val="00B67316"/>
    <w:rsid w:val="00B675DE"/>
    <w:rsid w:val="00B67707"/>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016"/>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11A6"/>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25"/>
    <w:rsid w:val="00B851C7"/>
    <w:rsid w:val="00B85B36"/>
    <w:rsid w:val="00B85D65"/>
    <w:rsid w:val="00B85E63"/>
    <w:rsid w:val="00B8611D"/>
    <w:rsid w:val="00B861DC"/>
    <w:rsid w:val="00B8628D"/>
    <w:rsid w:val="00B86367"/>
    <w:rsid w:val="00B8661C"/>
    <w:rsid w:val="00B86BDE"/>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E8A"/>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362"/>
    <w:rsid w:val="00B97791"/>
    <w:rsid w:val="00B978AF"/>
    <w:rsid w:val="00B97B45"/>
    <w:rsid w:val="00BA003F"/>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488"/>
    <w:rsid w:val="00BB6892"/>
    <w:rsid w:val="00BB6CC5"/>
    <w:rsid w:val="00BB70B3"/>
    <w:rsid w:val="00BB71E0"/>
    <w:rsid w:val="00BB7796"/>
    <w:rsid w:val="00BB7FA9"/>
    <w:rsid w:val="00BC001A"/>
    <w:rsid w:val="00BC01CA"/>
    <w:rsid w:val="00BC0291"/>
    <w:rsid w:val="00BC0788"/>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88C"/>
    <w:rsid w:val="00BC6A8A"/>
    <w:rsid w:val="00BC6D93"/>
    <w:rsid w:val="00BC6DAD"/>
    <w:rsid w:val="00BC705A"/>
    <w:rsid w:val="00BC749F"/>
    <w:rsid w:val="00BC7FF3"/>
    <w:rsid w:val="00BD0514"/>
    <w:rsid w:val="00BD08FD"/>
    <w:rsid w:val="00BD09F1"/>
    <w:rsid w:val="00BD0D55"/>
    <w:rsid w:val="00BD1127"/>
    <w:rsid w:val="00BD11DC"/>
    <w:rsid w:val="00BD1D64"/>
    <w:rsid w:val="00BD24EA"/>
    <w:rsid w:val="00BD2D75"/>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6BC"/>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A3"/>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BF7F9E"/>
    <w:rsid w:val="00BF7FB9"/>
    <w:rsid w:val="00C00072"/>
    <w:rsid w:val="00C000B5"/>
    <w:rsid w:val="00C001E2"/>
    <w:rsid w:val="00C0044B"/>
    <w:rsid w:val="00C00693"/>
    <w:rsid w:val="00C00F80"/>
    <w:rsid w:val="00C010F5"/>
    <w:rsid w:val="00C01437"/>
    <w:rsid w:val="00C018AA"/>
    <w:rsid w:val="00C018E4"/>
    <w:rsid w:val="00C01C4F"/>
    <w:rsid w:val="00C01E97"/>
    <w:rsid w:val="00C021BD"/>
    <w:rsid w:val="00C02218"/>
    <w:rsid w:val="00C024D3"/>
    <w:rsid w:val="00C02756"/>
    <w:rsid w:val="00C02F26"/>
    <w:rsid w:val="00C035C6"/>
    <w:rsid w:val="00C03A2A"/>
    <w:rsid w:val="00C03C7F"/>
    <w:rsid w:val="00C042A1"/>
    <w:rsid w:val="00C04497"/>
    <w:rsid w:val="00C04562"/>
    <w:rsid w:val="00C0469F"/>
    <w:rsid w:val="00C04927"/>
    <w:rsid w:val="00C050D9"/>
    <w:rsid w:val="00C051D1"/>
    <w:rsid w:val="00C05642"/>
    <w:rsid w:val="00C05656"/>
    <w:rsid w:val="00C057AA"/>
    <w:rsid w:val="00C059B8"/>
    <w:rsid w:val="00C05C07"/>
    <w:rsid w:val="00C0627E"/>
    <w:rsid w:val="00C06333"/>
    <w:rsid w:val="00C06D3A"/>
    <w:rsid w:val="00C070B0"/>
    <w:rsid w:val="00C071BB"/>
    <w:rsid w:val="00C07420"/>
    <w:rsid w:val="00C07599"/>
    <w:rsid w:val="00C07627"/>
    <w:rsid w:val="00C079CD"/>
    <w:rsid w:val="00C07D2A"/>
    <w:rsid w:val="00C100E9"/>
    <w:rsid w:val="00C10448"/>
    <w:rsid w:val="00C1052D"/>
    <w:rsid w:val="00C105B2"/>
    <w:rsid w:val="00C10869"/>
    <w:rsid w:val="00C10FD4"/>
    <w:rsid w:val="00C113D4"/>
    <w:rsid w:val="00C11460"/>
    <w:rsid w:val="00C115D3"/>
    <w:rsid w:val="00C11849"/>
    <w:rsid w:val="00C11CEA"/>
    <w:rsid w:val="00C120F2"/>
    <w:rsid w:val="00C12198"/>
    <w:rsid w:val="00C12466"/>
    <w:rsid w:val="00C124C3"/>
    <w:rsid w:val="00C125AE"/>
    <w:rsid w:val="00C12B02"/>
    <w:rsid w:val="00C13059"/>
    <w:rsid w:val="00C13241"/>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5E1"/>
    <w:rsid w:val="00C16E78"/>
    <w:rsid w:val="00C17150"/>
    <w:rsid w:val="00C17205"/>
    <w:rsid w:val="00C174F0"/>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40B5"/>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30"/>
    <w:rsid w:val="00C274FE"/>
    <w:rsid w:val="00C27A71"/>
    <w:rsid w:val="00C27C41"/>
    <w:rsid w:val="00C27C52"/>
    <w:rsid w:val="00C27C90"/>
    <w:rsid w:val="00C27F7F"/>
    <w:rsid w:val="00C27FD0"/>
    <w:rsid w:val="00C308E9"/>
    <w:rsid w:val="00C30AEA"/>
    <w:rsid w:val="00C30D9F"/>
    <w:rsid w:val="00C30E2B"/>
    <w:rsid w:val="00C30FF5"/>
    <w:rsid w:val="00C31791"/>
    <w:rsid w:val="00C3203A"/>
    <w:rsid w:val="00C32071"/>
    <w:rsid w:val="00C32107"/>
    <w:rsid w:val="00C3220A"/>
    <w:rsid w:val="00C323DE"/>
    <w:rsid w:val="00C32643"/>
    <w:rsid w:val="00C3292F"/>
    <w:rsid w:val="00C3293C"/>
    <w:rsid w:val="00C32ADB"/>
    <w:rsid w:val="00C32D68"/>
    <w:rsid w:val="00C32F79"/>
    <w:rsid w:val="00C32FD3"/>
    <w:rsid w:val="00C32FEF"/>
    <w:rsid w:val="00C3334A"/>
    <w:rsid w:val="00C3357E"/>
    <w:rsid w:val="00C33679"/>
    <w:rsid w:val="00C3395E"/>
    <w:rsid w:val="00C33AEF"/>
    <w:rsid w:val="00C33BEF"/>
    <w:rsid w:val="00C34010"/>
    <w:rsid w:val="00C34712"/>
    <w:rsid w:val="00C34AF4"/>
    <w:rsid w:val="00C34C78"/>
    <w:rsid w:val="00C34CCC"/>
    <w:rsid w:val="00C34E32"/>
    <w:rsid w:val="00C3544D"/>
    <w:rsid w:val="00C3549C"/>
    <w:rsid w:val="00C3551D"/>
    <w:rsid w:val="00C35A3B"/>
    <w:rsid w:val="00C35A5B"/>
    <w:rsid w:val="00C35D89"/>
    <w:rsid w:val="00C36216"/>
    <w:rsid w:val="00C36397"/>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060"/>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5CAF"/>
    <w:rsid w:val="00C5635D"/>
    <w:rsid w:val="00C565BC"/>
    <w:rsid w:val="00C567DE"/>
    <w:rsid w:val="00C56D47"/>
    <w:rsid w:val="00C56DA5"/>
    <w:rsid w:val="00C5754E"/>
    <w:rsid w:val="00C57612"/>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5D3"/>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7002A"/>
    <w:rsid w:val="00C70071"/>
    <w:rsid w:val="00C700A2"/>
    <w:rsid w:val="00C7028B"/>
    <w:rsid w:val="00C7039B"/>
    <w:rsid w:val="00C7070B"/>
    <w:rsid w:val="00C707F6"/>
    <w:rsid w:val="00C7081B"/>
    <w:rsid w:val="00C70BF5"/>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4F"/>
    <w:rsid w:val="00C765FB"/>
    <w:rsid w:val="00C76700"/>
    <w:rsid w:val="00C76744"/>
    <w:rsid w:val="00C76797"/>
    <w:rsid w:val="00C769DE"/>
    <w:rsid w:val="00C77266"/>
    <w:rsid w:val="00C77700"/>
    <w:rsid w:val="00C77885"/>
    <w:rsid w:val="00C77BB1"/>
    <w:rsid w:val="00C77CFD"/>
    <w:rsid w:val="00C77E7C"/>
    <w:rsid w:val="00C80326"/>
    <w:rsid w:val="00C80494"/>
    <w:rsid w:val="00C804B9"/>
    <w:rsid w:val="00C80605"/>
    <w:rsid w:val="00C80790"/>
    <w:rsid w:val="00C80C60"/>
    <w:rsid w:val="00C81086"/>
    <w:rsid w:val="00C811D4"/>
    <w:rsid w:val="00C812EF"/>
    <w:rsid w:val="00C8143E"/>
    <w:rsid w:val="00C814B8"/>
    <w:rsid w:val="00C81943"/>
    <w:rsid w:val="00C81A50"/>
    <w:rsid w:val="00C82018"/>
    <w:rsid w:val="00C820EC"/>
    <w:rsid w:val="00C82130"/>
    <w:rsid w:val="00C82383"/>
    <w:rsid w:val="00C8255E"/>
    <w:rsid w:val="00C8282B"/>
    <w:rsid w:val="00C836F8"/>
    <w:rsid w:val="00C838C2"/>
    <w:rsid w:val="00C838E2"/>
    <w:rsid w:val="00C83B87"/>
    <w:rsid w:val="00C83CF3"/>
    <w:rsid w:val="00C848A7"/>
    <w:rsid w:val="00C84BB1"/>
    <w:rsid w:val="00C84D6C"/>
    <w:rsid w:val="00C85814"/>
    <w:rsid w:val="00C85DB7"/>
    <w:rsid w:val="00C85E67"/>
    <w:rsid w:val="00C85ED2"/>
    <w:rsid w:val="00C85F4F"/>
    <w:rsid w:val="00C8611B"/>
    <w:rsid w:val="00C867EF"/>
    <w:rsid w:val="00C86B19"/>
    <w:rsid w:val="00C86D14"/>
    <w:rsid w:val="00C87017"/>
    <w:rsid w:val="00C875AE"/>
    <w:rsid w:val="00C87C39"/>
    <w:rsid w:val="00C87DC1"/>
    <w:rsid w:val="00C904C6"/>
    <w:rsid w:val="00C90761"/>
    <w:rsid w:val="00C90C57"/>
    <w:rsid w:val="00C91018"/>
    <w:rsid w:val="00C911ED"/>
    <w:rsid w:val="00C91BA9"/>
    <w:rsid w:val="00C91C04"/>
    <w:rsid w:val="00C91CCB"/>
    <w:rsid w:val="00C91D63"/>
    <w:rsid w:val="00C91D8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14"/>
    <w:rsid w:val="00C94E40"/>
    <w:rsid w:val="00C94FE9"/>
    <w:rsid w:val="00C9514B"/>
    <w:rsid w:val="00C9518D"/>
    <w:rsid w:val="00C954B4"/>
    <w:rsid w:val="00C95C80"/>
    <w:rsid w:val="00C95F5C"/>
    <w:rsid w:val="00C96E1B"/>
    <w:rsid w:val="00C97068"/>
    <w:rsid w:val="00C97117"/>
    <w:rsid w:val="00C97426"/>
    <w:rsid w:val="00C97567"/>
    <w:rsid w:val="00C9780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A7F5A"/>
    <w:rsid w:val="00CB004E"/>
    <w:rsid w:val="00CB0136"/>
    <w:rsid w:val="00CB0472"/>
    <w:rsid w:val="00CB06AC"/>
    <w:rsid w:val="00CB0965"/>
    <w:rsid w:val="00CB0BC0"/>
    <w:rsid w:val="00CB0C75"/>
    <w:rsid w:val="00CB0D18"/>
    <w:rsid w:val="00CB0E26"/>
    <w:rsid w:val="00CB1563"/>
    <w:rsid w:val="00CB17C6"/>
    <w:rsid w:val="00CB1C15"/>
    <w:rsid w:val="00CB1CA2"/>
    <w:rsid w:val="00CB1D19"/>
    <w:rsid w:val="00CB1E64"/>
    <w:rsid w:val="00CB1F2B"/>
    <w:rsid w:val="00CB1F82"/>
    <w:rsid w:val="00CB20F0"/>
    <w:rsid w:val="00CB23AE"/>
    <w:rsid w:val="00CB252F"/>
    <w:rsid w:val="00CB264E"/>
    <w:rsid w:val="00CB2AE6"/>
    <w:rsid w:val="00CB2AFE"/>
    <w:rsid w:val="00CB2C5D"/>
    <w:rsid w:val="00CB2CB1"/>
    <w:rsid w:val="00CB2E67"/>
    <w:rsid w:val="00CB3363"/>
    <w:rsid w:val="00CB33FD"/>
    <w:rsid w:val="00CB34DD"/>
    <w:rsid w:val="00CB3850"/>
    <w:rsid w:val="00CB39B4"/>
    <w:rsid w:val="00CB3DF3"/>
    <w:rsid w:val="00CB3ED0"/>
    <w:rsid w:val="00CB4280"/>
    <w:rsid w:val="00CB463C"/>
    <w:rsid w:val="00CB4D04"/>
    <w:rsid w:val="00CB50A7"/>
    <w:rsid w:val="00CB53D7"/>
    <w:rsid w:val="00CB5637"/>
    <w:rsid w:val="00CB5860"/>
    <w:rsid w:val="00CB5C0F"/>
    <w:rsid w:val="00CB5CEF"/>
    <w:rsid w:val="00CB5E1F"/>
    <w:rsid w:val="00CB655D"/>
    <w:rsid w:val="00CB67B5"/>
    <w:rsid w:val="00CB687C"/>
    <w:rsid w:val="00CB6CB9"/>
    <w:rsid w:val="00CB6EF4"/>
    <w:rsid w:val="00CB71AF"/>
    <w:rsid w:val="00CB74DF"/>
    <w:rsid w:val="00CB77E4"/>
    <w:rsid w:val="00CB77FF"/>
    <w:rsid w:val="00CB79C5"/>
    <w:rsid w:val="00CB7AC8"/>
    <w:rsid w:val="00CB7DB7"/>
    <w:rsid w:val="00CC026A"/>
    <w:rsid w:val="00CC02E6"/>
    <w:rsid w:val="00CC041E"/>
    <w:rsid w:val="00CC0440"/>
    <w:rsid w:val="00CC0AA9"/>
    <w:rsid w:val="00CC0AAE"/>
    <w:rsid w:val="00CC0C12"/>
    <w:rsid w:val="00CC0CE6"/>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BFE"/>
    <w:rsid w:val="00CC5D86"/>
    <w:rsid w:val="00CC5E21"/>
    <w:rsid w:val="00CC6444"/>
    <w:rsid w:val="00CC662D"/>
    <w:rsid w:val="00CC668C"/>
    <w:rsid w:val="00CC67B7"/>
    <w:rsid w:val="00CC6F46"/>
    <w:rsid w:val="00CC6F77"/>
    <w:rsid w:val="00CC72CA"/>
    <w:rsid w:val="00CC7991"/>
    <w:rsid w:val="00CC7D6B"/>
    <w:rsid w:val="00CC7FE7"/>
    <w:rsid w:val="00CD00FE"/>
    <w:rsid w:val="00CD024D"/>
    <w:rsid w:val="00CD02B2"/>
    <w:rsid w:val="00CD0342"/>
    <w:rsid w:val="00CD047D"/>
    <w:rsid w:val="00CD07D5"/>
    <w:rsid w:val="00CD0B8F"/>
    <w:rsid w:val="00CD0D00"/>
    <w:rsid w:val="00CD15CD"/>
    <w:rsid w:val="00CD16A8"/>
    <w:rsid w:val="00CD16C7"/>
    <w:rsid w:val="00CD18E1"/>
    <w:rsid w:val="00CD199F"/>
    <w:rsid w:val="00CD1BFF"/>
    <w:rsid w:val="00CD1C08"/>
    <w:rsid w:val="00CD1F15"/>
    <w:rsid w:val="00CD2117"/>
    <w:rsid w:val="00CD2264"/>
    <w:rsid w:val="00CD2A6B"/>
    <w:rsid w:val="00CD2AD0"/>
    <w:rsid w:val="00CD2C42"/>
    <w:rsid w:val="00CD2FDC"/>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59F5"/>
    <w:rsid w:val="00CE6225"/>
    <w:rsid w:val="00CE6339"/>
    <w:rsid w:val="00CE641C"/>
    <w:rsid w:val="00CE65E2"/>
    <w:rsid w:val="00CE6B38"/>
    <w:rsid w:val="00CE6DA2"/>
    <w:rsid w:val="00CE6F31"/>
    <w:rsid w:val="00CE6F62"/>
    <w:rsid w:val="00CE6F74"/>
    <w:rsid w:val="00CE6FA5"/>
    <w:rsid w:val="00CE7051"/>
    <w:rsid w:val="00CE73ED"/>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2CB"/>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0F2"/>
    <w:rsid w:val="00D1022C"/>
    <w:rsid w:val="00D103CA"/>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1B"/>
    <w:rsid w:val="00D20349"/>
    <w:rsid w:val="00D2066B"/>
    <w:rsid w:val="00D207D6"/>
    <w:rsid w:val="00D2084A"/>
    <w:rsid w:val="00D20B61"/>
    <w:rsid w:val="00D20EE9"/>
    <w:rsid w:val="00D215D1"/>
    <w:rsid w:val="00D2162E"/>
    <w:rsid w:val="00D216E8"/>
    <w:rsid w:val="00D219AA"/>
    <w:rsid w:val="00D21DB7"/>
    <w:rsid w:val="00D21E9B"/>
    <w:rsid w:val="00D21FF7"/>
    <w:rsid w:val="00D220A6"/>
    <w:rsid w:val="00D22190"/>
    <w:rsid w:val="00D22248"/>
    <w:rsid w:val="00D22637"/>
    <w:rsid w:val="00D22793"/>
    <w:rsid w:val="00D2281C"/>
    <w:rsid w:val="00D22CCB"/>
    <w:rsid w:val="00D23117"/>
    <w:rsid w:val="00D23367"/>
    <w:rsid w:val="00D2359A"/>
    <w:rsid w:val="00D235A1"/>
    <w:rsid w:val="00D23984"/>
    <w:rsid w:val="00D23ACD"/>
    <w:rsid w:val="00D23C06"/>
    <w:rsid w:val="00D23C7A"/>
    <w:rsid w:val="00D23D1E"/>
    <w:rsid w:val="00D23F8F"/>
    <w:rsid w:val="00D24667"/>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675"/>
    <w:rsid w:val="00D30BD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248"/>
    <w:rsid w:val="00D33547"/>
    <w:rsid w:val="00D33913"/>
    <w:rsid w:val="00D33BD7"/>
    <w:rsid w:val="00D33C9B"/>
    <w:rsid w:val="00D33CD5"/>
    <w:rsid w:val="00D33CFA"/>
    <w:rsid w:val="00D33FAE"/>
    <w:rsid w:val="00D33FBF"/>
    <w:rsid w:val="00D35118"/>
    <w:rsid w:val="00D3517D"/>
    <w:rsid w:val="00D35AEC"/>
    <w:rsid w:val="00D35B89"/>
    <w:rsid w:val="00D35C62"/>
    <w:rsid w:val="00D35C9A"/>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16A"/>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3B7C"/>
    <w:rsid w:val="00D44049"/>
    <w:rsid w:val="00D44902"/>
    <w:rsid w:val="00D44FBD"/>
    <w:rsid w:val="00D4506E"/>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592"/>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185"/>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7D1"/>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2CD"/>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53B"/>
    <w:rsid w:val="00D827A2"/>
    <w:rsid w:val="00D82A5C"/>
    <w:rsid w:val="00D83088"/>
    <w:rsid w:val="00D83591"/>
    <w:rsid w:val="00D837C0"/>
    <w:rsid w:val="00D837E4"/>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8FF"/>
    <w:rsid w:val="00D87AA7"/>
    <w:rsid w:val="00D87B3E"/>
    <w:rsid w:val="00D90009"/>
    <w:rsid w:val="00D901C7"/>
    <w:rsid w:val="00D902CA"/>
    <w:rsid w:val="00D9090B"/>
    <w:rsid w:val="00D90B86"/>
    <w:rsid w:val="00D90CB6"/>
    <w:rsid w:val="00D90F9B"/>
    <w:rsid w:val="00D91089"/>
    <w:rsid w:val="00D9164B"/>
    <w:rsid w:val="00D91A1A"/>
    <w:rsid w:val="00D91BF5"/>
    <w:rsid w:val="00D922B0"/>
    <w:rsid w:val="00D922C8"/>
    <w:rsid w:val="00D925B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ADB"/>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8EF"/>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A59"/>
    <w:rsid w:val="00DC4B04"/>
    <w:rsid w:val="00DC4B7E"/>
    <w:rsid w:val="00DC5219"/>
    <w:rsid w:val="00DC530D"/>
    <w:rsid w:val="00DC55C8"/>
    <w:rsid w:val="00DC5B84"/>
    <w:rsid w:val="00DC5E55"/>
    <w:rsid w:val="00DC5F5A"/>
    <w:rsid w:val="00DC6397"/>
    <w:rsid w:val="00DC67CE"/>
    <w:rsid w:val="00DC6830"/>
    <w:rsid w:val="00DC685B"/>
    <w:rsid w:val="00DC68A4"/>
    <w:rsid w:val="00DC6954"/>
    <w:rsid w:val="00DC70E4"/>
    <w:rsid w:val="00DC755D"/>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18"/>
    <w:rsid w:val="00DD1337"/>
    <w:rsid w:val="00DD17F0"/>
    <w:rsid w:val="00DD21F7"/>
    <w:rsid w:val="00DD22E6"/>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00"/>
    <w:rsid w:val="00DD64F9"/>
    <w:rsid w:val="00DD6576"/>
    <w:rsid w:val="00DD69FE"/>
    <w:rsid w:val="00DD6AB0"/>
    <w:rsid w:val="00DD6D79"/>
    <w:rsid w:val="00DD6EB5"/>
    <w:rsid w:val="00DD71F3"/>
    <w:rsid w:val="00DD7312"/>
    <w:rsid w:val="00DD7327"/>
    <w:rsid w:val="00DD7382"/>
    <w:rsid w:val="00DD7675"/>
    <w:rsid w:val="00DD77EA"/>
    <w:rsid w:val="00DD7BC3"/>
    <w:rsid w:val="00DD7BEA"/>
    <w:rsid w:val="00DD7C5B"/>
    <w:rsid w:val="00DD7C9F"/>
    <w:rsid w:val="00DD7FDF"/>
    <w:rsid w:val="00DE0044"/>
    <w:rsid w:val="00DE02FA"/>
    <w:rsid w:val="00DE14F2"/>
    <w:rsid w:val="00DE1932"/>
    <w:rsid w:val="00DE1D84"/>
    <w:rsid w:val="00DE2012"/>
    <w:rsid w:val="00DE2901"/>
    <w:rsid w:val="00DE3083"/>
    <w:rsid w:val="00DE3487"/>
    <w:rsid w:val="00DE3A1D"/>
    <w:rsid w:val="00DE3CF9"/>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337"/>
    <w:rsid w:val="00DF372A"/>
    <w:rsid w:val="00DF38A2"/>
    <w:rsid w:val="00DF3944"/>
    <w:rsid w:val="00DF3998"/>
    <w:rsid w:val="00DF3BBA"/>
    <w:rsid w:val="00DF3DEB"/>
    <w:rsid w:val="00DF3F73"/>
    <w:rsid w:val="00DF3FF7"/>
    <w:rsid w:val="00DF4415"/>
    <w:rsid w:val="00DF4547"/>
    <w:rsid w:val="00DF464D"/>
    <w:rsid w:val="00DF47E4"/>
    <w:rsid w:val="00DF48C4"/>
    <w:rsid w:val="00DF4995"/>
    <w:rsid w:val="00DF4B58"/>
    <w:rsid w:val="00DF4C73"/>
    <w:rsid w:val="00DF4E3B"/>
    <w:rsid w:val="00DF4E70"/>
    <w:rsid w:val="00DF4FAA"/>
    <w:rsid w:val="00DF5142"/>
    <w:rsid w:val="00DF5585"/>
    <w:rsid w:val="00DF5813"/>
    <w:rsid w:val="00DF58FA"/>
    <w:rsid w:val="00DF5961"/>
    <w:rsid w:val="00DF5A72"/>
    <w:rsid w:val="00DF5CD6"/>
    <w:rsid w:val="00DF5E09"/>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218"/>
    <w:rsid w:val="00E033DF"/>
    <w:rsid w:val="00E0342A"/>
    <w:rsid w:val="00E03536"/>
    <w:rsid w:val="00E03872"/>
    <w:rsid w:val="00E039CF"/>
    <w:rsid w:val="00E03B4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1F3"/>
    <w:rsid w:val="00E102E4"/>
    <w:rsid w:val="00E10DCE"/>
    <w:rsid w:val="00E10F22"/>
    <w:rsid w:val="00E10F5B"/>
    <w:rsid w:val="00E1116E"/>
    <w:rsid w:val="00E1121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0AA"/>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0D96"/>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BC0"/>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3E07"/>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860"/>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39B"/>
    <w:rsid w:val="00E525B7"/>
    <w:rsid w:val="00E52813"/>
    <w:rsid w:val="00E5287E"/>
    <w:rsid w:val="00E5310C"/>
    <w:rsid w:val="00E5371C"/>
    <w:rsid w:val="00E537C0"/>
    <w:rsid w:val="00E5382E"/>
    <w:rsid w:val="00E53950"/>
    <w:rsid w:val="00E53BF4"/>
    <w:rsid w:val="00E53E81"/>
    <w:rsid w:val="00E53F1D"/>
    <w:rsid w:val="00E5411F"/>
    <w:rsid w:val="00E5431B"/>
    <w:rsid w:val="00E54450"/>
    <w:rsid w:val="00E545B8"/>
    <w:rsid w:val="00E54CC2"/>
    <w:rsid w:val="00E54D12"/>
    <w:rsid w:val="00E54EA8"/>
    <w:rsid w:val="00E5505C"/>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1A0"/>
    <w:rsid w:val="00E614E9"/>
    <w:rsid w:val="00E61630"/>
    <w:rsid w:val="00E61D47"/>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54B"/>
    <w:rsid w:val="00E65576"/>
    <w:rsid w:val="00E65610"/>
    <w:rsid w:val="00E65B6D"/>
    <w:rsid w:val="00E65C65"/>
    <w:rsid w:val="00E65E29"/>
    <w:rsid w:val="00E65E87"/>
    <w:rsid w:val="00E671EF"/>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2B95"/>
    <w:rsid w:val="00E73082"/>
    <w:rsid w:val="00E73124"/>
    <w:rsid w:val="00E73424"/>
    <w:rsid w:val="00E7365F"/>
    <w:rsid w:val="00E73762"/>
    <w:rsid w:val="00E739C4"/>
    <w:rsid w:val="00E739D8"/>
    <w:rsid w:val="00E73B74"/>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2B5"/>
    <w:rsid w:val="00E775B8"/>
    <w:rsid w:val="00E77A87"/>
    <w:rsid w:val="00E77BF8"/>
    <w:rsid w:val="00E77C72"/>
    <w:rsid w:val="00E77CAE"/>
    <w:rsid w:val="00E77EC5"/>
    <w:rsid w:val="00E77ECD"/>
    <w:rsid w:val="00E8012D"/>
    <w:rsid w:val="00E80A12"/>
    <w:rsid w:val="00E80C18"/>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543"/>
    <w:rsid w:val="00E918D3"/>
    <w:rsid w:val="00E91934"/>
    <w:rsid w:val="00E91C28"/>
    <w:rsid w:val="00E91F76"/>
    <w:rsid w:val="00E91FB1"/>
    <w:rsid w:val="00E921BC"/>
    <w:rsid w:val="00E921D1"/>
    <w:rsid w:val="00E925DB"/>
    <w:rsid w:val="00E926B5"/>
    <w:rsid w:val="00E92C17"/>
    <w:rsid w:val="00E92EBA"/>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9DC"/>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605E"/>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1D6"/>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5C0F"/>
    <w:rsid w:val="00EC6269"/>
    <w:rsid w:val="00EC6652"/>
    <w:rsid w:val="00EC6864"/>
    <w:rsid w:val="00EC737E"/>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1DA"/>
    <w:rsid w:val="00EE2339"/>
    <w:rsid w:val="00EE2EF5"/>
    <w:rsid w:val="00EE2F36"/>
    <w:rsid w:val="00EE37F7"/>
    <w:rsid w:val="00EE3C39"/>
    <w:rsid w:val="00EE411C"/>
    <w:rsid w:val="00EE42E7"/>
    <w:rsid w:val="00EE446E"/>
    <w:rsid w:val="00EE455E"/>
    <w:rsid w:val="00EE46A0"/>
    <w:rsid w:val="00EE4885"/>
    <w:rsid w:val="00EE5065"/>
    <w:rsid w:val="00EE51DA"/>
    <w:rsid w:val="00EE5843"/>
    <w:rsid w:val="00EE5C7B"/>
    <w:rsid w:val="00EE5E79"/>
    <w:rsid w:val="00EE6079"/>
    <w:rsid w:val="00EE61E8"/>
    <w:rsid w:val="00EE6423"/>
    <w:rsid w:val="00EE668E"/>
    <w:rsid w:val="00EE670A"/>
    <w:rsid w:val="00EE6B5C"/>
    <w:rsid w:val="00EE6C2B"/>
    <w:rsid w:val="00EE6D42"/>
    <w:rsid w:val="00EE727C"/>
    <w:rsid w:val="00EE7484"/>
    <w:rsid w:val="00EE7662"/>
    <w:rsid w:val="00EE769D"/>
    <w:rsid w:val="00EE7967"/>
    <w:rsid w:val="00EE7DC5"/>
    <w:rsid w:val="00EF00BC"/>
    <w:rsid w:val="00EF03EF"/>
    <w:rsid w:val="00EF05D0"/>
    <w:rsid w:val="00EF05FD"/>
    <w:rsid w:val="00EF0822"/>
    <w:rsid w:val="00EF0E75"/>
    <w:rsid w:val="00EF101E"/>
    <w:rsid w:val="00EF1813"/>
    <w:rsid w:val="00EF1BE2"/>
    <w:rsid w:val="00EF1C1F"/>
    <w:rsid w:val="00EF1CF6"/>
    <w:rsid w:val="00EF250C"/>
    <w:rsid w:val="00EF2E1C"/>
    <w:rsid w:val="00EF2FB0"/>
    <w:rsid w:val="00EF3050"/>
    <w:rsid w:val="00EF3112"/>
    <w:rsid w:val="00EF3191"/>
    <w:rsid w:val="00EF377C"/>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99"/>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2DC"/>
    <w:rsid w:val="00F0343B"/>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EA2"/>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1A5"/>
    <w:rsid w:val="00F202AA"/>
    <w:rsid w:val="00F202CD"/>
    <w:rsid w:val="00F203AC"/>
    <w:rsid w:val="00F2082A"/>
    <w:rsid w:val="00F208A9"/>
    <w:rsid w:val="00F2098D"/>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96"/>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862"/>
    <w:rsid w:val="00F27B6A"/>
    <w:rsid w:val="00F27C55"/>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2D76"/>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578"/>
    <w:rsid w:val="00F379A3"/>
    <w:rsid w:val="00F37A21"/>
    <w:rsid w:val="00F37C01"/>
    <w:rsid w:val="00F37DC7"/>
    <w:rsid w:val="00F37EC1"/>
    <w:rsid w:val="00F40B89"/>
    <w:rsid w:val="00F40DF0"/>
    <w:rsid w:val="00F41246"/>
    <w:rsid w:val="00F4136A"/>
    <w:rsid w:val="00F41BFB"/>
    <w:rsid w:val="00F41F58"/>
    <w:rsid w:val="00F421E9"/>
    <w:rsid w:val="00F4271F"/>
    <w:rsid w:val="00F427FC"/>
    <w:rsid w:val="00F42867"/>
    <w:rsid w:val="00F428E4"/>
    <w:rsid w:val="00F42C28"/>
    <w:rsid w:val="00F43228"/>
    <w:rsid w:val="00F43845"/>
    <w:rsid w:val="00F440A3"/>
    <w:rsid w:val="00F4446C"/>
    <w:rsid w:val="00F44701"/>
    <w:rsid w:val="00F44998"/>
    <w:rsid w:val="00F44AF3"/>
    <w:rsid w:val="00F4532E"/>
    <w:rsid w:val="00F45516"/>
    <w:rsid w:val="00F458AC"/>
    <w:rsid w:val="00F45D98"/>
    <w:rsid w:val="00F46157"/>
    <w:rsid w:val="00F46275"/>
    <w:rsid w:val="00F463E4"/>
    <w:rsid w:val="00F46795"/>
    <w:rsid w:val="00F46D1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1DB5"/>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0B2"/>
    <w:rsid w:val="00F5514D"/>
    <w:rsid w:val="00F55399"/>
    <w:rsid w:val="00F556AE"/>
    <w:rsid w:val="00F557A8"/>
    <w:rsid w:val="00F55818"/>
    <w:rsid w:val="00F5591A"/>
    <w:rsid w:val="00F55962"/>
    <w:rsid w:val="00F55C70"/>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57F87"/>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B74"/>
    <w:rsid w:val="00F65C06"/>
    <w:rsid w:val="00F65E06"/>
    <w:rsid w:val="00F664B8"/>
    <w:rsid w:val="00F67751"/>
    <w:rsid w:val="00F67918"/>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35"/>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DCA"/>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01B"/>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5D5"/>
    <w:rsid w:val="00F878E0"/>
    <w:rsid w:val="00F87E64"/>
    <w:rsid w:val="00F90007"/>
    <w:rsid w:val="00F903DA"/>
    <w:rsid w:val="00F905FF"/>
    <w:rsid w:val="00F90891"/>
    <w:rsid w:val="00F9098C"/>
    <w:rsid w:val="00F90A02"/>
    <w:rsid w:val="00F90C39"/>
    <w:rsid w:val="00F90E68"/>
    <w:rsid w:val="00F9149E"/>
    <w:rsid w:val="00F9187B"/>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05"/>
    <w:rsid w:val="00F94815"/>
    <w:rsid w:val="00F94CD0"/>
    <w:rsid w:val="00F94D8C"/>
    <w:rsid w:val="00F95BA5"/>
    <w:rsid w:val="00F95D12"/>
    <w:rsid w:val="00F95EDB"/>
    <w:rsid w:val="00F95F29"/>
    <w:rsid w:val="00F95F8E"/>
    <w:rsid w:val="00F961B9"/>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38D"/>
    <w:rsid w:val="00FA2542"/>
    <w:rsid w:val="00FA29FD"/>
    <w:rsid w:val="00FA2E38"/>
    <w:rsid w:val="00FA36FE"/>
    <w:rsid w:val="00FA3946"/>
    <w:rsid w:val="00FA3953"/>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0B6"/>
    <w:rsid w:val="00FA614C"/>
    <w:rsid w:val="00FA6425"/>
    <w:rsid w:val="00FA6941"/>
    <w:rsid w:val="00FA69B3"/>
    <w:rsid w:val="00FA69BF"/>
    <w:rsid w:val="00FA6CC5"/>
    <w:rsid w:val="00FA6FF2"/>
    <w:rsid w:val="00FA71B7"/>
    <w:rsid w:val="00FA749D"/>
    <w:rsid w:val="00FA7ACB"/>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C3"/>
    <w:rsid w:val="00FB3AFB"/>
    <w:rsid w:val="00FB3C9C"/>
    <w:rsid w:val="00FB3F73"/>
    <w:rsid w:val="00FB4387"/>
    <w:rsid w:val="00FB4456"/>
    <w:rsid w:val="00FB46AE"/>
    <w:rsid w:val="00FB486F"/>
    <w:rsid w:val="00FB49A1"/>
    <w:rsid w:val="00FB4C9F"/>
    <w:rsid w:val="00FB5305"/>
    <w:rsid w:val="00FB5507"/>
    <w:rsid w:val="00FB5633"/>
    <w:rsid w:val="00FB5985"/>
    <w:rsid w:val="00FB59AE"/>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3F"/>
    <w:rsid w:val="00FC1FD0"/>
    <w:rsid w:val="00FC222F"/>
    <w:rsid w:val="00FC22E3"/>
    <w:rsid w:val="00FC2A31"/>
    <w:rsid w:val="00FC2AE5"/>
    <w:rsid w:val="00FC2C22"/>
    <w:rsid w:val="00FC300A"/>
    <w:rsid w:val="00FC3676"/>
    <w:rsid w:val="00FC3E9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C2"/>
    <w:rsid w:val="00FD09ED"/>
    <w:rsid w:val="00FD0F72"/>
    <w:rsid w:val="00FD1A10"/>
    <w:rsid w:val="00FD1DD4"/>
    <w:rsid w:val="00FD1FDE"/>
    <w:rsid w:val="00FD203E"/>
    <w:rsid w:val="00FD24D6"/>
    <w:rsid w:val="00FD251F"/>
    <w:rsid w:val="00FD2A8A"/>
    <w:rsid w:val="00FD2E2F"/>
    <w:rsid w:val="00FD3219"/>
    <w:rsid w:val="00FD3565"/>
    <w:rsid w:val="00FD362E"/>
    <w:rsid w:val="00FD3739"/>
    <w:rsid w:val="00FD3896"/>
    <w:rsid w:val="00FD39AF"/>
    <w:rsid w:val="00FD39B9"/>
    <w:rsid w:val="00FD3B2A"/>
    <w:rsid w:val="00FD3B5E"/>
    <w:rsid w:val="00FD3BCF"/>
    <w:rsid w:val="00FD3BFA"/>
    <w:rsid w:val="00FD3CE5"/>
    <w:rsid w:val="00FD3CFE"/>
    <w:rsid w:val="00FD4107"/>
    <w:rsid w:val="00FD43D6"/>
    <w:rsid w:val="00FD4827"/>
    <w:rsid w:val="00FD4B6B"/>
    <w:rsid w:val="00FD4DDD"/>
    <w:rsid w:val="00FD50EF"/>
    <w:rsid w:val="00FD5206"/>
    <w:rsid w:val="00FD5301"/>
    <w:rsid w:val="00FD5443"/>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819"/>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3C"/>
    <w:rsid w:val="00FE4B87"/>
    <w:rsid w:val="00FE4CCD"/>
    <w:rsid w:val="00FE4F03"/>
    <w:rsid w:val="00FE53EF"/>
    <w:rsid w:val="00FE5AF7"/>
    <w:rsid w:val="00FE5D12"/>
    <w:rsid w:val="00FE5D3D"/>
    <w:rsid w:val="00FE5D84"/>
    <w:rsid w:val="00FE664D"/>
    <w:rsid w:val="00FE6655"/>
    <w:rsid w:val="00FE6771"/>
    <w:rsid w:val="00FE6A04"/>
    <w:rsid w:val="00FE6B05"/>
    <w:rsid w:val="00FE6F9C"/>
    <w:rsid w:val="00FE70A3"/>
    <w:rsid w:val="00FE737E"/>
    <w:rsid w:val="00FE775E"/>
    <w:rsid w:val="00FE78F4"/>
    <w:rsid w:val="00FE7CF8"/>
    <w:rsid w:val="00FE7DAA"/>
    <w:rsid w:val="00FF0040"/>
    <w:rsid w:val="00FF00ED"/>
    <w:rsid w:val="00FF013E"/>
    <w:rsid w:val="00FF04E3"/>
    <w:rsid w:val="00FF05A8"/>
    <w:rsid w:val="00FF0603"/>
    <w:rsid w:val="00FF0785"/>
    <w:rsid w:val="00FF0892"/>
    <w:rsid w:val="00FF0BDB"/>
    <w:rsid w:val="00FF0F2B"/>
    <w:rsid w:val="00FF0F6A"/>
    <w:rsid w:val="00FF0F6C"/>
    <w:rsid w:val="00FF1789"/>
    <w:rsid w:val="00FF18C9"/>
    <w:rsid w:val="00FF19BD"/>
    <w:rsid w:val="00FF1A19"/>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230988"/>
    <w:rsid w:val="01445665"/>
    <w:rsid w:val="017C6863"/>
    <w:rsid w:val="01DE4ECE"/>
    <w:rsid w:val="01E12AAD"/>
    <w:rsid w:val="02094E3E"/>
    <w:rsid w:val="023D2E2D"/>
    <w:rsid w:val="027125A2"/>
    <w:rsid w:val="028939B3"/>
    <w:rsid w:val="02AF7189"/>
    <w:rsid w:val="02B713E7"/>
    <w:rsid w:val="03D80B93"/>
    <w:rsid w:val="0430275A"/>
    <w:rsid w:val="04353696"/>
    <w:rsid w:val="045B2906"/>
    <w:rsid w:val="04F8642A"/>
    <w:rsid w:val="04FB3B7A"/>
    <w:rsid w:val="058928E7"/>
    <w:rsid w:val="05CC0260"/>
    <w:rsid w:val="05E5567C"/>
    <w:rsid w:val="060B4078"/>
    <w:rsid w:val="063F1A72"/>
    <w:rsid w:val="06EA3271"/>
    <w:rsid w:val="06F02A80"/>
    <w:rsid w:val="073F0F06"/>
    <w:rsid w:val="07615A99"/>
    <w:rsid w:val="07854716"/>
    <w:rsid w:val="078C2BF2"/>
    <w:rsid w:val="07B94380"/>
    <w:rsid w:val="07C97C4F"/>
    <w:rsid w:val="07DB5FC8"/>
    <w:rsid w:val="07E73E89"/>
    <w:rsid w:val="082D321A"/>
    <w:rsid w:val="087D493B"/>
    <w:rsid w:val="089C33ED"/>
    <w:rsid w:val="08CA6DC7"/>
    <w:rsid w:val="08F02F7A"/>
    <w:rsid w:val="09021B37"/>
    <w:rsid w:val="09413598"/>
    <w:rsid w:val="096A52F9"/>
    <w:rsid w:val="09E846DA"/>
    <w:rsid w:val="09F171D8"/>
    <w:rsid w:val="09F70B0D"/>
    <w:rsid w:val="0A17471F"/>
    <w:rsid w:val="0A426D43"/>
    <w:rsid w:val="0A945A74"/>
    <w:rsid w:val="0AD6087A"/>
    <w:rsid w:val="0B2D61B9"/>
    <w:rsid w:val="0B3B182B"/>
    <w:rsid w:val="0B444337"/>
    <w:rsid w:val="0B445371"/>
    <w:rsid w:val="0BB66622"/>
    <w:rsid w:val="0BE751E0"/>
    <w:rsid w:val="0C0B356A"/>
    <w:rsid w:val="0C0B5F4F"/>
    <w:rsid w:val="0C4730D8"/>
    <w:rsid w:val="0C5F18FE"/>
    <w:rsid w:val="0C79434C"/>
    <w:rsid w:val="0C994F61"/>
    <w:rsid w:val="0CA508D4"/>
    <w:rsid w:val="0D0F31A1"/>
    <w:rsid w:val="0D612F43"/>
    <w:rsid w:val="0D7853D4"/>
    <w:rsid w:val="0DA26DA5"/>
    <w:rsid w:val="0DD2246A"/>
    <w:rsid w:val="0E053E88"/>
    <w:rsid w:val="0E493BD0"/>
    <w:rsid w:val="0E4D5B70"/>
    <w:rsid w:val="0E7F4560"/>
    <w:rsid w:val="0EF747DF"/>
    <w:rsid w:val="100D3B38"/>
    <w:rsid w:val="101C3080"/>
    <w:rsid w:val="10231635"/>
    <w:rsid w:val="102877F8"/>
    <w:rsid w:val="10792BD1"/>
    <w:rsid w:val="10923CAF"/>
    <w:rsid w:val="10965B27"/>
    <w:rsid w:val="10E607F2"/>
    <w:rsid w:val="11192001"/>
    <w:rsid w:val="11353DD5"/>
    <w:rsid w:val="113767C0"/>
    <w:rsid w:val="11492AFE"/>
    <w:rsid w:val="1181721A"/>
    <w:rsid w:val="119C3F0F"/>
    <w:rsid w:val="119E05D6"/>
    <w:rsid w:val="11AD0FF6"/>
    <w:rsid w:val="11C65CBA"/>
    <w:rsid w:val="11CB65BB"/>
    <w:rsid w:val="11D57601"/>
    <w:rsid w:val="123013AE"/>
    <w:rsid w:val="124C1D82"/>
    <w:rsid w:val="12841571"/>
    <w:rsid w:val="12AD4BAF"/>
    <w:rsid w:val="12C43695"/>
    <w:rsid w:val="12D312B6"/>
    <w:rsid w:val="12DB6374"/>
    <w:rsid w:val="1308065C"/>
    <w:rsid w:val="131A290F"/>
    <w:rsid w:val="137A033F"/>
    <w:rsid w:val="13AA79CA"/>
    <w:rsid w:val="13CB075B"/>
    <w:rsid w:val="14CF0A19"/>
    <w:rsid w:val="14F625F6"/>
    <w:rsid w:val="14FD0A9C"/>
    <w:rsid w:val="1515071F"/>
    <w:rsid w:val="1534525F"/>
    <w:rsid w:val="154A4194"/>
    <w:rsid w:val="156A0740"/>
    <w:rsid w:val="159246CB"/>
    <w:rsid w:val="15D04F5C"/>
    <w:rsid w:val="16643E83"/>
    <w:rsid w:val="1674575B"/>
    <w:rsid w:val="16A06C6F"/>
    <w:rsid w:val="16C85971"/>
    <w:rsid w:val="16F21A12"/>
    <w:rsid w:val="17152445"/>
    <w:rsid w:val="174F231E"/>
    <w:rsid w:val="1756075C"/>
    <w:rsid w:val="176E0357"/>
    <w:rsid w:val="17AC79CA"/>
    <w:rsid w:val="17DF00A6"/>
    <w:rsid w:val="18377B03"/>
    <w:rsid w:val="18A94BC5"/>
    <w:rsid w:val="1909682D"/>
    <w:rsid w:val="19764A12"/>
    <w:rsid w:val="19C04E50"/>
    <w:rsid w:val="19C625BC"/>
    <w:rsid w:val="19F6088D"/>
    <w:rsid w:val="1A055EF5"/>
    <w:rsid w:val="1A242B84"/>
    <w:rsid w:val="1A3D772A"/>
    <w:rsid w:val="1A887A14"/>
    <w:rsid w:val="1ACC196A"/>
    <w:rsid w:val="1ACC5FF7"/>
    <w:rsid w:val="1B3D7D80"/>
    <w:rsid w:val="1B9C6D68"/>
    <w:rsid w:val="1C052CBF"/>
    <w:rsid w:val="1C382E65"/>
    <w:rsid w:val="1CC02D30"/>
    <w:rsid w:val="1D1E42D5"/>
    <w:rsid w:val="1D215D9D"/>
    <w:rsid w:val="1D26347E"/>
    <w:rsid w:val="1D4A443B"/>
    <w:rsid w:val="1D4E0C67"/>
    <w:rsid w:val="1D7258CC"/>
    <w:rsid w:val="1DFB7F87"/>
    <w:rsid w:val="1E1F106F"/>
    <w:rsid w:val="1E4C6B2C"/>
    <w:rsid w:val="1E941CCC"/>
    <w:rsid w:val="1F162294"/>
    <w:rsid w:val="1F3F7321"/>
    <w:rsid w:val="1F693AAF"/>
    <w:rsid w:val="1F8830FC"/>
    <w:rsid w:val="1FB931AC"/>
    <w:rsid w:val="1FC6016B"/>
    <w:rsid w:val="202104E0"/>
    <w:rsid w:val="20310AC6"/>
    <w:rsid w:val="203B7DFC"/>
    <w:rsid w:val="2055068D"/>
    <w:rsid w:val="205C6B78"/>
    <w:rsid w:val="206F5F60"/>
    <w:rsid w:val="20B47B6E"/>
    <w:rsid w:val="20C83583"/>
    <w:rsid w:val="20F0628D"/>
    <w:rsid w:val="2111539E"/>
    <w:rsid w:val="213871A9"/>
    <w:rsid w:val="21423C4E"/>
    <w:rsid w:val="219259D4"/>
    <w:rsid w:val="21A36DE7"/>
    <w:rsid w:val="22052BA6"/>
    <w:rsid w:val="22366938"/>
    <w:rsid w:val="22AC35EF"/>
    <w:rsid w:val="22CA3C88"/>
    <w:rsid w:val="236E018C"/>
    <w:rsid w:val="23AD0CCB"/>
    <w:rsid w:val="23FB4030"/>
    <w:rsid w:val="23FF6FC2"/>
    <w:rsid w:val="24030E99"/>
    <w:rsid w:val="241724D5"/>
    <w:rsid w:val="244B1A03"/>
    <w:rsid w:val="248B0DCF"/>
    <w:rsid w:val="24C3687B"/>
    <w:rsid w:val="24F852CA"/>
    <w:rsid w:val="250A5A42"/>
    <w:rsid w:val="25134482"/>
    <w:rsid w:val="251A580B"/>
    <w:rsid w:val="25200F74"/>
    <w:rsid w:val="252C5ECD"/>
    <w:rsid w:val="25423C43"/>
    <w:rsid w:val="25520D67"/>
    <w:rsid w:val="2565030D"/>
    <w:rsid w:val="25AA1A73"/>
    <w:rsid w:val="25B25C72"/>
    <w:rsid w:val="260074FC"/>
    <w:rsid w:val="26392FB1"/>
    <w:rsid w:val="26507C11"/>
    <w:rsid w:val="266D2F51"/>
    <w:rsid w:val="267D2185"/>
    <w:rsid w:val="26DD5F59"/>
    <w:rsid w:val="270079CE"/>
    <w:rsid w:val="27330B05"/>
    <w:rsid w:val="273B1A39"/>
    <w:rsid w:val="277F117F"/>
    <w:rsid w:val="27C30051"/>
    <w:rsid w:val="27D2569B"/>
    <w:rsid w:val="28217513"/>
    <w:rsid w:val="28257C9E"/>
    <w:rsid w:val="287A0F6A"/>
    <w:rsid w:val="287E4090"/>
    <w:rsid w:val="28BD5879"/>
    <w:rsid w:val="28CF0B24"/>
    <w:rsid w:val="28D8378A"/>
    <w:rsid w:val="292826FF"/>
    <w:rsid w:val="292C49EE"/>
    <w:rsid w:val="297B7334"/>
    <w:rsid w:val="298A4CDB"/>
    <w:rsid w:val="29B13984"/>
    <w:rsid w:val="29BC46C0"/>
    <w:rsid w:val="29C261AC"/>
    <w:rsid w:val="29E11C7D"/>
    <w:rsid w:val="29E75B05"/>
    <w:rsid w:val="29F344B7"/>
    <w:rsid w:val="2A097696"/>
    <w:rsid w:val="2A0E2346"/>
    <w:rsid w:val="2A183D12"/>
    <w:rsid w:val="2A5039CB"/>
    <w:rsid w:val="2A507567"/>
    <w:rsid w:val="2A551190"/>
    <w:rsid w:val="2A822F09"/>
    <w:rsid w:val="2AF306F7"/>
    <w:rsid w:val="2B34764C"/>
    <w:rsid w:val="2B42001B"/>
    <w:rsid w:val="2B8E7162"/>
    <w:rsid w:val="2BC57252"/>
    <w:rsid w:val="2BE128DA"/>
    <w:rsid w:val="2C0F1BAB"/>
    <w:rsid w:val="2C102E71"/>
    <w:rsid w:val="2C5379D7"/>
    <w:rsid w:val="2C890091"/>
    <w:rsid w:val="2D417D57"/>
    <w:rsid w:val="2DF76DD4"/>
    <w:rsid w:val="2E2B6584"/>
    <w:rsid w:val="2E436F91"/>
    <w:rsid w:val="2EB95DAC"/>
    <w:rsid w:val="2ECD1744"/>
    <w:rsid w:val="2ED44775"/>
    <w:rsid w:val="2ED54DA7"/>
    <w:rsid w:val="2F8279F1"/>
    <w:rsid w:val="2FC409F3"/>
    <w:rsid w:val="2FDB7433"/>
    <w:rsid w:val="2FDD3D84"/>
    <w:rsid w:val="303D023A"/>
    <w:rsid w:val="307358E4"/>
    <w:rsid w:val="30AE2533"/>
    <w:rsid w:val="30F10E3D"/>
    <w:rsid w:val="310F6C24"/>
    <w:rsid w:val="313B2A87"/>
    <w:rsid w:val="315370AA"/>
    <w:rsid w:val="31996061"/>
    <w:rsid w:val="319B4FD6"/>
    <w:rsid w:val="31D3154A"/>
    <w:rsid w:val="321D1F47"/>
    <w:rsid w:val="3268770C"/>
    <w:rsid w:val="32B47CEB"/>
    <w:rsid w:val="32BA51D5"/>
    <w:rsid w:val="33074A26"/>
    <w:rsid w:val="332207B0"/>
    <w:rsid w:val="334F0351"/>
    <w:rsid w:val="339B7340"/>
    <w:rsid w:val="33AD5669"/>
    <w:rsid w:val="33DC3C63"/>
    <w:rsid w:val="33EE3A47"/>
    <w:rsid w:val="345E7401"/>
    <w:rsid w:val="346C2BB3"/>
    <w:rsid w:val="349E2BF5"/>
    <w:rsid w:val="34E40873"/>
    <w:rsid w:val="358C1FA2"/>
    <w:rsid w:val="35B21B01"/>
    <w:rsid w:val="360B5883"/>
    <w:rsid w:val="363C3DCC"/>
    <w:rsid w:val="36C3659D"/>
    <w:rsid w:val="36C479B7"/>
    <w:rsid w:val="36F957B8"/>
    <w:rsid w:val="37045900"/>
    <w:rsid w:val="374C1308"/>
    <w:rsid w:val="37744FD3"/>
    <w:rsid w:val="37765DAA"/>
    <w:rsid w:val="378A0C60"/>
    <w:rsid w:val="37A33255"/>
    <w:rsid w:val="37AB570F"/>
    <w:rsid w:val="37B748F1"/>
    <w:rsid w:val="37CB6F7B"/>
    <w:rsid w:val="382D1829"/>
    <w:rsid w:val="38383BD9"/>
    <w:rsid w:val="383F47BD"/>
    <w:rsid w:val="384A60A1"/>
    <w:rsid w:val="384E3F22"/>
    <w:rsid w:val="3868374B"/>
    <w:rsid w:val="389839C4"/>
    <w:rsid w:val="38AB1352"/>
    <w:rsid w:val="39215C96"/>
    <w:rsid w:val="3932470D"/>
    <w:rsid w:val="39CD13C3"/>
    <w:rsid w:val="39F6323F"/>
    <w:rsid w:val="3A397CE2"/>
    <w:rsid w:val="3A3A277D"/>
    <w:rsid w:val="3A3D0AC2"/>
    <w:rsid w:val="3A422410"/>
    <w:rsid w:val="3A430B50"/>
    <w:rsid w:val="3A712BA9"/>
    <w:rsid w:val="3A943D49"/>
    <w:rsid w:val="3ABB094C"/>
    <w:rsid w:val="3AC84793"/>
    <w:rsid w:val="3B533D35"/>
    <w:rsid w:val="3B9E392E"/>
    <w:rsid w:val="3BEE408B"/>
    <w:rsid w:val="3BF77969"/>
    <w:rsid w:val="3C173237"/>
    <w:rsid w:val="3C477781"/>
    <w:rsid w:val="3C6A71D5"/>
    <w:rsid w:val="3C88190B"/>
    <w:rsid w:val="3CA8168F"/>
    <w:rsid w:val="3CE119F2"/>
    <w:rsid w:val="3CE7700A"/>
    <w:rsid w:val="3CFB3D7D"/>
    <w:rsid w:val="3D1C4E15"/>
    <w:rsid w:val="3D6C7658"/>
    <w:rsid w:val="3D90500E"/>
    <w:rsid w:val="3DD54984"/>
    <w:rsid w:val="3E506F79"/>
    <w:rsid w:val="3E557BFA"/>
    <w:rsid w:val="3E864749"/>
    <w:rsid w:val="3E947353"/>
    <w:rsid w:val="3EA33D47"/>
    <w:rsid w:val="3F411CB6"/>
    <w:rsid w:val="3F493F24"/>
    <w:rsid w:val="3FA85C85"/>
    <w:rsid w:val="3FB4690F"/>
    <w:rsid w:val="3FDD756E"/>
    <w:rsid w:val="4070382E"/>
    <w:rsid w:val="407C40C6"/>
    <w:rsid w:val="41076F3F"/>
    <w:rsid w:val="414D5B4E"/>
    <w:rsid w:val="415413B2"/>
    <w:rsid w:val="415D7F83"/>
    <w:rsid w:val="419252AD"/>
    <w:rsid w:val="41B024AC"/>
    <w:rsid w:val="4207357A"/>
    <w:rsid w:val="42193B5D"/>
    <w:rsid w:val="42363C4B"/>
    <w:rsid w:val="4260125D"/>
    <w:rsid w:val="429A6A15"/>
    <w:rsid w:val="42B02A17"/>
    <w:rsid w:val="42EE534A"/>
    <w:rsid w:val="42F40F07"/>
    <w:rsid w:val="435412BA"/>
    <w:rsid w:val="435617E4"/>
    <w:rsid w:val="435A2F2B"/>
    <w:rsid w:val="43640760"/>
    <w:rsid w:val="437B4D58"/>
    <w:rsid w:val="43AF64F0"/>
    <w:rsid w:val="43E45362"/>
    <w:rsid w:val="443B10B6"/>
    <w:rsid w:val="44AE06F1"/>
    <w:rsid w:val="44C72030"/>
    <w:rsid w:val="44C86C0C"/>
    <w:rsid w:val="451E76EF"/>
    <w:rsid w:val="456471C9"/>
    <w:rsid w:val="46207E02"/>
    <w:rsid w:val="46804174"/>
    <w:rsid w:val="46945270"/>
    <w:rsid w:val="46EE143D"/>
    <w:rsid w:val="473E1472"/>
    <w:rsid w:val="475615DC"/>
    <w:rsid w:val="47C15386"/>
    <w:rsid w:val="47CC2FFF"/>
    <w:rsid w:val="47F94622"/>
    <w:rsid w:val="48084A61"/>
    <w:rsid w:val="480871D9"/>
    <w:rsid w:val="480D3D29"/>
    <w:rsid w:val="48143FDA"/>
    <w:rsid w:val="48C6428F"/>
    <w:rsid w:val="48CE7418"/>
    <w:rsid w:val="48E004FF"/>
    <w:rsid w:val="48E46D9C"/>
    <w:rsid w:val="49587E25"/>
    <w:rsid w:val="49680C82"/>
    <w:rsid w:val="496F0C13"/>
    <w:rsid w:val="499277A5"/>
    <w:rsid w:val="4995798E"/>
    <w:rsid w:val="49F63FEB"/>
    <w:rsid w:val="4A125A0D"/>
    <w:rsid w:val="4B1E094B"/>
    <w:rsid w:val="4B477F70"/>
    <w:rsid w:val="4BA91154"/>
    <w:rsid w:val="4BAF50CD"/>
    <w:rsid w:val="4BBB00B1"/>
    <w:rsid w:val="4C3E14A9"/>
    <w:rsid w:val="4C447F77"/>
    <w:rsid w:val="4C74165C"/>
    <w:rsid w:val="4CA45761"/>
    <w:rsid w:val="4CE132A1"/>
    <w:rsid w:val="4CE97FBB"/>
    <w:rsid w:val="4D2E3F5F"/>
    <w:rsid w:val="4D770880"/>
    <w:rsid w:val="4D915B65"/>
    <w:rsid w:val="4D9539DD"/>
    <w:rsid w:val="4D970329"/>
    <w:rsid w:val="4E2228AD"/>
    <w:rsid w:val="4E322EBD"/>
    <w:rsid w:val="4E491259"/>
    <w:rsid w:val="4E961D37"/>
    <w:rsid w:val="4EE51345"/>
    <w:rsid w:val="4EFA0D7B"/>
    <w:rsid w:val="4F0973FC"/>
    <w:rsid w:val="4F106A60"/>
    <w:rsid w:val="4F237574"/>
    <w:rsid w:val="4F4D5EE0"/>
    <w:rsid w:val="4F53588C"/>
    <w:rsid w:val="4F5B474F"/>
    <w:rsid w:val="4F6D0EEC"/>
    <w:rsid w:val="4F745C39"/>
    <w:rsid w:val="50191F27"/>
    <w:rsid w:val="50201A4C"/>
    <w:rsid w:val="5065769E"/>
    <w:rsid w:val="508E158A"/>
    <w:rsid w:val="509317D3"/>
    <w:rsid w:val="510142BA"/>
    <w:rsid w:val="512A5236"/>
    <w:rsid w:val="519020AB"/>
    <w:rsid w:val="51D16531"/>
    <w:rsid w:val="51DC57E0"/>
    <w:rsid w:val="52110163"/>
    <w:rsid w:val="52271DA0"/>
    <w:rsid w:val="522E7D93"/>
    <w:rsid w:val="526104FD"/>
    <w:rsid w:val="52AA0270"/>
    <w:rsid w:val="52FE0C1D"/>
    <w:rsid w:val="532F140E"/>
    <w:rsid w:val="53542C10"/>
    <w:rsid w:val="537110E5"/>
    <w:rsid w:val="53A711D6"/>
    <w:rsid w:val="53CC2C25"/>
    <w:rsid w:val="5409750E"/>
    <w:rsid w:val="54166B64"/>
    <w:rsid w:val="54446A80"/>
    <w:rsid w:val="547A47A0"/>
    <w:rsid w:val="54CF7684"/>
    <w:rsid w:val="54FE1F7B"/>
    <w:rsid w:val="551C5D20"/>
    <w:rsid w:val="553D7F35"/>
    <w:rsid w:val="55516770"/>
    <w:rsid w:val="55556758"/>
    <w:rsid w:val="55912332"/>
    <w:rsid w:val="5599078F"/>
    <w:rsid w:val="55C51BA3"/>
    <w:rsid w:val="55EB2850"/>
    <w:rsid w:val="55F676CF"/>
    <w:rsid w:val="560F4DF7"/>
    <w:rsid w:val="569154CE"/>
    <w:rsid w:val="56D568E9"/>
    <w:rsid w:val="56F75296"/>
    <w:rsid w:val="570D0D07"/>
    <w:rsid w:val="5737262D"/>
    <w:rsid w:val="57546802"/>
    <w:rsid w:val="57B036AC"/>
    <w:rsid w:val="57D55370"/>
    <w:rsid w:val="58342042"/>
    <w:rsid w:val="58575D9A"/>
    <w:rsid w:val="58621659"/>
    <w:rsid w:val="58B27BB0"/>
    <w:rsid w:val="58B708E7"/>
    <w:rsid w:val="58F61B33"/>
    <w:rsid w:val="594759C5"/>
    <w:rsid w:val="59711A3F"/>
    <w:rsid w:val="597E09E7"/>
    <w:rsid w:val="59971CF3"/>
    <w:rsid w:val="5A49135C"/>
    <w:rsid w:val="5A7E5130"/>
    <w:rsid w:val="5AB02A12"/>
    <w:rsid w:val="5AB76B78"/>
    <w:rsid w:val="5ABA15AB"/>
    <w:rsid w:val="5ADF41E6"/>
    <w:rsid w:val="5B4F003D"/>
    <w:rsid w:val="5B87226B"/>
    <w:rsid w:val="5BAB71A9"/>
    <w:rsid w:val="5BB813E4"/>
    <w:rsid w:val="5C274947"/>
    <w:rsid w:val="5C723F26"/>
    <w:rsid w:val="5CD32D08"/>
    <w:rsid w:val="5D60630D"/>
    <w:rsid w:val="5D763BF8"/>
    <w:rsid w:val="5D8E4C45"/>
    <w:rsid w:val="5DB42A8D"/>
    <w:rsid w:val="5E556177"/>
    <w:rsid w:val="5EAB4250"/>
    <w:rsid w:val="5EBC2266"/>
    <w:rsid w:val="5F226060"/>
    <w:rsid w:val="5F2F1859"/>
    <w:rsid w:val="5F575FE9"/>
    <w:rsid w:val="5F582D56"/>
    <w:rsid w:val="5F986E35"/>
    <w:rsid w:val="5FA103E1"/>
    <w:rsid w:val="5FBE2FE1"/>
    <w:rsid w:val="5FE8225A"/>
    <w:rsid w:val="5FF01705"/>
    <w:rsid w:val="60102521"/>
    <w:rsid w:val="60177A87"/>
    <w:rsid w:val="60426C6B"/>
    <w:rsid w:val="60995E4C"/>
    <w:rsid w:val="60B3565E"/>
    <w:rsid w:val="616D1541"/>
    <w:rsid w:val="6172363C"/>
    <w:rsid w:val="61DD6DEA"/>
    <w:rsid w:val="624C42ED"/>
    <w:rsid w:val="62520B85"/>
    <w:rsid w:val="62C47B24"/>
    <w:rsid w:val="62DA4BD4"/>
    <w:rsid w:val="63187B8E"/>
    <w:rsid w:val="63987D70"/>
    <w:rsid w:val="641407B0"/>
    <w:rsid w:val="643C4757"/>
    <w:rsid w:val="643F7925"/>
    <w:rsid w:val="644C63C3"/>
    <w:rsid w:val="645B4629"/>
    <w:rsid w:val="647519DC"/>
    <w:rsid w:val="64976EB7"/>
    <w:rsid w:val="64AC29E8"/>
    <w:rsid w:val="64AE6542"/>
    <w:rsid w:val="64D6126A"/>
    <w:rsid w:val="64DA7755"/>
    <w:rsid w:val="657A267E"/>
    <w:rsid w:val="661C52EE"/>
    <w:rsid w:val="665C4585"/>
    <w:rsid w:val="666979E7"/>
    <w:rsid w:val="66A43E11"/>
    <w:rsid w:val="66A54812"/>
    <w:rsid w:val="66D502FC"/>
    <w:rsid w:val="66E9240E"/>
    <w:rsid w:val="671F2541"/>
    <w:rsid w:val="67233ED7"/>
    <w:rsid w:val="67382CE2"/>
    <w:rsid w:val="67633638"/>
    <w:rsid w:val="67650785"/>
    <w:rsid w:val="679D39F5"/>
    <w:rsid w:val="67AC7027"/>
    <w:rsid w:val="67EB4E8B"/>
    <w:rsid w:val="6806382A"/>
    <w:rsid w:val="680F06FB"/>
    <w:rsid w:val="682B0F33"/>
    <w:rsid w:val="68305151"/>
    <w:rsid w:val="68323D6E"/>
    <w:rsid w:val="6836654A"/>
    <w:rsid w:val="684574D8"/>
    <w:rsid w:val="68501F1C"/>
    <w:rsid w:val="688550B7"/>
    <w:rsid w:val="68C836F8"/>
    <w:rsid w:val="69086DE1"/>
    <w:rsid w:val="693A4F33"/>
    <w:rsid w:val="696944C2"/>
    <w:rsid w:val="6970675C"/>
    <w:rsid w:val="69FA7C16"/>
    <w:rsid w:val="6A122B58"/>
    <w:rsid w:val="6A2E1235"/>
    <w:rsid w:val="6AA81420"/>
    <w:rsid w:val="6AB27271"/>
    <w:rsid w:val="6AF56DE1"/>
    <w:rsid w:val="6B1D25C0"/>
    <w:rsid w:val="6B380223"/>
    <w:rsid w:val="6B4B394D"/>
    <w:rsid w:val="6B9930F9"/>
    <w:rsid w:val="6B9A72A4"/>
    <w:rsid w:val="6BC5784E"/>
    <w:rsid w:val="6C30022B"/>
    <w:rsid w:val="6C382307"/>
    <w:rsid w:val="6C6602E2"/>
    <w:rsid w:val="6CE465F9"/>
    <w:rsid w:val="6CEB5F05"/>
    <w:rsid w:val="6D4A2C62"/>
    <w:rsid w:val="6D5C5BD8"/>
    <w:rsid w:val="6D634CE2"/>
    <w:rsid w:val="6D721B2E"/>
    <w:rsid w:val="6D8F388A"/>
    <w:rsid w:val="6E535B46"/>
    <w:rsid w:val="6E761F72"/>
    <w:rsid w:val="6E7D378E"/>
    <w:rsid w:val="6E8A247B"/>
    <w:rsid w:val="6EEB22FC"/>
    <w:rsid w:val="6EF74410"/>
    <w:rsid w:val="6F1144BA"/>
    <w:rsid w:val="701F0527"/>
    <w:rsid w:val="707359C6"/>
    <w:rsid w:val="70772751"/>
    <w:rsid w:val="707E45FF"/>
    <w:rsid w:val="70AA2A0D"/>
    <w:rsid w:val="71385700"/>
    <w:rsid w:val="71395BC5"/>
    <w:rsid w:val="71694D70"/>
    <w:rsid w:val="71793B16"/>
    <w:rsid w:val="717C7298"/>
    <w:rsid w:val="71920AD2"/>
    <w:rsid w:val="71957C7D"/>
    <w:rsid w:val="725868F8"/>
    <w:rsid w:val="72CB65F3"/>
    <w:rsid w:val="737C78ED"/>
    <w:rsid w:val="739E397D"/>
    <w:rsid w:val="73B85508"/>
    <w:rsid w:val="73B86821"/>
    <w:rsid w:val="73DE452A"/>
    <w:rsid w:val="73EF2449"/>
    <w:rsid w:val="74413296"/>
    <w:rsid w:val="7461270B"/>
    <w:rsid w:val="747E4F4A"/>
    <w:rsid w:val="74820FC6"/>
    <w:rsid w:val="749602A9"/>
    <w:rsid w:val="74C35A5F"/>
    <w:rsid w:val="74F20DAB"/>
    <w:rsid w:val="755B11A1"/>
    <w:rsid w:val="759C2CD9"/>
    <w:rsid w:val="75B52049"/>
    <w:rsid w:val="75D83415"/>
    <w:rsid w:val="75DB3EF7"/>
    <w:rsid w:val="75ED54D6"/>
    <w:rsid w:val="760E3640"/>
    <w:rsid w:val="762E237E"/>
    <w:rsid w:val="764906A7"/>
    <w:rsid w:val="76510F08"/>
    <w:rsid w:val="76772761"/>
    <w:rsid w:val="76814AA6"/>
    <w:rsid w:val="76856E86"/>
    <w:rsid w:val="76A53CC3"/>
    <w:rsid w:val="76B24C47"/>
    <w:rsid w:val="77193E72"/>
    <w:rsid w:val="7722009A"/>
    <w:rsid w:val="775070C7"/>
    <w:rsid w:val="779739AC"/>
    <w:rsid w:val="77F0552D"/>
    <w:rsid w:val="780E2900"/>
    <w:rsid w:val="78381438"/>
    <w:rsid w:val="78520091"/>
    <w:rsid w:val="785D7CE4"/>
    <w:rsid w:val="78713008"/>
    <w:rsid w:val="789552BE"/>
    <w:rsid w:val="78E44A59"/>
    <w:rsid w:val="79090D90"/>
    <w:rsid w:val="79A21D43"/>
    <w:rsid w:val="79A50AF1"/>
    <w:rsid w:val="79CC44D6"/>
    <w:rsid w:val="79D60A76"/>
    <w:rsid w:val="79E355BF"/>
    <w:rsid w:val="7A4A0603"/>
    <w:rsid w:val="7A4E74D7"/>
    <w:rsid w:val="7A5101BC"/>
    <w:rsid w:val="7A567910"/>
    <w:rsid w:val="7A657BC2"/>
    <w:rsid w:val="7AE2675F"/>
    <w:rsid w:val="7B116AF1"/>
    <w:rsid w:val="7B3B77F2"/>
    <w:rsid w:val="7B6A1907"/>
    <w:rsid w:val="7B831E71"/>
    <w:rsid w:val="7B8F1D81"/>
    <w:rsid w:val="7BA249BC"/>
    <w:rsid w:val="7C481360"/>
    <w:rsid w:val="7C935D0C"/>
    <w:rsid w:val="7CB4779A"/>
    <w:rsid w:val="7CD1619F"/>
    <w:rsid w:val="7CE47418"/>
    <w:rsid w:val="7D303E99"/>
    <w:rsid w:val="7D377B9D"/>
    <w:rsid w:val="7D727118"/>
    <w:rsid w:val="7D8024C0"/>
    <w:rsid w:val="7DA84419"/>
    <w:rsid w:val="7DF908BF"/>
    <w:rsid w:val="7E467100"/>
    <w:rsid w:val="7E672F62"/>
    <w:rsid w:val="7EA8490D"/>
    <w:rsid w:val="7EEB7D8C"/>
    <w:rsid w:val="7EF1482F"/>
    <w:rsid w:val="7EFD7D3F"/>
    <w:rsid w:val="7F3F6448"/>
    <w:rsid w:val="7F8A3D67"/>
    <w:rsid w:val="7FEB1B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semiHidden="0"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5">
    <w:name w:val="heading 1"/>
    <w:basedOn w:val="1"/>
    <w:next w:val="1"/>
    <w:link w:val="66"/>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67"/>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8"/>
    <w:qFormat/>
    <w:uiPriority w:val="99"/>
    <w:pPr>
      <w:keepNext/>
      <w:keepLines/>
      <w:spacing w:before="260" w:after="260" w:line="416" w:lineRule="auto"/>
      <w:outlineLvl w:val="2"/>
    </w:pPr>
    <w:rPr>
      <w:b/>
      <w:bCs/>
      <w:sz w:val="32"/>
      <w:szCs w:val="32"/>
    </w:rPr>
  </w:style>
  <w:style w:type="paragraph" w:styleId="8">
    <w:name w:val="heading 4"/>
    <w:basedOn w:val="1"/>
    <w:next w:val="1"/>
    <w:link w:val="69"/>
    <w:qFormat/>
    <w:uiPriority w:val="99"/>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70"/>
    <w:qFormat/>
    <w:uiPriority w:val="99"/>
    <w:pPr>
      <w:keepNext/>
      <w:keepLines/>
      <w:spacing w:before="280" w:after="290" w:line="376" w:lineRule="auto"/>
      <w:outlineLvl w:val="4"/>
    </w:pPr>
    <w:rPr>
      <w:b/>
      <w:bCs/>
      <w:kern w:val="2"/>
      <w:sz w:val="28"/>
      <w:szCs w:val="28"/>
    </w:rPr>
  </w:style>
  <w:style w:type="paragraph" w:styleId="10">
    <w:name w:val="heading 6"/>
    <w:basedOn w:val="1"/>
    <w:next w:val="1"/>
    <w:link w:val="71"/>
    <w:qFormat/>
    <w:uiPriority w:val="99"/>
    <w:pPr>
      <w:keepNext/>
      <w:keepLines/>
      <w:spacing w:before="240" w:after="64" w:line="320" w:lineRule="auto"/>
      <w:outlineLvl w:val="5"/>
    </w:pPr>
    <w:rPr>
      <w:rFonts w:ascii="Arial" w:hAnsi="Arial" w:eastAsia="黑体"/>
      <w:b/>
      <w:bCs/>
      <w:kern w:val="2"/>
    </w:rPr>
  </w:style>
  <w:style w:type="paragraph" w:styleId="11">
    <w:name w:val="heading 7"/>
    <w:basedOn w:val="1"/>
    <w:next w:val="1"/>
    <w:link w:val="72"/>
    <w:qFormat/>
    <w:uiPriority w:val="99"/>
    <w:pPr>
      <w:keepNext/>
      <w:keepLines/>
      <w:spacing w:before="240" w:after="64" w:line="320" w:lineRule="auto"/>
      <w:outlineLvl w:val="6"/>
    </w:pPr>
    <w:rPr>
      <w:b/>
      <w:bCs/>
      <w:kern w:val="2"/>
    </w:rPr>
  </w:style>
  <w:style w:type="paragraph" w:styleId="12">
    <w:name w:val="heading 8"/>
    <w:basedOn w:val="1"/>
    <w:next w:val="1"/>
    <w:link w:val="73"/>
    <w:qFormat/>
    <w:uiPriority w:val="99"/>
    <w:pPr>
      <w:keepNext/>
      <w:keepLines/>
      <w:spacing w:before="240" w:after="64" w:line="320" w:lineRule="auto"/>
      <w:outlineLvl w:val="7"/>
    </w:pPr>
    <w:rPr>
      <w:rFonts w:ascii="Arial" w:hAnsi="Arial" w:eastAsia="黑体"/>
      <w:kern w:val="2"/>
    </w:rPr>
  </w:style>
  <w:style w:type="paragraph" w:styleId="13">
    <w:name w:val="heading 9"/>
    <w:basedOn w:val="1"/>
    <w:next w:val="1"/>
    <w:link w:val="74"/>
    <w:qFormat/>
    <w:uiPriority w:val="99"/>
    <w:pPr>
      <w:keepNext/>
      <w:keepLines/>
      <w:spacing w:before="240" w:after="64" w:line="320" w:lineRule="auto"/>
      <w:outlineLvl w:val="8"/>
    </w:pPr>
    <w:rPr>
      <w:rFonts w:ascii="Arial" w:hAnsi="Arial" w:eastAsia="黑体"/>
      <w:kern w:val="2"/>
      <w:sz w:val="21"/>
      <w:szCs w:val="21"/>
    </w:rPr>
  </w:style>
  <w:style w:type="character" w:default="1" w:styleId="59">
    <w:name w:val="Default Paragraph Font"/>
    <w:semiHidden/>
    <w:qFormat/>
    <w:uiPriority w:val="99"/>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6"/>
    <w:qFormat/>
    <w:uiPriority w:val="99"/>
    <w:pPr>
      <w:spacing w:after="120" w:line="240" w:lineRule="auto"/>
      <w:ind w:left="420" w:leftChars="200" w:firstLine="420"/>
    </w:pPr>
    <w:rPr>
      <w:b w:val="0"/>
      <w:bCs w:val="0"/>
      <w:shd w:val="clear" w:color="auto" w:fill="auto"/>
    </w:rPr>
  </w:style>
  <w:style w:type="paragraph" w:styleId="3">
    <w:name w:val="Body Text Indent"/>
    <w:basedOn w:val="1"/>
    <w:next w:val="4"/>
    <w:link w:val="75"/>
    <w:qFormat/>
    <w:uiPriority w:val="99"/>
    <w:pPr>
      <w:spacing w:line="460" w:lineRule="exact"/>
      <w:ind w:firstLine="482" w:firstLineChars="200"/>
    </w:pPr>
    <w:rPr>
      <w:b/>
      <w:bCs/>
      <w:shd w:val="clear" w:color="auto" w:fill="CCCCCC"/>
    </w:rPr>
  </w:style>
  <w:style w:type="paragraph" w:styleId="4">
    <w:name w:val="Normal Indent"/>
    <w:basedOn w:val="1"/>
    <w:next w:val="3"/>
    <w:link w:val="93"/>
    <w:qFormat/>
    <w:uiPriority w:val="99"/>
    <w:pPr>
      <w:ind w:firstLine="420" w:firstLineChars="200"/>
    </w:pPr>
    <w:rPr>
      <w:kern w:val="2"/>
      <w:sz w:val="28"/>
      <w:szCs w:val="20"/>
    </w:rPr>
  </w:style>
  <w:style w:type="paragraph" w:styleId="14">
    <w:name w:val="toc 7"/>
    <w:basedOn w:val="1"/>
    <w:next w:val="1"/>
    <w:semiHidden/>
    <w:qFormat/>
    <w:uiPriority w:val="99"/>
    <w:pPr>
      <w:ind w:left="2520" w:leftChars="1200"/>
    </w:pPr>
  </w:style>
  <w:style w:type="paragraph" w:styleId="15">
    <w:name w:val="index 8"/>
    <w:basedOn w:val="1"/>
    <w:next w:val="1"/>
    <w:semiHidden/>
    <w:qFormat/>
    <w:uiPriority w:val="99"/>
    <w:pPr>
      <w:ind w:left="1400" w:leftChars="1400"/>
    </w:pPr>
  </w:style>
  <w:style w:type="paragraph" w:styleId="16">
    <w:name w:val="List Number"/>
    <w:basedOn w:val="1"/>
    <w:qFormat/>
    <w:uiPriority w:val="99"/>
    <w:pPr>
      <w:tabs>
        <w:tab w:val="left" w:pos="360"/>
      </w:tabs>
      <w:ind w:left="360" w:hanging="360"/>
    </w:pPr>
  </w:style>
  <w:style w:type="paragraph" w:styleId="17">
    <w:name w:val="caption"/>
    <w:basedOn w:val="1"/>
    <w:next w:val="1"/>
    <w:qFormat/>
    <w:uiPriority w:val="99"/>
    <w:pPr>
      <w:spacing w:before="152" w:after="160"/>
    </w:pPr>
    <w:rPr>
      <w:rFonts w:ascii="Arial" w:hAnsi="Arial" w:eastAsia="黑体"/>
      <w:sz w:val="20"/>
      <w:szCs w:val="20"/>
    </w:rPr>
  </w:style>
  <w:style w:type="paragraph" w:styleId="18">
    <w:name w:val="index 5"/>
    <w:basedOn w:val="1"/>
    <w:next w:val="1"/>
    <w:semiHidden/>
    <w:qFormat/>
    <w:uiPriority w:val="99"/>
    <w:pPr>
      <w:ind w:left="800" w:leftChars="800"/>
    </w:pPr>
  </w:style>
  <w:style w:type="paragraph" w:styleId="19">
    <w:name w:val="Document Map"/>
    <w:basedOn w:val="1"/>
    <w:link w:val="77"/>
    <w:qFormat/>
    <w:uiPriority w:val="99"/>
    <w:pPr>
      <w:shd w:val="clear" w:color="auto" w:fill="000080"/>
    </w:pPr>
    <w:rPr>
      <w:kern w:val="2"/>
      <w:sz w:val="21"/>
    </w:rPr>
  </w:style>
  <w:style w:type="paragraph" w:styleId="20">
    <w:name w:val="annotation text"/>
    <w:basedOn w:val="1"/>
    <w:link w:val="78"/>
    <w:qFormat/>
    <w:uiPriority w:val="99"/>
    <w:rPr>
      <w:kern w:val="2"/>
      <w:sz w:val="21"/>
    </w:rPr>
  </w:style>
  <w:style w:type="paragraph" w:styleId="21">
    <w:name w:val="index 6"/>
    <w:basedOn w:val="1"/>
    <w:next w:val="1"/>
    <w:semiHidden/>
    <w:qFormat/>
    <w:uiPriority w:val="99"/>
    <w:pPr>
      <w:ind w:left="1000" w:leftChars="1000"/>
    </w:pPr>
  </w:style>
  <w:style w:type="paragraph" w:styleId="22">
    <w:name w:val="Body Text 3"/>
    <w:basedOn w:val="1"/>
    <w:link w:val="79"/>
    <w:qFormat/>
    <w:uiPriority w:val="99"/>
    <w:pPr>
      <w:spacing w:after="120"/>
    </w:pPr>
    <w:rPr>
      <w:kern w:val="2"/>
      <w:sz w:val="16"/>
      <w:szCs w:val="16"/>
    </w:rPr>
  </w:style>
  <w:style w:type="paragraph" w:styleId="23">
    <w:name w:val="Body Text"/>
    <w:basedOn w:val="1"/>
    <w:next w:val="24"/>
    <w:link w:val="80"/>
    <w:qFormat/>
    <w:uiPriority w:val="99"/>
    <w:pPr>
      <w:jc w:val="center"/>
    </w:pPr>
    <w:rPr>
      <w:rFonts w:ascii="宋体" w:hAnsi="宋体"/>
      <w:b/>
      <w:bCs/>
      <w:color w:val="000000"/>
      <w:kern w:val="2"/>
      <w:sz w:val="72"/>
      <w:szCs w:val="20"/>
    </w:rPr>
  </w:style>
  <w:style w:type="paragraph" w:styleId="24">
    <w:name w:val="Body Text First Indent"/>
    <w:basedOn w:val="23"/>
    <w:next w:val="1"/>
    <w:link w:val="81"/>
    <w:qFormat/>
    <w:uiPriority w:val="99"/>
    <w:pPr>
      <w:spacing w:after="120"/>
      <w:ind w:firstLine="420" w:firstLineChars="100"/>
      <w:jc w:val="both"/>
    </w:pPr>
    <w:rPr>
      <w:rFonts w:ascii="Times New Roman" w:hAnsi="Times New Roman"/>
      <w:b w:val="0"/>
      <w:bCs w:val="0"/>
      <w:color w:val="auto"/>
      <w:sz w:val="21"/>
      <w:szCs w:val="24"/>
    </w:rPr>
  </w:style>
  <w:style w:type="paragraph" w:styleId="25">
    <w:name w:val="List Number 3"/>
    <w:basedOn w:val="1"/>
    <w:qFormat/>
    <w:uiPriority w:val="99"/>
    <w:pPr>
      <w:widowControl w:val="0"/>
      <w:tabs>
        <w:tab w:val="left" w:pos="360"/>
        <w:tab w:val="left" w:pos="1200"/>
      </w:tabs>
      <w:ind w:left="360" w:hanging="360"/>
      <w:jc w:val="both"/>
    </w:pPr>
    <w:rPr>
      <w:kern w:val="2"/>
      <w:sz w:val="21"/>
    </w:rPr>
  </w:style>
  <w:style w:type="paragraph" w:styleId="26">
    <w:name w:val="List 2"/>
    <w:basedOn w:val="1"/>
    <w:qFormat/>
    <w:uiPriority w:val="99"/>
    <w:pPr>
      <w:widowControl w:val="0"/>
      <w:ind w:left="100" w:leftChars="200" w:hanging="200" w:hangingChars="200"/>
      <w:jc w:val="both"/>
    </w:pPr>
    <w:rPr>
      <w:kern w:val="2"/>
      <w:sz w:val="28"/>
    </w:rPr>
  </w:style>
  <w:style w:type="paragraph" w:styleId="27">
    <w:name w:val="Block Text"/>
    <w:basedOn w:val="1"/>
    <w:qFormat/>
    <w:uiPriority w:val="99"/>
    <w:pPr>
      <w:adjustRightInd w:val="0"/>
      <w:ind w:left="420" w:right="33"/>
      <w:textAlignment w:val="baseline"/>
    </w:pPr>
    <w:rPr>
      <w:szCs w:val="20"/>
    </w:rPr>
  </w:style>
  <w:style w:type="paragraph" w:styleId="28">
    <w:name w:val="index 4"/>
    <w:basedOn w:val="1"/>
    <w:next w:val="1"/>
    <w:semiHidden/>
    <w:qFormat/>
    <w:uiPriority w:val="99"/>
    <w:pPr>
      <w:ind w:left="600" w:leftChars="600"/>
    </w:pPr>
  </w:style>
  <w:style w:type="paragraph" w:styleId="29">
    <w:name w:val="toc 5"/>
    <w:basedOn w:val="1"/>
    <w:next w:val="1"/>
    <w:qFormat/>
    <w:uiPriority w:val="99"/>
    <w:pPr>
      <w:ind w:left="1680" w:leftChars="800"/>
    </w:pPr>
  </w:style>
  <w:style w:type="paragraph" w:styleId="30">
    <w:name w:val="toc 3"/>
    <w:basedOn w:val="1"/>
    <w:next w:val="1"/>
    <w:link w:val="94"/>
    <w:qFormat/>
    <w:uiPriority w:val="99"/>
    <w:pPr>
      <w:ind w:left="840" w:leftChars="400"/>
    </w:pPr>
  </w:style>
  <w:style w:type="paragraph" w:styleId="31">
    <w:name w:val="Plain Text"/>
    <w:basedOn w:val="1"/>
    <w:next w:val="1"/>
    <w:link w:val="82"/>
    <w:qFormat/>
    <w:uiPriority w:val="99"/>
    <w:rPr>
      <w:rFonts w:ascii="宋体" w:hAnsi="Courier New" w:cs="Courier New"/>
      <w:kern w:val="2"/>
      <w:sz w:val="21"/>
      <w:szCs w:val="21"/>
    </w:rPr>
  </w:style>
  <w:style w:type="paragraph" w:styleId="32">
    <w:name w:val="toc 8"/>
    <w:basedOn w:val="1"/>
    <w:next w:val="1"/>
    <w:semiHidden/>
    <w:qFormat/>
    <w:uiPriority w:val="99"/>
    <w:pPr>
      <w:ind w:left="2940" w:leftChars="1400"/>
    </w:pPr>
  </w:style>
  <w:style w:type="paragraph" w:styleId="33">
    <w:name w:val="index 3"/>
    <w:basedOn w:val="1"/>
    <w:next w:val="1"/>
    <w:semiHidden/>
    <w:qFormat/>
    <w:uiPriority w:val="99"/>
    <w:pPr>
      <w:ind w:left="400" w:leftChars="400"/>
    </w:pPr>
  </w:style>
  <w:style w:type="paragraph" w:styleId="34">
    <w:name w:val="Date"/>
    <w:basedOn w:val="1"/>
    <w:next w:val="1"/>
    <w:link w:val="83"/>
    <w:qFormat/>
    <w:uiPriority w:val="99"/>
    <w:pPr>
      <w:ind w:left="100" w:leftChars="2500"/>
    </w:pPr>
  </w:style>
  <w:style w:type="paragraph" w:styleId="35">
    <w:name w:val="Body Text Indent 2"/>
    <w:basedOn w:val="1"/>
    <w:link w:val="84"/>
    <w:qFormat/>
    <w:uiPriority w:val="99"/>
    <w:pPr>
      <w:spacing w:line="360" w:lineRule="auto"/>
      <w:ind w:firstLine="480"/>
    </w:pPr>
    <w:rPr>
      <w:rFonts w:ascii="宋体" w:eastAsia="新宋体"/>
      <w:szCs w:val="20"/>
    </w:rPr>
  </w:style>
  <w:style w:type="paragraph" w:styleId="36">
    <w:name w:val="Balloon Text"/>
    <w:basedOn w:val="1"/>
    <w:link w:val="85"/>
    <w:qFormat/>
    <w:uiPriority w:val="99"/>
    <w:rPr>
      <w:kern w:val="2"/>
      <w:sz w:val="18"/>
      <w:szCs w:val="18"/>
    </w:rPr>
  </w:style>
  <w:style w:type="paragraph" w:styleId="37">
    <w:name w:val="footer"/>
    <w:basedOn w:val="1"/>
    <w:link w:val="86"/>
    <w:qFormat/>
    <w:uiPriority w:val="99"/>
    <w:pPr>
      <w:tabs>
        <w:tab w:val="center" w:pos="4153"/>
        <w:tab w:val="right" w:pos="8306"/>
      </w:tabs>
      <w:snapToGrid w:val="0"/>
    </w:pPr>
    <w:rPr>
      <w:kern w:val="2"/>
      <w:sz w:val="18"/>
      <w:szCs w:val="18"/>
    </w:rPr>
  </w:style>
  <w:style w:type="paragraph" w:styleId="38">
    <w:name w:val="header"/>
    <w:basedOn w:val="1"/>
    <w:link w:val="87"/>
    <w:qFormat/>
    <w:uiPriority w:val="99"/>
    <w:pPr>
      <w:pBdr>
        <w:bottom w:val="single" w:color="auto" w:sz="6" w:space="1"/>
      </w:pBdr>
      <w:tabs>
        <w:tab w:val="center" w:pos="4153"/>
        <w:tab w:val="right" w:pos="8306"/>
      </w:tabs>
      <w:snapToGrid w:val="0"/>
      <w:jc w:val="center"/>
    </w:pPr>
    <w:rPr>
      <w:kern w:val="2"/>
      <w:sz w:val="18"/>
      <w:szCs w:val="18"/>
    </w:rPr>
  </w:style>
  <w:style w:type="paragraph" w:styleId="39">
    <w:name w:val="toc 1"/>
    <w:basedOn w:val="1"/>
    <w:next w:val="1"/>
    <w:qFormat/>
    <w:uiPriority w:val="99"/>
    <w:pPr>
      <w:tabs>
        <w:tab w:val="right" w:leader="dot" w:pos="9344"/>
      </w:tabs>
      <w:spacing w:line="460" w:lineRule="exact"/>
    </w:pPr>
    <w:rPr>
      <w:rFonts w:ascii="宋体" w:hAnsi="宋体"/>
      <w:b/>
      <w:bCs/>
      <w:color w:val="000000"/>
      <w:sz w:val="28"/>
      <w:szCs w:val="30"/>
    </w:rPr>
  </w:style>
  <w:style w:type="paragraph" w:styleId="40">
    <w:name w:val="toc 4"/>
    <w:basedOn w:val="1"/>
    <w:next w:val="1"/>
    <w:semiHidden/>
    <w:qFormat/>
    <w:uiPriority w:val="99"/>
    <w:pPr>
      <w:ind w:left="1260" w:leftChars="600"/>
    </w:pPr>
  </w:style>
  <w:style w:type="paragraph" w:styleId="41">
    <w:name w:val="index heading"/>
    <w:basedOn w:val="1"/>
    <w:next w:val="42"/>
    <w:semiHidden/>
    <w:qFormat/>
    <w:uiPriority w:val="99"/>
  </w:style>
  <w:style w:type="paragraph" w:styleId="42">
    <w:name w:val="index 1"/>
    <w:basedOn w:val="1"/>
    <w:next w:val="1"/>
    <w:semiHidden/>
    <w:qFormat/>
    <w:uiPriority w:val="99"/>
    <w:pPr>
      <w:spacing w:line="560" w:lineRule="exact"/>
    </w:pPr>
    <w:rPr>
      <w:sz w:val="28"/>
    </w:rPr>
  </w:style>
  <w:style w:type="paragraph" w:styleId="43">
    <w:name w:val="List"/>
    <w:basedOn w:val="1"/>
    <w:qFormat/>
    <w:uiPriority w:val="99"/>
    <w:pPr>
      <w:widowControl w:val="0"/>
      <w:ind w:left="200" w:hanging="200" w:hangingChars="200"/>
      <w:jc w:val="both"/>
    </w:pPr>
    <w:rPr>
      <w:kern w:val="2"/>
      <w:sz w:val="28"/>
    </w:rPr>
  </w:style>
  <w:style w:type="paragraph" w:styleId="44">
    <w:name w:val="toc 6"/>
    <w:basedOn w:val="1"/>
    <w:next w:val="1"/>
    <w:semiHidden/>
    <w:qFormat/>
    <w:uiPriority w:val="99"/>
    <w:pPr>
      <w:ind w:left="2100" w:leftChars="1000"/>
    </w:pPr>
  </w:style>
  <w:style w:type="paragraph" w:styleId="45">
    <w:name w:val="Body Text Indent 3"/>
    <w:basedOn w:val="1"/>
    <w:link w:val="88"/>
    <w:qFormat/>
    <w:uiPriority w:val="99"/>
    <w:pPr>
      <w:spacing w:after="120"/>
      <w:ind w:left="420" w:leftChars="200"/>
    </w:pPr>
    <w:rPr>
      <w:sz w:val="16"/>
      <w:szCs w:val="16"/>
    </w:rPr>
  </w:style>
  <w:style w:type="paragraph" w:styleId="46">
    <w:name w:val="index 7"/>
    <w:basedOn w:val="1"/>
    <w:next w:val="1"/>
    <w:semiHidden/>
    <w:qFormat/>
    <w:uiPriority w:val="99"/>
    <w:pPr>
      <w:ind w:left="1200" w:leftChars="1200"/>
    </w:pPr>
  </w:style>
  <w:style w:type="paragraph" w:styleId="47">
    <w:name w:val="index 9"/>
    <w:basedOn w:val="1"/>
    <w:next w:val="1"/>
    <w:semiHidden/>
    <w:qFormat/>
    <w:uiPriority w:val="99"/>
    <w:pPr>
      <w:ind w:left="1600" w:leftChars="1600"/>
    </w:pPr>
  </w:style>
  <w:style w:type="paragraph" w:styleId="48">
    <w:name w:val="table of figures"/>
    <w:basedOn w:val="1"/>
    <w:next w:val="1"/>
    <w:semiHidden/>
    <w:qFormat/>
    <w:uiPriority w:val="99"/>
    <w:pPr>
      <w:spacing w:line="560" w:lineRule="exact"/>
    </w:pPr>
    <w:rPr>
      <w:b/>
      <w:sz w:val="28"/>
    </w:rPr>
  </w:style>
  <w:style w:type="paragraph" w:styleId="49">
    <w:name w:val="toc 2"/>
    <w:basedOn w:val="1"/>
    <w:next w:val="1"/>
    <w:qFormat/>
    <w:uiPriority w:val="99"/>
    <w:pPr>
      <w:spacing w:line="400" w:lineRule="exact"/>
      <w:ind w:left="200" w:leftChars="200"/>
    </w:pPr>
  </w:style>
  <w:style w:type="paragraph" w:styleId="50">
    <w:name w:val="toc 9"/>
    <w:basedOn w:val="1"/>
    <w:next w:val="1"/>
    <w:semiHidden/>
    <w:qFormat/>
    <w:uiPriority w:val="99"/>
    <w:pPr>
      <w:ind w:left="3360" w:leftChars="1600"/>
    </w:pPr>
  </w:style>
  <w:style w:type="paragraph" w:styleId="51">
    <w:name w:val="Body Text 2"/>
    <w:basedOn w:val="1"/>
    <w:link w:val="89"/>
    <w:qFormat/>
    <w:uiPriority w:val="99"/>
    <w:pPr>
      <w:spacing w:after="120" w:line="480" w:lineRule="auto"/>
    </w:pPr>
  </w:style>
  <w:style w:type="paragraph" w:styleId="52">
    <w:name w:val="HTML Preformatted"/>
    <w:basedOn w:val="1"/>
    <w:link w:val="9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szCs w:val="20"/>
    </w:rPr>
  </w:style>
  <w:style w:type="paragraph" w:styleId="53">
    <w:name w:val="Normal (Web)"/>
    <w:basedOn w:val="1"/>
    <w:qFormat/>
    <w:uiPriority w:val="99"/>
  </w:style>
  <w:style w:type="paragraph" w:styleId="54">
    <w:name w:val="index 2"/>
    <w:basedOn w:val="1"/>
    <w:next w:val="1"/>
    <w:semiHidden/>
    <w:qFormat/>
    <w:uiPriority w:val="99"/>
    <w:pPr>
      <w:spacing w:line="560" w:lineRule="exact"/>
      <w:ind w:left="200" w:leftChars="200"/>
    </w:pPr>
    <w:rPr>
      <w:sz w:val="28"/>
    </w:rPr>
  </w:style>
  <w:style w:type="paragraph" w:styleId="55">
    <w:name w:val="Title"/>
    <w:basedOn w:val="1"/>
    <w:next w:val="1"/>
    <w:link w:val="91"/>
    <w:qFormat/>
    <w:uiPriority w:val="99"/>
    <w:pPr>
      <w:spacing w:before="240" w:after="60"/>
      <w:jc w:val="center"/>
      <w:outlineLvl w:val="0"/>
    </w:pPr>
    <w:rPr>
      <w:rFonts w:ascii="Cambria" w:hAnsi="Cambria"/>
      <w:b/>
      <w:bCs/>
      <w:kern w:val="2"/>
      <w:sz w:val="32"/>
      <w:szCs w:val="32"/>
    </w:rPr>
  </w:style>
  <w:style w:type="paragraph" w:styleId="56">
    <w:name w:val="annotation subject"/>
    <w:basedOn w:val="20"/>
    <w:next w:val="20"/>
    <w:link w:val="92"/>
    <w:qFormat/>
    <w:uiPriority w:val="99"/>
    <w:rPr>
      <w:rFonts w:ascii="Calibri" w:hAnsi="Calibri" w:cs="Calibri"/>
      <w:b/>
      <w:bCs/>
      <w:kern w:val="0"/>
      <w:sz w:val="24"/>
    </w:rPr>
  </w:style>
  <w:style w:type="table" w:styleId="58">
    <w:name w:val="Table Grid"/>
    <w:basedOn w:val="5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Hyperlink"/>
    <w:basedOn w:val="59"/>
    <w:qFormat/>
    <w:uiPriority w:val="99"/>
    <w:rPr>
      <w:rFonts w:cs="Times New Roman"/>
      <w:color w:val="0000FF"/>
      <w:u w:val="single"/>
    </w:rPr>
  </w:style>
  <w:style w:type="character" w:styleId="64">
    <w:name w:val="HTML Code"/>
    <w:basedOn w:val="59"/>
    <w:qFormat/>
    <w:uiPriority w:val="99"/>
    <w:rPr>
      <w:rFonts w:ascii="黑体" w:hAnsi="Courier New" w:eastAsia="黑体" w:cs="Times New Roman"/>
      <w:sz w:val="20"/>
    </w:rPr>
  </w:style>
  <w:style w:type="character" w:styleId="65">
    <w:name w:val="annotation reference"/>
    <w:basedOn w:val="59"/>
    <w:qFormat/>
    <w:uiPriority w:val="99"/>
    <w:rPr>
      <w:rFonts w:cs="Times New Roman"/>
    </w:rPr>
  </w:style>
  <w:style w:type="character" w:customStyle="1" w:styleId="66">
    <w:name w:val="Heading 1 Char"/>
    <w:basedOn w:val="59"/>
    <w:link w:val="5"/>
    <w:qFormat/>
    <w:locked/>
    <w:uiPriority w:val="99"/>
    <w:rPr>
      <w:rFonts w:cs="Times New Roman"/>
      <w:b/>
      <w:kern w:val="44"/>
      <w:sz w:val="44"/>
    </w:rPr>
  </w:style>
  <w:style w:type="character" w:customStyle="1" w:styleId="67">
    <w:name w:val="Heading 2 Char"/>
    <w:basedOn w:val="59"/>
    <w:link w:val="6"/>
    <w:qFormat/>
    <w:locked/>
    <w:uiPriority w:val="99"/>
    <w:rPr>
      <w:rFonts w:ascii="Arial" w:hAnsi="Arial" w:eastAsia="黑体" w:cs="Times New Roman"/>
      <w:b/>
      <w:sz w:val="32"/>
    </w:rPr>
  </w:style>
  <w:style w:type="character" w:customStyle="1" w:styleId="68">
    <w:name w:val="Heading 3 Char"/>
    <w:basedOn w:val="59"/>
    <w:link w:val="7"/>
    <w:qFormat/>
    <w:locked/>
    <w:uiPriority w:val="99"/>
    <w:rPr>
      <w:rFonts w:cs="Times New Roman"/>
      <w:b/>
      <w:sz w:val="32"/>
    </w:rPr>
  </w:style>
  <w:style w:type="character" w:customStyle="1" w:styleId="69">
    <w:name w:val="Heading 4 Char"/>
    <w:basedOn w:val="59"/>
    <w:link w:val="8"/>
    <w:qFormat/>
    <w:locked/>
    <w:uiPriority w:val="99"/>
    <w:rPr>
      <w:rFonts w:ascii="Arial" w:hAnsi="Arial" w:eastAsia="黑体" w:cs="Times New Roman"/>
      <w:b/>
      <w:kern w:val="2"/>
      <w:sz w:val="28"/>
    </w:rPr>
  </w:style>
  <w:style w:type="character" w:customStyle="1" w:styleId="70">
    <w:name w:val="Heading 5 Char"/>
    <w:basedOn w:val="59"/>
    <w:link w:val="9"/>
    <w:qFormat/>
    <w:locked/>
    <w:uiPriority w:val="99"/>
    <w:rPr>
      <w:rFonts w:cs="Times New Roman"/>
      <w:b/>
      <w:kern w:val="2"/>
      <w:sz w:val="28"/>
    </w:rPr>
  </w:style>
  <w:style w:type="character" w:customStyle="1" w:styleId="71">
    <w:name w:val="Heading 6 Char"/>
    <w:basedOn w:val="59"/>
    <w:link w:val="10"/>
    <w:qFormat/>
    <w:locked/>
    <w:uiPriority w:val="99"/>
    <w:rPr>
      <w:rFonts w:ascii="Arial" w:hAnsi="Arial" w:eastAsia="黑体" w:cs="Times New Roman"/>
      <w:b/>
      <w:kern w:val="2"/>
      <w:sz w:val="24"/>
    </w:rPr>
  </w:style>
  <w:style w:type="character" w:customStyle="1" w:styleId="72">
    <w:name w:val="Heading 7 Char"/>
    <w:basedOn w:val="59"/>
    <w:link w:val="11"/>
    <w:qFormat/>
    <w:locked/>
    <w:uiPriority w:val="99"/>
    <w:rPr>
      <w:rFonts w:cs="Times New Roman"/>
      <w:b/>
      <w:kern w:val="2"/>
      <w:sz w:val="24"/>
    </w:rPr>
  </w:style>
  <w:style w:type="character" w:customStyle="1" w:styleId="73">
    <w:name w:val="Heading 8 Char"/>
    <w:basedOn w:val="59"/>
    <w:link w:val="12"/>
    <w:qFormat/>
    <w:locked/>
    <w:uiPriority w:val="99"/>
    <w:rPr>
      <w:rFonts w:ascii="Arial" w:hAnsi="Arial" w:eastAsia="黑体" w:cs="Times New Roman"/>
      <w:kern w:val="2"/>
      <w:sz w:val="24"/>
    </w:rPr>
  </w:style>
  <w:style w:type="character" w:customStyle="1" w:styleId="74">
    <w:name w:val="Heading 9 Char"/>
    <w:basedOn w:val="59"/>
    <w:link w:val="13"/>
    <w:qFormat/>
    <w:locked/>
    <w:uiPriority w:val="99"/>
    <w:rPr>
      <w:rFonts w:ascii="Arial" w:hAnsi="Arial" w:eastAsia="黑体" w:cs="Times New Roman"/>
      <w:kern w:val="2"/>
      <w:sz w:val="21"/>
    </w:rPr>
  </w:style>
  <w:style w:type="character" w:customStyle="1" w:styleId="75">
    <w:name w:val="Body Text Indent Char"/>
    <w:basedOn w:val="59"/>
    <w:link w:val="3"/>
    <w:qFormat/>
    <w:locked/>
    <w:uiPriority w:val="99"/>
    <w:rPr>
      <w:rFonts w:ascii="Times New Roman" w:hAnsi="Times New Roman" w:cs="Times New Roman"/>
      <w:b/>
      <w:sz w:val="24"/>
    </w:rPr>
  </w:style>
  <w:style w:type="character" w:customStyle="1" w:styleId="76">
    <w:name w:val="Body Text First Indent 2 Char"/>
    <w:basedOn w:val="75"/>
    <w:link w:val="2"/>
    <w:qFormat/>
    <w:locked/>
    <w:uiPriority w:val="99"/>
  </w:style>
  <w:style w:type="character" w:customStyle="1" w:styleId="77">
    <w:name w:val="Document Map Char"/>
    <w:basedOn w:val="59"/>
    <w:link w:val="19"/>
    <w:qFormat/>
    <w:locked/>
    <w:uiPriority w:val="99"/>
    <w:rPr>
      <w:rFonts w:eastAsia="宋体" w:cs="Times New Roman"/>
      <w:kern w:val="2"/>
      <w:sz w:val="24"/>
      <w:lang w:val="en-US" w:eastAsia="zh-CN"/>
    </w:rPr>
  </w:style>
  <w:style w:type="character" w:customStyle="1" w:styleId="78">
    <w:name w:val="Comment Text Char"/>
    <w:basedOn w:val="59"/>
    <w:link w:val="20"/>
    <w:qFormat/>
    <w:locked/>
    <w:uiPriority w:val="99"/>
    <w:rPr>
      <w:rFonts w:eastAsia="宋体" w:cs="Times New Roman"/>
      <w:kern w:val="2"/>
      <w:sz w:val="24"/>
      <w:lang w:val="en-US" w:eastAsia="zh-CN"/>
    </w:rPr>
  </w:style>
  <w:style w:type="character" w:customStyle="1" w:styleId="79">
    <w:name w:val="Body Text 3 Char"/>
    <w:basedOn w:val="59"/>
    <w:link w:val="22"/>
    <w:qFormat/>
    <w:locked/>
    <w:uiPriority w:val="99"/>
    <w:rPr>
      <w:rFonts w:cs="Times New Roman"/>
      <w:kern w:val="2"/>
      <w:sz w:val="16"/>
    </w:rPr>
  </w:style>
  <w:style w:type="character" w:customStyle="1" w:styleId="80">
    <w:name w:val="Body Text Char"/>
    <w:basedOn w:val="59"/>
    <w:link w:val="23"/>
    <w:qFormat/>
    <w:locked/>
    <w:uiPriority w:val="99"/>
    <w:rPr>
      <w:rFonts w:ascii="宋体" w:hAnsi="宋体" w:eastAsia="宋体" w:cs="Times New Roman"/>
      <w:b/>
      <w:color w:val="000000"/>
      <w:kern w:val="2"/>
      <w:sz w:val="72"/>
      <w:lang w:val="en-US" w:eastAsia="zh-CN"/>
    </w:rPr>
  </w:style>
  <w:style w:type="character" w:customStyle="1" w:styleId="81">
    <w:name w:val="Body Text First Indent Char"/>
    <w:basedOn w:val="80"/>
    <w:link w:val="24"/>
    <w:qFormat/>
    <w:locked/>
    <w:uiPriority w:val="99"/>
    <w:rPr>
      <w:sz w:val="24"/>
    </w:rPr>
  </w:style>
  <w:style w:type="character" w:customStyle="1" w:styleId="82">
    <w:name w:val="Plain Text Char"/>
    <w:basedOn w:val="59"/>
    <w:link w:val="31"/>
    <w:qFormat/>
    <w:locked/>
    <w:uiPriority w:val="99"/>
    <w:rPr>
      <w:rFonts w:ascii="宋体" w:hAnsi="Courier New" w:eastAsia="宋体" w:cs="Times New Roman"/>
      <w:kern w:val="2"/>
      <w:sz w:val="21"/>
      <w:lang w:val="en-US" w:eastAsia="zh-CN"/>
    </w:rPr>
  </w:style>
  <w:style w:type="character" w:customStyle="1" w:styleId="83">
    <w:name w:val="Date Char"/>
    <w:basedOn w:val="59"/>
    <w:link w:val="34"/>
    <w:qFormat/>
    <w:locked/>
    <w:uiPriority w:val="99"/>
    <w:rPr>
      <w:rFonts w:cs="Times New Roman"/>
      <w:sz w:val="24"/>
      <w:szCs w:val="24"/>
    </w:rPr>
  </w:style>
  <w:style w:type="character" w:customStyle="1" w:styleId="84">
    <w:name w:val="Body Text Indent 2 Char"/>
    <w:basedOn w:val="59"/>
    <w:link w:val="35"/>
    <w:qFormat/>
    <w:locked/>
    <w:uiPriority w:val="99"/>
    <w:rPr>
      <w:rFonts w:ascii="宋体" w:eastAsia="新宋体" w:cs="Times New Roman"/>
      <w:sz w:val="24"/>
    </w:rPr>
  </w:style>
  <w:style w:type="character" w:customStyle="1" w:styleId="85">
    <w:name w:val="Balloon Text Char"/>
    <w:basedOn w:val="59"/>
    <w:link w:val="36"/>
    <w:qFormat/>
    <w:locked/>
    <w:uiPriority w:val="99"/>
    <w:rPr>
      <w:rFonts w:eastAsia="宋体" w:cs="Times New Roman"/>
      <w:kern w:val="2"/>
      <w:sz w:val="18"/>
      <w:lang w:val="en-US" w:eastAsia="zh-CN"/>
    </w:rPr>
  </w:style>
  <w:style w:type="character" w:customStyle="1" w:styleId="86">
    <w:name w:val="Footer Char"/>
    <w:basedOn w:val="59"/>
    <w:link w:val="37"/>
    <w:qFormat/>
    <w:locked/>
    <w:uiPriority w:val="99"/>
    <w:rPr>
      <w:rFonts w:eastAsia="宋体" w:cs="Times New Roman"/>
      <w:kern w:val="2"/>
      <w:sz w:val="18"/>
      <w:lang w:val="en-US" w:eastAsia="zh-CN"/>
    </w:rPr>
  </w:style>
  <w:style w:type="character" w:customStyle="1" w:styleId="87">
    <w:name w:val="Header Char"/>
    <w:basedOn w:val="59"/>
    <w:link w:val="38"/>
    <w:qFormat/>
    <w:locked/>
    <w:uiPriority w:val="99"/>
    <w:rPr>
      <w:rFonts w:eastAsia="宋体" w:cs="Times New Roman"/>
      <w:kern w:val="2"/>
      <w:sz w:val="18"/>
      <w:lang w:val="en-US" w:eastAsia="zh-CN"/>
    </w:rPr>
  </w:style>
  <w:style w:type="character" w:customStyle="1" w:styleId="88">
    <w:name w:val="Body Text Indent 3 Char"/>
    <w:basedOn w:val="59"/>
    <w:link w:val="45"/>
    <w:qFormat/>
    <w:locked/>
    <w:uiPriority w:val="99"/>
    <w:rPr>
      <w:rFonts w:cs="Times New Roman"/>
      <w:sz w:val="16"/>
      <w:szCs w:val="16"/>
    </w:rPr>
  </w:style>
  <w:style w:type="character" w:customStyle="1" w:styleId="89">
    <w:name w:val="Body Text 2 Char"/>
    <w:basedOn w:val="59"/>
    <w:link w:val="51"/>
    <w:qFormat/>
    <w:locked/>
    <w:uiPriority w:val="99"/>
    <w:rPr>
      <w:rFonts w:cs="Times New Roman"/>
      <w:sz w:val="24"/>
      <w:szCs w:val="24"/>
    </w:rPr>
  </w:style>
  <w:style w:type="character" w:customStyle="1" w:styleId="90">
    <w:name w:val="HTML Preformatted Char"/>
    <w:basedOn w:val="59"/>
    <w:link w:val="52"/>
    <w:semiHidden/>
    <w:qFormat/>
    <w:locked/>
    <w:uiPriority w:val="99"/>
    <w:rPr>
      <w:rFonts w:ascii="宋体" w:hAnsi="宋体" w:eastAsia="宋体" w:cs="Times New Roman"/>
      <w:sz w:val="24"/>
      <w:lang w:val="en-US" w:eastAsia="zh-CN"/>
    </w:rPr>
  </w:style>
  <w:style w:type="character" w:customStyle="1" w:styleId="91">
    <w:name w:val="Title Char"/>
    <w:basedOn w:val="59"/>
    <w:link w:val="55"/>
    <w:qFormat/>
    <w:locked/>
    <w:uiPriority w:val="99"/>
    <w:rPr>
      <w:rFonts w:ascii="Cambria" w:hAnsi="Cambria" w:cs="Times New Roman"/>
      <w:b/>
      <w:kern w:val="2"/>
      <w:sz w:val="32"/>
    </w:rPr>
  </w:style>
  <w:style w:type="character" w:customStyle="1" w:styleId="92">
    <w:name w:val="Comment Subject Char"/>
    <w:basedOn w:val="78"/>
    <w:link w:val="56"/>
    <w:qFormat/>
    <w:locked/>
    <w:uiPriority w:val="99"/>
    <w:rPr>
      <w:rFonts w:ascii="Calibri" w:hAnsi="Calibri"/>
      <w:b/>
    </w:rPr>
  </w:style>
  <w:style w:type="character" w:customStyle="1" w:styleId="93">
    <w:name w:val="Normal Indent Char"/>
    <w:link w:val="4"/>
    <w:qFormat/>
    <w:locked/>
    <w:uiPriority w:val="99"/>
    <w:rPr>
      <w:rFonts w:eastAsia="宋体"/>
      <w:kern w:val="2"/>
      <w:sz w:val="28"/>
      <w:lang w:val="en-US" w:eastAsia="zh-CN"/>
    </w:rPr>
  </w:style>
  <w:style w:type="character" w:customStyle="1" w:styleId="94">
    <w:name w:val="TOC 3 Char"/>
    <w:link w:val="30"/>
    <w:qFormat/>
    <w:locked/>
    <w:uiPriority w:val="99"/>
  </w:style>
  <w:style w:type="character" w:customStyle="1" w:styleId="95">
    <w:name w:val="HTML Preformatted Char1"/>
    <w:link w:val="52"/>
    <w:qFormat/>
    <w:locked/>
    <w:uiPriority w:val="99"/>
    <w:rPr>
      <w:rFonts w:ascii="宋体" w:eastAsia="宋体"/>
      <w:sz w:val="24"/>
    </w:rPr>
  </w:style>
  <w:style w:type="paragraph" w:customStyle="1" w:styleId="96">
    <w:name w:val="xl53"/>
    <w:next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character" w:customStyle="1" w:styleId="97">
    <w:name w:val="标题 2 Char"/>
    <w:qFormat/>
    <w:uiPriority w:val="99"/>
    <w:rPr>
      <w:rFonts w:ascii="宋体" w:hAnsi="宋体" w:eastAsia="宋体"/>
      <w:b/>
      <w:sz w:val="24"/>
    </w:rPr>
  </w:style>
  <w:style w:type="character" w:customStyle="1" w:styleId="98">
    <w:name w:val="页脚 Char"/>
    <w:qFormat/>
    <w:uiPriority w:val="99"/>
    <w:rPr>
      <w:rFonts w:ascii="Calibri" w:hAnsi="Calibri" w:eastAsia="宋体"/>
      <w:sz w:val="18"/>
    </w:rPr>
  </w:style>
  <w:style w:type="character" w:customStyle="1" w:styleId="99">
    <w:name w:val="页眉 Char"/>
    <w:qFormat/>
    <w:uiPriority w:val="99"/>
    <w:rPr>
      <w:rFonts w:ascii="Calibri" w:hAnsi="Calibri" w:eastAsia="宋体"/>
      <w:sz w:val="18"/>
    </w:rPr>
  </w:style>
  <w:style w:type="character" w:customStyle="1" w:styleId="100">
    <w:name w:val="-正文- Char"/>
    <w:link w:val="101"/>
    <w:qFormat/>
    <w:locked/>
    <w:uiPriority w:val="99"/>
    <w:rPr>
      <w:rFonts w:eastAsia="宋体"/>
      <w:kern w:val="2"/>
      <w:sz w:val="21"/>
      <w:lang w:val="en-US" w:eastAsia="zh-CN"/>
    </w:rPr>
  </w:style>
  <w:style w:type="paragraph" w:customStyle="1" w:styleId="101">
    <w:name w:val="-正文-"/>
    <w:basedOn w:val="1"/>
    <w:link w:val="100"/>
    <w:qFormat/>
    <w:uiPriority w:val="99"/>
    <w:pPr>
      <w:spacing w:line="360" w:lineRule="auto"/>
      <w:ind w:firstLine="420" w:firstLineChars="200"/>
    </w:pPr>
    <w:rPr>
      <w:kern w:val="2"/>
      <w:sz w:val="21"/>
      <w:szCs w:val="20"/>
    </w:rPr>
  </w:style>
  <w:style w:type="character" w:customStyle="1" w:styleId="102">
    <w:name w:val="正文主体 Char"/>
    <w:link w:val="103"/>
    <w:qFormat/>
    <w:locked/>
    <w:uiPriority w:val="99"/>
    <w:rPr>
      <w:rFonts w:eastAsia="宋体"/>
      <w:kern w:val="2"/>
      <w:sz w:val="24"/>
      <w:lang w:val="en-US" w:eastAsia="zh-CN"/>
    </w:rPr>
  </w:style>
  <w:style w:type="paragraph" w:customStyle="1" w:styleId="103">
    <w:name w:val="正文主体"/>
    <w:basedOn w:val="104"/>
    <w:link w:val="102"/>
    <w:qFormat/>
    <w:uiPriority w:val="99"/>
    <w:rPr>
      <w:kern w:val="2"/>
      <w:szCs w:val="20"/>
    </w:rPr>
  </w:style>
  <w:style w:type="paragraph" w:customStyle="1" w:styleId="104">
    <w:name w:val="样式  + 首行缩进:  2 字符"/>
    <w:basedOn w:val="105"/>
    <w:qFormat/>
    <w:uiPriority w:val="99"/>
    <w:pPr>
      <w:ind w:firstLine="480"/>
    </w:pPr>
  </w:style>
  <w:style w:type="paragraph" w:customStyle="1" w:styleId="105">
    <w:name w:val="9"/>
    <w:basedOn w:val="1"/>
    <w:next w:val="23"/>
    <w:qFormat/>
    <w:uiPriority w:val="99"/>
    <w:pPr>
      <w:spacing w:before="60" w:after="60" w:line="360" w:lineRule="auto"/>
      <w:ind w:firstLine="200" w:firstLineChars="200"/>
    </w:pPr>
  </w:style>
  <w:style w:type="character" w:customStyle="1" w:styleId="106">
    <w:name w:val="List Paragraph Char1"/>
    <w:link w:val="107"/>
    <w:qFormat/>
    <w:locked/>
    <w:uiPriority w:val="99"/>
    <w:rPr>
      <w:rFonts w:ascii="Calibri" w:hAnsi="Calibri" w:eastAsia="宋体"/>
      <w:kern w:val="2"/>
      <w:sz w:val="22"/>
      <w:lang w:val="en-US" w:eastAsia="zh-CN"/>
    </w:rPr>
  </w:style>
  <w:style w:type="paragraph" w:styleId="107">
    <w:name w:val="List Paragraph"/>
    <w:basedOn w:val="1"/>
    <w:link w:val="106"/>
    <w:qFormat/>
    <w:uiPriority w:val="99"/>
    <w:pPr>
      <w:ind w:firstLine="420" w:firstLineChars="200"/>
    </w:pPr>
    <w:rPr>
      <w:rFonts w:ascii="Calibri" w:hAnsi="Calibri"/>
      <w:kern w:val="2"/>
      <w:sz w:val="22"/>
      <w:szCs w:val="20"/>
    </w:rPr>
  </w:style>
  <w:style w:type="character" w:customStyle="1" w:styleId="108">
    <w:name w:val="文档结构图 Char Char"/>
    <w:link w:val="109"/>
    <w:qFormat/>
    <w:locked/>
    <w:uiPriority w:val="99"/>
    <w:rPr>
      <w:rFonts w:ascii="宋体" w:hAnsi="Calibri"/>
      <w:kern w:val="2"/>
      <w:sz w:val="18"/>
    </w:rPr>
  </w:style>
  <w:style w:type="paragraph" w:customStyle="1" w:styleId="109">
    <w:name w:val="文档结构图1"/>
    <w:basedOn w:val="1"/>
    <w:link w:val="108"/>
    <w:qFormat/>
    <w:uiPriority w:val="99"/>
    <w:pPr>
      <w:spacing w:line="360" w:lineRule="auto"/>
      <w:ind w:firstLine="200" w:firstLineChars="200"/>
    </w:pPr>
    <w:rPr>
      <w:rFonts w:ascii="宋体" w:hAnsi="Calibri"/>
      <w:kern w:val="2"/>
      <w:sz w:val="18"/>
      <w:szCs w:val="20"/>
    </w:rPr>
  </w:style>
  <w:style w:type="character" w:customStyle="1" w:styleId="110">
    <w:name w:val="-标题2- Char"/>
    <w:link w:val="111"/>
    <w:qFormat/>
    <w:locked/>
    <w:uiPriority w:val="99"/>
    <w:rPr>
      <w:rFonts w:ascii="宋体" w:eastAsia="宋体"/>
      <w:b/>
      <w:kern w:val="44"/>
      <w:sz w:val="28"/>
    </w:rPr>
  </w:style>
  <w:style w:type="paragraph" w:customStyle="1" w:styleId="111">
    <w:name w:val="-标题2-"/>
    <w:basedOn w:val="1"/>
    <w:link w:val="110"/>
    <w:qFormat/>
    <w:uiPriority w:val="99"/>
    <w:pPr>
      <w:keepNext/>
      <w:keepLines/>
      <w:tabs>
        <w:tab w:val="left" w:pos="568"/>
      </w:tabs>
      <w:spacing w:before="100" w:after="100" w:line="360" w:lineRule="auto"/>
      <w:ind w:left="1135" w:hanging="567"/>
      <w:outlineLvl w:val="3"/>
    </w:pPr>
    <w:rPr>
      <w:rFonts w:ascii="宋体"/>
      <w:b/>
      <w:kern w:val="44"/>
      <w:sz w:val="28"/>
      <w:szCs w:val="20"/>
    </w:rPr>
  </w:style>
  <w:style w:type="character" w:customStyle="1" w:styleId="112">
    <w:name w:val="纯文本 Char2"/>
    <w:qFormat/>
    <w:uiPriority w:val="99"/>
    <w:rPr>
      <w:rFonts w:ascii="宋体" w:hAnsi="Courier New" w:eastAsia="宋体"/>
      <w:kern w:val="2"/>
      <w:sz w:val="21"/>
      <w:lang w:val="en-US" w:eastAsia="zh-CN"/>
    </w:rPr>
  </w:style>
  <w:style w:type="character" w:customStyle="1" w:styleId="113">
    <w:name w:val="标题 3 Char"/>
    <w:qFormat/>
    <w:uiPriority w:val="99"/>
    <w:rPr>
      <w:rFonts w:ascii="宋体" w:hAnsi="宋体" w:eastAsia="宋体"/>
      <w:b/>
      <w:sz w:val="24"/>
    </w:rPr>
  </w:style>
  <w:style w:type="character" w:customStyle="1" w:styleId="114">
    <w:name w:val="正文，首行缩进: Char"/>
    <w:link w:val="115"/>
    <w:qFormat/>
    <w:locked/>
    <w:uiPriority w:val="99"/>
    <w:rPr>
      <w:rFonts w:ascii="Arial" w:hAnsi="Arial"/>
      <w:kern w:val="2"/>
      <w:sz w:val="24"/>
    </w:rPr>
  </w:style>
  <w:style w:type="paragraph" w:customStyle="1" w:styleId="115">
    <w:name w:val="正文，首行缩进:"/>
    <w:basedOn w:val="1"/>
    <w:link w:val="114"/>
    <w:qFormat/>
    <w:uiPriority w:val="99"/>
    <w:pPr>
      <w:spacing w:line="360" w:lineRule="auto"/>
      <w:ind w:firstLine="480" w:firstLineChars="200"/>
    </w:pPr>
    <w:rPr>
      <w:rFonts w:ascii="Arial" w:hAnsi="Arial"/>
      <w:kern w:val="2"/>
      <w:szCs w:val="20"/>
    </w:rPr>
  </w:style>
  <w:style w:type="character" w:customStyle="1" w:styleId="116">
    <w:name w:val="表格文字 Char"/>
    <w:link w:val="117"/>
    <w:qFormat/>
    <w:locked/>
    <w:uiPriority w:val="99"/>
    <w:rPr>
      <w:sz w:val="24"/>
    </w:rPr>
  </w:style>
  <w:style w:type="paragraph" w:customStyle="1" w:styleId="117">
    <w:name w:val="表格文字"/>
    <w:basedOn w:val="1"/>
    <w:link w:val="116"/>
    <w:qFormat/>
    <w:uiPriority w:val="99"/>
    <w:pPr>
      <w:textAlignment w:val="top"/>
    </w:pPr>
    <w:rPr>
      <w:szCs w:val="20"/>
    </w:rPr>
  </w:style>
  <w:style w:type="character" w:customStyle="1" w:styleId="118">
    <w:name w:val="G-正文缩进 Char"/>
    <w:link w:val="119"/>
    <w:qFormat/>
    <w:locked/>
    <w:uiPriority w:val="99"/>
    <w:rPr>
      <w:kern w:val="2"/>
      <w:sz w:val="24"/>
    </w:rPr>
  </w:style>
  <w:style w:type="paragraph" w:customStyle="1" w:styleId="119">
    <w:name w:val="G-正文缩进"/>
    <w:basedOn w:val="1"/>
    <w:link w:val="118"/>
    <w:qFormat/>
    <w:uiPriority w:val="99"/>
    <w:pPr>
      <w:spacing w:line="312" w:lineRule="auto"/>
      <w:ind w:firstLine="480" w:firstLineChars="200"/>
    </w:pPr>
    <w:rPr>
      <w:kern w:val="2"/>
      <w:szCs w:val="20"/>
    </w:rPr>
  </w:style>
  <w:style w:type="character" w:customStyle="1" w:styleId="120">
    <w:name w:val="正文文本缩进 2 Char"/>
    <w:link w:val="121"/>
    <w:qFormat/>
    <w:locked/>
    <w:uiPriority w:val="99"/>
    <w:rPr>
      <w:rFonts w:ascii="Calibri" w:hAnsi="Calibri"/>
      <w:kern w:val="2"/>
      <w:sz w:val="22"/>
    </w:rPr>
  </w:style>
  <w:style w:type="paragraph" w:customStyle="1" w:styleId="121">
    <w:name w:val="正文文本缩进 21"/>
    <w:basedOn w:val="1"/>
    <w:link w:val="120"/>
    <w:qFormat/>
    <w:uiPriority w:val="99"/>
    <w:pPr>
      <w:spacing w:after="120" w:line="480" w:lineRule="auto"/>
      <w:ind w:left="420" w:leftChars="200"/>
    </w:pPr>
    <w:rPr>
      <w:rFonts w:ascii="Calibri" w:hAnsi="Calibri"/>
      <w:kern w:val="2"/>
      <w:sz w:val="22"/>
      <w:szCs w:val="20"/>
    </w:rPr>
  </w:style>
  <w:style w:type="character" w:customStyle="1" w:styleId="122">
    <w:name w:val="my正文 Char"/>
    <w:link w:val="123"/>
    <w:qFormat/>
    <w:locked/>
    <w:uiPriority w:val="99"/>
    <w:rPr>
      <w:kern w:val="2"/>
      <w:sz w:val="24"/>
    </w:rPr>
  </w:style>
  <w:style w:type="paragraph" w:customStyle="1" w:styleId="123">
    <w:name w:val="my正文"/>
    <w:basedOn w:val="1"/>
    <w:link w:val="122"/>
    <w:qFormat/>
    <w:uiPriority w:val="99"/>
    <w:pPr>
      <w:spacing w:line="360" w:lineRule="auto"/>
      <w:ind w:firstLine="200" w:firstLineChars="200"/>
    </w:pPr>
    <w:rPr>
      <w:kern w:val="2"/>
      <w:szCs w:val="20"/>
    </w:rPr>
  </w:style>
  <w:style w:type="character" w:customStyle="1" w:styleId="124">
    <w:name w:val="批注文字 Char"/>
    <w:qFormat/>
    <w:uiPriority w:val="99"/>
    <w:rPr>
      <w:kern w:val="2"/>
      <w:sz w:val="22"/>
    </w:rPr>
  </w:style>
  <w:style w:type="character" w:customStyle="1" w:styleId="125">
    <w:name w:val="正文文本 Char1"/>
    <w:qFormat/>
    <w:uiPriority w:val="99"/>
    <w:rPr>
      <w:rFonts w:ascii="宋体" w:hAnsi="宋体" w:eastAsia="宋体"/>
      <w:b/>
      <w:color w:val="000000"/>
      <w:sz w:val="72"/>
    </w:rPr>
  </w:style>
  <w:style w:type="character" w:customStyle="1" w:styleId="126">
    <w:name w:val="正文首行缩进 Char1"/>
    <w:qFormat/>
    <w:uiPriority w:val="99"/>
    <w:rPr>
      <w:rFonts w:eastAsia="Times New Roman"/>
      <w:kern w:val="2"/>
      <w:sz w:val="24"/>
    </w:rPr>
  </w:style>
  <w:style w:type="character" w:customStyle="1" w:styleId="127">
    <w:name w:val="普通文字 Char Char3"/>
    <w:qFormat/>
    <w:uiPriority w:val="99"/>
    <w:rPr>
      <w:rFonts w:ascii="宋体" w:hAnsi="Courier New" w:eastAsia="宋体"/>
      <w:kern w:val="2"/>
      <w:sz w:val="21"/>
      <w:lang w:val="en-US" w:eastAsia="zh-CN"/>
    </w:rPr>
  </w:style>
  <w:style w:type="character" w:customStyle="1" w:styleId="128">
    <w:name w:val="样式 段前: 0.5 行 段后: 0.5 行 Char Char"/>
    <w:link w:val="129"/>
    <w:qFormat/>
    <w:locked/>
    <w:uiPriority w:val="99"/>
    <w:rPr>
      <w:rFonts w:ascii="FangSong_GB2312" w:eastAsia="Times New Roman"/>
      <w:color w:val="000000"/>
      <w:sz w:val="28"/>
    </w:rPr>
  </w:style>
  <w:style w:type="paragraph" w:customStyle="1" w:styleId="129">
    <w:name w:val="样式 段前: 0.5 行 段后: 0.5 行"/>
    <w:basedOn w:val="1"/>
    <w:link w:val="128"/>
    <w:qFormat/>
    <w:uiPriority w:val="99"/>
    <w:pPr>
      <w:adjustRightInd w:val="0"/>
      <w:snapToGrid w:val="0"/>
      <w:spacing w:beforeLines="50" w:afterLines="50" w:line="360" w:lineRule="auto"/>
      <w:ind w:firstLine="480" w:firstLineChars="200"/>
    </w:pPr>
    <w:rPr>
      <w:rFonts w:ascii="FangSong_GB2312" w:eastAsia="Times New Roman"/>
      <w:color w:val="000000"/>
      <w:sz w:val="28"/>
      <w:szCs w:val="20"/>
    </w:rPr>
  </w:style>
  <w:style w:type="character" w:customStyle="1" w:styleId="130">
    <w:name w:val="font31"/>
    <w:qFormat/>
    <w:uiPriority w:val="99"/>
    <w:rPr>
      <w:rFonts w:ascii="Calibri" w:hAnsi="Calibri"/>
      <w:color w:val="000000"/>
      <w:sz w:val="21"/>
      <w:u w:val="none"/>
    </w:rPr>
  </w:style>
  <w:style w:type="character" w:customStyle="1" w:styleId="131">
    <w:name w:val="标题 6 Char"/>
    <w:qFormat/>
    <w:uiPriority w:val="99"/>
    <w:rPr>
      <w:rFonts w:ascii="Arial" w:hAnsi="Arial" w:eastAsia="黑体"/>
      <w:b/>
      <w:sz w:val="24"/>
    </w:rPr>
  </w:style>
  <w:style w:type="character" w:customStyle="1" w:styleId="132">
    <w:name w:val="三级目录 Char Char"/>
    <w:link w:val="133"/>
    <w:qFormat/>
    <w:locked/>
    <w:uiPriority w:val="99"/>
    <w:rPr>
      <w:rFonts w:ascii="Cambria" w:hAnsi="Cambria" w:eastAsia="楷体"/>
      <w:b/>
      <w:color w:val="000000"/>
      <w:sz w:val="26"/>
      <w:lang w:val="en-GB"/>
    </w:rPr>
  </w:style>
  <w:style w:type="paragraph" w:customStyle="1" w:styleId="133">
    <w:name w:val="三级目录"/>
    <w:basedOn w:val="6"/>
    <w:link w:val="132"/>
    <w:qFormat/>
    <w:uiPriority w:val="99"/>
    <w:pPr>
      <w:spacing w:before="240" w:after="0" w:line="276" w:lineRule="auto"/>
      <w:ind w:left="1418" w:hanging="567"/>
    </w:pPr>
    <w:rPr>
      <w:rFonts w:ascii="Cambria" w:hAnsi="Cambria" w:eastAsia="楷体"/>
      <w:bCs w:val="0"/>
      <w:color w:val="000000"/>
      <w:sz w:val="26"/>
      <w:szCs w:val="20"/>
      <w:lang w:val="en-GB"/>
    </w:rPr>
  </w:style>
  <w:style w:type="character" w:customStyle="1" w:styleId="134">
    <w:name w:val="正文文本缩进 2 Char1"/>
    <w:link w:val="135"/>
    <w:qFormat/>
    <w:locked/>
    <w:uiPriority w:val="99"/>
    <w:rPr>
      <w:rFonts w:ascii="Calibri" w:hAnsi="Calibri"/>
      <w:kern w:val="2"/>
      <w:sz w:val="22"/>
    </w:rPr>
  </w:style>
  <w:style w:type="paragraph" w:customStyle="1" w:styleId="135">
    <w:name w:val="正文文本缩进 22"/>
    <w:basedOn w:val="1"/>
    <w:link w:val="134"/>
    <w:qFormat/>
    <w:uiPriority w:val="99"/>
    <w:pPr>
      <w:spacing w:after="120" w:line="480" w:lineRule="auto"/>
      <w:ind w:left="420" w:leftChars="200" w:firstLine="200" w:firstLineChars="200"/>
    </w:pPr>
    <w:rPr>
      <w:rFonts w:ascii="Calibri" w:hAnsi="Calibri"/>
      <w:kern w:val="2"/>
      <w:sz w:val="22"/>
      <w:szCs w:val="20"/>
    </w:rPr>
  </w:style>
  <w:style w:type="character" w:customStyle="1" w:styleId="136">
    <w:name w:val="方案正文 Char Char"/>
    <w:link w:val="137"/>
    <w:qFormat/>
    <w:locked/>
    <w:uiPriority w:val="99"/>
    <w:rPr>
      <w:rFonts w:eastAsia="宋体"/>
      <w:kern w:val="2"/>
      <w:sz w:val="24"/>
      <w:lang w:val="en-US" w:eastAsia="zh-CN"/>
    </w:rPr>
  </w:style>
  <w:style w:type="paragraph" w:customStyle="1" w:styleId="137">
    <w:name w:val="方案正文"/>
    <w:basedOn w:val="1"/>
    <w:link w:val="136"/>
    <w:qFormat/>
    <w:uiPriority w:val="99"/>
    <w:pPr>
      <w:adjustRightInd w:val="0"/>
      <w:snapToGrid w:val="0"/>
      <w:spacing w:line="360" w:lineRule="auto"/>
      <w:ind w:firstLine="480" w:firstLineChars="200"/>
    </w:pPr>
    <w:rPr>
      <w:kern w:val="2"/>
      <w:szCs w:val="20"/>
    </w:rPr>
  </w:style>
  <w:style w:type="character" w:customStyle="1" w:styleId="138">
    <w:name w:val="批注文字 Char1"/>
    <w:semiHidden/>
    <w:qFormat/>
    <w:uiPriority w:val="99"/>
    <w:rPr>
      <w:rFonts w:ascii="Calibri" w:hAnsi="Calibri" w:eastAsia="宋体"/>
      <w:sz w:val="24"/>
    </w:rPr>
  </w:style>
  <w:style w:type="character" w:customStyle="1" w:styleId="139">
    <w:name w:val="规范正文 Char"/>
    <w:link w:val="140"/>
    <w:qFormat/>
    <w:locked/>
    <w:uiPriority w:val="99"/>
    <w:rPr>
      <w:rFonts w:eastAsia="宋体"/>
      <w:sz w:val="24"/>
      <w:lang w:val="en-US" w:eastAsia="zh-CN"/>
    </w:rPr>
  </w:style>
  <w:style w:type="paragraph" w:customStyle="1" w:styleId="140">
    <w:name w:val="规范正文"/>
    <w:basedOn w:val="1"/>
    <w:link w:val="139"/>
    <w:qFormat/>
    <w:uiPriority w:val="99"/>
    <w:pPr>
      <w:adjustRightInd w:val="0"/>
      <w:spacing w:beforeLines="50" w:line="360" w:lineRule="auto"/>
      <w:ind w:firstLine="480" w:firstLineChars="200"/>
      <w:textAlignment w:val="baseline"/>
    </w:pPr>
    <w:rPr>
      <w:szCs w:val="20"/>
    </w:rPr>
  </w:style>
  <w:style w:type="character" w:customStyle="1" w:styleId="141">
    <w:name w:val="标题 8 Char"/>
    <w:qFormat/>
    <w:uiPriority w:val="99"/>
    <w:rPr>
      <w:rFonts w:ascii="Arial" w:hAnsi="Arial" w:eastAsia="黑体"/>
      <w:sz w:val="24"/>
    </w:rPr>
  </w:style>
  <w:style w:type="character" w:customStyle="1" w:styleId="142">
    <w:name w:val="彩色列表 - 强调文字颜色 1 Char"/>
    <w:link w:val="143"/>
    <w:qFormat/>
    <w:locked/>
    <w:uiPriority w:val="99"/>
    <w:rPr>
      <w:rFonts w:ascii="Calibri" w:hAnsi="Calibri"/>
      <w:kern w:val="2"/>
      <w:sz w:val="22"/>
    </w:rPr>
  </w:style>
  <w:style w:type="paragraph" w:customStyle="1" w:styleId="143">
    <w:name w:val="彩色列表 - 强调文字颜色 11"/>
    <w:basedOn w:val="1"/>
    <w:link w:val="142"/>
    <w:qFormat/>
    <w:uiPriority w:val="99"/>
    <w:pPr>
      <w:ind w:firstLine="420" w:firstLineChars="200"/>
    </w:pPr>
    <w:rPr>
      <w:rFonts w:ascii="Calibri" w:hAnsi="Calibri"/>
      <w:kern w:val="2"/>
      <w:sz w:val="22"/>
      <w:szCs w:val="20"/>
    </w:rPr>
  </w:style>
  <w:style w:type="character" w:customStyle="1" w:styleId="144">
    <w:name w:val="Table Text Char1"/>
    <w:link w:val="145"/>
    <w:qFormat/>
    <w:locked/>
    <w:uiPriority w:val="99"/>
    <w:rPr>
      <w:rFonts w:ascii="Arial" w:hAnsi="Arial" w:eastAsia="宋体"/>
      <w:sz w:val="18"/>
      <w:lang w:val="en-US" w:eastAsia="zh-CN"/>
    </w:rPr>
  </w:style>
  <w:style w:type="paragraph" w:customStyle="1" w:styleId="145">
    <w:name w:val="Table Text"/>
    <w:basedOn w:val="1"/>
    <w:link w:val="144"/>
    <w:qFormat/>
    <w:uiPriority w:val="99"/>
    <w:pPr>
      <w:tabs>
        <w:tab w:val="decimal" w:pos="0"/>
      </w:tabs>
      <w:autoSpaceDE w:val="0"/>
      <w:autoSpaceDN w:val="0"/>
      <w:adjustRightInd w:val="0"/>
      <w:spacing w:before="80" w:after="80"/>
    </w:pPr>
    <w:rPr>
      <w:rFonts w:ascii="Arial" w:hAnsi="Arial"/>
      <w:sz w:val="18"/>
      <w:szCs w:val="20"/>
    </w:rPr>
  </w:style>
  <w:style w:type="character" w:customStyle="1" w:styleId="146">
    <w:name w:val="font01"/>
    <w:qFormat/>
    <w:uiPriority w:val="99"/>
    <w:rPr>
      <w:rFonts w:ascii="Arial" w:hAnsi="Arial"/>
      <w:color w:val="000000"/>
      <w:sz w:val="20"/>
      <w:u w:val="none"/>
    </w:rPr>
  </w:style>
  <w:style w:type="character" w:customStyle="1" w:styleId="147">
    <w:name w:val="正文段 Char Char"/>
    <w:link w:val="148"/>
    <w:qFormat/>
    <w:locked/>
    <w:uiPriority w:val="99"/>
    <w:rPr>
      <w:rFonts w:ascii="宋体" w:hAnsi="Calibri"/>
      <w:kern w:val="2"/>
      <w:sz w:val="22"/>
    </w:rPr>
  </w:style>
  <w:style w:type="paragraph" w:customStyle="1" w:styleId="148">
    <w:name w:val="正文段"/>
    <w:basedOn w:val="1"/>
    <w:link w:val="147"/>
    <w:qFormat/>
    <w:uiPriority w:val="99"/>
    <w:pPr>
      <w:adjustRightInd w:val="0"/>
      <w:snapToGrid w:val="0"/>
      <w:spacing w:line="360" w:lineRule="atLeast"/>
      <w:ind w:firstLine="454"/>
      <w:textAlignment w:val="bottom"/>
    </w:pPr>
    <w:rPr>
      <w:rFonts w:ascii="宋体" w:hAnsi="Calibri"/>
      <w:kern w:val="2"/>
      <w:sz w:val="22"/>
      <w:szCs w:val="20"/>
    </w:rPr>
  </w:style>
  <w:style w:type="character" w:customStyle="1" w:styleId="149">
    <w:name w:val="正文文本缩进 3 Char"/>
    <w:link w:val="150"/>
    <w:qFormat/>
    <w:locked/>
    <w:uiPriority w:val="99"/>
    <w:rPr>
      <w:rFonts w:ascii="Calibri" w:hAnsi="Calibri"/>
      <w:kern w:val="2"/>
      <w:sz w:val="16"/>
    </w:rPr>
  </w:style>
  <w:style w:type="paragraph" w:customStyle="1" w:styleId="150">
    <w:name w:val="正文文本缩进 31"/>
    <w:basedOn w:val="1"/>
    <w:link w:val="149"/>
    <w:qFormat/>
    <w:uiPriority w:val="99"/>
    <w:pPr>
      <w:spacing w:after="120" w:line="360" w:lineRule="auto"/>
      <w:ind w:left="420" w:leftChars="200" w:firstLine="200" w:firstLineChars="200"/>
    </w:pPr>
    <w:rPr>
      <w:rFonts w:ascii="Calibri" w:hAnsi="Calibri"/>
      <w:kern w:val="2"/>
      <w:sz w:val="16"/>
      <w:szCs w:val="20"/>
    </w:rPr>
  </w:style>
  <w:style w:type="character" w:customStyle="1" w:styleId="151">
    <w:name w:val="Code Line Char"/>
    <w:link w:val="152"/>
    <w:qFormat/>
    <w:locked/>
    <w:uiPriority w:val="99"/>
    <w:rPr>
      <w:rFonts w:ascii="Calibri" w:hAnsi="Calibri" w:eastAsia="宋体"/>
      <w:i/>
      <w:sz w:val="24"/>
      <w:shd w:val="clear" w:color="auto" w:fill="C6D9F1"/>
    </w:rPr>
  </w:style>
  <w:style w:type="paragraph" w:customStyle="1" w:styleId="152">
    <w:name w:val="Code Line"/>
    <w:basedOn w:val="1"/>
    <w:link w:val="151"/>
    <w:qFormat/>
    <w:uiPriority w:val="99"/>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Cs w:val="20"/>
      <w:shd w:val="clear" w:color="auto" w:fill="C6D9F1"/>
    </w:rPr>
  </w:style>
  <w:style w:type="character" w:customStyle="1" w:styleId="153">
    <w:name w:val="正文2 Char"/>
    <w:link w:val="154"/>
    <w:qFormat/>
    <w:locked/>
    <w:uiPriority w:val="99"/>
    <w:rPr>
      <w:kern w:val="2"/>
      <w:sz w:val="24"/>
    </w:rPr>
  </w:style>
  <w:style w:type="paragraph" w:customStyle="1" w:styleId="154">
    <w:name w:val="正文2"/>
    <w:basedOn w:val="1"/>
    <w:link w:val="153"/>
    <w:qFormat/>
    <w:uiPriority w:val="99"/>
    <w:pPr>
      <w:spacing w:before="156" w:line="360" w:lineRule="auto"/>
      <w:ind w:firstLine="510" w:firstLineChars="200"/>
    </w:pPr>
    <w:rPr>
      <w:kern w:val="2"/>
      <w:szCs w:val="20"/>
    </w:rPr>
  </w:style>
  <w:style w:type="character" w:customStyle="1" w:styleId="155">
    <w:name w:val="标题 1 Char"/>
    <w:qFormat/>
    <w:uiPriority w:val="99"/>
    <w:rPr>
      <w:rFonts w:ascii="宋体" w:hAnsi="宋体" w:eastAsia="宋体"/>
      <w:b/>
      <w:kern w:val="44"/>
      <w:sz w:val="28"/>
    </w:rPr>
  </w:style>
  <w:style w:type="character" w:customStyle="1" w:styleId="156">
    <w:name w:val="GP正文(无首行缩进) Char"/>
    <w:link w:val="157"/>
    <w:qFormat/>
    <w:locked/>
    <w:uiPriority w:val="99"/>
    <w:rPr>
      <w:rFonts w:hAnsi="宋体"/>
      <w:kern w:val="2"/>
      <w:sz w:val="24"/>
    </w:rPr>
  </w:style>
  <w:style w:type="paragraph" w:customStyle="1" w:styleId="157">
    <w:name w:val="GP正文(无首行缩进)"/>
    <w:basedOn w:val="158"/>
    <w:link w:val="156"/>
    <w:qFormat/>
    <w:uiPriority w:val="99"/>
    <w:pPr>
      <w:ind w:firstLine="480"/>
    </w:pPr>
    <w:rPr>
      <w:rFonts w:hAnsi="宋体"/>
      <w:kern w:val="2"/>
      <w:szCs w:val="20"/>
    </w:rPr>
  </w:style>
  <w:style w:type="paragraph" w:customStyle="1" w:styleId="158">
    <w:name w:val="GP正文(首行缩进)"/>
    <w:basedOn w:val="1"/>
    <w:qFormat/>
    <w:uiPriority w:val="99"/>
    <w:pPr>
      <w:spacing w:line="360" w:lineRule="auto"/>
      <w:ind w:firstLine="200" w:firstLineChars="200"/>
    </w:pPr>
    <w:rPr>
      <w:szCs w:val="21"/>
    </w:rPr>
  </w:style>
  <w:style w:type="character" w:customStyle="1" w:styleId="159">
    <w:name w:val="Notes Text in Table Char"/>
    <w:link w:val="160"/>
    <w:qFormat/>
    <w:locked/>
    <w:uiPriority w:val="99"/>
    <w:rPr>
      <w:rFonts w:ascii="Arial" w:hAnsi="Arial" w:eastAsia="楷体_GB2312"/>
      <w:sz w:val="18"/>
      <w:lang w:val="en-US" w:eastAsia="zh-CN"/>
    </w:rPr>
  </w:style>
  <w:style w:type="paragraph" w:customStyle="1" w:styleId="160">
    <w:name w:val="Notes Text in Table"/>
    <w:link w:val="159"/>
    <w:qFormat/>
    <w:uiPriority w:val="99"/>
    <w:pPr>
      <w:keepLines/>
      <w:spacing w:before="80" w:after="80"/>
    </w:pPr>
    <w:rPr>
      <w:rFonts w:ascii="Arial" w:hAnsi="Arial" w:eastAsia="楷体_GB2312" w:cs="Arial"/>
      <w:kern w:val="0"/>
      <w:sz w:val="18"/>
      <w:szCs w:val="18"/>
      <w:lang w:val="en-US" w:eastAsia="zh-CN" w:bidi="ar-SA"/>
    </w:rPr>
  </w:style>
  <w:style w:type="character" w:customStyle="1" w:styleId="161">
    <w:name w:val="font51"/>
    <w:qFormat/>
    <w:uiPriority w:val="99"/>
    <w:rPr>
      <w:rFonts w:ascii="微软雅黑" w:hAnsi="微软雅黑" w:eastAsia="微软雅黑"/>
      <w:b/>
      <w:color w:val="FF0000"/>
      <w:sz w:val="24"/>
      <w:u w:val="none"/>
    </w:rPr>
  </w:style>
  <w:style w:type="character" w:customStyle="1" w:styleId="162">
    <w:name w:val="标准正文 Char"/>
    <w:link w:val="163"/>
    <w:qFormat/>
    <w:locked/>
    <w:uiPriority w:val="99"/>
    <w:rPr>
      <w:kern w:val="2"/>
      <w:sz w:val="24"/>
    </w:rPr>
  </w:style>
  <w:style w:type="paragraph" w:customStyle="1" w:styleId="163">
    <w:name w:val="标准正文"/>
    <w:basedOn w:val="1"/>
    <w:link w:val="162"/>
    <w:qFormat/>
    <w:uiPriority w:val="99"/>
    <w:pPr>
      <w:spacing w:before="156" w:after="156" w:line="360" w:lineRule="auto"/>
      <w:ind w:firstLine="480" w:firstLineChars="200"/>
    </w:pPr>
    <w:rPr>
      <w:kern w:val="2"/>
      <w:szCs w:val="20"/>
    </w:rPr>
  </w:style>
  <w:style w:type="character" w:customStyle="1" w:styleId="164">
    <w:name w:val="标题 3 Char1"/>
    <w:qFormat/>
    <w:uiPriority w:val="99"/>
    <w:rPr>
      <w:b/>
      <w:sz w:val="32"/>
    </w:rPr>
  </w:style>
  <w:style w:type="character" w:customStyle="1" w:styleId="165">
    <w:name w:val="3级标题 Char"/>
    <w:link w:val="166"/>
    <w:qFormat/>
    <w:locked/>
    <w:uiPriority w:val="99"/>
    <w:rPr>
      <w:rFonts w:ascii="黑体" w:eastAsia="黑体"/>
      <w:b/>
      <w:sz w:val="36"/>
      <w:lang w:eastAsia="en-US"/>
    </w:rPr>
  </w:style>
  <w:style w:type="paragraph" w:customStyle="1" w:styleId="166">
    <w:name w:val="3级标题"/>
    <w:basedOn w:val="167"/>
    <w:link w:val="165"/>
    <w:qFormat/>
    <w:uiPriority w:val="99"/>
    <w:pPr>
      <w:keepLines/>
      <w:tabs>
        <w:tab w:val="left" w:pos="360"/>
      </w:tabs>
      <w:spacing w:before="120" w:after="120"/>
      <w:ind w:left="360" w:firstLine="0" w:firstLineChars="0"/>
      <w:contextualSpacing/>
      <w:outlineLvl w:val="2"/>
    </w:pPr>
    <w:rPr>
      <w:rFonts w:ascii="黑体" w:hAnsi="Times New Roman" w:eastAsia="黑体" w:cs="Times New Roman"/>
      <w:b/>
      <w:sz w:val="36"/>
      <w:szCs w:val="20"/>
      <w:lang w:eastAsia="en-US"/>
    </w:rPr>
  </w:style>
  <w:style w:type="paragraph" w:customStyle="1" w:styleId="167">
    <w:name w:val="列出段落111"/>
    <w:basedOn w:val="1"/>
    <w:qFormat/>
    <w:uiPriority w:val="99"/>
    <w:pPr>
      <w:ind w:firstLine="420" w:firstLineChars="200"/>
    </w:pPr>
    <w:rPr>
      <w:rFonts w:ascii="Calibri" w:hAnsi="Calibri" w:cs="黑体"/>
      <w:szCs w:val="22"/>
    </w:rPr>
  </w:style>
  <w:style w:type="character" w:customStyle="1" w:styleId="168">
    <w:name w:val="样式3 Char Char"/>
    <w:link w:val="169"/>
    <w:qFormat/>
    <w:locked/>
    <w:uiPriority w:val="99"/>
    <w:rPr>
      <w:rFonts w:eastAsia="宋体"/>
      <w:b/>
      <w:kern w:val="2"/>
      <w:sz w:val="32"/>
      <w:lang w:val="en-US" w:eastAsia="zh-CN"/>
    </w:rPr>
  </w:style>
  <w:style w:type="paragraph" w:customStyle="1" w:styleId="169">
    <w:name w:val="样式3"/>
    <w:basedOn w:val="7"/>
    <w:link w:val="168"/>
    <w:qFormat/>
    <w:uiPriority w:val="99"/>
    <w:pPr>
      <w:keepNext w:val="0"/>
      <w:keepLines w:val="0"/>
      <w:spacing w:before="60" w:after="60" w:line="360" w:lineRule="auto"/>
      <w:ind w:left="397"/>
    </w:pPr>
    <w:rPr>
      <w:bCs w:val="0"/>
      <w:kern w:val="2"/>
      <w:szCs w:val="20"/>
    </w:rPr>
  </w:style>
  <w:style w:type="character" w:customStyle="1" w:styleId="170">
    <w:name w:val="样式001 Char Char"/>
    <w:link w:val="171"/>
    <w:qFormat/>
    <w:locked/>
    <w:uiPriority w:val="99"/>
    <w:rPr>
      <w:rFonts w:ascii="宋体" w:eastAsia="Times New Roman"/>
      <w:color w:val="000000"/>
      <w:sz w:val="28"/>
    </w:rPr>
  </w:style>
  <w:style w:type="paragraph" w:customStyle="1" w:styleId="171">
    <w:name w:val="样式001"/>
    <w:basedOn w:val="1"/>
    <w:link w:val="170"/>
    <w:qFormat/>
    <w:uiPriority w:val="99"/>
    <w:pPr>
      <w:adjustRightInd w:val="0"/>
      <w:snapToGrid w:val="0"/>
      <w:spacing w:beforeLines="50" w:afterLines="50" w:line="360" w:lineRule="auto"/>
      <w:ind w:firstLine="480" w:firstLineChars="200"/>
    </w:pPr>
    <w:rPr>
      <w:rFonts w:ascii="宋体" w:eastAsia="Times New Roman"/>
      <w:color w:val="000000"/>
      <w:sz w:val="28"/>
      <w:szCs w:val="20"/>
    </w:rPr>
  </w:style>
  <w:style w:type="character" w:customStyle="1" w:styleId="172">
    <w:name w:val="样式4 Char Char"/>
    <w:link w:val="173"/>
    <w:qFormat/>
    <w:locked/>
    <w:uiPriority w:val="99"/>
    <w:rPr>
      <w:rFonts w:eastAsia="宋体"/>
      <w:b/>
      <w:kern w:val="2"/>
      <w:sz w:val="30"/>
      <w:lang w:val="en-US" w:eastAsia="zh-CN"/>
    </w:rPr>
  </w:style>
  <w:style w:type="paragraph" w:customStyle="1" w:styleId="173">
    <w:name w:val="样式4"/>
    <w:basedOn w:val="8"/>
    <w:link w:val="172"/>
    <w:qFormat/>
    <w:uiPriority w:val="99"/>
    <w:pPr>
      <w:keepNext w:val="0"/>
      <w:keepLines w:val="0"/>
      <w:spacing w:before="60" w:after="60" w:line="360" w:lineRule="auto"/>
      <w:ind w:left="315" w:leftChars="150"/>
    </w:pPr>
    <w:rPr>
      <w:rFonts w:ascii="Times New Roman" w:hAnsi="Times New Roman" w:eastAsia="宋体"/>
      <w:bCs w:val="0"/>
      <w:sz w:val="30"/>
      <w:szCs w:val="20"/>
    </w:rPr>
  </w:style>
  <w:style w:type="character" w:customStyle="1" w:styleId="174">
    <w:name w:val="普通文字 Char Char1"/>
    <w:qFormat/>
    <w:uiPriority w:val="99"/>
    <w:rPr>
      <w:rFonts w:ascii="宋体" w:hAnsi="Courier New" w:eastAsia="宋体"/>
      <w:kern w:val="2"/>
      <w:sz w:val="21"/>
      <w:lang w:val="en-US" w:eastAsia="zh-CN"/>
    </w:rPr>
  </w:style>
  <w:style w:type="character" w:customStyle="1" w:styleId="175">
    <w:name w:val="列表符号 Char1"/>
    <w:link w:val="176"/>
    <w:qFormat/>
    <w:locked/>
    <w:uiPriority w:val="99"/>
    <w:rPr>
      <w:rFonts w:ascii="宋体" w:eastAsia="宋体"/>
      <w:kern w:val="21"/>
      <w:sz w:val="24"/>
      <w:lang w:val="zh-CN"/>
    </w:rPr>
  </w:style>
  <w:style w:type="paragraph" w:customStyle="1" w:styleId="176">
    <w:name w:val="列表符号"/>
    <w:basedOn w:val="1"/>
    <w:next w:val="1"/>
    <w:link w:val="175"/>
    <w:qFormat/>
    <w:uiPriority w:val="99"/>
    <w:pPr>
      <w:tabs>
        <w:tab w:val="left" w:pos="1095"/>
      </w:tabs>
      <w:spacing w:line="360" w:lineRule="auto"/>
      <w:ind w:left="1095" w:hanging="1095"/>
    </w:pPr>
    <w:rPr>
      <w:rFonts w:ascii="宋体"/>
      <w:kern w:val="21"/>
      <w:szCs w:val="20"/>
      <w:lang w:val="zh-CN"/>
    </w:rPr>
  </w:style>
  <w:style w:type="character" w:customStyle="1" w:styleId="177">
    <w:name w:val="标题 5 Char1"/>
    <w:qFormat/>
    <w:uiPriority w:val="99"/>
    <w:rPr>
      <w:rFonts w:eastAsia="宋体"/>
      <w:b/>
      <w:kern w:val="2"/>
      <w:sz w:val="28"/>
      <w:lang w:val="en-US" w:eastAsia="zh-CN"/>
    </w:rPr>
  </w:style>
  <w:style w:type="character" w:customStyle="1" w:styleId="178">
    <w:name w:val="font21"/>
    <w:qFormat/>
    <w:uiPriority w:val="99"/>
    <w:rPr>
      <w:rFonts w:ascii="微软雅黑" w:hAnsi="微软雅黑" w:eastAsia="微软雅黑"/>
      <w:color w:val="000000"/>
      <w:sz w:val="24"/>
      <w:u w:val="none"/>
    </w:rPr>
  </w:style>
  <w:style w:type="character" w:customStyle="1" w:styleId="179">
    <w:name w:val="标题 9 Char"/>
    <w:qFormat/>
    <w:uiPriority w:val="99"/>
    <w:rPr>
      <w:rFonts w:ascii="Arial" w:hAnsi="Arial" w:eastAsia="黑体"/>
      <w:sz w:val="21"/>
    </w:rPr>
  </w:style>
  <w:style w:type="character" w:customStyle="1" w:styleId="180">
    <w:name w:val="普通文字 Char Char2"/>
    <w:qFormat/>
    <w:uiPriority w:val="99"/>
    <w:rPr>
      <w:rFonts w:ascii="宋体" w:hAnsi="Courier New" w:eastAsia="宋体"/>
      <w:sz w:val="21"/>
      <w:lang w:val="en-US" w:eastAsia="zh-CN"/>
    </w:rPr>
  </w:style>
  <w:style w:type="character" w:customStyle="1" w:styleId="181">
    <w:name w:val="10"/>
    <w:qFormat/>
    <w:uiPriority w:val="99"/>
    <w:rPr>
      <w:rFonts w:ascii="Times New Roman" w:hAnsi="Times New Roman"/>
    </w:rPr>
  </w:style>
  <w:style w:type="character" w:customStyle="1" w:styleId="182">
    <w:name w:val="正文文本 2 Char"/>
    <w:link w:val="183"/>
    <w:qFormat/>
    <w:locked/>
    <w:uiPriority w:val="99"/>
    <w:rPr>
      <w:rFonts w:ascii="Calibri" w:hAnsi="Calibri"/>
      <w:kern w:val="2"/>
      <w:sz w:val="22"/>
    </w:rPr>
  </w:style>
  <w:style w:type="paragraph" w:customStyle="1" w:styleId="183">
    <w:name w:val="正文文本 21"/>
    <w:basedOn w:val="1"/>
    <w:link w:val="182"/>
    <w:qFormat/>
    <w:uiPriority w:val="99"/>
    <w:pPr>
      <w:spacing w:after="120" w:line="480" w:lineRule="auto"/>
      <w:ind w:firstLine="200" w:firstLineChars="200"/>
    </w:pPr>
    <w:rPr>
      <w:rFonts w:ascii="Calibri" w:hAnsi="Calibri"/>
      <w:kern w:val="2"/>
      <w:sz w:val="22"/>
      <w:szCs w:val="20"/>
    </w:rPr>
  </w:style>
  <w:style w:type="character" w:customStyle="1" w:styleId="184">
    <w:name w:val="Item List Char Char"/>
    <w:link w:val="185"/>
    <w:qFormat/>
    <w:locked/>
    <w:uiPriority w:val="99"/>
    <w:rPr>
      <w:rFonts w:ascii="Arial" w:hAnsi="Arial"/>
      <w:b/>
      <w:lang w:val="en-US" w:eastAsia="zh-CN"/>
    </w:rPr>
  </w:style>
  <w:style w:type="paragraph" w:customStyle="1" w:styleId="185">
    <w:name w:val="Item List"/>
    <w:link w:val="184"/>
    <w:qFormat/>
    <w:uiPriority w:val="99"/>
    <w:pPr>
      <w:tabs>
        <w:tab w:val="left" w:pos="482"/>
      </w:tabs>
      <w:spacing w:line="360" w:lineRule="auto"/>
      <w:jc w:val="both"/>
    </w:pPr>
    <w:rPr>
      <w:rFonts w:ascii="Arial" w:hAnsi="Arial" w:eastAsia="宋体" w:cs="Times New Roman"/>
      <w:b/>
      <w:bCs/>
      <w:kern w:val="0"/>
      <w:sz w:val="20"/>
      <w:szCs w:val="20"/>
      <w:lang w:val="en-US" w:eastAsia="zh-CN" w:bidi="ar-SA"/>
    </w:rPr>
  </w:style>
  <w:style w:type="character" w:customStyle="1" w:styleId="186">
    <w:name w:val="正文（缩进） Char"/>
    <w:link w:val="187"/>
    <w:qFormat/>
    <w:locked/>
    <w:uiPriority w:val="99"/>
    <w:rPr>
      <w:rFonts w:ascii="宋体" w:eastAsia="宋体"/>
      <w:kern w:val="2"/>
      <w:sz w:val="21"/>
    </w:rPr>
  </w:style>
  <w:style w:type="paragraph" w:customStyle="1" w:styleId="187">
    <w:name w:val="正文（缩进）"/>
    <w:basedOn w:val="1"/>
    <w:link w:val="186"/>
    <w:qFormat/>
    <w:uiPriority w:val="99"/>
    <w:pPr>
      <w:spacing w:line="360" w:lineRule="auto"/>
      <w:ind w:firstLine="420" w:firstLineChars="200"/>
    </w:pPr>
    <w:rPr>
      <w:rFonts w:ascii="宋体"/>
      <w:kern w:val="2"/>
      <w:sz w:val="21"/>
      <w:szCs w:val="20"/>
    </w:rPr>
  </w:style>
  <w:style w:type="character" w:customStyle="1" w:styleId="188">
    <w:name w:val="列出段落 字符1"/>
    <w:qFormat/>
    <w:uiPriority w:val="99"/>
    <w:rPr>
      <w:kern w:val="2"/>
      <w:sz w:val="22"/>
    </w:rPr>
  </w:style>
  <w:style w:type="character" w:customStyle="1" w:styleId="189">
    <w:name w:val="新编正文 Char Char"/>
    <w:link w:val="190"/>
    <w:qFormat/>
    <w:locked/>
    <w:uiPriority w:val="99"/>
    <w:rPr>
      <w:kern w:val="2"/>
      <w:sz w:val="24"/>
    </w:rPr>
  </w:style>
  <w:style w:type="paragraph" w:customStyle="1" w:styleId="190">
    <w:name w:val="新编正文"/>
    <w:basedOn w:val="1"/>
    <w:link w:val="189"/>
    <w:qFormat/>
    <w:uiPriority w:val="99"/>
    <w:pPr>
      <w:spacing w:before="60" w:after="60" w:line="360" w:lineRule="auto"/>
      <w:ind w:firstLine="420"/>
    </w:pPr>
    <w:rPr>
      <w:kern w:val="2"/>
      <w:szCs w:val="20"/>
    </w:rPr>
  </w:style>
  <w:style w:type="character" w:customStyle="1" w:styleId="191">
    <w:name w:val="样式3 Char"/>
    <w:qFormat/>
    <w:uiPriority w:val="99"/>
    <w:rPr>
      <w:rFonts w:ascii="Times New Roman" w:hAnsi="Times New Roman" w:eastAsia="宋体"/>
      <w:b/>
      <w:sz w:val="32"/>
    </w:rPr>
  </w:style>
  <w:style w:type="character" w:customStyle="1" w:styleId="192">
    <w:name w:val="*正文 Char"/>
    <w:link w:val="193"/>
    <w:qFormat/>
    <w:locked/>
    <w:uiPriority w:val="99"/>
    <w:rPr>
      <w:rFonts w:ascii="宋体" w:hAnsi="宋体" w:eastAsia="宋体"/>
      <w:kern w:val="2"/>
      <w:sz w:val="24"/>
      <w:lang w:val="en-US" w:eastAsia="zh-CN"/>
    </w:rPr>
  </w:style>
  <w:style w:type="paragraph" w:customStyle="1" w:styleId="193">
    <w:name w:val="*正文"/>
    <w:basedOn w:val="1"/>
    <w:link w:val="192"/>
    <w:qFormat/>
    <w:uiPriority w:val="99"/>
    <w:pPr>
      <w:spacing w:line="360" w:lineRule="auto"/>
      <w:ind w:firstLine="200" w:firstLineChars="200"/>
    </w:pPr>
    <w:rPr>
      <w:rFonts w:ascii="宋体" w:hAnsi="宋体"/>
      <w:kern w:val="2"/>
      <w:szCs w:val="20"/>
    </w:rPr>
  </w:style>
  <w:style w:type="character" w:customStyle="1" w:styleId="194">
    <w:name w:val="正文标准格式 Char"/>
    <w:link w:val="195"/>
    <w:qFormat/>
    <w:locked/>
    <w:uiPriority w:val="99"/>
    <w:rPr>
      <w:rFonts w:ascii="宋体" w:eastAsia="宋体"/>
      <w:kern w:val="2"/>
      <w:sz w:val="24"/>
      <w:lang w:val="en-US" w:eastAsia="zh-CN"/>
    </w:rPr>
  </w:style>
  <w:style w:type="paragraph" w:customStyle="1" w:styleId="195">
    <w:name w:val="正文标准格式"/>
    <w:link w:val="194"/>
    <w:qFormat/>
    <w:uiPriority w:val="99"/>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96">
    <w:name w:val="font11"/>
    <w:basedOn w:val="59"/>
    <w:qFormat/>
    <w:uiPriority w:val="99"/>
    <w:rPr>
      <w:rFonts w:ascii="宋体" w:hAnsi="宋体" w:eastAsia="宋体" w:cs="宋体"/>
      <w:color w:val="000000"/>
      <w:sz w:val="21"/>
      <w:szCs w:val="21"/>
      <w:u w:val="none"/>
    </w:rPr>
  </w:style>
  <w:style w:type="character" w:customStyle="1" w:styleId="197">
    <w:name w:val="纯文本 Char"/>
    <w:link w:val="198"/>
    <w:qFormat/>
    <w:locked/>
    <w:uiPriority w:val="99"/>
    <w:rPr>
      <w:rFonts w:ascii="宋体" w:hAnsi="Courier New" w:eastAsia="宋体"/>
      <w:kern w:val="2"/>
      <w:sz w:val="21"/>
      <w:lang w:val="en-US" w:eastAsia="zh-CN"/>
    </w:rPr>
  </w:style>
  <w:style w:type="paragraph" w:customStyle="1" w:styleId="198">
    <w:name w:val="纯文本1"/>
    <w:basedOn w:val="1"/>
    <w:link w:val="197"/>
    <w:qFormat/>
    <w:uiPriority w:val="99"/>
    <w:rPr>
      <w:rFonts w:ascii="宋体" w:hAnsi="Courier New"/>
      <w:kern w:val="2"/>
      <w:sz w:val="21"/>
      <w:szCs w:val="20"/>
    </w:rPr>
  </w:style>
  <w:style w:type="character" w:customStyle="1" w:styleId="199">
    <w:name w:val="段 Char"/>
    <w:link w:val="200"/>
    <w:qFormat/>
    <w:locked/>
    <w:uiPriority w:val="99"/>
    <w:rPr>
      <w:rFonts w:ascii="宋体" w:eastAsia="Times New Roman"/>
      <w:lang w:val="en-US" w:eastAsia="zh-CN"/>
    </w:rPr>
  </w:style>
  <w:style w:type="paragraph" w:customStyle="1" w:styleId="200">
    <w:name w:val="段"/>
    <w:link w:val="199"/>
    <w:qFormat/>
    <w:uiPriority w:val="99"/>
    <w:pPr>
      <w:autoSpaceDE w:val="0"/>
      <w:autoSpaceDN w:val="0"/>
      <w:ind w:firstLine="200" w:firstLineChars="200"/>
      <w:jc w:val="both"/>
    </w:pPr>
    <w:rPr>
      <w:rFonts w:ascii="宋体" w:hAnsi="Times New Roman" w:eastAsia="Times New Roman" w:cs="Times New Roman"/>
      <w:kern w:val="0"/>
      <w:sz w:val="20"/>
      <w:szCs w:val="20"/>
      <w:lang w:val="en-US" w:eastAsia="zh-CN" w:bidi="ar-SA"/>
    </w:rPr>
  </w:style>
  <w:style w:type="character" w:customStyle="1" w:styleId="201">
    <w:name w:val="批注框文本 Char"/>
    <w:qFormat/>
    <w:uiPriority w:val="99"/>
    <w:rPr>
      <w:rFonts w:ascii="Calibri" w:hAnsi="Calibri" w:eastAsia="宋体"/>
      <w:sz w:val="16"/>
    </w:rPr>
  </w:style>
  <w:style w:type="character" w:customStyle="1" w:styleId="202">
    <w:name w:val="标题 5 Char"/>
    <w:qFormat/>
    <w:uiPriority w:val="99"/>
    <w:rPr>
      <w:rFonts w:ascii="Calibri" w:hAnsi="Calibri" w:eastAsia="宋体"/>
      <w:kern w:val="0"/>
      <w:sz w:val="28"/>
    </w:rPr>
  </w:style>
  <w:style w:type="character" w:customStyle="1" w:styleId="203">
    <w:name w:val="样式4 Char"/>
    <w:qFormat/>
    <w:uiPriority w:val="99"/>
    <w:rPr>
      <w:rFonts w:ascii="Times New Roman" w:hAnsi="Times New Roman" w:eastAsia="宋体"/>
      <w:b/>
      <w:sz w:val="28"/>
    </w:rPr>
  </w:style>
  <w:style w:type="character" w:customStyle="1" w:styleId="204">
    <w:name w:val="正文首行缩进小四宋体 字符"/>
    <w:link w:val="205"/>
    <w:qFormat/>
    <w:locked/>
    <w:uiPriority w:val="99"/>
    <w:rPr>
      <w:rFonts w:ascii="Calibri" w:hAnsi="Calibri" w:eastAsia="宋体"/>
      <w:sz w:val="24"/>
    </w:rPr>
  </w:style>
  <w:style w:type="paragraph" w:customStyle="1" w:styleId="205">
    <w:name w:val="正文首行缩进小四宋体"/>
    <w:basedOn w:val="1"/>
    <w:link w:val="204"/>
    <w:qFormat/>
    <w:uiPriority w:val="99"/>
    <w:pPr>
      <w:spacing w:line="360" w:lineRule="auto"/>
      <w:ind w:firstLine="480" w:firstLineChars="200"/>
    </w:pPr>
    <w:rPr>
      <w:rFonts w:ascii="Calibri" w:hAnsi="Calibri"/>
      <w:szCs w:val="20"/>
    </w:rPr>
  </w:style>
  <w:style w:type="character" w:customStyle="1" w:styleId="206">
    <w:name w:val="仿宋4号 Char"/>
    <w:link w:val="207"/>
    <w:qFormat/>
    <w:locked/>
    <w:uiPriority w:val="99"/>
    <w:rPr>
      <w:rFonts w:ascii="仿宋" w:hAnsi="仿宋" w:eastAsia="仿宋"/>
      <w:kern w:val="2"/>
      <w:sz w:val="28"/>
    </w:rPr>
  </w:style>
  <w:style w:type="paragraph" w:customStyle="1" w:styleId="207">
    <w:name w:val="仿宋4号"/>
    <w:basedOn w:val="1"/>
    <w:link w:val="206"/>
    <w:qFormat/>
    <w:uiPriority w:val="99"/>
    <w:pPr>
      <w:spacing w:line="360" w:lineRule="auto"/>
      <w:ind w:firstLine="560" w:firstLineChars="200"/>
    </w:pPr>
    <w:rPr>
      <w:rFonts w:ascii="仿宋" w:hAnsi="仿宋" w:eastAsia="仿宋"/>
      <w:kern w:val="2"/>
      <w:sz w:val="28"/>
      <w:szCs w:val="20"/>
    </w:rPr>
  </w:style>
  <w:style w:type="character" w:customStyle="1" w:styleId="208">
    <w:name w:val="正文文本缩进 Char"/>
    <w:link w:val="209"/>
    <w:qFormat/>
    <w:locked/>
    <w:uiPriority w:val="99"/>
    <w:rPr>
      <w:rFonts w:ascii="楷体_GB2312" w:eastAsia="楷体_GB2312"/>
      <w:kern w:val="2"/>
      <w:sz w:val="28"/>
    </w:rPr>
  </w:style>
  <w:style w:type="paragraph" w:customStyle="1" w:styleId="209">
    <w:name w:val="正文文本缩进1"/>
    <w:basedOn w:val="1"/>
    <w:link w:val="208"/>
    <w:qFormat/>
    <w:uiPriority w:val="99"/>
    <w:pPr>
      <w:spacing w:after="120" w:line="360" w:lineRule="auto"/>
      <w:ind w:left="480" w:leftChars="200" w:firstLine="200" w:firstLineChars="200"/>
    </w:pPr>
    <w:rPr>
      <w:rFonts w:ascii="楷体_GB2312" w:eastAsia="楷体_GB2312"/>
      <w:kern w:val="2"/>
      <w:sz w:val="28"/>
      <w:szCs w:val="20"/>
    </w:rPr>
  </w:style>
  <w:style w:type="character" w:customStyle="1" w:styleId="210">
    <w:name w:val="投标书正文无序编号 Char"/>
    <w:link w:val="211"/>
    <w:qFormat/>
    <w:locked/>
    <w:uiPriority w:val="99"/>
    <w:rPr>
      <w:sz w:val="24"/>
    </w:rPr>
  </w:style>
  <w:style w:type="paragraph" w:customStyle="1" w:styleId="211">
    <w:name w:val="投标书正文无序编号"/>
    <w:basedOn w:val="212"/>
    <w:link w:val="210"/>
    <w:qFormat/>
    <w:uiPriority w:val="99"/>
    <w:rPr>
      <w:sz w:val="24"/>
      <w:szCs w:val="20"/>
    </w:rPr>
  </w:style>
  <w:style w:type="paragraph" w:customStyle="1" w:styleId="212">
    <w:name w:val="投标书正文"/>
    <w:link w:val="213"/>
    <w:qFormat/>
    <w:uiPriority w:val="99"/>
    <w:pPr>
      <w:autoSpaceDE w:val="0"/>
      <w:spacing w:line="360" w:lineRule="auto"/>
      <w:ind w:firstLine="200" w:firstLineChars="200"/>
    </w:pPr>
    <w:rPr>
      <w:rFonts w:ascii="Times New Roman" w:hAnsi="Times New Roman" w:eastAsia="宋体" w:cs="Times New Roman"/>
      <w:kern w:val="0"/>
      <w:sz w:val="22"/>
      <w:szCs w:val="22"/>
      <w:lang w:val="en-US" w:eastAsia="zh-CN" w:bidi="ar-SA"/>
    </w:rPr>
  </w:style>
  <w:style w:type="character" w:customStyle="1" w:styleId="213">
    <w:name w:val="投标书正文 Char"/>
    <w:link w:val="212"/>
    <w:qFormat/>
    <w:locked/>
    <w:uiPriority w:val="99"/>
    <w:rPr>
      <w:rFonts w:eastAsia="Times New Roman"/>
      <w:sz w:val="22"/>
      <w:lang w:val="en-US" w:eastAsia="zh-CN"/>
    </w:rPr>
  </w:style>
  <w:style w:type="character" w:customStyle="1" w:styleId="214">
    <w:name w:val="内容文本 Char"/>
    <w:link w:val="215"/>
    <w:qFormat/>
    <w:locked/>
    <w:uiPriority w:val="99"/>
    <w:rPr>
      <w:rFonts w:ascii="宋体" w:hAnsi="宋体" w:eastAsia="宋体"/>
      <w:sz w:val="24"/>
      <w:lang w:val="en-US" w:eastAsia="zh-CN"/>
    </w:rPr>
  </w:style>
  <w:style w:type="paragraph" w:customStyle="1" w:styleId="215">
    <w:name w:val="内容文本"/>
    <w:basedOn w:val="216"/>
    <w:link w:val="214"/>
    <w:qFormat/>
    <w:uiPriority w:val="99"/>
    <w:pPr>
      <w:spacing w:line="360" w:lineRule="auto"/>
      <w:ind w:firstLine="200"/>
      <w:contextualSpacing/>
    </w:pPr>
    <w:rPr>
      <w:rFonts w:ascii="宋体" w:hAnsi="宋体"/>
      <w:kern w:val="0"/>
      <w:sz w:val="24"/>
    </w:rPr>
  </w:style>
  <w:style w:type="paragraph" w:customStyle="1" w:styleId="216">
    <w:name w:val="列出段落1"/>
    <w:basedOn w:val="1"/>
    <w:link w:val="217"/>
    <w:qFormat/>
    <w:uiPriority w:val="99"/>
    <w:pPr>
      <w:ind w:firstLine="420" w:firstLineChars="200"/>
    </w:pPr>
    <w:rPr>
      <w:rFonts w:ascii="Calibri" w:hAnsi="Calibri"/>
      <w:kern w:val="2"/>
      <w:sz w:val="21"/>
      <w:szCs w:val="20"/>
    </w:rPr>
  </w:style>
  <w:style w:type="character" w:customStyle="1" w:styleId="217">
    <w:name w:val="List Paragraph Char"/>
    <w:link w:val="216"/>
    <w:qFormat/>
    <w:locked/>
    <w:uiPriority w:val="99"/>
    <w:rPr>
      <w:rFonts w:ascii="Calibri" w:hAnsi="Calibri" w:eastAsia="宋体"/>
      <w:kern w:val="2"/>
      <w:sz w:val="21"/>
      <w:lang w:val="en-US" w:eastAsia="zh-CN"/>
    </w:rPr>
  </w:style>
  <w:style w:type="character" w:customStyle="1" w:styleId="218">
    <w:name w:val="正文缩进 Char1"/>
    <w:link w:val="219"/>
    <w:qFormat/>
    <w:locked/>
    <w:uiPriority w:val="99"/>
    <w:rPr>
      <w:kern w:val="2"/>
      <w:sz w:val="24"/>
    </w:rPr>
  </w:style>
  <w:style w:type="paragraph" w:customStyle="1" w:styleId="219">
    <w:name w:val="正文缩进1"/>
    <w:basedOn w:val="1"/>
    <w:link w:val="218"/>
    <w:qFormat/>
    <w:uiPriority w:val="99"/>
    <w:pPr>
      <w:ind w:firstLine="420"/>
    </w:pPr>
    <w:rPr>
      <w:kern w:val="2"/>
      <w:szCs w:val="20"/>
    </w:rPr>
  </w:style>
  <w:style w:type="character" w:customStyle="1" w:styleId="220">
    <w:name w:val="Item List in Table Char Char"/>
    <w:link w:val="221"/>
    <w:qFormat/>
    <w:locked/>
    <w:uiPriority w:val="99"/>
    <w:rPr>
      <w:rFonts w:ascii="Arial" w:hAnsi="Arial"/>
      <w:sz w:val="18"/>
      <w:lang w:val="en-US" w:eastAsia="zh-CN"/>
    </w:rPr>
  </w:style>
  <w:style w:type="paragraph" w:customStyle="1" w:styleId="221">
    <w:name w:val="Item List in Table"/>
    <w:link w:val="220"/>
    <w:qFormat/>
    <w:uiPriority w:val="99"/>
    <w:pPr>
      <w:tabs>
        <w:tab w:val="left" w:pos="284"/>
      </w:tabs>
      <w:spacing w:before="40" w:after="40"/>
      <w:jc w:val="both"/>
    </w:pPr>
    <w:rPr>
      <w:rFonts w:ascii="Arial" w:hAnsi="Arial" w:eastAsia="宋体" w:cs="Arial"/>
      <w:kern w:val="0"/>
      <w:sz w:val="18"/>
      <w:szCs w:val="18"/>
      <w:lang w:val="en-US" w:eastAsia="zh-CN" w:bidi="ar-SA"/>
    </w:rPr>
  </w:style>
  <w:style w:type="character" w:customStyle="1" w:styleId="222">
    <w:name w:val="标题 4 Char1"/>
    <w:qFormat/>
    <w:uiPriority w:val="99"/>
    <w:rPr>
      <w:rFonts w:ascii="Arial" w:hAnsi="Arial" w:eastAsia="黑体"/>
      <w:b/>
      <w:kern w:val="2"/>
      <w:sz w:val="28"/>
    </w:rPr>
  </w:style>
  <w:style w:type="character" w:customStyle="1" w:styleId="223">
    <w:name w:val="077-正文格式 Char1"/>
    <w:link w:val="224"/>
    <w:qFormat/>
    <w:locked/>
    <w:uiPriority w:val="99"/>
    <w:rPr>
      <w:rFonts w:ascii="宋体"/>
      <w:kern w:val="2"/>
      <w:sz w:val="24"/>
    </w:rPr>
  </w:style>
  <w:style w:type="paragraph" w:customStyle="1" w:styleId="224">
    <w:name w:val="077-正文格式"/>
    <w:basedOn w:val="1"/>
    <w:link w:val="223"/>
    <w:qFormat/>
    <w:uiPriority w:val="99"/>
    <w:pPr>
      <w:adjustRightInd w:val="0"/>
      <w:snapToGrid w:val="0"/>
      <w:spacing w:line="360" w:lineRule="auto"/>
      <w:ind w:firstLine="480" w:firstLineChars="200"/>
    </w:pPr>
    <w:rPr>
      <w:rFonts w:ascii="宋体"/>
      <w:kern w:val="2"/>
      <w:szCs w:val="20"/>
    </w:rPr>
  </w:style>
  <w:style w:type="character" w:customStyle="1" w:styleId="225">
    <w:name w:val="正文文本 Char"/>
    <w:qFormat/>
    <w:uiPriority w:val="99"/>
    <w:rPr>
      <w:rFonts w:ascii="宋体" w:eastAsia="宋体"/>
      <w:b/>
      <w:color w:val="000000"/>
      <w:kern w:val="2"/>
      <w:sz w:val="72"/>
    </w:rPr>
  </w:style>
  <w:style w:type="character" w:customStyle="1" w:styleId="226">
    <w:name w:val="No Spacing Char"/>
    <w:link w:val="227"/>
    <w:qFormat/>
    <w:locked/>
    <w:uiPriority w:val="99"/>
    <w:rPr>
      <w:rFonts w:ascii="Dutch801 Rm BT" w:hAnsi="Dutch801 Rm BT"/>
      <w:kern w:val="2"/>
      <w:sz w:val="24"/>
      <w:lang w:val="en-US" w:eastAsia="zh-CN"/>
    </w:rPr>
  </w:style>
  <w:style w:type="paragraph" w:styleId="227">
    <w:name w:val="No Spacing"/>
    <w:link w:val="226"/>
    <w:qFormat/>
    <w:uiPriority w:val="99"/>
    <w:pPr>
      <w:widowControl w:val="0"/>
      <w:jc w:val="both"/>
    </w:pPr>
    <w:rPr>
      <w:rFonts w:ascii="Dutch801 Rm BT" w:hAnsi="Dutch801 Rm BT" w:eastAsia="宋体" w:cs="Dutch801 Rm BT"/>
      <w:kern w:val="2"/>
      <w:sz w:val="21"/>
      <w:szCs w:val="24"/>
      <w:lang w:val="en-US" w:eastAsia="zh-CN" w:bidi="ar-SA"/>
    </w:rPr>
  </w:style>
  <w:style w:type="character" w:customStyle="1" w:styleId="228">
    <w:name w:val="标题 2 Char1"/>
    <w:qFormat/>
    <w:uiPriority w:val="99"/>
    <w:rPr>
      <w:rFonts w:ascii="Arial" w:hAnsi="Arial" w:eastAsia="黑体"/>
      <w:b/>
      <w:kern w:val="2"/>
      <w:sz w:val="32"/>
    </w:rPr>
  </w:style>
  <w:style w:type="character" w:customStyle="1" w:styleId="229">
    <w:name w:val="样式2 Char Char"/>
    <w:link w:val="230"/>
    <w:qFormat/>
    <w:locked/>
    <w:uiPriority w:val="99"/>
    <w:rPr>
      <w:rFonts w:eastAsia="宋体"/>
      <w:b/>
      <w:kern w:val="2"/>
      <w:sz w:val="36"/>
      <w:lang w:val="en-US" w:eastAsia="zh-CN"/>
    </w:rPr>
  </w:style>
  <w:style w:type="paragraph" w:customStyle="1" w:styleId="230">
    <w:name w:val="样式2"/>
    <w:basedOn w:val="6"/>
    <w:link w:val="229"/>
    <w:qFormat/>
    <w:uiPriority w:val="99"/>
    <w:pPr>
      <w:keepNext w:val="0"/>
      <w:keepLines w:val="0"/>
      <w:spacing w:before="60" w:after="60" w:line="360" w:lineRule="auto"/>
      <w:ind w:left="142"/>
    </w:pPr>
    <w:rPr>
      <w:rFonts w:ascii="Times New Roman" w:hAnsi="Times New Roman" w:eastAsia="宋体"/>
      <w:bCs w:val="0"/>
      <w:kern w:val="2"/>
      <w:sz w:val="36"/>
      <w:szCs w:val="20"/>
    </w:rPr>
  </w:style>
  <w:style w:type="character" w:customStyle="1" w:styleId="231">
    <w:name w:val="表格非标题文字 Char Char"/>
    <w:link w:val="232"/>
    <w:qFormat/>
    <w:locked/>
    <w:uiPriority w:val="99"/>
    <w:rPr>
      <w:rFonts w:ascii="Arial" w:hAnsi="Arial" w:eastAsia="华文细黑"/>
      <w:color w:val="505050"/>
      <w:sz w:val="13"/>
    </w:rPr>
  </w:style>
  <w:style w:type="paragraph" w:customStyle="1" w:styleId="232">
    <w:name w:val="表格非标题文字"/>
    <w:basedOn w:val="1"/>
    <w:link w:val="231"/>
    <w:qFormat/>
    <w:uiPriority w:val="99"/>
    <w:pPr>
      <w:spacing w:before="40" w:after="40" w:line="220" w:lineRule="exact"/>
    </w:pPr>
    <w:rPr>
      <w:rFonts w:ascii="Arial" w:hAnsi="Arial" w:eastAsia="华文细黑"/>
      <w:color w:val="505050"/>
      <w:sz w:val="13"/>
      <w:szCs w:val="20"/>
    </w:rPr>
  </w:style>
  <w:style w:type="character" w:customStyle="1" w:styleId="233">
    <w:name w:val="ces正文 Char"/>
    <w:link w:val="234"/>
    <w:qFormat/>
    <w:locked/>
    <w:uiPriority w:val="99"/>
    <w:rPr>
      <w:rFonts w:ascii="Calibri" w:hAnsi="Calibri"/>
      <w:sz w:val="24"/>
    </w:rPr>
  </w:style>
  <w:style w:type="paragraph" w:customStyle="1" w:styleId="234">
    <w:name w:val="ces正文"/>
    <w:basedOn w:val="1"/>
    <w:link w:val="233"/>
    <w:qFormat/>
    <w:uiPriority w:val="99"/>
    <w:pPr>
      <w:spacing w:line="360" w:lineRule="auto"/>
      <w:ind w:firstLine="480" w:firstLineChars="200"/>
    </w:pPr>
    <w:rPr>
      <w:rFonts w:ascii="Calibri" w:hAnsi="Calibri"/>
      <w:szCs w:val="20"/>
    </w:rPr>
  </w:style>
  <w:style w:type="character" w:customStyle="1" w:styleId="235">
    <w:name w:val="样式6 Char Char"/>
    <w:link w:val="236"/>
    <w:qFormat/>
    <w:locked/>
    <w:uiPriority w:val="99"/>
    <w:rPr>
      <w:rFonts w:ascii="宋体" w:eastAsia="宋体"/>
      <w:b/>
      <w:color w:val="CC3399"/>
      <w:kern w:val="24"/>
      <w:sz w:val="24"/>
      <w:u w:val="wavyHeavy" w:color="00B0F0"/>
    </w:rPr>
  </w:style>
  <w:style w:type="paragraph" w:customStyle="1" w:styleId="236">
    <w:name w:val="样式6"/>
    <w:basedOn w:val="1"/>
    <w:link w:val="235"/>
    <w:qFormat/>
    <w:uiPriority w:val="99"/>
    <w:pPr>
      <w:adjustRightInd w:val="0"/>
      <w:snapToGrid w:val="0"/>
      <w:spacing w:before="120" w:after="120" w:line="312" w:lineRule="auto"/>
      <w:ind w:firstLine="200" w:firstLineChars="200"/>
    </w:pPr>
    <w:rPr>
      <w:rFonts w:ascii="宋体"/>
      <w:b/>
      <w:color w:val="CC3399"/>
      <w:kern w:val="24"/>
      <w:szCs w:val="20"/>
      <w:u w:val="wavyHeavy" w:color="00B0F0"/>
    </w:rPr>
  </w:style>
  <w:style w:type="character" w:customStyle="1" w:styleId="237">
    <w:name w:val="Table Heading Char"/>
    <w:link w:val="238"/>
    <w:qFormat/>
    <w:locked/>
    <w:uiPriority w:val="99"/>
    <w:rPr>
      <w:rFonts w:ascii="Arial" w:hAnsi="Arial" w:eastAsia="微软雅黑"/>
      <w:sz w:val="18"/>
      <w:lang w:val="en-US" w:eastAsia="zh-CN"/>
    </w:rPr>
  </w:style>
  <w:style w:type="paragraph" w:customStyle="1" w:styleId="238">
    <w:name w:val="Table Heading"/>
    <w:link w:val="237"/>
    <w:qFormat/>
    <w:uiPriority w:val="99"/>
    <w:pPr>
      <w:keepNext/>
      <w:spacing w:before="80" w:after="80" w:line="240" w:lineRule="exact"/>
      <w:jc w:val="center"/>
    </w:pPr>
    <w:rPr>
      <w:rFonts w:ascii="Arial" w:hAnsi="Arial" w:eastAsia="微软雅黑" w:cs="Arial Narrow"/>
      <w:bCs/>
      <w:kern w:val="0"/>
      <w:sz w:val="18"/>
      <w:szCs w:val="20"/>
      <w:lang w:val="en-US" w:eastAsia="zh-CN" w:bidi="ar-SA"/>
    </w:rPr>
  </w:style>
  <w:style w:type="character" w:customStyle="1" w:styleId="239">
    <w:name w:val="投标正文 Char"/>
    <w:link w:val="240"/>
    <w:qFormat/>
    <w:locked/>
    <w:uiPriority w:val="99"/>
    <w:rPr>
      <w:rFonts w:ascii="Calibri" w:hAnsi="Calibri" w:eastAsia="宋体"/>
      <w:sz w:val="24"/>
      <w:lang w:val="zh-CN"/>
    </w:rPr>
  </w:style>
  <w:style w:type="paragraph" w:customStyle="1" w:styleId="240">
    <w:name w:val="投标正文"/>
    <w:basedOn w:val="1"/>
    <w:link w:val="239"/>
    <w:qFormat/>
    <w:uiPriority w:val="99"/>
    <w:pPr>
      <w:spacing w:line="360" w:lineRule="auto"/>
      <w:ind w:left="100" w:firstLine="480" w:firstLineChars="200"/>
    </w:pPr>
    <w:rPr>
      <w:rFonts w:ascii="Calibri" w:hAnsi="Calibri"/>
      <w:szCs w:val="20"/>
      <w:lang w:val="zh-CN"/>
    </w:rPr>
  </w:style>
  <w:style w:type="character" w:customStyle="1" w:styleId="241">
    <w:name w:val="纯文本 Char3"/>
    <w:qFormat/>
    <w:uiPriority w:val="99"/>
    <w:rPr>
      <w:rFonts w:ascii="宋体" w:hAnsi="Courier New" w:eastAsia="宋体"/>
      <w:kern w:val="2"/>
      <w:sz w:val="21"/>
    </w:rPr>
  </w:style>
  <w:style w:type="character" w:customStyle="1" w:styleId="242">
    <w:name w:val="级别1 Char"/>
    <w:link w:val="243"/>
    <w:qFormat/>
    <w:locked/>
    <w:uiPriority w:val="99"/>
    <w:rPr>
      <w:rFonts w:ascii="宋体" w:hAnsi="宋体" w:eastAsia="宋体"/>
      <w:b/>
      <w:kern w:val="44"/>
      <w:sz w:val="28"/>
    </w:rPr>
  </w:style>
  <w:style w:type="paragraph" w:customStyle="1" w:styleId="243">
    <w:name w:val="级别1"/>
    <w:basedOn w:val="5"/>
    <w:link w:val="242"/>
    <w:qFormat/>
    <w:uiPriority w:val="99"/>
    <w:pPr>
      <w:tabs>
        <w:tab w:val="left" w:pos="432"/>
      </w:tabs>
      <w:spacing w:beforeLines="100" w:afterLines="100" w:line="360" w:lineRule="auto"/>
      <w:ind w:left="432" w:hanging="432"/>
    </w:pPr>
    <w:rPr>
      <w:rFonts w:ascii="宋体" w:hAnsi="宋体"/>
      <w:bCs w:val="0"/>
      <w:sz w:val="28"/>
      <w:szCs w:val="20"/>
    </w:rPr>
  </w:style>
  <w:style w:type="character" w:customStyle="1" w:styleId="244">
    <w:name w:val="表格 Char Char"/>
    <w:link w:val="245"/>
    <w:qFormat/>
    <w:locked/>
    <w:uiPriority w:val="99"/>
    <w:rPr>
      <w:rFonts w:ascii="FangSong_GB2312" w:hAnsi="宋体" w:eastAsia="Times New Roman"/>
      <w:spacing w:val="28"/>
      <w:kern w:val="24"/>
      <w:sz w:val="28"/>
    </w:rPr>
  </w:style>
  <w:style w:type="paragraph" w:customStyle="1" w:styleId="245">
    <w:name w:val="表格"/>
    <w:basedOn w:val="1"/>
    <w:link w:val="244"/>
    <w:qFormat/>
    <w:uiPriority w:val="99"/>
    <w:pPr>
      <w:adjustRightInd w:val="0"/>
      <w:snapToGrid w:val="0"/>
      <w:jc w:val="center"/>
    </w:pPr>
    <w:rPr>
      <w:rFonts w:ascii="FangSong_GB2312" w:hAnsi="宋体" w:eastAsia="Times New Roman"/>
      <w:spacing w:val="28"/>
      <w:kern w:val="24"/>
      <w:sz w:val="28"/>
      <w:szCs w:val="20"/>
    </w:rPr>
  </w:style>
  <w:style w:type="character" w:customStyle="1" w:styleId="246">
    <w:name w:val="正文缩进 Char"/>
    <w:qFormat/>
    <w:uiPriority w:val="99"/>
    <w:rPr>
      <w:rFonts w:eastAsia="宋体"/>
      <w:kern w:val="2"/>
      <w:sz w:val="28"/>
      <w:lang w:val="en-US" w:eastAsia="zh-CN"/>
    </w:rPr>
  </w:style>
  <w:style w:type="character" w:customStyle="1" w:styleId="247">
    <w:name w:val="标题 4 Char"/>
    <w:qFormat/>
    <w:uiPriority w:val="99"/>
    <w:rPr>
      <w:rFonts w:ascii="Arial" w:hAnsi="Arial" w:eastAsia="黑体"/>
      <w:sz w:val="28"/>
    </w:rPr>
  </w:style>
  <w:style w:type="character" w:customStyle="1" w:styleId="248">
    <w:name w:val="正文文本 3 Char Char"/>
    <w:link w:val="249"/>
    <w:qFormat/>
    <w:locked/>
    <w:uiPriority w:val="99"/>
    <w:rPr>
      <w:rFonts w:ascii="Calibri" w:hAnsi="Calibri"/>
      <w:kern w:val="2"/>
      <w:sz w:val="16"/>
    </w:rPr>
  </w:style>
  <w:style w:type="paragraph" w:customStyle="1" w:styleId="249">
    <w:name w:val="正文文本 31"/>
    <w:basedOn w:val="1"/>
    <w:link w:val="248"/>
    <w:qFormat/>
    <w:uiPriority w:val="99"/>
    <w:pPr>
      <w:spacing w:after="120" w:line="360" w:lineRule="auto"/>
      <w:ind w:firstLine="200" w:firstLineChars="200"/>
    </w:pPr>
    <w:rPr>
      <w:rFonts w:ascii="Calibri" w:hAnsi="Calibri"/>
      <w:kern w:val="2"/>
      <w:sz w:val="16"/>
      <w:szCs w:val="20"/>
    </w:rPr>
  </w:style>
  <w:style w:type="character" w:customStyle="1" w:styleId="250">
    <w:name w:val="font61"/>
    <w:qFormat/>
    <w:uiPriority w:val="99"/>
    <w:rPr>
      <w:rFonts w:ascii="宋体" w:hAnsi="宋体" w:eastAsia="宋体"/>
      <w:color w:val="000000"/>
      <w:sz w:val="20"/>
      <w:u w:val="none"/>
    </w:rPr>
  </w:style>
  <w:style w:type="character" w:customStyle="1" w:styleId="251">
    <w:name w:val="Char Char6"/>
    <w:qFormat/>
    <w:uiPriority w:val="99"/>
    <w:rPr>
      <w:rFonts w:ascii="宋体" w:hAnsi="Courier New" w:eastAsia="宋体"/>
      <w:kern w:val="2"/>
      <w:sz w:val="21"/>
      <w:lang w:val="en-US" w:eastAsia="zh-CN"/>
    </w:rPr>
  </w:style>
  <w:style w:type="character" w:customStyle="1" w:styleId="252">
    <w:name w:val="标书正文格式 Char Char"/>
    <w:link w:val="253"/>
    <w:qFormat/>
    <w:locked/>
    <w:uiPriority w:val="99"/>
    <w:rPr>
      <w:rFonts w:eastAsia="楷体_GB2312"/>
      <w:sz w:val="28"/>
      <w:lang w:val="en-US" w:eastAsia="zh-CN"/>
    </w:rPr>
  </w:style>
  <w:style w:type="paragraph" w:customStyle="1" w:styleId="253">
    <w:name w:val="标书正文格式"/>
    <w:link w:val="252"/>
    <w:qFormat/>
    <w:uiPriority w:val="99"/>
    <w:pPr>
      <w:spacing w:line="360" w:lineRule="auto"/>
      <w:ind w:firstLine="200" w:firstLineChars="200"/>
    </w:pPr>
    <w:rPr>
      <w:rFonts w:ascii="Times New Roman" w:hAnsi="Times New Roman" w:eastAsia="楷体_GB2312" w:cs="Times New Roman"/>
      <w:kern w:val="0"/>
      <w:sz w:val="24"/>
      <w:szCs w:val="28"/>
      <w:lang w:val="en-US" w:eastAsia="zh-CN" w:bidi="ar-SA"/>
    </w:rPr>
  </w:style>
  <w:style w:type="character" w:customStyle="1" w:styleId="254">
    <w:name w:val="15"/>
    <w:qFormat/>
    <w:uiPriority w:val="99"/>
    <w:rPr>
      <w:rFonts w:ascii="Times New Roman" w:hAnsi="Times New Roman"/>
      <w:color w:val="0000FF"/>
      <w:u w:val="single"/>
    </w:rPr>
  </w:style>
  <w:style w:type="character" w:customStyle="1" w:styleId="255">
    <w:name w:val="标题 7 Char"/>
    <w:qFormat/>
    <w:uiPriority w:val="99"/>
    <w:rPr>
      <w:rFonts w:ascii="Calibri" w:hAnsi="Calibri" w:eastAsia="宋体"/>
      <w:b/>
      <w:sz w:val="24"/>
    </w:rPr>
  </w:style>
  <w:style w:type="paragraph" w:customStyle="1" w:styleId="256">
    <w:name w:val="技术方案正文样式"/>
    <w:basedOn w:val="1"/>
    <w:qFormat/>
    <w:uiPriority w:val="99"/>
    <w:pPr>
      <w:autoSpaceDE w:val="0"/>
      <w:autoSpaceDN w:val="0"/>
      <w:spacing w:line="400" w:lineRule="exact"/>
      <w:ind w:firstLine="480"/>
    </w:pPr>
    <w:rPr>
      <w:rFonts w:ascii="宋体" w:hAnsi="宋体" w:cs="宋体"/>
    </w:rPr>
  </w:style>
  <w:style w:type="paragraph" w:customStyle="1" w:styleId="257">
    <w:name w:val="a0"/>
    <w:basedOn w:val="1"/>
    <w:qFormat/>
    <w:uiPriority w:val="99"/>
    <w:pPr>
      <w:spacing w:before="100" w:beforeAutospacing="1" w:after="100" w:afterAutospacing="1"/>
    </w:pPr>
    <w:rPr>
      <w:rFonts w:ascii="宋体" w:hAnsi="宋体" w:cs="宋体"/>
    </w:rPr>
  </w:style>
  <w:style w:type="paragraph" w:customStyle="1" w:styleId="258">
    <w:name w:val="标题 7 New"/>
    <w:basedOn w:val="1"/>
    <w:next w:val="1"/>
    <w:qFormat/>
    <w:uiPriority w:val="99"/>
    <w:pPr>
      <w:keepNext/>
      <w:keepLines/>
      <w:tabs>
        <w:tab w:val="left" w:pos="2520"/>
      </w:tabs>
      <w:spacing w:before="240" w:after="64" w:line="317" w:lineRule="auto"/>
      <w:ind w:left="1296" w:hanging="1296"/>
      <w:outlineLvl w:val="6"/>
    </w:pPr>
    <w:rPr>
      <w:b/>
      <w:szCs w:val="20"/>
    </w:rPr>
  </w:style>
  <w:style w:type="paragraph" w:customStyle="1" w:styleId="259">
    <w:name w:val="Char1"/>
    <w:basedOn w:val="1"/>
    <w:qFormat/>
    <w:uiPriority w:val="99"/>
  </w:style>
  <w:style w:type="paragraph" w:customStyle="1" w:styleId="260">
    <w:name w:val="Default"/>
    <w:basedOn w:val="1"/>
    <w:qFormat/>
    <w:uiPriority w:val="99"/>
    <w:pPr>
      <w:autoSpaceDE w:val="0"/>
      <w:autoSpaceDN w:val="0"/>
      <w:adjustRightInd w:val="0"/>
      <w:spacing w:before="96" w:after="96"/>
      <w:jc w:val="right"/>
    </w:pPr>
    <w:rPr>
      <w:rFonts w:ascii="宋体" w:hAnsi="Calibri" w:cs="宋体"/>
      <w:color w:val="000000"/>
    </w:rPr>
  </w:style>
  <w:style w:type="paragraph" w:customStyle="1" w:styleId="261">
    <w:name w:val="样式"/>
    <w:basedOn w:val="1"/>
    <w:qFormat/>
    <w:uiPriority w:val="99"/>
    <w:pPr>
      <w:autoSpaceDE w:val="0"/>
      <w:autoSpaceDN w:val="0"/>
      <w:snapToGrid w:val="0"/>
      <w:spacing w:before="120" w:after="120" w:line="360" w:lineRule="auto"/>
    </w:pPr>
    <w:rPr>
      <w:rFonts w:ascii="宋体"/>
      <w:szCs w:val="20"/>
    </w:rPr>
  </w:style>
  <w:style w:type="paragraph" w:customStyle="1" w:styleId="262">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263">
    <w:name w:val="图表批注"/>
    <w:basedOn w:val="1"/>
    <w:qFormat/>
    <w:uiPriority w:val="99"/>
    <w:pPr>
      <w:spacing w:line="360" w:lineRule="auto"/>
      <w:contextualSpacing/>
      <w:jc w:val="center"/>
    </w:pPr>
    <w:rPr>
      <w:rFonts w:ascii="宋体" w:hAnsi="宋体"/>
      <w:sz w:val="20"/>
      <w:szCs w:val="20"/>
    </w:rPr>
  </w:style>
  <w:style w:type="paragraph" w:customStyle="1" w:styleId="264">
    <w:name w:val="GW-正文"/>
    <w:qFormat/>
    <w:uiPriority w:val="99"/>
    <w:pPr>
      <w:spacing w:line="30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65">
    <w:name w:val="标题1"/>
    <w:basedOn w:val="39"/>
    <w:qFormat/>
    <w:uiPriority w:val="99"/>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66">
    <w:name w:val="前加菱形"/>
    <w:basedOn w:val="1"/>
    <w:qFormat/>
    <w:uiPriority w:val="99"/>
    <w:pPr>
      <w:spacing w:before="156" w:after="100" w:afterAutospacing="1"/>
      <w:ind w:left="1985" w:hanging="284"/>
    </w:pPr>
    <w:rPr>
      <w:rFonts w:ascii="Verdana" w:hAnsi="Verdana" w:cs="宋体"/>
      <w:spacing w:val="2"/>
      <w:kern w:val="21"/>
      <w:sz w:val="28"/>
      <w:szCs w:val="28"/>
    </w:rPr>
  </w:style>
  <w:style w:type="paragraph" w:customStyle="1" w:styleId="267">
    <w:name w:val="纯文本_0"/>
    <w:basedOn w:val="1"/>
    <w:qFormat/>
    <w:uiPriority w:val="99"/>
    <w:pPr>
      <w:widowControl w:val="0"/>
      <w:jc w:val="both"/>
    </w:pPr>
    <w:rPr>
      <w:rFonts w:ascii="宋体" w:hAnsi="Courier New"/>
      <w:sz w:val="20"/>
      <w:szCs w:val="20"/>
    </w:rPr>
  </w:style>
  <w:style w:type="paragraph" w:customStyle="1" w:styleId="268">
    <w:name w:val="_Style 50"/>
    <w:basedOn w:val="19"/>
    <w:qFormat/>
    <w:uiPriority w:val="99"/>
    <w:rPr>
      <w:rFonts w:ascii="Tahoma" w:hAnsi="Tahoma"/>
      <w:sz w:val="24"/>
    </w:rPr>
  </w:style>
  <w:style w:type="paragraph" w:customStyle="1" w:styleId="269">
    <w:name w:val="CM8"/>
    <w:basedOn w:val="1"/>
    <w:next w:val="1"/>
    <w:qFormat/>
    <w:uiPriority w:val="99"/>
    <w:pPr>
      <w:autoSpaceDE w:val="0"/>
      <w:autoSpaceDN w:val="0"/>
      <w:adjustRightInd w:val="0"/>
      <w:spacing w:line="313" w:lineRule="atLeast"/>
    </w:pPr>
  </w:style>
  <w:style w:type="paragraph" w:customStyle="1" w:styleId="270">
    <w:name w:val="_Style 2"/>
    <w:basedOn w:val="1"/>
    <w:qFormat/>
    <w:uiPriority w:val="99"/>
    <w:pPr>
      <w:ind w:firstLine="420" w:firstLineChars="200"/>
    </w:pPr>
    <w:rPr>
      <w:rFonts w:ascii="Calibri" w:hAnsi="Calibri"/>
      <w:szCs w:val="22"/>
    </w:rPr>
  </w:style>
  <w:style w:type="paragraph" w:customStyle="1" w:styleId="271">
    <w:name w:val="Char Char Char"/>
    <w:basedOn w:val="1"/>
    <w:qFormat/>
    <w:uiPriority w:val="99"/>
    <w:rPr>
      <w:rFonts w:ascii="Tahoma" w:hAnsi="Tahoma"/>
      <w:szCs w:val="20"/>
    </w:rPr>
  </w:style>
  <w:style w:type="paragraph" w:customStyle="1" w:styleId="272">
    <w:name w:val="舟式样--正文"/>
    <w:basedOn w:val="1"/>
    <w:qFormat/>
    <w:uiPriority w:val="99"/>
    <w:pPr>
      <w:ind w:firstLine="200" w:firstLineChars="200"/>
    </w:pPr>
    <w:rPr>
      <w:rFonts w:ascii="FangSong_GB2312" w:eastAsia="Times New Roman"/>
      <w:sz w:val="28"/>
      <w:szCs w:val="22"/>
    </w:rPr>
  </w:style>
  <w:style w:type="paragraph" w:customStyle="1" w:styleId="273">
    <w:name w:val="-标题4-"/>
    <w:basedOn w:val="7"/>
    <w:qFormat/>
    <w:uiPriority w:val="99"/>
    <w:pPr>
      <w:tabs>
        <w:tab w:val="left" w:pos="0"/>
      </w:tabs>
      <w:ind w:left="851" w:hanging="851"/>
      <w:outlineLvl w:val="3"/>
    </w:pPr>
    <w:rPr>
      <w:color w:val="800080"/>
      <w:sz w:val="24"/>
    </w:rPr>
  </w:style>
  <w:style w:type="paragraph" w:customStyle="1" w:styleId="274">
    <w:name w:val="a 正文"/>
    <w:basedOn w:val="1"/>
    <w:qFormat/>
    <w:uiPriority w:val="99"/>
    <w:pPr>
      <w:spacing w:line="360" w:lineRule="auto"/>
      <w:ind w:firstLine="480"/>
    </w:pPr>
    <w:rPr>
      <w:rFonts w:ascii="宋体" w:hAnsi="宋体"/>
    </w:rPr>
  </w:style>
  <w:style w:type="paragraph" w:customStyle="1" w:styleId="275">
    <w:name w:val="**正文"/>
    <w:basedOn w:val="1"/>
    <w:qFormat/>
    <w:uiPriority w:val="99"/>
    <w:pPr>
      <w:spacing w:line="360" w:lineRule="auto"/>
      <w:ind w:firstLine="480" w:firstLineChars="200"/>
    </w:pPr>
  </w:style>
  <w:style w:type="paragraph" w:customStyle="1" w:styleId="276">
    <w:name w:val="图片居中"/>
    <w:basedOn w:val="277"/>
    <w:qFormat/>
    <w:uiPriority w:val="99"/>
    <w:pPr>
      <w:ind w:firstLine="0" w:firstLineChars="0"/>
      <w:jc w:val="center"/>
    </w:pPr>
  </w:style>
  <w:style w:type="paragraph" w:customStyle="1" w:styleId="277">
    <w:name w:val="哈哈正文"/>
    <w:basedOn w:val="1"/>
    <w:qFormat/>
    <w:uiPriority w:val="99"/>
    <w:pPr>
      <w:spacing w:line="360" w:lineRule="auto"/>
      <w:ind w:firstLine="200" w:firstLineChars="200"/>
    </w:pPr>
    <w:rPr>
      <w:rFonts w:ascii="宋体" w:hAnsi="宋体"/>
    </w:rPr>
  </w:style>
  <w:style w:type="paragraph" w:customStyle="1" w:styleId="278">
    <w:name w:val="_Style 10"/>
    <w:basedOn w:val="1"/>
    <w:qFormat/>
    <w:uiPriority w:val="99"/>
  </w:style>
  <w:style w:type="paragraph" w:customStyle="1" w:styleId="279">
    <w:name w:val="xl24"/>
    <w:basedOn w:val="1"/>
    <w:qFormat/>
    <w:uiPriority w:val="99"/>
    <w:pPr>
      <w:spacing w:before="100" w:beforeAutospacing="1" w:after="100" w:afterAutospacing="1"/>
      <w:jc w:val="right"/>
    </w:pPr>
    <w:rPr>
      <w:rFonts w:ascii="宋体" w:hAnsi="宋体"/>
    </w:rPr>
  </w:style>
  <w:style w:type="paragraph" w:customStyle="1" w:styleId="280">
    <w:name w:val="Byline"/>
    <w:basedOn w:val="1"/>
    <w:next w:val="1"/>
    <w:qFormat/>
    <w:uiPriority w:val="99"/>
    <w:pPr>
      <w:spacing w:line="360" w:lineRule="auto"/>
    </w:pPr>
    <w:rPr>
      <w:i/>
    </w:rPr>
  </w:style>
  <w:style w:type="paragraph" w:customStyle="1" w:styleId="281">
    <w:name w:val="批注主题 Char Char"/>
    <w:basedOn w:val="1"/>
    <w:qFormat/>
    <w:uiPriority w:val="99"/>
    <w:rPr>
      <w:szCs w:val="21"/>
    </w:rPr>
  </w:style>
  <w:style w:type="paragraph" w:customStyle="1" w:styleId="282">
    <w:name w:val="Char"/>
    <w:basedOn w:val="1"/>
    <w:qFormat/>
    <w:uiPriority w:val="99"/>
    <w:rPr>
      <w:szCs w:val="20"/>
    </w:rPr>
  </w:style>
  <w:style w:type="paragraph" w:customStyle="1" w:styleId="283">
    <w:name w:val="正文-王"/>
    <w:basedOn w:val="1"/>
    <w:qFormat/>
    <w:uiPriority w:val="99"/>
    <w:pPr>
      <w:spacing w:line="360" w:lineRule="auto"/>
      <w:ind w:firstLine="480" w:firstLineChars="200"/>
    </w:pPr>
    <w:rPr>
      <w:rFonts w:ascii="宋体" w:hAnsi="宋体"/>
    </w:rPr>
  </w:style>
  <w:style w:type="paragraph" w:customStyle="1" w:styleId="284">
    <w:name w:val="标准小四"/>
    <w:basedOn w:val="1"/>
    <w:qFormat/>
    <w:uiPriority w:val="99"/>
    <w:pPr>
      <w:spacing w:line="360" w:lineRule="auto"/>
      <w:ind w:firstLine="480" w:firstLineChars="200"/>
    </w:pPr>
    <w:rPr>
      <w:rFonts w:ascii="Arial" w:hAnsi="Arial"/>
    </w:rPr>
  </w:style>
  <w:style w:type="paragraph" w:customStyle="1" w:styleId="285">
    <w:name w:val="Char Char17 Char Char Char Char Char Char"/>
    <w:basedOn w:val="1"/>
    <w:qFormat/>
    <w:uiPriority w:val="99"/>
    <w:rPr>
      <w:szCs w:val="21"/>
    </w:rPr>
  </w:style>
  <w:style w:type="paragraph" w:customStyle="1" w:styleId="286">
    <w:name w:val="TOC 标题1"/>
    <w:basedOn w:val="5"/>
    <w:next w:val="1"/>
    <w:qFormat/>
    <w:uiPriority w:val="99"/>
    <w:pPr>
      <w:tabs>
        <w:tab w:val="left" w:pos="432"/>
      </w:tabs>
      <w:spacing w:beforeLines="100" w:afterLines="100" w:line="276" w:lineRule="auto"/>
      <w:outlineLvl w:val="9"/>
    </w:pPr>
    <w:rPr>
      <w:rFonts w:ascii="Cambria" w:hAnsi="Cambria"/>
      <w:color w:val="365F91"/>
      <w:kern w:val="0"/>
      <w:sz w:val="32"/>
      <w:szCs w:val="28"/>
    </w:rPr>
  </w:style>
  <w:style w:type="paragraph" w:customStyle="1" w:styleId="287">
    <w:name w:val="Notes Text List"/>
    <w:qFormat/>
    <w:uiPriority w:val="99"/>
    <w:pPr>
      <w:keepNext/>
      <w:keepLines/>
      <w:pBdr>
        <w:bottom w:val="single" w:color="auto" w:sz="8" w:space="5"/>
      </w:pBdr>
      <w:tabs>
        <w:tab w:val="left" w:pos="1418"/>
      </w:tabs>
      <w:ind w:left="360" w:hanging="360"/>
      <w:jc w:val="both"/>
    </w:pPr>
    <w:rPr>
      <w:rFonts w:ascii="Arial" w:hAnsi="Arial" w:eastAsia="楷体_GB2312" w:cs="Arial"/>
      <w:kern w:val="0"/>
      <w:sz w:val="21"/>
      <w:szCs w:val="21"/>
      <w:lang w:val="en-US" w:eastAsia="zh-CN" w:bidi="ar-SA"/>
    </w:rPr>
  </w:style>
  <w:style w:type="paragraph" w:customStyle="1" w:styleId="288">
    <w:name w:val="正文1"/>
    <w:basedOn w:val="1"/>
    <w:qFormat/>
    <w:uiPriority w:val="99"/>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9">
    <w:name w:val="列出段落2"/>
    <w:basedOn w:val="1"/>
    <w:qFormat/>
    <w:uiPriority w:val="99"/>
    <w:pPr>
      <w:ind w:firstLine="420" w:firstLineChars="200"/>
    </w:pPr>
    <w:rPr>
      <w:rFonts w:ascii="Calibri" w:hAnsi="Calibri"/>
      <w:szCs w:val="22"/>
    </w:rPr>
  </w:style>
  <w:style w:type="paragraph" w:customStyle="1" w:styleId="290">
    <w:name w:val="正文4"/>
    <w:basedOn w:val="1"/>
    <w:qFormat/>
    <w:uiPriority w:val="99"/>
    <w:pPr>
      <w:spacing w:before="60" w:after="60" w:line="360" w:lineRule="auto"/>
      <w:ind w:left="820" w:leftChars="400" w:hanging="420"/>
    </w:pPr>
  </w:style>
  <w:style w:type="paragraph" w:customStyle="1" w:styleId="291">
    <w:name w:val="Abstract Text"/>
    <w:qFormat/>
    <w:uiPriority w:val="99"/>
    <w:pPr>
      <w:tabs>
        <w:tab w:val="left" w:pos="1680"/>
      </w:tabs>
      <w:spacing w:line="280" w:lineRule="exact"/>
    </w:pPr>
    <w:rPr>
      <w:rFonts w:ascii="Arial" w:hAnsi="Arial" w:eastAsia="宋体" w:cs="Times New Roman"/>
      <w:kern w:val="0"/>
      <w:sz w:val="19"/>
      <w:szCs w:val="20"/>
      <w:lang w:val="en-US" w:eastAsia="en-US" w:bidi="ar-SA"/>
    </w:rPr>
  </w:style>
  <w:style w:type="paragraph" w:customStyle="1" w:styleId="292">
    <w:name w:val="正文对齐"/>
    <w:basedOn w:val="1"/>
    <w:qFormat/>
    <w:uiPriority w:val="99"/>
    <w:pPr>
      <w:spacing w:after="120" w:line="360" w:lineRule="auto"/>
      <w:ind w:left="400" w:leftChars="400"/>
    </w:pPr>
    <w:rPr>
      <w:szCs w:val="21"/>
    </w:rPr>
  </w:style>
  <w:style w:type="paragraph" w:customStyle="1" w:styleId="293">
    <w:name w:val="Char Char Char Char Char Char Char"/>
    <w:basedOn w:val="1"/>
    <w:qFormat/>
    <w:uiPriority w:val="99"/>
    <w:rPr>
      <w:szCs w:val="21"/>
    </w:rPr>
  </w:style>
  <w:style w:type="paragraph" w:customStyle="1" w:styleId="294">
    <w:name w:val="样式5"/>
    <w:basedOn w:val="9"/>
    <w:qFormat/>
    <w:uiPriority w:val="99"/>
    <w:pPr>
      <w:keepNext w:val="0"/>
      <w:keepLines w:val="0"/>
      <w:spacing w:before="60" w:after="60" w:line="360" w:lineRule="auto"/>
    </w:pPr>
    <w:rPr>
      <w:sz w:val="30"/>
      <w:szCs w:val="30"/>
    </w:rPr>
  </w:style>
  <w:style w:type="paragraph" w:customStyle="1" w:styleId="295">
    <w:name w:val="Char Char Char Char Char Char"/>
    <w:basedOn w:val="19"/>
    <w:qFormat/>
    <w:uiPriority w:val="99"/>
    <w:rPr>
      <w:rFonts w:ascii="Tahoma" w:hAnsi="Tahoma"/>
      <w:sz w:val="24"/>
    </w:rPr>
  </w:style>
  <w:style w:type="paragraph" w:customStyle="1" w:styleId="296">
    <w:name w:val="+正文"/>
    <w:basedOn w:val="1"/>
    <w:qFormat/>
    <w:uiPriority w:val="99"/>
    <w:pPr>
      <w:spacing w:line="360" w:lineRule="auto"/>
      <w:ind w:firstLine="200" w:firstLineChars="200"/>
    </w:pPr>
    <w:rPr>
      <w:szCs w:val="28"/>
    </w:rPr>
  </w:style>
  <w:style w:type="paragraph" w:customStyle="1" w:styleId="297">
    <w:name w:val="正文四号"/>
    <w:basedOn w:val="1"/>
    <w:qFormat/>
    <w:uiPriority w:val="99"/>
    <w:pPr>
      <w:spacing w:line="360" w:lineRule="auto"/>
    </w:pPr>
    <w:rPr>
      <w:rFonts w:eastAsia="仿宋"/>
      <w:sz w:val="28"/>
      <w:szCs w:val="20"/>
    </w:rPr>
  </w:style>
  <w:style w:type="paragraph" w:customStyle="1" w:styleId="298">
    <w:name w:val="样式 正文字缩1字 + 左侧:  1 字符 首行缩进:  2 字符"/>
    <w:basedOn w:val="299"/>
    <w:qFormat/>
    <w:uiPriority w:val="99"/>
    <w:pPr>
      <w:ind w:left="210" w:firstLine="480"/>
    </w:pPr>
    <w:rPr>
      <w:rFonts w:cs="宋体"/>
    </w:rPr>
  </w:style>
  <w:style w:type="paragraph" w:customStyle="1" w:styleId="299">
    <w:name w:val="正文字缩1字"/>
    <w:basedOn w:val="1"/>
    <w:qFormat/>
    <w:uiPriority w:val="99"/>
    <w:pPr>
      <w:spacing w:before="60" w:after="60" w:line="360" w:lineRule="auto"/>
      <w:ind w:left="100" w:leftChars="100" w:firstLine="200" w:firstLineChars="200"/>
    </w:pPr>
  </w:style>
  <w:style w:type="paragraph" w:customStyle="1" w:styleId="300">
    <w:name w:val="样式1"/>
    <w:basedOn w:val="5"/>
    <w:qFormat/>
    <w:uiPriority w:val="99"/>
    <w:pPr>
      <w:keepNext w:val="0"/>
      <w:keepLines w:val="0"/>
      <w:spacing w:before="240" w:after="120" w:line="360" w:lineRule="auto"/>
      <w:ind w:left="883" w:hanging="883" w:hangingChars="200"/>
    </w:pPr>
  </w:style>
  <w:style w:type="paragraph" w:customStyle="1" w:styleId="301">
    <w:name w:val="正文11"/>
    <w:basedOn w:val="1"/>
    <w:qFormat/>
    <w:uiPriority w:val="99"/>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302">
    <w:name w:val="Char Char Char Char Char Char1"/>
    <w:basedOn w:val="19"/>
    <w:qFormat/>
    <w:uiPriority w:val="99"/>
    <w:rPr>
      <w:rFonts w:ascii="Tahoma" w:hAnsi="Tahoma"/>
      <w:sz w:val="24"/>
    </w:rPr>
  </w:style>
  <w:style w:type="paragraph" w:customStyle="1" w:styleId="303">
    <w:name w:val="Abstract Title"/>
    <w:basedOn w:val="1"/>
    <w:next w:val="1"/>
    <w:qFormat/>
    <w:uiPriority w:val="99"/>
    <w:pPr>
      <w:pBdr>
        <w:top w:val="single" w:color="auto" w:sz="4" w:space="1"/>
      </w:pBdr>
      <w:spacing w:line="360" w:lineRule="auto"/>
    </w:pPr>
    <w:rPr>
      <w:b/>
    </w:rPr>
  </w:style>
  <w:style w:type="paragraph" w:customStyle="1" w:styleId="304">
    <w:name w:val="规划编号2"/>
    <w:basedOn w:val="1"/>
    <w:qFormat/>
    <w:uiPriority w:val="99"/>
    <w:pPr>
      <w:tabs>
        <w:tab w:val="left" w:pos="496"/>
        <w:tab w:val="left" w:pos="840"/>
      </w:tabs>
      <w:ind w:left="840" w:hanging="360"/>
    </w:pPr>
    <w:rPr>
      <w:rFonts w:ascii="宋体" w:hAnsi="宋体" w:cs="宋体"/>
    </w:rPr>
  </w:style>
  <w:style w:type="paragraph" w:customStyle="1" w:styleId="305">
    <w:name w:val="前加方框"/>
    <w:basedOn w:val="1"/>
    <w:qFormat/>
    <w:uiPriority w:val="99"/>
    <w:pPr>
      <w:spacing w:before="100" w:beforeAutospacing="1" w:after="100" w:afterAutospacing="1"/>
      <w:ind w:left="1134" w:hanging="567"/>
    </w:pPr>
    <w:rPr>
      <w:rFonts w:ascii="Verdana" w:hAnsi="Verdana" w:cs="宋体"/>
      <w:spacing w:val="2"/>
      <w:kern w:val="21"/>
      <w:sz w:val="28"/>
      <w:szCs w:val="28"/>
    </w:rPr>
  </w:style>
  <w:style w:type="paragraph" w:customStyle="1" w:styleId="306">
    <w:name w:val="此正文"/>
    <w:basedOn w:val="1"/>
    <w:qFormat/>
    <w:uiPriority w:val="99"/>
    <w:pPr>
      <w:spacing w:line="360" w:lineRule="auto"/>
      <w:ind w:firstLine="200" w:firstLineChars="200"/>
    </w:pPr>
  </w:style>
  <w:style w:type="paragraph" w:customStyle="1" w:styleId="307">
    <w:name w:val="_Style 52"/>
    <w:basedOn w:val="1"/>
    <w:qFormat/>
    <w:uiPriority w:val="99"/>
    <w:pPr>
      <w:widowControl w:val="0"/>
      <w:jc w:val="both"/>
    </w:pPr>
    <w:rPr>
      <w:kern w:val="2"/>
      <w:sz w:val="21"/>
    </w:rPr>
  </w:style>
  <w:style w:type="paragraph" w:customStyle="1" w:styleId="308">
    <w:name w:val="附录标题二"/>
    <w:basedOn w:val="6"/>
    <w:qFormat/>
    <w:uiPriority w:val="99"/>
    <w:pPr>
      <w:tabs>
        <w:tab w:val="left" w:pos="420"/>
        <w:tab w:val="left" w:pos="840"/>
      </w:tabs>
      <w:ind w:left="840" w:hanging="420"/>
    </w:pPr>
    <w:rPr>
      <w:rFonts w:ascii="宋体" w:hAnsi="宋体"/>
      <w:kern w:val="28"/>
      <w:lang w:eastAsia="en-US"/>
    </w:rPr>
  </w:style>
  <w:style w:type="paragraph" w:customStyle="1" w:styleId="309">
    <w:name w:val="Char3"/>
    <w:basedOn w:val="1"/>
    <w:qFormat/>
    <w:uiPriority w:val="99"/>
    <w:pPr>
      <w:tabs>
        <w:tab w:val="left" w:pos="360"/>
      </w:tabs>
    </w:pPr>
  </w:style>
  <w:style w:type="paragraph" w:customStyle="1" w:styleId="310">
    <w:name w:val="CM167"/>
    <w:basedOn w:val="260"/>
    <w:next w:val="260"/>
    <w:qFormat/>
    <w:uiPriority w:val="99"/>
    <w:pPr>
      <w:spacing w:before="0" w:after="120"/>
      <w:jc w:val="left"/>
    </w:pPr>
    <w:rPr>
      <w:rFonts w:ascii="黑体" w:eastAsia="黑体" w:cs="Times New Roman"/>
      <w:color w:val="auto"/>
    </w:rPr>
  </w:style>
  <w:style w:type="table" w:customStyle="1" w:styleId="311">
    <w:name w:val="表样式"/>
    <w:qFormat/>
    <w:uiPriority w:val="99"/>
    <w:pPr>
      <w:jc w:val="both"/>
    </w:pPr>
    <w:rPr>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2">
    <w:name w:val="纯文本字符1"/>
    <w:semiHidden/>
    <w:qFormat/>
    <w:uiPriority w:val="99"/>
    <w:rPr>
      <w:rFonts w:ascii="宋体" w:hAnsi="Courier" w:eastAsia="宋体"/>
    </w:rPr>
  </w:style>
  <w:style w:type="character" w:customStyle="1" w:styleId="313">
    <w:name w:val="标题 1 字符"/>
    <w:qFormat/>
    <w:uiPriority w:val="99"/>
    <w:rPr>
      <w:b/>
      <w:kern w:val="44"/>
      <w:sz w:val="44"/>
    </w:rPr>
  </w:style>
  <w:style w:type="character" w:customStyle="1" w:styleId="314">
    <w:name w:val="标题 3 字符"/>
    <w:qFormat/>
    <w:uiPriority w:val="99"/>
    <w:rPr>
      <w:b/>
      <w:kern w:val="2"/>
      <w:sz w:val="32"/>
    </w:rPr>
  </w:style>
  <w:style w:type="character" w:customStyle="1" w:styleId="315">
    <w:name w:val="标题 9 字符"/>
    <w:semiHidden/>
    <w:qFormat/>
    <w:uiPriority w:val="99"/>
    <w:rPr>
      <w:rFonts w:ascii="Calibri Light" w:hAnsi="Calibri Light" w:eastAsia="宋体"/>
      <w:kern w:val="2"/>
      <w:sz w:val="21"/>
    </w:rPr>
  </w:style>
  <w:style w:type="character" w:customStyle="1" w:styleId="316">
    <w:name w:val="批注框文本 字符"/>
    <w:qFormat/>
    <w:uiPriority w:val="99"/>
    <w:rPr>
      <w:kern w:val="2"/>
      <w:sz w:val="18"/>
    </w:rPr>
  </w:style>
  <w:style w:type="character" w:customStyle="1" w:styleId="317">
    <w:name w:val="文档结构图 字符"/>
    <w:qFormat/>
    <w:uiPriority w:val="99"/>
    <w:rPr>
      <w:rFonts w:ascii="宋体"/>
      <w:kern w:val="2"/>
      <w:sz w:val="18"/>
    </w:rPr>
  </w:style>
  <w:style w:type="character" w:customStyle="1" w:styleId="318">
    <w:name w:val="HTML 预设格式 Char"/>
    <w:basedOn w:val="59"/>
    <w:qFormat/>
    <w:uiPriority w:val="99"/>
    <w:rPr>
      <w:rFonts w:ascii="Courier New" w:hAnsi="Courier New" w:cs="Courier New"/>
    </w:rPr>
  </w:style>
  <w:style w:type="paragraph" w:customStyle="1" w:styleId="319">
    <w:name w:val="f1"/>
    <w:basedOn w:val="1"/>
    <w:qFormat/>
    <w:uiPriority w:val="99"/>
    <w:pPr>
      <w:spacing w:before="100" w:beforeAutospacing="1" w:after="100" w:afterAutospacing="1"/>
      <w:jc w:val="center"/>
    </w:pPr>
    <w:rPr>
      <w:rFonts w:ascii="Helvetica" w:hAnsi="Helvetica" w:cs="Helvetica"/>
      <w:b/>
      <w:bCs/>
      <w:color w:val="FF8080"/>
      <w:spacing w:val="160"/>
      <w:sz w:val="80"/>
      <w:szCs w:val="80"/>
    </w:rPr>
  </w:style>
  <w:style w:type="paragraph" w:customStyle="1" w:styleId="320">
    <w:name w:val="表内文字"/>
    <w:basedOn w:val="1"/>
    <w:qFormat/>
    <w:uiPriority w:val="99"/>
    <w:pPr>
      <w:widowControl w:val="0"/>
      <w:tabs>
        <w:tab w:val="left" w:pos="1418"/>
      </w:tabs>
      <w:spacing w:line="360" w:lineRule="auto"/>
      <w:jc w:val="center"/>
    </w:pPr>
    <w:rPr>
      <w:rFonts w:ascii="FangSong_GB2312" w:eastAsia="Times New Roman"/>
      <w:spacing w:val="-20"/>
    </w:rPr>
  </w:style>
  <w:style w:type="paragraph" w:customStyle="1" w:styleId="321">
    <w:name w:val="默认段落字体 Para Char Char Char Char Char Char Char Char Char1 Char Char Char Char"/>
    <w:basedOn w:val="1"/>
    <w:qFormat/>
    <w:uiPriority w:val="99"/>
    <w:pPr>
      <w:widowControl w:val="0"/>
      <w:jc w:val="both"/>
    </w:pPr>
    <w:rPr>
      <w:rFonts w:ascii="Tahoma" w:hAnsi="Tahoma"/>
      <w:kern w:val="2"/>
      <w:szCs w:val="20"/>
    </w:rPr>
  </w:style>
  <w:style w:type="paragraph" w:customStyle="1" w:styleId="322">
    <w:name w:val="_Style 311"/>
    <w:basedOn w:val="1"/>
    <w:next w:val="107"/>
    <w:link w:val="323"/>
    <w:qFormat/>
    <w:uiPriority w:val="99"/>
    <w:pPr>
      <w:widowControl w:val="0"/>
      <w:autoSpaceDE w:val="0"/>
      <w:autoSpaceDN w:val="0"/>
      <w:adjustRightInd w:val="0"/>
      <w:ind w:firstLine="420" w:firstLineChars="200"/>
      <w:jc w:val="both"/>
    </w:pPr>
    <w:rPr>
      <w:color w:val="000000"/>
      <w:sz w:val="21"/>
      <w:szCs w:val="20"/>
    </w:rPr>
  </w:style>
  <w:style w:type="character" w:customStyle="1" w:styleId="323">
    <w:name w:val="列表段落 字符"/>
    <w:link w:val="322"/>
    <w:qFormat/>
    <w:locked/>
    <w:uiPriority w:val="99"/>
    <w:rPr>
      <w:color w:val="000000"/>
      <w:sz w:val="21"/>
    </w:rPr>
  </w:style>
  <w:style w:type="paragraph" w:customStyle="1" w:styleId="324">
    <w:name w:val="封面标题"/>
    <w:basedOn w:val="1"/>
    <w:qFormat/>
    <w:uiPriority w:val="99"/>
    <w:pPr>
      <w:widowControl w:val="0"/>
      <w:spacing w:line="360" w:lineRule="auto"/>
      <w:jc w:val="center"/>
    </w:pPr>
    <w:rPr>
      <w:rFonts w:ascii="仿宋" w:hAnsi="仿宋" w:eastAsia="仿宋" w:cs="宋体"/>
      <w:b/>
      <w:bCs/>
      <w:kern w:val="2"/>
      <w:sz w:val="30"/>
      <w:szCs w:val="30"/>
    </w:rPr>
  </w:style>
  <w:style w:type="paragraph" w:customStyle="1" w:styleId="325">
    <w:name w:val="需求标题1"/>
    <w:basedOn w:val="1"/>
    <w:next w:val="326"/>
    <w:qFormat/>
    <w:uiPriority w:val="99"/>
    <w:pPr>
      <w:widowControl w:val="0"/>
      <w:spacing w:before="60" w:after="20"/>
      <w:jc w:val="both"/>
      <w:outlineLvl w:val="1"/>
    </w:pPr>
    <w:rPr>
      <w:rFonts w:ascii="黑体" w:hAnsi="黑体" w:eastAsia="黑体"/>
      <w:kern w:val="2"/>
      <w:sz w:val="28"/>
      <w:szCs w:val="28"/>
    </w:rPr>
  </w:style>
  <w:style w:type="paragraph" w:customStyle="1" w:styleId="326">
    <w:name w:val="正文内容"/>
    <w:basedOn w:val="1"/>
    <w:qFormat/>
    <w:uiPriority w:val="99"/>
    <w:pPr>
      <w:widowControl w:val="0"/>
      <w:ind w:firstLine="420" w:firstLineChars="200"/>
    </w:pPr>
    <w:rPr>
      <w:rFonts w:ascii="宋体" w:hAnsi="Calibri"/>
      <w:kern w:val="2"/>
      <w:sz w:val="21"/>
      <w:szCs w:val="21"/>
    </w:rPr>
  </w:style>
  <w:style w:type="paragraph" w:customStyle="1" w:styleId="327">
    <w:name w:val="需求标题2"/>
    <w:basedOn w:val="1"/>
    <w:next w:val="326"/>
    <w:qFormat/>
    <w:uiPriority w:val="99"/>
    <w:pPr>
      <w:widowControl w:val="0"/>
      <w:spacing w:before="40"/>
      <w:ind w:firstLine="560" w:firstLineChars="200"/>
      <w:jc w:val="both"/>
      <w:outlineLvl w:val="2"/>
    </w:pPr>
    <w:rPr>
      <w:rFonts w:ascii="Calibri" w:hAnsi="Calibri" w:eastAsia="黑体"/>
      <w:kern w:val="2"/>
      <w:sz w:val="28"/>
    </w:rPr>
  </w:style>
  <w:style w:type="paragraph" w:customStyle="1" w:styleId="328">
    <w:name w:val="需求标题3"/>
    <w:basedOn w:val="1"/>
    <w:next w:val="1"/>
    <w:qFormat/>
    <w:uiPriority w:val="99"/>
    <w:pPr>
      <w:widowControl w:val="0"/>
      <w:ind w:firstLine="482"/>
      <w:jc w:val="both"/>
      <w:outlineLvl w:val="3"/>
    </w:pPr>
    <w:rPr>
      <w:rFonts w:ascii="宋体" w:hAnsi="宋体" w:cs="宋体"/>
      <w:b/>
      <w:kern w:val="2"/>
      <w:szCs w:val="20"/>
    </w:rPr>
  </w:style>
  <w:style w:type="paragraph" w:customStyle="1" w:styleId="329">
    <w:name w:val="样式 首行缩进:  0 字符"/>
    <w:basedOn w:val="1"/>
    <w:qFormat/>
    <w:uiPriority w:val="99"/>
    <w:pPr>
      <w:widowControl w:val="0"/>
      <w:spacing w:line="360" w:lineRule="auto"/>
      <w:ind w:firstLine="200" w:firstLineChars="200"/>
      <w:jc w:val="both"/>
    </w:pPr>
    <w:rPr>
      <w:kern w:val="2"/>
      <w:szCs w:val="20"/>
    </w:rPr>
  </w:style>
  <w:style w:type="paragraph" w:customStyle="1" w:styleId="330">
    <w:name w:val="Char Char Char Char Char Char Char Char Char"/>
    <w:basedOn w:val="1"/>
    <w:qFormat/>
    <w:uiPriority w:val="99"/>
    <w:pPr>
      <w:widowControl w:val="0"/>
      <w:jc w:val="both"/>
    </w:pPr>
    <w:rPr>
      <w:rFonts w:ascii="Calibri" w:hAnsi="Calibri"/>
      <w:kern w:val="2"/>
      <w:sz w:val="21"/>
      <w:szCs w:val="22"/>
    </w:rPr>
  </w:style>
  <w:style w:type="character" w:customStyle="1" w:styleId="331">
    <w:name w:val="Char Char2"/>
    <w:qFormat/>
    <w:uiPriority w:val="99"/>
    <w:rPr>
      <w:rFonts w:ascii="宋体" w:eastAsia="宋体"/>
      <w:sz w:val="24"/>
    </w:rPr>
  </w:style>
  <w:style w:type="character" w:customStyle="1" w:styleId="332">
    <w:name w:val="正文表格内容 Char Char"/>
    <w:link w:val="333"/>
    <w:qFormat/>
    <w:locked/>
    <w:uiPriority w:val="99"/>
    <w:rPr>
      <w:rFonts w:ascii="Arial" w:hAnsi="Arial"/>
      <w:sz w:val="18"/>
    </w:rPr>
  </w:style>
  <w:style w:type="paragraph" w:customStyle="1" w:styleId="333">
    <w:name w:val="正文表格内容"/>
    <w:basedOn w:val="1"/>
    <w:link w:val="332"/>
    <w:qFormat/>
    <w:uiPriority w:val="99"/>
    <w:rPr>
      <w:rFonts w:ascii="Arial" w:hAnsi="Arial"/>
      <w:sz w:val="18"/>
      <w:szCs w:val="20"/>
    </w:rPr>
  </w:style>
  <w:style w:type="paragraph" w:customStyle="1" w:styleId="334">
    <w:name w:val="列出段落11"/>
    <w:basedOn w:val="1"/>
    <w:qFormat/>
    <w:uiPriority w:val="99"/>
    <w:pPr>
      <w:widowControl w:val="0"/>
      <w:ind w:firstLine="420" w:firstLineChars="200"/>
      <w:jc w:val="both"/>
    </w:pPr>
    <w:rPr>
      <w:rFonts w:ascii="Calibri" w:hAnsi="Calibri" w:cs="黑体"/>
      <w:kern w:val="2"/>
      <w:sz w:val="21"/>
      <w:szCs w:val="22"/>
    </w:rPr>
  </w:style>
  <w:style w:type="paragraph" w:customStyle="1" w:styleId="335">
    <w:name w:val="列出段落5"/>
    <w:basedOn w:val="1"/>
    <w:qFormat/>
    <w:uiPriority w:val="99"/>
    <w:pPr>
      <w:widowControl w:val="0"/>
      <w:ind w:firstLine="420" w:firstLineChars="200"/>
      <w:jc w:val="both"/>
    </w:pPr>
    <w:rPr>
      <w:rFonts w:ascii="Calibri" w:hAnsi="Calibri" w:cs="Calibri"/>
      <w:kern w:val="2"/>
      <w:sz w:val="21"/>
      <w:szCs w:val="21"/>
    </w:rPr>
  </w:style>
  <w:style w:type="character" w:customStyle="1" w:styleId="336">
    <w:name w:val="正文文本 字符"/>
    <w:qFormat/>
    <w:uiPriority w:val="99"/>
    <w:rPr>
      <w:kern w:val="2"/>
      <w:sz w:val="24"/>
    </w:rPr>
  </w:style>
  <w:style w:type="character" w:customStyle="1" w:styleId="337">
    <w:name w:val="正文文本首行缩进 字符"/>
    <w:qFormat/>
    <w:uiPriority w:val="99"/>
    <w:rPr>
      <w:kern w:val="2"/>
      <w:sz w:val="24"/>
    </w:rPr>
  </w:style>
  <w:style w:type="character" w:customStyle="1" w:styleId="338">
    <w:name w:val="批注文字 字符"/>
    <w:qFormat/>
    <w:uiPriority w:val="99"/>
    <w:rPr>
      <w:kern w:val="2"/>
      <w:sz w:val="24"/>
    </w:rPr>
  </w:style>
  <w:style w:type="table" w:customStyle="1" w:styleId="339">
    <w:name w:val="TableGrid"/>
    <w:qFormat/>
    <w:uiPriority w:val="99"/>
    <w:rPr>
      <w:rFonts w:ascii="Calibri" w:hAnsi="Calibri"/>
      <w:kern w:val="0"/>
      <w:sz w:val="20"/>
      <w:szCs w:val="20"/>
    </w:rPr>
    <w:tblPr>
      <w:tblCellMar>
        <w:top w:w="0" w:type="dxa"/>
        <w:left w:w="0" w:type="dxa"/>
        <w:bottom w:w="0" w:type="dxa"/>
        <w:right w:w="0" w:type="dxa"/>
      </w:tblCellMar>
    </w:tblPr>
  </w:style>
  <w:style w:type="paragraph" w:customStyle="1" w:styleId="340">
    <w:name w:val="无间隔1"/>
    <w:link w:val="341"/>
    <w:qFormat/>
    <w:uiPriority w:val="99"/>
    <w:pPr>
      <w:widowControl w:val="0"/>
      <w:jc w:val="both"/>
    </w:pPr>
    <w:rPr>
      <w:rFonts w:ascii="Times New Roman" w:hAnsi="Times New Roman" w:eastAsia="宋体" w:cs="Times New Roman"/>
      <w:kern w:val="2"/>
      <w:sz w:val="22"/>
      <w:szCs w:val="22"/>
      <w:lang w:val="en-US" w:eastAsia="zh-CN" w:bidi="ar-SA"/>
    </w:rPr>
  </w:style>
  <w:style w:type="character" w:customStyle="1" w:styleId="341">
    <w:name w:val="无间隔 字符"/>
    <w:link w:val="340"/>
    <w:qFormat/>
    <w:locked/>
    <w:uiPriority w:val="99"/>
    <w:rPr>
      <w:kern w:val="2"/>
      <w:sz w:val="22"/>
    </w:rPr>
  </w:style>
  <w:style w:type="paragraph" w:customStyle="1" w:styleId="342">
    <w:name w:val="TOC 标题2"/>
    <w:basedOn w:val="5"/>
    <w:next w:val="1"/>
    <w:qFormat/>
    <w:uiPriority w:val="99"/>
    <w:pPr>
      <w:spacing w:before="480" w:after="0" w:line="276" w:lineRule="auto"/>
      <w:outlineLvl w:val="9"/>
    </w:pPr>
    <w:rPr>
      <w:rFonts w:ascii="Cambria" w:hAnsi="Cambria"/>
      <w:color w:val="365F91"/>
      <w:kern w:val="0"/>
      <w:sz w:val="28"/>
      <w:szCs w:val="28"/>
    </w:rPr>
  </w:style>
  <w:style w:type="character" w:customStyle="1" w:styleId="343">
    <w:name w:val="页脚 字符"/>
    <w:qFormat/>
    <w:locked/>
    <w:uiPriority w:val="99"/>
    <w:rPr>
      <w:rFonts w:eastAsia="黑体"/>
      <w:sz w:val="18"/>
    </w:rPr>
  </w:style>
  <w:style w:type="character" w:customStyle="1" w:styleId="344">
    <w:name w:val="页眉 字符"/>
    <w:qFormat/>
    <w:locked/>
    <w:uiPriority w:val="99"/>
    <w:rPr>
      <w:rFonts w:eastAsia="Times New Roman"/>
      <w:kern w:val="2"/>
      <w:sz w:val="18"/>
    </w:rPr>
  </w:style>
  <w:style w:type="character" w:customStyle="1" w:styleId="345">
    <w:name w:val="批注主题 字符"/>
    <w:qFormat/>
    <w:uiPriority w:val="99"/>
    <w:rPr>
      <w:b/>
      <w:kern w:val="2"/>
      <w:sz w:val="24"/>
    </w:rPr>
  </w:style>
  <w:style w:type="paragraph" w:customStyle="1" w:styleId="346">
    <w:name w:val="修订1"/>
    <w:qFormat/>
    <w:uiPriority w:val="99"/>
    <w:rPr>
      <w:rFonts w:ascii="Times New Roman" w:hAnsi="Times New Roman" w:eastAsia="宋体" w:cs="Times New Roman"/>
      <w:kern w:val="0"/>
      <w:sz w:val="24"/>
      <w:szCs w:val="24"/>
      <w:lang w:val="en-US" w:eastAsia="zh-CN" w:bidi="ar-SA"/>
    </w:rPr>
  </w:style>
  <w:style w:type="character" w:customStyle="1" w:styleId="347">
    <w:name w:val="批注文字 Char3"/>
    <w:basedOn w:val="59"/>
    <w:semiHidden/>
    <w:qFormat/>
    <w:uiPriority w:val="99"/>
    <w:rPr>
      <w:rFonts w:ascii="Times New Roman" w:hAnsi="Times New Roman" w:eastAsia="宋体" w:cs="Times New Roman"/>
      <w:kern w:val="0"/>
      <w:sz w:val="24"/>
      <w:szCs w:val="24"/>
    </w:rPr>
  </w:style>
  <w:style w:type="character" w:customStyle="1" w:styleId="348">
    <w:name w:val="页脚 Char2"/>
    <w:basedOn w:val="59"/>
    <w:semiHidden/>
    <w:qFormat/>
    <w:uiPriority w:val="99"/>
    <w:rPr>
      <w:rFonts w:ascii="Times New Roman" w:hAnsi="Times New Roman" w:eastAsia="宋体" w:cs="Times New Roman"/>
      <w:kern w:val="0"/>
      <w:sz w:val="18"/>
      <w:szCs w:val="18"/>
    </w:rPr>
  </w:style>
  <w:style w:type="character" w:customStyle="1" w:styleId="349">
    <w:name w:val="正文文本 3 Char1"/>
    <w:basedOn w:val="59"/>
    <w:semiHidden/>
    <w:qFormat/>
    <w:uiPriority w:val="99"/>
    <w:rPr>
      <w:rFonts w:ascii="Times New Roman" w:hAnsi="Times New Roman" w:eastAsia="宋体" w:cs="Times New Roman"/>
      <w:kern w:val="0"/>
      <w:sz w:val="16"/>
      <w:szCs w:val="16"/>
    </w:rPr>
  </w:style>
  <w:style w:type="character" w:customStyle="1" w:styleId="350">
    <w:name w:val="正文文本缩进 Char2"/>
    <w:basedOn w:val="59"/>
    <w:semiHidden/>
    <w:qFormat/>
    <w:uiPriority w:val="99"/>
    <w:rPr>
      <w:rFonts w:ascii="Times New Roman" w:hAnsi="Times New Roman" w:eastAsia="宋体" w:cs="Times New Roman"/>
      <w:kern w:val="0"/>
      <w:sz w:val="24"/>
      <w:szCs w:val="24"/>
    </w:rPr>
  </w:style>
  <w:style w:type="character" w:customStyle="1" w:styleId="351">
    <w:name w:val="正文首行缩进 2 Char1"/>
    <w:basedOn w:val="350"/>
    <w:semiHidden/>
    <w:qFormat/>
    <w:uiPriority w:val="99"/>
  </w:style>
  <w:style w:type="character" w:customStyle="1" w:styleId="352">
    <w:name w:val="正文文本 Char3"/>
    <w:basedOn w:val="59"/>
    <w:semiHidden/>
    <w:qFormat/>
    <w:uiPriority w:val="99"/>
    <w:rPr>
      <w:rFonts w:ascii="Times New Roman" w:hAnsi="Times New Roman" w:eastAsia="宋体" w:cs="Times New Roman"/>
      <w:kern w:val="0"/>
      <w:sz w:val="24"/>
      <w:szCs w:val="24"/>
    </w:rPr>
  </w:style>
  <w:style w:type="character" w:customStyle="1" w:styleId="353">
    <w:name w:val="正文首行缩进 Char2"/>
    <w:basedOn w:val="352"/>
    <w:semiHidden/>
    <w:qFormat/>
    <w:uiPriority w:val="99"/>
  </w:style>
  <w:style w:type="character" w:customStyle="1" w:styleId="354">
    <w:name w:val="批注框文本 Char2"/>
    <w:basedOn w:val="59"/>
    <w:semiHidden/>
    <w:qFormat/>
    <w:uiPriority w:val="99"/>
    <w:rPr>
      <w:rFonts w:ascii="Times New Roman" w:hAnsi="Times New Roman" w:eastAsia="宋体" w:cs="Times New Roman"/>
      <w:kern w:val="0"/>
      <w:sz w:val="18"/>
      <w:szCs w:val="18"/>
    </w:rPr>
  </w:style>
  <w:style w:type="character" w:customStyle="1" w:styleId="355">
    <w:name w:val="批注主题 Char1"/>
    <w:basedOn w:val="347"/>
    <w:semiHidden/>
    <w:qFormat/>
    <w:uiPriority w:val="99"/>
    <w:rPr>
      <w:b/>
      <w:bCs/>
    </w:rPr>
  </w:style>
  <w:style w:type="character" w:customStyle="1" w:styleId="356">
    <w:name w:val="纯文本 Char4"/>
    <w:basedOn w:val="59"/>
    <w:semiHidden/>
    <w:qFormat/>
    <w:uiPriority w:val="99"/>
    <w:rPr>
      <w:rFonts w:ascii="宋体" w:hAnsi="Courier New" w:eastAsia="宋体" w:cs="Courier New"/>
      <w:kern w:val="0"/>
      <w:sz w:val="21"/>
      <w:szCs w:val="21"/>
    </w:rPr>
  </w:style>
  <w:style w:type="character" w:customStyle="1" w:styleId="357">
    <w:name w:val="标题 Char1"/>
    <w:basedOn w:val="59"/>
    <w:qFormat/>
    <w:uiPriority w:val="99"/>
    <w:rPr>
      <w:rFonts w:ascii="Cambria" w:hAnsi="Cambria" w:eastAsia="宋体" w:cs="Times New Roman"/>
      <w:b/>
      <w:bCs/>
      <w:kern w:val="0"/>
      <w:sz w:val="32"/>
      <w:szCs w:val="32"/>
    </w:rPr>
  </w:style>
  <w:style w:type="character" w:customStyle="1" w:styleId="358">
    <w:name w:val="页眉 Char2"/>
    <w:basedOn w:val="59"/>
    <w:semiHidden/>
    <w:qFormat/>
    <w:uiPriority w:val="99"/>
    <w:rPr>
      <w:rFonts w:ascii="Times New Roman" w:hAnsi="Times New Roman" w:eastAsia="宋体" w:cs="Times New Roman"/>
      <w:kern w:val="0"/>
      <w:sz w:val="18"/>
      <w:szCs w:val="18"/>
    </w:rPr>
  </w:style>
  <w:style w:type="character" w:customStyle="1" w:styleId="359">
    <w:name w:val="文档结构图 Char1"/>
    <w:basedOn w:val="59"/>
    <w:semiHidden/>
    <w:qFormat/>
    <w:uiPriority w:val="99"/>
    <w:rPr>
      <w:rFonts w:ascii="宋体" w:hAnsi="Times New Roman" w:eastAsia="宋体" w:cs="Times New Roman"/>
      <w:kern w:val="0"/>
      <w:sz w:val="18"/>
      <w:szCs w:val="18"/>
    </w:rPr>
  </w:style>
  <w:style w:type="character" w:customStyle="1" w:styleId="360">
    <w:name w:val="bookmark-item"/>
    <w:basedOn w:val="59"/>
    <w:qFormat/>
    <w:uiPriority w:val="99"/>
    <w:rPr>
      <w:rFonts w:cs="Times New Roman"/>
    </w:rPr>
  </w:style>
  <w:style w:type="paragraph" w:customStyle="1" w:styleId="361">
    <w:name w:val="Char Char Char Char Char Char Char Char Char Char Char Char Char"/>
    <w:basedOn w:val="1"/>
    <w:qFormat/>
    <w:uiPriority w:val="99"/>
    <w:pPr>
      <w:autoSpaceDE w:val="0"/>
      <w:autoSpaceDN w:val="0"/>
      <w:adjustRightInd w:val="0"/>
      <w:spacing w:after="160" w:line="240" w:lineRule="exact"/>
    </w:pPr>
    <w:rPr>
      <w:color w:val="000000"/>
      <w:sz w:val="21"/>
      <w:szCs w:val="21"/>
    </w:rPr>
  </w:style>
  <w:style w:type="character" w:customStyle="1" w:styleId="362">
    <w:name w:val="正文2 Char Char"/>
    <w:qFormat/>
    <w:uiPriority w:val="99"/>
    <w:rPr>
      <w:rFonts w:eastAsia="宋体"/>
      <w:kern w:val="2"/>
      <w:sz w:val="24"/>
      <w:lang w:val="en-US" w:eastAsia="zh-CN"/>
    </w:rPr>
  </w:style>
  <w:style w:type="paragraph" w:customStyle="1" w:styleId="363">
    <w:name w:val="text-tag"/>
    <w:basedOn w:val="1"/>
    <w:semiHidden/>
    <w:qFormat/>
    <w:uiPriority w:val="99"/>
    <w:pPr>
      <w:spacing w:before="100" w:beforeAutospacing="1" w:after="100" w:afterAutospacing="1"/>
    </w:pPr>
    <w:rPr>
      <w:rFonts w:ascii="宋体" w:hAnsi="宋体" w:cs="宋体"/>
    </w:rPr>
  </w:style>
  <w:style w:type="paragraph" w:customStyle="1" w:styleId="364">
    <w:name w:val="正文首行缩进2字符"/>
    <w:basedOn w:val="1"/>
    <w:qFormat/>
    <w:uiPriority w:val="99"/>
    <w:pPr>
      <w:adjustRightInd w:val="0"/>
      <w:snapToGrid w:val="0"/>
    </w:pPr>
    <w:rPr>
      <w:szCs w:val="21"/>
    </w:rPr>
  </w:style>
  <w:style w:type="character" w:customStyle="1" w:styleId="365">
    <w:name w:val="列表段落 字符1"/>
    <w:link w:val="366"/>
    <w:qFormat/>
    <w:locked/>
    <w:uiPriority w:val="99"/>
    <w:rPr>
      <w:rFonts w:ascii="Calibri" w:hAnsi="Calibri"/>
      <w:kern w:val="2"/>
      <w:sz w:val="22"/>
    </w:rPr>
  </w:style>
  <w:style w:type="paragraph" w:customStyle="1" w:styleId="366">
    <w:name w:val="列表段落1"/>
    <w:basedOn w:val="1"/>
    <w:link w:val="365"/>
    <w:qFormat/>
    <w:uiPriority w:val="99"/>
    <w:pPr>
      <w:ind w:firstLine="420" w:firstLineChars="200"/>
    </w:pPr>
    <w:rPr>
      <w:rFonts w:ascii="Calibri" w:hAnsi="Calibri"/>
      <w:kern w:val="2"/>
      <w:sz w:val="22"/>
      <w:szCs w:val="20"/>
    </w:rPr>
  </w:style>
  <w:style w:type="paragraph" w:customStyle="1" w:styleId="367">
    <w:name w:val="标题 21"/>
    <w:basedOn w:val="288"/>
    <w:next w:val="288"/>
    <w:qFormat/>
    <w:uiPriority w:val="99"/>
    <w:pPr>
      <w:keepNext/>
      <w:keepLines/>
      <w:ind w:firstLine="200" w:firstLineChars="200"/>
      <w:outlineLvl w:val="1"/>
    </w:pPr>
    <w:rPr>
      <w:rFonts w:cs="Arial"/>
      <w:b/>
      <w:bCs/>
      <w:szCs w:val="32"/>
    </w:rPr>
  </w:style>
  <w:style w:type="paragraph" w:customStyle="1" w:styleId="368">
    <w:name w:val="无间隔1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9">
    <w:name w:val="首行缩进"/>
    <w:basedOn w:val="1"/>
    <w:qFormat/>
    <w:uiPriority w:val="99"/>
    <w:pPr>
      <w:spacing w:line="360" w:lineRule="auto"/>
      <w:ind w:firstLine="480" w:firstLineChars="200"/>
    </w:pPr>
    <w:rPr>
      <w:lang w:val="zh-CN"/>
    </w:rPr>
  </w:style>
  <w:style w:type="paragraph" w:customStyle="1" w:styleId="370">
    <w:name w:val="修订2"/>
    <w:hidden/>
    <w:semiHidden/>
    <w:qFormat/>
    <w:uiPriority w:val="99"/>
    <w:rPr>
      <w:rFonts w:ascii="Times New Roman" w:hAnsi="Times New Roman" w:eastAsia="宋体" w:cs="Times New Roman"/>
      <w:kern w:val="0"/>
      <w:sz w:val="24"/>
      <w:szCs w:val="24"/>
      <w:lang w:val="en-US" w:eastAsia="zh-CN" w:bidi="ar-SA"/>
    </w:rPr>
  </w:style>
  <w:style w:type="paragraph" w:customStyle="1" w:styleId="371">
    <w:name w:val="正文 New New New New"/>
    <w:qFormat/>
    <w:uiPriority w:val="99"/>
    <w:pPr>
      <w:widowControl w:val="0"/>
      <w:jc w:val="both"/>
    </w:pPr>
    <w:rPr>
      <w:rFonts w:ascii="Times New Roman" w:hAnsi="Times New Roman" w:eastAsia="宋体" w:cs="Times New Roman"/>
      <w:kern w:val="0"/>
      <w:sz w:val="20"/>
      <w:szCs w:val="24"/>
      <w:lang w:val="en-US" w:eastAsia="zh-CN" w:bidi="ar-SA"/>
    </w:rPr>
  </w:style>
  <w:style w:type="character" w:customStyle="1" w:styleId="372">
    <w:name w:val="font71"/>
    <w:basedOn w:val="59"/>
    <w:qFormat/>
    <w:uiPriority w:val="99"/>
    <w:rPr>
      <w:rFonts w:ascii="宋体" w:hAnsi="宋体" w:eastAsia="宋体" w:cs="宋体"/>
      <w:color w:val="000000"/>
      <w:sz w:val="24"/>
      <w:szCs w:val="24"/>
      <w:u w:val="none"/>
    </w:rPr>
  </w:style>
  <w:style w:type="character" w:customStyle="1" w:styleId="373">
    <w:name w:val="font81"/>
    <w:basedOn w:val="59"/>
    <w:qFormat/>
    <w:uiPriority w:val="99"/>
    <w:rPr>
      <w:rFonts w:ascii="宋体" w:hAnsi="宋体" w:eastAsia="宋体" w:cs="宋体"/>
      <w:color w:val="000000"/>
      <w:sz w:val="24"/>
      <w:szCs w:val="24"/>
      <w:u w:val="none"/>
    </w:rPr>
  </w:style>
  <w:style w:type="character" w:customStyle="1" w:styleId="374">
    <w:name w:val="font91"/>
    <w:basedOn w:val="59"/>
    <w:qFormat/>
    <w:uiPriority w:val="99"/>
    <w:rPr>
      <w:rFonts w:ascii="Times New Roman" w:hAnsi="Times New Roman" w:cs="Times New Roman"/>
      <w:color w:val="000000"/>
      <w:sz w:val="24"/>
      <w:szCs w:val="24"/>
      <w:u w:val="none"/>
    </w:rPr>
  </w:style>
  <w:style w:type="character" w:customStyle="1" w:styleId="375">
    <w:name w:val="NormalCharacter"/>
    <w:qFormat/>
    <w:uiPriority w:val="99"/>
    <w:rPr>
      <w:rFonts w:ascii="Times New Roman" w:hAnsi="Times New Roman" w:eastAsia="宋体"/>
      <w:kern w:val="2"/>
      <w:sz w:val="21"/>
      <w:lang w:val="en-US" w:eastAsia="zh-CN"/>
    </w:rPr>
  </w:style>
  <w:style w:type="paragraph" w:customStyle="1" w:styleId="376">
    <w:name w:val="表格正文"/>
    <w:qFormat/>
    <w:uiPriority w:val="99"/>
    <w:pPr>
      <w:spacing w:before="80" w:after="80" w:line="360" w:lineRule="auto"/>
      <w:contextualSpacing/>
      <w:textAlignment w:val="center"/>
    </w:pPr>
    <w:rPr>
      <w:rFonts w:ascii="宋体" w:hAnsi="宋体" w:eastAsia="宋体" w:cs="方正兰亭黑简体"/>
      <w:kern w:val="2"/>
      <w:sz w:val="21"/>
      <w:szCs w:val="21"/>
      <w:lang w:val="en-US" w:eastAsia="zh-CN" w:bidi="ar-SA"/>
    </w:rPr>
  </w:style>
  <w:style w:type="table" w:customStyle="1" w:styleId="377">
    <w:name w:val="Table1"/>
    <w:qFormat/>
    <w:uiPriority w:val="99"/>
    <w:pPr>
      <w:spacing w:line="360" w:lineRule="auto"/>
    </w:pPr>
    <w:rPr>
      <w:kern w:val="0"/>
      <w:sz w:val="24"/>
      <w:szCs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style>
  <w:style w:type="character" w:customStyle="1" w:styleId="378">
    <w:name w:val="交叉引用"/>
    <w:basedOn w:val="59"/>
    <w:qFormat/>
    <w:uiPriority w:val="99"/>
    <w:rPr>
      <w:rFonts w:cs="Times New Roman"/>
      <w:color w:val="0000FF"/>
      <w:u w:val="single"/>
    </w:rPr>
  </w:style>
  <w:style w:type="paragraph" w:customStyle="1" w:styleId="379">
    <w:name w:val="纯文本2"/>
    <w:basedOn w:val="1"/>
    <w:qFormat/>
    <w:uiPriority w:val="99"/>
    <w:pPr>
      <w:adjustRightInd w:val="0"/>
      <w:textAlignment w:val="baseline"/>
    </w:pPr>
    <w:rPr>
      <w:rFonts w:ascii="宋体" w:hAnsi="Courier New" w:eastAsia="楷体_GB2312"/>
      <w:sz w:val="26"/>
    </w:rPr>
  </w:style>
  <w:style w:type="character" w:customStyle="1" w:styleId="380">
    <w:name w:val="font41"/>
    <w:basedOn w:val="59"/>
    <w:qFormat/>
    <w:uiPriority w:val="99"/>
    <w:rPr>
      <w:rFonts w:ascii="宋体" w:hAnsi="宋体" w:eastAsia="宋体" w:cs="宋体"/>
      <w:color w:val="000000"/>
      <w:sz w:val="24"/>
      <w:szCs w:val="24"/>
      <w:u w:val="none"/>
    </w:rPr>
  </w:style>
  <w:style w:type="paragraph" w:customStyle="1" w:styleId="381">
    <w:name w:val="正文缩进 New"/>
    <w:basedOn w:val="1"/>
    <w:qFormat/>
    <w:uiPriority w:val="99"/>
    <w:pPr>
      <w:adjustRightInd w:val="0"/>
      <w:ind w:firstLine="420"/>
      <w:textAlignment w:val="baseline"/>
    </w:pPr>
    <w:rPr>
      <w:rFonts w:eastAsia="楷体_GB2312"/>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64</Pages>
  <Words>7023</Word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2023-10-17T08:03:00Z</dcterms:created>
  <dc:creator>Administrator</dc:creator>
  <cp:lastModifiedBy>Administrator</cp:lastModifiedBy>
  <cp:lastPrinted>2025-01-20T07:15:08Z</cp:lastPrinted>
  <dcterms:modified xsi:type="dcterms:W3CDTF">2025-01-20T07:18:32Z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29E9FCDED2314C14B9DC6BCA69154D53_13</vt:lpwstr>
  </property>
</Properties>
</file>