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EF3">
      <w:pPr>
        <w:jc w:val="center"/>
        <w:rPr>
          <w:rFonts w:hint="eastAsia" w:ascii="宋体"/>
          <w:b/>
          <w:color w:val="auto"/>
          <w:sz w:val="44"/>
          <w:szCs w:val="44"/>
          <w:highlight w:val="none"/>
        </w:rPr>
      </w:pPr>
      <w:bookmarkStart w:id="0" w:name="_Toc27710"/>
      <w:r>
        <w:rPr>
          <w:rFonts w:hint="eastAsia" w:ascii="宋体"/>
          <w:b/>
          <w:color w:val="auto"/>
          <w:sz w:val="44"/>
          <w:szCs w:val="44"/>
          <w:highlight w:val="none"/>
        </w:rPr>
        <w:t>政府采购招标文件确认表</w:t>
      </w:r>
      <w:bookmarkEnd w:id="0"/>
    </w:p>
    <w:p w14:paraId="61AE8280">
      <w:pPr>
        <w:pStyle w:val="34"/>
        <w:rPr>
          <w:rFonts w:hint="eastAsia"/>
          <w:b/>
          <w:color w:val="auto"/>
          <w:sz w:val="44"/>
          <w:szCs w:val="44"/>
          <w:highlight w:val="none"/>
        </w:rPr>
      </w:pPr>
    </w:p>
    <w:tbl>
      <w:tblPr>
        <w:tblStyle w:val="5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455"/>
        <w:gridCol w:w="5515"/>
      </w:tblGrid>
      <w:tr w14:paraId="691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64E916AC">
            <w:pPr>
              <w:spacing w:line="40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6AA2AC0">
            <w:pPr>
              <w:spacing w:line="400" w:lineRule="exact"/>
              <w:rPr>
                <w:rFonts w:hint="eastAsia"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eastAsia="zh-CN"/>
              </w:rPr>
              <w:t>磐安县盘峰乡人民政府 </w:t>
            </w:r>
          </w:p>
        </w:tc>
      </w:tr>
      <w:tr w14:paraId="041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195E6010">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72154611">
            <w:pPr>
              <w:spacing w:line="400" w:lineRule="exact"/>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lang w:eastAsia="zh-CN"/>
              </w:rPr>
              <w:t>浙江诚远工程咨询有限公司</w:t>
            </w:r>
          </w:p>
        </w:tc>
      </w:tr>
      <w:tr w14:paraId="00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2A6468BD">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招标项目名称</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5B7BD232">
            <w:pPr>
              <w:spacing w:line="400" w:lineRule="exact"/>
              <w:rPr>
                <w:rFonts w:hint="eastAsia" w:ascii="宋体" w:hAnsi="宋体" w:eastAsia="宋体" w:cs="宋体"/>
                <w:color w:val="auto"/>
                <w:sz w:val="30"/>
                <w:szCs w:val="30"/>
                <w:highlight w:val="none"/>
                <w:lang w:eastAsia="zh-CN"/>
              </w:rPr>
            </w:pPr>
            <w:r>
              <w:rPr>
                <w:rFonts w:hint="eastAsia" w:ascii="宋体" w:hAnsi="宋体" w:eastAsia="宋体" w:cs="宋体"/>
                <w:i w:val="0"/>
                <w:iCs w:val="0"/>
                <w:caps w:val="0"/>
                <w:color w:val="232323"/>
                <w:spacing w:val="0"/>
                <w:sz w:val="28"/>
                <w:szCs w:val="28"/>
                <w:shd w:val="clear" w:fill="FFFFFF"/>
                <w:lang w:eastAsia="zh-CN"/>
              </w:rPr>
              <w:t>2025年盘峰乡松材线虫病枯死松树清理服务项目（高二片区)</w:t>
            </w:r>
          </w:p>
        </w:tc>
      </w:tr>
      <w:tr w14:paraId="6CA6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725FEAB3">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财政审批号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56E667E">
            <w:pPr>
              <w:spacing w:line="4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磐财采确临[2025]2389号-002</w:t>
            </w:r>
          </w:p>
        </w:tc>
      </w:tr>
      <w:tr w14:paraId="5D7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50D6EB4">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招标项目编号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19362896">
            <w:pPr>
              <w:spacing w:line="400" w:lineRule="exact"/>
              <w:rPr>
                <w:rFonts w:hint="default" w:ascii="宋体" w:hAnsi="宋体" w:eastAsia="宋体" w:cs="宋体"/>
                <w:bCs/>
                <w:color w:val="auto"/>
                <w:sz w:val="30"/>
                <w:szCs w:val="30"/>
                <w:highlight w:val="none"/>
                <w:lang w:val="en-US" w:eastAsia="zh-CN"/>
              </w:rPr>
            </w:pPr>
            <w:r>
              <w:rPr>
                <w:rFonts w:hint="eastAsia" w:ascii="宋体" w:hAnsi="宋体" w:cs="宋体"/>
                <w:color w:val="auto"/>
                <w:sz w:val="30"/>
                <w:szCs w:val="30"/>
                <w:highlight w:val="none"/>
                <w:lang w:eastAsia="zh-CN"/>
              </w:rPr>
              <w:t>ZJCY-PA20250</w:t>
            </w:r>
            <w:r>
              <w:rPr>
                <w:rFonts w:hint="eastAsia" w:ascii="宋体" w:hAnsi="宋体" w:cs="宋体"/>
                <w:color w:val="auto"/>
                <w:sz w:val="30"/>
                <w:szCs w:val="30"/>
                <w:highlight w:val="none"/>
                <w:lang w:val="en-US" w:eastAsia="zh-CN"/>
              </w:rPr>
              <w:t>07</w:t>
            </w:r>
            <w:r>
              <w:rPr>
                <w:rFonts w:hint="eastAsia" w:ascii="宋体" w:hAnsi="宋体" w:cs="宋体"/>
                <w:color w:val="auto"/>
                <w:sz w:val="30"/>
                <w:szCs w:val="30"/>
                <w:highlight w:val="none"/>
                <w:lang w:eastAsia="zh-CN"/>
              </w:rPr>
              <w:t>号</w:t>
            </w:r>
          </w:p>
        </w:tc>
      </w:tr>
      <w:tr w14:paraId="7E6B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636" w:type="dxa"/>
            <w:gridSpan w:val="2"/>
            <w:tcBorders>
              <w:top w:val="single" w:color="auto" w:sz="4" w:space="0"/>
              <w:left w:val="single" w:color="auto" w:sz="4" w:space="0"/>
              <w:bottom w:val="single" w:color="auto" w:sz="4" w:space="0"/>
              <w:right w:val="single" w:color="auto" w:sz="4" w:space="0"/>
            </w:tcBorders>
          </w:tcPr>
          <w:p w14:paraId="6C06D628">
            <w:pPr>
              <w:spacing w:line="360" w:lineRule="auto"/>
              <w:jc w:val="left"/>
              <w:rPr>
                <w:rFonts w:hint="eastAsia" w:ascii="宋体" w:hAnsi="宋体" w:eastAsia="宋体" w:cs="宋体"/>
                <w:color w:val="auto"/>
                <w:sz w:val="30"/>
                <w:highlight w:val="none"/>
              </w:rPr>
            </w:pPr>
          </w:p>
          <w:p w14:paraId="7453D71A">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经办人：（签名）</w:t>
            </w:r>
          </w:p>
          <w:p w14:paraId="163743F2">
            <w:pPr>
              <w:spacing w:line="360" w:lineRule="auto"/>
              <w:jc w:val="left"/>
              <w:rPr>
                <w:rFonts w:hint="eastAsia" w:ascii="宋体" w:hAnsi="宋体" w:eastAsia="宋体" w:cs="宋体"/>
                <w:color w:val="auto"/>
                <w:sz w:val="30"/>
                <w:highlight w:val="none"/>
              </w:rPr>
            </w:pPr>
          </w:p>
          <w:p w14:paraId="77AD3FE8">
            <w:pPr>
              <w:pStyle w:val="49"/>
              <w:rPr>
                <w:rFonts w:hint="eastAsia"/>
              </w:rPr>
            </w:pPr>
          </w:p>
          <w:p w14:paraId="05946720">
            <w:pPr>
              <w:spacing w:line="360" w:lineRule="auto"/>
              <w:jc w:val="left"/>
              <w:rPr>
                <w:rFonts w:hint="eastAsia" w:ascii="宋体" w:hAnsi="宋体" w:eastAsia="宋体" w:cs="宋体"/>
                <w:color w:val="auto"/>
                <w:sz w:val="30"/>
                <w:highlight w:val="none"/>
              </w:rPr>
            </w:pPr>
            <w:r>
              <w:rPr>
                <w:rFonts w:hint="eastAsia" w:ascii="宋体" w:hAnsi="宋体" w:cs="宋体"/>
                <w:color w:val="auto"/>
                <w:sz w:val="30"/>
                <w:highlight w:val="none"/>
                <w:lang w:val="en-US" w:eastAsia="zh-CN"/>
              </w:rPr>
              <w:t>项目</w:t>
            </w:r>
            <w:r>
              <w:rPr>
                <w:rFonts w:hint="eastAsia" w:ascii="宋体" w:hAnsi="宋体" w:eastAsia="宋体" w:cs="宋体"/>
                <w:color w:val="auto"/>
                <w:sz w:val="30"/>
                <w:highlight w:val="none"/>
              </w:rPr>
              <w:t>负责人：（签名）</w:t>
            </w:r>
          </w:p>
          <w:p w14:paraId="3FF82D73">
            <w:pPr>
              <w:pStyle w:val="3"/>
              <w:jc w:val="left"/>
              <w:rPr>
                <w:rFonts w:hint="eastAsia"/>
                <w:color w:val="auto"/>
                <w:highlight w:val="none"/>
              </w:rPr>
            </w:pPr>
          </w:p>
          <w:p w14:paraId="4DAA87C6">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采购单位：（盖章）</w:t>
            </w:r>
          </w:p>
          <w:p w14:paraId="21A07A3D">
            <w:pPr>
              <w:spacing w:line="360" w:lineRule="auto"/>
              <w:jc w:val="left"/>
              <w:rPr>
                <w:rFonts w:hint="eastAsia" w:ascii="宋体" w:hAnsi="宋体" w:eastAsia="宋体" w:cs="宋体"/>
                <w:color w:val="auto"/>
                <w:sz w:val="30"/>
                <w:highlight w:val="none"/>
              </w:rPr>
            </w:pPr>
          </w:p>
          <w:p w14:paraId="3A64A404">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eastAsia="zh-CN"/>
              </w:rPr>
              <w:t>2025</w:t>
            </w:r>
            <w:r>
              <w:rPr>
                <w:rFonts w:hint="eastAsia" w:ascii="宋体" w:hAnsi="宋体" w:eastAsia="宋体" w:cs="宋体"/>
                <w:color w:val="auto"/>
                <w:sz w:val="30"/>
                <w:highlight w:val="none"/>
              </w:rPr>
              <w:t>年</w:t>
            </w:r>
            <w:r>
              <w:rPr>
                <w:rFonts w:hint="eastAsia" w:ascii="宋体" w:hAnsi="宋体" w:cs="宋体"/>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11</w:t>
            </w:r>
            <w:r>
              <w:rPr>
                <w:rFonts w:hint="eastAsia" w:ascii="仿宋_GB2312" w:eastAsia="仿宋_GB2312"/>
                <w:color w:val="auto"/>
                <w:sz w:val="30"/>
                <w:highlight w:val="none"/>
              </w:rPr>
              <w:t>日</w:t>
            </w:r>
          </w:p>
        </w:tc>
        <w:tc>
          <w:tcPr>
            <w:tcW w:w="5515" w:type="dxa"/>
            <w:tcBorders>
              <w:top w:val="single" w:color="auto" w:sz="4" w:space="0"/>
              <w:left w:val="single" w:color="auto" w:sz="4" w:space="0"/>
              <w:bottom w:val="single" w:color="auto" w:sz="4" w:space="0"/>
              <w:right w:val="single" w:color="auto" w:sz="4" w:space="0"/>
            </w:tcBorders>
            <w:vAlign w:val="bottom"/>
          </w:tcPr>
          <w:p w14:paraId="2B514A19">
            <w:pPr>
              <w:spacing w:line="360" w:lineRule="auto"/>
              <w:jc w:val="left"/>
              <w:rPr>
                <w:rFonts w:hint="eastAsia" w:ascii="宋体" w:hAnsi="宋体" w:cs="宋体"/>
                <w:color w:val="auto"/>
                <w:sz w:val="30"/>
                <w:highlight w:val="none"/>
              </w:rPr>
            </w:pPr>
          </w:p>
          <w:p w14:paraId="6CCC98E2">
            <w:pPr>
              <w:spacing w:line="360" w:lineRule="auto"/>
              <w:jc w:val="left"/>
              <w:rPr>
                <w:rFonts w:hint="eastAsia" w:ascii="宋体" w:hAnsi="宋体" w:cs="宋体"/>
                <w:color w:val="auto"/>
                <w:sz w:val="30"/>
                <w:highlight w:val="none"/>
              </w:rPr>
            </w:pPr>
          </w:p>
          <w:p w14:paraId="7EE70D17">
            <w:pPr>
              <w:spacing w:line="360" w:lineRule="auto"/>
              <w:jc w:val="left"/>
              <w:rPr>
                <w:rFonts w:hint="eastAsia" w:ascii="宋体" w:hAnsi="宋体" w:cs="宋体"/>
                <w:color w:val="auto"/>
                <w:sz w:val="30"/>
                <w:highlight w:val="none"/>
              </w:rPr>
            </w:pPr>
            <w:r>
              <w:rPr>
                <w:rFonts w:hint="eastAsia" w:ascii="宋体" w:hAnsi="宋体" w:cs="宋体"/>
                <w:bCs/>
                <w:color w:val="auto"/>
                <w:sz w:val="30"/>
                <w:szCs w:val="30"/>
                <w:highlight w:val="none"/>
                <w:lang w:eastAsia="zh-CN"/>
              </w:rPr>
              <w:t>浙江诚远工程咨询有限公司</w:t>
            </w:r>
            <w:r>
              <w:rPr>
                <w:rFonts w:hint="eastAsia" w:ascii="宋体" w:hAnsi="宋体" w:cs="宋体"/>
                <w:color w:val="auto"/>
                <w:sz w:val="30"/>
                <w:szCs w:val="30"/>
                <w:highlight w:val="none"/>
              </w:rPr>
              <w:t>：</w:t>
            </w:r>
            <w:r>
              <w:rPr>
                <w:rFonts w:hint="eastAsia" w:ascii="宋体" w:hAnsi="宋体" w:cs="宋体"/>
                <w:color w:val="auto"/>
                <w:sz w:val="30"/>
                <w:highlight w:val="none"/>
              </w:rPr>
              <w:t>（盖章）</w:t>
            </w:r>
          </w:p>
          <w:p w14:paraId="750888E1">
            <w:pPr>
              <w:pStyle w:val="22"/>
              <w:jc w:val="left"/>
              <w:rPr>
                <w:rFonts w:hint="eastAsia" w:cs="宋体"/>
                <w:color w:val="auto"/>
                <w:kern w:val="2"/>
                <w:sz w:val="30"/>
                <w:highlight w:val="none"/>
              </w:rPr>
            </w:pPr>
          </w:p>
          <w:p w14:paraId="604528FE">
            <w:pPr>
              <w:ind w:firstLine="480"/>
              <w:rPr>
                <w:rFonts w:hint="eastAsia"/>
                <w:color w:val="auto"/>
                <w:highlight w:val="none"/>
              </w:rPr>
            </w:pPr>
          </w:p>
          <w:p w14:paraId="5D04526C">
            <w:pPr>
              <w:spacing w:line="360" w:lineRule="auto"/>
              <w:jc w:val="left"/>
              <w:rPr>
                <w:rFonts w:hint="eastAsia" w:ascii="宋体" w:hAnsi="宋体" w:cs="宋体"/>
                <w:color w:val="auto"/>
                <w:sz w:val="30"/>
                <w:highlight w:val="none"/>
              </w:rPr>
            </w:pPr>
          </w:p>
          <w:p w14:paraId="62E80344">
            <w:pPr>
              <w:spacing w:line="360" w:lineRule="auto"/>
              <w:jc w:val="left"/>
              <w:rPr>
                <w:rFonts w:hint="eastAsia" w:ascii="宋体" w:hAnsi="宋体" w:cs="宋体"/>
                <w:color w:val="auto"/>
                <w:sz w:val="30"/>
                <w:highlight w:val="none"/>
              </w:rPr>
            </w:pPr>
          </w:p>
          <w:p w14:paraId="64A161D8">
            <w:pPr>
              <w:spacing w:line="360" w:lineRule="auto"/>
              <w:jc w:val="left"/>
              <w:rPr>
                <w:rFonts w:hint="eastAsia" w:ascii="宋体" w:hAnsi="宋体" w:cs="宋体"/>
                <w:color w:val="auto"/>
                <w:sz w:val="30"/>
                <w:highlight w:val="none"/>
              </w:rPr>
            </w:pPr>
          </w:p>
          <w:p w14:paraId="71172D78">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val="en-US" w:eastAsia="zh-CN"/>
              </w:rPr>
              <w:t>2025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11</w:t>
            </w:r>
            <w:r>
              <w:rPr>
                <w:rFonts w:hint="eastAsia" w:ascii="仿宋_GB2312" w:eastAsia="仿宋_GB2312"/>
                <w:color w:val="auto"/>
                <w:sz w:val="30"/>
                <w:highlight w:val="none"/>
              </w:rPr>
              <w:t>日</w:t>
            </w:r>
          </w:p>
        </w:tc>
      </w:tr>
    </w:tbl>
    <w:p w14:paraId="4926A74B">
      <w:pPr>
        <w:spacing w:before="0" w:beforeLines="-2147483648" w:line="240" w:lineRule="auto"/>
        <w:jc w:val="left"/>
        <w:rPr>
          <w:rFonts w:hint="eastAsia" w:ascii="宋体" w:hAnsi="宋体" w:cs="宋体"/>
          <w:b/>
          <w:bCs w:val="0"/>
          <w:color w:val="auto"/>
          <w:sz w:val="52"/>
          <w:szCs w:val="52"/>
          <w:highlight w:val="none"/>
          <w:lang w:eastAsia="zh-CN"/>
        </w:rPr>
      </w:pPr>
      <w:r>
        <w:rPr>
          <w:rFonts w:hint="eastAsia" w:ascii="宋体" w:hAnsi="宋体" w:cs="宋体"/>
          <w:b/>
          <w:bCs w:val="0"/>
          <w:color w:val="auto"/>
          <w:sz w:val="52"/>
          <w:szCs w:val="52"/>
          <w:highlight w:val="none"/>
          <w:lang w:eastAsia="zh-CN"/>
        </w:rPr>
        <w:br w:type="page"/>
      </w:r>
    </w:p>
    <w:p w14:paraId="06706344">
      <w:pPr>
        <w:spacing w:before="120" w:beforeLines="50" w:line="48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52"/>
          <w:szCs w:val="52"/>
          <w:highlight w:val="none"/>
          <w:lang w:eastAsia="zh-CN"/>
        </w:rPr>
        <w:t>2025年盘峰乡松材线虫病枯死松树清理服务项目（高二片区)</w:t>
      </w:r>
    </w:p>
    <w:p w14:paraId="454884F8">
      <w:pPr>
        <w:spacing w:before="120" w:beforeLines="50" w:line="276" w:lineRule="auto"/>
        <w:jc w:val="center"/>
        <w:rPr>
          <w:rFonts w:hint="eastAsia" w:ascii="宋体" w:hAnsi="宋体"/>
          <w:color w:val="auto"/>
          <w:sz w:val="48"/>
          <w:szCs w:val="48"/>
          <w:highlight w:val="none"/>
        </w:rPr>
      </w:pPr>
    </w:p>
    <w:p w14:paraId="7F7F1A46">
      <w:pPr>
        <w:spacing w:before="120" w:beforeLines="50" w:line="276" w:lineRule="auto"/>
        <w:jc w:val="center"/>
        <w:rPr>
          <w:rFonts w:ascii="宋体" w:hAnsi="宋体"/>
          <w:color w:val="auto"/>
          <w:sz w:val="72"/>
          <w:szCs w:val="72"/>
          <w:highlight w:val="none"/>
        </w:rPr>
      </w:pPr>
      <w:r>
        <w:rPr>
          <w:rFonts w:hint="eastAsia" w:ascii="宋体" w:hAnsi="宋体"/>
          <w:color w:val="auto"/>
          <w:sz w:val="48"/>
          <w:szCs w:val="48"/>
          <w:highlight w:val="none"/>
        </w:rPr>
        <w:t>公开招标采购文件</w:t>
      </w:r>
    </w:p>
    <w:p w14:paraId="4C0F1BA2">
      <w:pPr>
        <w:spacing w:before="120" w:beforeLines="50" w:line="276" w:lineRule="auto"/>
        <w:jc w:val="center"/>
        <w:rPr>
          <w:rFonts w:ascii="宋体" w:hAnsi="宋体"/>
          <w:color w:val="auto"/>
          <w:sz w:val="72"/>
          <w:szCs w:val="72"/>
          <w:highlight w:val="none"/>
        </w:rPr>
      </w:pPr>
    </w:p>
    <w:p w14:paraId="35253B77">
      <w:pPr>
        <w:pStyle w:val="71"/>
        <w:rPr>
          <w:color w:val="auto"/>
          <w:highlight w:val="none"/>
        </w:rPr>
      </w:pPr>
    </w:p>
    <w:p w14:paraId="6FA68D33">
      <w:pPr>
        <w:snapToGrid w:val="0"/>
        <w:spacing w:before="120" w:beforeLines="50" w:line="276" w:lineRule="auto"/>
        <w:jc w:val="center"/>
        <w:rPr>
          <w:rFonts w:hAnsi="宋体"/>
          <w:b/>
          <w:bCs/>
          <w:color w:val="auto"/>
          <w:sz w:val="28"/>
          <w:szCs w:val="28"/>
          <w:highlight w:val="none"/>
        </w:rPr>
      </w:pPr>
      <w:r>
        <w:rPr>
          <w:rFonts w:ascii="仿宋_GB2312" w:hAnsi="新宋体" w:eastAsia="仿宋_GB2312"/>
          <w:b/>
          <w:color w:val="auto"/>
          <w:sz w:val="32"/>
          <w:highlight w:val="none"/>
        </w:rPr>
        <w:drawing>
          <wp:inline distT="0" distB="0" distL="0" distR="0">
            <wp:extent cx="3869690" cy="1330325"/>
            <wp:effectExtent l="0" t="0" r="165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9" cstate="print"/>
                    <a:srcRect/>
                    <a:stretch>
                      <a:fillRect/>
                    </a:stretch>
                  </pic:blipFill>
                  <pic:spPr>
                    <a:xfrm>
                      <a:off x="0" y="0"/>
                      <a:ext cx="3869690" cy="1330325"/>
                    </a:xfrm>
                    <a:prstGeom prst="rect">
                      <a:avLst/>
                    </a:prstGeom>
                    <a:ln>
                      <a:noFill/>
                    </a:ln>
                  </pic:spPr>
                </pic:pic>
              </a:graphicData>
            </a:graphic>
          </wp:inline>
        </w:drawing>
      </w:r>
    </w:p>
    <w:p w14:paraId="7308F0B5">
      <w:pPr>
        <w:pStyle w:val="29"/>
        <w:snapToGrid w:val="0"/>
        <w:spacing w:before="120" w:after="120" w:line="276" w:lineRule="auto"/>
        <w:rPr>
          <w:rFonts w:hAnsi="宋体"/>
          <w:b/>
          <w:bCs/>
          <w:color w:val="auto"/>
          <w:sz w:val="28"/>
          <w:szCs w:val="28"/>
          <w:highlight w:val="none"/>
        </w:rPr>
      </w:pPr>
    </w:p>
    <w:p w14:paraId="5DA7A67C">
      <w:pPr>
        <w:rPr>
          <w:color w:val="auto"/>
          <w:highlight w:val="none"/>
        </w:rPr>
      </w:pPr>
    </w:p>
    <w:p w14:paraId="27C601B7">
      <w:pPr>
        <w:rPr>
          <w:rFonts w:hAnsi="宋体"/>
          <w:b/>
          <w:bCs/>
          <w:color w:val="auto"/>
          <w:sz w:val="28"/>
          <w:szCs w:val="28"/>
          <w:highlight w:val="none"/>
        </w:rPr>
      </w:pPr>
    </w:p>
    <w:p w14:paraId="484012AB">
      <w:pPr>
        <w:pStyle w:val="22"/>
        <w:rPr>
          <w:color w:val="auto"/>
          <w:highlight w:val="none"/>
        </w:rPr>
      </w:pPr>
    </w:p>
    <w:p w14:paraId="6C200C60">
      <w:pPr>
        <w:pStyle w:val="29"/>
        <w:snapToGrid w:val="0"/>
        <w:spacing w:before="120" w:after="120" w:line="276" w:lineRule="auto"/>
        <w:rPr>
          <w:rFonts w:hint="eastAsia" w:ascii="宋体" w:hAnsi="宋体" w:cs="宋体"/>
          <w:color w:val="auto"/>
          <w:sz w:val="30"/>
          <w:szCs w:val="30"/>
          <w:highlight w:val="none"/>
          <w:lang w:eastAsia="zh-CN"/>
        </w:rPr>
      </w:pPr>
      <w:r>
        <w:rPr>
          <w:rFonts w:hAnsi="宋体"/>
          <w:b w:val="0"/>
          <w:bCs w:val="0"/>
          <w:color w:val="auto"/>
          <w:sz w:val="28"/>
          <w:szCs w:val="28"/>
          <w:highlight w:val="none"/>
        </w:rPr>
        <w:t>项目编号</w:t>
      </w:r>
      <w:r>
        <w:rPr>
          <w:rFonts w:hint="eastAsia" w:ascii="Times New Roman" w:hAnsi="宋体"/>
          <w:b w:val="0"/>
          <w:bCs w:val="0"/>
          <w:color w:val="auto"/>
          <w:sz w:val="28"/>
          <w:szCs w:val="28"/>
          <w:highlight w:val="none"/>
        </w:rPr>
        <w:t>：</w:t>
      </w:r>
      <w:bookmarkStart w:id="1" w:name="_Toc8881"/>
      <w:r>
        <w:rPr>
          <w:rFonts w:hint="eastAsia" w:ascii="宋体" w:hAnsi="宋体" w:cs="宋体"/>
          <w:color w:val="auto"/>
          <w:sz w:val="30"/>
          <w:szCs w:val="30"/>
          <w:highlight w:val="none"/>
          <w:lang w:eastAsia="zh-CN"/>
        </w:rPr>
        <w:t>ZJCY-PA20250</w:t>
      </w:r>
      <w:r>
        <w:rPr>
          <w:rFonts w:hint="eastAsia" w:ascii="宋体" w:hAnsi="宋体" w:cs="宋体"/>
          <w:color w:val="auto"/>
          <w:sz w:val="30"/>
          <w:szCs w:val="30"/>
          <w:highlight w:val="none"/>
          <w:lang w:val="en-US" w:eastAsia="zh-CN"/>
        </w:rPr>
        <w:t>07</w:t>
      </w:r>
      <w:r>
        <w:rPr>
          <w:rFonts w:hint="eastAsia" w:ascii="宋体" w:hAnsi="宋体" w:cs="宋体"/>
          <w:color w:val="auto"/>
          <w:sz w:val="30"/>
          <w:szCs w:val="30"/>
          <w:highlight w:val="none"/>
          <w:lang w:eastAsia="zh-CN"/>
        </w:rPr>
        <w:t>号</w:t>
      </w:r>
    </w:p>
    <w:p w14:paraId="3790C592">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r>
        <w:rPr>
          <w:rFonts w:hint="eastAsia" w:ascii="Times New Roman" w:hAnsi="宋体" w:eastAsia="宋体" w:cs="Times New Roman"/>
          <w:b w:val="0"/>
          <w:bCs w:val="0"/>
          <w:color w:val="auto"/>
          <w:sz w:val="28"/>
          <w:szCs w:val="28"/>
          <w:highlight w:val="none"/>
        </w:rPr>
        <w:t>项目名称：</w:t>
      </w:r>
      <w:bookmarkEnd w:id="1"/>
      <w:r>
        <w:rPr>
          <w:rFonts w:hint="eastAsia" w:hAnsi="宋体" w:cs="宋体"/>
          <w:bCs/>
          <w:color w:val="auto"/>
          <w:sz w:val="30"/>
          <w:szCs w:val="30"/>
          <w:highlight w:val="none"/>
          <w:lang w:eastAsia="zh-CN"/>
        </w:rPr>
        <w:t>2025年盘峰乡松材线虫病枯死松树清理服务项目（高二片区)</w:t>
      </w:r>
    </w:p>
    <w:p w14:paraId="2A4B586F">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2" w:name="_Toc4102"/>
      <w:r>
        <w:rPr>
          <w:rFonts w:hint="eastAsia" w:ascii="Times New Roman" w:hAnsi="宋体" w:eastAsia="宋体" w:cs="Times New Roman"/>
          <w:b w:val="0"/>
          <w:bCs w:val="0"/>
          <w:color w:val="auto"/>
          <w:sz w:val="28"/>
          <w:szCs w:val="28"/>
          <w:highlight w:val="none"/>
        </w:rPr>
        <w:t>采购单位：</w:t>
      </w:r>
      <w:bookmarkEnd w:id="2"/>
      <w:r>
        <w:rPr>
          <w:rFonts w:hint="eastAsia" w:hAnsi="宋体" w:cs="宋体"/>
          <w:bCs/>
          <w:color w:val="auto"/>
          <w:sz w:val="30"/>
          <w:szCs w:val="30"/>
          <w:highlight w:val="none"/>
          <w:lang w:eastAsia="zh-CN"/>
        </w:rPr>
        <w:t>磐安县盘峰乡人民政府 </w:t>
      </w:r>
    </w:p>
    <w:p w14:paraId="64F0FABD">
      <w:pPr>
        <w:pStyle w:val="29"/>
        <w:snapToGrid w:val="0"/>
        <w:spacing w:before="120" w:after="120" w:line="276" w:lineRule="auto"/>
        <w:rPr>
          <w:rFonts w:hint="eastAsia" w:hAnsi="宋体" w:eastAsia="宋体"/>
          <w:b w:val="0"/>
          <w:bCs w:val="0"/>
          <w:color w:val="auto"/>
          <w:sz w:val="28"/>
          <w:szCs w:val="28"/>
          <w:highlight w:val="none"/>
          <w:lang w:eastAsia="zh-CN"/>
        </w:rPr>
      </w:pPr>
      <w:bookmarkStart w:id="3" w:name="_Toc14828"/>
      <w:r>
        <w:rPr>
          <w:rFonts w:hint="eastAsia" w:hAnsi="宋体"/>
          <w:b w:val="0"/>
          <w:bCs w:val="0"/>
          <w:color w:val="auto"/>
          <w:sz w:val="28"/>
          <w:szCs w:val="28"/>
          <w:highlight w:val="none"/>
          <w:lang w:eastAsia="zh-CN"/>
        </w:rPr>
        <w:t>代理</w:t>
      </w:r>
      <w:r>
        <w:rPr>
          <w:rFonts w:hAnsi="宋体"/>
          <w:b w:val="0"/>
          <w:bCs w:val="0"/>
          <w:color w:val="auto"/>
          <w:sz w:val="28"/>
          <w:szCs w:val="28"/>
          <w:highlight w:val="none"/>
        </w:rPr>
        <w:t>机构：</w:t>
      </w:r>
      <w:bookmarkEnd w:id="3"/>
      <w:r>
        <w:rPr>
          <w:rFonts w:hint="eastAsia" w:ascii="Times New Roman" w:hAnsi="宋体"/>
          <w:b w:val="0"/>
          <w:bCs w:val="0"/>
          <w:color w:val="auto"/>
          <w:sz w:val="28"/>
          <w:szCs w:val="28"/>
          <w:highlight w:val="none"/>
          <w:lang w:eastAsia="zh-CN"/>
        </w:rPr>
        <w:t>浙江诚远工程咨询有限公司</w:t>
      </w:r>
    </w:p>
    <w:p w14:paraId="040E924E">
      <w:pPr>
        <w:snapToGrid w:val="0"/>
        <w:spacing w:before="120" w:beforeLines="50" w:line="276" w:lineRule="auto"/>
        <w:ind w:left="384" w:leftChars="183" w:firstLine="4599" w:firstLineChars="1607"/>
        <w:rPr>
          <w:rFonts w:ascii="宋体" w:hAnsi="宋体"/>
          <w:b/>
          <w:bCs/>
          <w:color w:val="auto"/>
          <w:w w:val="95"/>
          <w:sz w:val="30"/>
          <w:szCs w:val="30"/>
          <w:highlight w:val="none"/>
        </w:rPr>
      </w:pPr>
    </w:p>
    <w:p w14:paraId="79552D68">
      <w:pPr>
        <w:pStyle w:val="396"/>
        <w:tabs>
          <w:tab w:val="right" w:leader="dot" w:pos="9660"/>
        </w:tabs>
        <w:spacing w:line="480" w:lineRule="auto"/>
        <w:rPr>
          <w:color w:val="auto"/>
          <w:sz w:val="32"/>
          <w:szCs w:val="32"/>
          <w:highlight w:val="none"/>
        </w:rPr>
      </w:pPr>
      <w:r>
        <w:rPr>
          <w:rFonts w:hAnsi="宋体"/>
          <w:color w:val="auto"/>
          <w:highlight w:val="none"/>
        </w:rPr>
        <w:br w:type="page"/>
      </w:r>
    </w:p>
    <w:p w14:paraId="62136A04">
      <w:pPr>
        <w:jc w:val="center"/>
        <w:rPr>
          <w:color w:val="auto"/>
          <w:sz w:val="44"/>
          <w:szCs w:val="44"/>
          <w:highlight w:val="none"/>
        </w:rPr>
      </w:pPr>
      <w:r>
        <w:rPr>
          <w:rFonts w:ascii="宋体" w:hAnsi="宋体"/>
          <w:color w:val="auto"/>
          <w:sz w:val="44"/>
          <w:szCs w:val="44"/>
          <w:highlight w:val="none"/>
        </w:rPr>
        <w:t>目录</w:t>
      </w:r>
    </w:p>
    <w:p w14:paraId="0C6FDC18">
      <w:pPr>
        <w:pStyle w:val="37"/>
        <w:tabs>
          <w:tab w:val="right" w:leader="dot" w:pos="9360"/>
        </w:tabs>
        <w:spacing w:line="360" w:lineRule="auto"/>
        <w:rPr>
          <w:rFonts w:hint="eastAsia" w:ascii="宋体" w:hAnsi="宋体" w:cs="宋体"/>
          <w:color w:val="auto"/>
          <w:sz w:val="28"/>
          <w:szCs w:val="28"/>
          <w:highlight w:val="none"/>
        </w:rPr>
      </w:pPr>
    </w:p>
    <w:p w14:paraId="3CF56039">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_Toc18691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_Toc18691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0B4036">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06042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90E7978">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A44A35">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B7D1A4C">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_Toc16359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665950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_Toc26624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52EEB3">
      <w:pPr>
        <w:widowControl/>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6287BD23">
      <w:pPr>
        <w:rPr>
          <w:color w:val="auto"/>
          <w:highlight w:val="none"/>
        </w:rPr>
      </w:pPr>
    </w:p>
    <w:p w14:paraId="39204C81">
      <w:pPr>
        <w:rPr>
          <w:color w:val="auto"/>
          <w:highlight w:val="none"/>
        </w:rPr>
      </w:pPr>
    </w:p>
    <w:p w14:paraId="43B4CB19">
      <w:pPr>
        <w:rPr>
          <w:color w:val="auto"/>
          <w:highlight w:val="none"/>
        </w:rPr>
      </w:pPr>
    </w:p>
    <w:p w14:paraId="3A922175">
      <w:pPr>
        <w:pStyle w:val="29"/>
        <w:snapToGrid w:val="0"/>
        <w:spacing w:before="120" w:after="120"/>
        <w:jc w:val="center"/>
        <w:outlineLvl w:val="0"/>
        <w:rPr>
          <w:rFonts w:ascii="黑体" w:hAnsi="黑体" w:eastAsia="黑体"/>
          <w:color w:val="auto"/>
          <w:sz w:val="30"/>
          <w:szCs w:val="30"/>
          <w:highlight w:val="none"/>
        </w:rPr>
      </w:pPr>
      <w:r>
        <w:rPr>
          <w:color w:val="auto"/>
          <w:highlight w:val="none"/>
        </w:rPr>
        <w:br w:type="page"/>
      </w:r>
      <w:bookmarkStart w:id="4" w:name="_Toc2068"/>
      <w:bookmarkStart w:id="5" w:name="_Toc18691"/>
      <w:bookmarkStart w:id="6" w:name="_Toc1688"/>
      <w:bookmarkStart w:id="7" w:name="_Toc5922"/>
      <w:bookmarkStart w:id="8" w:name="_Hlk74317073"/>
      <w:r>
        <w:rPr>
          <w:rStyle w:val="74"/>
          <w:rFonts w:hint="eastAsia"/>
          <w:color w:val="auto"/>
          <w:highlight w:val="none"/>
        </w:rPr>
        <w:t>第一</w:t>
      </w:r>
      <w:r>
        <w:rPr>
          <w:rStyle w:val="74"/>
          <w:rFonts w:hint="eastAsia" w:ascii="Times New Roman" w:hAnsi="Times New Roman" w:cs="Times New Roman"/>
          <w:color w:val="auto"/>
          <w:highlight w:val="none"/>
        </w:rPr>
        <w:t xml:space="preserve">章  </w:t>
      </w:r>
      <w:r>
        <w:rPr>
          <w:rStyle w:val="74"/>
          <w:rFonts w:hint="eastAsia"/>
          <w:color w:val="auto"/>
          <w:highlight w:val="none"/>
        </w:rPr>
        <w:t>招标公告</w:t>
      </w:r>
      <w:bookmarkEnd w:id="4"/>
      <w:bookmarkEnd w:id="5"/>
      <w:bookmarkEnd w:id="6"/>
      <w:bookmarkEnd w:id="7"/>
    </w:p>
    <w:p w14:paraId="1CA73569">
      <w:pPr>
        <w:spacing w:line="360" w:lineRule="auto"/>
        <w:ind w:firstLine="560" w:firstLineChars="200"/>
        <w:rPr>
          <w:rFonts w:hint="eastAsia"/>
          <w:color w:val="auto"/>
          <w:sz w:val="28"/>
          <w:szCs w:val="28"/>
          <w:highlight w:val="none"/>
        </w:rPr>
      </w:pPr>
    </w:p>
    <w:p w14:paraId="4E634FB4">
      <w:pPr>
        <w:spacing w:line="360" w:lineRule="auto"/>
        <w:ind w:firstLine="560" w:firstLineChars="200"/>
        <w:jc w:val="both"/>
        <w:rPr>
          <w:rFonts w:hint="eastAsia"/>
          <w:color w:val="auto"/>
          <w:sz w:val="28"/>
          <w:szCs w:val="28"/>
          <w:highlight w:val="none"/>
        </w:rPr>
      </w:pPr>
      <w:r>
        <w:rPr>
          <w:rFonts w:hint="eastAsia"/>
          <w:color w:val="auto"/>
          <w:sz w:val="28"/>
          <w:szCs w:val="28"/>
          <w:highlight w:val="none"/>
        </w:rPr>
        <w:t>本项目经磐安县财政局</w:t>
      </w:r>
      <w:r>
        <w:rPr>
          <w:rFonts w:hint="eastAsia"/>
          <w:color w:val="auto"/>
          <w:sz w:val="28"/>
          <w:szCs w:val="28"/>
          <w:highlight w:val="none"/>
        </w:rPr>
        <w:fldChar w:fldCharType="begin"/>
      </w:r>
      <w:r>
        <w:rPr>
          <w:rFonts w:hint="eastAsia"/>
          <w:color w:val="auto"/>
          <w:sz w:val="28"/>
          <w:szCs w:val="28"/>
          <w:highlight w:val="none"/>
        </w:rPr>
        <w:instrText xml:space="preserve"> HYPERLINK "https://pay.zcygov.cn/purchaseplan_front/" \l "/plan/list/detail?id=1000000000003445350&amp;encrypt=f6625fd24cdeb78dd47a2b1d97e1a416" \t "https://www.zcygov.cn/bidding-entrust/" \l "/purchasePlans/_blank" </w:instrText>
      </w:r>
      <w:r>
        <w:rPr>
          <w:rFonts w:hint="eastAsia"/>
          <w:color w:val="auto"/>
          <w:sz w:val="28"/>
          <w:szCs w:val="28"/>
          <w:highlight w:val="none"/>
        </w:rPr>
        <w:fldChar w:fldCharType="separate"/>
      </w:r>
      <w:r>
        <w:rPr>
          <w:rFonts w:hint="eastAsia"/>
          <w:color w:val="auto"/>
          <w:sz w:val="28"/>
          <w:szCs w:val="28"/>
          <w:highlight w:val="none"/>
        </w:rPr>
        <w:t>临[</w:t>
      </w:r>
      <w:r>
        <w:rPr>
          <w:rFonts w:hint="eastAsia"/>
          <w:color w:val="auto"/>
          <w:sz w:val="28"/>
          <w:szCs w:val="28"/>
          <w:highlight w:val="none"/>
          <w:lang w:eastAsia="zh-CN"/>
        </w:rPr>
        <w:t>2025</w:t>
      </w:r>
      <w:r>
        <w:rPr>
          <w:rFonts w:hint="eastAsia"/>
          <w:color w:val="auto"/>
          <w:sz w:val="28"/>
          <w:szCs w:val="28"/>
          <w:highlight w:val="none"/>
        </w:rPr>
        <w:t>]</w:t>
      </w:r>
      <w:r>
        <w:rPr>
          <w:rFonts w:hint="eastAsia"/>
          <w:color w:val="0000FF"/>
          <w:sz w:val="28"/>
          <w:szCs w:val="28"/>
          <w:highlight w:val="none"/>
          <w:lang w:val="en-US" w:eastAsia="zh-CN"/>
        </w:rPr>
        <w:t>2389</w:t>
      </w:r>
      <w:r>
        <w:rPr>
          <w:rFonts w:hint="eastAsia"/>
          <w:color w:val="auto"/>
          <w:sz w:val="28"/>
          <w:szCs w:val="28"/>
          <w:highlight w:val="none"/>
        </w:rPr>
        <w:t>号</w:t>
      </w:r>
      <w:r>
        <w:rPr>
          <w:rFonts w:hint="eastAsia"/>
          <w:color w:val="auto"/>
          <w:sz w:val="28"/>
          <w:szCs w:val="28"/>
          <w:highlight w:val="none"/>
        </w:rPr>
        <w:fldChar w:fldCharType="end"/>
      </w:r>
      <w:r>
        <w:rPr>
          <w:rFonts w:hint="eastAsia"/>
          <w:color w:val="auto"/>
          <w:sz w:val="28"/>
          <w:szCs w:val="28"/>
          <w:highlight w:val="none"/>
        </w:rPr>
        <w:t>采购计划确认书批准进行公开招标，本项目的潜在投标人应在浙江政府采购网获取招标文件，并于</w:t>
      </w:r>
      <w:r>
        <w:rPr>
          <w:rFonts w:hint="eastAsia" w:ascii="宋体" w:hAnsi="宋体" w:cs="Arial"/>
          <w:b/>
          <w:bCs/>
          <w:color w:val="auto"/>
          <w:sz w:val="28"/>
          <w:szCs w:val="28"/>
          <w:highlight w:val="none"/>
          <w:u w:val="single"/>
          <w:lang w:eastAsia="zh-CN"/>
        </w:rPr>
        <w:t>202</w:t>
      </w:r>
      <w:r>
        <w:rPr>
          <w:rFonts w:hint="eastAsia" w:ascii="宋体" w:hAnsi="宋体" w:cs="Arial"/>
          <w:b/>
          <w:bCs/>
          <w:color w:val="auto"/>
          <w:sz w:val="28"/>
          <w:szCs w:val="28"/>
          <w:highlight w:val="none"/>
          <w:u w:val="single"/>
          <w:lang w:val="en-US" w:eastAsia="zh-CN"/>
        </w:rPr>
        <w:t>5</w:t>
      </w:r>
      <w:r>
        <w:rPr>
          <w:rFonts w:hint="eastAsia" w:ascii="宋体" w:hAnsi="宋体" w:cs="Arial"/>
          <w:b/>
          <w:bCs/>
          <w:color w:val="auto"/>
          <w:sz w:val="28"/>
          <w:szCs w:val="28"/>
          <w:highlight w:val="none"/>
          <w:u w:val="single"/>
          <w:lang w:eastAsia="zh-CN"/>
        </w:rPr>
        <w:t>年</w:t>
      </w:r>
      <w:r>
        <w:rPr>
          <w:rFonts w:hint="eastAsia" w:ascii="宋体" w:hAnsi="宋体" w:cs="Arial"/>
          <w:b/>
          <w:bCs/>
          <w:color w:val="auto"/>
          <w:sz w:val="28"/>
          <w:szCs w:val="28"/>
          <w:highlight w:val="none"/>
          <w:u w:val="single"/>
          <w:lang w:val="en-US" w:eastAsia="zh-CN"/>
        </w:rPr>
        <w:t>3</w:t>
      </w:r>
      <w:r>
        <w:rPr>
          <w:rFonts w:hint="eastAsia" w:ascii="宋体" w:hAnsi="宋体" w:cs="Arial"/>
          <w:b/>
          <w:bCs/>
          <w:color w:val="auto"/>
          <w:sz w:val="28"/>
          <w:szCs w:val="28"/>
          <w:highlight w:val="none"/>
          <w:u w:val="single"/>
          <w:lang w:eastAsia="zh-CN"/>
        </w:rPr>
        <w:t>月</w:t>
      </w:r>
      <w:r>
        <w:rPr>
          <w:rFonts w:hint="eastAsia" w:ascii="宋体" w:hAnsi="宋体" w:cs="Arial"/>
          <w:b/>
          <w:bCs/>
          <w:color w:val="auto"/>
          <w:sz w:val="28"/>
          <w:szCs w:val="28"/>
          <w:highlight w:val="none"/>
          <w:u w:val="single"/>
          <w:lang w:val="en-US" w:eastAsia="zh-CN"/>
        </w:rPr>
        <w:t>6</w:t>
      </w:r>
      <w:r>
        <w:rPr>
          <w:rFonts w:hint="eastAsia" w:ascii="宋体" w:hAnsi="宋体" w:cs="Arial"/>
          <w:b/>
          <w:bCs/>
          <w:color w:val="auto"/>
          <w:sz w:val="28"/>
          <w:szCs w:val="28"/>
          <w:highlight w:val="none"/>
          <w:u w:val="single"/>
          <w:lang w:eastAsia="zh-CN"/>
        </w:rPr>
        <w:t>日</w:t>
      </w:r>
      <w:r>
        <w:rPr>
          <w:rFonts w:hint="eastAsia" w:ascii="宋体" w:hAnsi="宋体" w:cs="Arial"/>
          <w:b/>
          <w:bCs/>
          <w:color w:val="auto"/>
          <w:sz w:val="28"/>
          <w:szCs w:val="28"/>
          <w:highlight w:val="none"/>
          <w:u w:val="single"/>
          <w:lang w:val="en-US" w:eastAsia="zh-CN"/>
        </w:rPr>
        <w:t>9：00</w:t>
      </w:r>
      <w:r>
        <w:rPr>
          <w:rFonts w:hint="eastAsia" w:ascii="宋体" w:hAnsi="宋体" w:cs="Arial"/>
          <w:b/>
          <w:bCs/>
          <w:color w:val="auto"/>
          <w:sz w:val="28"/>
          <w:szCs w:val="28"/>
          <w:highlight w:val="none"/>
          <w:u w:val="single"/>
        </w:rPr>
        <w:t>（北京时间）前</w:t>
      </w:r>
      <w:r>
        <w:rPr>
          <w:rFonts w:hint="eastAsia"/>
          <w:color w:val="auto"/>
          <w:sz w:val="28"/>
          <w:szCs w:val="28"/>
          <w:highlight w:val="none"/>
        </w:rPr>
        <w:t>递交投标文件。</w:t>
      </w:r>
    </w:p>
    <w:p w14:paraId="4CC8C5BF">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一、项目基本情况</w:t>
      </w:r>
    </w:p>
    <w:p w14:paraId="23BFB638">
      <w:pPr>
        <w:pStyle w:val="107"/>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2025年盘峰乡松材线虫病枯死松树清理服务项目（高二片区)</w:t>
      </w:r>
    </w:p>
    <w:p w14:paraId="30C7C882">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2.项目编号：</w:t>
      </w:r>
      <w:r>
        <w:rPr>
          <w:rFonts w:hint="eastAsia" w:ascii="宋体" w:hAnsi="宋体" w:cs="宋体"/>
          <w:color w:val="auto"/>
          <w:sz w:val="24"/>
          <w:szCs w:val="24"/>
          <w:highlight w:val="none"/>
          <w:lang w:eastAsia="zh-CN"/>
        </w:rPr>
        <w:t>ZJCY-PA20250</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号</w:t>
      </w:r>
    </w:p>
    <w:p w14:paraId="5D4FE5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3.采购组织类型：</w:t>
      </w:r>
      <w:r>
        <w:rPr>
          <w:rFonts w:hint="eastAsia" w:ascii="宋体" w:hAnsi="宋体" w:cs="宋体"/>
          <w:color w:val="auto"/>
          <w:sz w:val="24"/>
          <w:highlight w:val="none"/>
          <w:lang w:eastAsia="zh-CN"/>
        </w:rPr>
        <w:t>分散</w:t>
      </w:r>
      <w:r>
        <w:rPr>
          <w:rFonts w:hint="eastAsia" w:ascii="宋体" w:hAnsi="宋体" w:cs="宋体"/>
          <w:color w:val="auto"/>
          <w:sz w:val="24"/>
          <w:highlight w:val="none"/>
        </w:rPr>
        <w:t>采购</w:t>
      </w:r>
    </w:p>
    <w:p w14:paraId="256456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4.采购方式：公开招标 </w:t>
      </w:r>
    </w:p>
    <w:p w14:paraId="44FD1344">
      <w:pPr>
        <w:spacing w:line="360" w:lineRule="auto"/>
        <w:ind w:firstLine="480" w:firstLineChars="200"/>
        <w:rPr>
          <w:rFonts w:hint="eastAsi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.合同履行期限：</w:t>
      </w:r>
      <w:r>
        <w:rPr>
          <w:rFonts w:hint="eastAsia" w:ascii="宋体" w:hAnsi="宋体" w:cs="宋体"/>
          <w:color w:val="0000FF"/>
          <w:sz w:val="24"/>
          <w:highlight w:val="none"/>
          <w:lang w:eastAsia="zh-CN"/>
        </w:rPr>
        <w:t>秋普计划内小班、行政区域内涉及铁路、高速公路、省道两沿第一视线内发生疫情的松林小班、风景区域内发生疫情的松林小班、城镇建成区周围第一视线内发生疫情的松林小班，2025年3月中旬，前完成本辖区面上病枯死木防治理。2025年3月底-4月进行验收整改。2025年5-9月，进入“即现即清”阶段。</w:t>
      </w:r>
    </w:p>
    <w:p w14:paraId="5E9557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.采购需求：</w:t>
      </w:r>
    </w:p>
    <w:tbl>
      <w:tblPr>
        <w:tblStyle w:val="53"/>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4667"/>
        <w:gridCol w:w="915"/>
        <w:gridCol w:w="1863"/>
        <w:gridCol w:w="1643"/>
      </w:tblGrid>
      <w:tr w14:paraId="59A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61" w:type="dxa"/>
            <w:vAlign w:val="center"/>
          </w:tcPr>
          <w:p w14:paraId="249A31DD">
            <w:pPr>
              <w:spacing w:line="360" w:lineRule="exact"/>
              <w:jc w:val="center"/>
              <w:rPr>
                <w:rFonts w:hint="eastAsia" w:ascii="宋体" w:hAnsi="宋体" w:eastAsia="宋体"/>
                <w:b/>
                <w:szCs w:val="21"/>
                <w:lang w:eastAsia="zh-CN"/>
              </w:rPr>
            </w:pPr>
            <w:r>
              <w:rPr>
                <w:rFonts w:hint="eastAsia" w:ascii="宋体" w:hAnsi="宋体"/>
                <w:b/>
                <w:szCs w:val="21"/>
                <w:lang w:eastAsia="zh-CN"/>
              </w:rPr>
              <w:t>标项</w:t>
            </w:r>
          </w:p>
        </w:tc>
        <w:tc>
          <w:tcPr>
            <w:tcW w:w="4667" w:type="dxa"/>
            <w:vAlign w:val="center"/>
          </w:tcPr>
          <w:p w14:paraId="64B8FD35">
            <w:pPr>
              <w:spacing w:line="360" w:lineRule="exact"/>
              <w:jc w:val="center"/>
              <w:rPr>
                <w:rFonts w:hint="eastAsia" w:ascii="宋体" w:hAnsi="宋体" w:eastAsia="宋体"/>
                <w:b/>
                <w:szCs w:val="21"/>
                <w:lang w:eastAsia="zh-CN"/>
              </w:rPr>
            </w:pPr>
            <w:r>
              <w:rPr>
                <w:rFonts w:hint="eastAsia" w:ascii="宋体" w:hAnsi="宋体"/>
                <w:b/>
                <w:szCs w:val="21"/>
              </w:rPr>
              <w:t>项目</w:t>
            </w:r>
            <w:r>
              <w:rPr>
                <w:rFonts w:hint="eastAsia" w:ascii="宋体" w:hAnsi="宋体"/>
                <w:b/>
                <w:szCs w:val="21"/>
                <w:lang w:eastAsia="zh-CN"/>
              </w:rPr>
              <w:t>名称</w:t>
            </w:r>
          </w:p>
        </w:tc>
        <w:tc>
          <w:tcPr>
            <w:tcW w:w="915" w:type="dxa"/>
            <w:vAlign w:val="center"/>
          </w:tcPr>
          <w:p w14:paraId="1EF50B19">
            <w:pPr>
              <w:spacing w:line="360" w:lineRule="exact"/>
              <w:jc w:val="center"/>
              <w:rPr>
                <w:rFonts w:hint="default" w:ascii="宋体" w:hAnsi="宋体" w:eastAsia="宋体"/>
                <w:b/>
                <w:szCs w:val="21"/>
                <w:lang w:val="en-US" w:eastAsia="zh-CN"/>
              </w:rPr>
            </w:pPr>
            <w:r>
              <w:rPr>
                <w:rFonts w:hint="eastAsia" w:ascii="宋体" w:hAnsi="宋体"/>
                <w:b/>
                <w:szCs w:val="21"/>
              </w:rPr>
              <w:t>数量</w:t>
            </w:r>
            <w:r>
              <w:rPr>
                <w:rFonts w:hint="eastAsia" w:ascii="宋体" w:hAnsi="宋体"/>
                <w:b/>
                <w:szCs w:val="21"/>
                <w:lang w:val="en-US" w:eastAsia="zh-CN"/>
              </w:rPr>
              <w:t>(吨)</w:t>
            </w:r>
          </w:p>
        </w:tc>
        <w:tc>
          <w:tcPr>
            <w:tcW w:w="1863" w:type="dxa"/>
            <w:vAlign w:val="center"/>
          </w:tcPr>
          <w:p w14:paraId="18091DDC">
            <w:pPr>
              <w:spacing w:line="360" w:lineRule="exact"/>
              <w:jc w:val="center"/>
              <w:rPr>
                <w:rFonts w:ascii="宋体" w:hAnsi="宋体"/>
                <w:b/>
                <w:szCs w:val="21"/>
              </w:rPr>
            </w:pPr>
            <w:r>
              <w:rPr>
                <w:rFonts w:hint="eastAsia" w:ascii="宋体" w:hAnsi="宋体"/>
                <w:b/>
                <w:szCs w:val="21"/>
              </w:rPr>
              <w:t>最高限价</w:t>
            </w:r>
          </w:p>
        </w:tc>
        <w:tc>
          <w:tcPr>
            <w:tcW w:w="1643" w:type="dxa"/>
            <w:vAlign w:val="center"/>
          </w:tcPr>
          <w:p w14:paraId="2F53E70C">
            <w:pPr>
              <w:spacing w:line="360" w:lineRule="exact"/>
              <w:jc w:val="center"/>
              <w:rPr>
                <w:rFonts w:ascii="宋体" w:hAnsi="宋体"/>
                <w:b/>
                <w:szCs w:val="21"/>
              </w:rPr>
            </w:pPr>
            <w:r>
              <w:rPr>
                <w:rFonts w:hint="eastAsia" w:ascii="宋体" w:hAnsi="宋体"/>
                <w:b/>
                <w:szCs w:val="21"/>
              </w:rPr>
              <w:t>备注</w:t>
            </w:r>
          </w:p>
        </w:tc>
      </w:tr>
      <w:tr w14:paraId="1145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61" w:type="dxa"/>
            <w:shd w:val="clear" w:color="auto" w:fill="auto"/>
            <w:vAlign w:val="center"/>
          </w:tcPr>
          <w:p w14:paraId="657D95AD">
            <w:pPr>
              <w:spacing w:line="360" w:lineRule="exact"/>
              <w:rPr>
                <w:rFonts w:hint="eastAsia" w:ascii="宋体" w:hAnsi="宋体"/>
                <w:b/>
                <w:bCs/>
                <w:sz w:val="24"/>
                <w:lang w:eastAsia="zh-CN"/>
              </w:rPr>
            </w:pPr>
            <w:r>
              <w:rPr>
                <w:rFonts w:hint="eastAsia" w:ascii="宋体" w:hAnsi="宋体" w:cs="宋体"/>
                <w:sz w:val="24"/>
                <w:szCs w:val="24"/>
              </w:rPr>
              <w:t>标项二</w:t>
            </w:r>
          </w:p>
        </w:tc>
        <w:tc>
          <w:tcPr>
            <w:tcW w:w="4667" w:type="dxa"/>
            <w:shd w:val="clear" w:color="auto" w:fill="auto"/>
            <w:vAlign w:val="center"/>
          </w:tcPr>
          <w:p w14:paraId="63C3B103">
            <w:pPr>
              <w:spacing w:line="360" w:lineRule="exact"/>
              <w:jc w:val="center"/>
              <w:rPr>
                <w:rFonts w:hint="eastAsia" w:ascii="宋体" w:hAnsi="宋体"/>
                <w:b/>
                <w:bCs/>
                <w:szCs w:val="21"/>
              </w:rPr>
            </w:pPr>
            <w:r>
              <w:rPr>
                <w:rFonts w:hint="eastAsia" w:ascii="宋体" w:hAnsi="宋体" w:cs="宋体"/>
                <w:sz w:val="24"/>
                <w:szCs w:val="24"/>
                <w:lang w:eastAsia="zh-CN"/>
              </w:rPr>
              <w:t>2025年盘峰乡松材线虫病枯死松树清理服务项目（高二片区)</w:t>
            </w:r>
          </w:p>
        </w:tc>
        <w:tc>
          <w:tcPr>
            <w:tcW w:w="915" w:type="dxa"/>
            <w:shd w:val="clear" w:color="auto" w:fill="auto"/>
            <w:vAlign w:val="center"/>
          </w:tcPr>
          <w:p w14:paraId="2D667B56">
            <w:pPr>
              <w:spacing w:line="360" w:lineRule="exact"/>
              <w:jc w:val="center"/>
              <w:rPr>
                <w:rFonts w:hint="eastAsia" w:ascii="宋体" w:hAnsi="宋体"/>
                <w:b/>
                <w:bCs/>
                <w:szCs w:val="21"/>
              </w:rPr>
            </w:pPr>
            <w:r>
              <w:rPr>
                <w:rFonts w:hint="eastAsia"/>
                <w:sz w:val="24"/>
              </w:rPr>
              <w:t>2263</w:t>
            </w:r>
          </w:p>
        </w:tc>
        <w:tc>
          <w:tcPr>
            <w:tcW w:w="1863" w:type="dxa"/>
            <w:shd w:val="clear" w:color="auto" w:fill="auto"/>
            <w:vAlign w:val="center"/>
          </w:tcPr>
          <w:p w14:paraId="143960E5">
            <w:pPr>
              <w:spacing w:line="440" w:lineRule="exact"/>
              <w:jc w:val="center"/>
              <w:rPr>
                <w:rFonts w:ascii="宋体" w:hAnsi="宋体" w:eastAsia="宋体" w:cs="宋体"/>
                <w:color w:val="auto"/>
              </w:rPr>
            </w:pPr>
            <w:r>
              <w:rPr>
                <w:rFonts w:hint="eastAsia" w:ascii="宋体" w:hAnsi="宋体" w:eastAsia="宋体" w:cs="宋体"/>
                <w:color w:val="auto"/>
              </w:rPr>
              <w:t>总价</w:t>
            </w:r>
            <w:r>
              <w:rPr>
                <w:rFonts w:ascii="微软雅黑" w:hAnsi="微软雅黑" w:eastAsia="微软雅黑" w:cs="微软雅黑"/>
                <w:b/>
                <w:bCs/>
                <w:i w:val="0"/>
                <w:iCs w:val="0"/>
                <w:caps w:val="0"/>
                <w:color w:val="auto"/>
                <w:spacing w:val="0"/>
                <w:sz w:val="21"/>
                <w:szCs w:val="21"/>
                <w:shd w:val="clear" w:fill="FFFFFF"/>
              </w:rPr>
              <w:t>181040</w:t>
            </w:r>
            <w:r>
              <w:rPr>
                <w:rFonts w:hint="eastAsia" w:ascii="宋体" w:hAnsi="宋体" w:eastAsia="宋体" w:cs="宋体"/>
                <w:color w:val="auto"/>
              </w:rPr>
              <w:t>元；</w:t>
            </w:r>
          </w:p>
          <w:p w14:paraId="21B025A5">
            <w:pPr>
              <w:spacing w:line="360" w:lineRule="exact"/>
              <w:jc w:val="both"/>
              <w:rPr>
                <w:rFonts w:hint="eastAsia" w:ascii="宋体" w:hAnsi="宋体" w:cs="宋体"/>
                <w:b/>
                <w:sz w:val="24"/>
                <w:lang w:val="en-US" w:eastAsia="zh-CN"/>
              </w:rPr>
            </w:pPr>
            <w:r>
              <w:rPr>
                <w:rFonts w:hint="eastAsia" w:ascii="宋体" w:hAnsi="宋体" w:eastAsia="宋体" w:cs="宋体"/>
              </w:rPr>
              <w:t>单价800元/吨</w:t>
            </w:r>
          </w:p>
        </w:tc>
        <w:tc>
          <w:tcPr>
            <w:tcW w:w="1643" w:type="dxa"/>
            <w:shd w:val="clear" w:color="auto" w:fill="auto"/>
            <w:vAlign w:val="center"/>
          </w:tcPr>
          <w:p w14:paraId="38786D5D">
            <w:pPr>
              <w:spacing w:line="360" w:lineRule="exact"/>
              <w:jc w:val="center"/>
              <w:rPr>
                <w:rFonts w:hint="eastAsia" w:hAnsi="宋体"/>
                <w:b/>
                <w:bCs/>
                <w:sz w:val="24"/>
              </w:rPr>
            </w:pPr>
            <w:r>
              <w:rPr>
                <w:rFonts w:hint="eastAsia" w:hAnsi="宋体"/>
                <w:b/>
                <w:bCs/>
                <w:sz w:val="24"/>
              </w:rPr>
              <w:t>具体详见《招标需求》</w:t>
            </w:r>
            <w:r>
              <w:rPr>
                <w:rFonts w:hint="eastAsia" w:ascii="宋体" w:hAnsi="宋体" w:cs="宋体"/>
                <w:bCs/>
                <w:color w:val="00B050"/>
                <w:sz w:val="24"/>
              </w:rPr>
              <w:t>。</w:t>
            </w:r>
          </w:p>
        </w:tc>
      </w:tr>
    </w:tbl>
    <w:p w14:paraId="409977A3">
      <w:pPr>
        <w:pStyle w:val="2"/>
        <w:keepNext/>
        <w:keepLines/>
        <w:pageBreakBefore w:val="0"/>
        <w:widowControl w:val="0"/>
        <w:kinsoku/>
        <w:wordWrap/>
        <w:overflowPunct/>
        <w:topLinePunct w:val="0"/>
        <w:autoSpaceDE/>
        <w:autoSpaceDN/>
        <w:bidi w:val="0"/>
        <w:adjustRightInd/>
        <w:snapToGrid/>
        <w:spacing w:before="26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二、合格投标人的资格要求</w:t>
      </w:r>
    </w:p>
    <w:p w14:paraId="56DD1C3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满足《中华人民共和国政府采购法》第二十二条规定；未被“信用中国”网站（www.creditchina.gov.cn）、中国政府采购网（www.ccgp.gov.cn）列入失信被执行人、重大税收违法当事人名单、政府采购严重违法失信行为记录名单；</w:t>
      </w:r>
    </w:p>
    <w:p w14:paraId="557943A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2</w:t>
      </w:r>
      <w:r>
        <w:rPr>
          <w:rFonts w:hint="eastAsia" w:ascii="宋体" w:hAnsi="宋体" w:cs="Arial"/>
          <w:bCs/>
          <w:color w:val="auto"/>
          <w:sz w:val="24"/>
          <w:highlight w:val="none"/>
        </w:rPr>
        <w:t>.特定资格条件：</w:t>
      </w:r>
      <w:r>
        <w:rPr>
          <w:rFonts w:hint="eastAsia" w:ascii="宋体" w:hAnsi="宋体" w:cs="宋体"/>
          <w:color w:val="FF0000"/>
          <w:sz w:val="24"/>
        </w:rPr>
        <w:t>营业执照具有林业有害生物防治服务经营范围</w:t>
      </w:r>
      <w:r>
        <w:rPr>
          <w:rFonts w:hint="eastAsia" w:ascii="宋体" w:hAnsi="宋体" w:cs="Arial"/>
          <w:bCs/>
          <w:color w:val="auto"/>
          <w:sz w:val="24"/>
          <w:highlight w:val="none"/>
        </w:rPr>
        <w:t>；</w:t>
      </w:r>
    </w:p>
    <w:p w14:paraId="319048B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落实政府采购政策需满足的资格要求：</w:t>
      </w:r>
    </w:p>
    <w:p w14:paraId="728B01E3">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FE"/>
      </w:r>
      <w:r>
        <w:rPr>
          <w:rFonts w:hint="eastAsia" w:ascii="宋体" w:hAnsi="宋体"/>
          <w:color w:val="auto"/>
          <w:sz w:val="24"/>
          <w:highlight w:val="none"/>
        </w:rPr>
        <w:t>本项目不专门面向中小企业</w:t>
      </w:r>
      <w:r>
        <w:rPr>
          <w:rFonts w:hint="eastAsia" w:ascii="宋体" w:hAnsi="宋体"/>
          <w:color w:val="auto"/>
          <w:sz w:val="24"/>
          <w:highlight w:val="none"/>
          <w:lang w:eastAsia="zh-CN"/>
        </w:rPr>
        <w:t>。</w:t>
      </w:r>
    </w:p>
    <w:p w14:paraId="31F51329">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本项目专门面向中小企业</w:t>
      </w:r>
      <w:r>
        <w:rPr>
          <w:rFonts w:hint="eastAsia" w:ascii="宋体" w:hAnsi="宋体"/>
          <w:color w:val="auto"/>
          <w:sz w:val="24"/>
          <w:highlight w:val="none"/>
          <w:lang w:eastAsia="zh-CN"/>
        </w:rPr>
        <w:t>。</w:t>
      </w:r>
    </w:p>
    <w:p w14:paraId="5C2DE227">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货物全部由符合政策要求的中小企业制造，提供中小企业声明函；</w:t>
      </w:r>
    </w:p>
    <w:p w14:paraId="238B6DFB">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货物全部由符合政策要求的小微企业制造，提供中小企业声明函；</w:t>
      </w:r>
    </w:p>
    <w:p w14:paraId="5DF245FF">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工程全部由符合政策要求的中小企业承接，提供中小企业声明函；</w:t>
      </w:r>
    </w:p>
    <w:p w14:paraId="63FA8A02">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工程全部由符合政策要求的小微企业承接，提供中小企业声明函；</w:t>
      </w:r>
    </w:p>
    <w:p w14:paraId="7265C445">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服务全部由符合政策要求的中小企业承接，提供中小企业声明函；</w:t>
      </w:r>
    </w:p>
    <w:p w14:paraId="0D942FBA">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服务全部由符合政策要求的小微企业承接，提供中小企业声明函；</w:t>
      </w:r>
    </w:p>
    <w:p w14:paraId="60F7D56D">
      <w:pPr>
        <w:snapToGrid w:val="0"/>
        <w:spacing w:line="480" w:lineRule="exact"/>
        <w:ind w:right="218" w:rightChars="104" w:firstLine="480" w:firstLineChars="200"/>
        <w:rPr>
          <w:rFonts w:hint="eastAsia" w:ascii="宋体" w:hAnsi="宋体" w:cs="Arial"/>
          <w:bCs/>
          <w:color w:val="auto"/>
          <w:sz w:val="24"/>
          <w:highlight w:val="none"/>
        </w:rPr>
      </w:pPr>
      <w:bookmarkStart w:id="9" w:name="_Toc19722"/>
      <w:bookmarkStart w:id="10" w:name="_Toc23203"/>
      <w:bookmarkStart w:id="11" w:name="_Toc7631"/>
      <w:bookmarkStart w:id="12" w:name="_Toc18695"/>
      <w:bookmarkStart w:id="13" w:name="_Toc2481"/>
      <w:bookmarkStart w:id="14" w:name="_Toc25035"/>
      <w:bookmarkStart w:id="15" w:name="_Toc23431"/>
      <w:r>
        <w:rPr>
          <w:rFonts w:hint="eastAsia" w:ascii="宋体" w:hAnsi="宋体" w:cs="Arial"/>
          <w:bCs/>
          <w:color w:val="auto"/>
          <w:sz w:val="24"/>
          <w:highlight w:val="none"/>
        </w:rPr>
        <w:t>4.本项目</w:t>
      </w:r>
      <w:r>
        <w:rPr>
          <w:rFonts w:hint="eastAsia" w:ascii="宋体" w:hAnsi="宋体" w:cs="Arial"/>
          <w:bCs/>
          <w:color w:val="auto"/>
          <w:sz w:val="24"/>
          <w:highlight w:val="none"/>
          <w:lang w:eastAsia="zh-CN"/>
        </w:rPr>
        <w:t>不</w:t>
      </w:r>
      <w:r>
        <w:rPr>
          <w:rFonts w:hint="eastAsia" w:ascii="宋体" w:hAnsi="宋体" w:cs="Arial"/>
          <w:bCs/>
          <w:color w:val="auto"/>
          <w:sz w:val="24"/>
          <w:highlight w:val="none"/>
        </w:rPr>
        <w:t>接受联合体投标。</w:t>
      </w:r>
    </w:p>
    <w:p w14:paraId="6649E746">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eastAsia="宋体" w:cs="Arial"/>
          <w:bCs/>
          <w:color w:val="auto"/>
          <w:sz w:val="24"/>
          <w:highlight w:val="none"/>
        </w:rPr>
        <w:t>5.单位负责人为同一人或者存在直接控股、管理关系的不同供应商，不得参加同一合同项下的政府采购活动；为</w:t>
      </w:r>
      <w:r>
        <w:rPr>
          <w:rFonts w:hint="eastAsia" w:ascii="宋体" w:hAnsi="宋体" w:cs="Arial"/>
          <w:bCs/>
          <w:color w:val="auto"/>
          <w:sz w:val="24"/>
          <w:highlight w:val="none"/>
        </w:rPr>
        <w:t>采购项目提供整体设计、规范编制或者项目管理、监理、检测等服务后不得再参加该采购项目的其他采购活动。</w:t>
      </w:r>
    </w:p>
    <w:p w14:paraId="287B2390">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三、招标文件的获取</w:t>
      </w:r>
      <w:bookmarkEnd w:id="9"/>
      <w:bookmarkEnd w:id="10"/>
      <w:bookmarkEnd w:id="11"/>
      <w:bookmarkEnd w:id="12"/>
      <w:bookmarkEnd w:id="13"/>
      <w:bookmarkEnd w:id="14"/>
      <w:bookmarkEnd w:id="15"/>
    </w:p>
    <w:p w14:paraId="517910D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1.招标文件获取期限：投标截止时间前</w:t>
      </w:r>
    </w:p>
    <w:p w14:paraId="1F11DE85">
      <w:pPr>
        <w:snapToGrid w:val="0"/>
        <w:spacing w:line="480" w:lineRule="exact"/>
        <w:ind w:right="218" w:rightChars="104" w:firstLine="480" w:firstLineChars="200"/>
        <w:rPr>
          <w:color w:val="auto"/>
          <w:highlight w:val="none"/>
        </w:rPr>
      </w:pPr>
      <w:r>
        <w:rPr>
          <w:rFonts w:hint="eastAsia" w:ascii="宋体" w:hAnsi="宋体" w:cs="Arial"/>
          <w:bCs/>
          <w:color w:val="auto"/>
          <w:sz w:val="24"/>
          <w:highlight w:val="none"/>
        </w:rPr>
        <w:t>2.招标文件获取方式：政府采购云平台（www.zcygov.cn）</w:t>
      </w:r>
    </w:p>
    <w:p w14:paraId="4AE616F9">
      <w:pPr>
        <w:snapToGrid w:val="0"/>
        <w:spacing w:line="480" w:lineRule="exact"/>
        <w:ind w:right="218" w:rightChars="104" w:firstLine="482" w:firstLineChars="200"/>
        <w:rPr>
          <w:rFonts w:hint="eastAsia" w:ascii="宋体" w:hAnsi="宋体" w:cs="Arial"/>
          <w:b/>
          <w:color w:val="auto"/>
          <w:sz w:val="24"/>
          <w:highlight w:val="none"/>
        </w:rPr>
      </w:pPr>
      <w:r>
        <w:rPr>
          <w:rFonts w:hint="eastAsia" w:ascii="宋体" w:hAnsi="宋体" w:cs="Arial"/>
          <w:b/>
          <w:color w:val="auto"/>
          <w:sz w:val="24"/>
          <w:highlight w:val="none"/>
        </w:rPr>
        <w:t xml:space="preserve">（1）供应商登录政采云平台在线申请获取采购文件（进入“项目采购”应用，在获取采购文件菜单中选择项目，申请获取采购文件）。 </w:t>
      </w:r>
    </w:p>
    <w:p w14:paraId="5F1B6A40">
      <w:pPr>
        <w:snapToGrid w:val="0"/>
        <w:spacing w:line="480" w:lineRule="exact"/>
        <w:ind w:right="218" w:rightChars="104" w:firstLine="482" w:firstLineChars="200"/>
        <w:rPr>
          <w:rFonts w:hint="eastAsia" w:ascii="Arial" w:hAnsi="Arial"/>
          <w:color w:val="auto"/>
          <w:kern w:val="2"/>
          <w:sz w:val="28"/>
          <w:szCs w:val="32"/>
          <w:highlight w:val="none"/>
        </w:rPr>
      </w:pPr>
      <w:r>
        <w:rPr>
          <w:rFonts w:hint="eastAsia" w:ascii="宋体" w:hAnsi="宋体" w:cs="Arial"/>
          <w:b/>
          <w:color w:val="auto"/>
          <w:sz w:val="24"/>
          <w:highlight w:val="none"/>
        </w:rPr>
        <w:t>（2）在浙江政府采购网采购公告附件中以“游客”身份获取的招标文件仅供阅览；潜在供应商未按上述第（1）条方式获取招标文件的不得对招标文件提起质疑投诉。</w:t>
      </w:r>
      <w:bookmarkStart w:id="16" w:name="_Toc19407"/>
      <w:bookmarkStart w:id="17" w:name="_Toc31426"/>
      <w:bookmarkStart w:id="18" w:name="_Toc24345"/>
      <w:bookmarkStart w:id="19" w:name="_Toc18791"/>
      <w:bookmarkStart w:id="20" w:name="_Toc15817"/>
      <w:bookmarkStart w:id="21" w:name="_Toc24992"/>
      <w:bookmarkStart w:id="22" w:name="_Toc6715"/>
    </w:p>
    <w:p w14:paraId="594DB134">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四、提交投标文件截止时间</w:t>
      </w:r>
      <w:bookmarkEnd w:id="16"/>
      <w:bookmarkEnd w:id="17"/>
      <w:bookmarkEnd w:id="18"/>
      <w:bookmarkEnd w:id="19"/>
      <w:bookmarkEnd w:id="20"/>
      <w:bookmarkEnd w:id="21"/>
      <w:bookmarkEnd w:id="22"/>
    </w:p>
    <w:p w14:paraId="2F7D384E">
      <w:pPr>
        <w:snapToGrid w:val="0"/>
        <w:spacing w:line="480" w:lineRule="exact"/>
        <w:ind w:right="218" w:rightChars="104"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1.提交投标文件截止时间：</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3月6日</w:t>
      </w:r>
      <w:r>
        <w:rPr>
          <w:rFonts w:hint="eastAsia" w:ascii="宋体" w:hAnsi="宋体" w:cs="Arial"/>
          <w:b/>
          <w:bCs/>
          <w:color w:val="auto"/>
          <w:sz w:val="24"/>
          <w:highlight w:val="none"/>
          <w:u w:val="single"/>
          <w:lang w:eastAsia="zh-CN"/>
        </w:rPr>
        <w:t>9：00</w:t>
      </w:r>
      <w:r>
        <w:rPr>
          <w:rFonts w:hint="eastAsia" w:ascii="宋体" w:hAnsi="宋体" w:cs="宋体"/>
          <w:color w:val="auto"/>
          <w:sz w:val="24"/>
          <w:highlight w:val="none"/>
        </w:rPr>
        <w:t>（北京时间）前将电子加密投标文件上传到政府采购云平台，未上传电子投标文件的，视为供应商放弃投标。</w:t>
      </w:r>
    </w:p>
    <w:p w14:paraId="04B46FB4">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2.供应商如提供备份投标文件的，应于</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3月6日</w:t>
      </w:r>
      <w:r>
        <w:rPr>
          <w:rFonts w:hint="eastAsia" w:ascii="宋体" w:hAnsi="宋体" w:cs="Arial"/>
          <w:b/>
          <w:bCs/>
          <w:color w:val="auto"/>
          <w:sz w:val="24"/>
          <w:highlight w:val="none"/>
          <w:u w:val="single"/>
          <w:lang w:eastAsia="zh-CN"/>
        </w:rPr>
        <w:t>9：00</w:t>
      </w:r>
      <w:r>
        <w:rPr>
          <w:rFonts w:hint="eastAsia" w:ascii="宋体" w:hAnsi="宋体" w:cs="Arial"/>
          <w:bCs/>
          <w:color w:val="auto"/>
          <w:sz w:val="24"/>
          <w:highlight w:val="none"/>
        </w:rPr>
        <w:t>（北京时间）前，将电子备份投标文件和纸质备份投标文件分别密封，</w:t>
      </w:r>
      <w:r>
        <w:rPr>
          <w:rFonts w:hint="eastAsia" w:ascii="宋体" w:hAnsi="宋体" w:cs="Arial"/>
          <w:b/>
          <w:bCs/>
          <w:color w:val="auto"/>
          <w:sz w:val="24"/>
          <w:highlight w:val="none"/>
        </w:rPr>
        <w:t>递交至磐安县安文街道安文街道北镇街11号二楼，联系人</w:t>
      </w:r>
      <w:r>
        <w:rPr>
          <w:rFonts w:hint="eastAsia" w:ascii="宋体" w:hAnsi="宋体" w:cs="Arial"/>
          <w:b/>
          <w:bCs/>
          <w:color w:val="auto"/>
          <w:sz w:val="24"/>
          <w:highlight w:val="none"/>
          <w:lang w:eastAsia="zh-CN"/>
        </w:rPr>
        <w:t>厉晓</w:t>
      </w:r>
      <w:r>
        <w:rPr>
          <w:rFonts w:hint="eastAsia" w:ascii="宋体" w:hAnsi="宋体" w:cs="Arial"/>
          <w:b/>
          <w:bCs/>
          <w:color w:val="auto"/>
          <w:sz w:val="24"/>
          <w:highlight w:val="none"/>
        </w:rPr>
        <w:t>，联系电话：</w:t>
      </w:r>
      <w:r>
        <w:rPr>
          <w:rFonts w:hint="eastAsia" w:ascii="宋体" w:hAnsi="宋体" w:cs="宋体"/>
          <w:b/>
          <w:bCs/>
          <w:color w:val="auto"/>
          <w:sz w:val="24"/>
          <w:highlight w:val="none"/>
        </w:rPr>
        <w:t>15258906930</w:t>
      </w:r>
      <w:r>
        <w:rPr>
          <w:rFonts w:hint="eastAsia" w:ascii="宋体" w:hAnsi="宋体" w:cs="Arial"/>
          <w:bCs/>
          <w:color w:val="auto"/>
          <w:sz w:val="24"/>
          <w:highlight w:val="none"/>
        </w:rPr>
        <w:t>逾期送达或未密封将予以拒收。供应商仅提供备份投标文件（包括以电子备份投标文件或纸质备份投标文件）投标的，投标无效。</w:t>
      </w:r>
    </w:p>
    <w:p w14:paraId="2ABF66CF">
      <w:pPr>
        <w:snapToGrid w:val="0"/>
        <w:spacing w:line="480" w:lineRule="exact"/>
        <w:ind w:right="218" w:rightChars="104" w:firstLine="480" w:firstLineChars="200"/>
        <w:rPr>
          <w:rFonts w:hint="eastAsia" w:ascii="宋体" w:hAnsi="宋体" w:cs="宋体"/>
          <w:bCs/>
          <w:color w:val="auto"/>
          <w:sz w:val="24"/>
          <w:highlight w:val="none"/>
        </w:rPr>
      </w:pPr>
      <w:r>
        <w:rPr>
          <w:rFonts w:hint="eastAsia" w:ascii="宋体" w:hAnsi="宋体" w:cs="Arial"/>
          <w:bCs/>
          <w:color w:val="auto"/>
          <w:sz w:val="24"/>
          <w:highlight w:val="none"/>
        </w:rPr>
        <w:t>3.如因系统或部分电子投标文件无法解密，而采用纸质备份投标文件线下评审程序时，供应商在投标截止时间前未提交纸质备份投标文件的，视为供应商放弃投标。</w:t>
      </w:r>
    </w:p>
    <w:p w14:paraId="1831F740">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bookmarkStart w:id="23" w:name="_Toc17679"/>
      <w:bookmarkStart w:id="24" w:name="_Toc7601"/>
      <w:bookmarkStart w:id="25" w:name="_Toc20159"/>
      <w:bookmarkStart w:id="26" w:name="_Toc15"/>
      <w:bookmarkStart w:id="27" w:name="_Toc8418"/>
      <w:bookmarkStart w:id="28" w:name="_Toc22135"/>
      <w:bookmarkStart w:id="29" w:name="_Toc14408"/>
      <w:r>
        <w:rPr>
          <w:rFonts w:hint="eastAsia" w:ascii="Arial" w:hAnsi="Arial" w:eastAsia="宋体" w:cs="Times New Roman"/>
          <w:b/>
          <w:bCs/>
          <w:color w:val="auto"/>
          <w:kern w:val="2"/>
          <w:sz w:val="28"/>
          <w:szCs w:val="32"/>
          <w:highlight w:val="none"/>
        </w:rPr>
        <w:t>五、开标时间和地点</w:t>
      </w:r>
      <w:bookmarkEnd w:id="23"/>
      <w:bookmarkEnd w:id="24"/>
      <w:bookmarkEnd w:id="25"/>
      <w:bookmarkEnd w:id="26"/>
      <w:bookmarkEnd w:id="27"/>
      <w:bookmarkEnd w:id="28"/>
      <w:bookmarkEnd w:id="29"/>
    </w:p>
    <w:p w14:paraId="76554659">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1.开标时间：</w:t>
      </w:r>
      <w:r>
        <w:rPr>
          <w:rFonts w:hint="eastAsia" w:ascii="宋体" w:hAnsi="宋体" w:cs="Arial"/>
          <w:b/>
          <w:bCs/>
          <w:color w:val="auto"/>
          <w:sz w:val="24"/>
          <w:highlight w:val="none"/>
          <w:u w:val="single"/>
          <w:lang w:eastAsia="zh-CN"/>
        </w:rPr>
        <w:t>2025年</w:t>
      </w:r>
      <w:r>
        <w:rPr>
          <w:rFonts w:hint="eastAsia" w:ascii="宋体" w:hAnsi="宋体" w:cs="Arial"/>
          <w:b/>
          <w:bCs/>
          <w:color w:val="auto"/>
          <w:sz w:val="24"/>
          <w:highlight w:val="none"/>
          <w:u w:val="single"/>
          <w:lang w:val="en-US" w:eastAsia="zh-CN"/>
        </w:rPr>
        <w:t>3月6日</w:t>
      </w:r>
      <w:r>
        <w:rPr>
          <w:rFonts w:hint="eastAsia" w:ascii="宋体" w:hAnsi="宋体" w:cs="Arial"/>
          <w:b/>
          <w:bCs/>
          <w:color w:val="auto"/>
          <w:sz w:val="24"/>
          <w:highlight w:val="none"/>
          <w:u w:val="single"/>
          <w:lang w:eastAsia="zh-CN"/>
        </w:rPr>
        <w:t>9：00</w:t>
      </w:r>
      <w:r>
        <w:rPr>
          <w:rFonts w:hint="eastAsia" w:ascii="宋体" w:hAnsi="宋体" w:cs="Arial"/>
          <w:bCs/>
          <w:color w:val="auto"/>
          <w:sz w:val="24"/>
          <w:highlight w:val="none"/>
        </w:rPr>
        <w:t>（北京时间）</w:t>
      </w:r>
    </w:p>
    <w:p w14:paraId="4467688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2.开标地点（网址）：政采云平台（https://www.zcygov.cn/）</w:t>
      </w:r>
    </w:p>
    <w:p w14:paraId="166E74B8">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cs="Arial"/>
          <w:bCs/>
          <w:color w:val="auto"/>
          <w:sz w:val="24"/>
          <w:highlight w:val="none"/>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0" w:name="_Toc19936"/>
      <w:bookmarkStart w:id="31" w:name="_Toc29617"/>
      <w:bookmarkStart w:id="32" w:name="_Toc27683"/>
      <w:bookmarkStart w:id="33" w:name="_Toc28674"/>
      <w:bookmarkStart w:id="34" w:name="_Toc31439"/>
      <w:bookmarkStart w:id="35" w:name="_Toc15544"/>
      <w:bookmarkStart w:id="36" w:name="_Toc18909"/>
      <w:bookmarkStart w:id="37" w:name="_Toc1294"/>
      <w:bookmarkStart w:id="38" w:name="_Toc18619"/>
      <w:bookmarkStart w:id="39" w:name="_Toc16756"/>
    </w:p>
    <w:p w14:paraId="097699AD">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lang w:eastAsia="zh-CN"/>
        </w:rPr>
        <w:t>六、</w:t>
      </w:r>
      <w:r>
        <w:rPr>
          <w:rFonts w:hint="eastAsia" w:ascii="Arial" w:hAnsi="Arial" w:eastAsia="宋体" w:cs="Times New Roman"/>
          <w:b/>
          <w:bCs/>
          <w:color w:val="auto"/>
          <w:kern w:val="2"/>
          <w:sz w:val="28"/>
          <w:szCs w:val="32"/>
          <w:highlight w:val="none"/>
        </w:rPr>
        <w:t>公告期限</w:t>
      </w:r>
      <w:bookmarkEnd w:id="30"/>
      <w:bookmarkEnd w:id="31"/>
      <w:bookmarkEnd w:id="32"/>
      <w:bookmarkEnd w:id="33"/>
      <w:bookmarkEnd w:id="34"/>
      <w:bookmarkEnd w:id="35"/>
      <w:bookmarkEnd w:id="36"/>
      <w:bookmarkEnd w:id="37"/>
      <w:bookmarkEnd w:id="38"/>
      <w:bookmarkEnd w:id="39"/>
    </w:p>
    <w:p w14:paraId="3190AEC3">
      <w:pPr>
        <w:pStyle w:val="2"/>
        <w:spacing w:before="20" w:after="20" w:line="360" w:lineRule="auto"/>
        <w:ind w:firstLine="480" w:firstLineChars="200"/>
        <w:rPr>
          <w:rFonts w:hint="eastAsia" w:ascii="Arial" w:hAnsi="Arial"/>
          <w:color w:val="auto"/>
          <w:kern w:val="2"/>
          <w:sz w:val="28"/>
          <w:szCs w:val="32"/>
          <w:highlight w:val="none"/>
        </w:rPr>
      </w:pPr>
      <w:r>
        <w:rPr>
          <w:rFonts w:hint="eastAsia" w:ascii="宋体" w:hAnsi="宋体" w:cs="Arial"/>
          <w:b w:val="0"/>
          <w:color w:val="auto"/>
          <w:kern w:val="2"/>
          <w:sz w:val="24"/>
          <w:szCs w:val="24"/>
          <w:highlight w:val="none"/>
        </w:rPr>
        <w:t>自本公告发布之日起</w:t>
      </w:r>
      <w:r>
        <w:rPr>
          <w:rFonts w:hint="eastAsia" w:ascii="宋体" w:hAnsi="宋体" w:cs="Arial"/>
          <w:b w:val="0"/>
          <w:color w:val="auto"/>
          <w:kern w:val="2"/>
          <w:sz w:val="24"/>
          <w:szCs w:val="24"/>
          <w:highlight w:val="none"/>
          <w:lang w:val="en-US" w:eastAsia="zh-CN"/>
        </w:rPr>
        <w:t>5个工作日</w:t>
      </w:r>
      <w:r>
        <w:rPr>
          <w:rFonts w:hint="eastAsia" w:ascii="宋体" w:hAnsi="宋体" w:cs="Arial"/>
          <w:b w:val="0"/>
          <w:color w:val="auto"/>
          <w:kern w:val="2"/>
          <w:sz w:val="24"/>
          <w:szCs w:val="24"/>
          <w:highlight w:val="none"/>
        </w:rPr>
        <w:t>（以公告发布次日开始计算）</w:t>
      </w:r>
      <w:bookmarkStart w:id="40" w:name="_Toc29944"/>
      <w:bookmarkStart w:id="41" w:name="_Toc8029"/>
      <w:bookmarkStart w:id="42" w:name="_Toc7563"/>
      <w:bookmarkStart w:id="43" w:name="_Toc32256"/>
      <w:bookmarkStart w:id="44" w:name="_Toc28590"/>
      <w:bookmarkStart w:id="45" w:name="_Toc15696"/>
      <w:bookmarkStart w:id="46" w:name="_Toc22007"/>
    </w:p>
    <w:p w14:paraId="65F65844">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七、其他补充事宜</w:t>
      </w:r>
      <w:bookmarkEnd w:id="40"/>
      <w:bookmarkEnd w:id="41"/>
      <w:bookmarkEnd w:id="42"/>
      <w:bookmarkEnd w:id="43"/>
      <w:bookmarkEnd w:id="44"/>
      <w:bookmarkEnd w:id="45"/>
      <w:bookmarkEnd w:id="46"/>
    </w:p>
    <w:p w14:paraId="54846B39">
      <w:pPr>
        <w:spacing w:line="480" w:lineRule="exact"/>
        <w:ind w:firstLine="480" w:firstLineChars="200"/>
        <w:rPr>
          <w:rFonts w:hint="eastAsia" w:ascii="宋体" w:hAnsi="宋体"/>
          <w:color w:val="auto"/>
          <w:sz w:val="24"/>
          <w:highlight w:val="none"/>
        </w:rPr>
      </w:pPr>
      <w:r>
        <w:rPr>
          <w:rFonts w:hint="eastAsia" w:ascii="仿宋_GB2312" w:hAnsi="仿宋_GB2312" w:eastAsia="仿宋_GB2312" w:cs="仿宋_GB2312"/>
          <w:color w:val="auto"/>
          <w:sz w:val="24"/>
          <w:highlight w:val="none"/>
        </w:rPr>
        <w:t> </w:t>
      </w: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7978356D">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D83C5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3903F17">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633216A8">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5E050C6">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八、政采贷</w:t>
      </w:r>
    </w:p>
    <w:p w14:paraId="7D8E699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3A864466">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风险提示：</w:t>
      </w:r>
    </w:p>
    <w:p w14:paraId="70228F1E">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（1）本内容仅为提供给各中标供应商对办理政府采购金融服务的宣传和了解之方便，对金融服务的具体内容和操作流程均以各金融机构的要求为准，也不作强制要求。</w:t>
      </w:r>
    </w:p>
    <w:p w14:paraId="003B65C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（2）政府采购金融服务有风险，请详细了解并综合评估后再决定。</w:t>
      </w:r>
    </w:p>
    <w:p w14:paraId="60F8D93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（3）政府采购金融服务遵循平等自愿、风险自担的原则。采购人、代理机构、财政部门不为任何政府采购金融服务项目承担任何形式的担保、解释或其他连带责任。</w:t>
      </w:r>
    </w:p>
    <w:p w14:paraId="617C3D87">
      <w:pPr>
        <w:pStyle w:val="25"/>
        <w:spacing w:line="480" w:lineRule="exact"/>
        <w:ind w:left="0" w:firstLine="480" w:firstLineChars="200"/>
        <w:jc w:val="both"/>
        <w:rPr>
          <w:rFonts w:hint="eastAsia" w:ascii="宋体" w:hAnsi="宋体" w:cs="Arial"/>
          <w:bCs/>
          <w:color w:val="auto"/>
          <w:sz w:val="24"/>
          <w:highlight w:val="none"/>
        </w:rPr>
      </w:pPr>
    </w:p>
    <w:p w14:paraId="5EB7A476">
      <w:pPr>
        <w:pStyle w:val="2"/>
        <w:spacing w:before="20" w:after="20" w:line="360" w:lineRule="auto"/>
        <w:ind w:firstLine="562" w:firstLineChars="200"/>
        <w:rPr>
          <w:rFonts w:hint="eastAsia" w:ascii="Arial" w:hAnsi="Arial"/>
          <w:color w:val="auto"/>
          <w:kern w:val="2"/>
          <w:sz w:val="28"/>
          <w:szCs w:val="32"/>
          <w:highlight w:val="none"/>
        </w:rPr>
      </w:pPr>
      <w:bookmarkStart w:id="47" w:name="_Toc13994"/>
      <w:bookmarkStart w:id="48" w:name="_Toc23494"/>
      <w:bookmarkStart w:id="49" w:name="_Toc13168"/>
      <w:bookmarkStart w:id="50" w:name="_Toc14402"/>
      <w:r>
        <w:rPr>
          <w:rFonts w:hint="eastAsia" w:ascii="Arial" w:hAnsi="Arial" w:eastAsia="宋体" w:cs="Times New Roman"/>
          <w:b/>
          <w:bCs/>
          <w:color w:val="auto"/>
          <w:kern w:val="2"/>
          <w:sz w:val="28"/>
          <w:szCs w:val="32"/>
          <w:highlight w:val="none"/>
        </w:rPr>
        <w:t>九、</w:t>
      </w:r>
      <w:bookmarkEnd w:id="47"/>
      <w:bookmarkEnd w:id="48"/>
      <w:bookmarkEnd w:id="49"/>
      <w:bookmarkEnd w:id="50"/>
      <w:r>
        <w:rPr>
          <w:rFonts w:hint="eastAsia" w:ascii="Arial" w:hAnsi="Arial" w:eastAsia="宋体" w:cs="Times New Roman"/>
          <w:b/>
          <w:bCs/>
          <w:color w:val="auto"/>
          <w:kern w:val="2"/>
          <w:sz w:val="28"/>
          <w:szCs w:val="32"/>
          <w:highlight w:val="none"/>
        </w:rPr>
        <w:t>业务咨询</w:t>
      </w:r>
      <w:r>
        <w:rPr>
          <w:rFonts w:hint="eastAsia" w:ascii="Arial" w:hAnsi="Arial"/>
          <w:color w:val="auto"/>
          <w:kern w:val="2"/>
          <w:sz w:val="28"/>
          <w:szCs w:val="32"/>
          <w:highlight w:val="none"/>
        </w:rPr>
        <w:t>（招标需求的疑问请向采购人询问或反映）</w:t>
      </w:r>
    </w:p>
    <w:p w14:paraId="662E0403">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1.采购人信息</w:t>
      </w:r>
    </w:p>
    <w:p w14:paraId="31D87F42">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名  称：磐安县盘峰乡人民政府    </w:t>
      </w:r>
    </w:p>
    <w:p w14:paraId="508AE6E1">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址：磐安县盘峰乡</w:t>
      </w:r>
    </w:p>
    <w:p w14:paraId="58F6AC21">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联系方式：江金金    18257097224</w:t>
      </w:r>
    </w:p>
    <w:p w14:paraId="172A2A7D">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2.采购代理机构信息</w:t>
      </w:r>
    </w:p>
    <w:p w14:paraId="70CD18D2">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 xml:space="preserve">名  称：浙江诚远工程咨询有限公司 </w:t>
      </w:r>
    </w:p>
    <w:p w14:paraId="00699F9C">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址：磐安县安文街道北镇街11号二楼</w:t>
      </w:r>
    </w:p>
    <w:p w14:paraId="5E4682CA">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联系方式：厉 晓  15258906930</w:t>
      </w:r>
    </w:p>
    <w:p w14:paraId="0E65AC94">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3.同级政府采购监督管理部门</w:t>
      </w:r>
    </w:p>
    <w:p w14:paraId="4540BCFC">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名称：磐安县财政局 </w:t>
      </w:r>
    </w:p>
    <w:p w14:paraId="2F99ED66">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址：磐安县安文街道文溪南路88号 </w:t>
      </w:r>
    </w:p>
    <w:p w14:paraId="6419520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 xml:space="preserve">联系人 ：陈巧慧、叶升    </w:t>
      </w:r>
    </w:p>
    <w:p w14:paraId="095195FB">
      <w:pPr>
        <w:snapToGrid w:val="0"/>
        <w:spacing w:line="480" w:lineRule="exact"/>
        <w:ind w:right="218" w:rightChars="104" w:firstLine="540" w:firstLineChars="225"/>
        <w:rPr>
          <w:rFonts w:hint="eastAsia" w:ascii="仿宋_GB2312" w:hAnsi="仿宋_GB2312" w:eastAsia="仿宋_GB2312" w:cs="仿宋_GB2312"/>
          <w:color w:val="auto"/>
          <w:sz w:val="24"/>
          <w:highlight w:val="none"/>
        </w:rPr>
      </w:pPr>
      <w:r>
        <w:rPr>
          <w:rFonts w:hint="eastAsia" w:ascii="宋体" w:hAnsi="宋体" w:cs="Arial"/>
          <w:bCs/>
          <w:sz w:val="24"/>
        </w:rPr>
        <w:t>监督投诉电话：0579-84883829 </w:t>
      </w:r>
      <w:r>
        <w:rPr>
          <w:rFonts w:hint="eastAsia" w:ascii="宋体" w:hAnsi="宋体" w:cs="Arial"/>
          <w:color w:val="auto"/>
          <w:sz w:val="24"/>
          <w:highlight w:val="none"/>
        </w:rPr>
        <w:t xml:space="preserve">      </w:t>
      </w:r>
    </w:p>
    <w:bookmarkEnd w:id="8"/>
    <w:p w14:paraId="1EBF848E">
      <w:pPr>
        <w:wordWrap w:val="0"/>
        <w:snapToGrid w:val="0"/>
        <w:spacing w:line="360" w:lineRule="auto"/>
        <w:rPr>
          <w:rFonts w:ascii="黑体" w:hAnsi="黑体" w:eastAsia="黑体"/>
          <w:color w:val="auto"/>
          <w:sz w:val="30"/>
          <w:szCs w:val="30"/>
          <w:highlight w:val="none"/>
        </w:rPr>
      </w:pPr>
      <w:bookmarkStart w:id="51" w:name="_Toc2844"/>
      <w:bookmarkStart w:id="52" w:name="_Toc15298"/>
      <w:bookmarkStart w:id="53" w:name="_Toc20561"/>
    </w:p>
    <w:p w14:paraId="728FD0E0">
      <w:pPr>
        <w:wordWrap w:val="0"/>
        <w:snapToGrid w:val="0"/>
        <w:spacing w:line="360" w:lineRule="auto"/>
        <w:ind w:firstLine="883" w:firstLineChars="200"/>
        <w:jc w:val="center"/>
        <w:rPr>
          <w:rStyle w:val="74"/>
          <w:rFonts w:hint="eastAsia"/>
          <w:color w:val="auto"/>
          <w:highlight w:val="none"/>
        </w:rPr>
        <w:sectPr>
          <w:footerReference r:id="rId5" w:type="first"/>
          <w:headerReference r:id="rId3" w:type="default"/>
          <w:footerReference r:id="rId4" w:type="default"/>
          <w:pgSz w:w="11906" w:h="16838"/>
          <w:pgMar w:top="1440" w:right="1106" w:bottom="1440" w:left="1440" w:header="851" w:footer="992" w:gutter="0"/>
          <w:pgNumType w:start="1"/>
          <w:cols w:space="720" w:num="1"/>
          <w:docGrid w:linePitch="312" w:charSpace="0"/>
        </w:sectPr>
      </w:pPr>
      <w:bookmarkStart w:id="54" w:name="_Toc16324"/>
      <w:bookmarkStart w:id="55" w:name="_Toc10053"/>
    </w:p>
    <w:p w14:paraId="43596D46">
      <w:pPr>
        <w:wordWrap w:val="0"/>
        <w:snapToGrid w:val="0"/>
        <w:spacing w:line="360" w:lineRule="auto"/>
        <w:jc w:val="center"/>
        <w:rPr>
          <w:rFonts w:hint="eastAsia" w:hAnsi="宋体" w:cs="宋体"/>
          <w:b/>
          <w:bCs/>
          <w:color w:val="auto"/>
          <w:sz w:val="32"/>
          <w:szCs w:val="32"/>
          <w:highlight w:val="none"/>
        </w:rPr>
      </w:pPr>
      <w:r>
        <w:rPr>
          <w:rStyle w:val="74"/>
          <w:rFonts w:hint="eastAsia"/>
          <w:color w:val="auto"/>
          <w:highlight w:val="none"/>
        </w:rPr>
        <w:t>第二章  招标需求</w:t>
      </w:r>
      <w:bookmarkEnd w:id="51"/>
      <w:bookmarkEnd w:id="52"/>
      <w:bookmarkEnd w:id="53"/>
      <w:bookmarkEnd w:id="54"/>
      <w:bookmarkEnd w:id="55"/>
    </w:p>
    <w:p w14:paraId="7CD2D945">
      <w:pPr>
        <w:spacing w:line="400" w:lineRule="exact"/>
        <w:ind w:firstLine="482" w:firstLineChars="200"/>
        <w:outlineLvl w:val="1"/>
        <w:rPr>
          <w:rFonts w:hint="eastAsia"/>
          <w:b/>
          <w:sz w:val="24"/>
        </w:rPr>
      </w:pPr>
      <w:bookmarkStart w:id="56" w:name="_Toc31222"/>
      <w:r>
        <w:rPr>
          <w:rFonts w:hint="eastAsia"/>
          <w:b/>
          <w:sz w:val="24"/>
        </w:rPr>
        <w:t>一、项目概况</w:t>
      </w:r>
      <w:bookmarkEnd w:id="56"/>
    </w:p>
    <w:p w14:paraId="2DF77D29">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为认真贯彻落实国家、省、市、县松材线虫病防控工作会议精神，有效地做好2025年盘峰乡松材线虫病枯死松树清理服务项目（高二片区)，保护林地的生态安全，及时清除林内枯死松木，提高森林自控能力，特组织本次招标活动。</w:t>
      </w:r>
    </w:p>
    <w:p w14:paraId="2608E514">
      <w:pPr>
        <w:adjustRightInd w:val="0"/>
        <w:snapToGrid w:val="0"/>
        <w:spacing w:line="500" w:lineRule="exact"/>
        <w:ind w:firstLine="482" w:firstLineChars="200"/>
        <w:outlineLvl w:val="1"/>
        <w:rPr>
          <w:rFonts w:hint="eastAsia"/>
          <w:b/>
          <w:bCs/>
          <w:sz w:val="24"/>
        </w:rPr>
      </w:pPr>
      <w:bookmarkStart w:id="57" w:name="_Toc12250"/>
      <w:r>
        <w:rPr>
          <w:rFonts w:hint="eastAsia"/>
          <w:b/>
          <w:bCs/>
          <w:sz w:val="24"/>
        </w:rPr>
        <w:t>二、服务内容</w:t>
      </w:r>
      <w:bookmarkEnd w:id="57"/>
    </w:p>
    <w:p w14:paraId="4B1F4749">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1.作业范围：</w:t>
      </w:r>
    </w:p>
    <w:p w14:paraId="2BABE4DF">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根据2025年盘峰乡松材线虫病枯死松树清理服务项目（高二片区)调查，招标内容为高二片区范围内的病枯死松树进行清理。</w:t>
      </w:r>
    </w:p>
    <w:p w14:paraId="77B2623A">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2.清理对象：</w:t>
      </w:r>
    </w:p>
    <w:p w14:paraId="6D5207F2">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清理对象为枯死松树，已腐烂或者枯死1年以上松树不列入清理对象。</w:t>
      </w:r>
    </w:p>
    <w:p w14:paraId="735E326A">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3.清理标准：</w:t>
      </w:r>
    </w:p>
    <w:p w14:paraId="116ED1E3">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清理质量必须符合“510”标准，即伐桩高度低于5公分，清理山场无1公分以上的枝桠，疫木动态清零。</w:t>
      </w:r>
    </w:p>
    <w:p w14:paraId="4E079560">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4.清理要求：</w:t>
      </w:r>
    </w:p>
    <w:p w14:paraId="12F01582">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枯死松树，要求彻底清理，不论山高路远、零散孤立，还是采伐困难地带，都不得借故不作清理。严禁借枯死松树清理之名采伐鲜活松木、杉木、杂木。确有清理过程中无法避免砸坏的杉木、杂木，不得混入清理的松材之中。严禁松材、松枝桠让农户运回自行处置。清理队擅自采伐杂木、鲜活松木等，按照盗、滥伐进行调查和处罚。</w:t>
      </w:r>
    </w:p>
    <w:p w14:paraId="36ED1BDD">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5.清理时间：</w:t>
      </w:r>
    </w:p>
    <w:p w14:paraId="1D06B3B9">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松材线虫病疫情发生的特点，秋普计划内小班、行政区域内涉及铁路、高速公路、省道两沿第一视线内发生疫情的松林小班、风景区域内发生疫情的松林小班、城镇建成区周围第一视线内发生疫情的松林小班，2025年3月中旬，前完成本辖区面上病枯死木防治理。2025年3月底-4月进行验收整改。2025年5-9月，进入“即现即清”阶段。遇不可抗拒的特殊情况，另行协商。要按照“先难后易、先重点后一般、先紧后宽”的要求，合理安排，保证清理进度。</w:t>
      </w:r>
    </w:p>
    <w:p w14:paraId="62F1D15F">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6.除治疫木收购：</w:t>
      </w:r>
    </w:p>
    <w:p w14:paraId="3D625145">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整个清理期间，疫木定点企业，小头直径1厘米（含）以上的疫木松材，收购价300元/吨。</w:t>
      </w:r>
    </w:p>
    <w:p w14:paraId="117DF9D4">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7.疫木调运：</w:t>
      </w:r>
    </w:p>
    <w:p w14:paraId="4AAF6919">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疫木处理联系单由采购方林业干部签字盖章。建立清理单位、林业干部、联村干部和村监管干部、专职监督员的监管微信群，将枯死松木清理前、中、后现场对比照片，疫木运送下山、装车、发车（含车牌号）、过磅等图片或视频发群备查。定点处理企业凭随车同行的疫木联系单收购疫木，过磅单净重栏加盖企业公章（疫木入库专用章），注明疫木类型（松材、松枝），并建立收购台账。发现疫木安全利用定点企业混淆清理单位、疫木类型和虚构疫木数量等行动，将按有关规定从严处理。</w:t>
      </w:r>
    </w:p>
    <w:p w14:paraId="004CB114">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8.清理流水台账：</w:t>
      </w:r>
    </w:p>
    <w:p w14:paraId="004A4321">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清理专业队必须建立枯死松木清理流水台账，每天详细记录清理地点、数量、重量、疫木去向等内容，并由相关责任人员签字确认。</w:t>
      </w:r>
    </w:p>
    <w:p w14:paraId="79E26EA6">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9.人员配置要求</w:t>
      </w:r>
    </w:p>
    <w:p w14:paraId="54C3F3F4">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标单位在清理队伍人员配置中，不得少于2支专业组10人以上正常作业，并在开工前将务工协议、意外保险等相关资料上报采购单位，并要指定2名以上专人负责监督清理质量，并安装“数字森防”手机APP，对疫木除治和运输过程等环节，实施拍照留痕，确保采购单位随时了解除治过程，对于清理人员少、班组人员搭配不合理、进度缓慢等问题，采购单位有权清理负责人，限期整改。</w:t>
      </w:r>
    </w:p>
    <w:p w14:paraId="50058BA5">
      <w:pPr>
        <w:adjustRightInd w:val="0"/>
        <w:snapToGrid w:val="0"/>
        <w:spacing w:line="500" w:lineRule="exact"/>
        <w:ind w:firstLine="482" w:firstLineChars="200"/>
        <w:outlineLvl w:val="1"/>
        <w:rPr>
          <w:rFonts w:hint="eastAsia" w:ascii="宋体" w:hAnsi="宋体" w:eastAsia="宋体" w:cs="宋体"/>
          <w:b/>
          <w:bCs/>
          <w:sz w:val="24"/>
          <w:szCs w:val="24"/>
        </w:rPr>
      </w:pPr>
      <w:bookmarkStart w:id="58" w:name="_Toc314"/>
      <w:r>
        <w:rPr>
          <w:rFonts w:hint="eastAsia" w:ascii="宋体" w:hAnsi="宋体" w:eastAsia="宋体" w:cs="宋体"/>
          <w:b/>
          <w:bCs/>
          <w:sz w:val="24"/>
          <w:szCs w:val="24"/>
        </w:rPr>
        <w:t>三、商务要求</w:t>
      </w:r>
      <w:bookmarkEnd w:id="58"/>
    </w:p>
    <w:p w14:paraId="1EAD0F08">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1.付款办法：</w:t>
      </w:r>
    </w:p>
    <w:p w14:paraId="02B25131">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（1）履约保证金：签订合同前中标方须向采购方交纳中标金额的1%作为履约保证金，履约保证金待项目经验收合格，无服务质量问题，一个月内无息退还。 缴纳形式为转账或以银行、保险公司出具的保函。</w:t>
      </w:r>
    </w:p>
    <w:p w14:paraId="05281C97">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（2）付款方式：</w:t>
      </w:r>
    </w:p>
    <w:p w14:paraId="7A9EA8B6">
      <w:pPr>
        <w:snapToGrid w:val="0"/>
        <w:spacing w:line="480" w:lineRule="exact"/>
        <w:ind w:left="0" w:leftChars="0" w:right="218" w:rightChars="104" w:firstLine="0" w:firstLineChars="0"/>
        <w:jc w:val="left"/>
        <w:rPr>
          <w:rFonts w:hint="eastAsia" w:ascii="宋体" w:hAnsi="宋体"/>
          <w:color w:val="auto"/>
          <w:sz w:val="24"/>
          <w:highlight w:val="none"/>
          <w:lang w:val="en-US" w:eastAsia="zh-CN"/>
        </w:rPr>
      </w:pPr>
      <w:bookmarkStart w:id="59" w:name="_Toc12899"/>
      <w:r>
        <w:rPr>
          <w:rFonts w:hint="eastAsia" w:ascii="宋体" w:hAnsi="宋体"/>
          <w:color w:val="auto"/>
          <w:sz w:val="24"/>
          <w:highlight w:val="none"/>
          <w:lang w:val="en-US" w:eastAsia="zh-CN"/>
        </w:rPr>
        <w:t>1.定点处理企业过磅吨数乘以成交单价，扣除处理款，得出结算款。                   2.签订合同后由定点企业按照除治吨数支付合同价的30%，其余支付款凭乙方提供的正式发票和验收清据，在上级单位验收合格、拨款到位后支付。</w:t>
      </w:r>
    </w:p>
    <w:p w14:paraId="467AE2FA">
      <w:pPr>
        <w:adjustRightInd w:val="0"/>
        <w:snapToGrid w:val="0"/>
        <w:spacing w:line="500" w:lineRule="exact"/>
        <w:ind w:firstLine="482" w:firstLineChars="200"/>
        <w:outlineLvl w:val="1"/>
        <w:rPr>
          <w:rFonts w:hint="eastAsia" w:ascii="宋体" w:hAnsi="宋体" w:eastAsia="宋体" w:cs="宋体"/>
          <w:sz w:val="24"/>
          <w:szCs w:val="24"/>
        </w:rPr>
      </w:pPr>
      <w:r>
        <w:rPr>
          <w:rFonts w:hint="eastAsia" w:ascii="宋体" w:hAnsi="宋体" w:eastAsia="宋体" w:cs="宋体"/>
          <w:b/>
          <w:bCs/>
          <w:sz w:val="24"/>
          <w:szCs w:val="24"/>
        </w:rPr>
        <w:t>四、监督验收</w:t>
      </w:r>
      <w:bookmarkEnd w:id="59"/>
    </w:p>
    <w:p w14:paraId="64961AA8">
      <w:pPr>
        <w:snapToGrid w:val="0"/>
        <w:spacing w:line="480" w:lineRule="exact"/>
        <w:ind w:right="218" w:rightChars="104"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乡级验收。在集中除治期内，非天牛羽化期间。以山场小 班为单位，按照“清理一片、验收一片、合格一片、再继续一片” 的原则开展清理山场小班验收。每一个山场小班除治完毕后，由除治队向除治（清理）实施单位提出验收申请，各除治实施单位 组织有关人员对照《磐安县松材线虫病防治疫木清理检查验收评 分表》逐个进行初级验收，验收不合格的的小班由除治队整改后 再另行验收，验收合格再进行下一小班除治。各除治实施单位必 须在集中处置期内对本辖区范围内所有山场除治小班验收合格 后，再以书面形式报告县林业植物重大疫情防控办公室，并报送验收资料，进入县级验收环节。清理质量不达标或有零星漏清枯死松树的，要责令清理单位返工清理，并每处扣款500元；对成片未清理的，依据枯死松树量每处扣款1000-3000元；对发现砍伐活松木或其他林木的，每发现一处扣款1000元。县级验收验收核查方法：采用外业核查方式进行，县资规局委托第三方单位随机抽查各除治实施单位不少于20个除治小班除治任务成情况（重新验收的除治实施单位，除完成第一次抽查小班的复检外，需另外新抽不合格小班同等数量小班再次验收），综合评价病死树清理质量等级。外业核查内容：核查各实施单位境内松材线虫病枯死树清理 完成情况，主要是“四边”区域是否有未除治的松材线虫病发生场，要标注未除治山场的小班号和面积；随机抽查不少于20个除治小班的除治质量，重点检查疫木除治是否严格按“510·清干净” 标准开展，即伐桩不高于5cm，直径1cm以上的枝桠是否全部 清理到位，所辖范围内实现枯死松树动态清零，疫木清理是否严 格纳入省数字森防平台管理（记录核查地块、伐桩等位置信息， 核查的小班信息等）。</w:t>
      </w:r>
    </w:p>
    <w:p w14:paraId="21C7D47F">
      <w:pPr>
        <w:bidi w:val="0"/>
        <w:rPr>
          <w:rFonts w:hint="eastAsia" w:asciiTheme="minorEastAsia" w:hAnsiTheme="minorEastAsia" w:eastAsiaTheme="minorEastAsia" w:cstheme="minorEastAsia"/>
          <w:b/>
          <w:bCs/>
          <w:kern w:val="2"/>
          <w:sz w:val="24"/>
          <w:szCs w:val="24"/>
          <w:lang w:val="en-US" w:eastAsia="zh-CN" w:bidi="ar-SA"/>
        </w:rPr>
      </w:pPr>
    </w:p>
    <w:p w14:paraId="5E47CAF7">
      <w:pPr>
        <w:pStyle w:val="3"/>
        <w:rPr>
          <w:rFonts w:hint="eastAsia" w:asciiTheme="minorEastAsia" w:hAnsiTheme="minorEastAsia" w:eastAsiaTheme="minorEastAsia" w:cstheme="minorEastAsia"/>
          <w:b/>
          <w:bCs/>
          <w:kern w:val="2"/>
          <w:sz w:val="24"/>
          <w:szCs w:val="24"/>
          <w:lang w:val="en-US" w:eastAsia="zh-CN" w:bidi="ar-SA"/>
        </w:rPr>
      </w:pPr>
    </w:p>
    <w:p w14:paraId="0605861B">
      <w:pPr>
        <w:rPr>
          <w:rFonts w:hint="eastAsia" w:asciiTheme="minorEastAsia" w:hAnsiTheme="minorEastAsia" w:eastAsiaTheme="minorEastAsia" w:cstheme="minorEastAsia"/>
          <w:b/>
          <w:bCs/>
          <w:kern w:val="2"/>
          <w:sz w:val="24"/>
          <w:szCs w:val="24"/>
          <w:lang w:val="en-US" w:eastAsia="zh-CN" w:bidi="ar-SA"/>
        </w:rPr>
      </w:pPr>
    </w:p>
    <w:p w14:paraId="377D19FD">
      <w:pPr>
        <w:pStyle w:val="3"/>
        <w:rPr>
          <w:rFonts w:hint="eastAsia"/>
          <w:lang w:val="en-US" w:eastAsia="zh-CN"/>
        </w:rPr>
      </w:pPr>
    </w:p>
    <w:p w14:paraId="6E158A76">
      <w:pPr>
        <w:rPr>
          <w:rFonts w:hint="eastAsia"/>
          <w:lang w:val="en-US" w:eastAsia="zh-CN"/>
        </w:rPr>
      </w:pPr>
    </w:p>
    <w:p w14:paraId="5BD76A0A">
      <w:pPr>
        <w:pStyle w:val="22"/>
        <w:rPr>
          <w:color w:val="auto"/>
          <w:highlight w:val="none"/>
        </w:rPr>
      </w:pPr>
    </w:p>
    <w:p w14:paraId="6C2F9CB8">
      <w:pPr>
        <w:rPr>
          <w:color w:val="auto"/>
          <w:highlight w:val="none"/>
        </w:rPr>
      </w:pPr>
    </w:p>
    <w:p w14:paraId="6CBDCCEE">
      <w:pPr>
        <w:pStyle w:val="539"/>
        <w:jc w:val="center"/>
        <w:outlineLvl w:val="0"/>
        <w:rPr>
          <w:rStyle w:val="74"/>
          <w:rFonts w:hint="eastAsia" w:eastAsia="宋体"/>
          <w:color w:val="auto"/>
          <w:highlight w:val="none"/>
        </w:rPr>
      </w:pPr>
      <w:bookmarkStart w:id="60" w:name="_Toc20863"/>
      <w:bookmarkStart w:id="61" w:name="_Toc21466"/>
      <w:bookmarkStart w:id="62" w:name="_Toc26924"/>
      <w:r>
        <w:rPr>
          <w:rStyle w:val="74"/>
          <w:rFonts w:hint="eastAsia" w:eastAsia="宋体"/>
          <w:color w:val="auto"/>
          <w:highlight w:val="none"/>
        </w:rPr>
        <w:t>第三章  投标人须知</w:t>
      </w:r>
      <w:bookmarkEnd w:id="60"/>
      <w:bookmarkEnd w:id="61"/>
      <w:bookmarkEnd w:id="62"/>
    </w:p>
    <w:p w14:paraId="239E7729">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6"/>
          <w:szCs w:val="36"/>
          <w:highlight w:val="none"/>
        </w:rPr>
      </w:pPr>
      <w:bookmarkStart w:id="63" w:name="_Toc16323"/>
      <w:bookmarkStart w:id="64" w:name="_Toc28964"/>
      <w:bookmarkStart w:id="65" w:name="_Toc31446"/>
      <w:bookmarkStart w:id="66" w:name="_Toc32315"/>
      <w:bookmarkStart w:id="67" w:name="_Toc18857"/>
      <w:bookmarkStart w:id="68" w:name="_Toc9522"/>
      <w:bookmarkStart w:id="69" w:name="_Toc4890"/>
      <w:bookmarkStart w:id="70" w:name="_Toc5053"/>
      <w:bookmarkStart w:id="71" w:name="_Toc30919"/>
      <w:r>
        <w:rPr>
          <w:rFonts w:hint="eastAsia"/>
          <w:color w:val="auto"/>
          <w:sz w:val="36"/>
          <w:szCs w:val="36"/>
          <w:highlight w:val="none"/>
        </w:rPr>
        <w:t>前 附 表</w:t>
      </w:r>
    </w:p>
    <w:tbl>
      <w:tblPr>
        <w:tblStyle w:val="53"/>
        <w:tblW w:w="9343" w:type="dxa"/>
        <w:tblInd w:w="93" w:type="dxa"/>
        <w:tblLayout w:type="fixed"/>
        <w:tblCellMar>
          <w:top w:w="0" w:type="dxa"/>
          <w:left w:w="108" w:type="dxa"/>
          <w:bottom w:w="0" w:type="dxa"/>
          <w:right w:w="108" w:type="dxa"/>
        </w:tblCellMar>
      </w:tblPr>
      <w:tblGrid>
        <w:gridCol w:w="736"/>
        <w:gridCol w:w="1064"/>
        <w:gridCol w:w="7543"/>
      </w:tblGrid>
      <w:tr w14:paraId="17A76DFA">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2FE5078">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4120074">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内容</w:t>
            </w:r>
          </w:p>
        </w:tc>
        <w:tc>
          <w:tcPr>
            <w:tcW w:w="7543" w:type="dxa"/>
            <w:tcBorders>
              <w:top w:val="single" w:color="000000" w:sz="4" w:space="0"/>
              <w:left w:val="single" w:color="000000" w:sz="4" w:space="0"/>
              <w:bottom w:val="single" w:color="000000" w:sz="4" w:space="0"/>
              <w:right w:val="single" w:color="000000" w:sz="4" w:space="0"/>
            </w:tcBorders>
            <w:vAlign w:val="center"/>
          </w:tcPr>
          <w:p w14:paraId="06DF0DA4">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要求与说明</w:t>
            </w:r>
          </w:p>
        </w:tc>
      </w:tr>
      <w:tr w14:paraId="59E91E56">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CC39271">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1BEE9BF6">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效力标准</w:t>
            </w:r>
          </w:p>
        </w:tc>
        <w:tc>
          <w:tcPr>
            <w:tcW w:w="7543" w:type="dxa"/>
            <w:tcBorders>
              <w:top w:val="single" w:color="000000" w:sz="4" w:space="0"/>
              <w:left w:val="single" w:color="000000" w:sz="4" w:space="0"/>
              <w:bottom w:val="single" w:color="000000" w:sz="4" w:space="0"/>
              <w:right w:val="single" w:color="000000" w:sz="4" w:space="0"/>
            </w:tcBorders>
            <w:vAlign w:val="center"/>
          </w:tcPr>
          <w:p w14:paraId="1EECE8CD">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55C9FD63">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526DE4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64" w:type="dxa"/>
            <w:tcBorders>
              <w:top w:val="single" w:color="000000" w:sz="4" w:space="0"/>
              <w:left w:val="single" w:color="000000" w:sz="4" w:space="0"/>
              <w:bottom w:val="single" w:color="000000" w:sz="4" w:space="0"/>
              <w:right w:val="single" w:color="000000" w:sz="4" w:space="0"/>
            </w:tcBorders>
            <w:vAlign w:val="center"/>
          </w:tcPr>
          <w:p w14:paraId="31B9761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543" w:type="dxa"/>
            <w:tcBorders>
              <w:top w:val="single" w:color="000000" w:sz="4" w:space="0"/>
              <w:left w:val="single" w:color="000000" w:sz="4" w:space="0"/>
              <w:bottom w:val="single" w:color="000000" w:sz="4" w:space="0"/>
              <w:right w:val="single" w:color="000000" w:sz="4" w:space="0"/>
            </w:tcBorders>
            <w:vAlign w:val="center"/>
          </w:tcPr>
          <w:p w14:paraId="7E3D76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10035E0A">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8C2FF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64" w:type="dxa"/>
            <w:tcBorders>
              <w:top w:val="single" w:color="000000" w:sz="4" w:space="0"/>
              <w:left w:val="single" w:color="000000" w:sz="4" w:space="0"/>
              <w:bottom w:val="single" w:color="000000" w:sz="4" w:space="0"/>
              <w:right w:val="single" w:color="000000" w:sz="4" w:space="0"/>
            </w:tcBorders>
            <w:vAlign w:val="center"/>
          </w:tcPr>
          <w:p w14:paraId="4FF821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免责声明</w:t>
            </w:r>
          </w:p>
        </w:tc>
        <w:tc>
          <w:tcPr>
            <w:tcW w:w="7543" w:type="dxa"/>
            <w:tcBorders>
              <w:top w:val="single" w:color="000000" w:sz="4" w:space="0"/>
              <w:left w:val="single" w:color="000000" w:sz="4" w:space="0"/>
              <w:bottom w:val="single" w:color="000000" w:sz="4" w:space="0"/>
              <w:right w:val="single" w:color="000000" w:sz="4" w:space="0"/>
            </w:tcBorders>
            <w:vAlign w:val="center"/>
          </w:tcPr>
          <w:p w14:paraId="5578AE1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r>
              <w:rPr>
                <w:rFonts w:hint="eastAsia" w:ascii="宋体" w:hAnsi="宋体" w:cs="宋体"/>
                <w:color w:val="auto"/>
                <w:szCs w:val="21"/>
                <w:highlight w:val="none"/>
                <w:lang w:eastAsia="zh-CN"/>
              </w:rPr>
              <w:t>及损失</w:t>
            </w:r>
            <w:r>
              <w:rPr>
                <w:rFonts w:hint="eastAsia" w:ascii="宋体" w:hAnsi="宋体" w:cs="宋体"/>
                <w:color w:val="auto"/>
                <w:szCs w:val="21"/>
                <w:highlight w:val="none"/>
              </w:rPr>
              <w:t>。</w:t>
            </w:r>
          </w:p>
          <w:p w14:paraId="6A8A16A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A7AA462">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B1EA6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64" w:type="dxa"/>
            <w:tcBorders>
              <w:top w:val="single" w:color="000000" w:sz="4" w:space="0"/>
              <w:left w:val="single" w:color="000000" w:sz="4" w:space="0"/>
              <w:bottom w:val="single" w:color="000000" w:sz="4" w:space="0"/>
              <w:right w:val="single" w:color="000000" w:sz="4" w:space="0"/>
            </w:tcBorders>
            <w:vAlign w:val="center"/>
          </w:tcPr>
          <w:p w14:paraId="1821C4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投标报价及费用</w:t>
            </w:r>
          </w:p>
        </w:tc>
        <w:tc>
          <w:tcPr>
            <w:tcW w:w="7543" w:type="dxa"/>
            <w:tcBorders>
              <w:top w:val="single" w:color="000000" w:sz="4" w:space="0"/>
              <w:left w:val="single" w:color="000000" w:sz="4" w:space="0"/>
              <w:bottom w:val="single" w:color="000000" w:sz="4" w:space="0"/>
              <w:right w:val="single" w:color="000000" w:sz="4" w:space="0"/>
            </w:tcBorders>
            <w:vAlign w:val="center"/>
          </w:tcPr>
          <w:p w14:paraId="21897E49">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4A5520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7FB3C588">
            <w:pPr>
              <w:spacing w:line="440" w:lineRule="exact"/>
              <w:rPr>
                <w:rFonts w:hint="eastAsia" w:ascii="宋体" w:hAnsi="宋体" w:cs="宋体"/>
                <w:szCs w:val="21"/>
              </w:rPr>
            </w:pPr>
            <w:r>
              <w:rPr>
                <w:rFonts w:hint="eastAsia" w:ascii="宋体" w:hAnsi="宋体" w:cs="宋体"/>
                <w:szCs w:val="21"/>
              </w:rPr>
              <w:t>3.1采购代理费参照《招标代理服务收费管理暂行办法》（国家计委计价格［2002］1980号）规定计取，由成交供应商承担，在领取成交通知书前一次性支付给采购代理机构。</w:t>
            </w:r>
          </w:p>
          <w:p w14:paraId="511D5F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Cs w:val="21"/>
                <w:highlight w:val="none"/>
                <w:lang w:val="en-US" w:eastAsia="zh-CN"/>
              </w:rPr>
            </w:pPr>
            <w:r>
              <w:rPr>
                <w:rFonts w:hint="eastAsia" w:ascii="宋体" w:hAnsi="宋体" w:cs="宋体"/>
                <w:szCs w:val="21"/>
              </w:rPr>
              <w:t>3.2若出现终止采购情形的，采购代理服务费由采购人支付。</w:t>
            </w:r>
          </w:p>
        </w:tc>
      </w:tr>
      <w:tr w14:paraId="3E45FC6F">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3C6AA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64" w:type="dxa"/>
            <w:tcBorders>
              <w:top w:val="single" w:color="000000" w:sz="4" w:space="0"/>
              <w:left w:val="single" w:color="000000" w:sz="4" w:space="0"/>
              <w:bottom w:val="single" w:color="000000" w:sz="4" w:space="0"/>
              <w:right w:val="single" w:color="000000" w:sz="4" w:space="0"/>
            </w:tcBorders>
            <w:vAlign w:val="center"/>
          </w:tcPr>
          <w:p w14:paraId="65B973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w:t>
            </w:r>
          </w:p>
        </w:tc>
        <w:tc>
          <w:tcPr>
            <w:tcW w:w="7543" w:type="dxa"/>
            <w:tcBorders>
              <w:top w:val="single" w:color="000000" w:sz="4" w:space="0"/>
              <w:left w:val="single" w:color="000000" w:sz="4" w:space="0"/>
              <w:bottom w:val="single" w:color="000000" w:sz="4" w:space="0"/>
              <w:right w:val="single" w:color="000000" w:sz="4" w:space="0"/>
            </w:tcBorders>
            <w:vAlign w:val="center"/>
          </w:tcPr>
          <w:p w14:paraId="4E1214C0">
            <w:pPr>
              <w:snapToGrid w:val="0"/>
              <w:spacing w:line="480" w:lineRule="exact"/>
              <w:ind w:right="218" w:rightChars="104"/>
              <w:rPr>
                <w:rFonts w:hint="eastAsia" w:ascii="宋体" w:hAnsi="宋体" w:eastAsia="宋体" w:cs="宋体"/>
                <w:color w:val="auto"/>
                <w:szCs w:val="21"/>
                <w:highlight w:val="none"/>
                <w:lang w:eastAsia="zh-CN"/>
              </w:rPr>
            </w:pPr>
            <w:r>
              <w:rPr>
                <w:rFonts w:hint="eastAsia" w:ascii="宋体" w:hAnsi="宋体" w:eastAsia="宋体" w:cs="宋体"/>
                <w:bCs/>
                <w:color w:val="auto"/>
                <w:sz w:val="21"/>
                <w:szCs w:val="21"/>
                <w:highlight w:val="none"/>
              </w:rPr>
              <w:t>本项目</w:t>
            </w:r>
            <w:r>
              <w:rPr>
                <w:rFonts w:hint="eastAsia" w:ascii="宋体" w:hAnsi="宋体" w:cs="宋体"/>
                <w:bCs/>
                <w:color w:val="auto"/>
                <w:sz w:val="21"/>
                <w:szCs w:val="21"/>
                <w:highlight w:val="none"/>
                <w:lang w:eastAsia="zh-CN"/>
              </w:rPr>
              <w:t>不</w:t>
            </w:r>
            <w:r>
              <w:rPr>
                <w:rFonts w:hint="eastAsia" w:ascii="宋体" w:hAnsi="宋体" w:eastAsia="宋体" w:cs="宋体"/>
                <w:bCs/>
                <w:color w:val="auto"/>
                <w:sz w:val="21"/>
                <w:szCs w:val="21"/>
                <w:highlight w:val="none"/>
              </w:rPr>
              <w:t>接受联合体投标。</w:t>
            </w:r>
          </w:p>
        </w:tc>
      </w:tr>
      <w:tr w14:paraId="29FA980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8CC834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vAlign w:val="center"/>
          </w:tcPr>
          <w:p w14:paraId="7C844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7543" w:type="dxa"/>
            <w:tcBorders>
              <w:top w:val="single" w:color="000000" w:sz="4" w:space="0"/>
              <w:left w:val="single" w:color="000000" w:sz="4" w:space="0"/>
              <w:bottom w:val="single" w:color="000000" w:sz="4" w:space="0"/>
              <w:right w:val="single" w:color="000000" w:sz="4" w:space="0"/>
            </w:tcBorders>
            <w:vAlign w:val="center"/>
          </w:tcPr>
          <w:p w14:paraId="68FC4F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6BE0722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FBF66F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64" w:type="dxa"/>
            <w:tcBorders>
              <w:top w:val="single" w:color="000000" w:sz="4" w:space="0"/>
              <w:left w:val="single" w:color="000000" w:sz="4" w:space="0"/>
              <w:bottom w:val="single" w:color="000000" w:sz="4" w:space="0"/>
              <w:right w:val="single" w:color="000000" w:sz="4" w:space="0"/>
            </w:tcBorders>
            <w:vAlign w:val="center"/>
          </w:tcPr>
          <w:p w14:paraId="1D79CA8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投标文件有效期</w:t>
            </w:r>
          </w:p>
        </w:tc>
        <w:tc>
          <w:tcPr>
            <w:tcW w:w="7543" w:type="dxa"/>
            <w:tcBorders>
              <w:top w:val="single" w:color="000000" w:sz="4" w:space="0"/>
              <w:left w:val="single" w:color="000000" w:sz="4" w:space="0"/>
              <w:bottom w:val="single" w:color="000000" w:sz="4" w:space="0"/>
              <w:right w:val="single" w:color="000000" w:sz="4" w:space="0"/>
            </w:tcBorders>
            <w:vAlign w:val="center"/>
          </w:tcPr>
          <w:p w14:paraId="3AC2B33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提交投标文件截止时间起60天</w:t>
            </w:r>
          </w:p>
        </w:tc>
      </w:tr>
      <w:tr w14:paraId="1AD8A790">
        <w:tblPrEx>
          <w:tblCellMar>
            <w:top w:w="0" w:type="dxa"/>
            <w:left w:w="108" w:type="dxa"/>
            <w:bottom w:w="0" w:type="dxa"/>
            <w:right w:w="108" w:type="dxa"/>
          </w:tblCellMar>
        </w:tblPrEx>
        <w:trPr>
          <w:trHeight w:val="108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74B7D7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64" w:type="dxa"/>
            <w:tcBorders>
              <w:top w:val="single" w:color="000000" w:sz="4" w:space="0"/>
              <w:left w:val="single" w:color="000000" w:sz="4" w:space="0"/>
              <w:bottom w:val="single" w:color="000000" w:sz="4" w:space="0"/>
              <w:right w:val="single" w:color="000000" w:sz="4" w:space="0"/>
            </w:tcBorders>
            <w:vAlign w:val="center"/>
          </w:tcPr>
          <w:p w14:paraId="6DA5AA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543" w:type="dxa"/>
            <w:tcBorders>
              <w:top w:val="single" w:color="000000" w:sz="4" w:space="0"/>
              <w:left w:val="single" w:color="000000" w:sz="4" w:space="0"/>
              <w:bottom w:val="single" w:color="000000" w:sz="4" w:space="0"/>
              <w:right w:val="single" w:color="000000" w:sz="4" w:space="0"/>
            </w:tcBorders>
            <w:vAlign w:val="center"/>
          </w:tcPr>
          <w:p w14:paraId="0AFEEE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6618EEEC">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002A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64" w:type="dxa"/>
            <w:tcBorders>
              <w:top w:val="single" w:color="000000" w:sz="4" w:space="0"/>
              <w:left w:val="single" w:color="000000" w:sz="4" w:space="0"/>
              <w:bottom w:val="nil"/>
              <w:right w:val="single" w:color="000000" w:sz="4" w:space="0"/>
            </w:tcBorders>
            <w:vAlign w:val="center"/>
          </w:tcPr>
          <w:p w14:paraId="11DB8B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7543" w:type="dxa"/>
            <w:tcBorders>
              <w:top w:val="single" w:color="000000" w:sz="4" w:space="0"/>
              <w:left w:val="single" w:color="000000" w:sz="4" w:space="0"/>
              <w:bottom w:val="single" w:color="000000" w:sz="4" w:space="0"/>
              <w:right w:val="single" w:color="000000" w:sz="4" w:space="0"/>
            </w:tcBorders>
            <w:vAlign w:val="center"/>
          </w:tcPr>
          <w:p w14:paraId="31C8161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本项目实行在线电子投标。分电子投标文件、以介质存储的数据电文形式的备份投标文件、纸质备份投标文件三类，不同形式递交的文件内容均应一致：</w:t>
            </w:r>
          </w:p>
          <w:p w14:paraId="6D0F247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57F8D5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（2）以介质存储的数据电文形式的备份投标文件，按政采云平台项目采购-电子招投标操作指南中上传的电子投标文件格式，以U盘形式提供1份。</w:t>
            </w:r>
          </w:p>
          <w:p w14:paraId="1612FB1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（3）纸质备份投标文件将以纸质文件的形式递交，正本 1 份，副本1份。</w:t>
            </w:r>
          </w:p>
          <w:p w14:paraId="10848EC1">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备份文件不做强制性要求，由投标人自行考虑是否提供，后果自行承担。</w:t>
            </w:r>
          </w:p>
          <w:p w14:paraId="6F09ECAD">
            <w:pPr>
              <w:spacing w:line="44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供应商仅提供备份投标文件（包括以电子备份投标文件、纸质备份投标文件）投标的，投标无效。备份投标文件</w:t>
            </w:r>
            <w:r>
              <w:rPr>
                <w:rFonts w:hint="eastAsia" w:ascii="宋体" w:hAnsi="宋体" w:cs="宋体"/>
                <w:b/>
                <w:bCs/>
                <w:color w:val="auto"/>
                <w:szCs w:val="21"/>
                <w:highlight w:val="none"/>
                <w:lang w:eastAsia="zh-CN"/>
              </w:rPr>
              <w:t>应与</w:t>
            </w:r>
            <w:r>
              <w:rPr>
                <w:rFonts w:hint="eastAsia" w:ascii="宋体" w:hAnsi="宋体" w:eastAsia="宋体" w:cs="宋体"/>
                <w:b/>
                <w:bCs/>
                <w:color w:val="auto"/>
                <w:szCs w:val="21"/>
                <w:highlight w:val="none"/>
              </w:rPr>
              <w:t>电子投标文件</w:t>
            </w:r>
            <w:r>
              <w:rPr>
                <w:rFonts w:hint="eastAsia" w:ascii="宋体" w:hAnsi="宋体" w:eastAsia="宋体" w:cs="宋体"/>
                <w:b/>
                <w:bCs/>
                <w:color w:val="auto"/>
                <w:szCs w:val="21"/>
                <w:highlight w:val="none"/>
                <w:lang w:eastAsia="zh-CN"/>
              </w:rPr>
              <w:t>内容一致。</w:t>
            </w:r>
          </w:p>
          <w:p w14:paraId="318A27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69B34EE9">
        <w:tblPrEx>
          <w:tblCellMar>
            <w:top w:w="0" w:type="dxa"/>
            <w:left w:w="108" w:type="dxa"/>
            <w:bottom w:w="0" w:type="dxa"/>
            <w:right w:w="108" w:type="dxa"/>
          </w:tblCellMar>
        </w:tblPrEx>
        <w:trPr>
          <w:trHeight w:val="94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31CD7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64" w:type="dxa"/>
            <w:tcBorders>
              <w:top w:val="single" w:color="000000" w:sz="4" w:space="0"/>
              <w:left w:val="single" w:color="000000" w:sz="4" w:space="0"/>
              <w:bottom w:val="single" w:color="000000" w:sz="4" w:space="0"/>
              <w:right w:val="single" w:color="000000" w:sz="4" w:space="0"/>
            </w:tcBorders>
            <w:vAlign w:val="center"/>
          </w:tcPr>
          <w:p w14:paraId="5430222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543" w:type="dxa"/>
            <w:tcBorders>
              <w:top w:val="single" w:color="000000" w:sz="4" w:space="0"/>
              <w:left w:val="single" w:color="000000" w:sz="4" w:space="0"/>
              <w:bottom w:val="single" w:color="000000" w:sz="4" w:space="0"/>
              <w:right w:val="single" w:color="000000" w:sz="4" w:space="0"/>
            </w:tcBorders>
            <w:vAlign w:val="center"/>
          </w:tcPr>
          <w:p w14:paraId="55C0142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根据《关于在政府采购活动中查询及使用信用记录有关问题的通知》财库[2</w:t>
            </w:r>
            <w:r>
              <w:rPr>
                <w:rFonts w:hint="eastAsia" w:ascii="宋体" w:hAnsi="宋体" w:cs="宋体"/>
                <w:color w:val="auto"/>
                <w:szCs w:val="21"/>
                <w:highlight w:val="none"/>
                <w:lang w:eastAsia="zh-CN"/>
              </w:rPr>
              <w:t>002</w:t>
            </w:r>
            <w:r>
              <w:rPr>
                <w:rFonts w:hint="eastAsia" w:ascii="宋体" w:hAnsi="宋体" w:cs="宋体"/>
                <w:color w:val="auto"/>
                <w:szCs w:val="21"/>
                <w:highlight w:val="none"/>
              </w:rPr>
              <w:t>]125号的规定：</w:t>
            </w:r>
          </w:p>
          <w:p w14:paraId="3BF4DFC0">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p>
          <w:p w14:paraId="362F7F3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（2）截止时点：提交投标文件（响应文件）截止时间前3年内；</w:t>
            </w:r>
          </w:p>
          <w:p w14:paraId="42A2B2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（3）查询记录和证据的留存：信用信息查询记录和证据以网页截图等方式留存。</w:t>
            </w:r>
          </w:p>
          <w:p w14:paraId="2AF189BD">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E3737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（5）联合体成员任意一方存在不良信用记录的，视同联合体存在不良信用记录。</w:t>
            </w:r>
          </w:p>
        </w:tc>
      </w:tr>
      <w:tr w14:paraId="2DFC1B2E">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489720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64" w:type="dxa"/>
            <w:tcBorders>
              <w:top w:val="single" w:color="000000" w:sz="4" w:space="0"/>
              <w:left w:val="single" w:color="000000" w:sz="4" w:space="0"/>
              <w:bottom w:val="single" w:color="000000" w:sz="4" w:space="0"/>
              <w:right w:val="single" w:color="000000" w:sz="4" w:space="0"/>
            </w:tcBorders>
            <w:vAlign w:val="center"/>
          </w:tcPr>
          <w:p w14:paraId="46C2E4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评标结果公示</w:t>
            </w:r>
          </w:p>
        </w:tc>
        <w:tc>
          <w:tcPr>
            <w:tcW w:w="7543" w:type="dxa"/>
            <w:tcBorders>
              <w:top w:val="single" w:color="000000" w:sz="4" w:space="0"/>
              <w:left w:val="single" w:color="000000" w:sz="4" w:space="0"/>
              <w:bottom w:val="single" w:color="000000" w:sz="4" w:space="0"/>
              <w:right w:val="single" w:color="000000" w:sz="4" w:space="0"/>
            </w:tcBorders>
            <w:vAlign w:val="center"/>
          </w:tcPr>
          <w:p w14:paraId="2D2B1F6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797E3003">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95599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64" w:type="dxa"/>
            <w:tcBorders>
              <w:top w:val="single" w:color="000000" w:sz="4" w:space="0"/>
              <w:left w:val="single" w:color="000000" w:sz="4" w:space="0"/>
              <w:bottom w:val="single" w:color="000000" w:sz="4" w:space="0"/>
              <w:right w:val="single" w:color="000000" w:sz="4" w:space="0"/>
            </w:tcBorders>
            <w:vAlign w:val="center"/>
          </w:tcPr>
          <w:p w14:paraId="2CDCFA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543" w:type="dxa"/>
            <w:tcBorders>
              <w:top w:val="single" w:color="000000" w:sz="4" w:space="0"/>
              <w:left w:val="single" w:color="000000" w:sz="4" w:space="0"/>
              <w:bottom w:val="single" w:color="000000" w:sz="4" w:space="0"/>
              <w:right w:val="single" w:color="000000" w:sz="4" w:space="0"/>
            </w:tcBorders>
            <w:vAlign w:val="center"/>
          </w:tcPr>
          <w:p w14:paraId="4EF02DD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5F9BE468">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09E21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vAlign w:val="center"/>
          </w:tcPr>
          <w:p w14:paraId="6B25A33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543" w:type="dxa"/>
            <w:tcBorders>
              <w:top w:val="single" w:color="000000" w:sz="4" w:space="0"/>
              <w:left w:val="single" w:color="000000" w:sz="4" w:space="0"/>
              <w:bottom w:val="single" w:color="000000" w:sz="4" w:space="0"/>
              <w:right w:val="single" w:color="000000" w:sz="4" w:space="0"/>
            </w:tcBorders>
            <w:vAlign w:val="center"/>
          </w:tcPr>
          <w:p w14:paraId="7B809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1B8977A0">
        <w:tblPrEx>
          <w:tblCellMar>
            <w:top w:w="0" w:type="dxa"/>
            <w:left w:w="108" w:type="dxa"/>
            <w:bottom w:w="0" w:type="dxa"/>
            <w:right w:w="108" w:type="dxa"/>
          </w:tblCellMar>
        </w:tblPrEx>
        <w:trPr>
          <w:trHeight w:val="116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688C3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64" w:type="dxa"/>
            <w:tcBorders>
              <w:top w:val="single" w:color="000000" w:sz="4" w:space="0"/>
              <w:left w:val="single" w:color="000000" w:sz="4" w:space="0"/>
              <w:bottom w:val="single" w:color="000000" w:sz="4" w:space="0"/>
              <w:right w:val="single" w:color="000000" w:sz="4" w:space="0"/>
            </w:tcBorders>
            <w:vAlign w:val="center"/>
          </w:tcPr>
          <w:p w14:paraId="434CE9D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543" w:type="dxa"/>
            <w:tcBorders>
              <w:top w:val="single" w:color="000000" w:sz="4" w:space="0"/>
              <w:left w:val="single" w:color="000000" w:sz="4" w:space="0"/>
              <w:bottom w:val="single" w:color="000000" w:sz="4" w:space="0"/>
              <w:right w:val="single" w:color="000000" w:sz="4" w:space="0"/>
            </w:tcBorders>
            <w:vAlign w:val="center"/>
          </w:tcPr>
          <w:p w14:paraId="04BEDB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本项目收取</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履约保证金。</w:t>
            </w:r>
          </w:p>
        </w:tc>
      </w:tr>
      <w:tr w14:paraId="5B1E0146">
        <w:tblPrEx>
          <w:tblCellMar>
            <w:top w:w="0" w:type="dxa"/>
            <w:left w:w="108" w:type="dxa"/>
            <w:bottom w:w="0" w:type="dxa"/>
            <w:right w:w="108" w:type="dxa"/>
          </w:tblCellMar>
        </w:tblPrEx>
        <w:trPr>
          <w:trHeight w:val="69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5758F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64" w:type="dxa"/>
            <w:tcBorders>
              <w:top w:val="single" w:color="000000" w:sz="4" w:space="0"/>
              <w:left w:val="single" w:color="000000" w:sz="4" w:space="0"/>
              <w:bottom w:val="single" w:color="000000" w:sz="4" w:space="0"/>
              <w:right w:val="single" w:color="000000" w:sz="4" w:space="0"/>
            </w:tcBorders>
            <w:vAlign w:val="center"/>
          </w:tcPr>
          <w:p w14:paraId="56D7FFF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543" w:type="dxa"/>
            <w:tcBorders>
              <w:top w:val="single" w:color="000000" w:sz="4" w:space="0"/>
              <w:left w:val="single" w:color="000000" w:sz="4" w:space="0"/>
              <w:bottom w:val="single" w:color="000000" w:sz="4" w:space="0"/>
              <w:right w:val="single" w:color="000000" w:sz="4" w:space="0"/>
            </w:tcBorders>
            <w:vAlign w:val="center"/>
          </w:tcPr>
          <w:p w14:paraId="521AED7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款项支付方式：</w:t>
            </w:r>
            <w:r>
              <w:rPr>
                <w:rFonts w:hint="eastAsia" w:ascii="宋体" w:hAnsi="宋体" w:cs="宋体"/>
                <w:szCs w:val="21"/>
              </w:rPr>
              <w:t>按合同约定。</w:t>
            </w:r>
          </w:p>
        </w:tc>
      </w:tr>
      <w:tr w14:paraId="4CF4A4BA">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FB5715">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vAlign w:val="center"/>
          </w:tcPr>
          <w:p w14:paraId="5192EC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543" w:type="dxa"/>
            <w:tcBorders>
              <w:top w:val="single" w:color="000000" w:sz="4" w:space="0"/>
              <w:left w:val="single" w:color="000000" w:sz="4" w:space="0"/>
              <w:bottom w:val="single" w:color="000000" w:sz="4" w:space="0"/>
              <w:right w:val="single" w:color="000000" w:sz="4" w:space="0"/>
            </w:tcBorders>
            <w:vAlign w:val="center"/>
          </w:tcPr>
          <w:p w14:paraId="203A8226">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本项目的核心产品为：</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 xml:space="preserve">   </w:t>
            </w:r>
          </w:p>
        </w:tc>
      </w:tr>
      <w:tr w14:paraId="4920CC4E">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36527BA">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vAlign w:val="center"/>
          </w:tcPr>
          <w:p w14:paraId="1C2CEB91">
            <w:pPr>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节能产品、环境标志产品的强制采购政策</w:t>
            </w:r>
          </w:p>
        </w:tc>
        <w:tc>
          <w:tcPr>
            <w:tcW w:w="7543" w:type="dxa"/>
            <w:tcBorders>
              <w:top w:val="single" w:color="000000" w:sz="4" w:space="0"/>
              <w:left w:val="single" w:color="000000" w:sz="4" w:space="0"/>
              <w:bottom w:val="single" w:color="000000" w:sz="4" w:space="0"/>
              <w:right w:val="single" w:color="000000" w:sz="4" w:space="0"/>
            </w:tcBorders>
            <w:vAlign w:val="center"/>
          </w:tcPr>
          <w:p w14:paraId="6A4BBD6D">
            <w:pPr>
              <w:spacing w:line="44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6783F67">
        <w:tblPrEx>
          <w:tblCellMar>
            <w:top w:w="0" w:type="dxa"/>
            <w:left w:w="108" w:type="dxa"/>
            <w:bottom w:w="0" w:type="dxa"/>
            <w:right w:w="108" w:type="dxa"/>
          </w:tblCellMar>
        </w:tblPrEx>
        <w:trPr>
          <w:trHeight w:val="148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16BA291">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64" w:type="dxa"/>
            <w:tcBorders>
              <w:top w:val="single" w:color="000000" w:sz="4" w:space="0"/>
              <w:left w:val="single" w:color="000000" w:sz="4" w:space="0"/>
              <w:bottom w:val="single" w:color="000000" w:sz="4" w:space="0"/>
              <w:right w:val="single" w:color="000000" w:sz="4" w:space="0"/>
            </w:tcBorders>
            <w:vAlign w:val="center"/>
          </w:tcPr>
          <w:p w14:paraId="0695AC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扶持中小企业政策（监狱企业、残疾人福利性单位</w:t>
            </w:r>
            <w:r>
              <w:rPr>
                <w:rFonts w:hint="eastAsia" w:ascii="宋体" w:hAnsi="宋体" w:cs="宋体"/>
                <w:color w:val="auto"/>
                <w:szCs w:val="21"/>
                <w:highlight w:val="none"/>
                <w:lang w:eastAsia="zh-CN"/>
              </w:rPr>
              <w:t>视同小微企业</w:t>
            </w:r>
            <w:r>
              <w:rPr>
                <w:rFonts w:hint="eastAsia" w:ascii="宋体" w:hAnsi="宋体" w:cs="宋体"/>
                <w:color w:val="auto"/>
                <w:szCs w:val="21"/>
                <w:highlight w:val="none"/>
              </w:rPr>
              <w:t>）</w:t>
            </w:r>
          </w:p>
        </w:tc>
        <w:tc>
          <w:tcPr>
            <w:tcW w:w="7543" w:type="dxa"/>
            <w:tcBorders>
              <w:top w:val="single" w:color="000000" w:sz="4" w:space="0"/>
              <w:left w:val="single" w:color="000000" w:sz="4" w:space="0"/>
              <w:bottom w:val="single" w:color="000000" w:sz="4" w:space="0"/>
              <w:right w:val="single" w:color="000000" w:sz="4" w:space="0"/>
            </w:tcBorders>
            <w:vAlign w:val="center"/>
          </w:tcPr>
          <w:p w14:paraId="2853BE8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A35126E">
            <w:pPr>
              <w:spacing w:line="440" w:lineRule="exact"/>
              <w:jc w:val="both"/>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（1）最高限价：</w:t>
            </w:r>
            <w:r>
              <w:rPr>
                <w:rFonts w:hint="eastAsia" w:ascii="宋体" w:hAnsi="宋体" w:eastAsia="宋体" w:cs="宋体"/>
                <w:color w:val="auto"/>
                <w:u w:val="single"/>
              </w:rPr>
              <w:t>总价</w:t>
            </w:r>
            <w:r>
              <w:rPr>
                <w:rFonts w:ascii="微软雅黑" w:hAnsi="微软雅黑" w:eastAsia="微软雅黑" w:cs="微软雅黑"/>
                <w:b/>
                <w:bCs/>
                <w:i w:val="0"/>
                <w:iCs w:val="0"/>
                <w:caps w:val="0"/>
                <w:color w:val="auto"/>
                <w:spacing w:val="0"/>
                <w:sz w:val="21"/>
                <w:szCs w:val="21"/>
                <w:u w:val="single"/>
                <w:shd w:val="clear" w:fill="FFFFFF"/>
              </w:rPr>
              <w:t>181040</w:t>
            </w:r>
            <w:r>
              <w:rPr>
                <w:rFonts w:hint="eastAsia" w:ascii="宋体" w:hAnsi="宋体" w:eastAsia="宋体" w:cs="宋体"/>
                <w:color w:val="auto"/>
                <w:u w:val="single"/>
              </w:rPr>
              <w:t>元；</w:t>
            </w:r>
            <w:r>
              <w:rPr>
                <w:rFonts w:hint="eastAsia" w:ascii="宋体" w:hAnsi="宋体" w:eastAsia="宋体" w:cs="宋体"/>
                <w:u w:val="single"/>
              </w:rPr>
              <w:t>单价800元/吨</w:t>
            </w:r>
            <w:r>
              <w:rPr>
                <w:rFonts w:hint="eastAsia" w:ascii="宋体" w:hAnsi="宋体" w:cs="宋体"/>
                <w:b w:val="0"/>
                <w:bCs w:val="0"/>
                <w:color w:val="auto"/>
                <w:szCs w:val="21"/>
                <w:highlight w:val="none"/>
                <w:u w:val="single"/>
                <w:lang w:eastAsia="zh-CN"/>
              </w:rPr>
              <w:t>。</w:t>
            </w:r>
          </w:p>
          <w:p w14:paraId="55FC6C0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（2）项目属性：</w:t>
            </w:r>
            <w:r>
              <w:rPr>
                <w:rFonts w:hint="eastAsia" w:ascii="宋体" w:hAnsi="宋体" w:cs="宋体"/>
                <w:color w:val="0000FF"/>
                <w:szCs w:val="21"/>
                <w:highlight w:val="none"/>
                <w:u w:val="single"/>
              </w:rPr>
              <w:t>②服务类</w:t>
            </w:r>
            <w:r>
              <w:rPr>
                <w:rFonts w:hint="eastAsia" w:ascii="宋体" w:hAnsi="宋体" w:cs="宋体"/>
                <w:color w:val="auto"/>
                <w:szCs w:val="21"/>
                <w:highlight w:val="none"/>
              </w:rPr>
              <w:t>（①货物类/②服务类/③工程类）</w:t>
            </w:r>
          </w:p>
          <w:p w14:paraId="3F6B6E8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（3）项目对应的中小企业划分标准所属行业：</w:t>
            </w:r>
            <w:r>
              <w:rPr>
                <w:rFonts w:hint="eastAsia" w:ascii="宋体" w:hAnsi="宋体" w:cs="宋体"/>
                <w:color w:val="auto"/>
                <w:szCs w:val="21"/>
                <w:highlight w:val="none"/>
                <w:u w:val="single"/>
                <w:lang w:val="en-US" w:eastAsia="zh-CN"/>
              </w:rPr>
              <w:t>⑯</w:t>
            </w:r>
            <w:r>
              <w:rPr>
                <w:rFonts w:hint="eastAsia" w:ascii="宋体" w:hAnsi="宋体" w:cs="宋体"/>
                <w:color w:val="auto"/>
                <w:szCs w:val="21"/>
                <w:highlight w:val="none"/>
              </w:rPr>
              <w:t>（根据《中小企业划型标准规定的通知》（工信部联企业〔2011〕300号）规定</w:t>
            </w:r>
            <w:r>
              <w:rPr>
                <w:rFonts w:hint="eastAsia" w:ascii="宋体" w:hAnsi="宋体" w:cs="宋体"/>
                <w:color w:val="auto"/>
                <w:szCs w:val="21"/>
                <w:highlight w:val="none"/>
                <w:lang w:eastAsia="zh-CN"/>
              </w:rPr>
              <w:t>明确</w:t>
            </w:r>
            <w:r>
              <w:rPr>
                <w:rFonts w:hint="eastAsia" w:ascii="宋体" w:hAnsi="宋体" w:cs="宋体"/>
                <w:color w:val="auto"/>
                <w:szCs w:val="21"/>
                <w:highlight w:val="none"/>
              </w:rPr>
              <w:t>）</w:t>
            </w:r>
          </w:p>
          <w:p w14:paraId="760C17B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（注：现行中小企业划分标准行业包括①农、林、牧、渔业</w:t>
            </w:r>
            <w:r>
              <w:rPr>
                <w:rFonts w:hint="eastAsia" w:ascii="宋体" w:hAnsi="宋体" w:cs="宋体"/>
                <w:color w:val="auto"/>
                <w:szCs w:val="21"/>
                <w:highlight w:val="none"/>
                <w:lang w:val="en-US" w:eastAsia="zh-CN"/>
              </w:rPr>
              <w:t>/ ②</w:t>
            </w:r>
            <w:r>
              <w:rPr>
                <w:rFonts w:hint="eastAsia" w:ascii="宋体" w:hAnsi="宋体" w:cs="宋体"/>
                <w:color w:val="auto"/>
                <w:szCs w:val="21"/>
                <w:highlight w:val="none"/>
              </w:rPr>
              <w:t>工业</w:t>
            </w:r>
            <w:r>
              <w:rPr>
                <w:rFonts w:hint="eastAsia" w:ascii="宋体" w:hAnsi="宋体" w:cs="宋体"/>
                <w:color w:val="auto"/>
                <w:szCs w:val="21"/>
                <w:highlight w:val="none"/>
                <w:lang w:val="en-US" w:eastAsia="zh-CN"/>
              </w:rPr>
              <w:t>/ ③</w:t>
            </w:r>
            <w:r>
              <w:rPr>
                <w:rFonts w:hint="eastAsia" w:ascii="宋体" w:hAnsi="宋体" w:cs="宋体"/>
                <w:color w:val="auto"/>
                <w:szCs w:val="21"/>
                <w:highlight w:val="none"/>
              </w:rPr>
              <w:t>建筑业</w:t>
            </w:r>
            <w:r>
              <w:rPr>
                <w:rFonts w:hint="eastAsia" w:ascii="宋体" w:hAnsi="宋体" w:cs="宋体"/>
                <w:color w:val="auto"/>
                <w:szCs w:val="21"/>
                <w:highlight w:val="none"/>
                <w:lang w:val="en-US" w:eastAsia="zh-CN"/>
              </w:rPr>
              <w:t>/   ④</w:t>
            </w:r>
            <w:r>
              <w:rPr>
                <w:rFonts w:hint="eastAsia" w:ascii="宋体" w:hAnsi="宋体" w:cs="宋体"/>
                <w:color w:val="auto"/>
                <w:szCs w:val="21"/>
                <w:highlight w:val="none"/>
              </w:rPr>
              <w:t>批发业</w:t>
            </w:r>
            <w:r>
              <w:rPr>
                <w:rFonts w:hint="eastAsia" w:ascii="宋体" w:hAnsi="宋体" w:cs="宋体"/>
                <w:color w:val="auto"/>
                <w:szCs w:val="21"/>
                <w:highlight w:val="none"/>
                <w:lang w:val="en-US" w:eastAsia="zh-CN"/>
              </w:rPr>
              <w:t>/ ⑤</w:t>
            </w:r>
            <w:r>
              <w:rPr>
                <w:rFonts w:hint="eastAsia" w:ascii="宋体" w:hAnsi="宋体" w:cs="宋体"/>
                <w:color w:val="auto"/>
                <w:szCs w:val="21"/>
                <w:highlight w:val="none"/>
              </w:rPr>
              <w:t>零售业</w:t>
            </w:r>
            <w:r>
              <w:rPr>
                <w:rFonts w:hint="eastAsia" w:ascii="宋体" w:hAnsi="宋体" w:cs="宋体"/>
                <w:color w:val="auto"/>
                <w:szCs w:val="21"/>
                <w:highlight w:val="none"/>
                <w:lang w:val="en-US" w:eastAsia="zh-CN"/>
              </w:rPr>
              <w:t>/ ⑥</w:t>
            </w:r>
            <w:r>
              <w:rPr>
                <w:rFonts w:hint="eastAsia" w:ascii="宋体" w:hAnsi="宋体" w:cs="宋体"/>
                <w:color w:val="auto"/>
                <w:szCs w:val="21"/>
                <w:highlight w:val="none"/>
              </w:rPr>
              <w:t>交通运输业</w:t>
            </w:r>
            <w:r>
              <w:rPr>
                <w:rFonts w:hint="eastAsia" w:ascii="宋体" w:hAnsi="宋体" w:cs="宋体"/>
                <w:color w:val="auto"/>
                <w:szCs w:val="21"/>
                <w:highlight w:val="none"/>
                <w:lang w:val="en-US" w:eastAsia="zh-CN"/>
              </w:rPr>
              <w:t>/ ⑦</w:t>
            </w:r>
            <w:r>
              <w:rPr>
                <w:rFonts w:hint="eastAsia" w:ascii="宋体" w:hAnsi="宋体" w:cs="宋体"/>
                <w:color w:val="auto"/>
                <w:szCs w:val="21"/>
                <w:highlight w:val="none"/>
              </w:rPr>
              <w:t>仓储业</w:t>
            </w:r>
            <w:r>
              <w:rPr>
                <w:rFonts w:hint="eastAsia" w:ascii="宋体" w:hAnsi="宋体" w:cs="宋体"/>
                <w:color w:val="auto"/>
                <w:szCs w:val="21"/>
                <w:highlight w:val="none"/>
                <w:lang w:val="en-US" w:eastAsia="zh-CN"/>
              </w:rPr>
              <w:t>/ ⑧</w:t>
            </w:r>
            <w:r>
              <w:rPr>
                <w:rFonts w:hint="eastAsia" w:ascii="宋体" w:hAnsi="宋体" w:cs="宋体"/>
                <w:color w:val="auto"/>
                <w:szCs w:val="21"/>
                <w:highlight w:val="none"/>
              </w:rPr>
              <w:t>邮政业</w:t>
            </w:r>
            <w:r>
              <w:rPr>
                <w:rFonts w:hint="eastAsia" w:ascii="宋体" w:hAnsi="宋体" w:cs="宋体"/>
                <w:color w:val="auto"/>
                <w:szCs w:val="21"/>
                <w:highlight w:val="none"/>
                <w:lang w:val="en-US" w:eastAsia="zh-CN"/>
              </w:rPr>
              <w:t>/ ⑨</w:t>
            </w:r>
            <w:r>
              <w:rPr>
                <w:rFonts w:hint="eastAsia" w:ascii="宋体" w:hAnsi="宋体" w:cs="宋体"/>
                <w:color w:val="auto"/>
                <w:szCs w:val="21"/>
                <w:highlight w:val="none"/>
              </w:rPr>
              <w:t>住宿业</w:t>
            </w:r>
            <w:r>
              <w:rPr>
                <w:rFonts w:hint="eastAsia" w:ascii="宋体" w:hAnsi="宋体" w:cs="宋体"/>
                <w:color w:val="auto"/>
                <w:szCs w:val="21"/>
                <w:highlight w:val="none"/>
                <w:lang w:val="en-US" w:eastAsia="zh-CN"/>
              </w:rPr>
              <w:t>/ ⑩</w:t>
            </w:r>
            <w:r>
              <w:rPr>
                <w:rFonts w:hint="eastAsia" w:ascii="宋体" w:hAnsi="宋体" w:cs="宋体"/>
                <w:color w:val="auto"/>
                <w:szCs w:val="21"/>
                <w:highlight w:val="none"/>
              </w:rPr>
              <w:t>餐饮业</w:t>
            </w:r>
            <w:r>
              <w:rPr>
                <w:rFonts w:hint="eastAsia" w:ascii="宋体" w:hAnsi="宋体" w:cs="宋体"/>
                <w:color w:val="auto"/>
                <w:szCs w:val="21"/>
                <w:highlight w:val="none"/>
                <w:lang w:val="en-US" w:eastAsia="zh-CN"/>
              </w:rPr>
              <w:t>/ ⑪</w:t>
            </w:r>
            <w:r>
              <w:rPr>
                <w:rFonts w:hint="eastAsia" w:ascii="宋体" w:hAnsi="宋体" w:cs="宋体"/>
                <w:color w:val="auto"/>
                <w:szCs w:val="21"/>
                <w:highlight w:val="none"/>
              </w:rPr>
              <w:t>信息传输业</w:t>
            </w:r>
            <w:r>
              <w:rPr>
                <w:rFonts w:hint="eastAsia" w:ascii="宋体" w:hAnsi="宋体" w:cs="宋体"/>
                <w:color w:val="auto"/>
                <w:szCs w:val="21"/>
                <w:highlight w:val="none"/>
                <w:lang w:val="en-US" w:eastAsia="zh-CN"/>
              </w:rPr>
              <w:t>/ ⑫</w:t>
            </w:r>
            <w:r>
              <w:rPr>
                <w:rFonts w:hint="eastAsia" w:ascii="宋体" w:hAnsi="宋体" w:cs="宋体"/>
                <w:color w:val="auto"/>
                <w:szCs w:val="21"/>
                <w:highlight w:val="none"/>
              </w:rPr>
              <w:t>软件和信息技术服务业</w:t>
            </w:r>
            <w:r>
              <w:rPr>
                <w:rFonts w:hint="eastAsia" w:ascii="宋体" w:hAnsi="宋体" w:cs="宋体"/>
                <w:color w:val="auto"/>
                <w:szCs w:val="21"/>
                <w:highlight w:val="none"/>
                <w:lang w:val="en-US" w:eastAsia="zh-CN"/>
              </w:rPr>
              <w:t>/ ⑬</w:t>
            </w:r>
            <w:r>
              <w:rPr>
                <w:rFonts w:hint="eastAsia" w:ascii="宋体" w:hAnsi="宋体" w:cs="宋体"/>
                <w:color w:val="auto"/>
                <w:szCs w:val="21"/>
                <w:highlight w:val="none"/>
              </w:rPr>
              <w:t>房地产开发经营</w:t>
            </w:r>
            <w:r>
              <w:rPr>
                <w:rFonts w:hint="eastAsia" w:ascii="宋体" w:hAnsi="宋体" w:cs="宋体"/>
                <w:color w:val="auto"/>
                <w:szCs w:val="21"/>
                <w:highlight w:val="none"/>
                <w:lang w:val="en-US" w:eastAsia="zh-CN"/>
              </w:rPr>
              <w:t>/ ⑭</w:t>
            </w:r>
            <w:r>
              <w:rPr>
                <w:rFonts w:hint="eastAsia" w:ascii="宋体" w:hAnsi="宋体" w:cs="宋体"/>
                <w:color w:val="auto"/>
                <w:szCs w:val="21"/>
                <w:highlight w:val="none"/>
              </w:rPr>
              <w:t>物业管理</w:t>
            </w:r>
            <w:r>
              <w:rPr>
                <w:rFonts w:hint="eastAsia" w:ascii="宋体" w:hAnsi="宋体" w:cs="宋体"/>
                <w:color w:val="auto"/>
                <w:szCs w:val="21"/>
                <w:highlight w:val="none"/>
                <w:lang w:val="en-US" w:eastAsia="zh-CN"/>
              </w:rPr>
              <w:t>/⑮</w:t>
            </w:r>
            <w:r>
              <w:rPr>
                <w:rFonts w:hint="eastAsia" w:ascii="宋体" w:hAnsi="宋体" w:cs="宋体"/>
                <w:color w:val="auto"/>
                <w:szCs w:val="21"/>
                <w:highlight w:val="none"/>
              </w:rPr>
              <w:t>租赁和商业服务业</w:t>
            </w:r>
            <w:r>
              <w:rPr>
                <w:rFonts w:hint="eastAsia" w:ascii="宋体" w:hAnsi="宋体" w:cs="宋体"/>
                <w:color w:val="auto"/>
                <w:szCs w:val="21"/>
                <w:highlight w:val="none"/>
                <w:lang w:val="en-US" w:eastAsia="zh-CN"/>
              </w:rPr>
              <w:t>/ ⑯</w:t>
            </w:r>
            <w:r>
              <w:rPr>
                <w:rFonts w:hint="eastAsia" w:ascii="宋体" w:hAnsi="宋体" w:cs="宋体"/>
                <w:color w:val="auto"/>
                <w:szCs w:val="21"/>
                <w:highlight w:val="none"/>
              </w:rPr>
              <w:t>其他未列明行业等十六类）</w:t>
            </w:r>
          </w:p>
          <w:p w14:paraId="093ACEDC">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（4）本项目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②否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rPr>
              <w:t>（①是/②否）属于预留份额专门面向中小企业采购的项目。</w:t>
            </w:r>
          </w:p>
          <w:p w14:paraId="10289558">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上述第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项中确定为“①是”的采购项目，</w:t>
            </w:r>
            <w:r>
              <w:rPr>
                <w:rFonts w:hint="eastAsia" w:ascii="宋体" w:hAnsi="宋体" w:eastAsia="宋体" w:cs="宋体"/>
                <w:color w:val="auto"/>
                <w:szCs w:val="21"/>
                <w:highlight w:val="none"/>
              </w:rPr>
              <w:t>专门面向中小企业采购的项目或者标项，不再执行价格评审优惠的扶持政策。</w:t>
            </w:r>
            <w:r>
              <w:rPr>
                <w:rFonts w:hint="eastAsia" w:ascii="宋体" w:hAnsi="宋体" w:cs="宋体"/>
                <w:color w:val="auto"/>
                <w:szCs w:val="21"/>
                <w:highlight w:val="none"/>
              </w:rPr>
              <w:t>预留份额通过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措施进行：</w:t>
            </w:r>
          </w:p>
          <w:p w14:paraId="6C5922AC">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①将采购项目整体专门面向中小企业采购；</w:t>
            </w:r>
          </w:p>
          <w:p w14:paraId="161F0218">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②将采购项目</w:t>
            </w:r>
            <w:r>
              <w:rPr>
                <w:rFonts w:hint="eastAsia" w:ascii="宋体" w:hAnsi="宋体" w:cs="宋体"/>
                <w:color w:val="auto"/>
                <w:szCs w:val="21"/>
                <w:highlight w:val="none"/>
                <w:lang w:eastAsia="zh-CN"/>
              </w:rPr>
              <w:t>标项</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（一/二）</w:t>
            </w:r>
            <w:r>
              <w:rPr>
                <w:rFonts w:hint="eastAsia" w:ascii="宋体" w:hAnsi="宋体" w:cs="宋体"/>
                <w:color w:val="auto"/>
                <w:szCs w:val="21"/>
                <w:highlight w:val="none"/>
              </w:rPr>
              <w:t>专门面向中小企业采购；</w:t>
            </w:r>
          </w:p>
          <w:p w14:paraId="2763D71D">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③要求供应商以联合体形式参加采购活动，且联合体中中小企业承担的部分达到</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color w:val="auto"/>
                <w:szCs w:val="21"/>
                <w:highlight w:val="none"/>
              </w:rPr>
              <w:t>以上；</w:t>
            </w:r>
          </w:p>
          <w:p w14:paraId="41BF98A8">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④要求获得采购合同的供应商将采购项目中的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(比例）分包给一家或者多家中小企业。</w:t>
            </w:r>
          </w:p>
          <w:p w14:paraId="1CAF34F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⑤组成联合体或者接受分包合同的中小企业与联合体内其他企业、分包企业之间不得存在直接控股、管理关系。</w:t>
            </w:r>
          </w:p>
          <w:p w14:paraId="6C4A63B4">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）上述第（4）项中确定为“</w:t>
            </w:r>
            <w:r>
              <w:rPr>
                <w:rFonts w:hint="eastAsia" w:ascii="宋体" w:hAnsi="宋体" w:cs="宋体"/>
                <w:color w:val="auto"/>
                <w:szCs w:val="21"/>
                <w:highlight w:val="none"/>
              </w:rPr>
              <w:t>②否</w:t>
            </w:r>
            <w:r>
              <w:rPr>
                <w:rFonts w:hint="eastAsia" w:ascii="宋体" w:hAnsi="宋体" w:cs="宋体"/>
                <w:color w:val="auto"/>
                <w:szCs w:val="21"/>
                <w:highlight w:val="none"/>
                <w:lang w:eastAsia="zh-CN"/>
              </w:rPr>
              <w:t>”的采购项目，即非专门面向中小微企业招标项目，执行价格评审优惠的扶持政策。相关政策按本招标文件（</w:t>
            </w:r>
            <w:r>
              <w:rPr>
                <w:rFonts w:hint="eastAsia"/>
                <w:color w:val="auto"/>
                <w:highlight w:val="none"/>
              </w:rPr>
              <w:t>第五章  政府采购政策相关说明</w:t>
            </w:r>
            <w:r>
              <w:rPr>
                <w:rFonts w:hint="eastAsia" w:ascii="宋体" w:hAnsi="宋体" w:cs="宋体"/>
                <w:color w:val="auto"/>
                <w:szCs w:val="21"/>
                <w:highlight w:val="none"/>
                <w:lang w:eastAsia="zh-CN"/>
              </w:rPr>
              <w:t>）执行。</w:t>
            </w:r>
          </w:p>
        </w:tc>
      </w:tr>
      <w:tr w14:paraId="50714027">
        <w:tblPrEx>
          <w:tblCellMar>
            <w:top w:w="0" w:type="dxa"/>
            <w:left w:w="108" w:type="dxa"/>
            <w:bottom w:w="0" w:type="dxa"/>
            <w:right w:w="108" w:type="dxa"/>
          </w:tblCellMar>
        </w:tblPrEx>
        <w:trPr>
          <w:trHeight w:val="6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897D30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064" w:type="dxa"/>
            <w:tcBorders>
              <w:top w:val="single" w:color="000000" w:sz="4" w:space="0"/>
              <w:left w:val="single" w:color="000000" w:sz="4" w:space="0"/>
              <w:bottom w:val="single" w:color="000000" w:sz="4" w:space="0"/>
              <w:right w:val="single" w:color="000000" w:sz="4" w:space="0"/>
            </w:tcBorders>
            <w:vAlign w:val="center"/>
          </w:tcPr>
          <w:p w14:paraId="516E99BF">
            <w:pPr>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建设</w:t>
            </w:r>
            <w:r>
              <w:rPr>
                <w:rFonts w:hint="eastAsia" w:ascii="宋体" w:hAnsi="宋体" w:cs="宋体"/>
                <w:color w:val="auto"/>
                <w:szCs w:val="21"/>
                <w:highlight w:val="none"/>
              </w:rPr>
              <w:t>期</w:t>
            </w:r>
            <w:r>
              <w:rPr>
                <w:rFonts w:hint="eastAsia" w:ascii="宋体" w:hAnsi="宋体" w:cs="宋体"/>
                <w:color w:val="auto"/>
                <w:szCs w:val="21"/>
                <w:highlight w:val="none"/>
                <w:lang w:eastAsia="zh-CN"/>
              </w:rPr>
              <w:t>限</w:t>
            </w:r>
          </w:p>
        </w:tc>
        <w:tc>
          <w:tcPr>
            <w:tcW w:w="7543" w:type="dxa"/>
            <w:tcBorders>
              <w:top w:val="single" w:color="000000" w:sz="4" w:space="0"/>
              <w:left w:val="single" w:color="000000" w:sz="4" w:space="0"/>
              <w:bottom w:val="single" w:color="000000" w:sz="4" w:space="0"/>
              <w:right w:val="single" w:color="000000" w:sz="4" w:space="0"/>
            </w:tcBorders>
            <w:vAlign w:val="bottom"/>
          </w:tcPr>
          <w:p w14:paraId="6BE074C6">
            <w:pPr>
              <w:snapToGrid w:val="0"/>
              <w:spacing w:line="360" w:lineRule="auto"/>
              <w:jc w:val="both"/>
              <w:rPr>
                <w:rFonts w:hint="eastAsia" w:ascii="宋体" w:hAnsi="宋体" w:cs="宋体"/>
                <w:color w:val="auto"/>
                <w:szCs w:val="21"/>
                <w:highlight w:val="none"/>
              </w:rPr>
            </w:pPr>
            <w:r>
              <w:rPr>
                <w:rFonts w:hint="eastAsia" w:ascii="宋体" w:hAnsi="宋体" w:cs="宋体"/>
                <w:b/>
                <w:bCs/>
                <w:color w:val="0000FF"/>
                <w:szCs w:val="21"/>
                <w:highlight w:val="none"/>
                <w:lang w:eastAsia="zh-CN"/>
              </w:rPr>
              <w:t>秋普计划内小班、行政区域内涉及铁路、高速公路、省道两沿第一视线内发生疫情的松林小班、风景区域内发生疫情的松林小班、城镇建成区周围第一视线内发生疫情的松林小班，2025年3月中旬，前完成本辖区面上病枯死木防治理。2025年3月底-4月进行验收整改。2025年5-9月，进入“即现即清”阶段。</w:t>
            </w:r>
          </w:p>
        </w:tc>
      </w:tr>
      <w:tr w14:paraId="2B127414">
        <w:tblPrEx>
          <w:tblCellMar>
            <w:top w:w="0" w:type="dxa"/>
            <w:left w:w="108" w:type="dxa"/>
            <w:bottom w:w="0" w:type="dxa"/>
            <w:right w:w="108" w:type="dxa"/>
          </w:tblCellMar>
        </w:tblPrEx>
        <w:trPr>
          <w:trHeight w:val="930" w:hRule="atLeast"/>
        </w:trPr>
        <w:tc>
          <w:tcPr>
            <w:tcW w:w="736" w:type="dxa"/>
            <w:tcBorders>
              <w:top w:val="single" w:color="000000" w:sz="4" w:space="0"/>
              <w:left w:val="single" w:color="000000" w:sz="4" w:space="0"/>
              <w:bottom w:val="single" w:color="auto" w:sz="4" w:space="0"/>
              <w:right w:val="single" w:color="000000" w:sz="4" w:space="0"/>
            </w:tcBorders>
            <w:vAlign w:val="center"/>
          </w:tcPr>
          <w:p w14:paraId="04C42105">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64" w:type="dxa"/>
            <w:tcBorders>
              <w:top w:val="single" w:color="000000" w:sz="4" w:space="0"/>
              <w:left w:val="single" w:color="000000" w:sz="4" w:space="0"/>
              <w:bottom w:val="single" w:color="auto" w:sz="4" w:space="0"/>
              <w:right w:val="single" w:color="000000" w:sz="4" w:space="0"/>
            </w:tcBorders>
            <w:vAlign w:val="center"/>
          </w:tcPr>
          <w:p w14:paraId="24FFBADC">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质疑与投诉</w:t>
            </w:r>
          </w:p>
        </w:tc>
        <w:tc>
          <w:tcPr>
            <w:tcW w:w="7543" w:type="dxa"/>
            <w:tcBorders>
              <w:top w:val="single" w:color="000000" w:sz="4" w:space="0"/>
              <w:left w:val="single" w:color="000000" w:sz="4" w:space="0"/>
              <w:bottom w:val="single" w:color="auto" w:sz="4" w:space="0"/>
              <w:right w:val="single" w:color="000000" w:sz="4" w:space="0"/>
            </w:tcBorders>
            <w:vAlign w:val="center"/>
          </w:tcPr>
          <w:p w14:paraId="0187BA06">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1.供应商应当自知道或者应当知道其合法权益受到损害之日起七个工作日内提出质疑。对采购公告信息（含供应商资格条件）提出质疑的，质疑期限自采购公告发 布之日起计算。对采购文件提出质疑的，质疑期限自供应商获得采购文件之日起计算（但采购文件在发售或报名截止日后获得的，应当自截止之日起计算），且应当在采购响应截止时间之前提出，否则，被质疑人可不予接受。</w:t>
            </w:r>
          </w:p>
          <w:p w14:paraId="58798228">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对采购文件</w:t>
            </w:r>
            <w:r>
              <w:rPr>
                <w:rFonts w:hint="eastAsia" w:ascii="宋体" w:hAnsi="宋体" w:eastAsia="宋体" w:cs="宋体"/>
                <w:color w:val="auto"/>
                <w:szCs w:val="21"/>
                <w:highlight w:val="none"/>
                <w:lang w:eastAsia="zh-CN"/>
              </w:rPr>
              <w:t>需求提出质疑的，</w:t>
            </w:r>
            <w:r>
              <w:rPr>
                <w:rFonts w:hint="eastAsia" w:ascii="宋体" w:hAnsi="宋体" w:eastAsia="宋体" w:cs="宋体"/>
                <w:color w:val="auto"/>
                <w:szCs w:val="21"/>
                <w:highlight w:val="none"/>
              </w:rPr>
              <w:t>以书面形式向采购人提出质疑，对其他内容的</w:t>
            </w:r>
            <w:r>
              <w:rPr>
                <w:rFonts w:hint="eastAsia" w:ascii="宋体" w:hAnsi="宋体" w:eastAsia="宋体" w:cs="宋体"/>
                <w:color w:val="auto"/>
                <w:szCs w:val="21"/>
                <w:highlight w:val="none"/>
                <w:lang w:eastAsia="zh-CN"/>
              </w:rPr>
              <w:t>质疑</w:t>
            </w:r>
            <w:r>
              <w:rPr>
                <w:rFonts w:hint="eastAsia" w:ascii="宋体" w:hAnsi="宋体" w:eastAsia="宋体" w:cs="宋体"/>
                <w:color w:val="auto"/>
                <w:szCs w:val="21"/>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63E36C">
            <w:pPr>
              <w:numPr>
                <w:ilvl w:val="0"/>
                <w:numId w:val="0"/>
              </w:numPr>
              <w:spacing w:line="440" w:lineRule="exact"/>
              <w:rPr>
                <w:rFonts w:hint="eastAsia" w:ascii="宋体" w:hAnsi="宋体" w:eastAsia="宋体" w:cs="宋体"/>
                <w:color w:val="auto"/>
                <w:szCs w:val="24"/>
                <w:highlight w:val="none"/>
                <w:lang w:val="en-US" w:eastAsia="zh-CN"/>
              </w:rPr>
            </w:pPr>
            <w:r>
              <w:rPr>
                <w:rFonts w:hint="eastAsia" w:ascii="宋体" w:hAnsi="宋体" w:eastAsia="宋体" w:cs="宋体"/>
                <w:color w:val="auto"/>
                <w:szCs w:val="21"/>
                <w:highlight w:val="none"/>
                <w:lang w:val="en-US" w:eastAsia="zh-CN"/>
              </w:rPr>
              <w:t>3.供应商应在法定质疑期内一次性提出针对同一采购程序环节的质疑。</w:t>
            </w:r>
          </w:p>
        </w:tc>
      </w:tr>
      <w:tr w14:paraId="4566A824">
        <w:tblPrEx>
          <w:tblCellMar>
            <w:top w:w="0" w:type="dxa"/>
            <w:left w:w="108" w:type="dxa"/>
            <w:bottom w:w="0" w:type="dxa"/>
            <w:right w:w="108" w:type="dxa"/>
          </w:tblCellMar>
        </w:tblPrEx>
        <w:trPr>
          <w:trHeight w:val="1420" w:hRule="atLeast"/>
        </w:trPr>
        <w:tc>
          <w:tcPr>
            <w:tcW w:w="736" w:type="dxa"/>
            <w:tcBorders>
              <w:top w:val="single" w:color="auto" w:sz="4" w:space="0"/>
              <w:left w:val="single" w:color="auto" w:sz="4" w:space="0"/>
              <w:bottom w:val="single" w:color="auto" w:sz="4" w:space="0"/>
              <w:right w:val="single" w:color="auto" w:sz="4" w:space="0"/>
            </w:tcBorders>
            <w:vAlign w:val="center"/>
          </w:tcPr>
          <w:p w14:paraId="6FC4FD19">
            <w:pPr>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064" w:type="dxa"/>
            <w:tcBorders>
              <w:top w:val="single" w:color="auto" w:sz="4" w:space="0"/>
              <w:left w:val="single" w:color="auto" w:sz="4" w:space="0"/>
              <w:bottom w:val="single" w:color="auto" w:sz="4" w:space="0"/>
              <w:right w:val="single" w:color="auto" w:sz="4" w:space="0"/>
            </w:tcBorders>
            <w:vAlign w:val="center"/>
          </w:tcPr>
          <w:p w14:paraId="2A899CDE">
            <w:pPr>
              <w:spacing w:line="440" w:lineRule="exact"/>
              <w:jc w:val="center"/>
              <w:rPr>
                <w:rFonts w:hint="eastAsia" w:ascii="宋体" w:hAnsi="宋体" w:eastAsia="宋体" w:cs="宋体"/>
                <w:color w:val="auto"/>
                <w:szCs w:val="21"/>
                <w:highlight w:val="none"/>
                <w:lang w:eastAsia="zh-CN"/>
              </w:rPr>
            </w:pPr>
            <w:r>
              <w:rPr>
                <w:rFonts w:hint="eastAsia" w:ascii="宋体" w:hAnsi="宋体" w:cs="仿宋_GB2312"/>
                <w:b/>
                <w:szCs w:val="21"/>
              </w:rPr>
              <w:t>特别事项说明</w:t>
            </w:r>
          </w:p>
        </w:tc>
        <w:tc>
          <w:tcPr>
            <w:tcW w:w="7543" w:type="dxa"/>
            <w:tcBorders>
              <w:top w:val="single" w:color="auto" w:sz="4" w:space="0"/>
              <w:left w:val="single" w:color="auto" w:sz="4" w:space="0"/>
              <w:bottom w:val="single" w:color="auto" w:sz="4" w:space="0"/>
              <w:right w:val="single" w:color="auto" w:sz="4" w:space="0"/>
            </w:tcBorders>
            <w:vAlign w:val="center"/>
          </w:tcPr>
          <w:p w14:paraId="20952AD1">
            <w:pPr>
              <w:spacing w:line="440" w:lineRule="exact"/>
              <w:rPr>
                <w:rFonts w:hint="eastAsia" w:ascii="宋体" w:hAnsi="宋体" w:eastAsia="宋体" w:cs="宋体"/>
                <w:color w:val="auto"/>
                <w:szCs w:val="21"/>
                <w:highlight w:val="yellow"/>
                <w:lang w:val="en-US" w:eastAsia="zh-CN"/>
              </w:rPr>
            </w:pPr>
            <w:r>
              <w:rPr>
                <w:rFonts w:hint="eastAsia" w:ascii="宋体" w:hAnsi="宋体"/>
                <w:b/>
                <w:bCs/>
                <w:color w:val="FF0000"/>
                <w:sz w:val="24"/>
                <w:highlight w:val="none"/>
                <w:lang w:eastAsia="zh-CN"/>
              </w:rPr>
              <w:t>2025年盘峰乡松材线虫病枯死松树清理服务项目</w:t>
            </w:r>
            <w:r>
              <w:rPr>
                <w:rFonts w:hint="eastAsia" w:ascii="宋体" w:hAnsi="宋体"/>
                <w:b/>
                <w:bCs/>
                <w:color w:val="FF0000"/>
                <w:sz w:val="24"/>
                <w:highlight w:val="none"/>
                <w:lang w:val="en-US" w:eastAsia="zh-CN"/>
              </w:rPr>
              <w:t>(盘峰片区）和</w:t>
            </w:r>
            <w:r>
              <w:rPr>
                <w:rFonts w:hint="eastAsia" w:ascii="宋体" w:hAnsi="宋体"/>
                <w:b/>
                <w:bCs/>
                <w:color w:val="FF0000"/>
                <w:sz w:val="24"/>
                <w:highlight w:val="none"/>
                <w:lang w:eastAsia="zh-CN"/>
              </w:rPr>
              <w:t>2025年盘峰乡松材线虫病枯死松树清理服务项目</w:t>
            </w:r>
            <w:r>
              <w:rPr>
                <w:rFonts w:hint="eastAsia" w:ascii="宋体" w:hAnsi="宋体"/>
                <w:b/>
                <w:bCs/>
                <w:color w:val="FF0000"/>
                <w:sz w:val="24"/>
                <w:highlight w:val="none"/>
                <w:lang w:val="en-US" w:eastAsia="zh-CN"/>
              </w:rPr>
              <w:t>(维新片区）的</w:t>
            </w:r>
            <w:r>
              <w:rPr>
                <w:rFonts w:hint="eastAsia" w:ascii="宋体" w:hAnsi="宋体" w:cs="宋体"/>
                <w:b/>
                <w:bCs/>
                <w:snapToGrid w:val="0"/>
                <w:color w:val="FF0000"/>
                <w:kern w:val="28"/>
                <w:szCs w:val="21"/>
                <w:highlight w:val="none"/>
              </w:rPr>
              <w:t>中标候选人的投标</w:t>
            </w:r>
            <w:r>
              <w:rPr>
                <w:rFonts w:hint="eastAsia" w:ascii="宋体" w:hAnsi="宋体" w:cs="宋体"/>
                <w:b/>
                <w:bCs/>
                <w:snapToGrid w:val="0"/>
                <w:color w:val="FF0000"/>
                <w:kern w:val="28"/>
                <w:szCs w:val="21"/>
                <w:highlight w:val="none"/>
                <w:lang w:val="en-US" w:eastAsia="zh-CN"/>
              </w:rPr>
              <w:t>单位</w:t>
            </w:r>
            <w:r>
              <w:rPr>
                <w:rFonts w:hint="eastAsia" w:ascii="宋体" w:hAnsi="宋体" w:cs="宋体"/>
                <w:b/>
                <w:bCs/>
                <w:snapToGrid w:val="0"/>
                <w:color w:val="FF0000"/>
                <w:kern w:val="28"/>
                <w:szCs w:val="21"/>
                <w:highlight w:val="none"/>
              </w:rPr>
              <w:t>不进入</w:t>
            </w:r>
            <w:r>
              <w:rPr>
                <w:rFonts w:hint="eastAsia" w:ascii="宋体" w:hAnsi="宋体" w:cs="宋体"/>
                <w:b/>
                <w:bCs/>
                <w:snapToGrid w:val="0"/>
                <w:color w:val="FF0000"/>
                <w:kern w:val="28"/>
                <w:szCs w:val="21"/>
                <w:highlight w:val="none"/>
                <w:lang w:val="en-US" w:eastAsia="zh-CN"/>
              </w:rPr>
              <w:t>此</w:t>
            </w:r>
            <w:r>
              <w:rPr>
                <w:rFonts w:hint="eastAsia" w:ascii="宋体" w:hAnsi="宋体" w:cs="宋体"/>
                <w:b/>
                <w:bCs/>
                <w:snapToGrid w:val="0"/>
                <w:color w:val="FF0000"/>
                <w:kern w:val="28"/>
                <w:szCs w:val="21"/>
                <w:highlight w:val="none"/>
              </w:rPr>
              <w:t>标项的评审。</w:t>
            </w:r>
          </w:p>
        </w:tc>
      </w:tr>
    </w:tbl>
    <w:p w14:paraId="2B8EC87C">
      <w:pPr>
        <w:wordWrap w:val="0"/>
        <w:snapToGrid w:val="0"/>
        <w:spacing w:line="360" w:lineRule="auto"/>
        <w:ind w:firstLine="600" w:firstLineChars="200"/>
        <w:rPr>
          <w:rFonts w:hint="eastAsia" w:ascii="黑体" w:hAnsi="黑体" w:eastAsia="黑体"/>
          <w:color w:val="auto"/>
          <w:sz w:val="30"/>
          <w:szCs w:val="30"/>
          <w:highlight w:val="none"/>
        </w:rPr>
      </w:pPr>
    </w:p>
    <w:p w14:paraId="0C3D42DC">
      <w:pPr>
        <w:widowControl/>
        <w:spacing w:line="360" w:lineRule="auto"/>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一、总则</w:t>
      </w:r>
      <w:bookmarkEnd w:id="63"/>
      <w:bookmarkEnd w:id="64"/>
      <w:bookmarkEnd w:id="65"/>
      <w:bookmarkEnd w:id="66"/>
      <w:bookmarkEnd w:id="67"/>
      <w:bookmarkEnd w:id="68"/>
      <w:bookmarkEnd w:id="69"/>
      <w:bookmarkEnd w:id="70"/>
      <w:bookmarkEnd w:id="71"/>
    </w:p>
    <w:p w14:paraId="221B6F60">
      <w:pPr>
        <w:widowControl/>
        <w:spacing w:line="480" w:lineRule="exact"/>
        <w:ind w:firstLine="482" w:firstLineChars="200"/>
        <w:jc w:val="left"/>
        <w:outlineLvl w:val="2"/>
        <w:rPr>
          <w:rFonts w:hint="eastAsia" w:ascii="宋体" w:hAnsi="宋体"/>
          <w:b/>
          <w:bCs/>
          <w:color w:val="auto"/>
          <w:sz w:val="24"/>
          <w:highlight w:val="none"/>
        </w:rPr>
      </w:pPr>
      <w:bookmarkStart w:id="72" w:name="_Toc13133"/>
      <w:bookmarkStart w:id="73" w:name="_Toc363"/>
      <w:bookmarkStart w:id="74" w:name="_Toc8924"/>
      <w:bookmarkStart w:id="75" w:name="_Toc32099"/>
      <w:bookmarkStart w:id="76" w:name="_Toc17597"/>
      <w:r>
        <w:rPr>
          <w:rFonts w:hint="eastAsia" w:ascii="宋体" w:hAnsi="宋体"/>
          <w:b/>
          <w:bCs/>
          <w:color w:val="auto"/>
          <w:sz w:val="24"/>
          <w:highlight w:val="none"/>
        </w:rPr>
        <w:t>（一） 适用范围</w:t>
      </w:r>
      <w:bookmarkEnd w:id="72"/>
      <w:bookmarkEnd w:id="73"/>
      <w:bookmarkEnd w:id="74"/>
      <w:bookmarkEnd w:id="75"/>
      <w:bookmarkEnd w:id="76"/>
    </w:p>
    <w:p w14:paraId="2A881C8E">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2025年盘峰乡松材线虫病枯死松树清理服务项目（高二片区)</w:t>
      </w:r>
      <w:r>
        <w:rPr>
          <w:rFonts w:hint="eastAsia" w:ascii="宋体" w:hAnsi="宋体"/>
          <w:color w:val="auto"/>
          <w:sz w:val="24"/>
          <w:highlight w:val="none"/>
        </w:rPr>
        <w:t>的招标、投标、评标、定标、验收、合同履约、付款等行为（法律、法规另有规定的，从其规定）。</w:t>
      </w:r>
    </w:p>
    <w:p w14:paraId="73A6FE40">
      <w:pPr>
        <w:widowControl/>
        <w:spacing w:line="480" w:lineRule="exact"/>
        <w:ind w:firstLine="482" w:firstLineChars="200"/>
        <w:jc w:val="left"/>
        <w:outlineLvl w:val="2"/>
        <w:rPr>
          <w:rFonts w:hint="eastAsia" w:ascii="宋体" w:hAnsi="宋体"/>
          <w:b/>
          <w:bCs/>
          <w:color w:val="auto"/>
          <w:sz w:val="24"/>
          <w:highlight w:val="none"/>
        </w:rPr>
      </w:pPr>
      <w:bookmarkStart w:id="77" w:name="_Toc25060"/>
      <w:bookmarkStart w:id="78" w:name="_Toc24686"/>
      <w:bookmarkStart w:id="79" w:name="_Toc17795"/>
      <w:bookmarkStart w:id="80" w:name="_Toc25456"/>
      <w:bookmarkStart w:id="81" w:name="_Toc32680"/>
      <w:r>
        <w:rPr>
          <w:rFonts w:hint="eastAsia" w:ascii="宋体" w:hAnsi="宋体"/>
          <w:b/>
          <w:bCs/>
          <w:color w:val="auto"/>
          <w:sz w:val="24"/>
          <w:highlight w:val="none"/>
        </w:rPr>
        <w:t>（二）定义</w:t>
      </w:r>
      <w:bookmarkEnd w:id="77"/>
      <w:bookmarkEnd w:id="78"/>
      <w:bookmarkEnd w:id="79"/>
      <w:bookmarkEnd w:id="80"/>
      <w:bookmarkEnd w:id="81"/>
    </w:p>
    <w:p w14:paraId="22419E33">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1.招标采购单位系指组织本次招标的</w:t>
      </w:r>
      <w:r>
        <w:rPr>
          <w:rFonts w:hint="eastAsia" w:ascii="宋体" w:hAnsi="宋体"/>
          <w:b/>
          <w:bCs/>
          <w:color w:val="auto"/>
          <w:sz w:val="24"/>
          <w:highlight w:val="none"/>
          <w:lang w:eastAsia="zh-CN"/>
        </w:rPr>
        <w:t>浙江诚远工程咨询有限公司</w:t>
      </w:r>
      <w:r>
        <w:rPr>
          <w:rFonts w:hint="eastAsia" w:ascii="宋体" w:hAnsi="宋体"/>
          <w:b/>
          <w:bCs/>
          <w:color w:val="auto"/>
          <w:sz w:val="24"/>
          <w:highlight w:val="none"/>
        </w:rPr>
        <w:t>（“招标方”）</w:t>
      </w:r>
      <w:r>
        <w:rPr>
          <w:rFonts w:hint="eastAsia" w:ascii="宋体" w:hAnsi="宋体"/>
          <w:color w:val="auto"/>
          <w:sz w:val="24"/>
          <w:highlight w:val="none"/>
        </w:rPr>
        <w:t>和</w:t>
      </w:r>
      <w:r>
        <w:rPr>
          <w:rFonts w:hint="eastAsia" w:ascii="宋体" w:hAnsi="宋体"/>
          <w:b/>
          <w:bCs/>
          <w:color w:val="auto"/>
          <w:sz w:val="24"/>
          <w:highlight w:val="none"/>
          <w:lang w:eastAsia="zh-CN"/>
        </w:rPr>
        <w:t>磐安县盘峰乡人民政府 </w:t>
      </w:r>
      <w:r>
        <w:rPr>
          <w:rFonts w:hint="eastAsia" w:ascii="宋体" w:hAnsi="宋体"/>
          <w:b/>
          <w:bCs/>
          <w:color w:val="auto"/>
          <w:sz w:val="24"/>
          <w:highlight w:val="none"/>
        </w:rPr>
        <w:t>（“采购人”）</w:t>
      </w:r>
      <w:r>
        <w:rPr>
          <w:rFonts w:hint="eastAsia" w:ascii="宋体" w:hAnsi="宋体"/>
          <w:color w:val="auto"/>
          <w:sz w:val="24"/>
          <w:highlight w:val="none"/>
        </w:rPr>
        <w:t>。</w:t>
      </w:r>
    </w:p>
    <w:p w14:paraId="3D99D495">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2.“投标人”系指向招标方提交投标文件的单位。</w:t>
      </w:r>
    </w:p>
    <w:p w14:paraId="5A2B0894">
      <w:pPr>
        <w:widowControl/>
        <w:spacing w:line="480" w:lineRule="exact"/>
        <w:ind w:firstLine="480" w:firstLineChars="200"/>
        <w:jc w:val="left"/>
        <w:rPr>
          <w:rFonts w:hint="eastAsia" w:ascii="宋体" w:hAnsi="宋体"/>
          <w:color w:val="auto"/>
          <w:sz w:val="24"/>
          <w:highlight w:val="none"/>
        </w:rPr>
      </w:pPr>
      <w:bookmarkStart w:id="82" w:name="_Toc835"/>
      <w:bookmarkStart w:id="83" w:name="_Toc16944"/>
      <w:bookmarkStart w:id="84" w:name="_Toc20622"/>
      <w:bookmarkStart w:id="85" w:name="_Toc48"/>
      <w:bookmarkStart w:id="86" w:name="_Toc3568"/>
      <w:r>
        <w:rPr>
          <w:rFonts w:hint="eastAsia" w:ascii="宋体" w:hAnsi="宋体"/>
          <w:color w:val="auto"/>
          <w:sz w:val="24"/>
          <w:highlight w:val="none"/>
        </w:rPr>
        <w:t>3.“电子签名”系指数据电文中以电子形式所含、所附用于识别签名人身份并表明签名人认可其中内容的数据；“公章”系指投标文件中所涉及的加盖公章均采用CA电子签章。</w:t>
      </w:r>
      <w:bookmarkEnd w:id="82"/>
      <w:bookmarkEnd w:id="83"/>
      <w:bookmarkEnd w:id="84"/>
      <w:bookmarkEnd w:id="85"/>
      <w:bookmarkEnd w:id="86"/>
    </w:p>
    <w:p w14:paraId="38A4D882">
      <w:pPr>
        <w:widowControl/>
        <w:spacing w:line="480" w:lineRule="exact"/>
        <w:ind w:firstLine="480" w:firstLineChars="200"/>
        <w:jc w:val="left"/>
        <w:rPr>
          <w:rFonts w:hint="eastAsia" w:ascii="宋体" w:hAnsi="宋体"/>
          <w:color w:val="auto"/>
          <w:sz w:val="24"/>
          <w:highlight w:val="none"/>
        </w:rPr>
      </w:pPr>
      <w:bookmarkStart w:id="87" w:name="_Toc16109"/>
      <w:bookmarkStart w:id="88" w:name="_Toc1555"/>
      <w:bookmarkStart w:id="89" w:name="_Toc26912"/>
      <w:bookmarkStart w:id="90" w:name="_Toc16226"/>
      <w:bookmarkStart w:id="91" w:name="_Toc20446"/>
      <w:r>
        <w:rPr>
          <w:rFonts w:hint="eastAsia" w:ascii="宋体" w:hAnsi="宋体"/>
          <w:color w:val="auto"/>
          <w:sz w:val="24"/>
          <w:highlight w:val="none"/>
        </w:rPr>
        <w:t>4.“电子交易平台”是指本项目政府采购活动所依托的政府采购云平台（https://www.zcygov.cn/）。</w:t>
      </w:r>
      <w:bookmarkEnd w:id="87"/>
      <w:bookmarkEnd w:id="88"/>
      <w:bookmarkEnd w:id="89"/>
      <w:bookmarkEnd w:id="90"/>
      <w:bookmarkEnd w:id="91"/>
    </w:p>
    <w:p w14:paraId="3EF717A1">
      <w:pPr>
        <w:snapToGrid w:val="0"/>
        <w:spacing w:line="400" w:lineRule="exact"/>
        <w:ind w:firstLine="480" w:firstLineChars="200"/>
        <w:jc w:val="left"/>
        <w:rPr>
          <w:rFonts w:hint="eastAsia" w:ascii="宋体" w:hAnsi="宋体"/>
          <w:color w:val="auto"/>
          <w:sz w:val="24"/>
          <w:highlight w:val="none"/>
        </w:rPr>
      </w:pPr>
      <w:bookmarkStart w:id="92" w:name="_Toc31468"/>
      <w:bookmarkStart w:id="93" w:name="_Toc8582"/>
      <w:bookmarkStart w:id="94" w:name="_Toc16702"/>
      <w:bookmarkStart w:id="95" w:name="_Toc9580"/>
      <w:bookmarkStart w:id="96" w:name="_Toc32163"/>
      <w:r>
        <w:rPr>
          <w:rFonts w:hint="eastAsia" w:ascii="宋体" w:hAnsi="宋体"/>
          <w:color w:val="auto"/>
          <w:sz w:val="24"/>
          <w:highlight w:val="none"/>
        </w:rPr>
        <w:t xml:space="preserve">5. </w:t>
      </w:r>
      <w:bookmarkEnd w:id="92"/>
      <w:bookmarkEnd w:id="93"/>
      <w:bookmarkEnd w:id="94"/>
      <w:bookmarkEnd w:id="95"/>
      <w:bookmarkEnd w:id="96"/>
      <w:r>
        <w:rPr>
          <w:rFonts w:hint="eastAsia" w:ascii="宋体" w:hAnsi="宋体" w:cs="宋体"/>
          <w:color w:val="auto"/>
          <w:sz w:val="24"/>
          <w:highlight w:val="none"/>
        </w:rPr>
        <w:t>“▲” 系指实质性要求条款，“★”系产品采购项目中重要参数。</w:t>
      </w:r>
    </w:p>
    <w:p w14:paraId="56313C83">
      <w:pPr>
        <w:widowControl/>
        <w:spacing w:line="480" w:lineRule="exact"/>
        <w:ind w:firstLine="482" w:firstLineChars="200"/>
        <w:jc w:val="left"/>
        <w:outlineLvl w:val="2"/>
        <w:rPr>
          <w:rFonts w:hint="eastAsia" w:ascii="宋体" w:hAnsi="宋体"/>
          <w:b/>
          <w:bCs/>
          <w:color w:val="auto"/>
          <w:sz w:val="24"/>
          <w:highlight w:val="none"/>
        </w:rPr>
      </w:pPr>
      <w:bookmarkStart w:id="97" w:name="_Toc30903"/>
      <w:bookmarkStart w:id="98" w:name="_Toc2587"/>
      <w:bookmarkStart w:id="99" w:name="_Toc27853"/>
      <w:bookmarkStart w:id="100" w:name="_Toc6535"/>
      <w:bookmarkStart w:id="101" w:name="_Toc10000"/>
      <w:r>
        <w:rPr>
          <w:rFonts w:hint="eastAsia" w:ascii="宋体" w:hAnsi="宋体"/>
          <w:b/>
          <w:bCs/>
          <w:color w:val="auto"/>
          <w:sz w:val="24"/>
          <w:highlight w:val="none"/>
        </w:rPr>
        <w:t>（三）招标方式</w:t>
      </w:r>
      <w:bookmarkEnd w:id="97"/>
      <w:bookmarkEnd w:id="98"/>
      <w:bookmarkEnd w:id="99"/>
      <w:bookmarkEnd w:id="100"/>
      <w:bookmarkEnd w:id="101"/>
    </w:p>
    <w:p w14:paraId="67CC4C2C">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本次招标采用公开招标方式进行。</w:t>
      </w:r>
    </w:p>
    <w:p w14:paraId="10A4767A">
      <w:pPr>
        <w:widowControl/>
        <w:spacing w:line="480" w:lineRule="exact"/>
        <w:ind w:firstLine="482" w:firstLineChars="200"/>
        <w:jc w:val="left"/>
        <w:outlineLvl w:val="2"/>
        <w:rPr>
          <w:rFonts w:hint="eastAsia" w:ascii="宋体" w:hAnsi="宋体"/>
          <w:b/>
          <w:bCs/>
          <w:color w:val="auto"/>
          <w:sz w:val="24"/>
          <w:highlight w:val="none"/>
        </w:rPr>
      </w:pPr>
      <w:bookmarkStart w:id="102" w:name="_Toc16932"/>
      <w:bookmarkStart w:id="103" w:name="_Toc7882"/>
      <w:bookmarkStart w:id="104" w:name="_Toc4962"/>
      <w:bookmarkStart w:id="105" w:name="_Toc19949"/>
      <w:bookmarkStart w:id="106" w:name="_Toc15865"/>
      <w:r>
        <w:rPr>
          <w:rFonts w:hint="eastAsia" w:ascii="宋体" w:hAnsi="宋体"/>
          <w:b/>
          <w:bCs/>
          <w:color w:val="auto"/>
          <w:sz w:val="24"/>
          <w:highlight w:val="none"/>
        </w:rPr>
        <w:t>（四）投标委托</w:t>
      </w:r>
      <w:bookmarkEnd w:id="102"/>
      <w:bookmarkEnd w:id="103"/>
      <w:bookmarkEnd w:id="104"/>
      <w:bookmarkEnd w:id="105"/>
      <w:bookmarkEnd w:id="106"/>
    </w:p>
    <w:p w14:paraId="28C75340">
      <w:pPr>
        <w:widowControl/>
        <w:spacing w:line="480" w:lineRule="exact"/>
        <w:ind w:firstLine="480" w:firstLineChars="200"/>
        <w:jc w:val="left"/>
        <w:rPr>
          <w:rFonts w:hint="eastAsia" w:ascii="宋体" w:hAnsi="宋体"/>
          <w:color w:val="auto"/>
          <w:sz w:val="24"/>
          <w:highlight w:val="none"/>
        </w:rPr>
      </w:pPr>
      <w:bookmarkStart w:id="107" w:name="_Toc21699"/>
      <w:bookmarkStart w:id="108" w:name="_Toc7017"/>
      <w:bookmarkStart w:id="109" w:name="_Toc255"/>
      <w:bookmarkStart w:id="110" w:name="_Toc1675"/>
      <w:bookmarkStart w:id="111" w:name="_Toc15588"/>
      <w:r>
        <w:rPr>
          <w:rFonts w:hint="eastAsia" w:ascii="宋体" w:hAnsi="宋体"/>
          <w:color w:val="auto"/>
          <w:sz w:val="24"/>
          <w:highlight w:val="none"/>
        </w:rPr>
        <w:t>本项目采用在线投标响应方式，执行《浙江省财政厅关于印发浙江省政府采购项目电子交易管理暂行办法的通知》（浙财采监〔2</w:t>
      </w:r>
      <w:r>
        <w:rPr>
          <w:rFonts w:hint="eastAsia" w:ascii="宋体" w:hAnsi="宋体"/>
          <w:color w:val="auto"/>
          <w:sz w:val="24"/>
          <w:highlight w:val="none"/>
          <w:lang w:eastAsia="zh-CN"/>
        </w:rPr>
        <w:t>020</w:t>
      </w:r>
      <w:r>
        <w:rPr>
          <w:rFonts w:hint="eastAsia" w:ascii="宋体" w:hAnsi="宋体"/>
          <w:color w:val="auto"/>
          <w:sz w:val="24"/>
          <w:highlight w:val="none"/>
        </w:rPr>
        <w:t>〕10 号）等相关规定。</w:t>
      </w:r>
    </w:p>
    <w:p w14:paraId="54E666B2">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2242BD51">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投标人未按招标文件要求派代表参加电子开标会议的，视同认可开标结果，不得对开标过程及开标结果提出质疑。</w:t>
      </w:r>
      <w:bookmarkEnd w:id="107"/>
      <w:bookmarkEnd w:id="108"/>
      <w:bookmarkEnd w:id="109"/>
      <w:bookmarkEnd w:id="110"/>
      <w:bookmarkEnd w:id="111"/>
    </w:p>
    <w:p w14:paraId="6F489599">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（五）转包和分包</w:t>
      </w:r>
    </w:p>
    <w:p w14:paraId="1280FA3B">
      <w:pPr>
        <w:snapToGrid w:val="0"/>
        <w:spacing w:line="400" w:lineRule="exact"/>
        <w:ind w:firstLine="720" w:firstLineChars="300"/>
        <w:rPr>
          <w:rFonts w:hint="eastAsia" w:ascii="宋体" w:hAnsi="宋体"/>
          <w:color w:val="auto"/>
          <w:sz w:val="24"/>
          <w:highlight w:val="none"/>
        </w:rPr>
      </w:pPr>
      <w:bookmarkStart w:id="112" w:name="_Toc15773"/>
      <w:bookmarkStart w:id="113" w:name="_Toc6127"/>
      <w:bookmarkStart w:id="114" w:name="_Toc26291"/>
      <w:bookmarkStart w:id="115" w:name="_Toc28200"/>
      <w:bookmarkStart w:id="116" w:name="_Toc10240"/>
      <w:r>
        <w:rPr>
          <w:rFonts w:ascii="宋体" w:hAnsi="宋体"/>
          <w:color w:val="auto"/>
          <w:sz w:val="24"/>
          <w:highlight w:val="none"/>
        </w:rPr>
        <w:t>本项目</w:t>
      </w:r>
      <w:r>
        <w:rPr>
          <w:rFonts w:ascii="宋体" w:hAnsi="宋体"/>
          <w:b/>
          <w:bCs/>
          <w:color w:val="auto"/>
          <w:sz w:val="24"/>
          <w:highlight w:val="none"/>
        </w:rPr>
        <w:t>不允许</w:t>
      </w:r>
      <w:r>
        <w:rPr>
          <w:rFonts w:ascii="宋体" w:hAnsi="宋体"/>
          <w:color w:val="auto"/>
          <w:sz w:val="24"/>
          <w:highlight w:val="none"/>
        </w:rPr>
        <w:t>转包。</w:t>
      </w:r>
      <w:r>
        <w:rPr>
          <w:rFonts w:hint="eastAsia" w:ascii="宋体" w:hAnsi="宋体" w:cs="宋体"/>
          <w:color w:val="auto"/>
          <w:kern w:val="0"/>
          <w:sz w:val="24"/>
          <w:highlight w:val="none"/>
        </w:rPr>
        <w:t>分包须经采购人书面同意后方可实施。</w:t>
      </w:r>
    </w:p>
    <w:p w14:paraId="5DE07E4F">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（六）特别说明：</w:t>
      </w:r>
      <w:bookmarkEnd w:id="112"/>
      <w:bookmarkEnd w:id="113"/>
      <w:bookmarkEnd w:id="114"/>
      <w:bookmarkEnd w:id="115"/>
      <w:bookmarkEnd w:id="116"/>
    </w:p>
    <w:p w14:paraId="6949D77C">
      <w:pPr>
        <w:pStyle w:val="52"/>
        <w:spacing w:after="0" w:line="480" w:lineRule="exact"/>
        <w:ind w:left="0" w:leftChars="0" w:firstLine="240" w:firstLineChars="100"/>
        <w:rPr>
          <w:rFonts w:hint="eastAsia" w:ascii="宋体" w:hAnsi="宋体"/>
          <w:color w:val="auto"/>
          <w:spacing w:val="0"/>
          <w:sz w:val="24"/>
          <w:szCs w:val="24"/>
          <w:highlight w:val="none"/>
        </w:rPr>
      </w:pPr>
      <w:bookmarkStart w:id="117" w:name="_Toc20289"/>
      <w:bookmarkStart w:id="118" w:name="_Toc27921"/>
      <w:bookmarkStart w:id="119" w:name="_Toc31223"/>
      <w:bookmarkStart w:id="120" w:name="_Toc18823"/>
      <w:bookmarkStart w:id="121" w:name="_Toc13579"/>
      <w:bookmarkStart w:id="122" w:name="_Toc15408"/>
      <w:bookmarkStart w:id="123" w:name="_Toc4337"/>
      <w:bookmarkStart w:id="124" w:name="_Toc28428"/>
      <w:bookmarkStart w:id="125" w:name="_Toc22711"/>
      <w:bookmarkStart w:id="126" w:name="_Toc16817"/>
      <w:bookmarkStart w:id="127" w:name="_Toc21517"/>
      <w:bookmarkStart w:id="128" w:name="_Toc16041"/>
      <w:r>
        <w:rPr>
          <w:rFonts w:hint="eastAsia" w:ascii="宋体" w:hAnsi="宋体"/>
          <w:color w:val="auto"/>
          <w:spacing w:val="0"/>
          <w:sz w:val="24"/>
          <w:szCs w:val="24"/>
          <w:highlight w:val="none"/>
        </w:rPr>
        <w:t>▲1.</w:t>
      </w:r>
      <w:bookmarkStart w:id="129" w:name="OLE_LINK1"/>
      <w:r>
        <w:rPr>
          <w:rFonts w:hint="eastAsia" w:ascii="宋体" w:hAnsi="宋体"/>
          <w:color w:val="auto"/>
          <w:spacing w:val="0"/>
          <w:sz w:val="24"/>
          <w:szCs w:val="24"/>
          <w:highlight w:val="none"/>
        </w:rPr>
        <w:t>多家供应商参加投标，提供相同品牌产品</w:t>
      </w:r>
      <w:bookmarkEnd w:id="129"/>
      <w:r>
        <w:rPr>
          <w:rFonts w:hint="eastAsia" w:ascii="宋体" w:hAnsi="宋体"/>
          <w:color w:val="auto"/>
          <w:spacing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887CC0">
      <w:pPr>
        <w:snapToGrid w:val="0"/>
        <w:spacing w:line="480" w:lineRule="exact"/>
        <w:ind w:firstLine="472" w:firstLineChars="196"/>
        <w:jc w:val="left"/>
        <w:rPr>
          <w:rFonts w:hint="eastAsia" w:ascii="宋体" w:hAnsi="宋体"/>
          <w:color w:val="auto"/>
          <w:sz w:val="24"/>
          <w:highlight w:val="none"/>
        </w:rPr>
      </w:pPr>
      <w:r>
        <w:rPr>
          <w:rFonts w:hint="eastAsia" w:ascii="宋体" w:hAnsi="宋体"/>
          <w:b/>
          <w:bCs/>
          <w:color w:val="auto"/>
          <w:sz w:val="24"/>
          <w:highlight w:val="none"/>
        </w:rPr>
        <w:t>非单一产品采购项目，投标人使用相同产品的价格总和均超过项目各自投标总价50%及以上的，按一家投标人认定。多家投标人提供的核心产品品牌相同的，按前两款规定处理。</w:t>
      </w:r>
    </w:p>
    <w:p w14:paraId="1D96BE6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435F411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0394844F">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521F3C2E">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4.除单一来源采购项目外，为采购项目提供整体设计、规范编制或者项目管理、监理、检测等服务的供应商，不得再参加该采购项目的其他采购活动。</w:t>
      </w:r>
    </w:p>
    <w:p w14:paraId="66FC8E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5.支持绿色发展</w:t>
      </w:r>
    </w:p>
    <w:p w14:paraId="58327F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F8F35B">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二、招标文件</w:t>
      </w:r>
      <w:bookmarkEnd w:id="117"/>
      <w:bookmarkEnd w:id="118"/>
      <w:bookmarkEnd w:id="119"/>
      <w:bookmarkEnd w:id="120"/>
      <w:bookmarkEnd w:id="121"/>
      <w:bookmarkEnd w:id="122"/>
      <w:bookmarkEnd w:id="123"/>
      <w:bookmarkEnd w:id="124"/>
      <w:bookmarkEnd w:id="125"/>
      <w:bookmarkEnd w:id="126"/>
      <w:bookmarkEnd w:id="127"/>
      <w:bookmarkEnd w:id="128"/>
    </w:p>
    <w:p w14:paraId="4AF611C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（一）招标文件的构成。</w:t>
      </w:r>
    </w:p>
    <w:p w14:paraId="097BD029">
      <w:pPr>
        <w:pStyle w:val="43"/>
        <w:spacing w:line="480" w:lineRule="exact"/>
        <w:rPr>
          <w:rFonts w:hint="eastAsia" w:ascii="宋体" w:eastAsia="宋体" w:cs="宋体"/>
          <w:color w:val="auto"/>
          <w:highlight w:val="none"/>
        </w:rPr>
      </w:pPr>
      <w:r>
        <w:rPr>
          <w:rFonts w:hint="eastAsia" w:ascii="宋体" w:eastAsia="宋体" w:cs="宋体"/>
          <w:color w:val="auto"/>
          <w:highlight w:val="none"/>
        </w:rPr>
        <w:t>按《目录》</w:t>
      </w:r>
    </w:p>
    <w:p w14:paraId="689F282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7705A822">
      <w:pPr>
        <w:pStyle w:val="43"/>
        <w:spacing w:line="480" w:lineRule="exact"/>
        <w:rPr>
          <w:rFonts w:hint="eastAsia"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003116A3">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8054B0C">
      <w:pPr>
        <w:pStyle w:val="43"/>
        <w:spacing w:line="480" w:lineRule="exact"/>
        <w:rPr>
          <w:rFonts w:hint="eastAsia" w:ascii="宋体" w:eastAsia="宋体"/>
          <w:color w:val="auto"/>
          <w:highlight w:val="none"/>
        </w:rPr>
      </w:pPr>
      <w:bookmarkStart w:id="130" w:name="_Toc3857"/>
      <w:bookmarkStart w:id="131" w:name="_Toc10219"/>
      <w:bookmarkStart w:id="132" w:name="_Toc21585"/>
      <w:bookmarkStart w:id="133" w:name="_Toc31619"/>
      <w:bookmarkStart w:id="134" w:name="_Toc29942"/>
      <w:bookmarkStart w:id="135" w:name="_Toc32299"/>
      <w:bookmarkStart w:id="136" w:name="_Toc6991"/>
      <w:bookmarkStart w:id="137" w:name="_Toc32490"/>
      <w:bookmarkStart w:id="138" w:name="_Toc505"/>
      <w:r>
        <w:rPr>
          <w:rFonts w:hint="eastAsia" w:ascii="宋体" w:eastAsia="宋体"/>
          <w:color w:val="auto"/>
          <w:highlight w:val="none"/>
        </w:rPr>
        <w:t>1.投标人应认真阅读本招标文件，发现其中有误或有不合理要求的，投标人必须</w:t>
      </w:r>
      <w:r>
        <w:rPr>
          <w:rFonts w:hint="eastAsia" w:ascii="宋体" w:eastAsia="宋体"/>
          <w:color w:val="auto"/>
          <w:highlight w:val="none"/>
          <w:lang w:eastAsia="zh-CN"/>
        </w:rPr>
        <w:t>在规定时间内</w:t>
      </w:r>
      <w:r>
        <w:rPr>
          <w:rFonts w:hint="eastAsia" w:ascii="宋体" w:eastAsia="宋体"/>
          <w:color w:val="auto"/>
          <w:highlight w:val="none"/>
        </w:rPr>
        <w:t>以书面形式要求采购代理机构或采购人澄清。采购代理机构或采购人对已发出的招标文件进行必要澄清、答复、修改或补充的，在采购信息发布媒体上发布更正公告。</w:t>
      </w:r>
    </w:p>
    <w:p w14:paraId="3B2FC3E4">
      <w:pPr>
        <w:pStyle w:val="43"/>
        <w:spacing w:line="480" w:lineRule="exact"/>
        <w:rPr>
          <w:rFonts w:hint="eastAsia" w:ascii="宋体" w:eastAsia="宋体"/>
          <w:color w:val="auto"/>
          <w:highlight w:val="none"/>
        </w:rPr>
      </w:pPr>
      <w:r>
        <w:rPr>
          <w:rFonts w:hint="eastAsia" w:ascii="宋体" w:eastAsia="宋体"/>
          <w:color w:val="auto"/>
          <w:highlight w:val="none"/>
        </w:rPr>
        <w:t>2.采购代理机构根据实际情况，以书面或采购信息发布媒体上发布的形式答复投标人要求澄清的问题，不包含问题来源。</w:t>
      </w:r>
    </w:p>
    <w:p w14:paraId="371CE164">
      <w:pPr>
        <w:pStyle w:val="43"/>
        <w:spacing w:line="480" w:lineRule="exact"/>
        <w:rPr>
          <w:rFonts w:hint="eastAsia" w:ascii="宋体" w:eastAsia="宋体"/>
          <w:color w:val="auto"/>
          <w:highlight w:val="none"/>
        </w:rPr>
      </w:pPr>
      <w:r>
        <w:rPr>
          <w:rFonts w:hint="eastAsia" w:ascii="宋体" w:eastAsia="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496B8FAD">
      <w:pPr>
        <w:pStyle w:val="43"/>
        <w:keepNext w:val="0"/>
        <w:keepLines w:val="0"/>
        <w:pageBreakBefore w:val="0"/>
        <w:kinsoku/>
        <w:wordWrap/>
        <w:overflowPunct/>
        <w:topLinePunct w:val="0"/>
        <w:autoSpaceDE/>
        <w:autoSpaceDN/>
        <w:bidi w:val="0"/>
        <w:adjustRightInd/>
        <w:spacing w:line="360" w:lineRule="auto"/>
        <w:textAlignment w:val="auto"/>
        <w:rPr>
          <w:rFonts w:hint="eastAsia" w:ascii="宋体" w:eastAsia="宋体"/>
          <w:color w:val="auto"/>
          <w:highlight w:val="none"/>
        </w:rPr>
      </w:pPr>
      <w:r>
        <w:rPr>
          <w:rFonts w:hint="eastAsia" w:ascii="宋体" w:eastAsia="宋体"/>
          <w:color w:val="auto"/>
          <w:highlight w:val="none"/>
        </w:rPr>
        <w:t>4.招标文件的澄清、答复、修改或补充都应该通过本代理机构以法定形式发布，采购人非通过本机构，不得擅自澄清、答复、修改或补充招标文件。</w:t>
      </w:r>
    </w:p>
    <w:p w14:paraId="75CAD9B8">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三、投标文件的编制</w:t>
      </w:r>
      <w:bookmarkEnd w:id="130"/>
      <w:bookmarkEnd w:id="131"/>
      <w:bookmarkEnd w:id="132"/>
      <w:bookmarkEnd w:id="133"/>
      <w:bookmarkEnd w:id="134"/>
      <w:bookmarkEnd w:id="135"/>
      <w:bookmarkEnd w:id="136"/>
      <w:bookmarkEnd w:id="137"/>
      <w:bookmarkEnd w:id="138"/>
    </w:p>
    <w:p w14:paraId="6FAEF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注：投标人应保证所提供文件资料的真实性，所有文件资料必须是针对本次投标的。如发现投标人提供了虚假文件资料，其投标将被拒绝，并自行承担相应的法律责任。</w:t>
      </w:r>
    </w:p>
    <w:p w14:paraId="25ED84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39" w:name="_Toc985"/>
      <w:bookmarkStart w:id="140" w:name="_Toc1643"/>
      <w:bookmarkStart w:id="141" w:name="_Toc6708"/>
      <w:r>
        <w:rPr>
          <w:rFonts w:hint="eastAsia" w:ascii="宋体" w:hAnsi="宋体" w:eastAsia="宋体" w:cs="宋体"/>
          <w:b w:val="0"/>
          <w:bCs/>
          <w:color w:val="auto"/>
          <w:sz w:val="24"/>
          <w:szCs w:val="24"/>
          <w:highlight w:val="none"/>
        </w:rPr>
        <w:t>（一）投标文件的形式和效力</w:t>
      </w:r>
      <w:bookmarkEnd w:id="139"/>
      <w:bookmarkEnd w:id="140"/>
      <w:bookmarkEnd w:id="141"/>
    </w:p>
    <w:p w14:paraId="0E75E3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2" w:name="_Toc14660"/>
      <w:bookmarkStart w:id="143" w:name="_Toc15545"/>
      <w:bookmarkStart w:id="144" w:name="_Toc1160"/>
      <w:r>
        <w:rPr>
          <w:rFonts w:hint="eastAsia" w:ascii="宋体" w:hAnsi="宋体" w:eastAsia="宋体" w:cs="宋体"/>
          <w:b w:val="0"/>
          <w:bCs/>
          <w:color w:val="auto"/>
          <w:sz w:val="24"/>
          <w:szCs w:val="24"/>
          <w:highlight w:val="none"/>
        </w:rPr>
        <w:t>1. 投标文件分为电子投标文件以及备份投标文件，备份文件分为备份电子投标文件和纸质备份投标文件两部分。（其中备份投标文件的提供与否不做强制性要求）</w:t>
      </w:r>
      <w:bookmarkEnd w:id="142"/>
      <w:bookmarkEnd w:id="143"/>
      <w:bookmarkEnd w:id="144"/>
    </w:p>
    <w:p w14:paraId="033371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5" w:name="_Toc23694"/>
      <w:bookmarkStart w:id="146" w:name="_Toc8383"/>
      <w:bookmarkStart w:id="147" w:name="_Toc20478"/>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电子投标文件编制请按政府采购云平台供应商项目采购－电子招投标操作指南</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11"/>
          <w:sz w:val="24"/>
          <w:szCs w:val="24"/>
          <w:highlight w:val="none"/>
        </w:rPr>
        <w:fldChar w:fldCharType="begin"/>
      </w:r>
      <w:r>
        <w:rPr>
          <w:rFonts w:hint="eastAsia" w:ascii="宋体" w:hAnsi="宋体" w:eastAsia="宋体" w:cs="宋体"/>
          <w:b w:val="0"/>
          <w:bCs/>
          <w:color w:val="auto"/>
          <w:spacing w:val="-11"/>
          <w:sz w:val="24"/>
          <w:szCs w:val="24"/>
          <w:highlight w:val="none"/>
        </w:rPr>
        <w:instrText xml:space="preserve"> HYPERLINK "https://service.zcygov.cn/" \l "/knowledges/CW1EtGwBFdiHxlNd6I3m/6IMVAG0BFdiHxlNdQ8Na" </w:instrText>
      </w:r>
      <w:r>
        <w:rPr>
          <w:rFonts w:hint="eastAsia" w:ascii="宋体" w:hAnsi="宋体" w:eastAsia="宋体" w:cs="宋体"/>
          <w:b w:val="0"/>
          <w:bCs/>
          <w:color w:val="auto"/>
          <w:spacing w:val="-11"/>
          <w:sz w:val="24"/>
          <w:szCs w:val="24"/>
          <w:highlight w:val="none"/>
        </w:rPr>
        <w:fldChar w:fldCharType="separate"/>
      </w:r>
      <w:r>
        <w:rPr>
          <w:rStyle w:val="64"/>
          <w:rFonts w:hint="eastAsia" w:ascii="宋体" w:hAnsi="宋体" w:eastAsia="宋体" w:cs="宋体"/>
          <w:b w:val="0"/>
          <w:bCs/>
          <w:color w:val="auto"/>
          <w:spacing w:val="-11"/>
          <w:sz w:val="24"/>
          <w:szCs w:val="24"/>
          <w:highlight w:val="none"/>
        </w:rPr>
        <w:t>https://service.zcygov.cn/#/knowledges/CW1EtGwBFdiHxlNd6I3m/6ImVAG0BFdiHxlNdQ8Na</w:t>
      </w:r>
      <w:r>
        <w:rPr>
          <w:rFonts w:hint="eastAsia" w:ascii="宋体" w:hAnsi="宋体" w:eastAsia="宋体" w:cs="宋体"/>
          <w:b w:val="0"/>
          <w:bCs/>
          <w:color w:val="auto"/>
          <w:spacing w:val="-11"/>
          <w:sz w:val="24"/>
          <w:szCs w:val="24"/>
          <w:highlight w:val="none"/>
        </w:rPr>
        <w:fldChar w:fldCharType="end"/>
      </w:r>
      <w:r>
        <w:rPr>
          <w:rFonts w:hint="eastAsia" w:ascii="宋体" w:hAnsi="宋体" w:eastAsia="宋体" w:cs="宋体"/>
          <w:b w:val="0"/>
          <w:bCs/>
          <w:color w:val="auto"/>
          <w:spacing w:val="-11"/>
          <w:sz w:val="24"/>
          <w:szCs w:val="24"/>
          <w:highlight w:val="none"/>
          <w:lang w:eastAsia="zh-CN"/>
        </w:rPr>
        <w:t>）</w:t>
      </w:r>
      <w:r>
        <w:rPr>
          <w:rFonts w:hint="eastAsia" w:ascii="宋体" w:hAnsi="宋体" w:eastAsia="宋体" w:cs="宋体"/>
          <w:b w:val="0"/>
          <w:bCs/>
          <w:color w:val="auto"/>
          <w:sz w:val="24"/>
          <w:szCs w:val="24"/>
          <w:highlight w:val="none"/>
        </w:rPr>
        <w:t>和本招标文件要求编制并进行关联定位。</w:t>
      </w:r>
      <w:bookmarkEnd w:id="145"/>
      <w:bookmarkEnd w:id="146"/>
      <w:bookmarkEnd w:id="147"/>
    </w:p>
    <w:p w14:paraId="28DC5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8" w:name="_Toc13124"/>
      <w:bookmarkStart w:id="149" w:name="_Toc2210"/>
      <w:bookmarkStart w:id="150" w:name="_Toc22499"/>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备份电子投标文件：即电子投标文件按“政采云供应商项目采购－电子招投标操作指南”制作的备份文件。</w:t>
      </w:r>
      <w:bookmarkEnd w:id="148"/>
      <w:bookmarkEnd w:id="149"/>
      <w:bookmarkEnd w:id="150"/>
    </w:p>
    <w:p w14:paraId="1446E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1" w:name="_Toc3026"/>
      <w:bookmarkStart w:id="152" w:name="_Toc21980"/>
      <w:bookmarkStart w:id="153" w:name="_Toc247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纸质备份投标文件：系电子投标文件纸质版，按照“（二）投标文件的组成”要求制作。</w:t>
      </w:r>
      <w:bookmarkEnd w:id="151"/>
      <w:bookmarkEnd w:id="152"/>
      <w:bookmarkEnd w:id="153"/>
    </w:p>
    <w:p w14:paraId="7C6A0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4" w:name="_Toc20678"/>
      <w:bookmarkStart w:id="155" w:name="_Toc1528"/>
      <w:bookmarkStart w:id="156" w:name="_Toc25995"/>
      <w:r>
        <w:rPr>
          <w:rFonts w:hint="eastAsia" w:ascii="宋体" w:hAnsi="宋体" w:eastAsia="宋体" w:cs="宋体"/>
          <w:b w:val="0"/>
          <w:bCs/>
          <w:color w:val="auto"/>
          <w:sz w:val="24"/>
          <w:szCs w:val="24"/>
          <w:highlight w:val="none"/>
        </w:rPr>
        <w:t>2.投标文件的效力</w:t>
      </w:r>
      <w:bookmarkEnd w:id="154"/>
      <w:bookmarkEnd w:id="155"/>
      <w:bookmarkEnd w:id="156"/>
    </w:p>
    <w:p w14:paraId="2927A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7" w:name="_Toc13794"/>
      <w:bookmarkStart w:id="158" w:name="_Toc10246"/>
      <w:bookmarkStart w:id="159" w:name="_Toc23835"/>
      <w:r>
        <w:rPr>
          <w:rFonts w:hint="eastAsia" w:ascii="宋体" w:hAnsi="宋体" w:eastAsia="宋体" w:cs="宋体"/>
          <w:b w:val="0"/>
          <w:bCs/>
          <w:color w:val="auto"/>
          <w:sz w:val="24"/>
          <w:szCs w:val="24"/>
          <w:highlight w:val="none"/>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7"/>
      <w:bookmarkEnd w:id="158"/>
      <w:bookmarkEnd w:id="159"/>
    </w:p>
    <w:p w14:paraId="7ED53D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60" w:name="_Toc27236"/>
      <w:bookmarkStart w:id="161" w:name="_Toc14880"/>
      <w:bookmarkStart w:id="162" w:name="_Toc7298"/>
      <w:r>
        <w:rPr>
          <w:rFonts w:hint="eastAsia" w:ascii="宋体" w:hAnsi="宋体" w:eastAsia="宋体" w:cs="宋体"/>
          <w:b w:val="0"/>
          <w:bCs/>
          <w:color w:val="auto"/>
          <w:sz w:val="24"/>
          <w:szCs w:val="24"/>
          <w:highlight w:val="none"/>
        </w:rPr>
        <w:t>（二）投标文件的组成</w:t>
      </w:r>
      <w:bookmarkEnd w:id="160"/>
      <w:bookmarkEnd w:id="161"/>
      <w:bookmarkEnd w:id="162"/>
    </w:p>
    <w:p w14:paraId="7854C18E">
      <w:pPr>
        <w:snapToGrid w:val="0"/>
        <w:spacing w:line="480" w:lineRule="exact"/>
        <w:ind w:firstLine="470" w:firstLineChars="196"/>
        <w:jc w:val="left"/>
        <w:rPr>
          <w:rFonts w:hint="eastAsia" w:ascii="宋体" w:hAnsi="宋体" w:eastAsia="宋体" w:cs="宋体"/>
          <w:b w:val="0"/>
          <w:bCs/>
          <w:color w:val="auto"/>
          <w:sz w:val="24"/>
          <w:szCs w:val="24"/>
          <w:highlight w:val="none"/>
        </w:rPr>
      </w:pPr>
      <w:bookmarkStart w:id="163" w:name="_Toc24122"/>
      <w:bookmarkStart w:id="164" w:name="_Toc22737"/>
      <w:bookmarkStart w:id="165" w:name="_Toc23987"/>
      <w:r>
        <w:rPr>
          <w:rFonts w:hint="eastAsia" w:ascii="宋体" w:hAnsi="宋体" w:eastAsia="宋体" w:cs="宋体"/>
          <w:b w:val="0"/>
          <w:bCs/>
          <w:color w:val="auto"/>
          <w:sz w:val="24"/>
          <w:szCs w:val="24"/>
          <w:highlight w:val="none"/>
        </w:rPr>
        <w:t>投标文件（包括电子投标文件和备份投标文件）由</w:t>
      </w:r>
      <w:r>
        <w:rPr>
          <w:rFonts w:hint="eastAsia" w:ascii="宋体" w:hAnsi="宋体" w:eastAsia="宋体" w:cs="宋体"/>
          <w:b/>
          <w:bCs w:val="0"/>
          <w:color w:val="auto"/>
          <w:sz w:val="24"/>
          <w:szCs w:val="24"/>
          <w:highlight w:val="none"/>
        </w:rPr>
        <w:t>资格审查文件</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技术商务文件</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bCs w:val="0"/>
          <w:color w:val="auto"/>
          <w:sz w:val="24"/>
          <w:szCs w:val="24"/>
          <w:highlight w:val="none"/>
        </w:rPr>
        <w:t>报价文件</w:t>
      </w:r>
      <w:r>
        <w:rPr>
          <w:rFonts w:hint="eastAsia" w:ascii="宋体" w:hAnsi="宋体" w:eastAsia="宋体" w:cs="宋体"/>
          <w:b w:val="0"/>
          <w:bCs/>
          <w:color w:val="auto"/>
          <w:sz w:val="24"/>
          <w:szCs w:val="24"/>
          <w:highlight w:val="none"/>
        </w:rPr>
        <w:t>三部分组成。</w:t>
      </w:r>
      <w:bookmarkEnd w:id="163"/>
      <w:bookmarkEnd w:id="164"/>
      <w:bookmarkEnd w:id="165"/>
      <w:bookmarkStart w:id="166" w:name="_Toc23514"/>
      <w:bookmarkStart w:id="167" w:name="_Toc23025"/>
      <w:bookmarkStart w:id="168" w:name="_Toc13109"/>
      <w:r>
        <w:rPr>
          <w:rFonts w:hint="eastAsia" w:ascii="宋体" w:hAnsi="宋体" w:eastAsia="宋体" w:cs="宋体"/>
          <w:b w:val="0"/>
          <w:bCs/>
          <w:color w:val="auto"/>
          <w:sz w:val="24"/>
          <w:szCs w:val="24"/>
          <w:highlight w:val="none"/>
        </w:rPr>
        <w:t>备份电子投标文件，按政采云平台项目采购－电子招投标操作指南中上传的电子投标文件格式，以光盘或U盘形式提供。数量为1份。</w:t>
      </w:r>
      <w:bookmarkEnd w:id="166"/>
      <w:bookmarkEnd w:id="167"/>
      <w:bookmarkEnd w:id="168"/>
    </w:p>
    <w:p w14:paraId="0A4C3B95">
      <w:pPr>
        <w:snapToGrid w:val="0"/>
        <w:spacing w:line="480" w:lineRule="exact"/>
        <w:ind w:firstLine="472" w:firstLineChars="196"/>
        <w:jc w:val="left"/>
        <w:rPr>
          <w:rFonts w:hint="eastAsia"/>
          <w:b/>
          <w:bCs/>
          <w:color w:val="auto"/>
          <w:highlight w:val="none"/>
        </w:rPr>
      </w:pPr>
      <w:r>
        <w:rPr>
          <w:rFonts w:hint="eastAsia" w:ascii="宋体" w:hAnsi="宋体" w:cs="宋体"/>
          <w:b/>
          <w:bCs/>
          <w:color w:val="auto"/>
          <w:sz w:val="24"/>
          <w:highlight w:val="none"/>
        </w:rPr>
        <w:t>1.资格审查文件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78D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C8B499">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4952C2A6">
            <w:pPr>
              <w:autoSpaceDE w:val="0"/>
              <w:autoSpaceDN w:val="0"/>
              <w:adjustRightInd w:val="0"/>
              <w:snapToGrid w:val="0"/>
              <w:spacing w:line="430" w:lineRule="atLeast"/>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222E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7E260">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tcPr>
          <w:p w14:paraId="5F5B5FAE">
            <w:pPr>
              <w:autoSpaceDE w:val="0"/>
              <w:autoSpaceDN w:val="0"/>
              <w:adjustRightInd w:val="0"/>
              <w:snapToGrid w:val="0"/>
              <w:spacing w:line="430" w:lineRule="atLeast"/>
              <w:rPr>
                <w:rFonts w:hint="eastAsia" w:ascii="宋体" w:hAnsi="宋体" w:cs="Courier New"/>
                <w:color w:val="auto"/>
                <w:kern w:val="0"/>
                <w:sz w:val="22"/>
                <w:szCs w:val="22"/>
                <w:highlight w:val="none"/>
                <w:lang w:val="zh-CN"/>
              </w:rPr>
            </w:pPr>
            <w:r>
              <w:rPr>
                <w:rFonts w:hint="eastAsia" w:ascii="宋体" w:hAnsi="宋体" w:cs="宋体"/>
                <w:color w:val="auto"/>
                <w:sz w:val="22"/>
                <w:szCs w:val="22"/>
                <w:highlight w:val="none"/>
              </w:rPr>
              <w:t>投标函</w:t>
            </w:r>
          </w:p>
        </w:tc>
      </w:tr>
      <w:tr w14:paraId="6E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EEA8DD">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tcPr>
          <w:p w14:paraId="24ACF7F5">
            <w:pPr>
              <w:autoSpaceDE w:val="0"/>
              <w:autoSpaceDN w:val="0"/>
              <w:adjustRightInd w:val="0"/>
              <w:snapToGrid w:val="0"/>
              <w:spacing w:line="430" w:lineRule="atLeast"/>
              <w:rPr>
                <w:rFonts w:hint="eastAsia" w:ascii="宋体" w:hAnsi="宋体" w:cs="宋体"/>
                <w:color w:val="auto"/>
                <w:kern w:val="2"/>
                <w:sz w:val="22"/>
                <w:szCs w:val="22"/>
                <w:highlight w:val="none"/>
                <w:lang w:val="zh-CN" w:eastAsia="zh-CN" w:bidi="ar-SA"/>
              </w:rPr>
            </w:pPr>
            <w:r>
              <w:rPr>
                <w:rFonts w:hint="eastAsia" w:ascii="宋体" w:hAnsi="宋体" w:cs="Courier New"/>
                <w:color w:val="auto"/>
                <w:kern w:val="0"/>
                <w:sz w:val="22"/>
                <w:szCs w:val="22"/>
                <w:highlight w:val="none"/>
              </w:rPr>
              <w:t>投标单位情况表</w:t>
            </w:r>
          </w:p>
        </w:tc>
      </w:tr>
      <w:tr w14:paraId="099F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AD95FE">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tcPr>
          <w:p w14:paraId="4DED97DD">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投标供应商的营业执照（若联合体投标，联合体各方均需提供，扫描件加盖公章）</w:t>
            </w:r>
          </w:p>
        </w:tc>
      </w:tr>
      <w:tr w14:paraId="695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10A6A1">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tcPr>
          <w:p w14:paraId="512FB617">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政府采购供应商诚信承诺书（若联合体投标，联合体各方均需提供）</w:t>
            </w:r>
          </w:p>
        </w:tc>
      </w:tr>
      <w:tr w14:paraId="3D6F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B6F4530">
            <w:pPr>
              <w:autoSpaceDE w:val="0"/>
              <w:autoSpaceDN w:val="0"/>
              <w:adjustRightInd w:val="0"/>
              <w:snapToGrid w:val="0"/>
              <w:spacing w:line="440" w:lineRule="exac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center"/>
          </w:tcPr>
          <w:p w14:paraId="25DAEB83">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宋体"/>
                <w:color w:val="auto"/>
                <w:kern w:val="0"/>
                <w:sz w:val="22"/>
                <w:szCs w:val="22"/>
                <w:highlight w:val="none"/>
              </w:rPr>
              <w:t>无围标串标等负面行为承诺书</w:t>
            </w:r>
            <w:r>
              <w:rPr>
                <w:rFonts w:hint="eastAsia" w:ascii="宋体" w:hAnsi="宋体" w:cs="Courier New"/>
                <w:color w:val="auto"/>
                <w:kern w:val="0"/>
                <w:sz w:val="22"/>
                <w:szCs w:val="22"/>
                <w:highlight w:val="none"/>
              </w:rPr>
              <w:t>、</w:t>
            </w:r>
            <w:r>
              <w:rPr>
                <w:rFonts w:hint="eastAsia" w:ascii="宋体" w:hAnsi="宋体" w:cs="宋体"/>
                <w:color w:val="auto"/>
                <w:kern w:val="0"/>
                <w:sz w:val="22"/>
                <w:szCs w:val="22"/>
                <w:highlight w:val="none"/>
              </w:rPr>
              <w:t>《供应商市场行为信誉情况承诺书》</w:t>
            </w:r>
            <w:r>
              <w:rPr>
                <w:rFonts w:hint="eastAsia" w:ascii="宋体" w:hAnsi="宋体" w:cs="Courier New"/>
                <w:color w:val="auto"/>
                <w:kern w:val="0"/>
                <w:sz w:val="22"/>
                <w:szCs w:val="22"/>
                <w:highlight w:val="none"/>
              </w:rPr>
              <w:t>（若联合体投标，联合体各方均需提供）</w:t>
            </w:r>
          </w:p>
        </w:tc>
      </w:tr>
      <w:tr w14:paraId="6C4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173952">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center"/>
          </w:tcPr>
          <w:p w14:paraId="45FCD748">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sz w:val="22"/>
                <w:szCs w:val="22"/>
                <w:highlight w:val="none"/>
              </w:rPr>
              <w:t>投标供应商“信用中国”(www.creditchina.gov.cn)；“中国政府采购网”（www.ccgp.gov.cn）信用记录查询网页截图（招标公告发布之日至投标截止时间前）</w:t>
            </w:r>
          </w:p>
        </w:tc>
      </w:tr>
      <w:tr w14:paraId="624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D3F881">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tcPr>
          <w:p w14:paraId="41CD353D">
            <w:pPr>
              <w:autoSpaceDE w:val="0"/>
              <w:autoSpaceDN w:val="0"/>
              <w:adjustRightInd w:val="0"/>
              <w:snapToGrid w:val="0"/>
              <w:spacing w:line="430" w:lineRule="atLeast"/>
              <w:jc w:val="left"/>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w:t>
            </w:r>
          </w:p>
        </w:tc>
      </w:tr>
      <w:tr w14:paraId="2EA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DC0144">
            <w:pPr>
              <w:autoSpaceDE w:val="0"/>
              <w:autoSpaceDN w:val="0"/>
              <w:adjustRightInd w:val="0"/>
              <w:snapToGrid w:val="0"/>
              <w:spacing w:line="430" w:lineRule="atLeast"/>
              <w:jc w:val="center"/>
              <w:rPr>
                <w:rFonts w:hint="eastAsia"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center"/>
          </w:tcPr>
          <w:p w14:paraId="1E9FDA65">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法定代表人授权书，法定代表人参与投标的需提供法人身份证及法定代表人的身份证扫描件</w:t>
            </w:r>
            <w:r>
              <w:rPr>
                <w:rFonts w:hint="eastAsia" w:ascii="宋体" w:hAnsi="宋体" w:cs="Courier New"/>
                <w:color w:val="auto"/>
                <w:kern w:val="0"/>
                <w:sz w:val="22"/>
                <w:szCs w:val="22"/>
                <w:highlight w:val="none"/>
              </w:rPr>
              <w:t>（联合体牵头方提供）</w:t>
            </w:r>
          </w:p>
        </w:tc>
      </w:tr>
      <w:tr w14:paraId="40E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25792F">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tcPr>
          <w:p w14:paraId="24E0905A">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符合参加政府采购活动应当具备的一般条件的承诺函（联合体各方均需提供）</w:t>
            </w:r>
          </w:p>
        </w:tc>
      </w:tr>
      <w:tr w14:paraId="744C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C6B1F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tcPr>
          <w:p w14:paraId="326D416F">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联合投标协议书（若联合体投标，需提供）</w:t>
            </w:r>
          </w:p>
        </w:tc>
      </w:tr>
      <w:tr w14:paraId="3C04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6B5658">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tcPr>
          <w:p w14:paraId="2C058956">
            <w:pPr>
              <w:autoSpaceDE w:val="0"/>
              <w:autoSpaceDN w:val="0"/>
              <w:adjustRightInd w:val="0"/>
              <w:snapToGrid w:val="0"/>
              <w:spacing w:line="440" w:lineRule="exact"/>
              <w:rPr>
                <w:rFonts w:hint="eastAsia" w:ascii="宋体" w:hAnsi="宋体" w:eastAsia="宋体" w:cs="Courier New"/>
                <w:color w:val="auto"/>
                <w:kern w:val="0"/>
                <w:sz w:val="22"/>
                <w:szCs w:val="22"/>
                <w:highlight w:val="none"/>
                <w:lang w:val="en-US" w:eastAsia="zh-CN" w:bidi="ar-SA"/>
              </w:rPr>
            </w:pPr>
            <w:r>
              <w:rPr>
                <w:rFonts w:hint="eastAsia" w:ascii="宋体" w:hAnsi="宋体" w:cs="Courier New"/>
                <w:color w:val="000000" w:themeColor="text1"/>
                <w:kern w:val="0"/>
                <w:sz w:val="22"/>
                <w:szCs w:val="22"/>
                <w:highlight w:val="none"/>
                <w14:textFill>
                  <w14:solidFill>
                    <w14:schemeClr w14:val="tx1"/>
                  </w14:solidFill>
                </w14:textFill>
              </w:rPr>
              <w:t>中小企业相关材料（小微企业、监狱企业、残疾人福利性单位）</w:t>
            </w:r>
            <w:r>
              <w:rPr>
                <w:rFonts w:hint="eastAsia" w:ascii="宋体" w:hAnsi="宋体" w:cs="Courier New"/>
                <w:color w:val="000000" w:themeColor="text1"/>
                <w:kern w:val="0"/>
                <w:sz w:val="22"/>
                <w:szCs w:val="22"/>
                <w:highlight w:val="none"/>
                <w:lang w:eastAsia="zh-CN"/>
                <w14:textFill>
                  <w14:solidFill>
                    <w14:schemeClr w14:val="tx1"/>
                  </w14:solidFill>
                </w14:textFill>
              </w:rPr>
              <w:t>面向中小企业采购时必须在资格审查文件中提供，非面向中小企业采购时在报价文件中提供。</w:t>
            </w:r>
          </w:p>
        </w:tc>
      </w:tr>
      <w:tr w14:paraId="19C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0331E5">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tcPr>
          <w:p w14:paraId="7E84D12F">
            <w:pPr>
              <w:autoSpaceDE w:val="0"/>
              <w:autoSpaceDN w:val="0"/>
              <w:adjustRightInd w:val="0"/>
              <w:snapToGrid w:val="0"/>
              <w:spacing w:line="430" w:lineRule="atLeast"/>
              <w:jc w:val="left"/>
              <w:rPr>
                <w:rFonts w:hint="default"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投标人认为有必要提供的其它文件（格式自拟）</w:t>
            </w:r>
          </w:p>
        </w:tc>
      </w:tr>
    </w:tbl>
    <w:p w14:paraId="4F83C46A">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7B7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BEBF7B6">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序号</w:t>
            </w:r>
          </w:p>
        </w:tc>
        <w:tc>
          <w:tcPr>
            <w:tcW w:w="8388" w:type="dxa"/>
          </w:tcPr>
          <w:p w14:paraId="1E3892CA">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内容</w:t>
            </w:r>
          </w:p>
        </w:tc>
      </w:tr>
      <w:tr w14:paraId="264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BEBFAC">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1</w:t>
            </w:r>
          </w:p>
        </w:tc>
        <w:tc>
          <w:tcPr>
            <w:tcW w:w="8388" w:type="dxa"/>
          </w:tcPr>
          <w:p w14:paraId="1DAE61D5">
            <w:pPr>
              <w:autoSpaceDE w:val="0"/>
              <w:autoSpaceDN w:val="0"/>
              <w:adjustRightInd w:val="0"/>
              <w:snapToGrid w:val="0"/>
              <w:spacing w:line="440" w:lineRule="exact"/>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rPr>
              <w:t>评分响应表（</w:t>
            </w:r>
            <w:r>
              <w:rPr>
                <w:rFonts w:hint="eastAsia" w:ascii="宋体" w:hAnsi="宋体" w:cs="Courier New"/>
                <w:color w:val="auto"/>
                <w:kern w:val="0"/>
                <w:sz w:val="20"/>
                <w:szCs w:val="20"/>
                <w:highlight w:val="none"/>
              </w:rPr>
              <w:t>联合体牵头方提供</w:t>
            </w:r>
            <w:r>
              <w:rPr>
                <w:rFonts w:hint="eastAsia" w:ascii="宋体" w:hAnsi="宋体" w:cs="宋体"/>
                <w:color w:val="auto"/>
                <w:sz w:val="20"/>
                <w:szCs w:val="20"/>
                <w:highlight w:val="none"/>
              </w:rPr>
              <w:t>）</w:t>
            </w:r>
          </w:p>
        </w:tc>
      </w:tr>
      <w:tr w14:paraId="7F6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C207A7">
            <w:pPr>
              <w:autoSpaceDE w:val="0"/>
              <w:autoSpaceDN w:val="0"/>
              <w:adjustRightInd w:val="0"/>
              <w:snapToGrid w:val="0"/>
              <w:spacing w:line="440" w:lineRule="exact"/>
              <w:jc w:val="center"/>
              <w:rPr>
                <w:rFonts w:hint="eastAsia" w:ascii="宋体" w:hAnsi="宋体" w:cs="Courier New"/>
                <w:color w:val="auto"/>
                <w:kern w:val="0"/>
                <w:sz w:val="20"/>
                <w:szCs w:val="20"/>
                <w:highlight w:val="none"/>
                <w:lang w:val="zh-CN"/>
              </w:rPr>
            </w:pPr>
            <w:r>
              <w:rPr>
                <w:rFonts w:hint="eastAsia" w:ascii="宋体" w:hAnsi="宋体" w:cs="Courier New"/>
                <w:color w:val="auto"/>
                <w:kern w:val="0"/>
                <w:sz w:val="20"/>
                <w:szCs w:val="20"/>
                <w:highlight w:val="none"/>
              </w:rPr>
              <w:t>2</w:t>
            </w:r>
          </w:p>
        </w:tc>
        <w:tc>
          <w:tcPr>
            <w:tcW w:w="8388" w:type="dxa"/>
            <w:vAlign w:val="center"/>
          </w:tcPr>
          <w:p w14:paraId="0AB62942">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投标声明书(</w:t>
            </w:r>
            <w:r>
              <w:rPr>
                <w:rFonts w:hint="eastAsia" w:ascii="宋体" w:hAnsi="宋体" w:cs="Courier New"/>
                <w:color w:val="auto"/>
                <w:kern w:val="0"/>
                <w:sz w:val="20"/>
                <w:szCs w:val="20"/>
                <w:highlight w:val="none"/>
              </w:rPr>
              <w:t>联合体各方均需提供</w:t>
            </w:r>
            <w:r>
              <w:rPr>
                <w:rFonts w:hint="eastAsia" w:ascii="宋体" w:hAnsi="宋体" w:cs="宋体"/>
                <w:color w:val="auto"/>
                <w:sz w:val="20"/>
                <w:szCs w:val="20"/>
                <w:highlight w:val="none"/>
              </w:rPr>
              <w:t>）</w:t>
            </w:r>
          </w:p>
        </w:tc>
      </w:tr>
      <w:tr w14:paraId="200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B76130">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3</w:t>
            </w:r>
          </w:p>
        </w:tc>
        <w:tc>
          <w:tcPr>
            <w:tcW w:w="8388" w:type="dxa"/>
            <w:vAlign w:val="center"/>
          </w:tcPr>
          <w:p w14:paraId="2CC99159">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产品技术指标响应情况</w:t>
            </w:r>
          </w:p>
        </w:tc>
      </w:tr>
      <w:tr w14:paraId="23E2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1CD214">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4</w:t>
            </w:r>
          </w:p>
        </w:tc>
        <w:tc>
          <w:tcPr>
            <w:tcW w:w="8388" w:type="dxa"/>
            <w:vAlign w:val="center"/>
          </w:tcPr>
          <w:p w14:paraId="2B753AD1">
            <w:pPr>
              <w:autoSpaceDE w:val="0"/>
              <w:autoSpaceDN w:val="0"/>
              <w:adjustRightInd w:val="0"/>
              <w:snapToGrid w:val="0"/>
              <w:spacing w:line="440" w:lineRule="exact"/>
              <w:jc w:val="left"/>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评审办法和评分标准</w:t>
            </w:r>
            <w:r>
              <w:rPr>
                <w:rFonts w:hint="eastAsia" w:ascii="宋体" w:hAnsi="宋体" w:cs="宋体"/>
                <w:color w:val="auto"/>
                <w:sz w:val="20"/>
                <w:szCs w:val="20"/>
                <w:highlight w:val="none"/>
                <w:lang w:eastAsia="zh-CN"/>
              </w:rPr>
              <w:t>中的评分内容（</w:t>
            </w:r>
            <w:r>
              <w:rPr>
                <w:rFonts w:hint="eastAsia" w:ascii="宋体" w:hAnsi="宋体" w:cs="宋体"/>
                <w:color w:val="auto"/>
                <w:sz w:val="20"/>
                <w:szCs w:val="20"/>
                <w:highlight w:val="none"/>
                <w:lang w:val="en-US" w:eastAsia="zh-CN"/>
              </w:rPr>
              <w:t>1，2，3，4，5，6......</w:t>
            </w:r>
            <w:r>
              <w:rPr>
                <w:rFonts w:hint="eastAsia" w:ascii="宋体" w:hAnsi="宋体" w:cs="宋体"/>
                <w:color w:val="auto"/>
                <w:sz w:val="20"/>
                <w:szCs w:val="20"/>
                <w:highlight w:val="none"/>
                <w:lang w:eastAsia="zh-CN"/>
              </w:rPr>
              <w:t>）尽量按序排列</w:t>
            </w:r>
          </w:p>
        </w:tc>
      </w:tr>
      <w:tr w14:paraId="6F0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7F0BAC">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5</w:t>
            </w:r>
          </w:p>
        </w:tc>
        <w:tc>
          <w:tcPr>
            <w:tcW w:w="8388" w:type="dxa"/>
          </w:tcPr>
          <w:p w14:paraId="35F75DEC">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根据招标文件要求，其他需说明的资料。(格式自拟）</w:t>
            </w:r>
          </w:p>
        </w:tc>
      </w:tr>
      <w:tr w14:paraId="1C8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257426">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6</w:t>
            </w:r>
          </w:p>
        </w:tc>
        <w:tc>
          <w:tcPr>
            <w:tcW w:w="8388" w:type="dxa"/>
          </w:tcPr>
          <w:p w14:paraId="61C68DAE">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投标人认为需提供的其他资料。(格式自拟）</w:t>
            </w:r>
          </w:p>
        </w:tc>
      </w:tr>
    </w:tbl>
    <w:p w14:paraId="66D4DDD3">
      <w:pPr>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260A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F2509">
            <w:pPr>
              <w:autoSpaceDE w:val="0"/>
              <w:autoSpaceDN w:val="0"/>
              <w:adjustRightInd w:val="0"/>
              <w:snapToGrid w:val="0"/>
              <w:spacing w:line="440" w:lineRule="exact"/>
              <w:jc w:val="center"/>
              <w:rPr>
                <w:rFonts w:ascii="宋体" w:hAnsi="宋体" w:cs="宋体"/>
                <w:color w:val="auto"/>
                <w:kern w:val="0"/>
                <w:sz w:val="22"/>
                <w:szCs w:val="22"/>
                <w:highlight w:val="none"/>
                <w:lang w:val="zh-CN"/>
              </w:rPr>
            </w:pPr>
            <w:bookmarkStart w:id="169" w:name="_Toc3284"/>
            <w:bookmarkStart w:id="170" w:name="_Toc27491"/>
            <w:bookmarkStart w:id="171" w:name="_Toc11861"/>
            <w:bookmarkStart w:id="172" w:name="_Toc15007"/>
            <w:bookmarkStart w:id="173" w:name="_Toc16950"/>
            <w:bookmarkStart w:id="174" w:name="_Toc20239"/>
            <w:bookmarkStart w:id="175" w:name="_Toc31427"/>
            <w:bookmarkStart w:id="176" w:name="_Toc14946"/>
            <w:r>
              <w:rPr>
                <w:rFonts w:hint="eastAsia" w:ascii="宋体" w:hAnsi="宋体" w:cs="宋体"/>
                <w:color w:val="auto"/>
                <w:kern w:val="0"/>
                <w:sz w:val="22"/>
                <w:szCs w:val="22"/>
                <w:highlight w:val="none"/>
                <w:lang w:val="zh-CN"/>
              </w:rPr>
              <w:t>序号</w:t>
            </w:r>
          </w:p>
        </w:tc>
        <w:tc>
          <w:tcPr>
            <w:tcW w:w="8432" w:type="dxa"/>
          </w:tcPr>
          <w:p w14:paraId="749827A1">
            <w:pP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r>
              <w:rPr>
                <w:rFonts w:hint="eastAsia" w:ascii="宋体" w:hAnsi="宋体" w:cs="宋体"/>
                <w:b/>
                <w:color w:val="auto"/>
                <w:kern w:val="0"/>
                <w:sz w:val="22"/>
                <w:szCs w:val="22"/>
                <w:highlight w:val="none"/>
                <w:lang w:val="zh-CN"/>
              </w:rPr>
              <w:t>序号</w:t>
            </w: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lang w:val="en-US" w:eastAsia="zh-CN"/>
              </w:rPr>
              <w:t>2</w:t>
            </w:r>
            <w:r>
              <w:rPr>
                <w:rFonts w:hint="eastAsia" w:ascii="宋体" w:hAnsi="宋体" w:cs="宋体"/>
                <w:b/>
                <w:color w:val="auto"/>
                <w:kern w:val="0"/>
                <w:sz w:val="22"/>
                <w:szCs w:val="22"/>
                <w:highlight w:val="none"/>
                <w:lang w:val="zh-CN"/>
              </w:rPr>
              <w:t>项投标供应商必须提供，否则不能通过审查</w:t>
            </w:r>
            <w:r>
              <w:rPr>
                <w:rFonts w:hint="eastAsia" w:ascii="宋体" w:hAnsi="宋体" w:cs="宋体"/>
                <w:b/>
                <w:color w:val="auto"/>
                <w:kern w:val="0"/>
                <w:sz w:val="22"/>
                <w:szCs w:val="22"/>
                <w:highlight w:val="none"/>
              </w:rPr>
              <w:t>的</w:t>
            </w:r>
            <w:r>
              <w:rPr>
                <w:rFonts w:hint="eastAsia" w:ascii="宋体" w:hAnsi="宋体" w:cs="宋体"/>
                <w:b/>
                <w:color w:val="auto"/>
                <w:kern w:val="0"/>
                <w:sz w:val="22"/>
                <w:szCs w:val="22"/>
                <w:highlight w:val="none"/>
                <w:lang w:val="zh-CN"/>
              </w:rPr>
              <w:t>，责任自负。</w:t>
            </w:r>
            <w:r>
              <w:rPr>
                <w:rFonts w:hint="eastAsia" w:ascii="宋体" w:hAnsi="宋体" w:cs="宋体"/>
                <w:color w:val="auto"/>
                <w:kern w:val="0"/>
                <w:sz w:val="22"/>
                <w:szCs w:val="22"/>
                <w:highlight w:val="none"/>
                <w:lang w:val="zh-CN"/>
              </w:rPr>
              <w:t>）</w:t>
            </w:r>
          </w:p>
        </w:tc>
      </w:tr>
      <w:tr w14:paraId="5E17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2B8DE6">
            <w:pPr>
              <w:autoSpaceDE w:val="0"/>
              <w:autoSpaceDN w:val="0"/>
              <w:adjustRightInd w:val="0"/>
              <w:snapToGrid w:val="0"/>
              <w:spacing w:line="44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432" w:type="dxa"/>
          </w:tcPr>
          <w:p w14:paraId="20906311">
            <w:pPr>
              <w:autoSpaceDE w:val="0"/>
              <w:autoSpaceDN w:val="0"/>
              <w:adjustRightInd w:val="0"/>
              <w:spacing w:line="440" w:lineRule="exact"/>
              <w:textAlignment w:val="bottom"/>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投标函（</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592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3BBEA7">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p>
        </w:tc>
        <w:tc>
          <w:tcPr>
            <w:tcW w:w="8432" w:type="dxa"/>
          </w:tcPr>
          <w:p w14:paraId="4781928D">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059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CBD611">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p>
        </w:tc>
        <w:tc>
          <w:tcPr>
            <w:tcW w:w="8432" w:type="dxa"/>
          </w:tcPr>
          <w:p w14:paraId="35F54614">
            <w:pPr>
              <w:autoSpaceDE w:val="0"/>
              <w:autoSpaceDN w:val="0"/>
              <w:adjustRightInd w:val="0"/>
              <w:spacing w:line="440" w:lineRule="exact"/>
              <w:textAlignment w:val="bottom"/>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rPr>
              <w:t>投标分项报价表（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4158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402F2F">
            <w:pPr>
              <w:autoSpaceDE w:val="0"/>
              <w:autoSpaceDN w:val="0"/>
              <w:adjustRightInd w:val="0"/>
              <w:snapToGrid w:val="0"/>
              <w:spacing w:line="430" w:lineRule="atLeas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4</w:t>
            </w:r>
          </w:p>
        </w:tc>
        <w:tc>
          <w:tcPr>
            <w:tcW w:w="8432" w:type="dxa"/>
          </w:tcPr>
          <w:p w14:paraId="7EE83C43">
            <w:pPr>
              <w:autoSpaceDE w:val="0"/>
              <w:autoSpaceDN w:val="0"/>
              <w:adjustRightInd w:val="0"/>
              <w:spacing w:line="430" w:lineRule="atLeast"/>
              <w:textAlignment w:val="bottom"/>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享受价格优惠的相应材料（小微企业、监狱企业、残疾人福利性单位）如有则提供</w:t>
            </w:r>
          </w:p>
        </w:tc>
      </w:tr>
      <w:tr w14:paraId="002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41DF4">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p>
        </w:tc>
        <w:tc>
          <w:tcPr>
            <w:tcW w:w="8432" w:type="dxa"/>
          </w:tcPr>
          <w:p w14:paraId="1C311CBA">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投标人针对报价需要说明的其他文件和资料（格式自拟）</w:t>
            </w:r>
          </w:p>
        </w:tc>
      </w:tr>
    </w:tbl>
    <w:p w14:paraId="52DE25C9">
      <w:pPr>
        <w:pStyle w:val="29"/>
        <w:snapToGrid w:val="0"/>
        <w:spacing w:before="120" w:after="120"/>
        <w:ind w:firstLine="442" w:firstLineChars="200"/>
        <w:jc w:val="left"/>
        <w:rPr>
          <w:rFonts w:hint="eastAsia" w:hAnsi="宋体" w:cs="宋体"/>
          <w:color w:val="auto"/>
          <w:kern w:val="0"/>
          <w:sz w:val="22"/>
          <w:szCs w:val="20"/>
          <w:highlight w:val="none"/>
        </w:rPr>
      </w:pPr>
      <w:r>
        <w:rPr>
          <w:rFonts w:hint="eastAsia" w:hAnsi="宋体" w:cs="宋体"/>
          <w:b/>
          <w:bCs/>
          <w:color w:val="auto"/>
          <w:kern w:val="0"/>
          <w:sz w:val="22"/>
          <w:szCs w:val="20"/>
          <w:highlight w:val="none"/>
        </w:rPr>
        <w:t>注：（1）以上要求提供的内容附件中如有格式，按招标文件格式，若未提供则格式自拟。</w:t>
      </w:r>
    </w:p>
    <w:p w14:paraId="5FC0D042">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（2）填写报价表格时，各项费用应如实填写，如已含在产品价格中，则填“含”，</w:t>
      </w:r>
      <w:r>
        <w:rPr>
          <w:rFonts w:hint="eastAsia" w:hAnsi="宋体" w:cs="宋体"/>
          <w:color w:val="auto"/>
          <w:kern w:val="0"/>
          <w:sz w:val="22"/>
          <w:szCs w:val="20"/>
          <w:highlight w:val="none"/>
          <w:lang w:eastAsia="zh-CN"/>
        </w:rPr>
        <w:t>不允许</w:t>
      </w:r>
      <w:r>
        <w:rPr>
          <w:rFonts w:hint="eastAsia" w:hAnsi="宋体" w:cs="宋体"/>
          <w:color w:val="auto"/>
          <w:kern w:val="0"/>
          <w:sz w:val="22"/>
          <w:szCs w:val="20"/>
          <w:highlight w:val="none"/>
        </w:rPr>
        <w:t>免费</w:t>
      </w:r>
      <w:r>
        <w:rPr>
          <w:rFonts w:hint="eastAsia" w:hAnsi="宋体" w:cs="宋体"/>
          <w:color w:val="auto"/>
          <w:kern w:val="0"/>
          <w:sz w:val="22"/>
          <w:szCs w:val="20"/>
          <w:highlight w:val="none"/>
          <w:lang w:eastAsia="zh-CN"/>
        </w:rPr>
        <w:t>赠送</w:t>
      </w:r>
      <w:r>
        <w:rPr>
          <w:rFonts w:hint="eastAsia" w:hAnsi="宋体" w:cs="宋体"/>
          <w:color w:val="auto"/>
          <w:kern w:val="0"/>
          <w:sz w:val="22"/>
          <w:szCs w:val="20"/>
          <w:highlight w:val="none"/>
        </w:rPr>
        <w:t>，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1919AC9B">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443891DA">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（4）投标商对在合同执行中，除上述费用及招标文件规定的由中标人负责的工作范围以外需要买方协调或提供便利的工作应当在投标文件中说明。</w:t>
      </w:r>
    </w:p>
    <w:p w14:paraId="315D37DA">
      <w:pPr>
        <w:pStyle w:val="29"/>
        <w:snapToGrid w:val="0"/>
        <w:spacing w:before="120" w:after="120" w:line="440" w:lineRule="exact"/>
        <w:ind w:firstLine="442" w:firstLineChars="200"/>
        <w:jc w:val="left"/>
        <w:rPr>
          <w:rFonts w:hint="eastAsia" w:hAnsi="宋体" w:cs="宋体"/>
          <w:b/>
          <w:bCs/>
          <w:color w:val="auto"/>
          <w:highlight w:val="none"/>
        </w:rPr>
      </w:pPr>
      <w:r>
        <w:rPr>
          <w:rFonts w:hint="eastAsia" w:hAnsi="宋体" w:cs="宋体"/>
          <w:b/>
          <w:bCs/>
          <w:color w:val="auto"/>
          <w:kern w:val="0"/>
          <w:sz w:val="22"/>
          <w:szCs w:val="20"/>
          <w:highlight w:val="none"/>
        </w:rPr>
        <w:t>（5）</w:t>
      </w:r>
      <w:r>
        <w:rPr>
          <w:rFonts w:hint="eastAsia" w:hAnsi="宋体"/>
          <w:b/>
          <w:color w:val="auto"/>
          <w:highlight w:val="none"/>
        </w:rPr>
        <w:t>关于本项目投标价格的信息只允许出现在“报价文件”中，不得出现在技术标及商务标中。如提供纸质备份文件的，报价文件须单独密封。</w:t>
      </w:r>
    </w:p>
    <w:p w14:paraId="2EC10FBB">
      <w:pPr>
        <w:snapToGrid w:val="0"/>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（二）投标文件的语言及计量</w:t>
      </w:r>
      <w:bookmarkEnd w:id="169"/>
      <w:bookmarkEnd w:id="170"/>
      <w:bookmarkEnd w:id="171"/>
      <w:bookmarkEnd w:id="172"/>
      <w:bookmarkEnd w:id="173"/>
      <w:bookmarkEnd w:id="174"/>
      <w:bookmarkEnd w:id="175"/>
      <w:bookmarkEnd w:id="176"/>
    </w:p>
    <w:p w14:paraId="04859F27">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A80FA90">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2CB1F56E">
      <w:pPr>
        <w:snapToGrid w:val="0"/>
        <w:spacing w:line="460" w:lineRule="exact"/>
        <w:ind w:firstLine="482" w:firstLineChars="200"/>
        <w:jc w:val="left"/>
        <w:rPr>
          <w:rFonts w:hint="eastAsia" w:ascii="宋体" w:hAnsi="宋体" w:cs="宋体"/>
          <w:b/>
          <w:bCs/>
          <w:color w:val="auto"/>
          <w:sz w:val="24"/>
          <w:highlight w:val="none"/>
        </w:rPr>
      </w:pPr>
      <w:bookmarkStart w:id="177" w:name="_Toc5952"/>
      <w:bookmarkStart w:id="178" w:name="_Toc30164"/>
      <w:bookmarkStart w:id="179" w:name="_Toc24256"/>
      <w:bookmarkStart w:id="180" w:name="_Toc3387"/>
      <w:bookmarkStart w:id="181" w:name="_Toc15337"/>
      <w:bookmarkStart w:id="182" w:name="_Toc20145"/>
      <w:bookmarkStart w:id="183" w:name="_Toc32223"/>
      <w:bookmarkStart w:id="184" w:name="_Toc24316"/>
      <w:r>
        <w:rPr>
          <w:rFonts w:hint="eastAsia" w:ascii="宋体" w:hAnsi="宋体" w:cs="宋体"/>
          <w:b/>
          <w:bCs/>
          <w:color w:val="auto"/>
          <w:sz w:val="24"/>
          <w:highlight w:val="none"/>
        </w:rPr>
        <w:t>（三）投标报价</w:t>
      </w:r>
      <w:bookmarkEnd w:id="177"/>
      <w:bookmarkEnd w:id="178"/>
      <w:bookmarkEnd w:id="179"/>
      <w:bookmarkEnd w:id="180"/>
      <w:bookmarkEnd w:id="181"/>
      <w:bookmarkEnd w:id="182"/>
      <w:bookmarkEnd w:id="183"/>
      <w:bookmarkEnd w:id="184"/>
    </w:p>
    <w:p w14:paraId="310DCC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bookmarkStart w:id="185" w:name="_Toc12502"/>
      <w:bookmarkStart w:id="186" w:name="_Toc26142"/>
      <w:bookmarkStart w:id="187" w:name="_Toc28306"/>
      <w:bookmarkStart w:id="188" w:name="_Toc105"/>
      <w:bookmarkStart w:id="189" w:name="_Toc26005"/>
      <w:bookmarkStart w:id="190" w:name="_Toc13772"/>
      <w:bookmarkStart w:id="191" w:name="_Toc4546"/>
      <w:bookmarkStart w:id="192" w:name="_Toc1595"/>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rPr>
        <w:t>本项目设有最高限价</w:t>
      </w:r>
      <w:r>
        <w:rPr>
          <w:rFonts w:hint="eastAsia" w:ascii="宋体" w:hAnsi="宋体" w:cs="宋体"/>
          <w:b/>
          <w:bCs/>
          <w:color w:val="auto"/>
          <w:sz w:val="24"/>
          <w:highlight w:val="none"/>
          <w:lang w:val="en-US" w:eastAsia="zh-CN"/>
        </w:rPr>
        <w:t>即预算价</w:t>
      </w:r>
      <w:r>
        <w:rPr>
          <w:rFonts w:hint="eastAsia" w:ascii="宋体" w:hAnsi="宋体" w:cs="宋体"/>
          <w:b/>
          <w:bCs/>
          <w:color w:val="auto"/>
          <w:sz w:val="24"/>
          <w:highlight w:val="none"/>
        </w:rPr>
        <w:t>，高于最高限价的投标报价为无效报价，作无效投标处理。</w:t>
      </w:r>
      <w:r>
        <w:rPr>
          <w:rFonts w:hint="eastAsia" w:ascii="宋体" w:hAnsi="宋体" w:cs="宋体"/>
          <w:b/>
          <w:color w:val="auto"/>
          <w:sz w:val="24"/>
          <w:highlight w:val="none"/>
        </w:rPr>
        <w:t>）</w:t>
      </w:r>
    </w:p>
    <w:p w14:paraId="332FC9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w:t>
      </w:r>
      <w:r>
        <w:rPr>
          <w:rFonts w:hint="eastAsia" w:ascii="宋体" w:hAnsi="宋体" w:cs="宋体"/>
          <w:color w:val="auto"/>
          <w:sz w:val="24"/>
          <w:highlight w:val="none"/>
          <w:lang w:val="en-US" w:eastAsia="zh-CN"/>
        </w:rPr>
        <w:t>人工</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专业设备、必要耗材费、</w:t>
      </w:r>
      <w:r>
        <w:rPr>
          <w:rFonts w:hint="eastAsia" w:ascii="宋体" w:hAnsi="宋体" w:cs="宋体"/>
          <w:color w:val="auto"/>
          <w:sz w:val="24"/>
          <w:highlight w:val="none"/>
        </w:rPr>
        <w:t>保险</w:t>
      </w:r>
      <w:r>
        <w:rPr>
          <w:rFonts w:hint="eastAsia" w:ascii="宋体" w:hAnsi="宋体"/>
          <w:color w:val="auto"/>
          <w:sz w:val="24"/>
          <w:highlight w:val="none"/>
        </w:rPr>
        <w:t>、税金、合理利润、完成本项目的其它费用以及采购代理服务费等所有费用。</w:t>
      </w:r>
    </w:p>
    <w:p w14:paraId="49CBEA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18C4C6AC">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A04CEF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F203F9B">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（四）投标文件的有效期</w:t>
      </w:r>
      <w:bookmarkEnd w:id="185"/>
      <w:bookmarkEnd w:id="186"/>
      <w:bookmarkEnd w:id="187"/>
      <w:bookmarkEnd w:id="188"/>
      <w:bookmarkEnd w:id="189"/>
      <w:bookmarkEnd w:id="190"/>
      <w:bookmarkEnd w:id="191"/>
      <w:bookmarkEnd w:id="192"/>
    </w:p>
    <w:p w14:paraId="30E5D1E3">
      <w:pPr>
        <w:snapToGrid w:val="0"/>
        <w:spacing w:line="480" w:lineRule="exact"/>
        <w:ind w:firstLine="470" w:firstLineChars="196"/>
        <w:jc w:val="left"/>
        <w:rPr>
          <w:rFonts w:hint="eastAsia" w:ascii="宋体" w:hAnsi="宋体"/>
          <w:color w:val="auto"/>
          <w:sz w:val="24"/>
          <w:highlight w:val="none"/>
        </w:rPr>
      </w:pPr>
      <w:bookmarkStart w:id="193" w:name="_Toc30936"/>
      <w:bookmarkStart w:id="194" w:name="_Toc3352"/>
      <w:bookmarkStart w:id="195" w:name="_Toc11775"/>
      <w:bookmarkStart w:id="196" w:name="_Toc2492"/>
      <w:bookmarkStart w:id="197" w:name="_Toc11741"/>
      <w:bookmarkStart w:id="198" w:name="_Toc20104"/>
      <w:bookmarkStart w:id="199" w:name="_Toc16094"/>
      <w:bookmarkStart w:id="200" w:name="_Toc6910"/>
      <w:bookmarkStart w:id="201" w:name="_Toc20729"/>
      <w:bookmarkStart w:id="202" w:name="_Toc21755"/>
      <w:bookmarkStart w:id="203" w:name="_Toc12000"/>
      <w:r>
        <w:rPr>
          <w:rFonts w:hint="eastAsia" w:ascii="宋体" w:hAnsi="宋体"/>
          <w:color w:val="auto"/>
          <w:sz w:val="24"/>
          <w:highlight w:val="none"/>
        </w:rPr>
        <w:t>▲1.自投标截止日起60天投标文件应保持有效</w:t>
      </w:r>
      <w:bookmarkEnd w:id="193"/>
      <w:bookmarkEnd w:id="194"/>
      <w:bookmarkEnd w:id="195"/>
      <w:bookmarkEnd w:id="196"/>
      <w:bookmarkEnd w:id="197"/>
      <w:bookmarkEnd w:id="198"/>
      <w:bookmarkEnd w:id="199"/>
      <w:bookmarkEnd w:id="200"/>
      <w:r>
        <w:rPr>
          <w:rFonts w:hint="eastAsia" w:ascii="宋体" w:hAnsi="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bookmarkEnd w:id="201"/>
      <w:bookmarkEnd w:id="202"/>
      <w:bookmarkEnd w:id="203"/>
    </w:p>
    <w:p w14:paraId="48E2B6B9">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2.在特殊情况下，招标人可与投标人协商延长投标书的有效期，这种要求和答复均以书面形式进行。</w:t>
      </w:r>
    </w:p>
    <w:p w14:paraId="5194E035">
      <w:pPr>
        <w:widowControl/>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3.中标人的投标文件自开标之日起至合同履行完毕止均应保持有效。</w:t>
      </w:r>
    </w:p>
    <w:p w14:paraId="1C004DE1">
      <w:pPr>
        <w:widowControl/>
        <w:spacing w:line="460" w:lineRule="exact"/>
        <w:ind w:firstLine="482" w:firstLineChars="200"/>
        <w:jc w:val="left"/>
        <w:rPr>
          <w:rFonts w:hint="eastAsia" w:ascii="宋体" w:hAnsi="宋体"/>
          <w:b/>
          <w:bCs/>
          <w:color w:val="auto"/>
          <w:sz w:val="24"/>
          <w:highlight w:val="none"/>
        </w:rPr>
      </w:pPr>
      <w:bookmarkStart w:id="204" w:name="_Toc27608"/>
      <w:bookmarkStart w:id="205" w:name="_Toc22132"/>
      <w:bookmarkStart w:id="206" w:name="_Toc29474"/>
      <w:bookmarkStart w:id="207" w:name="_Toc32250"/>
      <w:bookmarkStart w:id="208" w:name="_Toc2438"/>
      <w:bookmarkStart w:id="209" w:name="_Toc13842"/>
      <w:bookmarkStart w:id="210" w:name="_Toc14156"/>
      <w:bookmarkStart w:id="211" w:name="_Toc23456"/>
      <w:r>
        <w:rPr>
          <w:rFonts w:hint="eastAsia" w:ascii="宋体" w:hAnsi="宋体"/>
          <w:b/>
          <w:bCs/>
          <w:color w:val="auto"/>
          <w:sz w:val="24"/>
          <w:highlight w:val="none"/>
        </w:rPr>
        <w:t>（五）投标文件的签署和份数</w:t>
      </w:r>
      <w:bookmarkEnd w:id="204"/>
      <w:bookmarkEnd w:id="205"/>
      <w:bookmarkEnd w:id="206"/>
      <w:bookmarkEnd w:id="207"/>
      <w:bookmarkEnd w:id="208"/>
      <w:bookmarkEnd w:id="209"/>
      <w:bookmarkEnd w:id="210"/>
      <w:bookmarkEnd w:id="211"/>
    </w:p>
    <w:p w14:paraId="79381EC8">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1.电子投标文件部分：</w:t>
      </w:r>
    </w:p>
    <w:p w14:paraId="626C46AA">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20CD4167">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0C2877B1">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电子投标文件的备份文件，以光盘或U盘形式存储，并单独密封递交。数量为1份。</w:t>
      </w:r>
    </w:p>
    <w:p w14:paraId="50988EE3">
      <w:pPr>
        <w:snapToGrid w:val="0"/>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3.纸质备份投标文件部分：</w:t>
      </w:r>
    </w:p>
    <w:p w14:paraId="729A9F03">
      <w:pPr>
        <w:snapToGrid w:val="0"/>
        <w:spacing w:line="48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纸质备份投标文件：技术商务文件1份、报价文件1份。 </w:t>
      </w:r>
    </w:p>
    <w:p w14:paraId="1041CF06">
      <w:pPr>
        <w:snapToGrid w:val="0"/>
        <w:spacing w:line="480" w:lineRule="exact"/>
        <w:ind w:firstLine="470" w:firstLineChars="196"/>
        <w:jc w:val="left"/>
        <w:rPr>
          <w:color w:val="auto"/>
          <w:highlight w:val="none"/>
        </w:rPr>
      </w:pPr>
      <w:r>
        <w:rPr>
          <w:rFonts w:hint="eastAsia" w:ascii="宋体" w:hAnsi="宋体" w:cs="宋体"/>
          <w:color w:val="auto"/>
          <w:sz w:val="24"/>
          <w:highlight w:val="none"/>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7F181800">
      <w:pPr>
        <w:snapToGrid w:val="0"/>
        <w:spacing w:line="480" w:lineRule="exact"/>
        <w:ind w:firstLine="482" w:firstLineChars="200"/>
        <w:jc w:val="left"/>
        <w:rPr>
          <w:rFonts w:ascii="宋体" w:hAnsi="宋体"/>
          <w:color w:val="auto"/>
          <w:sz w:val="24"/>
          <w:highlight w:val="none"/>
        </w:rPr>
      </w:pPr>
      <w:r>
        <w:rPr>
          <w:rFonts w:hint="eastAsia" w:ascii="宋体" w:hAnsi="宋体"/>
          <w:b/>
          <w:color w:val="auto"/>
          <w:sz w:val="24"/>
          <w:highlight w:val="none"/>
        </w:rPr>
        <w:t>以上所称的备份投标文件（即备份电子投标文件和纸质备份投标文件）的提供与否不做强制性要求，由投标人自行考虑相关利弊因素自主决定。</w:t>
      </w:r>
    </w:p>
    <w:p w14:paraId="1EA1C5E7">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14:paraId="536ABD7C">
      <w:pPr>
        <w:snapToGrid w:val="0"/>
        <w:spacing w:line="480" w:lineRule="exact"/>
        <w:ind w:firstLine="480" w:firstLineChars="200"/>
        <w:rPr>
          <w:rFonts w:ascii="宋体" w:hAnsi="宋体"/>
          <w:bCs/>
          <w:color w:val="auto"/>
          <w:sz w:val="24"/>
          <w:highlight w:val="none"/>
        </w:rPr>
      </w:pPr>
      <w:bookmarkStart w:id="212" w:name="_Toc11169"/>
      <w:bookmarkStart w:id="213" w:name="_Toc20991"/>
      <w:r>
        <w:rPr>
          <w:rFonts w:hint="eastAsia" w:ascii="宋体" w:hAnsi="宋体"/>
          <w:bCs/>
          <w:color w:val="auto"/>
          <w:sz w:val="24"/>
          <w:highlight w:val="none"/>
        </w:rPr>
        <w:t>1.以介质存储的数据电文形式的电子备份投标文件用封袋密封包装。</w:t>
      </w:r>
    </w:p>
    <w:p w14:paraId="793D88D9">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2.纸质备份投标文件，要求按</w:t>
      </w:r>
      <w:r>
        <w:rPr>
          <w:rFonts w:hint="eastAsia" w:ascii="宋体" w:hAnsi="宋体" w:cs="宋体"/>
          <w:b/>
          <w:bCs/>
          <w:color w:val="auto"/>
          <w:sz w:val="24"/>
          <w:highlight w:val="none"/>
        </w:rPr>
        <w:t>技术商务文件和报价文件分</w:t>
      </w:r>
      <w:r>
        <w:rPr>
          <w:rFonts w:hint="eastAsia" w:ascii="宋体" w:hAnsi="宋体"/>
          <w:bCs/>
          <w:color w:val="auto"/>
          <w:sz w:val="24"/>
          <w:highlight w:val="none"/>
        </w:rPr>
        <w:t>别密封包装。</w:t>
      </w:r>
    </w:p>
    <w:p w14:paraId="22A6667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3.投标文件的包封应密封完好，正确标明投标文件名称（电子备份投标文件/技术商务文件/报价文件</w:t>
      </w:r>
      <w:r>
        <w:rPr>
          <w:rFonts w:ascii="宋体" w:hAnsi="宋体"/>
          <w:bCs/>
          <w:color w:val="auto"/>
          <w:sz w:val="24"/>
          <w:highlight w:val="none"/>
        </w:rPr>
        <w:t>）</w:t>
      </w:r>
      <w:r>
        <w:rPr>
          <w:rFonts w:hint="eastAsia" w:ascii="宋体" w:hAnsi="宋体"/>
          <w:bCs/>
          <w:color w:val="auto"/>
          <w:sz w:val="24"/>
          <w:highlight w:val="none"/>
        </w:rPr>
        <w:t>、投标项目名称、项目编号及投标人名称。</w:t>
      </w:r>
      <w:r>
        <w:rPr>
          <w:rFonts w:hint="eastAsia" w:ascii="宋体" w:hAnsi="宋体" w:cs="宋体"/>
          <w:b/>
          <w:bCs/>
          <w:color w:val="auto"/>
          <w:sz w:val="24"/>
          <w:highlight w:val="none"/>
        </w:rPr>
        <w:t>电子投标文件须根据评分标准进行关联定位。</w:t>
      </w:r>
    </w:p>
    <w:p w14:paraId="0FBA5BD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7B2AFD65">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5.纸质投标文件须与电子投标文件保持一致。如有篡改，一经发现，将被列入不良行为。</w:t>
      </w:r>
    </w:p>
    <w:p w14:paraId="54952A0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cs="宋体"/>
          <w:color w:val="auto"/>
          <w:sz w:val="24"/>
          <w:highlight w:val="none"/>
        </w:rPr>
        <w:t>电子投标文件（</w:t>
      </w:r>
      <w:r>
        <w:rPr>
          <w:rFonts w:hint="eastAsia" w:ascii="宋体" w:hAnsi="宋体" w:cs="宋体"/>
          <w:b/>
          <w:bCs/>
          <w:color w:val="auto"/>
          <w:sz w:val="24"/>
          <w:highlight w:val="none"/>
        </w:rPr>
        <w:t>包括技术商务文件和报价文件</w:t>
      </w:r>
      <w:r>
        <w:rPr>
          <w:rFonts w:hint="eastAsia" w:ascii="宋体" w:hAnsi="宋体" w:cs="宋体"/>
          <w:color w:val="auto"/>
          <w:sz w:val="24"/>
          <w:highlight w:val="none"/>
        </w:rPr>
        <w:t>）中招标文件要求加盖公章的部分均采用CA签章。</w:t>
      </w:r>
    </w:p>
    <w:p w14:paraId="28FC48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7.投标文件未按时解密，供应商提供了备份投标文件的，以备份投标文件作为依据，否则视为投标文件撤回。投标文件已按时解密的，备份投标文件自动失效。</w:t>
      </w:r>
    </w:p>
    <w:p w14:paraId="2E7069BF">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8.中标方在领取中标通知书前，须向</w:t>
      </w:r>
      <w:r>
        <w:rPr>
          <w:rFonts w:hint="eastAsia" w:ascii="宋体" w:hAnsi="宋体"/>
          <w:b/>
          <w:color w:val="auto"/>
          <w:sz w:val="24"/>
          <w:highlight w:val="none"/>
          <w:lang w:eastAsia="zh-CN"/>
        </w:rPr>
        <w:t>代理单位</w:t>
      </w:r>
      <w:r>
        <w:rPr>
          <w:rFonts w:hint="eastAsia" w:ascii="宋体" w:hAnsi="宋体"/>
          <w:b/>
          <w:color w:val="auto"/>
          <w:sz w:val="24"/>
          <w:highlight w:val="none"/>
        </w:rPr>
        <w:t>提供纸质投标文件1套，按</w:t>
      </w:r>
      <w:r>
        <w:rPr>
          <w:rFonts w:hint="eastAsia" w:ascii="宋体" w:hAnsi="宋体" w:cs="宋体"/>
          <w:b/>
          <w:color w:val="auto"/>
          <w:sz w:val="24"/>
          <w:highlight w:val="none"/>
        </w:rPr>
        <w:t>技术商务文件和报价文件</w:t>
      </w:r>
      <w:r>
        <w:rPr>
          <w:rFonts w:hint="eastAsia" w:ascii="宋体" w:hAnsi="宋体"/>
          <w:b/>
          <w:color w:val="auto"/>
          <w:sz w:val="24"/>
          <w:highlight w:val="none"/>
        </w:rPr>
        <w:t>分别编制并单独装订成册。（递交或邮寄地址：磐安县安文街道花月路211号建设大厦</w:t>
      </w:r>
      <w:r>
        <w:rPr>
          <w:rFonts w:hint="eastAsia" w:ascii="宋体" w:hAnsi="宋体"/>
          <w:b/>
          <w:color w:val="auto"/>
          <w:sz w:val="24"/>
          <w:highlight w:val="none"/>
          <w:lang w:val="en-US" w:eastAsia="zh-CN"/>
        </w:rPr>
        <w:t>12</w:t>
      </w:r>
      <w:r>
        <w:rPr>
          <w:rFonts w:hint="eastAsia" w:ascii="宋体" w:hAnsi="宋体"/>
          <w:b/>
          <w:color w:val="auto"/>
          <w:sz w:val="24"/>
          <w:highlight w:val="none"/>
        </w:rPr>
        <w:t>楼；电话：</w:t>
      </w:r>
      <w:r>
        <w:rPr>
          <w:rFonts w:hint="eastAsia" w:ascii="宋体" w:hAnsi="宋体"/>
          <w:b/>
          <w:color w:val="auto"/>
          <w:sz w:val="24"/>
          <w:highlight w:val="none"/>
          <w:lang w:val="en-US" w:eastAsia="zh-CN"/>
        </w:rPr>
        <w:t>05</w:t>
      </w:r>
      <w:r>
        <w:rPr>
          <w:rFonts w:hint="eastAsia" w:ascii="宋体" w:hAnsi="宋体"/>
          <w:b/>
          <w:color w:val="auto"/>
          <w:sz w:val="24"/>
          <w:highlight w:val="none"/>
        </w:rPr>
        <w:t>79-8466</w:t>
      </w:r>
      <w:r>
        <w:rPr>
          <w:rFonts w:hint="eastAsia" w:ascii="宋体" w:hAnsi="宋体"/>
          <w:b/>
          <w:color w:val="auto"/>
          <w:sz w:val="24"/>
          <w:highlight w:val="none"/>
          <w:lang w:val="en-US" w:eastAsia="zh-CN"/>
        </w:rPr>
        <w:t>9847</w:t>
      </w:r>
      <w:r>
        <w:rPr>
          <w:rFonts w:hint="eastAsia" w:ascii="宋体" w:hAnsi="宋体"/>
          <w:b/>
          <w:color w:val="auto"/>
          <w:sz w:val="24"/>
          <w:highlight w:val="none"/>
        </w:rPr>
        <w:t>）</w:t>
      </w:r>
    </w:p>
    <w:p w14:paraId="1DE67A3D">
      <w:pPr>
        <w:snapToGrid w:val="0"/>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（七）供应商有下列情形之一的，列入失信名单，同时依照《政府采购法》第七十七条及《中华人民共和国政府采购法实施条例》第七十二条规定处罚并追究法律责任。</w:t>
      </w:r>
      <w:bookmarkEnd w:id="212"/>
      <w:bookmarkEnd w:id="213"/>
    </w:p>
    <w:p w14:paraId="2642AEC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rPr>
        <w:t>不同供应商的电子投标(响应）文件上传计算机的网卡MAC地址、CPU序列号和硬盘序列号等硬件信息相同的；</w:t>
      </w:r>
    </w:p>
    <w:p w14:paraId="2BD50DD6">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rPr>
        <w:t>不同供应商的投标(响应）文件由同一电子设备编制、打印加密或者上传；</w:t>
      </w:r>
    </w:p>
    <w:p w14:paraId="3CA56F08">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不同供应商的投标(响应）文件由同一电子设备打印、复印；</w:t>
      </w:r>
    </w:p>
    <w:p w14:paraId="69546A2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不同供应商的投标(响应）文件由同一人送达或者分发，或者不同供应商联系人为同一人或不同联系人的联系电话一致的；</w:t>
      </w:r>
    </w:p>
    <w:p w14:paraId="4FC86CF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不同供应商的投标(响应）文件的内容存在两处以上细节错误一致；</w:t>
      </w:r>
    </w:p>
    <w:p w14:paraId="65F5AD3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不同供应商的法定代表人、委托代理人、项目经理、项目负责人等由同一个单位缴纳社会保险或者领取报酬的；</w:t>
      </w:r>
    </w:p>
    <w:p w14:paraId="02C08219">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不同供应商投标(响应）文件中法定代表人或者负责人签字出自同一人之手；</w:t>
      </w:r>
    </w:p>
    <w:p w14:paraId="42B421E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投标人在投标有效期内撤销投标文件的及其它涉嫌串通的情形。</w:t>
      </w:r>
    </w:p>
    <w:p w14:paraId="188CE886">
      <w:pPr>
        <w:snapToGrid w:val="0"/>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（八）投标无效的情形</w:t>
      </w:r>
    </w:p>
    <w:p w14:paraId="501B3DFD">
      <w:pPr>
        <w:snapToGrid w:val="0"/>
        <w:spacing w:line="480" w:lineRule="exact"/>
        <w:ind w:firstLine="482" w:firstLineChars="200"/>
        <w:rPr>
          <w:rFonts w:hint="eastAsia" w:ascii="宋体" w:hAnsi="宋体"/>
          <w:bCs/>
          <w:color w:val="auto"/>
          <w:sz w:val="24"/>
          <w:highlight w:val="none"/>
        </w:rPr>
      </w:pPr>
      <w:bookmarkStart w:id="214" w:name="_Toc1053"/>
      <w:bookmarkStart w:id="215" w:name="_Toc19269"/>
      <w:bookmarkStart w:id="216" w:name="_Toc28701"/>
      <w:bookmarkStart w:id="217" w:name="_Toc6623"/>
      <w:bookmarkStart w:id="218" w:name="_Toc26260"/>
      <w:bookmarkStart w:id="219" w:name="_Toc11970"/>
      <w:bookmarkStart w:id="220" w:name="_Toc25820"/>
      <w:bookmarkStart w:id="221" w:name="_Toc11776"/>
      <w:bookmarkStart w:id="222" w:name="_Toc13143"/>
      <w:bookmarkStart w:id="223" w:name="_Toc91899903"/>
      <w:r>
        <w:rPr>
          <w:rFonts w:hint="eastAsia" w:ascii="宋体" w:hAnsi="宋体"/>
          <w:b/>
          <w:color w:val="auto"/>
          <w:sz w:val="24"/>
          <w:highlight w:val="none"/>
        </w:rPr>
        <w:t>有下列情况之一的，投标无效</w:t>
      </w:r>
      <w:r>
        <w:rPr>
          <w:rFonts w:hint="eastAsia" w:ascii="宋体" w:hAnsi="宋体"/>
          <w:bCs/>
          <w:color w:val="auto"/>
          <w:sz w:val="24"/>
          <w:highlight w:val="none"/>
        </w:rPr>
        <w:t>：</w:t>
      </w:r>
    </w:p>
    <w:p w14:paraId="23B497D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1.投标人不具备招标文件中规定的资格要求的（投标人未提供有效的资格文件的，视为投标人不具备招标文件中规定的资格要求）；</w:t>
      </w:r>
    </w:p>
    <w:p w14:paraId="26909D8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2.投标文件未按照招标文件要求签署、盖章的；</w:t>
      </w:r>
    </w:p>
    <w:p w14:paraId="3A3A2AD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3.采购人拟采购的产品属于政府强制采购的节能产品品目清单范围的，投标人未按招标文件要求提供国家确定的认证机构出具的、处于有效期之内的节能产品认证证书的；</w:t>
      </w:r>
    </w:p>
    <w:p w14:paraId="3AED259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4.投标文件含有采购人不能接受的附加条件的；</w:t>
      </w:r>
    </w:p>
    <w:p w14:paraId="4D4CBAC5">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5.投标文件中承诺的投标有效期少于招标文件中载明的投标有效期的；</w:t>
      </w:r>
    </w:p>
    <w:p w14:paraId="433544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6.投标文件出现不是唯一的、有选择性投标报价的；</w:t>
      </w:r>
    </w:p>
    <w:p w14:paraId="1471A57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7.投标报价超过招标文件中规定的预算金额或者最高限价的；</w:t>
      </w:r>
    </w:p>
    <w:p w14:paraId="02D01AEC">
      <w:pPr>
        <w:adjustRightInd w:val="0"/>
        <w:snapToGrid w:val="0"/>
        <w:spacing w:line="480" w:lineRule="exact"/>
        <w:ind w:firstLine="480" w:firstLineChars="200"/>
        <w:rPr>
          <w:rFonts w:hint="eastAsia" w:ascii="宋体" w:hAnsi="宋体"/>
          <w:b/>
          <w:color w:val="auto"/>
          <w:sz w:val="24"/>
          <w:highlight w:val="none"/>
        </w:rPr>
      </w:pPr>
      <w:r>
        <w:rPr>
          <w:rFonts w:hint="eastAsia" w:ascii="宋体" w:hAnsi="宋体"/>
          <w:bCs/>
          <w:color w:val="auto"/>
          <w:sz w:val="24"/>
          <w:highlight w:val="none"/>
        </w:rPr>
        <w:t>8.</w:t>
      </w:r>
      <w:r>
        <w:rPr>
          <w:rFonts w:hint="eastAsia" w:ascii="宋体" w:hAnsi="宋体"/>
          <w:b/>
          <w:color w:val="auto"/>
          <w:sz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3BD2FFD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9.投标人对根据修正原则修正后的报价不确认的；</w:t>
      </w:r>
    </w:p>
    <w:p w14:paraId="2C1E7B4F">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10.投标人提供虚假材料投标的；</w:t>
      </w:r>
    </w:p>
    <w:p w14:paraId="6A4078A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11.投标人有恶意串通、妨碍其他投标人的竞争行为、损害采购人或者其他投标人的合法权益情形的；</w:t>
      </w:r>
    </w:p>
    <w:p w14:paraId="6062ED1B">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12.</w:t>
      </w:r>
      <w:r>
        <w:rPr>
          <w:rFonts w:hint="eastAsia" w:ascii="宋体" w:hAnsi="宋体"/>
          <w:b/>
          <w:color w:val="auto"/>
          <w:sz w:val="24"/>
          <w:highlight w:val="none"/>
        </w:rPr>
        <w:t>投标人仅提交备份投标文件，没有在电子交易平台传输递交投标文件的，投标无效；</w:t>
      </w:r>
    </w:p>
    <w:p w14:paraId="04539E3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13.投标文件不满足招标文件的其他实质性要求的；</w:t>
      </w:r>
    </w:p>
    <w:p w14:paraId="407F0E8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14.法律、法规、规章（适用本市的）及省级以上规范性文件（适用本市的）规定的其他无效情形。</w:t>
      </w:r>
    </w:p>
    <w:p w14:paraId="79FE04DC">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废标的情形：</w:t>
      </w:r>
    </w:p>
    <w:p w14:paraId="440709FD">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根据《中华人民共和国政府采购法》第三十六条之规定，在采购中，出现下列情形之一的，应予废标：</w:t>
      </w:r>
    </w:p>
    <w:p w14:paraId="01E6368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1.符合专业条件的供应商或者对招标文件作实质响应的供应商不足3家的；</w:t>
      </w:r>
    </w:p>
    <w:p w14:paraId="40AB2EAA">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14:paraId="46DC03F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14:paraId="6331CDB0">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14:paraId="55C040F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废标后，采购机构应当将废标理由通知所有投标人。</w:t>
      </w:r>
    </w:p>
    <w:p w14:paraId="60F0B5F6">
      <w:pPr>
        <w:pStyle w:val="14"/>
        <w:snapToGrid w:val="0"/>
        <w:spacing w:line="480" w:lineRule="exact"/>
        <w:ind w:firstLine="457" w:firstLineChars="196"/>
        <w:rPr>
          <w:rFonts w:hint="eastAsia" w:hAnsi="宋体" w:cs="宋体"/>
          <w:b/>
          <w:bCs/>
          <w:color w:val="auto"/>
          <w:sz w:val="24"/>
          <w:szCs w:val="24"/>
          <w:highlight w:val="none"/>
        </w:rPr>
      </w:pPr>
      <w:r>
        <w:rPr>
          <w:rFonts w:hint="eastAsia" w:hAnsi="宋体" w:cs="宋体"/>
          <w:b/>
          <w:bCs/>
          <w:color w:val="auto"/>
          <w:sz w:val="24"/>
          <w:szCs w:val="24"/>
          <w:highlight w:val="none"/>
        </w:rPr>
        <w:t>如有下列情形之一的，可中止电子交易活动的情形：</w:t>
      </w:r>
    </w:p>
    <w:p w14:paraId="673A625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rPr>
        <w:t>招标过程中出现以下情形，导致政府采购云平台无法正常运行，或者无法保证电子交易的公平、公正和安全时，采购代理机构将中止电子交易活动：</w:t>
      </w:r>
    </w:p>
    <w:p w14:paraId="3539F2DA">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电子交易平台发生故障而无法登录访问的；</w:t>
      </w:r>
    </w:p>
    <w:p w14:paraId="0EECFBD8">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电子交易平台应用或数据库出现错误，不能进行正常操作的；</w:t>
      </w:r>
    </w:p>
    <w:p w14:paraId="710C8FA3">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电子交易平台发现严重安全漏洞，有潜在泄密危险的；</w:t>
      </w:r>
    </w:p>
    <w:p w14:paraId="767213C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 xml:space="preserve">病毒发作导致不能进行正常操作的； </w:t>
      </w:r>
    </w:p>
    <w:p w14:paraId="0DA66EDA">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其他无法保证电子交易的公平、公正和安全的情况。</w:t>
      </w:r>
    </w:p>
    <w:p w14:paraId="392EB54C">
      <w:pPr>
        <w:pStyle w:val="14"/>
        <w:snapToGrid w:val="0"/>
        <w:spacing w:line="480" w:lineRule="exact"/>
        <w:ind w:firstLine="457" w:firstLineChars="196"/>
        <w:rPr>
          <w:rFonts w:hint="eastAsia"/>
          <w:color w:val="auto"/>
          <w:highlight w:val="none"/>
        </w:rPr>
      </w:pPr>
      <w:r>
        <w:rPr>
          <w:rFonts w:hint="eastAsia" w:hAnsi="宋体" w:cs="宋体"/>
          <w:b/>
          <w:color w:val="auto"/>
          <w:sz w:val="24"/>
          <w:szCs w:val="24"/>
          <w:highlight w:val="none"/>
        </w:rPr>
        <w:t>出现上述规定情形，不影响采购公平、公正性的，采购代理机构可以待上述情形消除后继续组织电子交易活动；影响或可能影响采购公平、公正性的，应当重新组织采购。</w:t>
      </w:r>
    </w:p>
    <w:p w14:paraId="3811827E">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四、开标</w:t>
      </w:r>
      <w:bookmarkEnd w:id="214"/>
      <w:bookmarkEnd w:id="215"/>
      <w:bookmarkEnd w:id="216"/>
      <w:bookmarkEnd w:id="217"/>
      <w:bookmarkEnd w:id="218"/>
      <w:bookmarkEnd w:id="219"/>
      <w:bookmarkEnd w:id="220"/>
      <w:bookmarkEnd w:id="221"/>
      <w:bookmarkEnd w:id="222"/>
    </w:p>
    <w:p w14:paraId="16740454">
      <w:pPr>
        <w:snapToGrid w:val="0"/>
        <w:spacing w:line="48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（一）开标准备</w:t>
      </w:r>
    </w:p>
    <w:p w14:paraId="486E4735">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采购代理机构将在规定的时间和地点进行开标，本项目实行不见面开标，投标人无需前往开标场地，只需在开标时间做好开标准备（如投标文件的解密和投标价格的确认），确保联系方式的畅通。</w:t>
      </w:r>
    </w:p>
    <w:p w14:paraId="4466845C">
      <w:pPr>
        <w:snapToGrid w:val="0"/>
        <w:spacing w:line="46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（二）开标程序</w:t>
      </w:r>
    </w:p>
    <w:p w14:paraId="57642CD2">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1.本项目原则上采用政采云电子招投标系统进行开标及评审，但有下情形之一的，按以下情况处理：</w:t>
      </w:r>
    </w:p>
    <w:p w14:paraId="45428663">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（1）若投标人的电子投标文件在规定时间内无法解密或解密失败，工作人员将开启投标人递交的电子备份投标文件，以完成开标。</w:t>
      </w:r>
    </w:p>
    <w:p w14:paraId="0D68760B">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（2）若投标人的电子投标文件在规定时间内无法解密或解密失败，或者因政采云平台原因无法读取或电子开评标无法正常进行时，工作人员将上传投标人的电子备份投标文件，以完成开标。</w:t>
      </w:r>
    </w:p>
    <w:p w14:paraId="05C81C08">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2.开标及评审程序</w:t>
      </w:r>
    </w:p>
    <w:p w14:paraId="5686DEEF">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（1）投标截止时间后，投标人须登录政采云平台，用“项目采购－开标评标”功能对电子投标文件进行在线解密。在线解密电子投标文件时间为投标截止时间起半个小时内。</w:t>
      </w:r>
    </w:p>
    <w:p w14:paraId="03119448">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（2）由采购人代表对资格审查文件进行评审，评标委员会对商务技术响应文件进行评审；</w:t>
      </w:r>
    </w:p>
    <w:p w14:paraId="422EC77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（3）在系统上公开资格审查和技术商务评审结果；</w:t>
      </w:r>
    </w:p>
    <w:p w14:paraId="0B30FAE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（4）在系统上公开报价开标情况；</w:t>
      </w:r>
    </w:p>
    <w:p w14:paraId="5F68AF9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（5）评标委员会对报价情况进行评审；</w:t>
      </w:r>
    </w:p>
    <w:p w14:paraId="73719F9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（6）在系统上公布评审结果。</w:t>
      </w:r>
    </w:p>
    <w:p w14:paraId="3D0D6ABA">
      <w:pPr>
        <w:snapToGrid w:val="0"/>
        <w:spacing w:line="460" w:lineRule="exact"/>
        <w:ind w:firstLine="480" w:firstLineChars="200"/>
        <w:rPr>
          <w:rFonts w:hint="eastAsia" w:hAnsi="宋体"/>
          <w:b/>
          <w:bCs/>
          <w:color w:val="auto"/>
          <w:sz w:val="24"/>
          <w:highlight w:val="none"/>
        </w:rPr>
      </w:pPr>
      <w:r>
        <w:rPr>
          <w:rFonts w:hint="eastAsia" w:ascii="宋体" w:hAnsi="宋体" w:cs="宋体"/>
          <w:bCs/>
          <w:color w:val="auto"/>
          <w:sz w:val="24"/>
          <w:highlight w:val="none"/>
        </w:rPr>
        <w:t>特别说明：政采云公司如对电子化开标及评审程序有调整的，按调整后的程序操作。</w:t>
      </w:r>
      <w:bookmarkStart w:id="224" w:name="_Toc14743"/>
      <w:bookmarkStart w:id="225" w:name="_Toc6545"/>
      <w:bookmarkStart w:id="226" w:name="_Toc10390"/>
      <w:bookmarkStart w:id="227" w:name="_Toc23660"/>
      <w:bookmarkStart w:id="228" w:name="_Toc21636"/>
    </w:p>
    <w:p w14:paraId="17231DC3">
      <w:pPr>
        <w:adjustRightInd w:val="0"/>
        <w:snapToGrid w:val="0"/>
        <w:spacing w:line="460" w:lineRule="exact"/>
        <w:ind w:firstLine="482" w:firstLineChars="200"/>
        <w:rPr>
          <w:rFonts w:hint="eastAsia" w:hAnsi="宋体"/>
          <w:b/>
          <w:bCs/>
          <w:color w:val="auto"/>
          <w:sz w:val="24"/>
          <w:highlight w:val="none"/>
        </w:rPr>
      </w:pPr>
      <w:r>
        <w:rPr>
          <w:rFonts w:hint="eastAsia" w:hAnsi="宋体"/>
          <w:b/>
          <w:bCs/>
          <w:color w:val="auto"/>
          <w:sz w:val="24"/>
          <w:highlight w:val="none"/>
        </w:rPr>
        <w:t>电子招投标开标及评审程序</w:t>
      </w:r>
      <w:bookmarkEnd w:id="224"/>
      <w:bookmarkEnd w:id="225"/>
      <w:bookmarkEnd w:id="226"/>
      <w:bookmarkEnd w:id="227"/>
      <w:bookmarkEnd w:id="228"/>
    </w:p>
    <w:p w14:paraId="30B5A2A2">
      <w:pPr>
        <w:adjustRightInd w:val="0"/>
        <w:snapToGrid w:val="0"/>
        <w:spacing w:line="460" w:lineRule="exact"/>
        <w:ind w:firstLine="482" w:firstLineChars="200"/>
        <w:rPr>
          <w:rFonts w:hint="eastAsia" w:hAnsi="宋体"/>
          <w:b/>
          <w:bCs/>
          <w:color w:val="auto"/>
          <w:sz w:val="24"/>
          <w:highlight w:val="none"/>
        </w:rPr>
      </w:pPr>
      <w:bookmarkStart w:id="229" w:name="_Toc4002"/>
      <w:bookmarkStart w:id="230" w:name="_Toc18188"/>
      <w:bookmarkStart w:id="231" w:name="_Toc19339"/>
      <w:bookmarkStart w:id="232" w:name="_Toc20711"/>
      <w:bookmarkStart w:id="233" w:name="_Toc29198"/>
      <w:r>
        <w:rPr>
          <w:rFonts w:hint="eastAsia" w:hAnsi="宋体"/>
          <w:b/>
          <w:bCs/>
          <w:color w:val="auto"/>
          <w:sz w:val="24"/>
          <w:highlight w:val="none"/>
        </w:rPr>
        <w:t>1.开标第一阶段</w:t>
      </w:r>
      <w:bookmarkEnd w:id="229"/>
      <w:bookmarkEnd w:id="230"/>
      <w:bookmarkEnd w:id="231"/>
      <w:bookmarkEnd w:id="232"/>
      <w:bookmarkEnd w:id="233"/>
    </w:p>
    <w:p w14:paraId="13B4AC1F">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07BC1D3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（2）开启资格文件、技术商务文件。</w:t>
      </w:r>
    </w:p>
    <w:p w14:paraId="2B104B5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（3）进行资格审查。对通过资格审查的投标人进行符合性审查、技术商务评审；</w:t>
      </w:r>
    </w:p>
    <w:p w14:paraId="67D0F316">
      <w:pPr>
        <w:adjustRightInd w:val="0"/>
        <w:snapToGrid w:val="0"/>
        <w:spacing w:line="460" w:lineRule="exact"/>
        <w:ind w:firstLine="482" w:firstLineChars="200"/>
        <w:rPr>
          <w:rFonts w:hint="eastAsia" w:hAnsi="宋体"/>
          <w:b/>
          <w:bCs/>
          <w:color w:val="auto"/>
          <w:sz w:val="24"/>
          <w:highlight w:val="none"/>
        </w:rPr>
      </w:pPr>
      <w:bookmarkStart w:id="234" w:name="_Toc27486"/>
      <w:bookmarkStart w:id="235" w:name="_Toc2285"/>
      <w:bookmarkStart w:id="236" w:name="_Toc13812"/>
      <w:bookmarkStart w:id="237" w:name="_Toc24502"/>
      <w:bookmarkStart w:id="238" w:name="_Toc28938"/>
      <w:r>
        <w:rPr>
          <w:rFonts w:hint="eastAsia" w:hAnsi="宋体"/>
          <w:b/>
          <w:bCs/>
          <w:color w:val="auto"/>
          <w:sz w:val="24"/>
          <w:highlight w:val="none"/>
        </w:rPr>
        <w:t>2.开标第二阶段</w:t>
      </w:r>
      <w:bookmarkEnd w:id="234"/>
      <w:bookmarkEnd w:id="235"/>
      <w:bookmarkEnd w:id="236"/>
      <w:bookmarkEnd w:id="237"/>
      <w:bookmarkEnd w:id="238"/>
    </w:p>
    <w:p w14:paraId="446D4B0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（1）资格审查、符合性审查、技术商务评审结束后，进入开标第二阶段。</w:t>
      </w:r>
    </w:p>
    <w:p w14:paraId="0A1E63D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（2）通过电子交易平台公布无效供应商名单及导致无效的原因；公布有效供应商的名单及其技术商务得分。</w:t>
      </w:r>
    </w:p>
    <w:p w14:paraId="528B4AE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（3）开启有效供应商的《报价文件》，系统形成开标记录。</w:t>
      </w:r>
    </w:p>
    <w:p w14:paraId="15BE72A9">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（4）价格评审。价格评审结束后，通过电子交易平台公布中标候选供应商名单。</w:t>
      </w:r>
    </w:p>
    <w:p w14:paraId="5E323AEA">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5512D0A0">
      <w:pPr>
        <w:widowControl/>
        <w:spacing w:line="460" w:lineRule="exact"/>
        <w:ind w:firstLine="562" w:firstLineChars="200"/>
        <w:jc w:val="left"/>
        <w:outlineLvl w:val="1"/>
        <w:rPr>
          <w:rFonts w:hint="eastAsia" w:ascii="黑体" w:eastAsia="黑体"/>
          <w:b/>
          <w:bCs/>
          <w:color w:val="auto"/>
          <w:sz w:val="28"/>
          <w:szCs w:val="28"/>
          <w:highlight w:val="none"/>
        </w:rPr>
      </w:pPr>
      <w:bookmarkStart w:id="239" w:name="_Toc26702"/>
      <w:bookmarkStart w:id="240" w:name="_Toc1416"/>
      <w:bookmarkStart w:id="241" w:name="_Toc10900"/>
      <w:bookmarkStart w:id="242" w:name="_Toc8808"/>
      <w:bookmarkStart w:id="243" w:name="_Toc1556"/>
      <w:bookmarkStart w:id="244" w:name="_Toc22281"/>
      <w:bookmarkStart w:id="245" w:name="_Toc21931"/>
      <w:bookmarkStart w:id="246" w:name="_Toc14300"/>
      <w:bookmarkStart w:id="247" w:name="_Toc6712"/>
      <w:bookmarkStart w:id="248" w:name="_Toc18085"/>
      <w:r>
        <w:rPr>
          <w:rFonts w:hint="eastAsia" w:ascii="黑体" w:eastAsia="黑体"/>
          <w:b/>
          <w:bCs/>
          <w:color w:val="auto"/>
          <w:sz w:val="28"/>
          <w:szCs w:val="28"/>
          <w:highlight w:val="none"/>
        </w:rPr>
        <w:t>五、评标</w:t>
      </w:r>
      <w:bookmarkEnd w:id="239"/>
      <w:bookmarkEnd w:id="240"/>
      <w:bookmarkEnd w:id="241"/>
      <w:bookmarkEnd w:id="242"/>
      <w:bookmarkEnd w:id="243"/>
      <w:bookmarkEnd w:id="244"/>
      <w:bookmarkEnd w:id="245"/>
      <w:bookmarkEnd w:id="246"/>
      <w:bookmarkEnd w:id="247"/>
      <w:bookmarkEnd w:id="248"/>
    </w:p>
    <w:p w14:paraId="245757BF">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9" w:name="_Toc30349"/>
      <w:bookmarkStart w:id="250" w:name="_Toc19693"/>
      <w:r>
        <w:rPr>
          <w:rFonts w:hint="eastAsia" w:ascii="宋体" w:hAnsi="宋体" w:cs="宋体"/>
          <w:b/>
          <w:color w:val="auto"/>
          <w:kern w:val="0"/>
          <w:sz w:val="24"/>
          <w:highlight w:val="none"/>
          <w:lang w:bidi="en-US"/>
        </w:rPr>
        <w:t>（一）组建评标委员会</w:t>
      </w:r>
      <w:bookmarkEnd w:id="249"/>
      <w:bookmarkEnd w:id="250"/>
    </w:p>
    <w:p w14:paraId="7942DC11">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本项目评标委员会由政府采购评审专家≧5人单数组成，其中采购人代表不超过评委总数的1/3。</w:t>
      </w:r>
    </w:p>
    <w:p w14:paraId="2870F086">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51" w:name="_Toc25842"/>
      <w:bookmarkStart w:id="252" w:name="_Toc9863"/>
      <w:r>
        <w:rPr>
          <w:rFonts w:hint="eastAsia" w:ascii="宋体" w:hAnsi="宋体" w:cs="宋体"/>
          <w:b/>
          <w:color w:val="auto"/>
          <w:kern w:val="0"/>
          <w:sz w:val="24"/>
          <w:highlight w:val="none"/>
          <w:lang w:bidi="en-US"/>
        </w:rPr>
        <w:t>（二）评标的方式</w:t>
      </w:r>
      <w:bookmarkEnd w:id="251"/>
      <w:bookmarkEnd w:id="252"/>
    </w:p>
    <w:p w14:paraId="4DE23F8E">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本项目采用不公开方式评标，评标的依据为招标文件和投标文件。</w:t>
      </w:r>
    </w:p>
    <w:p w14:paraId="24A98837">
      <w:pPr>
        <w:snapToGrid w:val="0"/>
        <w:spacing w:line="460" w:lineRule="exact"/>
        <w:ind w:firstLine="482" w:firstLineChars="200"/>
        <w:outlineLvl w:val="2"/>
        <w:rPr>
          <w:rFonts w:hint="eastAsia" w:ascii="宋体" w:hAnsi="宋体" w:cs="宋体"/>
          <w:b/>
          <w:bCs/>
          <w:color w:val="auto"/>
          <w:sz w:val="24"/>
          <w:highlight w:val="none"/>
        </w:rPr>
      </w:pPr>
      <w:r>
        <w:rPr>
          <w:rFonts w:hint="eastAsia" w:ascii="宋体" w:hAnsi="宋体" w:cs="宋体"/>
          <w:b/>
          <w:color w:val="auto"/>
          <w:sz w:val="24"/>
          <w:highlight w:val="none"/>
        </w:rPr>
        <w:t>（三）组织</w:t>
      </w:r>
      <w:r>
        <w:rPr>
          <w:rFonts w:hint="eastAsia" w:ascii="宋体" w:hAnsi="宋体" w:cs="宋体"/>
          <w:b/>
          <w:bCs/>
          <w:color w:val="auto"/>
          <w:sz w:val="24"/>
          <w:highlight w:val="none"/>
        </w:rPr>
        <w:t>评标程序</w:t>
      </w:r>
    </w:p>
    <w:p w14:paraId="30CCAC47">
      <w:pPr>
        <w:keepLines/>
        <w:spacing w:line="460" w:lineRule="exact"/>
        <w:ind w:firstLine="480" w:firstLineChars="200"/>
        <w:contextualSpacing/>
        <w:jc w:val="left"/>
        <w:rPr>
          <w:rFonts w:hint="eastAsia" w:ascii="宋体" w:hAnsi="宋体" w:cs="宋体"/>
          <w:color w:val="auto"/>
          <w:sz w:val="24"/>
          <w:highlight w:val="none"/>
        </w:rPr>
      </w:pPr>
      <w:bookmarkStart w:id="253" w:name="_Toc26259"/>
      <w:bookmarkStart w:id="254" w:name="_Toc7123"/>
      <w:r>
        <w:rPr>
          <w:rFonts w:hint="eastAsia" w:ascii="宋体" w:hAnsi="宋体" w:cs="宋体"/>
          <w:color w:val="auto"/>
          <w:sz w:val="24"/>
          <w:highlight w:val="none"/>
        </w:rPr>
        <w:t>1.向各投标</w:t>
      </w:r>
      <w:r>
        <w:rPr>
          <w:rFonts w:hint="eastAsia" w:ascii="宋体" w:hAnsi="宋体"/>
          <w:color w:val="auto"/>
          <w:sz w:val="24"/>
          <w:highlight w:val="none"/>
        </w:rPr>
        <w:t>人</w:t>
      </w:r>
      <w:r>
        <w:rPr>
          <w:rFonts w:hint="eastAsia" w:ascii="宋体" w:hAnsi="宋体" w:cs="宋体"/>
          <w:color w:val="auto"/>
          <w:sz w:val="24"/>
          <w:highlight w:val="none"/>
        </w:rPr>
        <w:t>发出电子加密投标文件【开始解密】通知，由供应商按招标文件规定的时间内自行进行投标文件解密。投标</w:t>
      </w:r>
      <w:r>
        <w:rPr>
          <w:rFonts w:hint="eastAsia" w:ascii="宋体" w:hAnsi="宋体"/>
          <w:color w:val="auto"/>
          <w:sz w:val="24"/>
          <w:highlight w:val="none"/>
        </w:rPr>
        <w:t>人</w:t>
      </w:r>
      <w:r>
        <w:rPr>
          <w:rFonts w:hint="eastAsia" w:ascii="宋体" w:hAnsi="宋体" w:cs="宋体"/>
          <w:color w:val="auto"/>
          <w:sz w:val="24"/>
          <w:highlight w:val="none"/>
        </w:rPr>
        <w:t>在规定的时间内无法完成已递交的“电子加密投标文件”解密的，其投标文件按拒收处理。</w:t>
      </w:r>
      <w:bookmarkEnd w:id="253"/>
      <w:bookmarkEnd w:id="254"/>
    </w:p>
    <w:p w14:paraId="7EF58527">
      <w:pPr>
        <w:keepLines/>
        <w:spacing w:line="460" w:lineRule="exact"/>
        <w:ind w:firstLine="480" w:firstLineChars="200"/>
        <w:contextualSpacing/>
        <w:jc w:val="left"/>
        <w:rPr>
          <w:rFonts w:hint="eastAsia" w:ascii="宋体" w:hAnsi="宋体" w:cs="宋体"/>
          <w:color w:val="auto"/>
          <w:sz w:val="24"/>
          <w:highlight w:val="none"/>
        </w:rPr>
      </w:pPr>
      <w:bookmarkStart w:id="255" w:name="_Toc26963"/>
      <w:bookmarkStart w:id="256" w:name="_Toc31218"/>
      <w:r>
        <w:rPr>
          <w:rFonts w:hint="eastAsia" w:ascii="宋体" w:hAnsi="宋体" w:cs="宋体"/>
          <w:color w:val="auto"/>
          <w:sz w:val="24"/>
          <w:highlight w:val="none"/>
        </w:rPr>
        <w:t>2.投标文件解密结束，开启资格文件，进入资格审查环节，采购人将依法对投标</w:t>
      </w:r>
      <w:r>
        <w:rPr>
          <w:rFonts w:hint="eastAsia" w:ascii="宋体" w:hAnsi="宋体"/>
          <w:color w:val="auto"/>
          <w:sz w:val="24"/>
          <w:highlight w:val="none"/>
        </w:rPr>
        <w:t>人</w:t>
      </w:r>
      <w:r>
        <w:rPr>
          <w:rFonts w:hint="eastAsia" w:ascii="宋体" w:hAnsi="宋体" w:cs="宋体"/>
          <w:color w:val="auto"/>
          <w:sz w:val="24"/>
          <w:highlight w:val="none"/>
        </w:rPr>
        <w:t>的资格进行审查。</w:t>
      </w:r>
      <w:bookmarkEnd w:id="255"/>
      <w:bookmarkEnd w:id="256"/>
    </w:p>
    <w:p w14:paraId="3E6E2E59">
      <w:pPr>
        <w:keepLines/>
        <w:spacing w:line="460" w:lineRule="exact"/>
        <w:ind w:firstLine="480" w:firstLineChars="200"/>
        <w:contextualSpacing/>
        <w:jc w:val="left"/>
        <w:rPr>
          <w:rFonts w:hint="eastAsia" w:ascii="宋体" w:hAnsi="宋体" w:cs="宋体"/>
          <w:color w:val="auto"/>
          <w:sz w:val="24"/>
          <w:highlight w:val="none"/>
        </w:rPr>
      </w:pPr>
      <w:bookmarkStart w:id="257" w:name="_Toc15105"/>
      <w:bookmarkStart w:id="258" w:name="_Toc7579"/>
      <w:r>
        <w:rPr>
          <w:rFonts w:hint="eastAsia" w:ascii="宋体" w:hAnsi="宋体" w:cs="宋体"/>
          <w:color w:val="auto"/>
          <w:sz w:val="24"/>
          <w:highlight w:val="none"/>
        </w:rPr>
        <w:t>3.开启资格审查通过的投标</w:t>
      </w:r>
      <w:r>
        <w:rPr>
          <w:rFonts w:hint="eastAsia" w:ascii="宋体" w:hAnsi="宋体"/>
          <w:color w:val="auto"/>
          <w:sz w:val="24"/>
          <w:highlight w:val="none"/>
        </w:rPr>
        <w:t>人</w:t>
      </w:r>
      <w:r>
        <w:rPr>
          <w:rFonts w:hint="eastAsia" w:ascii="宋体" w:hAnsi="宋体" w:cs="宋体"/>
          <w:color w:val="auto"/>
          <w:sz w:val="24"/>
          <w:highlight w:val="none"/>
        </w:rPr>
        <w:t>的商务技术文件进入符合性审查及商务技术评审。</w:t>
      </w:r>
      <w:bookmarkEnd w:id="257"/>
      <w:bookmarkEnd w:id="258"/>
    </w:p>
    <w:p w14:paraId="4A57A0FF">
      <w:pPr>
        <w:keepLines/>
        <w:spacing w:line="460" w:lineRule="exact"/>
        <w:ind w:firstLine="480" w:firstLineChars="200"/>
        <w:contextualSpacing/>
        <w:jc w:val="left"/>
        <w:rPr>
          <w:rFonts w:hint="eastAsia" w:ascii="宋体" w:hAnsi="宋体" w:cs="宋体"/>
          <w:color w:val="auto"/>
          <w:sz w:val="24"/>
          <w:highlight w:val="none"/>
        </w:rPr>
      </w:pPr>
      <w:bookmarkStart w:id="259" w:name="_Toc4317"/>
      <w:bookmarkStart w:id="260" w:name="_Toc25921"/>
      <w:r>
        <w:rPr>
          <w:rFonts w:hint="eastAsia" w:ascii="宋体" w:hAnsi="宋体" w:cs="宋体"/>
          <w:color w:val="auto"/>
          <w:sz w:val="24"/>
          <w:highlight w:val="none"/>
        </w:rPr>
        <w:t>4.符合性审查、商务技术评审结束后，开启符合性审查、商务技术评审有效投标</w:t>
      </w:r>
      <w:r>
        <w:rPr>
          <w:rFonts w:hint="eastAsia" w:ascii="宋体" w:hAnsi="宋体"/>
          <w:color w:val="auto"/>
          <w:sz w:val="24"/>
          <w:highlight w:val="none"/>
        </w:rPr>
        <w:t>人</w:t>
      </w:r>
      <w:r>
        <w:rPr>
          <w:rFonts w:hint="eastAsia" w:ascii="宋体" w:hAnsi="宋体" w:cs="宋体"/>
          <w:color w:val="auto"/>
          <w:sz w:val="24"/>
          <w:highlight w:val="none"/>
        </w:rPr>
        <w:t>的报价文件。由评标委员会对报价文件的符合性等进行审查核实，对报价进行得分计算。</w:t>
      </w:r>
      <w:bookmarkEnd w:id="259"/>
      <w:bookmarkEnd w:id="260"/>
    </w:p>
    <w:p w14:paraId="0B0A7C44">
      <w:pPr>
        <w:keepLines/>
        <w:spacing w:line="460" w:lineRule="exact"/>
        <w:ind w:firstLine="480" w:firstLineChars="200"/>
        <w:contextualSpacing/>
        <w:jc w:val="left"/>
        <w:rPr>
          <w:rFonts w:hint="eastAsia" w:ascii="宋体" w:hAnsi="宋体" w:cs="宋体"/>
          <w:color w:val="auto"/>
          <w:sz w:val="24"/>
          <w:highlight w:val="none"/>
        </w:rPr>
      </w:pPr>
      <w:bookmarkStart w:id="261" w:name="_Toc4982"/>
      <w:bookmarkStart w:id="262" w:name="_Toc16740"/>
      <w:r>
        <w:rPr>
          <w:rFonts w:hint="eastAsia" w:ascii="宋体" w:hAnsi="宋体" w:cs="宋体"/>
          <w:color w:val="auto"/>
          <w:sz w:val="24"/>
          <w:highlight w:val="none"/>
        </w:rPr>
        <w:t>5.根据各投标供应商综合得分从高到低进行排序，推荐中标候选</w:t>
      </w:r>
      <w:r>
        <w:rPr>
          <w:rFonts w:hint="eastAsia" w:ascii="宋体" w:hAnsi="宋体"/>
          <w:color w:val="auto"/>
          <w:sz w:val="24"/>
          <w:highlight w:val="none"/>
        </w:rPr>
        <w:t>人</w:t>
      </w:r>
      <w:r>
        <w:rPr>
          <w:rFonts w:hint="eastAsia" w:ascii="宋体" w:hAnsi="宋体" w:cs="宋体"/>
          <w:color w:val="auto"/>
          <w:sz w:val="24"/>
          <w:highlight w:val="none"/>
        </w:rPr>
        <w:t>；综合得分最高的供应商推荐为中标</w:t>
      </w:r>
      <w:r>
        <w:rPr>
          <w:rFonts w:hint="eastAsia" w:ascii="宋体" w:hAnsi="宋体"/>
          <w:color w:val="auto"/>
          <w:sz w:val="24"/>
          <w:highlight w:val="none"/>
        </w:rPr>
        <w:t>人</w:t>
      </w:r>
      <w:r>
        <w:rPr>
          <w:rFonts w:hint="eastAsia" w:ascii="宋体" w:hAnsi="宋体" w:cs="宋体"/>
          <w:color w:val="auto"/>
          <w:sz w:val="24"/>
          <w:highlight w:val="none"/>
        </w:rPr>
        <w:t>。</w:t>
      </w:r>
      <w:bookmarkEnd w:id="261"/>
      <w:bookmarkEnd w:id="262"/>
    </w:p>
    <w:p w14:paraId="2ACAA7EF">
      <w:pPr>
        <w:keepLines/>
        <w:spacing w:line="460" w:lineRule="exact"/>
        <w:ind w:firstLine="480" w:firstLineChars="200"/>
        <w:contextualSpacing/>
        <w:jc w:val="left"/>
        <w:rPr>
          <w:rFonts w:hint="eastAsia" w:ascii="宋体" w:hAnsi="宋体" w:cs="宋体"/>
          <w:color w:val="auto"/>
          <w:sz w:val="24"/>
          <w:highlight w:val="none"/>
        </w:rPr>
      </w:pPr>
      <w:bookmarkStart w:id="263" w:name="_Toc18939"/>
      <w:bookmarkStart w:id="264" w:name="_Toc32009"/>
      <w:r>
        <w:rPr>
          <w:rFonts w:hint="eastAsia" w:ascii="宋体" w:hAnsi="宋体" w:cs="宋体"/>
          <w:color w:val="auto"/>
          <w:sz w:val="24"/>
          <w:highlight w:val="none"/>
        </w:rPr>
        <w:t>6.由评标委员会向采购人推荐综合得分第一名的供应商为中标</w:t>
      </w:r>
      <w:r>
        <w:rPr>
          <w:rFonts w:hint="eastAsia" w:ascii="宋体" w:hAnsi="宋体"/>
          <w:color w:val="auto"/>
          <w:sz w:val="24"/>
          <w:highlight w:val="none"/>
        </w:rPr>
        <w:t>人</w:t>
      </w:r>
      <w:r>
        <w:rPr>
          <w:rFonts w:hint="eastAsia" w:ascii="宋体" w:hAnsi="宋体" w:cs="宋体"/>
          <w:color w:val="auto"/>
          <w:sz w:val="24"/>
          <w:highlight w:val="none"/>
        </w:rPr>
        <w:t>，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65B72125">
      <w:pPr>
        <w:keepLines/>
        <w:spacing w:line="460" w:lineRule="exact"/>
        <w:ind w:firstLine="480" w:firstLineChars="200"/>
        <w:contextualSpacing/>
        <w:jc w:val="left"/>
        <w:rPr>
          <w:rFonts w:hint="eastAsia" w:ascii="宋体" w:hAnsi="宋体" w:cs="宋体"/>
          <w:b/>
          <w:color w:val="auto"/>
          <w:kern w:val="0"/>
          <w:sz w:val="24"/>
          <w:highlight w:val="none"/>
          <w:lang w:bidi="en-US"/>
        </w:rPr>
      </w:pPr>
      <w:r>
        <w:rPr>
          <w:rFonts w:hint="eastAsia" w:ascii="宋体" w:hAnsi="宋体" w:cs="宋体"/>
          <w:color w:val="auto"/>
          <w:sz w:val="24"/>
          <w:highlight w:val="none"/>
        </w:rPr>
        <w:t>7.评审结束后，公布采购结果。</w:t>
      </w:r>
      <w:bookmarkEnd w:id="263"/>
      <w:bookmarkEnd w:id="264"/>
    </w:p>
    <w:p w14:paraId="15A31815">
      <w:pPr>
        <w:widowControl/>
        <w:spacing w:line="44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（四）</w:t>
      </w:r>
      <w:r>
        <w:rPr>
          <w:rFonts w:hint="eastAsia" w:ascii="宋体" w:hAnsi="宋体" w:cs="宋体"/>
          <w:b/>
          <w:color w:val="auto"/>
          <w:kern w:val="0"/>
          <w:sz w:val="24"/>
          <w:highlight w:val="none"/>
          <w:lang w:bidi="en-US"/>
        </w:rPr>
        <w:t>评审纪律和要求</w:t>
      </w:r>
    </w:p>
    <w:p w14:paraId="58B2A3D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1.评审专家必须公平、公正评审，遵纪守法，客观、廉洁地履行职责。</w:t>
      </w:r>
    </w:p>
    <w:p w14:paraId="0CF4074D">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2.评审专家在评审开始前，应关闭并上交随身携带的各种通信工具。</w:t>
      </w:r>
    </w:p>
    <w:p w14:paraId="7653886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3.评审专家在评审过程中，未经许可不得中途离开评审现场，不得迟到早退。</w:t>
      </w:r>
    </w:p>
    <w:p w14:paraId="219255F1">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4.评审专家和工作人员不得透露评审过程中的讨论情况和评审结果。</w:t>
      </w:r>
    </w:p>
    <w:p w14:paraId="6A184F9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E29C5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6.采购人、采购代理机构不得向评审委员会的评审专家作倾向性、误导性的解释或者说明。</w:t>
      </w:r>
    </w:p>
    <w:p w14:paraId="5C21C15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41BD30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8.评审专家在评审过程中不得将自己的观点强加给其他评审专家，评审专家应自主发表见解，对评审意见承担个人责任。</w:t>
      </w:r>
    </w:p>
    <w:p w14:paraId="5B20DD0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8D47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0B89FC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11.评审专家应当遵守评审工作纪律，不得泄露评审文件、评审情况和评审中获悉的商业秘密。</w:t>
      </w:r>
    </w:p>
    <w:p w14:paraId="38B6B6D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评审委员会在评审过程中发现投标人有行贿、提供虚假材料或者串通等违法行为的，应当及时向财政部门报告。</w:t>
      </w:r>
    </w:p>
    <w:p w14:paraId="2EA611EC">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12.招标文件内容违反国家有关强制性规定的，评审委员会应当停止评审并向采购代理机构说明情况。</w:t>
      </w:r>
    </w:p>
    <w:p w14:paraId="20092B9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13.评审专家应当配合采购代理机构答复投标人提出的质疑。</w:t>
      </w:r>
    </w:p>
    <w:p w14:paraId="5D02E99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14.评审专家应当配合财政部门的投诉处理工作。</w:t>
      </w:r>
    </w:p>
    <w:p w14:paraId="782A56F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15.评审专家有如下行为之一的，责令改正，给予警告，可以并处一千元以下的罚款：</w:t>
      </w:r>
    </w:p>
    <w:p w14:paraId="5E136F5F">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①明知应当回避而未主动回避的；</w:t>
      </w:r>
    </w:p>
    <w:p w14:paraId="6A6B579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②在得知自己为评审专家身份后至评审结束前时段内私下接触投标人的；</w:t>
      </w:r>
    </w:p>
    <w:p w14:paraId="5F92389A">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③在评审过程中擅离职守，影响评审程序正常进行的；</w:t>
      </w:r>
    </w:p>
    <w:p w14:paraId="5E15334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④在评审过程有明显不合理或者不正当倾向性的；</w:t>
      </w:r>
    </w:p>
    <w:p w14:paraId="2447B0A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⑤未按招标文件规定的评审方法和标准进行评审的。</w:t>
      </w:r>
    </w:p>
    <w:p w14:paraId="193E9DD2">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⑥上述①至⑤行为影响中标结果的，中标结果无效。</w:t>
      </w:r>
    </w:p>
    <w:p w14:paraId="46245456">
      <w:pPr>
        <w:pStyle w:val="528"/>
        <w:spacing w:before="0" w:after="0" w:line="440" w:lineRule="exact"/>
        <w:ind w:firstLine="480" w:firstLineChars="200"/>
        <w:rPr>
          <w:rFonts w:hint="eastAsia"/>
          <w:color w:val="auto"/>
          <w:highlight w:val="none"/>
        </w:rPr>
      </w:pPr>
      <w:r>
        <w:rPr>
          <w:rFonts w:hint="eastAsia" w:ascii="宋体" w:hAnsi="宋体" w:cs="宋体"/>
          <w:color w:val="auto"/>
          <w:highlight w:val="none"/>
        </w:rPr>
        <w:t>16.政府采购评审专家未按照招标文件规定的评审程序、评审方法和评审标准进行独立评审或者泄露评审文件、评审</w:t>
      </w:r>
      <w:r>
        <w:rPr>
          <w:rFonts w:hint="eastAsia"/>
          <w:color w:val="auto"/>
          <w:highlight w:val="none"/>
        </w:rPr>
        <w:t>情况的，由财政部门给予警告，并处2000元以上2万元以下的罚款；影响中标、成交结果的，处2万元以上5万元以下的罚款，禁止其参加政府采购评审活动。</w:t>
      </w:r>
    </w:p>
    <w:p w14:paraId="44A02713">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政府采购评审专家与投标人存在利害关系未回避的，处2万元以上5万元以下的罚款，禁止其参加政府采购评审活动。</w:t>
      </w:r>
    </w:p>
    <w:p w14:paraId="7C42AF14">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40F1A3E">
      <w:pPr>
        <w:pStyle w:val="528"/>
        <w:spacing w:before="0" w:after="0" w:line="440" w:lineRule="exact"/>
        <w:ind w:firstLine="480" w:firstLineChars="200"/>
        <w:rPr>
          <w:rFonts w:hint="eastAsia" w:ascii="宋体" w:hAnsi="宋体"/>
          <w:b/>
          <w:bCs/>
          <w:color w:val="auto"/>
          <w:highlight w:val="none"/>
        </w:rPr>
      </w:pPr>
      <w:r>
        <w:rPr>
          <w:rFonts w:hint="eastAsia"/>
          <w:color w:val="auto"/>
          <w:highlight w:val="none"/>
        </w:rPr>
        <w:t>政府采购评审专家有上述违法行为的，其评审意见无效，不得获取评审费；有违法所得的，没收违法所得；给他人造成损失的，依法承担民事责任。</w:t>
      </w:r>
    </w:p>
    <w:p w14:paraId="248E3857">
      <w:pPr>
        <w:widowControl/>
        <w:spacing w:line="46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（五）澄清问题的形式</w:t>
      </w:r>
    </w:p>
    <w:p w14:paraId="418182AB">
      <w:pPr>
        <w:widowControl/>
        <w:spacing w:line="460" w:lineRule="exact"/>
        <w:ind w:firstLine="480" w:firstLineChars="200"/>
        <w:jc w:val="left"/>
        <w:rPr>
          <w:rFonts w:hint="eastAsia" w:ascii="宋体" w:hAnsi="宋体"/>
          <w:color w:val="auto"/>
          <w:sz w:val="24"/>
          <w:highlight w:val="none"/>
        </w:rPr>
      </w:pPr>
      <w:bookmarkStart w:id="265" w:name="_Toc32057"/>
      <w:bookmarkStart w:id="266" w:name="_Toc24183"/>
      <w:bookmarkStart w:id="267" w:name="_Toc12786"/>
      <w:bookmarkStart w:id="268" w:name="_Toc3131"/>
      <w:bookmarkStart w:id="269" w:name="_Toc30178"/>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5"/>
      <w:bookmarkEnd w:id="266"/>
      <w:bookmarkEnd w:id="267"/>
      <w:bookmarkEnd w:id="268"/>
      <w:bookmarkEnd w:id="269"/>
    </w:p>
    <w:p w14:paraId="573A3CDD">
      <w:pPr>
        <w:keepLines/>
        <w:spacing w:line="460" w:lineRule="exact"/>
        <w:ind w:firstLine="482" w:firstLineChars="200"/>
        <w:contextualSpacing/>
        <w:jc w:val="left"/>
        <w:outlineLvl w:val="2"/>
        <w:rPr>
          <w:rFonts w:ascii="宋体" w:hAnsi="宋体"/>
          <w:b/>
          <w:color w:val="auto"/>
          <w:kern w:val="0"/>
          <w:sz w:val="24"/>
          <w:highlight w:val="none"/>
          <w:lang w:bidi="en-US"/>
        </w:rPr>
      </w:pPr>
      <w:bookmarkStart w:id="270" w:name="_Toc4098"/>
      <w:bookmarkStart w:id="271" w:name="_Toc21438"/>
      <w:r>
        <w:rPr>
          <w:rFonts w:ascii="宋体" w:hAnsi="宋体"/>
          <w:b/>
          <w:color w:val="auto"/>
          <w:kern w:val="0"/>
          <w:sz w:val="24"/>
          <w:highlight w:val="none"/>
          <w:lang w:bidi="en-US"/>
        </w:rPr>
        <w:t>（</w:t>
      </w:r>
      <w:r>
        <w:rPr>
          <w:rFonts w:hint="eastAsia" w:ascii="宋体" w:hAnsi="宋体"/>
          <w:b/>
          <w:color w:val="auto"/>
          <w:kern w:val="0"/>
          <w:sz w:val="24"/>
          <w:highlight w:val="none"/>
          <w:lang w:bidi="en-US"/>
        </w:rPr>
        <w:t>六</w:t>
      </w:r>
      <w:r>
        <w:rPr>
          <w:rFonts w:ascii="宋体" w:hAnsi="宋体"/>
          <w:b/>
          <w:color w:val="auto"/>
          <w:kern w:val="0"/>
          <w:sz w:val="24"/>
          <w:highlight w:val="none"/>
          <w:lang w:bidi="en-US"/>
        </w:rPr>
        <w:t>）错误修正</w:t>
      </w:r>
      <w:bookmarkEnd w:id="270"/>
      <w:bookmarkEnd w:id="271"/>
    </w:p>
    <w:p w14:paraId="1A441E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14:paraId="6D2CCD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14:paraId="4364D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14:paraId="4415F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1DB5BD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187EE8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5.对不同文字文本投标文件的解释发生异议的，以中文文本为准。</w:t>
      </w:r>
      <w:bookmarkStart w:id="272" w:name="_Toc5602"/>
      <w:bookmarkStart w:id="273" w:name="_Toc32392"/>
    </w:p>
    <w:p w14:paraId="3C4651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6.在电子投标系统中显示的金额与投标文件的金额不一致时，以投标文件的金额为准。</w:t>
      </w:r>
    </w:p>
    <w:p w14:paraId="48B8CA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72"/>
      <w:bookmarkEnd w:id="273"/>
      <w:bookmarkStart w:id="274" w:name="_Toc29304"/>
      <w:bookmarkStart w:id="275" w:name="_Toc16478"/>
      <w:bookmarkStart w:id="276" w:name="_Toc8736"/>
      <w:bookmarkStart w:id="277" w:name="_Toc12959"/>
      <w:bookmarkStart w:id="278" w:name="_Toc31002"/>
      <w:bookmarkStart w:id="279" w:name="_Toc23828"/>
      <w:bookmarkStart w:id="280" w:name="_Toc6194"/>
      <w:bookmarkStart w:id="281" w:name="_Toc9938"/>
      <w:bookmarkStart w:id="282" w:name="_Toc23938"/>
      <w:bookmarkStart w:id="283" w:name="_Toc21770"/>
    </w:p>
    <w:p w14:paraId="3ED45CCC">
      <w:pPr>
        <w:snapToGrid w:val="0"/>
        <w:spacing w:line="400" w:lineRule="exact"/>
        <w:ind w:firstLine="482" w:firstLineChars="200"/>
        <w:outlineLvl w:val="2"/>
        <w:rPr>
          <w:rFonts w:hint="eastAsia" w:ascii="宋体" w:hAnsi="宋体"/>
          <w:b/>
          <w:bCs/>
          <w:color w:val="auto"/>
          <w:sz w:val="24"/>
          <w:highlight w:val="none"/>
        </w:rPr>
      </w:pPr>
      <w:r>
        <w:rPr>
          <w:rFonts w:hint="eastAsia" w:ascii="宋体" w:hAnsi="宋体"/>
          <w:b/>
          <w:bCs/>
          <w:color w:val="auto"/>
          <w:sz w:val="24"/>
          <w:highlight w:val="none"/>
        </w:rPr>
        <w:t>（七）评标原则和评标办法</w:t>
      </w:r>
    </w:p>
    <w:p w14:paraId="167289DB">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EF48A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2.评标办法。本项目评标办法是 综合评分法 ，具体评标内容及评分标准等详见《评标办法及评分标准》。</w:t>
      </w:r>
    </w:p>
    <w:p w14:paraId="4D60B11E">
      <w:pPr>
        <w:widowControl/>
        <w:spacing w:line="46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六、采购方式变更</w:t>
      </w:r>
      <w:bookmarkEnd w:id="274"/>
      <w:bookmarkEnd w:id="275"/>
      <w:bookmarkEnd w:id="276"/>
      <w:bookmarkEnd w:id="277"/>
      <w:bookmarkEnd w:id="278"/>
      <w:bookmarkEnd w:id="279"/>
      <w:bookmarkEnd w:id="280"/>
      <w:bookmarkEnd w:id="281"/>
      <w:bookmarkEnd w:id="282"/>
      <w:bookmarkEnd w:id="283"/>
    </w:p>
    <w:p w14:paraId="5353B4F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采购响应截止时间止或评审期间，出现参与采购响应或者对招标文件作出实质性响应的供应商不足3家的情况，原则上应终止采购活动，重新组织采购。</w:t>
      </w:r>
    </w:p>
    <w:p w14:paraId="7491D5D7">
      <w:pPr>
        <w:widowControl/>
        <w:spacing w:line="460" w:lineRule="exact"/>
        <w:ind w:firstLine="562" w:firstLineChars="200"/>
        <w:jc w:val="left"/>
        <w:outlineLvl w:val="1"/>
        <w:rPr>
          <w:rFonts w:hint="eastAsia" w:ascii="黑体" w:eastAsia="黑体"/>
          <w:b/>
          <w:bCs/>
          <w:color w:val="auto"/>
          <w:sz w:val="28"/>
          <w:szCs w:val="28"/>
          <w:highlight w:val="none"/>
        </w:rPr>
      </w:pPr>
      <w:bookmarkStart w:id="284" w:name="_Toc15643"/>
      <w:bookmarkStart w:id="285" w:name="_Toc1505"/>
      <w:bookmarkStart w:id="286" w:name="_Toc21419"/>
      <w:bookmarkStart w:id="287" w:name="_Toc14572"/>
      <w:bookmarkStart w:id="288" w:name="_Toc11020"/>
      <w:bookmarkStart w:id="289" w:name="_Toc14250"/>
      <w:bookmarkStart w:id="290" w:name="_Toc27001"/>
      <w:bookmarkStart w:id="291" w:name="_Toc11850"/>
      <w:bookmarkStart w:id="292" w:name="_Toc1684"/>
      <w:bookmarkStart w:id="293" w:name="_Toc23525"/>
      <w:r>
        <w:rPr>
          <w:rFonts w:hint="eastAsia" w:ascii="黑体" w:eastAsia="黑体"/>
          <w:b/>
          <w:bCs/>
          <w:color w:val="auto"/>
          <w:sz w:val="28"/>
          <w:szCs w:val="28"/>
          <w:highlight w:val="none"/>
        </w:rPr>
        <w:t>七、定标</w:t>
      </w:r>
      <w:bookmarkEnd w:id="284"/>
      <w:bookmarkEnd w:id="285"/>
      <w:bookmarkEnd w:id="286"/>
      <w:bookmarkEnd w:id="287"/>
      <w:bookmarkEnd w:id="288"/>
      <w:bookmarkEnd w:id="289"/>
      <w:bookmarkEnd w:id="290"/>
      <w:bookmarkEnd w:id="291"/>
      <w:bookmarkEnd w:id="292"/>
      <w:bookmarkEnd w:id="293"/>
    </w:p>
    <w:p w14:paraId="631CE0A1">
      <w:pPr>
        <w:snapToGrid w:val="0"/>
        <w:spacing w:line="440" w:lineRule="exact"/>
        <w:ind w:firstLine="482" w:firstLineChars="200"/>
        <w:rPr>
          <w:rStyle w:val="201"/>
          <w:rFonts w:hint="eastAsia" w:ascii="宋体" w:hAnsi="宋体"/>
          <w:b/>
          <w:bCs/>
          <w:color w:val="auto"/>
          <w:sz w:val="24"/>
          <w:highlight w:val="none"/>
        </w:rPr>
      </w:pPr>
      <w:r>
        <w:rPr>
          <w:rStyle w:val="201"/>
          <w:rFonts w:hint="eastAsia" w:ascii="宋体" w:hAnsi="宋体"/>
          <w:b/>
          <w:bCs/>
          <w:color w:val="auto"/>
          <w:sz w:val="24"/>
          <w:highlight w:val="none"/>
        </w:rPr>
        <w:t>（一）采购项目需要落实的政府采购政策</w:t>
      </w:r>
    </w:p>
    <w:p w14:paraId="4C39BDAD">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DADDA8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2.支持绿色发展</w:t>
      </w:r>
    </w:p>
    <w:p w14:paraId="64D1BB9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D4667E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B092E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3.支持创新发展</w:t>
      </w:r>
    </w:p>
    <w:p w14:paraId="6A926A0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3.1 采购人优先采购被认定为首台套产品和“制造精品”的自主创新产品。</w:t>
      </w:r>
    </w:p>
    <w:p w14:paraId="5B9DD6D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F558F">
      <w:pPr>
        <w:spacing w:line="440" w:lineRule="exact"/>
        <w:ind w:firstLine="480" w:firstLineChars="200"/>
        <w:rPr>
          <w:rStyle w:val="201"/>
          <w:rFonts w:ascii="宋体" w:hAnsi="宋体"/>
          <w:b/>
          <w:bCs/>
          <w:color w:val="auto"/>
          <w:sz w:val="24"/>
          <w:highlight w:val="none"/>
        </w:rPr>
      </w:pPr>
      <w:r>
        <w:rPr>
          <w:rFonts w:hint="eastAsia" w:ascii="宋体" w:hAnsi="宋体"/>
          <w:color w:val="auto"/>
          <w:sz w:val="24"/>
          <w:highlight w:val="none"/>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7399298">
      <w:pPr>
        <w:snapToGrid w:val="0"/>
        <w:spacing w:line="460" w:lineRule="exact"/>
        <w:ind w:firstLine="482" w:firstLineChars="200"/>
        <w:rPr>
          <w:rStyle w:val="201"/>
          <w:rFonts w:ascii="宋体" w:hAnsi="宋体"/>
          <w:b/>
          <w:bCs/>
          <w:color w:val="auto"/>
          <w:sz w:val="24"/>
          <w:highlight w:val="none"/>
        </w:rPr>
      </w:pPr>
      <w:r>
        <w:rPr>
          <w:rStyle w:val="201"/>
          <w:rFonts w:ascii="宋体" w:hAnsi="宋体"/>
          <w:b/>
          <w:bCs/>
          <w:color w:val="auto"/>
          <w:sz w:val="24"/>
          <w:highlight w:val="none"/>
        </w:rPr>
        <w:t>（</w:t>
      </w:r>
      <w:r>
        <w:rPr>
          <w:rStyle w:val="201"/>
          <w:rFonts w:hint="eastAsia" w:ascii="宋体" w:hAnsi="宋体"/>
          <w:b/>
          <w:bCs/>
          <w:color w:val="auto"/>
          <w:sz w:val="24"/>
          <w:highlight w:val="none"/>
        </w:rPr>
        <w:t>二</w:t>
      </w:r>
      <w:r>
        <w:rPr>
          <w:rStyle w:val="201"/>
          <w:rFonts w:ascii="宋体" w:hAnsi="宋体"/>
          <w:b/>
          <w:bCs/>
          <w:color w:val="auto"/>
          <w:sz w:val="24"/>
          <w:highlight w:val="none"/>
        </w:rPr>
        <w:t>）</w:t>
      </w:r>
      <w:r>
        <w:rPr>
          <w:rFonts w:hint="eastAsia" w:ascii="宋体" w:hAnsi="宋体"/>
          <w:b/>
          <w:bCs/>
          <w:color w:val="auto"/>
          <w:sz w:val="24"/>
          <w:highlight w:val="none"/>
        </w:rPr>
        <w:t>确定中标人。本项目由采购人（或采购人事先授权评标委员会）确定中标人。</w:t>
      </w:r>
    </w:p>
    <w:p w14:paraId="50DB1344">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2886CDD">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（1）排名第一的候选供应商，因自身原因放弃中标或因不可抗力不能履行合同的；</w:t>
      </w:r>
    </w:p>
    <w:p w14:paraId="01997E1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（2）经质疑，采购人审查确认因排名第一的候选供应商在本次采购活动中存在违法违规行为或其他原因使质疑成立的。</w:t>
      </w:r>
    </w:p>
    <w:p w14:paraId="61477DC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5860898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3.采购人或采购代理机构应当自中标、成交供应商确定之日起2个工作日内，发出中标、成交通知书，并在省级以上人民政府财政部门指定的媒体上公告中标、成交结果。</w:t>
      </w:r>
    </w:p>
    <w:p w14:paraId="574C35C3">
      <w:pPr>
        <w:widowControl/>
        <w:spacing w:line="460" w:lineRule="exact"/>
        <w:ind w:firstLine="562" w:firstLineChars="200"/>
        <w:jc w:val="left"/>
        <w:outlineLvl w:val="1"/>
        <w:rPr>
          <w:rFonts w:hint="eastAsia" w:ascii="黑体" w:eastAsia="黑体"/>
          <w:b/>
          <w:bCs/>
          <w:color w:val="auto"/>
          <w:sz w:val="28"/>
          <w:szCs w:val="28"/>
          <w:highlight w:val="none"/>
        </w:rPr>
      </w:pPr>
      <w:bookmarkStart w:id="294" w:name="_Toc5811"/>
      <w:bookmarkStart w:id="295" w:name="_Toc3374"/>
      <w:bookmarkStart w:id="296" w:name="_Toc14974"/>
      <w:bookmarkStart w:id="297" w:name="_Toc26656"/>
      <w:bookmarkStart w:id="298" w:name="_Toc5149"/>
      <w:bookmarkStart w:id="299" w:name="_Toc21600"/>
      <w:bookmarkStart w:id="300" w:name="_Toc2686"/>
      <w:bookmarkStart w:id="301" w:name="_Toc25532"/>
      <w:bookmarkStart w:id="302" w:name="_Toc9407"/>
      <w:bookmarkStart w:id="303" w:name="_Toc27066"/>
      <w:r>
        <w:rPr>
          <w:rFonts w:hint="eastAsia" w:ascii="黑体" w:eastAsia="黑体"/>
          <w:b/>
          <w:bCs/>
          <w:color w:val="auto"/>
          <w:sz w:val="28"/>
          <w:szCs w:val="28"/>
          <w:highlight w:val="none"/>
        </w:rPr>
        <w:t>八、合同授予</w:t>
      </w:r>
      <w:bookmarkEnd w:id="294"/>
      <w:bookmarkEnd w:id="295"/>
      <w:bookmarkEnd w:id="296"/>
      <w:bookmarkEnd w:id="297"/>
      <w:bookmarkEnd w:id="298"/>
      <w:bookmarkEnd w:id="299"/>
      <w:bookmarkEnd w:id="300"/>
      <w:bookmarkEnd w:id="301"/>
      <w:bookmarkEnd w:id="302"/>
      <w:bookmarkEnd w:id="303"/>
    </w:p>
    <w:p w14:paraId="25E9A2F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合同的签订</w:t>
      </w:r>
    </w:p>
    <w:p w14:paraId="33F9762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1.1除不可抗力等特殊情况外，采购人原则上应当在中标通知书发出之日起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日内，与成交人按照采购文件确定的事项签订政府采购合同，并在签订之日起2个工作日内将政府采购合同在浙江政府采购网上公告。</w:t>
      </w:r>
    </w:p>
    <w:p w14:paraId="25B4BD1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6196D18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1.3如签订合同并生效后，供应商无故拒绝或延期，除按照合同条款处理外，列入不良行为记录一次，并给予通报。</w:t>
      </w:r>
    </w:p>
    <w:p w14:paraId="6D705CB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1.4成交人拒绝与采购人签订合同的，采购人可以按照评审报告推荐的中标或者成交候选人名单排序，确定下一候选人为成交人，也可以重新开展政府采购活动。</w:t>
      </w:r>
    </w:p>
    <w:p w14:paraId="163D8F0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1.5采购合同由采购人与成交人根据采购文件、投标响应文件等内容通过政府采购电子交易平台在线签订，自动备案。</w:t>
      </w:r>
    </w:p>
    <w:p w14:paraId="2F9A011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1.6政府采购货物和服务项目不得收取质量保证金。政府采购工程以及与工程建设有关的货物、服务，采用招标方式采购的，按国家和省有关规定执行。</w:t>
      </w:r>
    </w:p>
    <w:p w14:paraId="608B805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2.履约保证金</w:t>
      </w:r>
    </w:p>
    <w:p w14:paraId="72FC0FE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104927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88DD8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3.采购人与中标人应当在《中标通知书》发出之日起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日内签订政府采购合同。同时，采购代理机构对合同内容进行审查，如发现与采购结果和投标承诺内容不一致的，应予以纠正。</w:t>
      </w:r>
    </w:p>
    <w:p w14:paraId="5911B5B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4.合同正本一式六份，采购单位与中标人各执两份，</w:t>
      </w:r>
      <w:r>
        <w:rPr>
          <w:rFonts w:hint="eastAsia" w:ascii="宋体" w:hAnsi="宋体"/>
          <w:color w:val="auto"/>
          <w:sz w:val="24"/>
          <w:highlight w:val="none"/>
          <w:lang w:eastAsia="zh-CN"/>
        </w:rPr>
        <w:t>浙江诚远工程咨询有限公司</w:t>
      </w:r>
      <w:r>
        <w:rPr>
          <w:rFonts w:hint="eastAsia" w:ascii="宋体" w:hAnsi="宋体"/>
          <w:color w:val="auto"/>
          <w:sz w:val="24"/>
          <w:highlight w:val="none"/>
        </w:rPr>
        <w:t>、磐安县财政局采购监管科各执一份。</w:t>
      </w:r>
    </w:p>
    <w:p w14:paraId="677262E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5.中标人拖延、拒签合同的，将被取消中标资格。</w:t>
      </w:r>
    </w:p>
    <w:p w14:paraId="63D15F56">
      <w:pPr>
        <w:widowControl/>
        <w:spacing w:line="460" w:lineRule="exact"/>
        <w:ind w:firstLine="562" w:firstLineChars="200"/>
        <w:jc w:val="left"/>
        <w:outlineLvl w:val="1"/>
        <w:rPr>
          <w:rFonts w:hint="eastAsia" w:ascii="黑体" w:eastAsia="黑体"/>
          <w:b/>
          <w:bCs/>
          <w:color w:val="auto"/>
          <w:sz w:val="28"/>
          <w:szCs w:val="28"/>
          <w:highlight w:val="none"/>
        </w:rPr>
      </w:pPr>
      <w:bookmarkStart w:id="304" w:name="_Toc32478"/>
      <w:bookmarkStart w:id="305" w:name="_Toc22294"/>
      <w:bookmarkStart w:id="306" w:name="_Toc21062"/>
      <w:bookmarkStart w:id="307" w:name="_Toc25670"/>
      <w:bookmarkStart w:id="308" w:name="_Toc22748"/>
      <w:bookmarkStart w:id="309" w:name="_Toc23229"/>
      <w:bookmarkStart w:id="310" w:name="_Toc20978"/>
      <w:bookmarkStart w:id="311" w:name="_Toc11661"/>
      <w:bookmarkStart w:id="312" w:name="_Toc9798"/>
      <w:bookmarkStart w:id="313" w:name="_Toc19699"/>
      <w:r>
        <w:rPr>
          <w:rFonts w:hint="eastAsia" w:ascii="黑体" w:eastAsia="黑体"/>
          <w:b/>
          <w:bCs/>
          <w:color w:val="auto"/>
          <w:sz w:val="28"/>
          <w:szCs w:val="28"/>
          <w:highlight w:val="none"/>
        </w:rPr>
        <w:t>九、质疑与投诉</w:t>
      </w:r>
      <w:bookmarkEnd w:id="304"/>
      <w:bookmarkEnd w:id="305"/>
      <w:bookmarkEnd w:id="306"/>
      <w:bookmarkEnd w:id="307"/>
      <w:bookmarkEnd w:id="308"/>
      <w:bookmarkEnd w:id="309"/>
      <w:bookmarkEnd w:id="310"/>
      <w:bookmarkEnd w:id="311"/>
      <w:bookmarkEnd w:id="312"/>
      <w:bookmarkEnd w:id="313"/>
    </w:p>
    <w:p w14:paraId="3FA6ED33">
      <w:pPr>
        <w:pStyle w:val="528"/>
        <w:spacing w:before="0" w:after="0" w:line="460" w:lineRule="exact"/>
        <w:ind w:firstLine="480" w:firstLineChars="200"/>
        <w:rPr>
          <w:rFonts w:hint="eastAsia"/>
          <w:color w:val="auto"/>
          <w:highlight w:val="none"/>
        </w:rPr>
      </w:pPr>
      <w:r>
        <w:rPr>
          <w:rFonts w:hint="eastAsia"/>
          <w:color w:val="auto"/>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23"/>
    </w:p>
    <w:p w14:paraId="69DDDC15">
      <w:pPr>
        <w:pStyle w:val="3"/>
        <w:spacing w:line="360" w:lineRule="auto"/>
        <w:jc w:val="center"/>
        <w:rPr>
          <w:rFonts w:hint="eastAsia" w:ascii="宋体" w:hAnsi="宋体" w:cs="宋体"/>
          <w:b w:val="0"/>
          <w:color w:val="auto"/>
          <w:sz w:val="30"/>
          <w:szCs w:val="30"/>
          <w:highlight w:val="none"/>
        </w:rPr>
      </w:pPr>
      <w:r>
        <w:rPr>
          <w:rFonts w:hint="eastAsia" w:ascii="黑体" w:hAnsi="黑体" w:eastAsia="黑体" w:cs="黑体"/>
          <w:b w:val="0"/>
          <w:color w:val="auto"/>
          <w:sz w:val="30"/>
          <w:szCs w:val="30"/>
          <w:highlight w:val="none"/>
        </w:rPr>
        <w:br w:type="page"/>
      </w:r>
      <w:bookmarkStart w:id="314" w:name="_Toc5992"/>
      <w:bookmarkStart w:id="315" w:name="_Toc11683"/>
      <w:bookmarkStart w:id="316" w:name="_Toc23902"/>
      <w:bookmarkStart w:id="317" w:name="_Toc1727"/>
      <w:r>
        <w:rPr>
          <w:rFonts w:hint="eastAsia"/>
          <w:color w:val="auto"/>
          <w:highlight w:val="none"/>
        </w:rPr>
        <w:t>第四章  评审办法</w:t>
      </w:r>
      <w:bookmarkEnd w:id="314"/>
      <w:bookmarkEnd w:id="315"/>
      <w:r>
        <w:rPr>
          <w:rFonts w:hint="eastAsia"/>
          <w:color w:val="auto"/>
          <w:highlight w:val="none"/>
        </w:rPr>
        <w:t>和评分标准</w:t>
      </w:r>
      <w:bookmarkEnd w:id="316"/>
      <w:bookmarkEnd w:id="317"/>
    </w:p>
    <w:p w14:paraId="06DB54F0">
      <w:pPr>
        <w:spacing w:line="360" w:lineRule="auto"/>
        <w:ind w:right="218" w:rightChars="104"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3FF436">
      <w:pPr>
        <w:spacing w:line="450" w:lineRule="exact"/>
        <w:ind w:right="218" w:rightChars="104" w:firstLine="420"/>
        <w:rPr>
          <w:rFonts w:hint="eastAsia" w:ascii="宋体" w:hAnsi="宋体" w:cs="宋体"/>
          <w:b/>
          <w:bCs/>
          <w:color w:val="auto"/>
          <w:sz w:val="24"/>
          <w:highlight w:val="none"/>
        </w:rPr>
      </w:pPr>
      <w:r>
        <w:rPr>
          <w:rFonts w:hint="eastAsia" w:ascii="宋体" w:hAnsi="宋体" w:cs="宋体"/>
          <w:b/>
          <w:color w:val="auto"/>
          <w:sz w:val="24"/>
          <w:highlight w:val="none"/>
        </w:rPr>
        <w:t>本办法适用于</w:t>
      </w:r>
      <w:r>
        <w:rPr>
          <w:rFonts w:hint="eastAsia" w:ascii="宋体" w:hAnsi="宋体" w:cs="宋体"/>
          <w:b/>
          <w:color w:val="auto"/>
          <w:sz w:val="24"/>
          <w:highlight w:val="none"/>
          <w:lang w:eastAsia="zh-CN"/>
        </w:rPr>
        <w:t>2025年盘峰乡松材线虫病枯死松树清理服务项目（高二片区)</w:t>
      </w:r>
      <w:r>
        <w:rPr>
          <w:rFonts w:hint="eastAsia" w:ascii="宋体" w:hAnsi="宋体" w:cs="宋体"/>
          <w:b/>
          <w:bCs/>
          <w:color w:val="auto"/>
          <w:sz w:val="24"/>
          <w:highlight w:val="none"/>
        </w:rPr>
        <w:t>公开招标文件</w:t>
      </w:r>
      <w:r>
        <w:rPr>
          <w:rFonts w:hint="eastAsia" w:ascii="宋体" w:hAnsi="宋体" w:cs="宋体"/>
          <w:b/>
          <w:color w:val="auto"/>
          <w:sz w:val="24"/>
          <w:highlight w:val="none"/>
        </w:rPr>
        <w:t>的评</w:t>
      </w:r>
      <w:r>
        <w:rPr>
          <w:rFonts w:hint="eastAsia" w:ascii="宋体" w:hAnsi="宋体" w:cs="宋体"/>
          <w:b/>
          <w:bCs/>
          <w:color w:val="auto"/>
          <w:sz w:val="24"/>
          <w:highlight w:val="none"/>
        </w:rPr>
        <w:t>标。</w:t>
      </w:r>
    </w:p>
    <w:p w14:paraId="77179E9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一、评标</w:t>
      </w:r>
    </w:p>
    <w:p w14:paraId="61B528F5">
      <w:pPr>
        <w:pStyle w:val="29"/>
        <w:spacing w:before="0" w:after="0" w:line="450" w:lineRule="exact"/>
        <w:ind w:firstLine="480" w:firstLineChars="200"/>
        <w:rPr>
          <w:rFonts w:hint="eastAsia" w:hAnsi="宋体" w:cs="宋体"/>
          <w:color w:val="auto"/>
          <w:highlight w:val="none"/>
        </w:rPr>
      </w:pPr>
      <w:r>
        <w:rPr>
          <w:rFonts w:hint="eastAsia" w:hAnsi="宋体" w:cs="宋体"/>
          <w:color w:val="auto"/>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3A1C92B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技术商务分按照评标委员会成员的独立评分结果汇总后的算术平均分计算，计算公式为：</w:t>
      </w:r>
    </w:p>
    <w:p w14:paraId="5351A6B6">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技术商务分=评标委员会所有成员评分合计数/评标委员会组成人员数</w:t>
      </w:r>
    </w:p>
    <w:p w14:paraId="1244DFA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投标人评标综合得分=报价分+技术商务分</w:t>
      </w:r>
    </w:p>
    <w:p w14:paraId="514164F8">
      <w:pPr>
        <w:spacing w:line="45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投标报价超出最高限价的，其投标按无效投标处理。</w:t>
      </w:r>
    </w:p>
    <w:p w14:paraId="67062C1A">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评标细则如下：（技术商务</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分及</w:t>
      </w:r>
      <w:r>
        <w:rPr>
          <w:rFonts w:hint="eastAsia" w:ascii="宋体" w:hAnsi="宋体" w:cs="宋体"/>
          <w:b/>
          <w:color w:val="auto"/>
          <w:kern w:val="0"/>
          <w:sz w:val="24"/>
          <w:highlight w:val="none"/>
        </w:rPr>
        <w:t>价格</w:t>
      </w:r>
      <w:r>
        <w:rPr>
          <w:rFonts w:hint="eastAsia" w:ascii="宋体" w:hAnsi="宋体" w:cs="宋体"/>
          <w:b/>
          <w:color w:val="auto"/>
          <w:sz w:val="24"/>
          <w:highlight w:val="none"/>
        </w:rPr>
        <w:t>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分，共100分）</w:t>
      </w:r>
    </w:p>
    <w:tbl>
      <w:tblPr>
        <w:tblStyle w:val="53"/>
        <w:tblW w:w="10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453"/>
        <w:gridCol w:w="991"/>
        <w:gridCol w:w="7497"/>
        <w:gridCol w:w="758"/>
      </w:tblGrid>
      <w:tr w14:paraId="74C83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EFB9B02">
            <w:pPr>
              <w:spacing w:line="440" w:lineRule="exact"/>
              <w:rPr>
                <w:rFonts w:hint="eastAsia" w:ascii="宋体" w:hAnsi="宋体" w:cs="宋体"/>
                <w:b/>
                <w:bCs/>
                <w:szCs w:val="21"/>
              </w:rPr>
            </w:pPr>
            <w:r>
              <w:rPr>
                <w:rFonts w:hint="eastAsia" w:ascii="宋体" w:hAnsi="宋体" w:cs="宋体"/>
                <w:b/>
                <w:bCs/>
                <w:szCs w:val="21"/>
              </w:rPr>
              <w:t>序号</w:t>
            </w: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14:paraId="46518F1E">
            <w:pPr>
              <w:spacing w:line="440" w:lineRule="exact"/>
              <w:jc w:val="center"/>
              <w:rPr>
                <w:rFonts w:hint="eastAsia" w:ascii="宋体" w:hAnsi="宋体" w:cs="宋体"/>
                <w:b/>
                <w:bCs/>
                <w:szCs w:val="21"/>
              </w:rPr>
            </w:pPr>
            <w:r>
              <w:rPr>
                <w:rFonts w:hint="eastAsia" w:ascii="宋体" w:hAnsi="宋体" w:cs="宋体"/>
                <w:b/>
                <w:bCs/>
                <w:szCs w:val="21"/>
              </w:rPr>
              <w:t>评审内容</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5C212342">
            <w:pPr>
              <w:spacing w:line="440" w:lineRule="exact"/>
              <w:jc w:val="center"/>
              <w:rPr>
                <w:rFonts w:hint="eastAsia" w:ascii="宋体" w:hAnsi="宋体" w:cs="宋体"/>
                <w:b/>
                <w:bCs/>
                <w:szCs w:val="21"/>
              </w:rPr>
            </w:pPr>
            <w:r>
              <w:rPr>
                <w:rFonts w:hint="eastAsia" w:ascii="宋体" w:hAnsi="宋体" w:cs="宋体"/>
                <w:b/>
                <w:bCs/>
                <w:szCs w:val="21"/>
              </w:rPr>
              <w:t>评分标准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4EA8550">
            <w:pPr>
              <w:spacing w:line="440" w:lineRule="exact"/>
              <w:jc w:val="center"/>
              <w:rPr>
                <w:rFonts w:hint="eastAsia" w:ascii="宋体" w:hAnsi="宋体" w:cs="宋体"/>
                <w:b/>
                <w:bCs/>
                <w:szCs w:val="21"/>
              </w:rPr>
            </w:pPr>
            <w:r>
              <w:rPr>
                <w:rFonts w:hint="eastAsia" w:ascii="宋体" w:hAnsi="宋体" w:cs="宋体"/>
                <w:b/>
                <w:bCs/>
                <w:szCs w:val="21"/>
              </w:rPr>
              <w:t>分值</w:t>
            </w:r>
          </w:p>
        </w:tc>
      </w:tr>
      <w:tr w14:paraId="5452E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5A60444F">
            <w:pPr>
              <w:spacing w:line="440" w:lineRule="exact"/>
              <w:jc w:val="center"/>
              <w:rPr>
                <w:rFonts w:hint="eastAsia" w:ascii="宋体" w:hAnsi="宋体" w:cs="宋体"/>
                <w:b/>
                <w:bCs/>
                <w:szCs w:val="21"/>
              </w:rPr>
            </w:pPr>
            <w:r>
              <w:rPr>
                <w:rFonts w:hint="eastAsia" w:ascii="宋体" w:hAnsi="宋体" w:cs="宋体"/>
                <w:b/>
                <w:bCs/>
                <w:szCs w:val="21"/>
              </w:rPr>
              <w:t>一</w:t>
            </w:r>
          </w:p>
        </w:tc>
        <w:tc>
          <w:tcPr>
            <w:tcW w:w="8941" w:type="dxa"/>
            <w:gridSpan w:val="3"/>
            <w:tcBorders>
              <w:top w:val="single" w:color="auto" w:sz="4" w:space="0"/>
              <w:left w:val="single" w:color="auto" w:sz="4" w:space="0"/>
              <w:bottom w:val="single" w:color="auto" w:sz="4" w:space="0"/>
              <w:right w:val="single" w:color="auto" w:sz="4" w:space="0"/>
            </w:tcBorders>
            <w:noWrap w:val="0"/>
            <w:vAlign w:val="center"/>
          </w:tcPr>
          <w:p w14:paraId="726044ED">
            <w:pPr>
              <w:spacing w:line="440" w:lineRule="exact"/>
              <w:jc w:val="center"/>
              <w:rPr>
                <w:rFonts w:hint="eastAsia" w:ascii="宋体" w:hAnsi="宋体" w:cs="宋体"/>
                <w:b/>
                <w:bCs/>
                <w:szCs w:val="21"/>
              </w:rPr>
            </w:pPr>
            <w:r>
              <w:rPr>
                <w:rFonts w:hint="eastAsia" w:ascii="宋体" w:hAnsi="宋体" w:cs="宋体"/>
                <w:b/>
                <w:bCs/>
                <w:szCs w:val="21"/>
              </w:rPr>
              <w:t>技术分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E219240">
            <w:pPr>
              <w:spacing w:line="440" w:lineRule="exact"/>
              <w:rPr>
                <w:rFonts w:hint="eastAsia" w:ascii="宋体" w:hAnsi="宋体" w:cs="宋体"/>
                <w:b/>
                <w:bCs/>
                <w:szCs w:val="21"/>
              </w:rPr>
            </w:pPr>
            <w:r>
              <w:rPr>
                <w:rFonts w:hint="eastAsia" w:ascii="宋体" w:hAnsi="宋体" w:cs="宋体"/>
                <w:b/>
                <w:bCs/>
                <w:szCs w:val="21"/>
              </w:rPr>
              <w:t>5</w:t>
            </w:r>
            <w:r>
              <w:rPr>
                <w:rFonts w:hint="eastAsia" w:ascii="宋体" w:hAnsi="宋体" w:cs="宋体"/>
                <w:b/>
                <w:bCs/>
                <w:szCs w:val="21"/>
                <w:lang w:val="en-US" w:eastAsia="zh-CN"/>
              </w:rPr>
              <w:t>5</w:t>
            </w:r>
            <w:r>
              <w:rPr>
                <w:rFonts w:hint="eastAsia" w:ascii="宋体" w:hAnsi="宋体" w:cs="宋体"/>
                <w:b/>
                <w:bCs/>
                <w:szCs w:val="21"/>
              </w:rPr>
              <w:t>分</w:t>
            </w:r>
          </w:p>
        </w:tc>
      </w:tr>
      <w:tr w14:paraId="4F558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2CA22">
            <w:pPr>
              <w:spacing w:line="440" w:lineRule="exact"/>
              <w:jc w:val="center"/>
              <w:rPr>
                <w:rFonts w:hint="eastAsia" w:ascii="宋体" w:hAnsi="宋体" w:cs="宋体"/>
                <w:szCs w:val="21"/>
              </w:rPr>
            </w:pPr>
            <w:r>
              <w:rPr>
                <w:rFonts w:hint="eastAsia" w:ascii="宋体" w:hAnsi="宋体" w:cs="宋体"/>
                <w:szCs w:val="21"/>
              </w:rPr>
              <w:t>1</w:t>
            </w:r>
          </w:p>
        </w:tc>
        <w:tc>
          <w:tcPr>
            <w:tcW w:w="453" w:type="dxa"/>
            <w:vMerge w:val="restart"/>
            <w:tcBorders>
              <w:left w:val="single" w:color="auto" w:sz="4" w:space="0"/>
              <w:right w:val="single" w:color="auto" w:sz="4" w:space="0"/>
            </w:tcBorders>
            <w:shd w:val="clear" w:color="auto" w:fill="auto"/>
            <w:noWrap w:val="0"/>
            <w:vAlign w:val="center"/>
          </w:tcPr>
          <w:p w14:paraId="407058AA">
            <w:pPr>
              <w:spacing w:line="440" w:lineRule="exact"/>
              <w:jc w:val="center"/>
              <w:rPr>
                <w:rFonts w:hint="eastAsia" w:ascii="宋体" w:hAnsi="宋体" w:cs="宋体"/>
                <w:szCs w:val="21"/>
              </w:rPr>
            </w:pPr>
            <w:r>
              <w:rPr>
                <w:rFonts w:hint="eastAsia" w:ascii="宋体" w:hAnsi="宋体" w:cs="宋体"/>
                <w:szCs w:val="21"/>
              </w:rPr>
              <w:t>技术服务水平</w:t>
            </w:r>
          </w:p>
        </w:tc>
        <w:tc>
          <w:tcPr>
            <w:tcW w:w="991"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3127D7B5">
            <w:pPr>
              <w:spacing w:line="440" w:lineRule="exact"/>
              <w:jc w:val="center"/>
              <w:rPr>
                <w:rFonts w:hint="eastAsia" w:ascii="宋体" w:hAnsi="宋体" w:cs="宋体"/>
                <w:szCs w:val="21"/>
              </w:rPr>
            </w:pPr>
            <w:r>
              <w:rPr>
                <w:rFonts w:hint="eastAsia" w:ascii="宋体" w:hAnsi="宋体" w:cs="宋体"/>
                <w:szCs w:val="21"/>
              </w:rPr>
              <w:t>项目调研程度</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58D445BB">
            <w:pPr>
              <w:spacing w:line="440" w:lineRule="exact"/>
              <w:rPr>
                <w:rFonts w:ascii="宋体" w:hAnsi="宋体" w:cs="宋体"/>
                <w:szCs w:val="21"/>
              </w:rPr>
            </w:pPr>
            <w:r>
              <w:rPr>
                <w:rFonts w:hint="eastAsia" w:ascii="宋体" w:hAnsi="宋体" w:cs="宋体"/>
                <w:szCs w:val="21"/>
              </w:rPr>
              <w:t>根据供应商对本项目采购范围内环境、枯死松树分布特点等情况的熟悉程度，是否能根据项目特定环境妥善安排相关工作（0-2分）。对本项目区域山林、道路现状，存在问题以及林木运输重点难点的调查充分情况（0-1分），对项目区域是否充分熟悉及能否合理规划情况等（0-1分）。根据调研程度的完整性、科学性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D1118A8">
            <w:pPr>
              <w:spacing w:line="440" w:lineRule="exact"/>
              <w:jc w:val="center"/>
              <w:rPr>
                <w:rFonts w:ascii="宋体" w:hAnsi="宋体" w:cs="宋体"/>
                <w:szCs w:val="21"/>
              </w:rPr>
            </w:pPr>
            <w:r>
              <w:rPr>
                <w:rFonts w:hint="eastAsia" w:ascii="宋体" w:hAnsi="宋体" w:cs="宋体"/>
                <w:szCs w:val="21"/>
              </w:rPr>
              <w:t>4</w:t>
            </w:r>
          </w:p>
        </w:tc>
      </w:tr>
      <w:tr w14:paraId="16891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A0A0D">
            <w:pPr>
              <w:spacing w:line="440" w:lineRule="exact"/>
              <w:jc w:val="center"/>
              <w:rPr>
                <w:rFonts w:hint="eastAsia" w:ascii="宋体" w:hAnsi="宋体" w:cs="宋体"/>
                <w:szCs w:val="21"/>
              </w:rPr>
            </w:pPr>
            <w:r>
              <w:rPr>
                <w:rFonts w:hint="eastAsia" w:ascii="宋体" w:hAnsi="宋体" w:cs="宋体"/>
                <w:szCs w:val="21"/>
              </w:rPr>
              <w:t>2</w:t>
            </w:r>
          </w:p>
        </w:tc>
        <w:tc>
          <w:tcPr>
            <w:tcW w:w="453" w:type="dxa"/>
            <w:vMerge w:val="continue"/>
            <w:tcBorders>
              <w:left w:val="single" w:color="auto" w:sz="4" w:space="0"/>
              <w:right w:val="single" w:color="auto" w:sz="4" w:space="0"/>
            </w:tcBorders>
            <w:shd w:val="clear" w:color="auto" w:fill="auto"/>
            <w:noWrap w:val="0"/>
            <w:vAlign w:val="center"/>
          </w:tcPr>
          <w:p w14:paraId="5BD53572">
            <w:pPr>
              <w:spacing w:line="440" w:lineRule="exact"/>
              <w:jc w:val="center"/>
              <w:rPr>
                <w:rFonts w:hint="eastAsia" w:ascii="宋体" w:hAnsi="宋体" w:cs="宋体"/>
                <w:szCs w:val="21"/>
              </w:rPr>
            </w:pPr>
          </w:p>
        </w:tc>
        <w:tc>
          <w:tcPr>
            <w:tcW w:w="991"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5F4C3CC">
            <w:pPr>
              <w:spacing w:line="440" w:lineRule="exact"/>
              <w:jc w:val="center"/>
              <w:rPr>
                <w:rFonts w:hint="eastAsia" w:ascii="宋体" w:hAnsi="宋体" w:cs="宋体"/>
                <w:szCs w:val="21"/>
              </w:rPr>
            </w:pPr>
            <w:r>
              <w:rPr>
                <w:rFonts w:hint="eastAsia" w:ascii="宋体" w:hAnsi="宋体" w:cs="宋体"/>
                <w:szCs w:val="21"/>
              </w:rPr>
              <w:t>项目</w:t>
            </w:r>
          </w:p>
          <w:p w14:paraId="41D0B8D5">
            <w:pPr>
              <w:spacing w:line="440" w:lineRule="exact"/>
              <w:jc w:val="center"/>
              <w:rPr>
                <w:rFonts w:hint="eastAsia" w:ascii="宋体" w:hAnsi="宋体" w:cs="宋体"/>
                <w:szCs w:val="21"/>
              </w:rPr>
            </w:pPr>
            <w:r>
              <w:rPr>
                <w:rFonts w:hint="eastAsia" w:ascii="宋体" w:hAnsi="宋体" w:cs="宋体"/>
                <w:szCs w:val="21"/>
              </w:rPr>
              <w:t xml:space="preserve"> 理解</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7723F84B">
            <w:pPr>
              <w:spacing w:line="440" w:lineRule="exact"/>
              <w:rPr>
                <w:rFonts w:hint="eastAsia" w:ascii="宋体" w:hAnsi="宋体" w:cs="宋体"/>
                <w:szCs w:val="21"/>
              </w:rPr>
            </w:pPr>
            <w:r>
              <w:rPr>
                <w:rFonts w:hint="eastAsia" w:ascii="宋体" w:hAnsi="宋体" w:cs="宋体"/>
                <w:szCs w:val="21"/>
              </w:rPr>
              <w:t>根据投标人对本项目重点、难点等理解情况（0-1分）、总体服务思路是否符合项目实际情况（0-1分）、对本项目关键性技术问题把握的阐述情况（0-1分），根据内容全面合理可行程度进行打分。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75E24F7">
            <w:pPr>
              <w:spacing w:line="440" w:lineRule="exact"/>
              <w:jc w:val="center"/>
              <w:rPr>
                <w:rFonts w:ascii="宋体" w:hAnsi="宋体" w:cs="宋体"/>
                <w:szCs w:val="21"/>
              </w:rPr>
            </w:pPr>
            <w:r>
              <w:rPr>
                <w:rFonts w:hint="eastAsia" w:ascii="宋体" w:hAnsi="宋体" w:cs="宋体"/>
                <w:szCs w:val="21"/>
              </w:rPr>
              <w:t>3</w:t>
            </w:r>
          </w:p>
        </w:tc>
      </w:tr>
      <w:tr w14:paraId="68D03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96BF9">
            <w:pPr>
              <w:spacing w:line="440" w:lineRule="exact"/>
              <w:jc w:val="center"/>
              <w:rPr>
                <w:rFonts w:ascii="宋体" w:hAnsi="宋体" w:cs="宋体"/>
                <w:szCs w:val="21"/>
              </w:rPr>
            </w:pPr>
            <w:r>
              <w:rPr>
                <w:rFonts w:hint="eastAsia" w:ascii="宋体" w:hAnsi="宋体" w:cs="宋体"/>
                <w:szCs w:val="21"/>
              </w:rPr>
              <w:t>3</w:t>
            </w:r>
          </w:p>
        </w:tc>
        <w:tc>
          <w:tcPr>
            <w:tcW w:w="453" w:type="dxa"/>
            <w:vMerge w:val="continue"/>
            <w:tcBorders>
              <w:left w:val="single" w:color="auto" w:sz="4" w:space="0"/>
              <w:right w:val="single" w:color="auto" w:sz="4" w:space="0"/>
            </w:tcBorders>
            <w:shd w:val="clear" w:color="auto" w:fill="auto"/>
            <w:noWrap w:val="0"/>
            <w:vAlign w:val="center"/>
          </w:tcPr>
          <w:p w14:paraId="6A7848C4">
            <w:pPr>
              <w:spacing w:line="440" w:lineRule="exact"/>
              <w:jc w:val="center"/>
              <w:rPr>
                <w:rFonts w:hint="eastAsia" w:ascii="宋体" w:hAnsi="宋体" w:cs="宋体"/>
                <w:szCs w:val="21"/>
              </w:rPr>
            </w:pPr>
          </w:p>
        </w:tc>
        <w:tc>
          <w:tcPr>
            <w:tcW w:w="991" w:type="dxa"/>
            <w:vMerge w:val="restart"/>
            <w:tcBorders>
              <w:top w:val="single" w:color="000000" w:sz="8" w:space="0"/>
              <w:left w:val="single" w:color="000000" w:sz="8" w:space="0"/>
              <w:right w:val="single" w:color="000000" w:sz="8" w:space="0"/>
            </w:tcBorders>
            <w:shd w:val="clear" w:color="auto" w:fill="FFFFFF"/>
            <w:noWrap w:val="0"/>
            <w:vAlign w:val="center"/>
          </w:tcPr>
          <w:p w14:paraId="382C8885">
            <w:pPr>
              <w:spacing w:line="440" w:lineRule="exact"/>
              <w:jc w:val="center"/>
              <w:rPr>
                <w:rFonts w:hint="eastAsia" w:ascii="宋体" w:hAnsi="宋体" w:cs="宋体"/>
                <w:szCs w:val="21"/>
              </w:rPr>
            </w:pPr>
            <w:r>
              <w:rPr>
                <w:rFonts w:hint="eastAsia" w:ascii="宋体" w:hAnsi="宋体" w:cs="宋体"/>
                <w:szCs w:val="21"/>
              </w:rPr>
              <w:t>砍伐</w:t>
            </w:r>
          </w:p>
          <w:p w14:paraId="0ADCBA46">
            <w:pPr>
              <w:spacing w:line="440" w:lineRule="exact"/>
              <w:jc w:val="center"/>
              <w:rPr>
                <w:rFonts w:ascii="宋体" w:hAnsi="宋体" w:cs="宋体"/>
                <w:szCs w:val="21"/>
              </w:rPr>
            </w:pPr>
            <w:r>
              <w:rPr>
                <w:rFonts w:hint="eastAsia" w:ascii="宋体" w:hAnsi="宋体" w:cs="宋体"/>
                <w:szCs w:val="21"/>
              </w:rPr>
              <w:t>方案</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07CDF630">
            <w:pPr>
              <w:spacing w:line="440" w:lineRule="exact"/>
              <w:rPr>
                <w:rFonts w:ascii="宋体" w:hAnsi="宋体" w:cs="宋体"/>
                <w:szCs w:val="21"/>
              </w:rPr>
            </w:pPr>
            <w:r>
              <w:rPr>
                <w:rFonts w:hint="eastAsia" w:ascii="宋体" w:hAnsi="宋体" w:cs="宋体"/>
                <w:szCs w:val="21"/>
              </w:rPr>
              <w:t>根据砍伐方案技术措施的可行性、可操作性以及进场开工组织方案、施工路线安排、砍伐时间安排方案等情况进行打分，0-2分。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3FB3A78">
            <w:pPr>
              <w:spacing w:line="440" w:lineRule="exact"/>
              <w:jc w:val="center"/>
              <w:rPr>
                <w:rFonts w:ascii="宋体" w:hAnsi="宋体" w:cs="宋体"/>
                <w:szCs w:val="21"/>
              </w:rPr>
            </w:pPr>
            <w:r>
              <w:rPr>
                <w:rFonts w:hint="eastAsia" w:ascii="宋体" w:hAnsi="宋体" w:cs="宋体"/>
                <w:szCs w:val="21"/>
              </w:rPr>
              <w:t>2</w:t>
            </w:r>
          </w:p>
        </w:tc>
      </w:tr>
      <w:tr w14:paraId="3D477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A9E83">
            <w:pPr>
              <w:spacing w:line="440" w:lineRule="exact"/>
              <w:jc w:val="center"/>
              <w:rPr>
                <w:rFonts w:hint="eastAsia" w:ascii="宋体" w:hAnsi="宋体" w:cs="宋体"/>
                <w:szCs w:val="21"/>
              </w:rPr>
            </w:pPr>
            <w:r>
              <w:rPr>
                <w:rFonts w:hint="eastAsia" w:ascii="宋体" w:hAnsi="宋体" w:cs="宋体"/>
                <w:szCs w:val="21"/>
              </w:rPr>
              <w:t>4</w:t>
            </w:r>
          </w:p>
        </w:tc>
        <w:tc>
          <w:tcPr>
            <w:tcW w:w="453" w:type="dxa"/>
            <w:vMerge w:val="continue"/>
            <w:tcBorders>
              <w:left w:val="single" w:color="auto" w:sz="4" w:space="0"/>
              <w:right w:val="single" w:color="auto" w:sz="4" w:space="0"/>
            </w:tcBorders>
            <w:shd w:val="clear" w:color="auto" w:fill="auto"/>
            <w:noWrap w:val="0"/>
            <w:vAlign w:val="center"/>
          </w:tcPr>
          <w:p w14:paraId="6266901B">
            <w:pPr>
              <w:spacing w:line="440" w:lineRule="exact"/>
              <w:jc w:val="center"/>
              <w:rPr>
                <w:rFonts w:hint="eastAsia" w:ascii="宋体" w:hAnsi="宋体" w:cs="宋体"/>
                <w:szCs w:val="21"/>
              </w:rPr>
            </w:pPr>
          </w:p>
        </w:tc>
        <w:tc>
          <w:tcPr>
            <w:tcW w:w="991" w:type="dxa"/>
            <w:vMerge w:val="continue"/>
            <w:tcBorders>
              <w:left w:val="single" w:color="000000" w:sz="8" w:space="0"/>
              <w:bottom w:val="single" w:color="000000" w:sz="8" w:space="0"/>
              <w:right w:val="single" w:color="000000" w:sz="8" w:space="0"/>
            </w:tcBorders>
            <w:shd w:val="clear" w:color="auto" w:fill="FFFFFF"/>
            <w:noWrap w:val="0"/>
            <w:vAlign w:val="center"/>
          </w:tcPr>
          <w:p w14:paraId="0F7FB1BC">
            <w:pPr>
              <w:spacing w:line="440" w:lineRule="exact"/>
              <w:jc w:val="center"/>
              <w:rPr>
                <w:rFonts w:hint="eastAsia" w:ascii="宋体" w:hAnsi="宋体" w:cs="宋体"/>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940E91B">
            <w:pPr>
              <w:spacing w:line="440" w:lineRule="exact"/>
              <w:rPr>
                <w:rFonts w:hint="eastAsia" w:ascii="宋体" w:hAnsi="宋体" w:cs="宋体"/>
                <w:szCs w:val="21"/>
              </w:rPr>
            </w:pPr>
            <w:r>
              <w:rPr>
                <w:rFonts w:hint="eastAsia" w:ascii="宋体" w:hAnsi="宋体" w:cs="宋体"/>
                <w:szCs w:val="21"/>
              </w:rPr>
              <w:t>投标人对集中清理时段任务要求制定针对性方案，根据方案技术手段措施的先进情况（0-2分），集中清理时段砍伐方案的详细程度及概括程度（0-2分），对集中清理时段数量的把控程度（0-1分）进行打分。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ED36AD8">
            <w:pPr>
              <w:spacing w:line="440" w:lineRule="exact"/>
              <w:jc w:val="center"/>
              <w:rPr>
                <w:rFonts w:ascii="宋体" w:hAnsi="宋体" w:cs="宋体"/>
                <w:szCs w:val="21"/>
              </w:rPr>
            </w:pPr>
            <w:r>
              <w:rPr>
                <w:rFonts w:hint="eastAsia" w:ascii="宋体" w:hAnsi="宋体" w:cs="宋体"/>
                <w:szCs w:val="21"/>
              </w:rPr>
              <w:t>5</w:t>
            </w:r>
          </w:p>
        </w:tc>
      </w:tr>
      <w:tr w14:paraId="1C023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C83AF">
            <w:pPr>
              <w:spacing w:line="440" w:lineRule="exact"/>
              <w:jc w:val="center"/>
              <w:rPr>
                <w:rFonts w:ascii="宋体" w:hAnsi="宋体" w:cs="宋体"/>
                <w:szCs w:val="21"/>
              </w:rPr>
            </w:pPr>
            <w:r>
              <w:rPr>
                <w:rFonts w:hint="eastAsia" w:ascii="宋体" w:hAnsi="宋体" w:cs="宋体"/>
                <w:szCs w:val="21"/>
              </w:rPr>
              <w:t>5</w:t>
            </w:r>
          </w:p>
        </w:tc>
        <w:tc>
          <w:tcPr>
            <w:tcW w:w="453" w:type="dxa"/>
            <w:vMerge w:val="continue"/>
            <w:tcBorders>
              <w:left w:val="single" w:color="auto" w:sz="4" w:space="0"/>
              <w:right w:val="single" w:color="auto" w:sz="4" w:space="0"/>
            </w:tcBorders>
            <w:shd w:val="clear" w:color="auto" w:fill="auto"/>
            <w:noWrap w:val="0"/>
            <w:vAlign w:val="center"/>
          </w:tcPr>
          <w:p w14:paraId="5EEFE753">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B86C00">
            <w:pPr>
              <w:spacing w:line="440" w:lineRule="exact"/>
              <w:jc w:val="center"/>
              <w:rPr>
                <w:rFonts w:ascii="宋体" w:hAnsi="宋体" w:cs="宋体"/>
                <w:szCs w:val="21"/>
              </w:rPr>
            </w:pPr>
            <w:r>
              <w:rPr>
                <w:rFonts w:hint="eastAsia" w:ascii="宋体" w:hAnsi="宋体" w:cs="宋体"/>
                <w:szCs w:val="21"/>
              </w:rPr>
              <w:t>安全保障措施</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166CA56E">
            <w:pPr>
              <w:spacing w:line="440" w:lineRule="exact"/>
              <w:rPr>
                <w:rFonts w:ascii="宋体" w:hAnsi="宋体" w:cs="宋体"/>
                <w:szCs w:val="21"/>
              </w:rPr>
            </w:pPr>
            <w:r>
              <w:rPr>
                <w:rFonts w:hint="eastAsia" w:ascii="宋体" w:hAnsi="宋体" w:cs="宋体"/>
                <w:szCs w:val="21"/>
              </w:rPr>
              <w:t>对项目实施过程中的</w:t>
            </w:r>
            <w:r>
              <w:rPr>
                <w:rFonts w:ascii="宋体" w:hAnsi="宋体" w:cs="宋体"/>
                <w:szCs w:val="21"/>
              </w:rPr>
              <w:t>安全文明生产保证措施：安全文明生产措施编制合理</w:t>
            </w:r>
            <w:r>
              <w:rPr>
                <w:rFonts w:hint="eastAsia" w:ascii="宋体" w:hAnsi="宋体" w:cs="宋体"/>
                <w:szCs w:val="21"/>
              </w:rPr>
              <w:t>（0-1分）</w:t>
            </w:r>
            <w:r>
              <w:rPr>
                <w:rFonts w:ascii="宋体" w:hAnsi="宋体" w:cs="宋体"/>
                <w:szCs w:val="21"/>
              </w:rPr>
              <w:t>，危险源及环境因素识别全面</w:t>
            </w:r>
            <w:r>
              <w:rPr>
                <w:rFonts w:hint="eastAsia" w:ascii="宋体" w:hAnsi="宋体" w:cs="宋体"/>
                <w:szCs w:val="21"/>
              </w:rPr>
              <w:t>（0-1分）</w:t>
            </w:r>
            <w:r>
              <w:rPr>
                <w:rFonts w:ascii="宋体" w:hAnsi="宋体" w:cs="宋体"/>
                <w:szCs w:val="21"/>
              </w:rPr>
              <w:t>，</w:t>
            </w:r>
            <w:r>
              <w:rPr>
                <w:rFonts w:hint="eastAsia" w:ascii="宋体" w:hAnsi="宋体" w:cs="宋体"/>
                <w:szCs w:val="21"/>
              </w:rPr>
              <w:t>岗位监督</w:t>
            </w:r>
            <w:r>
              <w:rPr>
                <w:rFonts w:ascii="宋体" w:hAnsi="宋体" w:cs="宋体"/>
                <w:szCs w:val="21"/>
              </w:rPr>
              <w:t>制度完善</w:t>
            </w:r>
            <w:r>
              <w:rPr>
                <w:rFonts w:hint="eastAsia" w:ascii="宋体" w:hAnsi="宋体" w:cs="宋体"/>
                <w:szCs w:val="21"/>
              </w:rPr>
              <w:t>（0-1分）</w:t>
            </w:r>
            <w:r>
              <w:rPr>
                <w:rFonts w:ascii="宋体" w:hAnsi="宋体" w:cs="宋体"/>
                <w:szCs w:val="21"/>
              </w:rPr>
              <w:t>、措施合理</w:t>
            </w:r>
            <w:r>
              <w:rPr>
                <w:rFonts w:hint="eastAsia" w:ascii="宋体" w:hAnsi="宋体" w:cs="宋体"/>
                <w:szCs w:val="21"/>
              </w:rPr>
              <w:t>（0-1分），</w:t>
            </w:r>
            <w:r>
              <w:rPr>
                <w:rFonts w:ascii="宋体" w:hAnsi="宋体" w:cs="宋体"/>
                <w:szCs w:val="21"/>
              </w:rPr>
              <w:t>对工作过程中可能发生的各种安全问题有深刻的认识和合理的预见</w:t>
            </w:r>
            <w:r>
              <w:rPr>
                <w:rFonts w:hint="eastAsia" w:ascii="宋体" w:hAnsi="宋体" w:cs="宋体"/>
                <w:szCs w:val="21"/>
              </w:rPr>
              <w:t>（0-1分）</w:t>
            </w:r>
            <w:r>
              <w:rPr>
                <w:rFonts w:ascii="宋体" w:hAnsi="宋体" w:cs="宋体"/>
                <w:szCs w:val="21"/>
              </w:rPr>
              <w:t>，并有科学、充分的措施的</w:t>
            </w:r>
            <w:r>
              <w:rPr>
                <w:rFonts w:hint="eastAsia" w:ascii="宋体" w:hAnsi="宋体" w:cs="宋体"/>
                <w:szCs w:val="21"/>
              </w:rPr>
              <w:t>进行</w:t>
            </w:r>
            <w:r>
              <w:rPr>
                <w:rFonts w:ascii="宋体" w:hAnsi="宋体" w:cs="宋体"/>
                <w:szCs w:val="21"/>
              </w:rPr>
              <w:t>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8AA8F13">
            <w:pPr>
              <w:spacing w:line="440" w:lineRule="exact"/>
              <w:jc w:val="center"/>
              <w:rPr>
                <w:rFonts w:ascii="宋体" w:hAnsi="宋体" w:cs="宋体"/>
                <w:szCs w:val="21"/>
              </w:rPr>
            </w:pPr>
            <w:r>
              <w:rPr>
                <w:rFonts w:hint="eastAsia" w:ascii="宋体" w:hAnsi="宋体" w:cs="宋体"/>
                <w:szCs w:val="21"/>
              </w:rPr>
              <w:t>5</w:t>
            </w:r>
          </w:p>
        </w:tc>
      </w:tr>
      <w:tr w14:paraId="795E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F3568">
            <w:pPr>
              <w:spacing w:line="440" w:lineRule="exact"/>
              <w:jc w:val="center"/>
              <w:rPr>
                <w:rFonts w:ascii="宋体" w:hAnsi="宋体" w:cs="宋体"/>
                <w:szCs w:val="21"/>
              </w:rPr>
            </w:pPr>
            <w:r>
              <w:rPr>
                <w:rFonts w:hint="eastAsia" w:ascii="宋体" w:hAnsi="宋体" w:cs="宋体"/>
                <w:szCs w:val="21"/>
              </w:rPr>
              <w:t>6</w:t>
            </w:r>
          </w:p>
        </w:tc>
        <w:tc>
          <w:tcPr>
            <w:tcW w:w="453" w:type="dxa"/>
            <w:vMerge w:val="continue"/>
            <w:tcBorders>
              <w:left w:val="single" w:color="auto" w:sz="4" w:space="0"/>
              <w:right w:val="single" w:color="auto" w:sz="4" w:space="0"/>
            </w:tcBorders>
            <w:shd w:val="clear" w:color="auto" w:fill="auto"/>
            <w:noWrap w:val="0"/>
            <w:vAlign w:val="center"/>
          </w:tcPr>
          <w:p w14:paraId="11F15EB2">
            <w:pPr>
              <w:spacing w:line="440" w:lineRule="exact"/>
              <w:jc w:val="center"/>
              <w:rPr>
                <w:rFonts w:hint="eastAsia" w:ascii="宋体" w:hAnsi="宋体" w:cs="宋体"/>
                <w:szCs w:val="21"/>
              </w:rPr>
            </w:pPr>
          </w:p>
        </w:tc>
        <w:tc>
          <w:tcPr>
            <w:tcW w:w="991" w:type="dxa"/>
            <w:tcBorders>
              <w:left w:val="single" w:color="000000" w:sz="8" w:space="0"/>
              <w:bottom w:val="single" w:color="000000" w:sz="8" w:space="0"/>
              <w:right w:val="single" w:color="000000" w:sz="8" w:space="0"/>
            </w:tcBorders>
            <w:shd w:val="clear" w:color="auto" w:fill="FFFFFF"/>
            <w:noWrap w:val="0"/>
            <w:vAlign w:val="center"/>
          </w:tcPr>
          <w:p w14:paraId="06E89126">
            <w:pPr>
              <w:spacing w:line="440" w:lineRule="exact"/>
              <w:jc w:val="center"/>
              <w:rPr>
                <w:rFonts w:hint="eastAsia" w:ascii="宋体" w:hAnsi="宋体" w:cs="宋体"/>
                <w:szCs w:val="21"/>
              </w:rPr>
            </w:pPr>
            <w:r>
              <w:rPr>
                <w:rFonts w:hint="eastAsia" w:ascii="宋体" w:hAnsi="宋体" w:cs="宋体"/>
                <w:szCs w:val="21"/>
              </w:rPr>
              <w:t xml:space="preserve">运输 </w:t>
            </w:r>
          </w:p>
          <w:p w14:paraId="5A12F8D6">
            <w:pPr>
              <w:spacing w:line="440" w:lineRule="exact"/>
              <w:jc w:val="center"/>
              <w:rPr>
                <w:rFonts w:ascii="宋体" w:hAnsi="宋体" w:cs="宋体"/>
                <w:szCs w:val="21"/>
              </w:rPr>
            </w:pPr>
            <w:r>
              <w:rPr>
                <w:rFonts w:hint="eastAsia" w:ascii="宋体" w:hAnsi="宋体" w:cs="宋体"/>
                <w:szCs w:val="21"/>
              </w:rPr>
              <w:t>方案</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45945F2F">
            <w:pPr>
              <w:spacing w:line="440" w:lineRule="exact"/>
              <w:rPr>
                <w:rFonts w:ascii="宋体" w:hAnsi="宋体" w:cs="宋体"/>
                <w:szCs w:val="21"/>
              </w:rPr>
            </w:pPr>
            <w:r>
              <w:rPr>
                <w:rFonts w:hint="eastAsia" w:ascii="宋体" w:hAnsi="宋体" w:cs="宋体"/>
                <w:szCs w:val="21"/>
              </w:rPr>
              <w:t>根据</w:t>
            </w:r>
            <w:r>
              <w:rPr>
                <w:rFonts w:ascii="宋体" w:hAnsi="宋体" w:cs="宋体"/>
                <w:szCs w:val="21"/>
              </w:rPr>
              <w:t>运输过程中的安全保障措施</w:t>
            </w:r>
            <w:r>
              <w:rPr>
                <w:rFonts w:hint="eastAsia" w:ascii="宋体" w:hAnsi="宋体" w:cs="宋体"/>
                <w:szCs w:val="21"/>
              </w:rPr>
              <w:t>和运输机制</w:t>
            </w:r>
            <w:r>
              <w:rPr>
                <w:rFonts w:ascii="宋体" w:hAnsi="宋体" w:cs="宋体"/>
                <w:szCs w:val="21"/>
              </w:rPr>
              <w:t>是否合理</w:t>
            </w:r>
            <w:r>
              <w:rPr>
                <w:rFonts w:hint="eastAsia" w:ascii="宋体" w:hAnsi="宋体" w:cs="宋体"/>
                <w:szCs w:val="21"/>
              </w:rPr>
              <w:t>（0-2分），运输人员</w:t>
            </w:r>
            <w:r>
              <w:rPr>
                <w:rFonts w:ascii="宋体" w:hAnsi="宋体" w:cs="宋体"/>
                <w:szCs w:val="21"/>
              </w:rPr>
              <w:t>管理制度和操作规程</w:t>
            </w:r>
            <w:r>
              <w:rPr>
                <w:rFonts w:hint="eastAsia" w:ascii="宋体" w:hAnsi="宋体" w:cs="宋体"/>
                <w:szCs w:val="21"/>
              </w:rPr>
              <w:t>是否全面（0-2分）</w:t>
            </w:r>
            <w:r>
              <w:rPr>
                <w:rFonts w:ascii="宋体" w:hAnsi="宋体" w:cs="宋体"/>
                <w:szCs w:val="21"/>
              </w:rPr>
              <w:t>，建立</w:t>
            </w:r>
            <w:r>
              <w:rPr>
                <w:rFonts w:hint="eastAsia" w:ascii="宋体" w:hAnsi="宋体" w:cs="宋体"/>
                <w:szCs w:val="21"/>
              </w:rPr>
              <w:t>完整的运输体系</w:t>
            </w:r>
            <w:r>
              <w:rPr>
                <w:rFonts w:ascii="宋体" w:hAnsi="宋体" w:cs="宋体"/>
                <w:szCs w:val="21"/>
              </w:rPr>
              <w:t>，符合有关标准规范的要求</w:t>
            </w:r>
            <w:r>
              <w:rPr>
                <w:rFonts w:hint="eastAsia" w:ascii="宋体" w:hAnsi="宋体" w:cs="宋体"/>
                <w:szCs w:val="21"/>
              </w:rPr>
              <w:t>（0-1分）</w:t>
            </w:r>
            <w:r>
              <w:rPr>
                <w:rFonts w:ascii="宋体" w:hAnsi="宋体" w:cs="宋体"/>
                <w:szCs w:val="21"/>
              </w:rPr>
              <w:t>等</w:t>
            </w:r>
            <w:r>
              <w:rPr>
                <w:rFonts w:hint="eastAsia" w:ascii="宋体" w:hAnsi="宋体" w:cs="宋体"/>
                <w:szCs w:val="21"/>
              </w:rPr>
              <w:t>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24994E0">
            <w:pPr>
              <w:spacing w:line="440" w:lineRule="exact"/>
              <w:jc w:val="center"/>
              <w:rPr>
                <w:rFonts w:ascii="宋体" w:hAnsi="宋体" w:cs="宋体"/>
                <w:szCs w:val="21"/>
              </w:rPr>
            </w:pPr>
            <w:r>
              <w:rPr>
                <w:rFonts w:hint="eastAsia" w:ascii="宋体" w:hAnsi="宋体" w:cs="宋体"/>
                <w:szCs w:val="21"/>
              </w:rPr>
              <w:t>5</w:t>
            </w:r>
          </w:p>
        </w:tc>
      </w:tr>
      <w:tr w14:paraId="1DF68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ADE61">
            <w:pPr>
              <w:spacing w:line="440" w:lineRule="exact"/>
              <w:jc w:val="center"/>
              <w:rPr>
                <w:rFonts w:ascii="宋体" w:hAnsi="宋体" w:cs="宋体"/>
                <w:szCs w:val="21"/>
              </w:rPr>
            </w:pPr>
            <w:r>
              <w:rPr>
                <w:rFonts w:hint="eastAsia" w:ascii="宋体" w:hAnsi="宋体" w:cs="宋体"/>
                <w:szCs w:val="21"/>
              </w:rPr>
              <w:t>7</w:t>
            </w:r>
          </w:p>
        </w:tc>
        <w:tc>
          <w:tcPr>
            <w:tcW w:w="453" w:type="dxa"/>
            <w:vMerge w:val="continue"/>
            <w:tcBorders>
              <w:left w:val="single" w:color="auto" w:sz="4" w:space="0"/>
              <w:right w:val="single" w:color="auto" w:sz="4" w:space="0"/>
            </w:tcBorders>
            <w:shd w:val="clear" w:color="auto" w:fill="auto"/>
            <w:noWrap w:val="0"/>
            <w:vAlign w:val="center"/>
          </w:tcPr>
          <w:p w14:paraId="370D35E0">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6C7584">
            <w:pPr>
              <w:spacing w:line="440" w:lineRule="exact"/>
              <w:jc w:val="center"/>
              <w:rPr>
                <w:rFonts w:ascii="宋体" w:hAnsi="宋体" w:cs="宋体"/>
                <w:szCs w:val="21"/>
              </w:rPr>
            </w:pPr>
            <w:r>
              <w:rPr>
                <w:rFonts w:hint="eastAsia" w:ascii="宋体" w:hAnsi="宋体" w:cs="宋体"/>
                <w:szCs w:val="21"/>
              </w:rPr>
              <w:t>管理组织机构</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D62DA18">
            <w:pPr>
              <w:spacing w:line="440" w:lineRule="exact"/>
              <w:rPr>
                <w:rFonts w:ascii="宋体" w:hAnsi="宋体" w:cs="宋体"/>
                <w:szCs w:val="21"/>
              </w:rPr>
            </w:pPr>
            <w:r>
              <w:rPr>
                <w:rFonts w:hint="eastAsia" w:ascii="宋体" w:hAnsi="宋体" w:cs="宋体"/>
                <w:szCs w:val="21"/>
              </w:rPr>
              <w:t>根据投标人提供的项目组织管理机构框架清晰全面程度（0-1分），职责分工规划（0-1分），监管措施合理（0-1分）情况的进行打分。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A04520F">
            <w:pPr>
              <w:spacing w:line="440" w:lineRule="exact"/>
              <w:jc w:val="center"/>
              <w:rPr>
                <w:rFonts w:ascii="宋体" w:hAnsi="宋体" w:cs="宋体"/>
                <w:szCs w:val="21"/>
              </w:rPr>
            </w:pPr>
            <w:r>
              <w:rPr>
                <w:rFonts w:hint="eastAsia" w:ascii="宋体" w:hAnsi="宋体" w:cs="宋体"/>
                <w:szCs w:val="21"/>
              </w:rPr>
              <w:t>3</w:t>
            </w:r>
          </w:p>
        </w:tc>
      </w:tr>
      <w:tr w14:paraId="5375A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46DAB">
            <w:pPr>
              <w:spacing w:line="440" w:lineRule="exact"/>
              <w:jc w:val="center"/>
              <w:rPr>
                <w:rFonts w:ascii="宋体" w:hAnsi="宋体" w:cs="宋体"/>
                <w:szCs w:val="21"/>
              </w:rPr>
            </w:pPr>
            <w:r>
              <w:rPr>
                <w:rFonts w:hint="eastAsia" w:ascii="宋体" w:hAnsi="宋体" w:cs="宋体"/>
                <w:szCs w:val="21"/>
              </w:rPr>
              <w:t>8</w:t>
            </w:r>
          </w:p>
        </w:tc>
        <w:tc>
          <w:tcPr>
            <w:tcW w:w="453" w:type="dxa"/>
            <w:vMerge w:val="continue"/>
            <w:tcBorders>
              <w:left w:val="single" w:color="auto" w:sz="4" w:space="0"/>
              <w:right w:val="single" w:color="auto" w:sz="4" w:space="0"/>
            </w:tcBorders>
            <w:shd w:val="clear" w:color="auto" w:fill="auto"/>
            <w:noWrap w:val="0"/>
            <w:vAlign w:val="center"/>
          </w:tcPr>
          <w:p w14:paraId="60152458">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C842FB">
            <w:pPr>
              <w:spacing w:line="440" w:lineRule="exact"/>
              <w:jc w:val="center"/>
              <w:rPr>
                <w:rFonts w:hint="eastAsia" w:ascii="宋体" w:hAnsi="宋体" w:cs="宋体"/>
                <w:szCs w:val="21"/>
              </w:rPr>
            </w:pPr>
            <w:r>
              <w:rPr>
                <w:rFonts w:hint="eastAsia" w:ascii="宋体" w:hAnsi="宋体" w:cs="宋体"/>
                <w:szCs w:val="21"/>
              </w:rPr>
              <w:t xml:space="preserve">总体 </w:t>
            </w:r>
          </w:p>
          <w:p w14:paraId="0909362D">
            <w:pPr>
              <w:spacing w:line="440" w:lineRule="exact"/>
              <w:jc w:val="center"/>
              <w:rPr>
                <w:rFonts w:ascii="宋体" w:hAnsi="宋体" w:cs="宋体"/>
                <w:szCs w:val="21"/>
              </w:rPr>
            </w:pPr>
            <w:r>
              <w:rPr>
                <w:rFonts w:hint="eastAsia" w:ascii="宋体" w:hAnsi="宋体" w:cs="宋体"/>
                <w:szCs w:val="21"/>
              </w:rPr>
              <w:t>方案</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0C27AE7B">
            <w:pPr>
              <w:spacing w:line="440" w:lineRule="exact"/>
              <w:rPr>
                <w:rFonts w:ascii="宋体" w:hAnsi="宋体" w:cs="宋体"/>
                <w:szCs w:val="21"/>
              </w:rPr>
            </w:pPr>
            <w:r>
              <w:rPr>
                <w:rFonts w:hint="eastAsia" w:ascii="宋体" w:hAnsi="宋体" w:cs="宋体"/>
                <w:szCs w:val="21"/>
              </w:rPr>
              <w:t>根据投标人总体服务方案（包括但不限于组织实施方案的科学性、合理性、规范性和可操作性程度等）进行打分。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F476926">
            <w:pPr>
              <w:spacing w:line="440" w:lineRule="exact"/>
              <w:jc w:val="center"/>
              <w:rPr>
                <w:rFonts w:ascii="宋体" w:hAnsi="宋体" w:cs="宋体"/>
                <w:szCs w:val="21"/>
              </w:rPr>
            </w:pPr>
            <w:r>
              <w:rPr>
                <w:rFonts w:hint="eastAsia" w:ascii="宋体" w:hAnsi="宋体" w:cs="宋体"/>
                <w:szCs w:val="21"/>
              </w:rPr>
              <w:t>3</w:t>
            </w:r>
          </w:p>
        </w:tc>
      </w:tr>
      <w:tr w14:paraId="3BC5C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29DC0F">
            <w:pPr>
              <w:spacing w:line="440" w:lineRule="exact"/>
              <w:jc w:val="center"/>
              <w:rPr>
                <w:rFonts w:hint="eastAsia" w:ascii="宋体" w:hAnsi="宋体" w:cs="宋体"/>
                <w:szCs w:val="21"/>
              </w:rPr>
            </w:pPr>
            <w:r>
              <w:rPr>
                <w:rFonts w:hint="eastAsia" w:ascii="宋体" w:hAnsi="宋体" w:cs="宋体"/>
                <w:szCs w:val="21"/>
              </w:rPr>
              <w:t>9</w:t>
            </w:r>
          </w:p>
        </w:tc>
        <w:tc>
          <w:tcPr>
            <w:tcW w:w="453" w:type="dxa"/>
            <w:vMerge w:val="continue"/>
            <w:tcBorders>
              <w:left w:val="single" w:color="auto" w:sz="4" w:space="0"/>
              <w:right w:val="single" w:color="auto" w:sz="4" w:space="0"/>
            </w:tcBorders>
            <w:noWrap w:val="0"/>
            <w:vAlign w:val="center"/>
          </w:tcPr>
          <w:p w14:paraId="393C09CB">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5394EF5">
            <w:pPr>
              <w:spacing w:line="440" w:lineRule="exact"/>
              <w:jc w:val="center"/>
              <w:rPr>
                <w:rFonts w:ascii="宋体" w:hAnsi="宋体" w:cs="宋体"/>
                <w:szCs w:val="21"/>
              </w:rPr>
            </w:pPr>
            <w:r>
              <w:rPr>
                <w:rFonts w:hint="eastAsia" w:ascii="宋体" w:hAnsi="宋体" w:cs="宋体"/>
                <w:szCs w:val="21"/>
              </w:rPr>
              <w:t>工期保障措施</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1F17B36C">
            <w:pPr>
              <w:spacing w:line="440" w:lineRule="exact"/>
              <w:rPr>
                <w:rFonts w:hint="eastAsia" w:ascii="宋体" w:hAnsi="宋体" w:cs="宋体"/>
                <w:szCs w:val="21"/>
              </w:rPr>
            </w:pPr>
            <w:r>
              <w:rPr>
                <w:rFonts w:hint="eastAsia" w:ascii="宋体" w:hAnsi="宋体" w:cs="宋体"/>
                <w:szCs w:val="21"/>
              </w:rPr>
              <w:t>根据投标人工作量及进度安排实施方案（包括但不限于各阶段工作量及计划安排内容是否充实、进度是否合理、科学，前期勘探、调查的人员、车辆等安排是否合理等）进行打分。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075BD378">
            <w:pPr>
              <w:spacing w:line="440" w:lineRule="exact"/>
              <w:jc w:val="center"/>
              <w:rPr>
                <w:rFonts w:hint="eastAsia" w:ascii="宋体" w:hAnsi="宋体" w:cs="宋体"/>
                <w:szCs w:val="21"/>
              </w:rPr>
            </w:pPr>
            <w:r>
              <w:rPr>
                <w:rFonts w:hint="eastAsia" w:ascii="宋体" w:hAnsi="宋体" w:cs="宋体"/>
                <w:szCs w:val="21"/>
              </w:rPr>
              <w:t>3</w:t>
            </w:r>
          </w:p>
        </w:tc>
      </w:tr>
      <w:tr w14:paraId="4CCC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30080662">
            <w:pPr>
              <w:spacing w:line="440" w:lineRule="exact"/>
              <w:jc w:val="center"/>
              <w:rPr>
                <w:rFonts w:hint="eastAsia" w:ascii="宋体" w:hAnsi="宋体" w:cs="宋体"/>
                <w:szCs w:val="21"/>
              </w:rPr>
            </w:pPr>
            <w:r>
              <w:rPr>
                <w:rFonts w:hint="eastAsia" w:ascii="宋体" w:hAnsi="宋体" w:cs="宋体"/>
                <w:szCs w:val="21"/>
              </w:rPr>
              <w:t>10</w:t>
            </w:r>
          </w:p>
        </w:tc>
        <w:tc>
          <w:tcPr>
            <w:tcW w:w="453" w:type="dxa"/>
            <w:vMerge w:val="continue"/>
            <w:tcBorders>
              <w:left w:val="single" w:color="auto" w:sz="4" w:space="0"/>
              <w:right w:val="single" w:color="auto" w:sz="4" w:space="0"/>
            </w:tcBorders>
            <w:noWrap w:val="0"/>
            <w:vAlign w:val="center"/>
          </w:tcPr>
          <w:p w14:paraId="66E314A2">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C6B7749">
            <w:pPr>
              <w:spacing w:line="440" w:lineRule="exact"/>
              <w:jc w:val="center"/>
              <w:rPr>
                <w:rFonts w:hint="eastAsia" w:ascii="宋体" w:hAnsi="宋体" w:cs="宋体"/>
                <w:szCs w:val="21"/>
              </w:rPr>
            </w:pPr>
            <w:r>
              <w:rPr>
                <w:rFonts w:hint="eastAsia" w:ascii="宋体" w:hAnsi="宋体" w:cs="宋体"/>
                <w:szCs w:val="21"/>
              </w:rPr>
              <w:t xml:space="preserve">质量 </w:t>
            </w:r>
          </w:p>
          <w:p w14:paraId="4EF1B38F">
            <w:pPr>
              <w:spacing w:line="440" w:lineRule="exact"/>
              <w:jc w:val="center"/>
              <w:rPr>
                <w:rFonts w:hint="eastAsia" w:ascii="宋体" w:hAnsi="宋体" w:cs="宋体"/>
                <w:szCs w:val="21"/>
              </w:rPr>
            </w:pPr>
            <w:r>
              <w:rPr>
                <w:rFonts w:hint="eastAsia" w:ascii="宋体" w:hAnsi="宋体" w:cs="宋体"/>
                <w:szCs w:val="21"/>
              </w:rPr>
              <w:t>保障</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086DDA0B">
            <w:pPr>
              <w:spacing w:line="440" w:lineRule="exact"/>
              <w:rPr>
                <w:rFonts w:hint="eastAsia" w:ascii="宋体" w:hAnsi="宋体" w:cs="宋体"/>
                <w:szCs w:val="21"/>
              </w:rPr>
            </w:pPr>
            <w:r>
              <w:rPr>
                <w:rFonts w:hint="eastAsia" w:ascii="宋体" w:hAnsi="宋体" w:cs="宋体"/>
                <w:szCs w:val="21"/>
              </w:rPr>
              <w:t>有明确的质量目标，质量保证措施，并具有详细可行的实施内容；质量监督管理机构是否健全、制度是否完善、服务质量能否符合采购人规定；质量保证措施是否符合项目实际，切实可行等</w:t>
            </w:r>
            <w:r>
              <w:rPr>
                <w:rFonts w:hint="eastAsia" w:ascii="宋体" w:hAnsi="宋体" w:cs="宋体"/>
                <w:kern w:val="0"/>
                <w:szCs w:val="21"/>
              </w:rPr>
              <w:t>情况进行打分</w:t>
            </w:r>
            <w:r>
              <w:rPr>
                <w:rFonts w:hint="eastAsia" w:ascii="宋体" w:hAnsi="宋体" w:cs="宋体"/>
                <w:szCs w:val="21"/>
              </w:rPr>
              <w:t>。</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893394C">
            <w:pPr>
              <w:spacing w:line="440" w:lineRule="exact"/>
              <w:jc w:val="center"/>
              <w:rPr>
                <w:rFonts w:hint="eastAsia" w:ascii="宋体" w:hAnsi="宋体" w:cs="宋体"/>
                <w:szCs w:val="21"/>
              </w:rPr>
            </w:pPr>
            <w:r>
              <w:rPr>
                <w:rFonts w:hint="eastAsia" w:ascii="宋体" w:hAnsi="宋体" w:cs="宋体"/>
                <w:szCs w:val="21"/>
              </w:rPr>
              <w:t>3</w:t>
            </w:r>
          </w:p>
        </w:tc>
      </w:tr>
      <w:tr w14:paraId="501F6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08514393">
            <w:pPr>
              <w:spacing w:line="440" w:lineRule="exact"/>
              <w:jc w:val="center"/>
              <w:rPr>
                <w:rFonts w:ascii="宋体" w:hAnsi="宋体" w:cs="宋体"/>
                <w:szCs w:val="21"/>
              </w:rPr>
            </w:pPr>
            <w:r>
              <w:rPr>
                <w:rFonts w:hint="eastAsia" w:ascii="宋体" w:hAnsi="宋体" w:cs="宋体"/>
                <w:szCs w:val="21"/>
              </w:rPr>
              <w:t>11</w:t>
            </w:r>
          </w:p>
        </w:tc>
        <w:tc>
          <w:tcPr>
            <w:tcW w:w="453" w:type="dxa"/>
            <w:vMerge w:val="continue"/>
            <w:tcBorders>
              <w:left w:val="single" w:color="auto" w:sz="4" w:space="0"/>
              <w:right w:val="single" w:color="auto" w:sz="4" w:space="0"/>
            </w:tcBorders>
            <w:noWrap w:val="0"/>
            <w:vAlign w:val="center"/>
          </w:tcPr>
          <w:p w14:paraId="375AD4C6">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293E6CDF">
            <w:pPr>
              <w:spacing w:line="440" w:lineRule="exact"/>
              <w:jc w:val="center"/>
              <w:rPr>
                <w:rFonts w:ascii="宋体" w:hAnsi="宋体" w:cs="宋体"/>
                <w:szCs w:val="21"/>
              </w:rPr>
            </w:pPr>
            <w:r>
              <w:rPr>
                <w:rFonts w:hint="eastAsia" w:ascii="宋体" w:hAnsi="宋体" w:cs="宋体"/>
                <w:szCs w:val="21"/>
              </w:rPr>
              <w:t>拟投入设备</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E5B7DD3">
            <w:pPr>
              <w:spacing w:line="440" w:lineRule="exact"/>
              <w:rPr>
                <w:rFonts w:hint="eastAsia" w:ascii="宋体" w:hAnsi="宋体" w:cs="宋体"/>
                <w:szCs w:val="21"/>
              </w:rPr>
            </w:pPr>
            <w:r>
              <w:rPr>
                <w:rFonts w:hint="eastAsia" w:ascii="宋体" w:hAnsi="宋体" w:cs="宋体"/>
                <w:szCs w:val="21"/>
              </w:rPr>
              <w:t>投标人拟投入伐木油锯一套的得0.5分，二套得1分，以此类推，最高5分。（投标人需提供砍伐设备清单，并提供自有购置发票或照片）</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616FA225">
            <w:pPr>
              <w:spacing w:line="440" w:lineRule="exact"/>
              <w:jc w:val="center"/>
              <w:rPr>
                <w:rFonts w:hint="eastAsia" w:ascii="宋体" w:hAnsi="宋体" w:cs="宋体"/>
                <w:szCs w:val="21"/>
              </w:rPr>
            </w:pPr>
            <w:r>
              <w:rPr>
                <w:rFonts w:hint="eastAsia" w:ascii="宋体" w:hAnsi="宋体" w:cs="宋体"/>
                <w:szCs w:val="21"/>
              </w:rPr>
              <w:t>5</w:t>
            </w:r>
          </w:p>
        </w:tc>
      </w:tr>
      <w:tr w14:paraId="2D0F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03ECD2">
            <w:pPr>
              <w:spacing w:line="440" w:lineRule="exact"/>
              <w:jc w:val="center"/>
              <w:rPr>
                <w:rFonts w:ascii="宋体" w:hAnsi="宋体" w:cs="宋体"/>
                <w:szCs w:val="21"/>
              </w:rPr>
            </w:pPr>
            <w:r>
              <w:rPr>
                <w:rFonts w:hint="eastAsia" w:ascii="宋体" w:hAnsi="宋体" w:cs="宋体"/>
                <w:szCs w:val="21"/>
              </w:rPr>
              <w:t>12</w:t>
            </w:r>
          </w:p>
        </w:tc>
        <w:tc>
          <w:tcPr>
            <w:tcW w:w="453" w:type="dxa"/>
            <w:vMerge w:val="continue"/>
            <w:tcBorders>
              <w:left w:val="single" w:color="auto" w:sz="4" w:space="0"/>
              <w:right w:val="single" w:color="auto" w:sz="4" w:space="0"/>
            </w:tcBorders>
            <w:noWrap w:val="0"/>
            <w:vAlign w:val="center"/>
          </w:tcPr>
          <w:p w14:paraId="1B70FDDD">
            <w:pPr>
              <w:spacing w:line="440" w:lineRule="exact"/>
              <w:rPr>
                <w:rFonts w:hint="eastAsia" w:ascii="宋体" w:hAnsi="宋体" w:cs="宋体"/>
                <w:szCs w:val="21"/>
              </w:rPr>
            </w:pPr>
          </w:p>
        </w:tc>
        <w:tc>
          <w:tcPr>
            <w:tcW w:w="991" w:type="dxa"/>
            <w:vMerge w:val="continue"/>
            <w:tcBorders>
              <w:left w:val="single" w:color="auto" w:sz="4" w:space="0"/>
              <w:bottom w:val="single" w:color="auto" w:sz="4" w:space="0"/>
              <w:right w:val="single" w:color="auto" w:sz="4" w:space="0"/>
            </w:tcBorders>
            <w:noWrap w:val="0"/>
            <w:vAlign w:val="center"/>
          </w:tcPr>
          <w:p w14:paraId="54620271">
            <w:pPr>
              <w:spacing w:line="440" w:lineRule="exact"/>
              <w:jc w:val="center"/>
              <w:rPr>
                <w:rFonts w:hint="eastAsia" w:ascii="宋体" w:hAnsi="宋体" w:cs="宋体"/>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6BE8A8B3">
            <w:pPr>
              <w:spacing w:line="440" w:lineRule="exact"/>
              <w:rPr>
                <w:rFonts w:hint="eastAsia" w:ascii="宋体" w:hAnsi="宋体" w:cs="宋体"/>
                <w:szCs w:val="21"/>
              </w:rPr>
            </w:pPr>
            <w:r>
              <w:rPr>
                <w:rFonts w:hint="eastAsia" w:ascii="宋体" w:hAnsi="宋体" w:cs="宋体"/>
                <w:szCs w:val="21"/>
              </w:rPr>
              <w:t>投标人运输车辆情况，每提供一辆车（轻型或小型货车）的得2分，最多得4分。</w:t>
            </w:r>
          </w:p>
          <w:p w14:paraId="07156649">
            <w:pPr>
              <w:spacing w:line="440" w:lineRule="exact"/>
              <w:rPr>
                <w:rFonts w:hint="eastAsia" w:ascii="宋体" w:hAnsi="宋体" w:cs="宋体"/>
                <w:szCs w:val="21"/>
              </w:rPr>
            </w:pPr>
            <w:r>
              <w:rPr>
                <w:rFonts w:hint="eastAsia" w:ascii="宋体" w:hAnsi="宋体" w:cs="宋体"/>
                <w:szCs w:val="21"/>
              </w:rPr>
              <w:t>（车辆为自有的提供车辆照片和行驶证，如非自有车辆的提供工期内租赁合同</w:t>
            </w:r>
            <w:r>
              <w:rPr>
                <w:rFonts w:hint="eastAsia" w:ascii="宋体" w:hAnsi="宋体" w:cs="宋体"/>
                <w:szCs w:val="21"/>
                <w:lang w:eastAsia="zh-CN"/>
              </w:rPr>
              <w:t>、</w:t>
            </w:r>
            <w:r>
              <w:rPr>
                <w:rFonts w:hint="eastAsia" w:ascii="宋体" w:hAnsi="宋体" w:cs="宋体"/>
                <w:szCs w:val="21"/>
              </w:rPr>
              <w:t>车辆照片、行驶证。）</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37E5422">
            <w:pPr>
              <w:spacing w:line="440" w:lineRule="exact"/>
              <w:jc w:val="center"/>
              <w:rPr>
                <w:rFonts w:ascii="宋体" w:hAnsi="宋体" w:cs="宋体"/>
                <w:szCs w:val="21"/>
              </w:rPr>
            </w:pPr>
            <w:r>
              <w:rPr>
                <w:rFonts w:hint="eastAsia" w:ascii="宋体" w:hAnsi="宋体" w:cs="宋体"/>
                <w:szCs w:val="21"/>
              </w:rPr>
              <w:t>4</w:t>
            </w:r>
          </w:p>
        </w:tc>
      </w:tr>
      <w:tr w14:paraId="39B8C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7A42FA">
            <w:pPr>
              <w:spacing w:line="440" w:lineRule="exact"/>
              <w:jc w:val="center"/>
              <w:rPr>
                <w:rFonts w:ascii="宋体" w:hAnsi="宋体" w:cs="宋体"/>
                <w:szCs w:val="21"/>
              </w:rPr>
            </w:pPr>
            <w:r>
              <w:rPr>
                <w:rFonts w:hint="eastAsia" w:ascii="宋体" w:hAnsi="宋体" w:cs="宋体"/>
                <w:szCs w:val="21"/>
              </w:rPr>
              <w:t>13</w:t>
            </w:r>
          </w:p>
        </w:tc>
        <w:tc>
          <w:tcPr>
            <w:tcW w:w="453" w:type="dxa"/>
            <w:vMerge w:val="continue"/>
            <w:tcBorders>
              <w:left w:val="single" w:color="auto" w:sz="4" w:space="0"/>
              <w:right w:val="single" w:color="auto" w:sz="4" w:space="0"/>
            </w:tcBorders>
            <w:noWrap w:val="0"/>
            <w:vAlign w:val="center"/>
          </w:tcPr>
          <w:p w14:paraId="13C63055">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751F2E42">
            <w:pPr>
              <w:spacing w:line="440" w:lineRule="exact"/>
              <w:jc w:val="center"/>
              <w:rPr>
                <w:rFonts w:hint="eastAsia" w:ascii="宋体" w:hAnsi="宋体" w:cs="宋体"/>
                <w:szCs w:val="21"/>
              </w:rPr>
            </w:pPr>
            <w:r>
              <w:rPr>
                <w:rFonts w:hint="eastAsia" w:ascii="宋体" w:hAnsi="宋体" w:cs="宋体"/>
                <w:szCs w:val="21"/>
              </w:rPr>
              <w:t>拟投入人员</w:t>
            </w:r>
          </w:p>
        </w:tc>
        <w:tc>
          <w:tcPr>
            <w:tcW w:w="7497" w:type="dxa"/>
            <w:tcBorders>
              <w:top w:val="single" w:color="auto" w:sz="4" w:space="0"/>
              <w:left w:val="single" w:color="auto" w:sz="4" w:space="0"/>
              <w:right w:val="single" w:color="auto" w:sz="4" w:space="0"/>
            </w:tcBorders>
            <w:noWrap w:val="0"/>
            <w:vAlign w:val="center"/>
          </w:tcPr>
          <w:p w14:paraId="419FE3AF">
            <w:pPr>
              <w:rPr>
                <w:rFonts w:ascii="宋体" w:hAnsi="宋体" w:eastAsia="宋体" w:cs="宋体"/>
              </w:rPr>
            </w:pPr>
            <w:r>
              <w:rPr>
                <w:rFonts w:hint="eastAsia" w:ascii="宋体" w:hAnsi="宋体" w:eastAsia="宋体" w:cs="宋体"/>
              </w:rPr>
              <w:t>公司有固定采伐工10人及以上得5分，每少1人扣0.5分，扣完为止。</w:t>
            </w:r>
          </w:p>
          <w:p w14:paraId="3CD05CA8">
            <w:pPr>
              <w:spacing w:line="440" w:lineRule="exact"/>
              <w:rPr>
                <w:rFonts w:hint="eastAsia" w:ascii="宋体" w:hAnsi="宋体" w:cs="宋体"/>
                <w:szCs w:val="21"/>
              </w:rPr>
            </w:pPr>
            <w:r>
              <w:rPr>
                <w:rFonts w:hint="eastAsia" w:ascii="宋体" w:hAnsi="宋体" w:eastAsia="宋体" w:cs="宋体"/>
              </w:rPr>
              <w:t>（须提供雇用采伐工人员名单清册，身份证加盖公章）</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5AF10F5">
            <w:pPr>
              <w:pStyle w:val="47"/>
              <w:spacing w:before="0" w:beforeAutospacing="0" w:after="0" w:afterAutospacing="0" w:line="440" w:lineRule="exact"/>
              <w:jc w:val="center"/>
              <w:rPr>
                <w:rFonts w:hint="default" w:eastAsia="宋体" w:cs="宋体"/>
                <w:color w:val="auto"/>
                <w:kern w:val="2"/>
                <w:sz w:val="21"/>
                <w:szCs w:val="21"/>
                <w:lang w:val="en-US" w:eastAsia="zh-CN"/>
              </w:rPr>
            </w:pPr>
            <w:r>
              <w:rPr>
                <w:rFonts w:hint="eastAsia" w:cs="宋体"/>
                <w:color w:val="auto"/>
                <w:kern w:val="2"/>
                <w:sz w:val="21"/>
                <w:szCs w:val="21"/>
                <w:lang w:val="en-US" w:eastAsia="zh-CN"/>
              </w:rPr>
              <w:t>5</w:t>
            </w:r>
          </w:p>
        </w:tc>
      </w:tr>
      <w:tr w14:paraId="2403B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7181C5">
            <w:pPr>
              <w:spacing w:line="440" w:lineRule="exact"/>
              <w:jc w:val="center"/>
              <w:rPr>
                <w:rFonts w:ascii="宋体" w:hAnsi="宋体" w:cs="宋体"/>
                <w:szCs w:val="21"/>
              </w:rPr>
            </w:pPr>
            <w:r>
              <w:rPr>
                <w:rFonts w:hint="eastAsia" w:ascii="宋体" w:hAnsi="宋体" w:cs="宋体"/>
                <w:szCs w:val="21"/>
              </w:rPr>
              <w:t>14</w:t>
            </w:r>
          </w:p>
        </w:tc>
        <w:tc>
          <w:tcPr>
            <w:tcW w:w="453" w:type="dxa"/>
            <w:vMerge w:val="continue"/>
            <w:tcBorders>
              <w:left w:val="single" w:color="auto" w:sz="4" w:space="0"/>
              <w:right w:val="single" w:color="auto" w:sz="4" w:space="0"/>
            </w:tcBorders>
            <w:noWrap w:val="0"/>
            <w:vAlign w:val="center"/>
          </w:tcPr>
          <w:p w14:paraId="0F4DB5F6">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364CC83C">
            <w:pPr>
              <w:spacing w:line="440" w:lineRule="exact"/>
              <w:jc w:val="center"/>
              <w:rPr>
                <w:rFonts w:hint="eastAsia" w:ascii="宋体" w:hAnsi="宋体" w:cs="宋体"/>
                <w:szCs w:val="21"/>
              </w:rPr>
            </w:pPr>
          </w:p>
        </w:tc>
        <w:tc>
          <w:tcPr>
            <w:tcW w:w="7497" w:type="dxa"/>
            <w:tcBorders>
              <w:top w:val="single" w:color="auto" w:sz="4" w:space="0"/>
              <w:left w:val="single" w:color="auto" w:sz="4" w:space="0"/>
              <w:right w:val="single" w:color="auto" w:sz="4" w:space="0"/>
            </w:tcBorders>
            <w:noWrap w:val="0"/>
            <w:vAlign w:val="center"/>
          </w:tcPr>
          <w:p w14:paraId="2A97FEEE">
            <w:pPr>
              <w:spacing w:line="440" w:lineRule="exact"/>
              <w:rPr>
                <w:rFonts w:hint="eastAsia" w:ascii="宋体" w:hAnsi="宋体" w:cs="宋体"/>
                <w:szCs w:val="21"/>
              </w:rPr>
            </w:pPr>
            <w:r>
              <w:rPr>
                <w:rFonts w:hint="eastAsia" w:ascii="宋体" w:hAnsi="宋体" w:eastAsia="宋体" w:cs="宋体"/>
              </w:rPr>
              <w:t>年龄结构18周岁—60周岁男劳力的，身体健康无疾病且从事伐木施工人员优先，（附雇用采伐工人员名单清册、人员身份证清单）进行打分（0-5分）。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6AEB0D3">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14:paraId="76E10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265E89AD">
            <w:pPr>
              <w:spacing w:line="440" w:lineRule="exact"/>
              <w:jc w:val="center"/>
              <w:rPr>
                <w:rFonts w:hint="eastAsia" w:ascii="宋体" w:hAnsi="宋体" w:cs="宋体"/>
                <w:szCs w:val="21"/>
              </w:rPr>
            </w:pPr>
            <w:r>
              <w:rPr>
                <w:rFonts w:hint="eastAsia" w:ascii="宋体" w:hAnsi="宋体" w:cs="宋体"/>
                <w:b/>
                <w:szCs w:val="21"/>
              </w:rPr>
              <w:t>二</w:t>
            </w:r>
          </w:p>
        </w:tc>
        <w:tc>
          <w:tcPr>
            <w:tcW w:w="8941" w:type="dxa"/>
            <w:gridSpan w:val="3"/>
            <w:tcBorders>
              <w:top w:val="single" w:color="auto" w:sz="4" w:space="0"/>
              <w:left w:val="single" w:color="auto" w:sz="4" w:space="0"/>
              <w:bottom w:val="single" w:color="auto" w:sz="4" w:space="0"/>
              <w:right w:val="single" w:color="auto" w:sz="4" w:space="0"/>
            </w:tcBorders>
            <w:noWrap w:val="0"/>
            <w:vAlign w:val="center"/>
          </w:tcPr>
          <w:p w14:paraId="440C0EA7">
            <w:pPr>
              <w:spacing w:line="440" w:lineRule="exact"/>
              <w:jc w:val="center"/>
              <w:rPr>
                <w:rFonts w:hint="eastAsia" w:ascii="宋体" w:hAnsi="宋体" w:cs="宋体"/>
                <w:szCs w:val="21"/>
              </w:rPr>
            </w:pPr>
            <w:r>
              <w:rPr>
                <w:rFonts w:hint="eastAsia" w:ascii="宋体" w:hAnsi="宋体" w:cs="宋体"/>
                <w:b/>
                <w:szCs w:val="21"/>
              </w:rPr>
              <w:t>商务、资信及其他分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EE16FB2">
            <w:pPr>
              <w:spacing w:line="440" w:lineRule="exact"/>
              <w:jc w:val="center"/>
              <w:rPr>
                <w:rFonts w:hint="eastAsia" w:ascii="宋体" w:hAnsi="宋体" w:cs="宋体"/>
                <w:szCs w:val="21"/>
              </w:rPr>
            </w:pPr>
            <w:r>
              <w:rPr>
                <w:rFonts w:hint="eastAsia" w:ascii="宋体" w:hAnsi="宋体" w:cs="宋体"/>
                <w:b/>
                <w:szCs w:val="21"/>
                <w:lang w:val="en-US" w:eastAsia="zh-CN"/>
              </w:rPr>
              <w:t>15</w:t>
            </w:r>
            <w:r>
              <w:rPr>
                <w:rFonts w:hint="eastAsia" w:ascii="宋体" w:hAnsi="宋体" w:cs="宋体"/>
                <w:b/>
                <w:szCs w:val="21"/>
              </w:rPr>
              <w:t>分</w:t>
            </w:r>
          </w:p>
        </w:tc>
      </w:tr>
      <w:tr w14:paraId="49373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jc w:val="center"/>
        </w:trPr>
        <w:tc>
          <w:tcPr>
            <w:tcW w:w="758" w:type="dxa"/>
            <w:tcBorders>
              <w:top w:val="single" w:color="auto" w:sz="4" w:space="0"/>
              <w:left w:val="single" w:color="auto" w:sz="4" w:space="0"/>
              <w:right w:val="single" w:color="auto" w:sz="4" w:space="0"/>
            </w:tcBorders>
            <w:noWrap w:val="0"/>
            <w:vAlign w:val="center"/>
          </w:tcPr>
          <w:p w14:paraId="0500C87D">
            <w:pPr>
              <w:spacing w:line="440" w:lineRule="exact"/>
              <w:jc w:val="center"/>
              <w:rPr>
                <w:rFonts w:ascii="宋体" w:hAnsi="宋体" w:cs="宋体"/>
                <w:szCs w:val="21"/>
              </w:rPr>
            </w:pPr>
            <w:r>
              <w:rPr>
                <w:rFonts w:hint="eastAsia" w:ascii="宋体" w:hAnsi="宋体" w:cs="宋体"/>
                <w:szCs w:val="21"/>
              </w:rPr>
              <w:t>15</w:t>
            </w:r>
          </w:p>
        </w:tc>
        <w:tc>
          <w:tcPr>
            <w:tcW w:w="453" w:type="dxa"/>
            <w:vMerge w:val="restart"/>
            <w:tcBorders>
              <w:top w:val="single" w:color="auto" w:sz="4" w:space="0"/>
              <w:left w:val="single" w:color="auto" w:sz="4" w:space="0"/>
              <w:right w:val="single" w:color="auto" w:sz="4" w:space="0"/>
            </w:tcBorders>
            <w:noWrap w:val="0"/>
            <w:vAlign w:val="center"/>
          </w:tcPr>
          <w:p w14:paraId="02F314BD">
            <w:pPr>
              <w:spacing w:line="440" w:lineRule="exact"/>
              <w:rPr>
                <w:rFonts w:hint="eastAsia" w:ascii="宋体" w:hAnsi="宋体" w:cs="宋体"/>
                <w:szCs w:val="21"/>
              </w:rPr>
            </w:pPr>
            <w:r>
              <w:rPr>
                <w:rFonts w:hint="eastAsia" w:ascii="宋体" w:hAnsi="宋体" w:cs="宋体"/>
                <w:szCs w:val="21"/>
              </w:rPr>
              <w:t>履约能力及售后服务能力</w:t>
            </w:r>
          </w:p>
        </w:tc>
        <w:tc>
          <w:tcPr>
            <w:tcW w:w="991" w:type="dxa"/>
            <w:tcBorders>
              <w:top w:val="single" w:color="auto" w:sz="4" w:space="0"/>
              <w:left w:val="single" w:color="auto" w:sz="4" w:space="0"/>
              <w:right w:val="single" w:color="auto" w:sz="4" w:space="0"/>
            </w:tcBorders>
            <w:noWrap w:val="0"/>
            <w:vAlign w:val="center"/>
          </w:tcPr>
          <w:p w14:paraId="21D9807B">
            <w:pPr>
              <w:spacing w:line="440" w:lineRule="exact"/>
              <w:rPr>
                <w:rFonts w:ascii="宋体" w:hAnsi="宋体" w:cs="宋体"/>
                <w:szCs w:val="21"/>
              </w:rPr>
            </w:pPr>
            <w:r>
              <w:rPr>
                <w:rFonts w:hint="eastAsia" w:ascii="新宋体" w:hAnsi="新宋体" w:eastAsia="新宋体" w:cs="新宋体"/>
                <w:szCs w:val="21"/>
              </w:rPr>
              <w:t>投标人综合情况</w:t>
            </w:r>
          </w:p>
        </w:tc>
        <w:tc>
          <w:tcPr>
            <w:tcW w:w="7497" w:type="dxa"/>
            <w:tcBorders>
              <w:top w:val="single" w:color="auto" w:sz="4" w:space="0"/>
              <w:left w:val="single" w:color="auto" w:sz="4" w:space="0"/>
              <w:right w:val="single" w:color="auto" w:sz="4" w:space="0"/>
            </w:tcBorders>
            <w:noWrap w:val="0"/>
            <w:vAlign w:val="center"/>
          </w:tcPr>
          <w:p w14:paraId="381CD0BC">
            <w:pPr>
              <w:widowControl/>
              <w:snapToGrid w:val="0"/>
              <w:spacing w:line="360" w:lineRule="exact"/>
              <w:jc w:val="left"/>
              <w:textAlignment w:val="baseline"/>
              <w:rPr>
                <w:rFonts w:ascii="宋体" w:hAnsi="宋体" w:cs="宋体"/>
                <w:kern w:val="0"/>
                <w:szCs w:val="21"/>
              </w:rPr>
            </w:pPr>
            <w:r>
              <w:rPr>
                <w:rFonts w:hint="eastAsia" w:ascii="新宋体" w:hAnsi="新宋体" w:eastAsia="新宋体" w:cs="新宋体"/>
                <w:szCs w:val="21"/>
              </w:rPr>
              <w:t>根据投标人提供的①整体经营状况、②技术力量、③服务团队等方面进行综合评分。0-</w:t>
            </w:r>
            <w:r>
              <w:rPr>
                <w:rFonts w:hint="eastAsia" w:ascii="新宋体" w:hAnsi="新宋体" w:eastAsia="新宋体" w:cs="新宋体"/>
                <w:szCs w:val="21"/>
                <w:lang w:val="en-US" w:eastAsia="zh-CN"/>
              </w:rPr>
              <w:t>2</w:t>
            </w:r>
            <w:r>
              <w:rPr>
                <w:rFonts w:hint="eastAsia" w:ascii="新宋体" w:hAnsi="新宋体" w:eastAsia="新宋体" w:cs="新宋体"/>
                <w:szCs w:val="21"/>
              </w:rPr>
              <w:t>分</w:t>
            </w:r>
          </w:p>
        </w:tc>
        <w:tc>
          <w:tcPr>
            <w:tcW w:w="758" w:type="dxa"/>
            <w:tcBorders>
              <w:top w:val="single" w:color="auto" w:sz="4" w:space="0"/>
              <w:left w:val="single" w:color="auto" w:sz="4" w:space="0"/>
              <w:right w:val="single" w:color="auto" w:sz="4" w:space="0"/>
            </w:tcBorders>
            <w:noWrap w:val="0"/>
            <w:vAlign w:val="center"/>
          </w:tcPr>
          <w:p w14:paraId="1EB10CD3">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14:paraId="2112C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557E8D98">
            <w:pPr>
              <w:spacing w:line="440" w:lineRule="exact"/>
              <w:jc w:val="center"/>
              <w:rPr>
                <w:rFonts w:ascii="宋体" w:hAnsi="宋体" w:cs="宋体"/>
                <w:szCs w:val="21"/>
              </w:rPr>
            </w:pPr>
            <w:r>
              <w:rPr>
                <w:rFonts w:hint="eastAsia" w:ascii="宋体" w:hAnsi="宋体" w:cs="宋体"/>
                <w:szCs w:val="21"/>
              </w:rPr>
              <w:t>16</w:t>
            </w:r>
          </w:p>
        </w:tc>
        <w:tc>
          <w:tcPr>
            <w:tcW w:w="453" w:type="dxa"/>
            <w:vMerge w:val="continue"/>
            <w:tcBorders>
              <w:left w:val="single" w:color="auto" w:sz="4" w:space="0"/>
              <w:right w:val="single" w:color="auto" w:sz="4" w:space="0"/>
            </w:tcBorders>
            <w:noWrap w:val="0"/>
            <w:vAlign w:val="center"/>
          </w:tcPr>
          <w:p w14:paraId="697C0031">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2D4FC308">
            <w:pPr>
              <w:pStyle w:val="47"/>
              <w:adjustRightInd w:val="0"/>
              <w:spacing w:line="440" w:lineRule="exact"/>
              <w:jc w:val="center"/>
              <w:rPr>
                <w:rFonts w:hint="eastAsia" w:cs="宋体"/>
                <w:color w:val="auto"/>
                <w:sz w:val="21"/>
                <w:szCs w:val="21"/>
              </w:rPr>
            </w:pPr>
            <w:r>
              <w:rPr>
                <w:rFonts w:hint="eastAsia" w:cs="宋体"/>
                <w:color w:val="auto"/>
                <w:sz w:val="21"/>
                <w:szCs w:val="21"/>
              </w:rPr>
              <w:t xml:space="preserve">服务 </w:t>
            </w:r>
          </w:p>
          <w:p w14:paraId="11312AE1">
            <w:pPr>
              <w:pStyle w:val="47"/>
              <w:adjustRightInd w:val="0"/>
              <w:spacing w:line="440" w:lineRule="exact"/>
              <w:jc w:val="center"/>
              <w:rPr>
                <w:rFonts w:cs="宋体"/>
                <w:color w:val="auto"/>
                <w:sz w:val="21"/>
                <w:szCs w:val="21"/>
              </w:rPr>
            </w:pPr>
            <w:r>
              <w:rPr>
                <w:rFonts w:hint="eastAsia" w:cs="宋体"/>
                <w:color w:val="auto"/>
                <w:sz w:val="21"/>
                <w:szCs w:val="21"/>
              </w:rPr>
              <w:t>保障</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486859FF">
            <w:pPr>
              <w:spacing w:line="440" w:lineRule="exact"/>
              <w:rPr>
                <w:rFonts w:hint="eastAsia" w:ascii="宋体" w:hAnsi="宋体" w:cs="宋体"/>
                <w:kern w:val="0"/>
                <w:szCs w:val="21"/>
              </w:rPr>
            </w:pPr>
            <w:r>
              <w:rPr>
                <w:rFonts w:hint="eastAsia" w:ascii="宋体" w:hAnsi="宋体" w:cs="宋体"/>
                <w:kern w:val="0"/>
                <w:szCs w:val="21"/>
              </w:rPr>
              <w:t>根据投标人提供针对成交后工作的衔接、人员安排、与采购人各项工作相适应的服务运作流程的具体方案，进行打分。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40D22864">
            <w:pPr>
              <w:pStyle w:val="47"/>
              <w:adjustRightInd w:val="0"/>
              <w:spacing w:line="440" w:lineRule="exact"/>
              <w:jc w:val="center"/>
              <w:rPr>
                <w:rFonts w:cs="宋体"/>
                <w:color w:val="auto"/>
                <w:sz w:val="21"/>
                <w:szCs w:val="21"/>
              </w:rPr>
            </w:pPr>
            <w:r>
              <w:rPr>
                <w:rFonts w:hint="eastAsia" w:cs="宋体"/>
                <w:color w:val="auto"/>
                <w:sz w:val="21"/>
                <w:szCs w:val="21"/>
              </w:rPr>
              <w:t>3</w:t>
            </w:r>
          </w:p>
        </w:tc>
      </w:tr>
      <w:tr w14:paraId="03BCD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6D6556FB">
            <w:pPr>
              <w:spacing w:line="440" w:lineRule="exact"/>
              <w:jc w:val="center"/>
              <w:rPr>
                <w:rFonts w:ascii="宋体" w:hAnsi="宋体" w:cs="宋体"/>
                <w:szCs w:val="21"/>
              </w:rPr>
            </w:pPr>
            <w:r>
              <w:rPr>
                <w:rFonts w:hint="eastAsia" w:ascii="宋体" w:hAnsi="宋体" w:cs="宋体"/>
                <w:szCs w:val="21"/>
              </w:rPr>
              <w:t>17</w:t>
            </w:r>
          </w:p>
        </w:tc>
        <w:tc>
          <w:tcPr>
            <w:tcW w:w="453" w:type="dxa"/>
            <w:vMerge w:val="continue"/>
            <w:tcBorders>
              <w:left w:val="single" w:color="auto" w:sz="4" w:space="0"/>
              <w:right w:val="single" w:color="auto" w:sz="4" w:space="0"/>
            </w:tcBorders>
            <w:noWrap w:val="0"/>
            <w:vAlign w:val="center"/>
          </w:tcPr>
          <w:p w14:paraId="14C70D93">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7F56F7A8">
            <w:pPr>
              <w:pStyle w:val="47"/>
              <w:adjustRightInd w:val="0"/>
              <w:spacing w:line="440" w:lineRule="exact"/>
              <w:jc w:val="center"/>
              <w:rPr>
                <w:rFonts w:hint="eastAsia" w:cs="宋体"/>
                <w:color w:val="auto"/>
                <w:sz w:val="21"/>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1BC74AD4">
            <w:pPr>
              <w:spacing w:line="440" w:lineRule="exact"/>
              <w:rPr>
                <w:rFonts w:hint="eastAsia" w:ascii="宋体" w:hAnsi="宋体" w:cs="宋体"/>
                <w:szCs w:val="21"/>
              </w:rPr>
            </w:pPr>
            <w:r>
              <w:rPr>
                <w:rFonts w:hint="eastAsia" w:ascii="宋体" w:hAnsi="宋体" w:cs="宋体"/>
                <w:szCs w:val="21"/>
              </w:rPr>
              <w:t>根据投标人针对突发性事件的应急抢险方案（包括应急抢险专业队伍的组织、台风季节、雨雪天气预防、临时任务等），进行打分。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21BC431C">
            <w:pPr>
              <w:pStyle w:val="47"/>
              <w:adjustRightInd w:val="0"/>
              <w:spacing w:line="440" w:lineRule="exact"/>
              <w:jc w:val="center"/>
              <w:rPr>
                <w:rFonts w:cs="宋体"/>
                <w:color w:val="auto"/>
                <w:sz w:val="21"/>
                <w:szCs w:val="21"/>
              </w:rPr>
            </w:pPr>
            <w:r>
              <w:rPr>
                <w:rFonts w:hint="eastAsia" w:cs="宋体"/>
                <w:color w:val="auto"/>
                <w:sz w:val="21"/>
                <w:szCs w:val="21"/>
              </w:rPr>
              <w:t>2</w:t>
            </w:r>
          </w:p>
        </w:tc>
      </w:tr>
      <w:tr w14:paraId="799CA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6CACE060">
            <w:pPr>
              <w:spacing w:line="440" w:lineRule="exact"/>
              <w:jc w:val="center"/>
              <w:rPr>
                <w:rFonts w:ascii="宋体" w:hAnsi="宋体" w:cs="宋体"/>
                <w:b/>
                <w:szCs w:val="21"/>
              </w:rPr>
            </w:pPr>
            <w:r>
              <w:rPr>
                <w:rFonts w:hint="eastAsia" w:ascii="宋体" w:hAnsi="宋体" w:cs="宋体"/>
                <w:bCs/>
                <w:szCs w:val="21"/>
              </w:rPr>
              <w:t>18</w:t>
            </w:r>
          </w:p>
        </w:tc>
        <w:tc>
          <w:tcPr>
            <w:tcW w:w="453" w:type="dxa"/>
            <w:vMerge w:val="continue"/>
            <w:tcBorders>
              <w:left w:val="single" w:color="auto" w:sz="4" w:space="0"/>
              <w:right w:val="single" w:color="auto" w:sz="4" w:space="0"/>
            </w:tcBorders>
            <w:noWrap w:val="0"/>
            <w:vAlign w:val="center"/>
          </w:tcPr>
          <w:p w14:paraId="269BFA68">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01B085E3">
            <w:pPr>
              <w:pStyle w:val="47"/>
              <w:adjustRightInd w:val="0"/>
              <w:spacing w:line="440" w:lineRule="exact"/>
              <w:jc w:val="center"/>
              <w:rPr>
                <w:rFonts w:hint="eastAsia" w:cs="宋体"/>
                <w:color w:val="auto"/>
                <w:sz w:val="21"/>
                <w:szCs w:val="21"/>
              </w:rPr>
            </w:pPr>
          </w:p>
        </w:tc>
        <w:tc>
          <w:tcPr>
            <w:tcW w:w="7497" w:type="dxa"/>
            <w:tcBorders>
              <w:top w:val="single" w:color="auto" w:sz="4" w:space="0"/>
              <w:left w:val="single" w:color="auto" w:sz="4" w:space="0"/>
              <w:bottom w:val="single" w:color="auto" w:sz="4" w:space="0"/>
              <w:right w:val="single" w:color="auto" w:sz="4" w:space="0"/>
            </w:tcBorders>
            <w:noWrap w:val="0"/>
            <w:vAlign w:val="center"/>
          </w:tcPr>
          <w:p w14:paraId="4F4F85CD">
            <w:pPr>
              <w:spacing w:line="440" w:lineRule="exact"/>
              <w:rPr>
                <w:rFonts w:hint="eastAsia" w:ascii="宋体" w:hAnsi="宋体" w:cs="宋体"/>
                <w:szCs w:val="21"/>
              </w:rPr>
            </w:pPr>
            <w:r>
              <w:rPr>
                <w:rFonts w:hint="eastAsia" w:ascii="宋体" w:hAnsi="宋体" w:cs="宋体"/>
                <w:szCs w:val="21"/>
              </w:rPr>
              <w:t>根据投标人售后服务体系和服务响应的便捷性和及时性进行打分。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7FBA0327">
            <w:pPr>
              <w:pStyle w:val="47"/>
              <w:adjustRightInd w:val="0"/>
              <w:spacing w:line="440" w:lineRule="exact"/>
              <w:jc w:val="center"/>
              <w:rPr>
                <w:rFonts w:cs="宋体"/>
                <w:color w:val="auto"/>
                <w:sz w:val="21"/>
                <w:szCs w:val="21"/>
              </w:rPr>
            </w:pPr>
            <w:r>
              <w:rPr>
                <w:rFonts w:hint="eastAsia" w:cs="宋体"/>
                <w:color w:val="auto"/>
                <w:sz w:val="21"/>
                <w:szCs w:val="21"/>
              </w:rPr>
              <w:t>1</w:t>
            </w:r>
          </w:p>
        </w:tc>
      </w:tr>
      <w:tr w14:paraId="60D21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888180">
            <w:pPr>
              <w:spacing w:line="440" w:lineRule="exact"/>
              <w:jc w:val="center"/>
              <w:rPr>
                <w:rFonts w:ascii="宋体" w:hAnsi="宋体" w:cs="宋体"/>
                <w:szCs w:val="21"/>
              </w:rPr>
            </w:pPr>
            <w:r>
              <w:rPr>
                <w:rFonts w:hint="eastAsia" w:ascii="宋体" w:hAnsi="宋体" w:cs="宋体"/>
                <w:szCs w:val="21"/>
              </w:rPr>
              <w:t>19</w:t>
            </w:r>
          </w:p>
        </w:tc>
        <w:tc>
          <w:tcPr>
            <w:tcW w:w="453" w:type="dxa"/>
            <w:vMerge w:val="continue"/>
            <w:tcBorders>
              <w:left w:val="single" w:color="auto" w:sz="4" w:space="0"/>
              <w:right w:val="single" w:color="auto" w:sz="4" w:space="0"/>
            </w:tcBorders>
            <w:noWrap w:val="0"/>
            <w:vAlign w:val="center"/>
          </w:tcPr>
          <w:p w14:paraId="47F1D725">
            <w:pPr>
              <w:spacing w:line="440" w:lineRule="exact"/>
              <w:rPr>
                <w:rFonts w:hint="eastAsia" w:ascii="宋体" w:hAnsi="宋体" w:cs="宋体"/>
                <w:b/>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8D49B53">
            <w:pPr>
              <w:spacing w:line="440" w:lineRule="exact"/>
              <w:jc w:val="center"/>
              <w:rPr>
                <w:rFonts w:hint="eastAsia" w:ascii="宋体" w:hAnsi="宋体" w:cs="宋体"/>
                <w:szCs w:val="21"/>
              </w:rPr>
            </w:pPr>
            <w:r>
              <w:rPr>
                <w:rFonts w:hint="eastAsia" w:ascii="宋体" w:hAnsi="宋体" w:cs="宋体"/>
                <w:kern w:val="0"/>
                <w:szCs w:val="21"/>
              </w:rPr>
              <w:t>意外伤害险</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2583D2FD">
            <w:pPr>
              <w:spacing w:line="440" w:lineRule="exact"/>
              <w:rPr>
                <w:rFonts w:hint="eastAsia" w:ascii="宋体" w:hAnsi="宋体" w:cs="宋体"/>
                <w:kern w:val="0"/>
                <w:szCs w:val="21"/>
              </w:rPr>
            </w:pPr>
            <w:r>
              <w:rPr>
                <w:rFonts w:hint="eastAsia" w:ascii="宋体" w:hAnsi="宋体" w:cs="宋体"/>
                <w:kern w:val="0"/>
                <w:szCs w:val="21"/>
              </w:rPr>
              <w:t>投标人能为项目服务人员办理意外伤害险，并且保险还在有效期内，按被保险人人数每人1分，本项最多得6分。（提供投标人的年度保险合同，否则不得分）</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39BCF104">
            <w:pPr>
              <w:pStyle w:val="47"/>
              <w:adjustRightInd w:val="0"/>
              <w:spacing w:line="440" w:lineRule="exact"/>
              <w:jc w:val="center"/>
              <w:rPr>
                <w:rFonts w:hint="eastAsia" w:cs="宋体"/>
                <w:b/>
                <w:color w:val="auto"/>
                <w:sz w:val="21"/>
                <w:szCs w:val="21"/>
              </w:rPr>
            </w:pPr>
            <w:r>
              <w:rPr>
                <w:rFonts w:hint="eastAsia" w:cs="宋体"/>
                <w:color w:val="auto"/>
                <w:kern w:val="2"/>
                <w:sz w:val="21"/>
                <w:szCs w:val="21"/>
              </w:rPr>
              <w:t>6</w:t>
            </w:r>
          </w:p>
        </w:tc>
      </w:tr>
      <w:tr w14:paraId="7E784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256C13D">
            <w:pPr>
              <w:spacing w:line="440" w:lineRule="exact"/>
              <w:jc w:val="center"/>
              <w:rPr>
                <w:rFonts w:ascii="宋体" w:hAnsi="宋体" w:cs="宋体"/>
                <w:szCs w:val="21"/>
              </w:rPr>
            </w:pPr>
            <w:r>
              <w:rPr>
                <w:rFonts w:hint="eastAsia" w:ascii="宋体" w:hAnsi="宋体" w:cs="宋体"/>
                <w:szCs w:val="21"/>
              </w:rPr>
              <w:t>20</w:t>
            </w:r>
          </w:p>
        </w:tc>
        <w:tc>
          <w:tcPr>
            <w:tcW w:w="453" w:type="dxa"/>
            <w:vMerge w:val="continue"/>
            <w:tcBorders>
              <w:left w:val="single" w:color="auto" w:sz="4" w:space="0"/>
              <w:right w:val="single" w:color="auto" w:sz="4" w:space="0"/>
            </w:tcBorders>
            <w:noWrap w:val="0"/>
            <w:vAlign w:val="center"/>
          </w:tcPr>
          <w:p w14:paraId="5E16966C">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03BC3B6">
            <w:pPr>
              <w:spacing w:line="440" w:lineRule="exact"/>
              <w:jc w:val="center"/>
              <w:rPr>
                <w:rFonts w:hint="eastAsia" w:ascii="宋体" w:hAnsi="宋体" w:cs="宋体"/>
                <w:kern w:val="0"/>
                <w:szCs w:val="21"/>
              </w:rPr>
            </w:pPr>
            <w:r>
              <w:rPr>
                <w:rFonts w:hint="eastAsia" w:ascii="宋体" w:hAnsi="宋体" w:cs="宋体"/>
                <w:kern w:val="0"/>
                <w:szCs w:val="21"/>
              </w:rPr>
              <w:t xml:space="preserve">同类 </w:t>
            </w:r>
          </w:p>
          <w:p w14:paraId="45F7D5EE">
            <w:pPr>
              <w:spacing w:line="440" w:lineRule="exact"/>
              <w:jc w:val="center"/>
              <w:rPr>
                <w:rFonts w:hint="eastAsia" w:ascii="宋体" w:hAnsi="宋体" w:cs="宋体"/>
                <w:kern w:val="0"/>
                <w:szCs w:val="21"/>
              </w:rPr>
            </w:pPr>
            <w:r>
              <w:rPr>
                <w:rFonts w:hint="eastAsia" w:ascii="宋体" w:hAnsi="宋体" w:cs="宋体"/>
                <w:kern w:val="0"/>
                <w:szCs w:val="21"/>
              </w:rPr>
              <w:t>业绩</w:t>
            </w:r>
          </w:p>
        </w:tc>
        <w:tc>
          <w:tcPr>
            <w:tcW w:w="7497" w:type="dxa"/>
            <w:tcBorders>
              <w:top w:val="single" w:color="auto" w:sz="4" w:space="0"/>
              <w:left w:val="single" w:color="auto" w:sz="4" w:space="0"/>
              <w:bottom w:val="single" w:color="auto" w:sz="4" w:space="0"/>
              <w:right w:val="single" w:color="auto" w:sz="4" w:space="0"/>
            </w:tcBorders>
            <w:noWrap w:val="0"/>
            <w:vAlign w:val="center"/>
          </w:tcPr>
          <w:p w14:paraId="3277A5FE">
            <w:pPr>
              <w:spacing w:line="440" w:lineRule="exact"/>
              <w:rPr>
                <w:rFonts w:hint="eastAsia" w:ascii="宋体" w:hAnsi="宋体" w:cs="宋体"/>
                <w:kern w:val="0"/>
                <w:szCs w:val="21"/>
              </w:rPr>
            </w:pPr>
            <w:r>
              <w:rPr>
                <w:rFonts w:hint="eastAsia" w:ascii="宋体" w:hAnsi="宋体" w:cs="宋体"/>
                <w:kern w:val="0"/>
                <w:szCs w:val="21"/>
              </w:rPr>
              <w:t>投标人自2020年1月以来有同类项目业绩得</w:t>
            </w:r>
            <w:r>
              <w:rPr>
                <w:rFonts w:hint="eastAsia" w:ascii="宋体" w:hAnsi="宋体" w:cs="宋体"/>
                <w:kern w:val="0"/>
                <w:szCs w:val="21"/>
                <w:lang w:val="en-US" w:eastAsia="zh-CN"/>
              </w:rPr>
              <w:t>1</w:t>
            </w:r>
            <w:r>
              <w:rPr>
                <w:rFonts w:hint="eastAsia" w:ascii="宋体" w:hAnsi="宋体" w:cs="宋体"/>
                <w:kern w:val="0"/>
                <w:szCs w:val="21"/>
              </w:rPr>
              <w:t>分。（须提供合同扫描件）</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2280F9D7">
            <w:pPr>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bl>
    <w:p w14:paraId="495DDE94">
      <w:pPr>
        <w:bidi w:val="0"/>
        <w:rPr>
          <w:rFonts w:hint="eastAsia"/>
        </w:rPr>
      </w:pPr>
    </w:p>
    <w:p w14:paraId="3FE1B6B0">
      <w:pPr>
        <w:spacing w:line="450" w:lineRule="exact"/>
        <w:jc w:val="left"/>
        <w:rPr>
          <w:rFonts w:hint="eastAsia" w:ascii="宋体" w:hAnsi="宋体" w:cs="宋体"/>
          <w:b/>
          <w:color w:val="auto"/>
          <w:kern w:val="0"/>
          <w:sz w:val="24"/>
          <w:highlight w:val="none"/>
        </w:rPr>
      </w:pPr>
      <w:r>
        <w:rPr>
          <w:rFonts w:hint="eastAsia" w:ascii="宋体" w:hAnsi="宋体" w:cs="宋体"/>
          <w:b/>
          <w:bCs/>
          <w:color w:val="auto"/>
          <w:sz w:val="24"/>
          <w:highlight w:val="none"/>
        </w:rPr>
        <w:t>注：1.如发现标书中有</w:t>
      </w:r>
      <w:r>
        <w:rPr>
          <w:rFonts w:hint="eastAsia" w:ascii="宋体" w:hAnsi="宋体" w:cs="宋体"/>
          <w:b/>
          <w:color w:val="auto"/>
          <w:kern w:val="0"/>
          <w:sz w:val="24"/>
          <w:highlight w:val="none"/>
        </w:rPr>
        <w:t>虚假响应的，一经采购单位查实，将上报给县政府采购监管部门，建议取消其采购资格。</w:t>
      </w:r>
    </w:p>
    <w:p w14:paraId="49D72E5B">
      <w:pPr>
        <w:spacing w:line="450" w:lineRule="exact"/>
        <w:ind w:firstLine="482" w:firstLineChars="200"/>
        <w:jc w:val="left"/>
        <w:rPr>
          <w:rFonts w:hint="eastAsia"/>
          <w:color w:val="auto"/>
          <w:highlight w:val="none"/>
        </w:rPr>
      </w:pPr>
      <w:r>
        <w:rPr>
          <w:rFonts w:hint="eastAsia" w:ascii="宋体" w:hAnsi="宋体" w:cs="宋体"/>
          <w:b/>
          <w:bCs/>
          <w:color w:val="auto"/>
          <w:sz w:val="24"/>
          <w:highlight w:val="none"/>
        </w:rPr>
        <w:t xml:space="preserve">2.以上评分涉及到证书、证件的均需编入技术商务标中，并加盖单位CA章，并提供彩色扫描件（原文件黑白的除外），否则不得分。 </w:t>
      </w:r>
    </w:p>
    <w:p w14:paraId="2BDC2D7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二、投标报价拆封</w:t>
      </w:r>
    </w:p>
    <w:p w14:paraId="716C0BF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有效投标人确定后，将对有效投标人投标报价进行启封，进入价格评分，报价得分最高</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分。报价超过最高限价的投标无效。投标文件中投标报价不明确的投标无效。</w:t>
      </w:r>
    </w:p>
    <w:p w14:paraId="4EFA57C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三、报价部分（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w:t>
      </w:r>
    </w:p>
    <w:p w14:paraId="3919D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1.评定评审基准价：对有效投标人的最低报价作为评标基准价，其报价为满分。</w:t>
      </w:r>
    </w:p>
    <w:p w14:paraId="1BD9B0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2.报价得分=（评标基准价/投标报价）×</w:t>
      </w:r>
      <w:r>
        <w:rPr>
          <w:rFonts w:hint="eastAsia" w:ascii="宋体" w:hAnsi="宋体" w:cs="宋体"/>
          <w:color w:val="auto"/>
          <w:sz w:val="24"/>
          <w:highlight w:val="none"/>
          <w:lang w:val="en-US" w:eastAsia="zh-CN"/>
        </w:rPr>
        <w:t>30</w:t>
      </w:r>
    </w:p>
    <w:p w14:paraId="19FD7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计算报价得分保留小数2位。</w:t>
      </w:r>
    </w:p>
    <w:p w14:paraId="2E93424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7CA7B1A4">
      <w:pPr>
        <w:pStyle w:val="107"/>
        <w:keepNext w:val="0"/>
        <w:keepLines w:val="0"/>
        <w:pageBreakBefore w:val="0"/>
        <w:kinsoku/>
        <w:wordWrap/>
        <w:overflowPunct/>
        <w:topLinePunct w:val="0"/>
        <w:autoSpaceDE/>
        <w:autoSpaceDN/>
        <w:bidi w:val="0"/>
        <w:adjustRightInd/>
        <w:spacing w:line="360" w:lineRule="auto"/>
        <w:ind w:left="0" w:firstLine="480" w:firstLineChars="200"/>
        <w:textAlignment w:val="auto"/>
        <w:rPr>
          <w:color w:val="auto"/>
          <w:highlight w:val="none"/>
        </w:rPr>
      </w:pPr>
      <w:r>
        <w:rPr>
          <w:rFonts w:hint="eastAsia" w:ascii="宋体" w:hAnsi="宋体" w:cs="宋体"/>
          <w:color w:val="auto"/>
          <w:kern w:val="2"/>
          <w:sz w:val="24"/>
          <w:szCs w:val="24"/>
          <w:highlight w:val="none"/>
        </w:rPr>
        <w:t>4.报价评审优惠按文件相关规定执行。</w:t>
      </w:r>
    </w:p>
    <w:p w14:paraId="6D8AFA5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四、计算总分（满分为100分）</w:t>
      </w:r>
    </w:p>
    <w:p w14:paraId="691806DF">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计算方法：总分 = 技术商务得分+报价得分</w:t>
      </w:r>
    </w:p>
    <w:p w14:paraId="531B9A1C">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五、授予合同</w:t>
      </w:r>
    </w:p>
    <w:p w14:paraId="60DDCB9B">
      <w:pPr>
        <w:spacing w:line="450" w:lineRule="exact"/>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（一）中标结果公示、中标通知书</w:t>
      </w:r>
    </w:p>
    <w:p w14:paraId="0C9C0A5A">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2E7D97D3">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2.《中标通知书》一经发出即发生法律效力，采购人改变中标结果或中标人放弃中标项目的，应当依法承担法律责任。</w:t>
      </w:r>
    </w:p>
    <w:p w14:paraId="5E23876D">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3.《中标通知书》将作为签订合同的依据。</w:t>
      </w:r>
    </w:p>
    <w:p w14:paraId="74E73F7B">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4.发布评标结果公示的媒体为：浙江省政府采购网</w:t>
      </w:r>
    </w:p>
    <w:p w14:paraId="15D49456">
      <w:pPr>
        <w:spacing w:line="450" w:lineRule="exact"/>
        <w:ind w:left="-141" w:leftChars="-67"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（二）签订合同</w:t>
      </w:r>
    </w:p>
    <w:p w14:paraId="3E8E6056">
      <w:pPr>
        <w:spacing w:line="450" w:lineRule="exact"/>
        <w:ind w:firstLine="458" w:firstLineChars="191"/>
        <w:rPr>
          <w:rFonts w:hint="eastAsia" w:ascii="宋体" w:hAnsi="宋体" w:cs="宋体"/>
          <w:color w:val="auto"/>
          <w:sz w:val="24"/>
          <w:highlight w:val="none"/>
        </w:rPr>
      </w:pPr>
      <w:r>
        <w:rPr>
          <w:rFonts w:hint="eastAsia" w:ascii="宋体" w:hAnsi="宋体" w:cs="宋体"/>
          <w:color w:val="auto"/>
          <w:sz w:val="24"/>
          <w:highlight w:val="none"/>
        </w:rPr>
        <w:t>1.中标人自接到《中标通知书》后应在规定的时间内，按指定的地点与采购人签订合同。</w:t>
      </w:r>
    </w:p>
    <w:p w14:paraId="1F88040C">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2.招标文件、中标人的投标文件、评标过程中投标人在询标时作出的承诺及其澄清文件、中标通知书等，均为合同的组成部分。</w:t>
      </w:r>
    </w:p>
    <w:p w14:paraId="5C2EE46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3A847871">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4.采购人和采购代理机构对评标结果不负责解释。</w:t>
      </w:r>
    </w:p>
    <w:p w14:paraId="54A329A2">
      <w:pPr>
        <w:snapToGrid w:val="0"/>
        <w:spacing w:before="50" w:after="50" w:line="276" w:lineRule="auto"/>
        <w:rPr>
          <w:rFonts w:ascii="宋体" w:hAnsi="宋体"/>
          <w:b/>
          <w:color w:val="auto"/>
          <w:sz w:val="24"/>
          <w:highlight w:val="none"/>
        </w:rPr>
      </w:pPr>
    </w:p>
    <w:p w14:paraId="69ED069D">
      <w:pPr>
        <w:pStyle w:val="3"/>
        <w:spacing w:line="360" w:lineRule="auto"/>
        <w:jc w:val="center"/>
        <w:rPr>
          <w:rFonts w:hint="eastAsia" w:ascii="黑体" w:hAnsi="宋体" w:eastAsia="黑体"/>
          <w:bCs w:val="0"/>
          <w:color w:val="auto"/>
          <w:sz w:val="30"/>
          <w:szCs w:val="30"/>
          <w:highlight w:val="none"/>
        </w:rPr>
      </w:pPr>
      <w:r>
        <w:rPr>
          <w:rFonts w:hint="eastAsia" w:ascii="黑体" w:hAnsi="宋体" w:eastAsia="黑体"/>
          <w:color w:val="auto"/>
          <w:sz w:val="30"/>
          <w:szCs w:val="30"/>
          <w:highlight w:val="none"/>
        </w:rPr>
        <w:br w:type="page"/>
      </w:r>
      <w:bookmarkStart w:id="318" w:name="_Toc31404"/>
      <w:bookmarkStart w:id="319" w:name="_Toc23240"/>
      <w:bookmarkStart w:id="320" w:name="_Toc9019"/>
      <w:bookmarkStart w:id="321" w:name="_Toc6920"/>
      <w:bookmarkStart w:id="322" w:name="_Toc8707"/>
      <w:bookmarkStart w:id="323" w:name="_Toc30214"/>
      <w:bookmarkStart w:id="324" w:name="_Toc19627"/>
      <w:bookmarkStart w:id="325" w:name="_Toc32161"/>
      <w:bookmarkStart w:id="326" w:name="_Toc25439"/>
      <w:bookmarkStart w:id="327" w:name="_Toc19256"/>
      <w:bookmarkStart w:id="328" w:name="_Toc10104"/>
      <w:bookmarkStart w:id="329" w:name="_Toc5751"/>
      <w:bookmarkStart w:id="330" w:name="_Toc14958"/>
      <w:bookmarkStart w:id="331" w:name="_Toc19042"/>
      <w:bookmarkStart w:id="332" w:name="_Toc7205"/>
      <w:bookmarkStart w:id="333" w:name="_Toc32133"/>
      <w:bookmarkStart w:id="334" w:name="_Toc22538"/>
      <w:bookmarkStart w:id="335" w:name="_Toc18751"/>
      <w:r>
        <w:rPr>
          <w:rFonts w:hint="eastAsia"/>
          <w:color w:val="auto"/>
          <w:highlight w:val="none"/>
        </w:rPr>
        <w:t>第五章  政府采购政策相关说明</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E17522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eastAsia="黑体"/>
          <w:b/>
          <w:bCs/>
          <w:color w:val="auto"/>
          <w:sz w:val="28"/>
          <w:szCs w:val="28"/>
          <w:highlight w:val="none"/>
        </w:rPr>
      </w:pPr>
      <w:bookmarkStart w:id="336" w:name="_Toc9215"/>
      <w:bookmarkStart w:id="337" w:name="_Toc30418"/>
      <w:bookmarkStart w:id="338" w:name="_Toc23523"/>
      <w:bookmarkStart w:id="339" w:name="_Toc20757"/>
      <w:bookmarkStart w:id="340" w:name="_Toc17234"/>
      <w:bookmarkStart w:id="341" w:name="_Toc19921"/>
      <w:bookmarkStart w:id="342" w:name="_Toc13627"/>
      <w:bookmarkStart w:id="343" w:name="_Toc5036"/>
      <w:bookmarkStart w:id="344" w:name="_Toc25133"/>
      <w:r>
        <w:rPr>
          <w:rFonts w:hint="eastAsia" w:ascii="黑体" w:eastAsia="黑体"/>
          <w:b/>
          <w:bCs/>
          <w:color w:val="auto"/>
          <w:sz w:val="28"/>
          <w:szCs w:val="28"/>
          <w:highlight w:val="none"/>
        </w:rPr>
        <w:t>一、政策优惠说明</w:t>
      </w:r>
      <w:bookmarkEnd w:id="336"/>
      <w:bookmarkEnd w:id="337"/>
      <w:bookmarkEnd w:id="338"/>
      <w:bookmarkEnd w:id="339"/>
      <w:bookmarkEnd w:id="340"/>
      <w:bookmarkEnd w:id="341"/>
    </w:p>
    <w:p w14:paraId="73D241B9">
      <w:pPr>
        <w:widowControl/>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财库（</w:t>
      </w:r>
      <w:r>
        <w:rPr>
          <w:rFonts w:hint="eastAsia" w:ascii="宋体" w:hAnsi="宋体" w:cs="宋体"/>
          <w:color w:val="auto"/>
          <w:sz w:val="24"/>
          <w:highlight w:val="none"/>
          <w:lang w:val="en-US" w:eastAsia="zh-CN"/>
        </w:rPr>
        <w:t>2020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46号、财库（2022）19号、</w:t>
      </w:r>
      <w:r>
        <w:rPr>
          <w:rFonts w:hint="eastAsia" w:ascii="宋体" w:hAnsi="宋体" w:cs="宋体"/>
          <w:color w:val="auto"/>
          <w:sz w:val="24"/>
          <w:highlight w:val="none"/>
        </w:rPr>
        <w:t>浙财采监（2022）3号</w:t>
      </w:r>
      <w:r>
        <w:rPr>
          <w:rFonts w:hint="eastAsia" w:ascii="宋体" w:hAnsi="宋体" w:cs="宋体"/>
          <w:color w:val="auto"/>
          <w:sz w:val="24"/>
          <w:highlight w:val="none"/>
          <w:lang w:eastAsia="zh-CN"/>
        </w:rPr>
        <w:t>和</w:t>
      </w:r>
      <w:r>
        <w:rPr>
          <w:rFonts w:hint="eastAsia" w:ascii="宋体" w:hAnsi="宋体" w:cs="宋体"/>
          <w:color w:val="auto"/>
          <w:sz w:val="24"/>
          <w:highlight w:val="none"/>
        </w:rPr>
        <w:t>浙财采监（2022）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号</w:t>
      </w:r>
      <w:r>
        <w:rPr>
          <w:rFonts w:hint="eastAsia" w:ascii="宋体" w:hAnsi="宋体" w:cs="宋体"/>
          <w:color w:val="auto"/>
          <w:sz w:val="24"/>
          <w:highlight w:val="none"/>
          <w:lang w:eastAsia="zh-CN"/>
        </w:rPr>
        <w:t>等</w:t>
      </w:r>
      <w:r>
        <w:rPr>
          <w:rFonts w:hint="eastAsia" w:ascii="宋体" w:hAnsi="宋体" w:cs="宋体"/>
          <w:color w:val="auto"/>
          <w:sz w:val="24"/>
          <w:highlight w:val="none"/>
        </w:rPr>
        <w:t>相关规定，未预留份额专门面向中小企业采购的采购项目，以及预留份额项目中的非预留部分标段，在评审时享受规定的中小企业扶持政策</w:t>
      </w:r>
      <w:r>
        <w:rPr>
          <w:rFonts w:hint="eastAsia" w:ascii="宋体" w:hAnsi="宋体" w:cs="宋体"/>
          <w:color w:val="auto"/>
          <w:sz w:val="24"/>
          <w:highlight w:val="none"/>
          <w:lang w:eastAsia="zh-CN"/>
        </w:rPr>
        <w:t>。</w:t>
      </w:r>
    </w:p>
    <w:p w14:paraId="448D6DD2">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货物、服务采购项目，</w:t>
      </w:r>
      <w:r>
        <w:rPr>
          <w:rFonts w:hint="eastAsia" w:ascii="宋体" w:hAnsi="宋体" w:cs="宋体"/>
          <w:color w:val="auto"/>
          <w:sz w:val="24"/>
          <w:highlight w:val="none"/>
          <w:lang w:eastAsia="zh-CN"/>
        </w:rPr>
        <w:t>对小微企业报价给予</w:t>
      </w:r>
      <w:r>
        <w:rPr>
          <w:rFonts w:hint="eastAsia" w:ascii="宋体" w:hAnsi="宋体" w:cs="宋体"/>
          <w:b/>
          <w:bCs/>
          <w:color w:val="auto"/>
          <w:sz w:val="24"/>
          <w:highlight w:val="none"/>
          <w:lang w:val="en-US" w:eastAsia="zh-CN"/>
        </w:rPr>
        <w:t xml:space="preserve">10%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color w:val="auto"/>
          <w:sz w:val="24"/>
          <w:highlight w:val="none"/>
          <w:lang w:eastAsia="zh-CN"/>
        </w:rPr>
        <w:t>4%</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54A1E7BD">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政府采购工程项目，</w:t>
      </w:r>
      <w:r>
        <w:rPr>
          <w:rFonts w:hint="eastAsia" w:ascii="宋体" w:hAnsi="宋体" w:cs="宋体"/>
          <w:color w:val="auto"/>
          <w:sz w:val="24"/>
          <w:highlight w:val="none"/>
          <w:lang w:eastAsia="zh-CN"/>
        </w:rPr>
        <w:t>对小微企业报价给予</w:t>
      </w:r>
      <w:r>
        <w:rPr>
          <w:rFonts w:hint="eastAsia" w:ascii="宋体" w:hAnsi="宋体" w:eastAsia="宋体" w:cs="宋体"/>
          <w:b/>
          <w:bCs/>
          <w:color w:val="auto"/>
          <w:sz w:val="24"/>
          <w:highlight w:val="none"/>
          <w:lang w:val="en-US" w:eastAsia="zh-CN"/>
        </w:rPr>
        <w:t xml:space="preserve">3%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10ADFED0">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取扣除后的价格作为评审投标报价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此评审投标报价仅在评标时使用。</w:t>
      </w:r>
      <w:r>
        <w:rPr>
          <w:rFonts w:hint="eastAsia" w:ascii="宋体" w:hAnsi="宋体" w:cs="宋体"/>
          <w:color w:val="auto"/>
          <w:sz w:val="24"/>
          <w:highlight w:val="none"/>
        </w:rPr>
        <w:t>享受相关中小企业扶持政策的投标人，必须在投标文件中提供《中小企业声明函》。</w:t>
      </w:r>
    </w:p>
    <w:p w14:paraId="72FCF74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5" w:name="_Toc2987"/>
      <w:bookmarkStart w:id="346" w:name="_Toc6325"/>
      <w:bookmarkStart w:id="347" w:name="_Toc28349"/>
      <w:bookmarkStart w:id="348" w:name="_Toc27858"/>
      <w:bookmarkStart w:id="349" w:name="_Toc3542"/>
      <w:bookmarkStart w:id="350" w:name="_Toc28014"/>
      <w:r>
        <w:rPr>
          <w:rFonts w:hint="eastAsia" w:ascii="黑体" w:hAnsi="Times New Roman" w:eastAsia="黑体" w:cs="Times New Roman"/>
          <w:b/>
          <w:bCs/>
          <w:color w:val="auto"/>
          <w:sz w:val="28"/>
          <w:szCs w:val="28"/>
          <w:highlight w:val="none"/>
        </w:rPr>
        <w:t>二、享受小微企业价格折扣应具备的条件</w:t>
      </w:r>
      <w:bookmarkEnd w:id="345"/>
      <w:bookmarkEnd w:id="346"/>
      <w:bookmarkEnd w:id="347"/>
      <w:bookmarkEnd w:id="348"/>
      <w:bookmarkEnd w:id="349"/>
      <w:bookmarkEnd w:id="350"/>
    </w:p>
    <w:p w14:paraId="660303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《政府采购促进中小企业发展管理办法》第四条　在政府采购活动中，供应商提供的货物、工程或者服务符合下列情形的，享受本办法规定的中小企业扶持政策：</w:t>
      </w:r>
    </w:p>
    <w:p w14:paraId="0B108F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39804F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16C9140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（三）在服务采购项目中，服务由中小企业承接，即提供服务的人员为中小企业依照《中华人民共和国劳动合同法》订立劳动合同的从业人员。</w:t>
      </w:r>
    </w:p>
    <w:p w14:paraId="5729CCD8">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在货物采购项目中，供应商提供的货物既有中小企业制造货物，也有大型企业制造货物的，不享受本办法规定的中小企业扶持政策。</w:t>
      </w:r>
    </w:p>
    <w:p w14:paraId="15E455C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052BA9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1" w:name="_Toc21917"/>
      <w:bookmarkStart w:id="352" w:name="_Toc14044"/>
      <w:bookmarkStart w:id="353" w:name="_Toc29759"/>
      <w:bookmarkStart w:id="354" w:name="_Toc31075"/>
      <w:bookmarkStart w:id="355" w:name="_Toc27379"/>
      <w:bookmarkStart w:id="356" w:name="_Toc15434"/>
      <w:r>
        <w:rPr>
          <w:rFonts w:hint="eastAsia" w:ascii="黑体" w:hAnsi="Times New Roman" w:eastAsia="黑体" w:cs="Times New Roman"/>
          <w:b/>
          <w:bCs/>
          <w:color w:val="auto"/>
          <w:sz w:val="28"/>
          <w:szCs w:val="28"/>
          <w:highlight w:val="none"/>
        </w:rPr>
        <w:t>三、采购项目涉及中小企业采购的部分内容</w:t>
      </w:r>
      <w:bookmarkEnd w:id="351"/>
      <w:bookmarkEnd w:id="352"/>
      <w:bookmarkEnd w:id="353"/>
      <w:bookmarkEnd w:id="354"/>
      <w:bookmarkEnd w:id="355"/>
      <w:bookmarkEnd w:id="356"/>
    </w:p>
    <w:p w14:paraId="0B75D03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《政府采购促进中小企业发展管理办法》第十二条  采购项目涉及中小企业采购的，采购文件应当明确以下内容：</w:t>
      </w:r>
    </w:p>
    <w:p w14:paraId="543C0D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（一）预留份额的采购项目或者采购包，明确该项目或相关采购包专门面向中小企业采购，以及相关标的及预算金额；</w:t>
      </w:r>
    </w:p>
    <w:p w14:paraId="2ECC1D2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（二）要求以联合体形式参加或者合同分包的，明确联合协议或者分包意向协议中中小企业合同金额应当达到的比例，并作为供应商资格条件；</w:t>
      </w:r>
    </w:p>
    <w:p w14:paraId="10F640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（三）非预留份额的采购项目或者采购包，明确有关价格扣除比例或者价格分加分比例； </w:t>
      </w:r>
    </w:p>
    <w:p w14:paraId="1FEC03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（四）规定依据本办法规定享受扶持政策获得政府采购合同的，小微企业不得将合同分包给大中型企业，中型企业不得将合同分包给大型企业；</w:t>
      </w:r>
    </w:p>
    <w:p w14:paraId="2E3A77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（五）采购人认为具备相关条件的，明确对中小企业在资金支付期限、预付款比例等方面的优惠措施；</w:t>
      </w:r>
    </w:p>
    <w:p w14:paraId="7490C42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（六）明确采购标的对应的中小企业划分标准所属行业；</w:t>
      </w:r>
    </w:p>
    <w:p w14:paraId="77403B5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（七）法律法规和省级以上人民政府财政部门规定的其他事项。</w:t>
      </w:r>
    </w:p>
    <w:p w14:paraId="5B3F612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7" w:name="_Toc16467"/>
      <w:bookmarkStart w:id="358" w:name="_Toc13243"/>
      <w:r>
        <w:rPr>
          <w:rFonts w:hint="eastAsia" w:ascii="黑体" w:hAnsi="Times New Roman" w:eastAsia="黑体" w:cs="Times New Roman"/>
          <w:b/>
          <w:bCs/>
          <w:color w:val="auto"/>
          <w:sz w:val="28"/>
          <w:szCs w:val="28"/>
          <w:highlight w:val="none"/>
        </w:rPr>
        <w:t>四、投标供应商享受小微企业价格折扣应提供以下材料</w:t>
      </w:r>
      <w:bookmarkEnd w:id="357"/>
      <w:bookmarkEnd w:id="358"/>
    </w:p>
    <w:p w14:paraId="6A610A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《中小企业声明函》（加盖投标供应商公章，格式见附件）</w:t>
      </w:r>
      <w:r>
        <w:rPr>
          <w:rFonts w:hint="eastAsia" w:ascii="宋体" w:hAnsi="宋体" w:cs="宋体"/>
          <w:b/>
          <w:bCs/>
          <w:color w:val="auto"/>
          <w:sz w:val="24"/>
          <w:highlight w:val="none"/>
        </w:rPr>
        <w:t>（放在报价文件中，不提供的不享受价格折扣）</w:t>
      </w:r>
    </w:p>
    <w:p w14:paraId="041B75C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9" w:name="_Toc21336"/>
      <w:bookmarkStart w:id="360" w:name="_Toc21045"/>
      <w:r>
        <w:rPr>
          <w:rFonts w:hint="eastAsia" w:ascii="黑体" w:hAnsi="Times New Roman" w:eastAsia="黑体" w:cs="Times New Roman"/>
          <w:b/>
          <w:bCs/>
          <w:color w:val="auto"/>
          <w:sz w:val="28"/>
          <w:szCs w:val="28"/>
          <w:highlight w:val="none"/>
        </w:rPr>
        <w:t>五、享受监狱企业价格折扣应提供以下材料</w:t>
      </w:r>
      <w:bookmarkEnd w:id="359"/>
      <w:bookmarkEnd w:id="360"/>
    </w:p>
    <w:p w14:paraId="003D81CC">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color w:val="auto"/>
          <w:sz w:val="24"/>
          <w:highlight w:val="none"/>
        </w:rPr>
        <w:t>（放在报价文件中，不提供的不享受价格折扣）</w:t>
      </w:r>
    </w:p>
    <w:p w14:paraId="345BF6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在政府采购活动中，监狱企业视同小型、微型企业，享受评审中价格扣除政策。</w:t>
      </w:r>
    </w:p>
    <w:p w14:paraId="347A8EB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61" w:name="_Toc10187"/>
      <w:bookmarkStart w:id="362" w:name="_Toc17973"/>
      <w:r>
        <w:rPr>
          <w:rFonts w:hint="eastAsia" w:ascii="黑体" w:hAnsi="Times New Roman" w:eastAsia="黑体" w:cs="Times New Roman"/>
          <w:b/>
          <w:bCs/>
          <w:color w:val="auto"/>
          <w:sz w:val="28"/>
          <w:szCs w:val="28"/>
          <w:highlight w:val="none"/>
        </w:rPr>
        <w:t>六、享受残疾人福利性单位价格折扣应提供以下材料</w:t>
      </w:r>
      <w:bookmarkEnd w:id="361"/>
      <w:bookmarkEnd w:id="362"/>
    </w:p>
    <w:p w14:paraId="587FABCD">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残疾人福利性单位声明函（加盖投标供应商公章，格式见附件）</w:t>
      </w:r>
      <w:r>
        <w:rPr>
          <w:rFonts w:hint="eastAsia" w:ascii="宋体" w:hAnsi="宋体" w:cs="宋体"/>
          <w:b/>
          <w:bCs/>
          <w:color w:val="auto"/>
          <w:sz w:val="24"/>
          <w:highlight w:val="none"/>
        </w:rPr>
        <w:t>（放在报价文件中，不提供的不享受价格折扣）</w:t>
      </w:r>
    </w:p>
    <w:p w14:paraId="65F3C2FB">
      <w:pPr>
        <w:widowControl/>
        <w:spacing w:line="360" w:lineRule="auto"/>
        <w:ind w:firstLine="480" w:firstLineChars="200"/>
        <w:jc w:val="left"/>
        <w:rPr>
          <w:rFonts w:hint="eastAsia" w:ascii="黑体" w:hAnsi="宋体" w:eastAsia="黑体"/>
          <w:color w:val="auto"/>
          <w:sz w:val="30"/>
          <w:szCs w:val="30"/>
          <w:highlight w:val="none"/>
        </w:rPr>
      </w:pPr>
      <w:r>
        <w:rPr>
          <w:rFonts w:hint="eastAsia" w:ascii="宋体" w:hAnsi="宋体" w:cs="宋体"/>
          <w:color w:val="auto"/>
          <w:sz w:val="24"/>
          <w:highlight w:val="none"/>
        </w:rPr>
        <w:t>在政府采购活动中，残疾人福利性单位视同小型、微型企业，享受评审中价格扣除政策。</w:t>
      </w:r>
    </w:p>
    <w:p w14:paraId="41A12E66">
      <w:pPr>
        <w:snapToGrid w:val="0"/>
        <w:spacing w:before="50" w:after="50"/>
        <w:jc w:val="center"/>
        <w:rPr>
          <w:rFonts w:hint="eastAsia" w:ascii="仿宋" w:hAnsi="仿宋" w:eastAsia="仿宋"/>
          <w:b/>
          <w:color w:val="auto"/>
          <w:sz w:val="36"/>
          <w:szCs w:val="36"/>
          <w:highlight w:val="none"/>
        </w:rPr>
        <w:sectPr>
          <w:headerReference r:id="rId6" w:type="default"/>
          <w:footerReference r:id="rId7" w:type="default"/>
          <w:pgSz w:w="11906" w:h="16838"/>
          <w:pgMar w:top="1440" w:right="1106" w:bottom="1440" w:left="1440" w:header="851" w:footer="992" w:gutter="0"/>
          <w:cols w:space="720" w:num="1"/>
          <w:docGrid w:linePitch="312" w:charSpace="0"/>
        </w:sectPr>
      </w:pPr>
    </w:p>
    <w:p w14:paraId="00053565">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中小企业声明函（货物）</w:t>
      </w:r>
    </w:p>
    <w:p w14:paraId="1DAC2E81">
      <w:pPr>
        <w:snapToGrid w:val="0"/>
        <w:spacing w:line="360" w:lineRule="auto"/>
        <w:rPr>
          <w:rFonts w:ascii="仿宋" w:hAnsi="仿宋" w:eastAsia="仿宋"/>
          <w:color w:val="auto"/>
          <w:sz w:val="28"/>
          <w:szCs w:val="28"/>
          <w:highlight w:val="none"/>
        </w:rPr>
      </w:pPr>
    </w:p>
    <w:p w14:paraId="03107C5D">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 xml:space="preserve">采购活动，提供的货物全部由符合政策要求的中小企业制造。相关企业 （含联合体中的中小企业、签订分包意向协议的中小企业） 的具体情况如下： </w:t>
      </w:r>
    </w:p>
    <w:p w14:paraId="3E28E92D">
      <w:pPr>
        <w:numPr>
          <w:ilvl w:val="0"/>
          <w:numId w:val="2"/>
        </w:num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（采购文件中明确的所属行业） 行业</w:t>
      </w:r>
      <w:r>
        <w:rPr>
          <w:rFonts w:hint="eastAsia" w:ascii="宋体" w:hAnsi="宋体" w:eastAsia="宋体" w:cs="宋体"/>
          <w:color w:val="auto"/>
          <w:sz w:val="28"/>
          <w:szCs w:val="28"/>
          <w:highlight w:val="none"/>
        </w:rPr>
        <w:t>；制造商为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vertAlign w:val="superscript"/>
        </w:rPr>
        <w:t xml:space="preserve">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 xml:space="preserve">； </w:t>
      </w:r>
    </w:p>
    <w:p w14:paraId="3D09615E">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 xml:space="preserve"> ，属于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（采购文件中明确的所属行业） </w:t>
      </w:r>
      <w:r>
        <w:rPr>
          <w:rFonts w:hint="eastAsia" w:ascii="宋体" w:hAnsi="宋体" w:eastAsia="宋体" w:cs="宋体"/>
          <w:color w:val="auto"/>
          <w:sz w:val="28"/>
          <w:szCs w:val="28"/>
          <w:highlight w:val="none"/>
        </w:rPr>
        <w:t>行业；制造商为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6F0E6645">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822149A">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以上企业，不属于大企业的分支机构，不存在控股股东为大企业的情形，也不存在与大企业的负责人为同一人的情形。 </w:t>
      </w:r>
    </w:p>
    <w:p w14:paraId="37449598">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00DF3893">
      <w:pPr>
        <w:snapToGrid w:val="0"/>
        <w:spacing w:line="360" w:lineRule="auto"/>
        <w:ind w:left="3640" w:firstLine="560" w:firstLineChars="200"/>
        <w:jc w:val="left"/>
        <w:rPr>
          <w:rFonts w:hint="eastAsia" w:ascii="宋体" w:hAnsi="宋体" w:eastAsia="宋体" w:cs="宋体"/>
          <w:color w:val="auto"/>
          <w:sz w:val="28"/>
          <w:szCs w:val="28"/>
          <w:highlight w:val="none"/>
        </w:rPr>
      </w:pPr>
    </w:p>
    <w:p w14:paraId="4B557C22">
      <w:pPr>
        <w:pStyle w:val="3"/>
        <w:rPr>
          <w:rFonts w:hint="eastAsia" w:ascii="宋体" w:hAnsi="宋体" w:eastAsia="宋体" w:cs="宋体"/>
          <w:color w:val="auto"/>
          <w:sz w:val="28"/>
          <w:szCs w:val="28"/>
          <w:highlight w:val="none"/>
        </w:rPr>
      </w:pPr>
      <w:r>
        <w:rPr>
          <w:rFonts w:hint="eastAsia" w:ascii="宋体" w:hAnsi="宋体" w:cs="宋体"/>
          <w:bCs w:val="0"/>
          <w:color w:val="auto"/>
          <w:sz w:val="24"/>
          <w:highlight w:val="none"/>
          <w:lang w:eastAsia="zh-CN"/>
        </w:rPr>
        <w:t>注：中小企业声明函随结果公告一同公示</w:t>
      </w:r>
    </w:p>
    <w:p w14:paraId="4F3C7240">
      <w:pPr>
        <w:widowControl/>
        <w:adjustRightInd w:val="0"/>
        <w:spacing w:line="480" w:lineRule="exact"/>
        <w:ind w:firstLine="560" w:firstLineChars="200"/>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企业名称（盖章）</w:t>
      </w:r>
      <w:r>
        <w:rPr>
          <w:rFonts w:hint="eastAsia" w:ascii="宋体" w:hAnsi="宋体" w:eastAsia="宋体" w:cs="Times New Roman"/>
          <w:color w:val="auto"/>
          <w:sz w:val="28"/>
          <w:szCs w:val="28"/>
          <w:highlight w:val="none"/>
          <w:lang w:eastAsia="zh-CN"/>
        </w:rPr>
        <w:t>：</w:t>
      </w:r>
    </w:p>
    <w:p w14:paraId="125F3587">
      <w:pPr>
        <w:widowControl/>
        <w:adjustRightInd w:val="0"/>
        <w:spacing w:line="480" w:lineRule="exact"/>
        <w:ind w:firstLine="560" w:firstLineChars="20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日  期：</w:t>
      </w:r>
    </w:p>
    <w:p w14:paraId="3AE00FB1">
      <w:pPr>
        <w:jc w:val="center"/>
        <w:rPr>
          <w:rFonts w:hint="eastAsia"/>
          <w:color w:val="auto"/>
          <w:sz w:val="28"/>
          <w:szCs w:val="28"/>
          <w:highlight w:val="none"/>
        </w:rPr>
      </w:pPr>
    </w:p>
    <w:p w14:paraId="1510CB31">
      <w:pPr>
        <w:jc w:val="center"/>
        <w:rPr>
          <w:rFonts w:hint="eastAsia"/>
          <w:color w:val="auto"/>
          <w:sz w:val="28"/>
          <w:szCs w:val="28"/>
          <w:highlight w:val="none"/>
        </w:rPr>
      </w:pPr>
    </w:p>
    <w:p w14:paraId="4111ADE7">
      <w:pPr>
        <w:jc w:val="center"/>
        <w:rPr>
          <w:rFonts w:hint="eastAsia"/>
          <w:color w:val="auto"/>
          <w:sz w:val="28"/>
          <w:szCs w:val="28"/>
          <w:highlight w:val="none"/>
        </w:rPr>
      </w:pPr>
    </w:p>
    <w:p w14:paraId="1420022F">
      <w:pPr>
        <w:jc w:val="center"/>
        <w:rPr>
          <w:rFonts w:hint="eastAsia"/>
          <w:color w:val="auto"/>
          <w:sz w:val="28"/>
          <w:szCs w:val="28"/>
          <w:highlight w:val="none"/>
        </w:rPr>
      </w:pPr>
    </w:p>
    <w:p w14:paraId="10C580C0">
      <w:pPr>
        <w:jc w:val="center"/>
        <w:rPr>
          <w:rFonts w:hint="eastAsia"/>
          <w:color w:val="auto"/>
          <w:sz w:val="28"/>
          <w:szCs w:val="28"/>
          <w:highlight w:val="none"/>
        </w:rPr>
      </w:pPr>
    </w:p>
    <w:p w14:paraId="7C9C38FE">
      <w:pPr>
        <w:jc w:val="center"/>
        <w:rPr>
          <w:rFonts w:hint="eastAsia"/>
          <w:color w:val="auto"/>
          <w:sz w:val="28"/>
          <w:szCs w:val="28"/>
          <w:highlight w:val="none"/>
        </w:rPr>
        <w:sectPr>
          <w:pgSz w:w="11906" w:h="16838"/>
          <w:pgMar w:top="1440" w:right="1106" w:bottom="1440" w:left="1440" w:header="851" w:footer="992" w:gutter="0"/>
          <w:cols w:space="720" w:num="1"/>
          <w:docGrid w:linePitch="312" w:charSpace="0"/>
        </w:sectPr>
      </w:pPr>
    </w:p>
    <w:p w14:paraId="6761A941">
      <w:pPr>
        <w:snapToGrid w:val="0"/>
        <w:spacing w:before="50" w:after="50"/>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中小企业声明函（工程、服务）</w:t>
      </w:r>
    </w:p>
    <w:p w14:paraId="35919761">
      <w:pPr>
        <w:widowControl/>
        <w:adjustRightInd w:val="0"/>
        <w:spacing w:line="360" w:lineRule="auto"/>
        <w:rPr>
          <w:rFonts w:ascii="宋体" w:hAnsi="宋体" w:cs="宋体"/>
          <w:bCs/>
          <w:color w:val="auto"/>
          <w:highlight w:val="none"/>
        </w:rPr>
      </w:pPr>
    </w:p>
    <w:p w14:paraId="756EA77E">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本公司（联合体）郑重声明，根据《政府采购促进中小企业发展管理办法》（财库﹝2020﹞46号）的规定，本公司（联合体）参加</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（单位名称）</w:t>
      </w:r>
      <w:r>
        <w:rPr>
          <w:rFonts w:hint="eastAsia" w:ascii="宋体" w:hAnsi="宋体" w:cs="宋体"/>
          <w:bCs/>
          <w:color w:val="auto"/>
          <w:sz w:val="28"/>
          <w:szCs w:val="28"/>
          <w:highlight w:val="none"/>
        </w:rPr>
        <w:t>的</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（项目名称）</w:t>
      </w:r>
      <w:r>
        <w:rPr>
          <w:rFonts w:hint="eastAsia" w:ascii="宋体" w:hAnsi="宋体" w:cs="宋体"/>
          <w:bCs/>
          <w:color w:val="auto"/>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7B97A3">
      <w:pPr>
        <w:widowControl/>
        <w:numPr>
          <w:ilvl w:val="0"/>
          <w:numId w:val="3"/>
        </w:numPr>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（标的名称）</w:t>
      </w:r>
      <w:r>
        <w:rPr>
          <w:rFonts w:hint="eastAsia" w:ascii="宋体" w:hAnsi="宋体" w:cs="宋体"/>
          <w:bCs/>
          <w:color w:val="auto"/>
          <w:sz w:val="28"/>
          <w:szCs w:val="28"/>
          <w:highlight w:val="none"/>
        </w:rPr>
        <w:t>，属于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rPr>
        <w:t>；承建（承接）企业为</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（企业名称）</w:t>
      </w:r>
      <w:r>
        <w:rPr>
          <w:rFonts w:hint="eastAsia" w:ascii="宋体" w:hAnsi="宋体" w:cs="宋体"/>
          <w:bCs/>
          <w:color w:val="auto"/>
          <w:sz w:val="28"/>
          <w:szCs w:val="28"/>
          <w:highlight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（中型企业、小型企业、微型企业</w:t>
      </w:r>
      <w:r>
        <w:rPr>
          <w:rFonts w:hint="eastAsia" w:ascii="宋体" w:hAnsi="宋体" w:cs="宋体"/>
          <w:bCs/>
          <w:color w:val="auto"/>
          <w:sz w:val="28"/>
          <w:szCs w:val="28"/>
          <w:highlight w:val="none"/>
        </w:rPr>
        <w:t>）；</w:t>
      </w:r>
    </w:p>
    <w:p w14:paraId="55C0CAF0">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w:t>
      </w:r>
      <w:r>
        <w:rPr>
          <w:rFonts w:hint="eastAsia" w:ascii="宋体" w:hAnsi="宋体" w:cs="宋体"/>
          <w:bCs/>
          <w:color w:val="auto"/>
          <w:sz w:val="28"/>
          <w:szCs w:val="28"/>
          <w:highlight w:val="none"/>
          <w:u w:val="none"/>
        </w:rPr>
        <w:t xml:space="preserve"> </w:t>
      </w:r>
      <w:r>
        <w:rPr>
          <w:rFonts w:hint="eastAsia" w:ascii="宋体" w:hAnsi="宋体" w:cs="宋体"/>
          <w:bCs/>
          <w:color w:val="auto"/>
          <w:sz w:val="28"/>
          <w:szCs w:val="28"/>
          <w:highlight w:val="none"/>
          <w:u w:val="single"/>
        </w:rPr>
        <w:t xml:space="preserve">      （标的名称）</w:t>
      </w:r>
      <w:r>
        <w:rPr>
          <w:rFonts w:hint="eastAsia" w:ascii="宋体" w:hAnsi="宋体" w:cs="宋体"/>
          <w:bCs/>
          <w:color w:val="auto"/>
          <w:sz w:val="28"/>
          <w:szCs w:val="28"/>
          <w:highlight w:val="none"/>
          <w:u w:val="none"/>
        </w:rPr>
        <w:t>，属于</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u w:val="none"/>
        </w:rPr>
        <w:t>；承建（承接）企业为</w:t>
      </w:r>
      <w:r>
        <w:rPr>
          <w:rFonts w:hint="eastAsia" w:ascii="宋体" w:hAnsi="宋体" w:cs="宋体"/>
          <w:bCs/>
          <w:color w:val="auto"/>
          <w:sz w:val="28"/>
          <w:szCs w:val="28"/>
          <w:highlight w:val="none"/>
          <w:u w:val="single"/>
        </w:rPr>
        <w:t xml:space="preserve">      （企业名称）</w:t>
      </w:r>
      <w:r>
        <w:rPr>
          <w:rFonts w:hint="eastAsia" w:ascii="宋体" w:hAnsi="宋体" w:cs="宋体"/>
          <w:bCs/>
          <w:color w:val="auto"/>
          <w:sz w:val="28"/>
          <w:szCs w:val="28"/>
          <w:highlight w:val="none"/>
          <w:u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万元，属于</w:t>
      </w:r>
      <w:r>
        <w:rPr>
          <w:rFonts w:hint="eastAsia" w:ascii="宋体" w:hAnsi="宋体" w:cs="宋体"/>
          <w:bCs/>
          <w:color w:val="auto"/>
          <w:sz w:val="28"/>
          <w:szCs w:val="28"/>
          <w:highlight w:val="none"/>
          <w:u w:val="single"/>
        </w:rPr>
        <w:t xml:space="preserve">        （中型企业、小型企业、微型企业）</w:t>
      </w:r>
      <w:r>
        <w:rPr>
          <w:rFonts w:hint="eastAsia" w:ascii="宋体" w:hAnsi="宋体" w:cs="宋体"/>
          <w:bCs/>
          <w:color w:val="auto"/>
          <w:sz w:val="28"/>
          <w:szCs w:val="28"/>
          <w:highlight w:val="none"/>
          <w:u w:val="none"/>
        </w:rPr>
        <w:t>；</w:t>
      </w:r>
    </w:p>
    <w:p w14:paraId="30EFEB3B">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w:t>
      </w:r>
    </w:p>
    <w:p w14:paraId="35753DF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以上企业，不属于大企业的分支机构，不存在控股股东为大企业的情形，也不存在与大企业的负责人为同一人的情形。</w:t>
      </w:r>
    </w:p>
    <w:p w14:paraId="2C8BE9E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本企业对上述声明内容的真实性负责。如有虚假，将依法承担相应责任。</w:t>
      </w:r>
    </w:p>
    <w:p w14:paraId="65AEEDC5">
      <w:pPr>
        <w:pStyle w:val="3"/>
        <w:rPr>
          <w:rFonts w:hint="eastAsia" w:ascii="宋体" w:hAnsi="宋体" w:cs="宋体"/>
          <w:bCs w:val="0"/>
          <w:color w:val="auto"/>
          <w:sz w:val="24"/>
          <w:highlight w:val="none"/>
          <w:lang w:eastAsia="zh-CN"/>
        </w:rPr>
      </w:pPr>
    </w:p>
    <w:p w14:paraId="76B8F8FB">
      <w:pPr>
        <w:pStyle w:val="3"/>
        <w:rPr>
          <w:rFonts w:hint="eastAsia" w:eastAsia="宋体"/>
          <w:color w:val="auto"/>
          <w:highlight w:val="none"/>
          <w:lang w:val="en-US" w:eastAsia="zh-CN"/>
        </w:rPr>
      </w:pPr>
      <w:r>
        <w:rPr>
          <w:rFonts w:hint="eastAsia" w:ascii="宋体" w:hAnsi="宋体" w:cs="宋体"/>
          <w:bCs w:val="0"/>
          <w:color w:val="auto"/>
          <w:sz w:val="24"/>
          <w:highlight w:val="none"/>
          <w:lang w:eastAsia="zh-CN"/>
        </w:rPr>
        <w:t>注：中小企业声明函随结果公告一同公示</w:t>
      </w:r>
    </w:p>
    <w:p w14:paraId="62096DAA">
      <w:pPr>
        <w:pStyle w:val="3"/>
        <w:rPr>
          <w:rFonts w:ascii="宋体" w:hAnsi="宋体" w:cs="宋体"/>
          <w:bCs w:val="0"/>
          <w:color w:val="auto"/>
          <w:sz w:val="24"/>
          <w:highlight w:val="none"/>
        </w:rPr>
      </w:pPr>
    </w:p>
    <w:p w14:paraId="4B4A4041">
      <w:pPr>
        <w:rPr>
          <w:color w:val="auto"/>
          <w:highlight w:val="none"/>
        </w:rPr>
      </w:pPr>
    </w:p>
    <w:p w14:paraId="1D5235A6">
      <w:pPr>
        <w:widowControl/>
        <w:adjustRightInd w:val="0"/>
        <w:spacing w:line="480" w:lineRule="exact"/>
        <w:ind w:firstLine="560" w:firstLineChars="20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企业名称（盖章）</w:t>
      </w:r>
      <w:r>
        <w:rPr>
          <w:rFonts w:hint="eastAsia" w:ascii="宋体" w:hAnsi="宋体"/>
          <w:color w:val="auto"/>
          <w:sz w:val="28"/>
          <w:szCs w:val="28"/>
          <w:highlight w:val="none"/>
          <w:lang w:eastAsia="zh-CN"/>
        </w:rPr>
        <w:t>：</w:t>
      </w:r>
    </w:p>
    <w:p w14:paraId="5E5705FD">
      <w:pPr>
        <w:widowControl/>
        <w:adjustRightInd w:val="0"/>
        <w:spacing w:line="480" w:lineRule="exact"/>
        <w:ind w:firstLine="560" w:firstLineChars="200"/>
        <w:jc w:val="center"/>
        <w:rPr>
          <w:rFonts w:ascii="宋体" w:hAnsi="宋体" w:cs="宋体"/>
          <w:bCs/>
          <w:color w:val="auto"/>
          <w:sz w:val="28"/>
          <w:szCs w:val="28"/>
          <w:highlight w:val="none"/>
        </w:rPr>
      </w:pPr>
      <w:r>
        <w:rPr>
          <w:rFonts w:hint="eastAsia" w:ascii="宋体" w:hAnsi="宋体" w:cs="宋体"/>
          <w:bCs/>
          <w:color w:val="auto"/>
          <w:sz w:val="28"/>
          <w:szCs w:val="28"/>
          <w:highlight w:val="none"/>
        </w:rPr>
        <w:t>日    期：</w:t>
      </w:r>
    </w:p>
    <w:p w14:paraId="25D266C7">
      <w:pPr>
        <w:adjustRightInd w:val="0"/>
        <w:spacing w:line="400" w:lineRule="exact"/>
        <w:rPr>
          <w:rFonts w:hint="eastAsia" w:ascii="宋体" w:hAnsi="宋体" w:cs="宋体"/>
          <w:b/>
          <w:bCs/>
          <w:color w:val="auto"/>
          <w:sz w:val="24"/>
          <w:highlight w:val="none"/>
        </w:rPr>
        <w:sectPr>
          <w:pgSz w:w="11906" w:h="16838"/>
          <w:pgMar w:top="1440" w:right="1106" w:bottom="1440" w:left="1440" w:header="851" w:footer="992" w:gutter="0"/>
          <w:cols w:space="720" w:num="1"/>
          <w:docGrid w:linePitch="312" w:charSpace="0"/>
        </w:sectPr>
      </w:pPr>
    </w:p>
    <w:p w14:paraId="6FD10BDF">
      <w:pPr>
        <w:adjustRightInd w:val="0"/>
        <w:spacing w:line="400" w:lineRule="exact"/>
        <w:jc w:val="center"/>
        <w:rPr>
          <w:rFonts w:hint="eastAsia"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rPr>
        <w:t>中小企业声明函</w:t>
      </w:r>
      <w:r>
        <w:rPr>
          <w:rFonts w:hint="eastAsia" w:ascii="仿宋" w:hAnsi="仿宋" w:eastAsia="仿宋" w:cs="Times New Roman"/>
          <w:b/>
          <w:color w:val="auto"/>
          <w:sz w:val="36"/>
          <w:szCs w:val="36"/>
          <w:highlight w:val="none"/>
          <w:lang w:eastAsia="zh-CN"/>
        </w:rPr>
        <w:t>填表说明</w:t>
      </w:r>
    </w:p>
    <w:p w14:paraId="249DAD06">
      <w:pPr>
        <w:adjustRightInd w:val="0"/>
        <w:spacing w:line="400" w:lineRule="exact"/>
        <w:rPr>
          <w:rFonts w:hint="eastAsia" w:ascii="宋体" w:hAnsi="宋体" w:cs="宋体"/>
          <w:b/>
          <w:bCs/>
          <w:color w:val="auto"/>
          <w:sz w:val="24"/>
          <w:highlight w:val="none"/>
        </w:rPr>
      </w:pPr>
    </w:p>
    <w:p w14:paraId="68C5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1.中小企业声明函由投标人提供，投标人向制造商或承建（承接）企业咨询相关数据。</w:t>
      </w:r>
    </w:p>
    <w:p w14:paraId="24A381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2.投标人应当按照前附表明确的项目属性选择相对应的中小企业声明函格式进行声明。</w:t>
      </w:r>
      <w:r>
        <w:rPr>
          <w:rFonts w:hint="eastAsia" w:ascii="宋体" w:hAnsi="宋体" w:eastAsia="宋体" w:cs="宋体"/>
          <w:color w:val="auto"/>
          <w:sz w:val="28"/>
          <w:szCs w:val="28"/>
          <w:highlight w:val="none"/>
        </w:rPr>
        <w:t>声明函应按上述内容及格式填写，不得修改。</w:t>
      </w:r>
    </w:p>
    <w:p w14:paraId="323BBA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单位名称和项目名称</w:t>
      </w:r>
      <w:r>
        <w:rPr>
          <w:rFonts w:hint="eastAsia" w:ascii="宋体" w:hAnsi="宋体" w:eastAsia="宋体" w:cs="宋体"/>
          <w:color w:val="auto"/>
          <w:sz w:val="28"/>
          <w:szCs w:val="28"/>
          <w:highlight w:val="none"/>
          <w:lang w:val="en-US" w:eastAsia="zh-CN"/>
        </w:rPr>
        <w:t>根据首页政府采购招标文件确认表填写采购单位名称和招标项目名称。</w:t>
      </w:r>
    </w:p>
    <w:p w14:paraId="0CC2E4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标的名称</w:t>
      </w:r>
      <w:r>
        <w:rPr>
          <w:rFonts w:hint="eastAsia" w:ascii="宋体" w:hAnsi="宋体" w:eastAsia="宋体" w:cs="宋体"/>
          <w:color w:val="auto"/>
          <w:sz w:val="28"/>
          <w:szCs w:val="28"/>
          <w:highlight w:val="none"/>
          <w:lang w:val="en-US" w:eastAsia="zh-CN"/>
        </w:rPr>
        <w:t>应填写第二章中具体的采购的货物或服务名称，应按采购的具体货物或服务逐项罗列，</w:t>
      </w:r>
      <w:r>
        <w:rPr>
          <w:rFonts w:hint="eastAsia" w:ascii="宋体" w:hAnsi="宋体" w:eastAsia="宋体" w:cs="宋体"/>
          <w:b/>
          <w:bCs/>
          <w:color w:val="auto"/>
          <w:sz w:val="28"/>
          <w:szCs w:val="28"/>
          <w:highlight w:val="none"/>
          <w:lang w:val="en-US" w:eastAsia="zh-CN"/>
        </w:rPr>
        <w:t>仅以项目名称代替所有采购标的名称的，评审小组</w:t>
      </w:r>
      <w:r>
        <w:rPr>
          <w:rFonts w:hint="eastAsia" w:ascii="宋体" w:hAnsi="宋体" w:cs="宋体"/>
          <w:b/>
          <w:bCs/>
          <w:color w:val="auto"/>
          <w:sz w:val="28"/>
          <w:szCs w:val="28"/>
          <w:highlight w:val="none"/>
          <w:lang w:val="en-US" w:eastAsia="zh-CN"/>
        </w:rPr>
        <w:t>可</w:t>
      </w:r>
      <w:r>
        <w:rPr>
          <w:rFonts w:hint="eastAsia" w:ascii="宋体" w:hAnsi="宋体" w:eastAsia="宋体" w:cs="宋体"/>
          <w:b/>
          <w:bCs/>
          <w:color w:val="auto"/>
          <w:sz w:val="28"/>
          <w:szCs w:val="28"/>
          <w:highlight w:val="none"/>
          <w:lang w:val="en-US" w:eastAsia="zh-CN"/>
        </w:rPr>
        <w:t>不予认可其声明。</w:t>
      </w:r>
    </w:p>
    <w:p w14:paraId="6B8D40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采购文件中明确的所属行业</w:t>
      </w:r>
      <w:r>
        <w:rPr>
          <w:rFonts w:hint="eastAsia" w:ascii="宋体" w:hAnsi="宋体" w:eastAsia="宋体" w:cs="宋体"/>
          <w:color w:val="auto"/>
          <w:sz w:val="28"/>
          <w:szCs w:val="28"/>
          <w:highlight w:val="none"/>
          <w:lang w:val="en-US" w:eastAsia="zh-CN"/>
        </w:rPr>
        <w:t>根据第二章中采购的具体货物或服务逐项列明的所属行业填写。</w:t>
      </w:r>
    </w:p>
    <w:p w14:paraId="1D0CF9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企业名称</w:t>
      </w:r>
      <w:r>
        <w:rPr>
          <w:rFonts w:hint="eastAsia" w:ascii="宋体" w:hAnsi="宋体" w:eastAsia="宋体" w:cs="宋体"/>
          <w:color w:val="auto"/>
          <w:sz w:val="28"/>
          <w:szCs w:val="28"/>
          <w:highlight w:val="none"/>
          <w:lang w:val="en-US" w:eastAsia="zh-CN"/>
        </w:rPr>
        <w:t>处填写制造商或承建（承接）企业名称。</w:t>
      </w:r>
    </w:p>
    <w:p w14:paraId="04C317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b/>
          <w:bCs/>
          <w:color w:val="auto"/>
          <w:sz w:val="28"/>
          <w:szCs w:val="28"/>
          <w:highlight w:val="none"/>
        </w:rPr>
        <w:t>从业人员、营业收入、资产总额</w:t>
      </w:r>
      <w:r>
        <w:rPr>
          <w:rFonts w:hint="eastAsia" w:ascii="宋体" w:hAnsi="宋体" w:eastAsia="宋体" w:cs="宋体"/>
          <w:color w:val="auto"/>
          <w:sz w:val="28"/>
          <w:szCs w:val="28"/>
          <w:highlight w:val="none"/>
        </w:rPr>
        <w:t>填报制造商或承建（承接）企业上一年度数据，无上一年度数据的新成立企业可不填报。</w:t>
      </w:r>
    </w:p>
    <w:p w14:paraId="35D858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7.根据实际情况，在</w:t>
      </w:r>
      <w:r>
        <w:rPr>
          <w:rFonts w:hint="eastAsia" w:ascii="宋体" w:hAnsi="宋体" w:eastAsia="宋体" w:cs="宋体"/>
          <w:color w:val="auto"/>
          <w:sz w:val="28"/>
          <w:szCs w:val="28"/>
          <w:highlight w:val="none"/>
        </w:rPr>
        <w:t>中型企业、小型企业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微型企业</w:t>
      </w:r>
      <w:r>
        <w:rPr>
          <w:rFonts w:hint="eastAsia" w:ascii="宋体" w:hAnsi="宋体" w:eastAsia="宋体" w:cs="宋体"/>
          <w:color w:val="auto"/>
          <w:sz w:val="28"/>
          <w:szCs w:val="28"/>
          <w:highlight w:val="none"/>
          <w:lang w:val="en-US" w:eastAsia="zh-CN"/>
        </w:rPr>
        <w:t>三中企业类型中三选一。</w:t>
      </w:r>
    </w:p>
    <w:p w14:paraId="5B6D35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以联合体形式参加政府采购活动，联合体各方均为中小企业的，联合体视同中小企业。其中，联合体各方均为小微企业的，联合体视同小微企业。</w:t>
      </w:r>
    </w:p>
    <w:p w14:paraId="73AC75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1B35AED3">
      <w:pPr>
        <w:adjustRightInd w:val="0"/>
        <w:spacing w:line="400" w:lineRule="exact"/>
        <w:rPr>
          <w:rFonts w:ascii="宋体" w:hAnsi="宋体" w:cs="宋体"/>
          <w:bCs/>
          <w:color w:val="auto"/>
          <w:szCs w:val="22"/>
          <w:highlight w:val="none"/>
        </w:rPr>
      </w:pPr>
      <w:r>
        <w:rPr>
          <w:rFonts w:hint="eastAsia" w:ascii="宋体" w:hAnsi="宋体"/>
          <w:b/>
          <w:color w:val="auto"/>
          <w:highlight w:val="none"/>
        </w:rPr>
        <w:br w:type="page"/>
      </w:r>
      <w:r>
        <w:rPr>
          <w:rFonts w:hint="eastAsia" w:ascii="宋体" w:hAnsi="宋体" w:cs="宋体"/>
          <w:bCs/>
          <w:color w:val="auto"/>
          <w:szCs w:val="22"/>
          <w:highlight w:val="none"/>
        </w:rPr>
        <w:t>附件：根据《中小企业划型标准规定的通知》（工信部联企业〔2011〕300号）规定</w:t>
      </w:r>
    </w:p>
    <w:tbl>
      <w:tblPr>
        <w:tblStyle w:val="5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61155900">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0AE2C74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7291C0B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5B95E25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1E12D15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42A15EA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7CA4B50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微型企业标准</w:t>
            </w:r>
          </w:p>
        </w:tc>
      </w:tr>
      <w:tr w14:paraId="0C7CF74E">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70C41E">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8F68708">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农、林、牧、渔业</w:t>
            </w:r>
          </w:p>
        </w:tc>
        <w:tc>
          <w:tcPr>
            <w:tcW w:w="1329" w:type="dxa"/>
            <w:tcBorders>
              <w:left w:val="single" w:color="000000" w:sz="4" w:space="0"/>
              <w:bottom w:val="single" w:color="000000" w:sz="4" w:space="0"/>
              <w:right w:val="single" w:color="000000" w:sz="4" w:space="0"/>
            </w:tcBorders>
            <w:vAlign w:val="center"/>
          </w:tcPr>
          <w:p w14:paraId="5836ECD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45F20131">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86C0EFE">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05054FE4">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3A249FA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50万元以下</w:t>
            </w:r>
          </w:p>
        </w:tc>
      </w:tr>
      <w:tr w14:paraId="6AE092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F84A82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74E0376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w:t>
            </w:r>
          </w:p>
        </w:tc>
        <w:tc>
          <w:tcPr>
            <w:tcW w:w="1329" w:type="dxa"/>
            <w:tcBorders>
              <w:left w:val="single" w:color="000000" w:sz="4" w:space="0"/>
              <w:bottom w:val="single" w:color="000000" w:sz="4" w:space="0"/>
              <w:right w:val="single" w:color="000000" w:sz="4" w:space="0"/>
            </w:tcBorders>
            <w:vAlign w:val="center"/>
          </w:tcPr>
          <w:p w14:paraId="6D79069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617F5C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F18170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2215D26F">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336FE3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AD2C4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从业人员20人以下或营业收入300万元以下</w:t>
            </w:r>
          </w:p>
        </w:tc>
      </w:tr>
      <w:tr w14:paraId="7740BF6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B5A60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6D99092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建筑业</w:t>
            </w:r>
          </w:p>
        </w:tc>
        <w:tc>
          <w:tcPr>
            <w:tcW w:w="1329" w:type="dxa"/>
            <w:tcBorders>
              <w:left w:val="single" w:color="000000" w:sz="4" w:space="0"/>
              <w:bottom w:val="single" w:color="000000" w:sz="4" w:space="0"/>
              <w:right w:val="single" w:color="000000" w:sz="4" w:space="0"/>
            </w:tcBorders>
            <w:vAlign w:val="center"/>
          </w:tcPr>
          <w:p w14:paraId="05B3EE0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DC334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7E294C1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0BDD76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40108A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962874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营业收入300万元以下或资产总额300万元以下的</w:t>
            </w:r>
          </w:p>
        </w:tc>
      </w:tr>
      <w:tr w14:paraId="18384BB2">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CC299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5789B56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批发业</w:t>
            </w:r>
          </w:p>
        </w:tc>
        <w:tc>
          <w:tcPr>
            <w:tcW w:w="1329" w:type="dxa"/>
            <w:tcBorders>
              <w:left w:val="single" w:color="000000" w:sz="4" w:space="0"/>
              <w:bottom w:val="single" w:color="000000" w:sz="4" w:space="0"/>
              <w:right w:val="single" w:color="000000" w:sz="4" w:space="0"/>
            </w:tcBorders>
            <w:vAlign w:val="center"/>
          </w:tcPr>
          <w:p w14:paraId="469DCE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0C78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B7AEB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BEA7C4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FC0B32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F5F5F0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从业人员5人以下或营业收入1000万元以下的</w:t>
            </w:r>
          </w:p>
        </w:tc>
      </w:tr>
      <w:tr w14:paraId="660173BA">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10AD7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28E8CDD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零售业</w:t>
            </w:r>
          </w:p>
        </w:tc>
        <w:tc>
          <w:tcPr>
            <w:tcW w:w="1329" w:type="dxa"/>
            <w:tcBorders>
              <w:left w:val="single" w:color="000000" w:sz="4" w:space="0"/>
              <w:bottom w:val="single" w:color="000000" w:sz="4" w:space="0"/>
              <w:right w:val="single" w:color="000000" w:sz="4" w:space="0"/>
            </w:tcBorders>
            <w:vAlign w:val="center"/>
          </w:tcPr>
          <w:p w14:paraId="7500688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0DAD22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807432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3BDFA1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698C77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A74FD4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0ED08216">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0EEBCB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D10B7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交通运输业</w:t>
            </w:r>
          </w:p>
        </w:tc>
        <w:tc>
          <w:tcPr>
            <w:tcW w:w="1329" w:type="dxa"/>
            <w:tcBorders>
              <w:left w:val="single" w:color="000000" w:sz="4" w:space="0"/>
              <w:bottom w:val="single" w:color="000000" w:sz="4" w:space="0"/>
              <w:right w:val="single" w:color="000000" w:sz="4" w:space="0"/>
            </w:tcBorders>
            <w:vAlign w:val="center"/>
          </w:tcPr>
          <w:p w14:paraId="6A2D175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2A1700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DE24A1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8060A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78984B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DDD45D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从业人员20人以下或营业收入200万元以下的</w:t>
            </w:r>
          </w:p>
        </w:tc>
      </w:tr>
      <w:tr w14:paraId="1EEBD1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1A035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474CDA3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仓储业</w:t>
            </w:r>
          </w:p>
        </w:tc>
        <w:tc>
          <w:tcPr>
            <w:tcW w:w="1329" w:type="dxa"/>
            <w:tcBorders>
              <w:left w:val="single" w:color="000000" w:sz="4" w:space="0"/>
              <w:bottom w:val="single" w:color="000000" w:sz="4" w:space="0"/>
              <w:right w:val="single" w:color="000000" w:sz="4" w:space="0"/>
            </w:tcBorders>
            <w:vAlign w:val="center"/>
          </w:tcPr>
          <w:p w14:paraId="6997D13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E4C556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95E8B0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EB0B84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71F108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8A60C3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3307F9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1EA094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D1E4B0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邮政业</w:t>
            </w:r>
          </w:p>
        </w:tc>
        <w:tc>
          <w:tcPr>
            <w:tcW w:w="1329" w:type="dxa"/>
            <w:tcBorders>
              <w:left w:val="single" w:color="000000" w:sz="4" w:space="0"/>
              <w:bottom w:val="single" w:color="000000" w:sz="4" w:space="0"/>
              <w:right w:val="single" w:color="000000" w:sz="4" w:space="0"/>
            </w:tcBorders>
            <w:vAlign w:val="center"/>
          </w:tcPr>
          <w:p w14:paraId="6EACBB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82B5D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E2F2A3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E14B9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165FA6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618616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BEAD7E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50489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3732E85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住宿业</w:t>
            </w:r>
          </w:p>
        </w:tc>
        <w:tc>
          <w:tcPr>
            <w:tcW w:w="1329" w:type="dxa"/>
            <w:tcBorders>
              <w:left w:val="single" w:color="000000" w:sz="4" w:space="0"/>
              <w:bottom w:val="single" w:color="000000" w:sz="4" w:space="0"/>
              <w:right w:val="single" w:color="000000" w:sz="4" w:space="0"/>
            </w:tcBorders>
            <w:vAlign w:val="center"/>
          </w:tcPr>
          <w:p w14:paraId="15A7498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726D37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412D20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C6DFD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4B8682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EC4807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54FA48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66170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0AF3467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餐饮业</w:t>
            </w:r>
          </w:p>
        </w:tc>
        <w:tc>
          <w:tcPr>
            <w:tcW w:w="1329" w:type="dxa"/>
            <w:tcBorders>
              <w:left w:val="single" w:color="000000" w:sz="4" w:space="0"/>
              <w:bottom w:val="single" w:color="000000" w:sz="4" w:space="0"/>
              <w:right w:val="single" w:color="000000" w:sz="4" w:space="0"/>
            </w:tcBorders>
            <w:vAlign w:val="center"/>
          </w:tcPr>
          <w:p w14:paraId="3F6F175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38D3270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6FBDF1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E03FF6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EF28FF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EDEB60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77DCBF6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87B16E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490D0C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信息传输业</w:t>
            </w:r>
          </w:p>
        </w:tc>
        <w:tc>
          <w:tcPr>
            <w:tcW w:w="1329" w:type="dxa"/>
            <w:tcBorders>
              <w:left w:val="single" w:color="000000" w:sz="4" w:space="0"/>
              <w:bottom w:val="single" w:color="000000" w:sz="4" w:space="0"/>
              <w:right w:val="single" w:color="000000" w:sz="4" w:space="0"/>
            </w:tcBorders>
            <w:vAlign w:val="center"/>
          </w:tcPr>
          <w:p w14:paraId="6D84ED9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D303D3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97BBC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8B80C3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BD5373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AAF60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4A2A8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43ABFB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24401EC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软件和信息技术服务业</w:t>
            </w:r>
          </w:p>
        </w:tc>
        <w:tc>
          <w:tcPr>
            <w:tcW w:w="1329" w:type="dxa"/>
            <w:tcBorders>
              <w:left w:val="single" w:color="000000" w:sz="4" w:space="0"/>
              <w:bottom w:val="single" w:color="000000" w:sz="4" w:space="0"/>
              <w:right w:val="single" w:color="000000" w:sz="4" w:space="0"/>
            </w:tcBorders>
            <w:vAlign w:val="center"/>
          </w:tcPr>
          <w:p w14:paraId="4E7B8E3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7F08467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D8CC0E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2C252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81F51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E4F26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从业人员10人以下或营业收入50万元以下的</w:t>
            </w:r>
          </w:p>
        </w:tc>
      </w:tr>
      <w:tr w14:paraId="43E1163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9F15F1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74D10B3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房地产开发经营</w:t>
            </w:r>
          </w:p>
        </w:tc>
        <w:tc>
          <w:tcPr>
            <w:tcW w:w="1329" w:type="dxa"/>
            <w:tcBorders>
              <w:left w:val="single" w:color="000000" w:sz="4" w:space="0"/>
              <w:bottom w:val="single" w:color="000000" w:sz="4" w:space="0"/>
              <w:right w:val="single" w:color="000000" w:sz="4" w:space="0"/>
            </w:tcBorders>
            <w:vAlign w:val="center"/>
          </w:tcPr>
          <w:p w14:paraId="1D586CE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B47BD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1984D41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E7EA01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5EE9B5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C0E9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营业收入100万元以下或资产总额2000万元以下的</w:t>
            </w:r>
          </w:p>
        </w:tc>
      </w:tr>
      <w:tr w14:paraId="1BA0CA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B50204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B8713F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物业管理</w:t>
            </w:r>
          </w:p>
        </w:tc>
        <w:tc>
          <w:tcPr>
            <w:tcW w:w="1329" w:type="dxa"/>
            <w:tcBorders>
              <w:left w:val="single" w:color="000000" w:sz="4" w:space="0"/>
              <w:bottom w:val="single" w:color="000000" w:sz="4" w:space="0"/>
              <w:right w:val="single" w:color="000000" w:sz="4" w:space="0"/>
            </w:tcBorders>
            <w:vAlign w:val="center"/>
          </w:tcPr>
          <w:p w14:paraId="194B4F2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97F324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2DDD38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5BFEA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AD7F3B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94D87B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从业人员100人以下或营业收入500万元以下的</w:t>
            </w:r>
          </w:p>
        </w:tc>
      </w:tr>
      <w:tr w14:paraId="68262A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3D209C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6497594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租赁和商务服务业</w:t>
            </w:r>
          </w:p>
        </w:tc>
        <w:tc>
          <w:tcPr>
            <w:tcW w:w="1329" w:type="dxa"/>
            <w:tcBorders>
              <w:left w:val="single" w:color="000000" w:sz="4" w:space="0"/>
              <w:bottom w:val="single" w:color="000000" w:sz="4" w:space="0"/>
              <w:right w:val="single" w:color="000000" w:sz="4" w:space="0"/>
            </w:tcBorders>
            <w:vAlign w:val="center"/>
          </w:tcPr>
          <w:p w14:paraId="7E4E1DC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4FB32E6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6FC0662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2113A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463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BAEB3D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从业人员10人以下或资产总额100万元以下的</w:t>
            </w:r>
          </w:p>
        </w:tc>
      </w:tr>
      <w:tr w14:paraId="313B74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C83465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4EEB4FF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其他未列明行业</w:t>
            </w:r>
          </w:p>
        </w:tc>
        <w:tc>
          <w:tcPr>
            <w:tcW w:w="1329" w:type="dxa"/>
            <w:tcBorders>
              <w:left w:val="single" w:color="000000" w:sz="4" w:space="0"/>
              <w:bottom w:val="single" w:color="000000" w:sz="4" w:space="0"/>
              <w:right w:val="single" w:color="000000" w:sz="4" w:space="0"/>
            </w:tcBorders>
            <w:vAlign w:val="center"/>
          </w:tcPr>
          <w:p w14:paraId="078C98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tc>
        <w:tc>
          <w:tcPr>
            <w:tcW w:w="1755" w:type="dxa"/>
            <w:tcBorders>
              <w:left w:val="single" w:color="000000" w:sz="4" w:space="0"/>
              <w:bottom w:val="single" w:color="000000" w:sz="4" w:space="0"/>
              <w:right w:val="single" w:color="000000" w:sz="4" w:space="0"/>
            </w:tcBorders>
            <w:vAlign w:val="center"/>
          </w:tcPr>
          <w:p w14:paraId="688D16C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9C8D1A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A22D3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A95617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从业人员10人以下的</w:t>
            </w:r>
          </w:p>
        </w:tc>
      </w:tr>
    </w:tbl>
    <w:p w14:paraId="26C3EDEA">
      <w:pPr>
        <w:rPr>
          <w:rFonts w:hint="eastAsia" w:ascii="宋体" w:hAnsi="宋体"/>
          <w:b/>
          <w:color w:val="auto"/>
          <w:highlight w:val="none"/>
        </w:rPr>
      </w:pPr>
    </w:p>
    <w:p w14:paraId="32EEF4A1">
      <w:pPr>
        <w:pStyle w:val="3"/>
        <w:spacing w:line="360" w:lineRule="auto"/>
        <w:jc w:val="center"/>
        <w:rPr>
          <w:rFonts w:ascii="黑体" w:hAnsi="宋体" w:eastAsia="黑体"/>
          <w:color w:val="auto"/>
          <w:sz w:val="30"/>
          <w:szCs w:val="30"/>
          <w:highlight w:val="none"/>
        </w:rPr>
      </w:pPr>
      <w:r>
        <w:rPr>
          <w:rFonts w:hint="eastAsia" w:ascii="黑体" w:eastAsia="黑体"/>
          <w:color w:val="auto"/>
          <w:sz w:val="30"/>
          <w:szCs w:val="30"/>
          <w:highlight w:val="none"/>
        </w:rPr>
        <w:br w:type="page"/>
      </w:r>
      <w:bookmarkEnd w:id="342"/>
      <w:bookmarkEnd w:id="343"/>
      <w:bookmarkEnd w:id="344"/>
      <w:bookmarkStart w:id="363" w:name="_Toc16359"/>
      <w:bookmarkStart w:id="364" w:name="_Toc2059"/>
      <w:bookmarkStart w:id="365" w:name="_Toc17300"/>
      <w:bookmarkStart w:id="366" w:name="_Toc12357"/>
      <w:r>
        <w:rPr>
          <w:rFonts w:hint="eastAsia"/>
          <w:color w:val="auto"/>
          <w:highlight w:val="none"/>
        </w:rPr>
        <w:t>第六章  拟签订合同主要条款</w:t>
      </w:r>
      <w:bookmarkEnd w:id="363"/>
      <w:bookmarkEnd w:id="364"/>
      <w:bookmarkEnd w:id="365"/>
      <w:bookmarkEnd w:id="366"/>
    </w:p>
    <w:p w14:paraId="35EB9562">
      <w:pPr>
        <w:adjustRightInd w:val="0"/>
        <w:snapToGrid w:val="0"/>
        <w:spacing w:line="500" w:lineRule="exact"/>
        <w:ind w:firstLine="1205" w:firstLineChars="500"/>
        <w:rPr>
          <w:rFonts w:hint="eastAsia" w:ascii="宋体" w:hAnsi="宋体"/>
          <w:b/>
          <w:sz w:val="24"/>
        </w:rPr>
      </w:pPr>
      <w:r>
        <w:rPr>
          <w:rFonts w:hint="eastAsia" w:ascii="宋体" w:hAnsi="宋体"/>
          <w:b/>
          <w:sz w:val="24"/>
        </w:rPr>
        <w:t>（格式样本仅供参考，在不改变实质性需要的前提下自行修改）</w:t>
      </w:r>
    </w:p>
    <w:p w14:paraId="4A1B67FE">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需方：</w:t>
      </w:r>
      <w:r>
        <w:rPr>
          <w:rFonts w:hint="eastAsia" w:ascii="宋体" w:hAnsi="宋体" w:eastAsia="宋体" w:cs="宋体"/>
          <w:color w:val="000000"/>
          <w:sz w:val="24"/>
          <w:szCs w:val="24"/>
        </w:rPr>
        <w:t>磐安县盘峰乡人民政府    </w:t>
      </w:r>
      <w:r>
        <w:rPr>
          <w:rFonts w:hint="eastAsia" w:ascii="宋体" w:hAnsi="宋体" w:eastAsia="宋体" w:cs="宋体"/>
          <w:sz w:val="24"/>
          <w:szCs w:val="24"/>
          <w:lang w:val="zh-CN"/>
        </w:rPr>
        <w:t xml:space="preserve">  （以下简称甲方）</w:t>
      </w:r>
    </w:p>
    <w:p w14:paraId="2D9AE6FD">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供方：        </w:t>
      </w:r>
      <w:r>
        <w:rPr>
          <w:rFonts w:hint="eastAsia" w:ascii="宋体" w:hAnsi="宋体" w:eastAsia="宋体" w:cs="宋体"/>
          <w:sz w:val="24"/>
          <w:szCs w:val="24"/>
        </w:rPr>
        <w:t xml:space="preserve">                 </w:t>
      </w:r>
      <w:r>
        <w:rPr>
          <w:rFonts w:hint="eastAsia" w:ascii="宋体" w:hAnsi="宋体" w:eastAsia="宋体" w:cs="宋体"/>
          <w:sz w:val="24"/>
          <w:szCs w:val="24"/>
          <w:lang w:val="zh-CN"/>
        </w:rPr>
        <w:t>（以下简称乙方）</w:t>
      </w:r>
    </w:p>
    <w:p w14:paraId="43BB337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分进行</w:t>
      </w:r>
      <w:r>
        <w:rPr>
          <w:rFonts w:hint="eastAsia" w:ascii="宋体" w:hAnsi="宋体" w:eastAsia="宋体" w:cs="宋体"/>
          <w:sz w:val="24"/>
          <w:szCs w:val="24"/>
          <w:lang w:val="zh-CN"/>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的公开招标招标结果，签署本合同。</w:t>
      </w:r>
    </w:p>
    <w:p w14:paraId="0EF2448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一、服务内容</w:t>
      </w:r>
    </w:p>
    <w:p w14:paraId="1E0CD4F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1.作业范围：</w:t>
      </w:r>
    </w:p>
    <w:p w14:paraId="4BA124AF">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cs="宋体"/>
          <w:kern w:val="0"/>
          <w:sz w:val="24"/>
          <w:szCs w:val="24"/>
          <w:lang w:eastAsia="zh-CN" w:bidi="ar"/>
        </w:rPr>
        <w:t>2025年盘峰乡松材线虫病枯死松树清理服务项目（高二片区)</w:t>
      </w:r>
      <w:r>
        <w:rPr>
          <w:rFonts w:hint="eastAsia" w:ascii="宋体" w:hAnsi="宋体" w:eastAsia="宋体" w:cs="宋体"/>
          <w:sz w:val="24"/>
          <w:szCs w:val="24"/>
        </w:rPr>
        <w:t>调查，招标内容为盘峰乡所有范围内的病枯死松树进行清理。</w:t>
      </w:r>
    </w:p>
    <w:p w14:paraId="612C33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2.清理对象：</w:t>
      </w:r>
    </w:p>
    <w:p w14:paraId="15BDB6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清理对象为枯死松树，已腐烂或者枯死1年以上松树不列入清理对象。</w:t>
      </w:r>
    </w:p>
    <w:p w14:paraId="3CF1B4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3.清理标准：</w:t>
      </w:r>
    </w:p>
    <w:p w14:paraId="088E9FC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清理标准为伐桩高度低于5厘米，树干及一公分以上枝丫全部清理下山或烧毁，并运到疫木安全利用定点企业除害处理。</w:t>
      </w:r>
    </w:p>
    <w:p w14:paraId="3211931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4.清理要求：</w:t>
      </w:r>
    </w:p>
    <w:p w14:paraId="4BBD5B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枯死松树，要求彻底清理，不论山高路远、零散孤立，还是采伐困难地带，都不得借故不作清理。严禁借枯死松树清理之名采伐鲜活松木、杉木、杂木。确有清理过程中无法避免砸坏的杉木、杂木，不得混入清理的松材之中。严禁松材、松枝桠让农户运回自行处置。清理队擅自采伐杂木、鲜活松木等，按照盗、滥伐进行调查和处罚。</w:t>
      </w:r>
    </w:p>
    <w:p w14:paraId="74809EF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5.清理时间：</w:t>
      </w:r>
    </w:p>
    <w:p w14:paraId="0971BF4A">
      <w:pPr>
        <w:adjustRightInd w:val="0"/>
        <w:snapToGrid w:val="0"/>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秋普计划内小班、行政区域内涉及铁路、高速公路、省道两沿第一视线内发生疫情的松林小班、风景区域内发生疫情的松林小班、城镇建成区周围第一视线内发生疫情的松林小班，2025年3月中旬，前完成本辖区面上病枯死木防治理。2025年3月底-4月进行验收整改。2025年5-9月，进入“即现即清”阶段</w:t>
      </w:r>
    </w:p>
    <w:p w14:paraId="088FA4ED">
      <w:pPr>
        <w:numPr>
          <w:ilvl w:val="0"/>
          <w:numId w:val="4"/>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除治疫木收购和林农返还：</w:t>
      </w:r>
    </w:p>
    <w:p w14:paraId="455205C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整个清理期间，疫木定点企业，小头直径1厘米（含）以上的疫木松材，收购价300元/吨。</w:t>
      </w:r>
    </w:p>
    <w:p w14:paraId="6C5D6EA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7.疫木调运：</w:t>
      </w:r>
    </w:p>
    <w:p w14:paraId="4E7426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疫木处理联系单由甲方林业干部签字盖章。建立清理单位、林业干部、联村干部和村监管干部、专职监督员的监管微信群，将枯死松木清理前、中、后现场对比照片，疫木运送下山、装车、发车（含车牌号）、过磅等图片或视频发群备查。定点处理企业凭随车同行的疫木联系单收购疫木，过磅单净重栏加盖企业公章（疫木入库专用章），注明疫木类型（松材、松枝），并建立收购台账。发现疫木安全利用定点企业混淆清理单位、疫木类型和虚构疫木数量等行动，将按有关规定从严处理。</w:t>
      </w:r>
    </w:p>
    <w:p w14:paraId="6D96799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8.清理流水台账：</w:t>
      </w:r>
    </w:p>
    <w:p w14:paraId="0DB4030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清理专业队必须建立枯死松木清理流水台账，每天详细记录清理地点、数量、重量、疫木去向等内容，并由相关责任人员签字确认。</w:t>
      </w:r>
    </w:p>
    <w:p w14:paraId="4A2072E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9.人员配置要求：</w:t>
      </w:r>
    </w:p>
    <w:p w14:paraId="39253A83">
      <w:pPr>
        <w:pStyle w:val="19"/>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中标单位在清理队伍人员配置中，不得少于2支专业组10人以上正常作业，并在开工前将务工协议、意外保险等相关资料上报采购单位，并要指定2名以上专人负责监督清理质量，并安装“数字森防”手机APP，对疫木除治和运输过程等环节，实施拍照留痕，确保采购单位随时了解除治过程对于清理人员少、班组人员搭配不合理、进度缓慢等问题，采购单位有权清理负责人，限期整改。</w:t>
      </w:r>
    </w:p>
    <w:p w14:paraId="675A6712">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二、合同金额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62"/>
        <w:gridCol w:w="3551"/>
        <w:gridCol w:w="2701"/>
      </w:tblGrid>
      <w:tr w14:paraId="1A41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6" w:type="dxa"/>
            <w:noWrap w:val="0"/>
            <w:vAlign w:val="center"/>
          </w:tcPr>
          <w:p w14:paraId="3E3DEB2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562" w:type="dxa"/>
            <w:noWrap w:val="0"/>
            <w:vAlign w:val="center"/>
          </w:tcPr>
          <w:p w14:paraId="06C2F3F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tc>
        <w:tc>
          <w:tcPr>
            <w:tcW w:w="3551" w:type="dxa"/>
            <w:noWrap w:val="0"/>
            <w:vAlign w:val="center"/>
          </w:tcPr>
          <w:p w14:paraId="08CE679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成交单价(元/吨)</w:t>
            </w:r>
          </w:p>
        </w:tc>
        <w:tc>
          <w:tcPr>
            <w:tcW w:w="2701" w:type="dxa"/>
            <w:noWrap w:val="0"/>
            <w:vAlign w:val="center"/>
          </w:tcPr>
          <w:p w14:paraId="4661449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除治范围和除治对象</w:t>
            </w:r>
          </w:p>
        </w:tc>
      </w:tr>
      <w:tr w14:paraId="6CBB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56" w:type="dxa"/>
            <w:noWrap w:val="0"/>
            <w:vAlign w:val="center"/>
          </w:tcPr>
          <w:p w14:paraId="119DF1C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p>
        </w:tc>
        <w:tc>
          <w:tcPr>
            <w:tcW w:w="2562" w:type="dxa"/>
            <w:noWrap w:val="0"/>
            <w:vAlign w:val="center"/>
          </w:tcPr>
          <w:p w14:paraId="4241FAFF">
            <w:pPr>
              <w:adjustRightInd w:val="0"/>
              <w:snapToGrid w:val="0"/>
              <w:spacing w:line="360" w:lineRule="auto"/>
              <w:ind w:firstLine="480" w:firstLineChars="200"/>
              <w:rPr>
                <w:rFonts w:hint="eastAsia" w:ascii="宋体" w:hAnsi="宋体" w:eastAsia="宋体" w:cs="宋体"/>
                <w:sz w:val="24"/>
                <w:szCs w:val="24"/>
              </w:rPr>
            </w:pPr>
          </w:p>
        </w:tc>
        <w:tc>
          <w:tcPr>
            <w:tcW w:w="3551" w:type="dxa"/>
            <w:noWrap w:val="0"/>
            <w:vAlign w:val="center"/>
          </w:tcPr>
          <w:p w14:paraId="12929BB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tc>
        <w:tc>
          <w:tcPr>
            <w:tcW w:w="2701" w:type="dxa"/>
            <w:noWrap w:val="0"/>
            <w:vAlign w:val="center"/>
          </w:tcPr>
          <w:p w14:paraId="4F66D3C1">
            <w:pPr>
              <w:adjustRightInd w:val="0"/>
              <w:snapToGrid w:val="0"/>
              <w:spacing w:line="360" w:lineRule="auto"/>
              <w:ind w:firstLine="480" w:firstLineChars="200"/>
              <w:rPr>
                <w:rFonts w:hint="eastAsia" w:ascii="宋体" w:hAnsi="宋体" w:eastAsia="宋体" w:cs="宋体"/>
                <w:sz w:val="24"/>
                <w:szCs w:val="24"/>
              </w:rPr>
            </w:pPr>
          </w:p>
        </w:tc>
      </w:tr>
    </w:tbl>
    <w:p w14:paraId="111C1DC7">
      <w:pPr>
        <w:adjustRightInd w:val="0"/>
        <w:snapToGrid w:val="0"/>
        <w:spacing w:line="360" w:lineRule="auto"/>
        <w:ind w:firstLine="480" w:firstLineChars="200"/>
        <w:rPr>
          <w:rFonts w:hint="eastAsia" w:ascii="宋体" w:hAnsi="宋体" w:eastAsia="宋体" w:cs="宋体"/>
          <w:color w:val="292929"/>
          <w:sz w:val="24"/>
          <w:szCs w:val="24"/>
          <w:lang w:val="zh-CN"/>
        </w:rPr>
      </w:pPr>
      <w:r>
        <w:rPr>
          <w:rFonts w:hint="eastAsia" w:ascii="宋体" w:hAnsi="宋体" w:eastAsia="宋体" w:cs="宋体"/>
          <w:sz w:val="24"/>
          <w:szCs w:val="24"/>
        </w:rPr>
        <w:t>注：合同价格包含完成项目范围工作任务所发生的一切费用，包括枯死松树采伐、集材、造材、运输、伐桩处理以及松枝清理费、招标代理费、人员工资、机械材料、利润、税金、测量、勘察、保险（施工人员一律参加工伤保险）等完成合同所需的一切本身和不可或缺的所有工作开支、政策性文件规定及合同包含的所有风险、责任等各项全部费用。</w:t>
      </w:r>
      <w:r>
        <w:rPr>
          <w:rFonts w:hint="eastAsia" w:ascii="宋体" w:hAnsi="宋体" w:eastAsia="宋体" w:cs="宋体"/>
          <w:sz w:val="24"/>
          <w:szCs w:val="24"/>
          <w:lang w:val="zh-CN"/>
        </w:rPr>
        <w:t>如有漏项，视为已包含在其它项目中。</w:t>
      </w:r>
    </w:p>
    <w:p w14:paraId="6647DD9D">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三、履约保证金</w:t>
      </w:r>
    </w:p>
    <w:p w14:paraId="076CD78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签订合同前乙方须向甲方交纳人民币       元作为本合同的履约保证金（成交金额的1%），履约保证金待项目经验收合格，无服务质量问题，一个月内无息退还。 缴纳形式为转账或以银行、保险公司出具的保函。</w:t>
      </w:r>
    </w:p>
    <w:p w14:paraId="2EC0CD09">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四、1.履行时间</w:t>
      </w:r>
      <w:r>
        <w:rPr>
          <w:rFonts w:hint="eastAsia" w:ascii="宋体" w:hAnsi="宋体" w:eastAsia="宋体" w:cs="宋体"/>
          <w:sz w:val="24"/>
          <w:szCs w:val="24"/>
        </w:rPr>
        <w:t xml:space="preserve">：按合同要求 </w:t>
      </w:r>
    </w:p>
    <w:p w14:paraId="7370025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2.履行方式：直接服务。</w:t>
      </w:r>
    </w:p>
    <w:p w14:paraId="553DD7D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3.履行地点：见除治范围。</w:t>
      </w:r>
    </w:p>
    <w:p w14:paraId="03F0B550">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五、转包或分包</w:t>
      </w:r>
    </w:p>
    <w:p w14:paraId="679991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14:paraId="4018E4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2.除非得到甲方的书面同意，乙方不得将本合同范围的服务全部或部分分包给他人供应；</w:t>
      </w:r>
    </w:p>
    <w:p w14:paraId="59DE46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14:paraId="4194F4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六、技术规范及标准</w:t>
      </w:r>
    </w:p>
    <w:p w14:paraId="795B97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1.本项目技术规范包括但不仅限于以下技术规范及标准：</w:t>
      </w:r>
    </w:p>
    <w:p w14:paraId="79A64C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2.符合《中华人民共和国政府采购法》的有关规定；</w:t>
      </w:r>
    </w:p>
    <w:p w14:paraId="6D0D5B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3.符合浙财采购监字 ( 2009 ) 28 号文件的规定；</w:t>
      </w:r>
    </w:p>
    <w:p w14:paraId="2DA9EA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4.符合国家林业和草原局新修订的《松材线虫病疫区和疫木管理办法》 林生发(2018] 117 号文件的规定；</w:t>
      </w:r>
    </w:p>
    <w:p w14:paraId="7F4BA8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5.符合国家林业和草原局新修订的《松材线虫病防治技术方案 ( 2022 年版）》林生发(2022] 94 号文件的规定；</w:t>
      </w:r>
    </w:p>
    <w:p w14:paraId="485C82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七、甲乙双方职责</w:t>
      </w:r>
    </w:p>
    <w:p w14:paraId="11A5E2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l.提供给乙方本合同服务范围及相关资料；</w:t>
      </w:r>
    </w:p>
    <w:p w14:paraId="505A58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2 按规定核拨给乙方服务经费</w:t>
      </w:r>
    </w:p>
    <w:p w14:paraId="3E5DB799">
      <w:pPr>
        <w:spacing w:line="360" w:lineRule="auto"/>
        <w:ind w:left="-424" w:leftChars="-202" w:firstLine="962" w:firstLineChars="401"/>
        <w:rPr>
          <w:rFonts w:hint="eastAsia" w:ascii="宋体" w:hAnsi="宋体" w:eastAsia="宋体" w:cs="宋体"/>
          <w:sz w:val="24"/>
          <w:szCs w:val="24"/>
        </w:rPr>
      </w:pPr>
      <w:r>
        <w:rPr>
          <w:rFonts w:hint="eastAsia" w:ascii="宋体" w:hAnsi="宋体" w:eastAsia="宋体" w:cs="宋体"/>
          <w:sz w:val="24"/>
          <w:szCs w:val="24"/>
        </w:rPr>
        <w:t>7. 3乙方在履行合同义务期间，应遵守国家有关法律、法规 ， 维护甲方的合法权益。确保安全生产， 如因乙方违规操作造成的一切后果由乙方自行承担。</w:t>
      </w:r>
    </w:p>
    <w:p w14:paraId="4A9524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7.4乙方应组建能够满足本工程服务需要的队伍 ，并为所有施工、监管等除治工作相</w:t>
      </w:r>
    </w:p>
    <w:p w14:paraId="14F019E1">
      <w:pPr>
        <w:spacing w:line="360" w:lineRule="auto"/>
        <w:rPr>
          <w:rFonts w:hint="eastAsia" w:ascii="宋体" w:hAnsi="宋体" w:eastAsia="宋体" w:cs="宋体"/>
          <w:sz w:val="24"/>
          <w:szCs w:val="24"/>
        </w:rPr>
      </w:pPr>
      <w:r>
        <w:rPr>
          <w:rFonts w:hint="eastAsia" w:ascii="宋体" w:hAnsi="宋体" w:eastAsia="宋体" w:cs="宋体"/>
          <w:sz w:val="24"/>
          <w:szCs w:val="24"/>
        </w:rPr>
        <w:t>关人员进行投保；乙   方需按照工程管理的有关规定，交足履约保证金、衣民工工资保证金等。乙方不得以任何理由，拖欠支付</w:t>
      </w:r>
      <w:r>
        <w:rPr>
          <w:rFonts w:hint="eastAsia" w:ascii="宋体" w:hAnsi="宋体" w:cs="宋体"/>
          <w:sz w:val="24"/>
          <w:szCs w:val="24"/>
          <w:lang w:val="en-US" w:eastAsia="zh-CN"/>
        </w:rPr>
        <w:t>农</w:t>
      </w:r>
      <w:r>
        <w:rPr>
          <w:rFonts w:hint="eastAsia" w:ascii="宋体" w:hAnsi="宋体" w:eastAsia="宋体" w:cs="宋体"/>
          <w:sz w:val="24"/>
          <w:szCs w:val="24"/>
        </w:rPr>
        <w:t>民工工资。</w:t>
      </w:r>
    </w:p>
    <w:p w14:paraId="28BDB3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7.5乙方应接受甲方或丙方及森防部门对除治工作的核查指导，并应按照除治工作范围和内容，按时完成所有与松材线虫病除治相关工作，并定期向甲方和丙方汇报除治工作进展。</w:t>
      </w:r>
    </w:p>
    <w:p w14:paraId="3717E9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7.6乙方应根据甲方和丙方要求， 落实专人负责施工质量现场管理， 并安装应用数字森防 APP, 对疫木采伐和运输过程实施拍照留痕，确保甲方和丙方能随时了解除治进程。服务期间将所有清理下山的病松疫木统一装运到甲方指定的地点。</w:t>
      </w:r>
    </w:p>
    <w:p w14:paraId="44090E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八、服务 要求</w:t>
      </w:r>
    </w:p>
    <w:p w14:paraId="317D1D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作业要求</w:t>
      </w:r>
    </w:p>
    <w:p w14:paraId="0B054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松材线中病除治清理严格按照" 510 清于净” 技术标准，清理范围内枯死松树渚理率达到 100%, 清理质虽要求严格执行《松材线虫病防治技术方案 ( 2022年版）》相关规定， 并按要求运用“数字森防" APP 上传除治数据：</w:t>
      </w:r>
    </w:p>
    <w:p w14:paraId="6B4087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 伐桩处理： 对疫木伐除后，伐桩最高处上坡度面的高度不得超过5cm;  疫木伐除后， 按照《松材线虫病防治技术方案 ( 2022年版）》相关规定处理。</w:t>
      </w:r>
    </w:p>
    <w:p w14:paraId="2864CB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page">
                  <wp:posOffset>7499985</wp:posOffset>
                </wp:positionH>
                <wp:positionV relativeFrom="paragraph">
                  <wp:posOffset>479425</wp:posOffset>
                </wp:positionV>
                <wp:extent cx="116205" cy="379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379730"/>
                        </a:xfrm>
                        <a:prstGeom prst="rect">
                          <a:avLst/>
                        </a:prstGeom>
                        <a:noFill/>
                        <a:ln>
                          <a:noFill/>
                        </a:ln>
                      </wps:spPr>
                      <wps:txbx>
                        <w:txbxContent>
                          <w:p w14:paraId="2D9EFE21">
                            <w:pPr>
                              <w:spacing w:line="180" w:lineRule="auto"/>
                              <w:ind w:left="20"/>
                              <w:rPr>
                                <w:sz w:val="14"/>
                              </w:rPr>
                            </w:pPr>
                            <w:r>
                              <w:rPr>
                                <w:color w:val="E13348"/>
                                <w:sz w:val="14"/>
                              </w:rPr>
                              <w:t>入</w:t>
                            </w:r>
                            <w:r>
                              <w:rPr>
                                <w:color w:val="E81F23"/>
                                <w:sz w:val="14"/>
                              </w:rPr>
                              <w:t>鲁瞿震</w:t>
                            </w:r>
                          </w:p>
                        </w:txbxContent>
                      </wps:txbx>
                      <wps:bodyPr vert="eaVert" lIns="0" tIns="0" rIns="0" bIns="0" upright="1"/>
                    </wps:wsp>
                  </a:graphicData>
                </a:graphic>
              </wp:anchor>
            </w:drawing>
          </mc:Choice>
          <mc:Fallback>
            <w:pict>
              <v:shape id="_x0000_s1026" o:spid="_x0000_s1026" o:spt="202" type="#_x0000_t202" style="position:absolute;left:0pt;margin-left:590.55pt;margin-top:37.75pt;height:29.9pt;width:9.15pt;mso-position-horizontal-relative:page;z-index:251659264;mso-width-relative:page;mso-height-relative:page;" filled="f" stroked="f" coordsize="21600,21600" o:gfxdata="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o/donYAAAADAEAAA8AAAAAAAAAAQAgAAAAIgAAAGRycy9kb3ducmV2&#10;LnhtbFBLAQIUABQAAAAIAIdO4kCKa0rpwwEAAH8DAAAOAAAAAAAAAAEAIAAAACcBAABkcnMvZTJv&#10;RG9jLnhtbFBLBQYAAAAABgAGAFkBAABcBQAAAAA=&#10;">
                <v:fill on="f" focussize="0,0"/>
                <v:stroke on="f"/>
                <v:imagedata o:title=""/>
                <o:lock v:ext="edit" aspectratio="f"/>
                <v:textbox inset="0mm,0mm,0mm,0mm" style="layout-flow:vertical-ideographic;">
                  <w:txbxContent>
                    <w:p w14:paraId="2D9EFE21">
                      <w:pPr>
                        <w:spacing w:line="180" w:lineRule="auto"/>
                        <w:ind w:left="20"/>
                        <w:rPr>
                          <w:sz w:val="14"/>
                        </w:rPr>
                      </w:pPr>
                      <w:r>
                        <w:rPr>
                          <w:color w:val="E13348"/>
                          <w:sz w:val="14"/>
                        </w:rPr>
                        <w:t>入</w:t>
                      </w:r>
                      <w:r>
                        <w:rPr>
                          <w:color w:val="E81F23"/>
                          <w:sz w:val="14"/>
                        </w:rPr>
                        <w:t>鲁瞿震</w:t>
                      </w:r>
                    </w:p>
                  </w:txbxContent>
                </v:textbox>
              </v:shape>
            </w:pict>
          </mc:Fallback>
        </mc:AlternateContent>
      </w:r>
      <w:r>
        <w:rPr>
          <w:rFonts w:hint="eastAsia" w:ascii="宋体" w:hAnsi="宋体" w:eastAsia="宋体" w:cs="宋体"/>
          <w:sz w:val="24"/>
          <w:szCs w:val="24"/>
        </w:rPr>
        <w:t>( 2) 枝杻处理： 除治山场范围内， 清理收集所有直径大于 1cm 的病死的松树枝杻， 随疫木主干运到指定的疫木定点加工企业进行除害处理。</w:t>
      </w:r>
    </w:p>
    <w:p w14:paraId="480FE7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( 3 ) 疫木处理： 伐除的松木必须当天下山， 运到指定的疫木定点企业进行安全除害处理。加强对疫木的监管， 造成疫木人为流失的，按有关法律规定追究相关责任。</w:t>
      </w:r>
    </w:p>
    <w:p w14:paraId="22A89A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( 4 )   乙方在进场前，要把清理队伍人员和要进入的山场告知甲方同意，才可进场清理。清理完工后，由乙方自检合格后提出验收的申请，丙方组织相关人员按验收标准及时进行验收。</w:t>
      </w:r>
    </w:p>
    <w:p w14:paraId="05999E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( 5 )   乙方要做好施工档案记载， 包括施工照片（施工前、施工中、施工后，同一地点为佳），施工记录，疫木的流向、数昼（双签字、双称重）等，疫木除治数据需通过“数字  森防" APP 上传。</w:t>
      </w:r>
    </w:p>
    <w:p w14:paraId="75D4A4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( 6 )  乙方需将枯死松树上图至软件中，包括   疫木砍伐、疫木起运、疫木销毁、数据补充更新等所有环节。除治人员通过手机APP将填报除治疫木的胸径及清理前、后照片，同时系统自动生成疫木编号、行政区、小班号、林班号、清理人员、清理时间等本基信息，一并上传到系统平台。</w:t>
      </w:r>
    </w:p>
    <w:p w14:paraId="63C4D4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( 7 ) 无病害的松树或往年枯死的松树， 一律不得砍伐。如因特殊原因， 无法按以上规定方法清理的，应报告 相关部门， 经程序审批完成后按其他方式进行处理。</w:t>
      </w:r>
    </w:p>
    <w:p w14:paraId="0178B1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( 8 ) 其他： 采伐过程中，严禁砍伐活立木。</w:t>
      </w:r>
    </w:p>
    <w:p w14:paraId="04F37283">
      <w:pPr>
        <w:pStyle w:val="2"/>
        <w:rPr>
          <w:rFonts w:hint="eastAsia"/>
        </w:rPr>
      </w:pPr>
    </w:p>
    <w:p w14:paraId="4979DF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作业方法</w:t>
      </w:r>
    </w:p>
    <w:p w14:paraId="2D509E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依据国家林草局《松材线虫病防治技术方案》开展枯死松树清理，清理对象为当年新枯  死松树，采用择伐清理， 病死（濒死、枯死、因灾致死）松树全部清理下山， 直接运送至定点企业进行粉碎（削片）、旋切处理， 不得砍伐往年松树。砍伐过程中， 需按照要求，上传除治数据至“数字森防“管理平台。</w:t>
      </w:r>
    </w:p>
    <w:p w14:paraId="63B020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作业监督</w:t>
      </w:r>
    </w:p>
    <w:p w14:paraId="4CA653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本项目由各乡镇街道作为监督人。若甲方发现有以下情形，乙方必须及时返工或整改或撤换：</w:t>
      </w:r>
    </w:p>
    <w:p w14:paraId="50F073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 发现施工作业质量不合格的；</w:t>
      </w:r>
    </w:p>
    <w:p w14:paraId="767B18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( 2 ) 发现施工进度拖拉或砍往年死松树充数的；</w:t>
      </w:r>
    </w:p>
    <w:p w14:paraId="7BA8FB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( 3)作业人员不能胜任工作或在工作期间玩忽职守、不负责、弄虚造假的。</w:t>
      </w:r>
    </w:p>
    <w:p w14:paraId="1748FA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九、其他要求</w:t>
      </w:r>
    </w:p>
    <w:p w14:paraId="126522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1、本项目必须由乙方独立负责组织完成， 不得转包、分包给其他单位。一经发现有分包、转包行为的甲方有权解除合同，并要求乙方赔偿因此造成的损失。</w:t>
      </w:r>
    </w:p>
    <w:p w14:paraId="247D0A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2、乙方应按照国家的有关规定为工作人员缴纳人生意外保险，未参加保险的人员不得进场作业。在完成采伐作业过程中所造成的伤害，由乙方自行负责。</w:t>
      </w:r>
    </w:p>
    <w:p w14:paraId="38CE40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3、病死松树清理处置费归甲方所有。</w:t>
      </w:r>
    </w:p>
    <w:p w14:paraId="54D986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4、乙方服务期间在甲方和丙方指定的服务范围内进行清理， 清理下山的病死松树须装运到甲方指定地点，涉及的运输费用由乙方承担。</w:t>
      </w:r>
    </w:p>
    <w:p w14:paraId="3412E51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 5、乙方在清理期间， 必须严格遵守国家的法律、法规和社会公德。 </w:t>
      </w:r>
    </w:p>
    <w:p w14:paraId="14EF323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6、乙方不得将清理下山的病死松树私下交易，严禁采伐活立木， 一旦发现上述问题， 将依法追究相关人员责任。</w:t>
      </w:r>
    </w:p>
    <w:p w14:paraId="6B2DD77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7、采伐清理工作过程中必须加强野外用火管理， 认真开展安全教育， 在施工作业范围内做好森林防火工作。乙方必须重视病死松树清理作业的安全，严格执行操作规程，如发  生安全事故，由 乙方自行承担全部的责任和费用。</w:t>
      </w:r>
    </w:p>
    <w:p w14:paraId="23BE5CE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8、项目完成后必须通过由丙方组织的检查验收， 如在验收中发现山上有 1 厘米以上的病死松树枝杻遗留，可责令乙方重新返工清理遗留枝杻，直至验收合格。</w:t>
      </w:r>
    </w:p>
    <w:p w14:paraId="6FF34D9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9、施工安全措施与环境保护措施</w:t>
      </w:r>
    </w:p>
    <w:p w14:paraId="40A7A68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乙方在施工过程中， 要注意施工安全， 采取正确的安全防范措施， 制定安全事故防范预案，必须 配备安全护具包括马甲、头盔、手套等， 确保生命财产安全， 杜绝事故发生；</w:t>
      </w:r>
    </w:p>
    <w:p w14:paraId="469B915C">
      <w:pPr>
        <w:numPr>
          <w:ilvl w:val="0"/>
          <w:numId w:val="5"/>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、乙方清理过程中群众提出的赔偿等涉及相关处理费用均由</w:t>
      </w:r>
      <w:bookmarkStart w:id="423" w:name="_GoBack"/>
      <w:bookmarkEnd w:id="423"/>
      <w:r>
        <w:rPr>
          <w:rFonts w:hint="eastAsia" w:ascii="宋体" w:hAnsi="宋体" w:eastAsia="宋体" w:cs="宋体"/>
          <w:sz w:val="24"/>
          <w:szCs w:val="24"/>
        </w:rPr>
        <w:t>乙方负责 ，与甲方无涉 。</w:t>
      </w:r>
    </w:p>
    <w:p w14:paraId="33105B8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w:t>
      </w:r>
      <w:r>
        <w:rPr>
          <w:rFonts w:hint="eastAsia" w:ascii="宋体" w:hAnsi="宋体" w:cs="宋体"/>
          <w:sz w:val="24"/>
          <w:szCs w:val="24"/>
          <w:lang w:val="en-US" w:eastAsia="zh-CN"/>
        </w:rPr>
        <w:t xml:space="preserve"> </w:t>
      </w:r>
      <w:r>
        <w:rPr>
          <w:rFonts w:hint="eastAsia" w:ascii="宋体" w:hAnsi="宋体" w:eastAsia="宋体" w:cs="宋体"/>
          <w:sz w:val="24"/>
          <w:szCs w:val="24"/>
        </w:rPr>
        <w:t>11 、不采伐正常活松树、阔叶树、杉树，服从乡镇及林业局的监管（监督）。</w:t>
      </w:r>
    </w:p>
    <w:p w14:paraId="1B86B85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十、结算方式：</w:t>
      </w:r>
    </w:p>
    <w:p w14:paraId="26BB8CA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1.下山疫木清理结算数量按第三方过磅监管清单和过磅单确定，结算价＝中标全费用 综合单价（元／吨）×实际清理的病死松树重量（ 吨）。</w:t>
      </w:r>
    </w:p>
    <w:p w14:paraId="0976323C">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一</w:t>
      </w:r>
      <w:r>
        <w:rPr>
          <w:rFonts w:hint="eastAsia" w:ascii="宋体" w:hAnsi="宋体" w:eastAsia="宋体" w:cs="宋体"/>
          <w:b/>
          <w:bCs/>
          <w:sz w:val="24"/>
          <w:szCs w:val="24"/>
        </w:rPr>
        <w:t>、付款办法</w:t>
      </w:r>
    </w:p>
    <w:p w14:paraId="0C8B2B9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付款方式：</w:t>
      </w:r>
    </w:p>
    <w:p w14:paraId="63F37325">
      <w:pPr>
        <w:numPr>
          <w:ilvl w:val="0"/>
          <w:numId w:val="6"/>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定点处理企业过磅吨数乘以成交单价，扣除处理款，得出结算款。                 </w:t>
      </w:r>
    </w:p>
    <w:p w14:paraId="425C5AC1">
      <w:pPr>
        <w:adjustRightInd w:val="0"/>
        <w:snapToGrid w:val="0"/>
        <w:spacing w:line="360" w:lineRule="auto"/>
        <w:ind w:left="420"/>
        <w:rPr>
          <w:rFonts w:hint="eastAsia" w:ascii="宋体" w:hAnsi="宋体" w:eastAsia="宋体" w:cs="宋体"/>
          <w:sz w:val="24"/>
          <w:szCs w:val="24"/>
        </w:rPr>
      </w:pPr>
      <w:r>
        <w:rPr>
          <w:rFonts w:hint="eastAsia" w:ascii="宋体" w:hAnsi="宋体" w:eastAsia="宋体" w:cs="宋体"/>
          <w:sz w:val="24"/>
          <w:szCs w:val="24"/>
        </w:rPr>
        <w:t>2.签订合同后由定点企业按照除治吨数支付合同价的30%，其余支付款凭乙方提供</w:t>
      </w:r>
    </w:p>
    <w:p w14:paraId="07FEF0B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的正式发票和验收清据，在上级单位验收合格、拨款到位后支付。</w:t>
      </w:r>
    </w:p>
    <w:p w14:paraId="2D256991">
      <w:pPr>
        <w:adjustRightInd w:val="0"/>
        <w:snapToGrid w:val="0"/>
        <w:spacing w:line="360" w:lineRule="auto"/>
        <w:ind w:firstLine="480" w:firstLineChars="200"/>
        <w:rPr>
          <w:rFonts w:hint="eastAsia"/>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须优先用于支付农民工工资。</w:t>
      </w:r>
    </w:p>
    <w:p w14:paraId="3A1893BF">
      <w:pPr>
        <w:adjustRightInd w:val="0"/>
        <w:snapToGrid w:val="0"/>
        <w:spacing w:line="360" w:lineRule="auto"/>
        <w:ind w:firstLine="420" w:firstLineChars="200"/>
        <w:rPr>
          <w:rFonts w:hint="eastAsia" w:ascii="宋体" w:hAnsi="宋体" w:eastAsia="宋体" w:cs="宋体"/>
          <w:sz w:val="24"/>
          <w:szCs w:val="24"/>
        </w:rPr>
      </w:pPr>
      <w:r>
        <w:rPr>
          <w:rFonts w:hint="eastAsia"/>
          <w:color w:val="auto"/>
          <w:sz w:val="21"/>
          <w:szCs w:val="21"/>
          <w:lang w:val="en-US" w:eastAsia="zh-CN"/>
        </w:rPr>
        <w:t>本</w:t>
      </w:r>
      <w:r>
        <w:rPr>
          <w:rFonts w:hint="eastAsia" w:ascii="宋体" w:hAnsi="宋体" w:eastAsia="宋体" w:cs="宋体"/>
          <w:sz w:val="24"/>
          <w:szCs w:val="24"/>
        </w:rPr>
        <w:t>乙方开户银行：</w:t>
      </w:r>
    </w:p>
    <w:p w14:paraId="78FCD67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乙方银行账号：</w:t>
      </w:r>
    </w:p>
    <w:p w14:paraId="6C816B40">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二</w:t>
      </w:r>
      <w:r>
        <w:rPr>
          <w:rFonts w:hint="eastAsia" w:ascii="宋体" w:hAnsi="宋体" w:eastAsia="宋体" w:cs="宋体"/>
          <w:b/>
          <w:bCs/>
          <w:sz w:val="24"/>
          <w:szCs w:val="24"/>
        </w:rPr>
        <w:t>、违约责任</w:t>
      </w:r>
    </w:p>
    <w:p w14:paraId="3048705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1.甲方无正当理由拒收接受服务的，甲方向乙方偿付合同款项百分之五作为违约金。</w:t>
      </w:r>
    </w:p>
    <w:p w14:paraId="0A2D492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2.甲方无故逾期验收和办理款项支付手续的,甲方应按逾期付款总额每日万分之五向乙方支付违约金。</w:t>
      </w:r>
    </w:p>
    <w:p w14:paraId="324F2A1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甲方造成原因除外）。</w:t>
      </w:r>
    </w:p>
    <w:p w14:paraId="0555A100">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三</w:t>
      </w:r>
      <w:r>
        <w:rPr>
          <w:rFonts w:hint="eastAsia" w:ascii="宋体" w:hAnsi="宋体" w:eastAsia="宋体" w:cs="宋体"/>
          <w:b/>
          <w:bCs/>
          <w:sz w:val="24"/>
          <w:szCs w:val="24"/>
        </w:rPr>
        <w:t>、税费</w:t>
      </w:r>
    </w:p>
    <w:p w14:paraId="6725FF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6D3601AA">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四</w:t>
      </w:r>
      <w:r>
        <w:rPr>
          <w:rFonts w:hint="eastAsia" w:ascii="宋体" w:hAnsi="宋体" w:eastAsia="宋体" w:cs="宋体"/>
          <w:b/>
          <w:bCs/>
          <w:sz w:val="24"/>
          <w:szCs w:val="24"/>
        </w:rPr>
        <w:t>、质量保证及售后服务</w:t>
      </w:r>
    </w:p>
    <w:p w14:paraId="705E815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1.乙方应按招标文件规定向甲方提供服务。</w:t>
      </w:r>
    </w:p>
    <w:p w14:paraId="256E0D7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2.乙方提供的服务成果在服务质量保证期内发生问题，乙方应负责免费提供后续服务。对达不到要求者，根据实际情况，经双方协商，可按以下办法处理：</w:t>
      </w:r>
    </w:p>
    <w:p w14:paraId="65EBD97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⑴重做：由乙方承担所发生的全部费用。</w:t>
      </w:r>
    </w:p>
    <w:p w14:paraId="61346E2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4380A12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⑶解除合同。</w:t>
      </w:r>
    </w:p>
    <w:p w14:paraId="3CBE455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3.如在使用过程中发生问题，乙方在接到甲方通知后在 4 小时内到达甲方现场。</w:t>
      </w:r>
    </w:p>
    <w:p w14:paraId="5D4245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4.在服务质量保证期内，乙方应对出现的质量及安全问题负责处理解决并承担一切费用。</w:t>
      </w:r>
    </w:p>
    <w:p w14:paraId="11B09031">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五</w:t>
      </w:r>
      <w:r>
        <w:rPr>
          <w:rFonts w:hint="eastAsia" w:ascii="宋体" w:hAnsi="宋体" w:eastAsia="宋体" w:cs="宋体"/>
          <w:b/>
          <w:bCs/>
          <w:sz w:val="24"/>
          <w:szCs w:val="24"/>
        </w:rPr>
        <w:t>、监督验收</w:t>
      </w:r>
    </w:p>
    <w:p w14:paraId="28875341">
      <w:pPr>
        <w:pStyle w:val="19"/>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乡级验收。在集中除治期内，非天牛羽化期间。以山场小 班为单位，按照“清理一片、验收一片、合格一片、再继续一片” 的原则开展清理山场小班验收。每一个山场小班除治完毕后，由除治队向除治（清理）实施单位提出验收申请，各除治实施单位 组织有关人员对照《磐安县松材线虫病防治疫木清理检查验收评 分表》逐个进行初级验收，验收不合格的的小班由除治队整改后 再另行验收，验收合格再进行下一小班除治。各除治实施单位必 须在集中处置期内对本辖区范围内所有山场除治小班验收合格 后，再以书面形式报告县林业植物重大疫情防控办公室，并报送验收资料，进入县级验收环节。县级验收验收核查方法：采用外业核查方式进行，县资规局委托第三方单位随机抽查各除治实施单位不少于20个除治小班除治任务成情况（重新验收的除治实施单位，除完成第一次抽查小班的复检外，需另外新抽不合格小班同等数量小班再次验收），综合评价病死树清理质量等级。外业核查内容：核查各实施单位境内松材线虫病枯死树清理 完成情况，主要是“四边”区域是否有未除治的松材线虫病发生场，要标注未除治山场的小班号和面积；随机抽查不少于20个除治小班的除治质量，重点检查疫木除治是否严格按“510·清干净” 标准开展，即伐桩不高于5cm，直径1cm以上的枝桠是否全部 清理到位，所辖范围内实现枯死松树动态清零，疫木清理是否严 格纳入省数字森防平台管理（记录核查地块、伐桩等位置信息， 核查的小班信息等）。</w:t>
      </w:r>
    </w:p>
    <w:p w14:paraId="176B5904">
      <w:pPr>
        <w:pStyle w:val="19"/>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六</w:t>
      </w:r>
      <w:r>
        <w:rPr>
          <w:rFonts w:hint="eastAsia" w:ascii="宋体" w:hAnsi="宋体" w:eastAsia="宋体" w:cs="宋体"/>
          <w:b/>
          <w:bCs/>
          <w:sz w:val="24"/>
          <w:szCs w:val="24"/>
        </w:rPr>
        <w:t>、安全责任</w:t>
      </w:r>
    </w:p>
    <w:p w14:paraId="72E9F4E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清理（中标）单位对清理工作的安全负全责，必须落实清理作业人员的意外伤害保险，出现安全问题（包括对第三方造成的安全伤害）均与县林业局、乡镇、村无关。</w:t>
      </w:r>
    </w:p>
    <w:p w14:paraId="74547F45">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七</w:t>
      </w:r>
      <w:r>
        <w:rPr>
          <w:rFonts w:hint="eastAsia" w:ascii="宋体" w:hAnsi="宋体" w:eastAsia="宋体" w:cs="宋体"/>
          <w:b/>
          <w:bCs/>
          <w:sz w:val="24"/>
          <w:szCs w:val="24"/>
        </w:rPr>
        <w:t>、不可抗力事件处理</w:t>
      </w:r>
    </w:p>
    <w:p w14:paraId="264E8BC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5822D90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37DF88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14:paraId="572B4A73">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八</w:t>
      </w:r>
      <w:r>
        <w:rPr>
          <w:rFonts w:hint="eastAsia" w:ascii="宋体" w:hAnsi="宋体" w:eastAsia="宋体" w:cs="宋体"/>
          <w:b/>
          <w:bCs/>
          <w:sz w:val="24"/>
          <w:szCs w:val="24"/>
        </w:rPr>
        <w:t>、诉讼</w:t>
      </w:r>
    </w:p>
    <w:p w14:paraId="680E3A8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14:paraId="713DD506">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zh-CN"/>
        </w:rPr>
        <w:t>十</w:t>
      </w:r>
      <w:r>
        <w:rPr>
          <w:rFonts w:hint="eastAsia" w:ascii="宋体" w:hAnsi="宋体" w:cs="宋体"/>
          <w:b/>
          <w:bCs/>
          <w:sz w:val="24"/>
          <w:szCs w:val="24"/>
          <w:lang w:val="en-US" w:eastAsia="zh-CN"/>
        </w:rPr>
        <w:t>九</w:t>
      </w:r>
      <w:r>
        <w:rPr>
          <w:rFonts w:hint="eastAsia" w:ascii="宋体" w:hAnsi="宋体" w:eastAsia="宋体" w:cs="宋体"/>
          <w:b/>
          <w:bCs/>
          <w:sz w:val="24"/>
          <w:szCs w:val="24"/>
          <w:lang w:val="zh-CN"/>
        </w:rPr>
        <w:t>、合同生效及其它</w:t>
      </w:r>
    </w:p>
    <w:p w14:paraId="6D81F8D5">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1.本合同未尽事宜，双方可另行签署补充协议。</w:t>
      </w:r>
    </w:p>
    <w:p w14:paraId="6CEF82F3">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.本合同未尽事宜，遵照《合同法》有关条文执行。</w:t>
      </w:r>
    </w:p>
    <w:p w14:paraId="7BE140A3">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.本合同正本一式</w:t>
      </w:r>
      <w:r>
        <w:rPr>
          <w:rFonts w:hint="eastAsia" w:ascii="宋体" w:hAnsi="宋体" w:eastAsia="宋体" w:cs="宋体"/>
          <w:sz w:val="24"/>
          <w:szCs w:val="24"/>
        </w:rPr>
        <w:t>柒</w:t>
      </w:r>
      <w:r>
        <w:rPr>
          <w:rFonts w:hint="eastAsia" w:ascii="宋体" w:hAnsi="宋体" w:eastAsia="宋体" w:cs="宋体"/>
          <w:sz w:val="24"/>
          <w:szCs w:val="24"/>
          <w:lang w:val="zh-CN"/>
        </w:rPr>
        <w:t>份，具有同等法律效力，甲乙双方各执二份，</w:t>
      </w:r>
      <w:r>
        <w:rPr>
          <w:rFonts w:hint="eastAsia" w:ascii="宋体" w:hAnsi="宋体" w:eastAsia="宋体" w:cs="宋体"/>
          <w:sz w:val="24"/>
          <w:szCs w:val="24"/>
        </w:rPr>
        <w:t>浙江诚远工程咨询有限公司</w:t>
      </w:r>
      <w:r>
        <w:rPr>
          <w:rFonts w:hint="eastAsia" w:ascii="宋体" w:hAnsi="宋体" w:eastAsia="宋体" w:cs="宋体"/>
          <w:sz w:val="24"/>
          <w:szCs w:val="24"/>
          <w:lang w:val="zh-CN"/>
        </w:rPr>
        <w:t>、磐安县财政局各执一份。</w:t>
      </w:r>
    </w:p>
    <w:p w14:paraId="75F6D240">
      <w:pPr>
        <w:tabs>
          <w:tab w:val="left" w:pos="720"/>
          <w:tab w:val="left" w:pos="1154"/>
          <w:tab w:val="center" w:pos="4425"/>
        </w:tabs>
        <w:spacing w:line="360" w:lineRule="auto"/>
        <w:ind w:firstLine="1205" w:firstLineChars="500"/>
        <w:jc w:val="left"/>
        <w:rPr>
          <w:rFonts w:hint="eastAsia" w:ascii="宋体" w:hAnsi="宋体" w:eastAsia="宋体" w:cs="宋体"/>
          <w:b/>
          <w:sz w:val="24"/>
          <w:szCs w:val="24"/>
        </w:rPr>
      </w:pP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6"/>
        <w:gridCol w:w="4613"/>
      </w:tblGrid>
      <w:tr w14:paraId="53EC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1" w:hRule="atLeast"/>
          <w:jc w:val="center"/>
        </w:trPr>
        <w:tc>
          <w:tcPr>
            <w:tcW w:w="4626" w:type="dxa"/>
            <w:tcBorders>
              <w:top w:val="single" w:color="auto" w:sz="4" w:space="0"/>
              <w:left w:val="single" w:color="auto" w:sz="4" w:space="0"/>
              <w:bottom w:val="single" w:color="auto" w:sz="4" w:space="0"/>
              <w:right w:val="single" w:color="auto" w:sz="4" w:space="0"/>
            </w:tcBorders>
            <w:noWrap w:val="0"/>
            <w:vAlign w:val="top"/>
          </w:tcPr>
          <w:p w14:paraId="6975DC2B">
            <w:pPr>
              <w:spacing w:line="360" w:lineRule="auto"/>
              <w:ind w:right="-105" w:rightChars="-50"/>
              <w:jc w:val="center"/>
              <w:rPr>
                <w:rFonts w:hint="eastAsia" w:ascii="宋体" w:hAnsi="宋体" w:eastAsia="宋体" w:cs="宋体"/>
                <w:b/>
                <w:bCs/>
                <w:sz w:val="24"/>
                <w:szCs w:val="24"/>
              </w:rPr>
            </w:pPr>
          </w:p>
          <w:p w14:paraId="6C9F998D">
            <w:pPr>
              <w:spacing w:line="360" w:lineRule="auto"/>
              <w:ind w:right="-105" w:rightChars="-50"/>
              <w:jc w:val="center"/>
              <w:rPr>
                <w:rFonts w:hint="eastAsia" w:ascii="宋体" w:hAnsi="宋体" w:eastAsia="宋体" w:cs="宋体"/>
                <w:b/>
                <w:bCs/>
                <w:sz w:val="24"/>
                <w:szCs w:val="24"/>
              </w:rPr>
            </w:pPr>
            <w:r>
              <w:rPr>
                <w:rFonts w:hint="eastAsia" w:ascii="宋体" w:hAnsi="宋体" w:eastAsia="宋体" w:cs="宋体"/>
                <w:b/>
                <w:bCs/>
                <w:sz w:val="24"/>
                <w:szCs w:val="24"/>
              </w:rPr>
              <w:t>甲  方</w:t>
            </w:r>
          </w:p>
          <w:p w14:paraId="2ADF7ACB">
            <w:pPr>
              <w:spacing w:line="360" w:lineRule="auto"/>
              <w:ind w:left="-11" w:right="-105" w:rightChars="-50" w:firstLine="3"/>
              <w:rPr>
                <w:rFonts w:hint="eastAsia" w:ascii="宋体" w:hAnsi="宋体" w:eastAsia="宋体" w:cs="宋体"/>
                <w:sz w:val="24"/>
                <w:szCs w:val="24"/>
              </w:rPr>
            </w:pPr>
            <w:r>
              <w:rPr>
                <w:rFonts w:hint="eastAsia" w:ascii="宋体" w:hAnsi="宋体" w:eastAsia="宋体" w:cs="宋体"/>
                <w:sz w:val="24"/>
                <w:szCs w:val="24"/>
              </w:rPr>
              <w:t>单位名称（章）：</w:t>
            </w:r>
            <w:r>
              <w:rPr>
                <w:rFonts w:hint="eastAsia" w:ascii="宋体" w:hAnsi="宋体" w:eastAsia="宋体" w:cs="宋体"/>
                <w:b/>
                <w:bCs/>
                <w:sz w:val="24"/>
                <w:szCs w:val="24"/>
              </w:rPr>
              <w:t xml:space="preserve"> </w:t>
            </w:r>
          </w:p>
          <w:p w14:paraId="4CA4B93A">
            <w:pPr>
              <w:spacing w:line="360" w:lineRule="auto"/>
              <w:ind w:left="-171"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单位地址：</w:t>
            </w:r>
            <w:r>
              <w:rPr>
                <w:rFonts w:hint="eastAsia" w:ascii="宋体" w:hAnsi="宋体" w:eastAsia="宋体" w:cs="宋体"/>
                <w:b/>
                <w:bCs/>
                <w:sz w:val="24"/>
                <w:szCs w:val="24"/>
              </w:rPr>
              <w:t xml:space="preserve"> </w:t>
            </w:r>
          </w:p>
          <w:p w14:paraId="635E44F9">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661CD00D">
            <w:pPr>
              <w:pStyle w:val="52"/>
              <w:spacing w:after="0" w:line="360" w:lineRule="auto"/>
              <w:ind w:firstLine="464"/>
              <w:rPr>
                <w:rFonts w:hint="eastAsia" w:ascii="宋体" w:hAnsi="宋体" w:eastAsia="宋体" w:cs="宋体"/>
                <w:sz w:val="24"/>
                <w:szCs w:val="24"/>
              </w:rPr>
            </w:pPr>
          </w:p>
          <w:p w14:paraId="4AC9CBEB">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电 话：</w:t>
            </w:r>
          </w:p>
          <w:p w14:paraId="1C442D71">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开户银行：</w:t>
            </w:r>
          </w:p>
          <w:p w14:paraId="4184354C">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账 号：</w:t>
            </w:r>
          </w:p>
          <w:p w14:paraId="77A5984B">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 xml:space="preserve"> </w:t>
            </w:r>
          </w:p>
        </w:tc>
        <w:tc>
          <w:tcPr>
            <w:tcW w:w="4613" w:type="dxa"/>
            <w:tcBorders>
              <w:top w:val="single" w:color="auto" w:sz="4" w:space="0"/>
              <w:left w:val="single" w:color="auto" w:sz="4" w:space="0"/>
              <w:bottom w:val="single" w:color="auto" w:sz="4" w:space="0"/>
              <w:right w:val="single" w:color="auto" w:sz="4" w:space="0"/>
            </w:tcBorders>
            <w:noWrap w:val="0"/>
            <w:vAlign w:val="top"/>
          </w:tcPr>
          <w:p w14:paraId="775B80BA">
            <w:pPr>
              <w:spacing w:line="360" w:lineRule="auto"/>
              <w:ind w:right="-105" w:rightChars="-50"/>
              <w:jc w:val="center"/>
              <w:rPr>
                <w:rFonts w:hint="eastAsia" w:ascii="宋体" w:hAnsi="宋体" w:eastAsia="宋体" w:cs="宋体"/>
                <w:b/>
                <w:bCs/>
                <w:sz w:val="24"/>
                <w:szCs w:val="24"/>
              </w:rPr>
            </w:pPr>
          </w:p>
          <w:p w14:paraId="7F2E622A">
            <w:pPr>
              <w:spacing w:line="360" w:lineRule="auto"/>
              <w:ind w:right="-105" w:rightChars="-50"/>
              <w:jc w:val="center"/>
              <w:rPr>
                <w:rFonts w:hint="eastAsia" w:ascii="宋体" w:hAnsi="宋体" w:eastAsia="宋体" w:cs="宋体"/>
                <w:b/>
                <w:bCs/>
                <w:sz w:val="24"/>
                <w:szCs w:val="24"/>
              </w:rPr>
            </w:pPr>
            <w:r>
              <w:rPr>
                <w:rFonts w:hint="eastAsia" w:ascii="宋体" w:hAnsi="宋体" w:eastAsia="宋体" w:cs="宋体"/>
                <w:b/>
                <w:bCs/>
                <w:sz w:val="24"/>
                <w:szCs w:val="24"/>
              </w:rPr>
              <w:t>乙  方</w:t>
            </w:r>
          </w:p>
          <w:p w14:paraId="69D70AEA">
            <w:pPr>
              <w:spacing w:line="360" w:lineRule="auto"/>
              <w:ind w:left="-11" w:right="-105" w:rightChars="-50" w:firstLine="3"/>
              <w:rPr>
                <w:rFonts w:hint="eastAsia" w:ascii="宋体" w:hAnsi="宋体" w:eastAsia="宋体" w:cs="宋体"/>
                <w:sz w:val="24"/>
                <w:szCs w:val="24"/>
              </w:rPr>
            </w:pPr>
            <w:r>
              <w:rPr>
                <w:rFonts w:hint="eastAsia" w:ascii="宋体" w:hAnsi="宋体" w:eastAsia="宋体" w:cs="宋体"/>
                <w:sz w:val="24"/>
                <w:szCs w:val="24"/>
              </w:rPr>
              <w:t>单位名称（章）：</w:t>
            </w:r>
            <w:r>
              <w:rPr>
                <w:rFonts w:hint="eastAsia" w:ascii="宋体" w:hAnsi="宋体" w:eastAsia="宋体" w:cs="宋体"/>
                <w:b/>
                <w:bCs/>
                <w:sz w:val="24"/>
                <w:szCs w:val="24"/>
              </w:rPr>
              <w:t xml:space="preserve"> </w:t>
            </w:r>
          </w:p>
          <w:p w14:paraId="70EF4111">
            <w:pPr>
              <w:spacing w:line="360" w:lineRule="auto"/>
              <w:ind w:left="-11" w:right="-105" w:rightChars="-50" w:firstLine="3"/>
              <w:rPr>
                <w:rFonts w:hint="eastAsia" w:ascii="宋体" w:hAnsi="宋体" w:eastAsia="宋体" w:cs="宋体"/>
                <w:b/>
                <w:bCs/>
                <w:sz w:val="24"/>
                <w:szCs w:val="24"/>
              </w:rPr>
            </w:pPr>
            <w:r>
              <w:rPr>
                <w:rFonts w:hint="eastAsia" w:ascii="宋体" w:hAnsi="宋体" w:eastAsia="宋体" w:cs="宋体"/>
                <w:sz w:val="24"/>
                <w:szCs w:val="24"/>
              </w:rPr>
              <w:t>单位地址：</w:t>
            </w:r>
            <w:r>
              <w:rPr>
                <w:rFonts w:hint="eastAsia" w:ascii="宋体" w:hAnsi="宋体" w:eastAsia="宋体" w:cs="宋体"/>
                <w:b/>
                <w:bCs/>
                <w:sz w:val="24"/>
                <w:szCs w:val="24"/>
              </w:rPr>
              <w:t xml:space="preserve"> </w:t>
            </w:r>
          </w:p>
          <w:p w14:paraId="060A45BB">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40B34780">
            <w:pPr>
              <w:pStyle w:val="52"/>
              <w:spacing w:after="0" w:line="360" w:lineRule="auto"/>
              <w:ind w:firstLine="464"/>
              <w:rPr>
                <w:rFonts w:hint="eastAsia" w:ascii="宋体" w:hAnsi="宋体" w:eastAsia="宋体" w:cs="宋体"/>
                <w:sz w:val="24"/>
                <w:szCs w:val="24"/>
              </w:rPr>
            </w:pPr>
          </w:p>
          <w:p w14:paraId="560C4868">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 xml:space="preserve">电 话： </w:t>
            </w:r>
          </w:p>
          <w:p w14:paraId="48E9243A">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 xml:space="preserve">开户银行： </w:t>
            </w:r>
          </w:p>
          <w:p w14:paraId="37DBA0E6">
            <w:pPr>
              <w:spacing w:line="360" w:lineRule="auto"/>
              <w:ind w:left="-170" w:right="-105" w:rightChars="-50" w:firstLine="163" w:firstLineChars="68"/>
              <w:rPr>
                <w:rFonts w:hint="eastAsia" w:ascii="宋体" w:hAnsi="宋体" w:eastAsia="宋体" w:cs="宋体"/>
                <w:sz w:val="24"/>
                <w:szCs w:val="24"/>
              </w:rPr>
            </w:pPr>
            <w:r>
              <w:rPr>
                <w:rFonts w:hint="eastAsia" w:ascii="宋体" w:hAnsi="宋体" w:eastAsia="宋体" w:cs="宋体"/>
                <w:sz w:val="24"/>
                <w:szCs w:val="24"/>
              </w:rPr>
              <w:t xml:space="preserve">账 号： </w:t>
            </w:r>
          </w:p>
          <w:p w14:paraId="5A01FEDE">
            <w:pPr>
              <w:spacing w:line="360" w:lineRule="auto"/>
              <w:ind w:left="-170" w:right="-105" w:rightChars="-50" w:firstLine="146" w:firstLineChars="61"/>
              <w:rPr>
                <w:rFonts w:hint="eastAsia" w:ascii="宋体" w:hAnsi="宋体" w:eastAsia="宋体" w:cs="宋体"/>
                <w:sz w:val="24"/>
                <w:szCs w:val="24"/>
              </w:rPr>
            </w:pPr>
            <w:r>
              <w:rPr>
                <w:rFonts w:hint="eastAsia" w:ascii="宋体" w:hAnsi="宋体" w:eastAsia="宋体" w:cs="宋体"/>
                <w:sz w:val="24"/>
                <w:szCs w:val="24"/>
              </w:rPr>
              <w:t xml:space="preserve"> </w:t>
            </w:r>
          </w:p>
        </w:tc>
      </w:tr>
    </w:tbl>
    <w:p w14:paraId="2E96D3C4">
      <w:pPr>
        <w:spacing w:line="360" w:lineRule="auto"/>
        <w:ind w:left="-170" w:right="-105" w:rightChars="-50" w:firstLine="2320" w:firstLineChars="967"/>
        <w:rPr>
          <w:rFonts w:hint="eastAsia" w:ascii="宋体" w:hAnsi="宋体" w:eastAsia="宋体" w:cs="宋体"/>
          <w:sz w:val="24"/>
          <w:szCs w:val="24"/>
        </w:rPr>
      </w:pPr>
    </w:p>
    <w:p w14:paraId="4D122A7D">
      <w:pPr>
        <w:spacing w:line="360" w:lineRule="auto"/>
        <w:ind w:firstLine="960" w:firstLineChars="400"/>
        <w:rPr>
          <w:rFonts w:hint="eastAsia" w:ascii="宋体" w:hAnsi="宋体" w:eastAsia="宋体" w:cs="宋体"/>
          <w:sz w:val="24"/>
          <w:szCs w:val="24"/>
        </w:rPr>
      </w:pPr>
    </w:p>
    <w:p w14:paraId="6697C6BE">
      <w:pPr>
        <w:spacing w:line="360" w:lineRule="auto"/>
        <w:rPr>
          <w:rFonts w:hint="eastAsia" w:ascii="宋体" w:hAnsi="宋体" w:eastAsia="宋体" w:cs="宋体"/>
          <w:b/>
          <w:bCs/>
          <w:kern w:val="44"/>
          <w:sz w:val="24"/>
          <w:szCs w:val="24"/>
        </w:rPr>
      </w:pPr>
      <w:r>
        <w:rPr>
          <w:rFonts w:hint="eastAsia" w:ascii="宋体" w:hAnsi="宋体" w:eastAsia="宋体" w:cs="宋体"/>
          <w:sz w:val="24"/>
          <w:szCs w:val="24"/>
        </w:rPr>
        <w:t>签约时间：                  签约地点</w:t>
      </w:r>
    </w:p>
    <w:p w14:paraId="3F227257">
      <w:pPr>
        <w:spacing w:line="240" w:lineRule="auto"/>
        <w:ind w:firstLine="0" w:firstLineChars="0"/>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lang w:eastAsia="zh-CN"/>
        </w:rPr>
        <w:br w:type="page"/>
      </w:r>
    </w:p>
    <w:p w14:paraId="19383C78">
      <w:pPr>
        <w:pStyle w:val="3"/>
        <w:spacing w:line="360" w:lineRule="auto"/>
        <w:jc w:val="center"/>
        <w:rPr>
          <w:rFonts w:ascii="宋体" w:hAnsi="宋体"/>
          <w:b w:val="0"/>
          <w:color w:val="auto"/>
          <w:sz w:val="24"/>
          <w:highlight w:val="none"/>
        </w:rPr>
      </w:pPr>
      <w:bookmarkStart w:id="367" w:name="_Toc29138"/>
      <w:bookmarkStart w:id="368" w:name="_Toc26624"/>
      <w:bookmarkStart w:id="369" w:name="_Toc29343"/>
      <w:bookmarkStart w:id="370" w:name="_Toc22229"/>
      <w:bookmarkStart w:id="371" w:name="_Toc24124"/>
      <w:bookmarkStart w:id="372" w:name="_Toc21549"/>
      <w:bookmarkStart w:id="373" w:name="_Toc2043"/>
      <w:bookmarkStart w:id="374" w:name="_Toc31833"/>
      <w:bookmarkStart w:id="375" w:name="_Toc27913"/>
      <w:bookmarkStart w:id="376" w:name="_Toc23553"/>
      <w:bookmarkStart w:id="377" w:name="_Toc21393"/>
      <w:bookmarkStart w:id="378" w:name="_Toc31227"/>
      <w:bookmarkStart w:id="379" w:name="_Toc23075"/>
      <w:bookmarkStart w:id="380" w:name="_Toc10817"/>
      <w:bookmarkStart w:id="381" w:name="_Toc27150"/>
      <w:bookmarkStart w:id="382" w:name="_Toc26731"/>
      <w:bookmarkStart w:id="383" w:name="_Toc1096"/>
      <w:bookmarkStart w:id="384" w:name="_Toc10096"/>
      <w:r>
        <w:rPr>
          <w:rFonts w:hint="eastAsia"/>
          <w:color w:val="auto"/>
          <w:highlight w:val="none"/>
        </w:rPr>
        <w:t>第七章  投标文件格式</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5" w:name="_Toc3737"/>
    </w:p>
    <w:p w14:paraId="7F6D4906">
      <w:pPr>
        <w:rPr>
          <w:rFonts w:hint="eastAsia" w:ascii="宋体" w:hAnsi="宋体" w:cs="宋体"/>
          <w:color w:val="auto"/>
          <w:sz w:val="28"/>
          <w:szCs w:val="28"/>
          <w:highlight w:val="none"/>
        </w:rPr>
      </w:pPr>
      <w:bookmarkStart w:id="386" w:name="_Toc7840"/>
      <w:bookmarkStart w:id="387" w:name="_Toc17813"/>
      <w:bookmarkStart w:id="388" w:name="_Toc27837"/>
      <w:r>
        <w:rPr>
          <w:rFonts w:hint="eastAsia" w:ascii="宋体" w:hAnsi="宋体" w:cs="宋体"/>
          <w:color w:val="auto"/>
          <w:sz w:val="28"/>
          <w:szCs w:val="28"/>
          <w:highlight w:val="none"/>
        </w:rPr>
        <w:t>附件1：所有投标文件的外包装封面格式</w:t>
      </w:r>
      <w:bookmarkEnd w:id="385"/>
      <w:bookmarkEnd w:id="386"/>
      <w:bookmarkEnd w:id="387"/>
      <w:bookmarkEnd w:id="388"/>
    </w:p>
    <w:p w14:paraId="066287B3">
      <w:pPr>
        <w:snapToGrid w:val="0"/>
        <w:spacing w:before="120" w:beforeLines="50" w:after="50" w:line="276" w:lineRule="auto"/>
        <w:jc w:val="center"/>
        <w:rPr>
          <w:rFonts w:hint="eastAsia" w:ascii="宋体" w:hAnsi="宋体" w:cs="宋体"/>
          <w:bCs/>
          <w:color w:val="auto"/>
          <w:sz w:val="30"/>
          <w:szCs w:val="30"/>
          <w:highlight w:val="none"/>
        </w:rPr>
      </w:pPr>
    </w:p>
    <w:p w14:paraId="592066F7">
      <w:pPr>
        <w:snapToGrid w:val="0"/>
        <w:spacing w:before="120" w:beforeLines="50" w:after="50" w:line="276" w:lineRule="auto"/>
        <w:jc w:val="center"/>
        <w:rPr>
          <w:rFonts w:hint="eastAsia" w:ascii="宋体" w:hAnsi="宋体" w:cs="宋体"/>
          <w:bCs/>
          <w:color w:val="auto"/>
          <w:sz w:val="30"/>
          <w:szCs w:val="30"/>
          <w:highlight w:val="none"/>
        </w:rPr>
      </w:pPr>
    </w:p>
    <w:p w14:paraId="400BB2D3">
      <w:pPr>
        <w:snapToGrid w:val="0"/>
        <w:spacing w:before="120" w:beforeLines="50" w:after="50" w:line="276" w:lineRule="auto"/>
        <w:jc w:val="center"/>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2025年盘峰乡松材线虫病枯死松树清理服务项目（高二片区)</w:t>
      </w:r>
    </w:p>
    <w:p w14:paraId="49B58240">
      <w:pPr>
        <w:snapToGrid w:val="0"/>
        <w:spacing w:before="120" w:beforeLines="50" w:after="50" w:line="276" w:lineRule="auto"/>
        <w:jc w:val="center"/>
        <w:rPr>
          <w:rFonts w:ascii="宋体" w:hAnsi="宋体"/>
          <w:bCs/>
          <w:color w:val="auto"/>
          <w:sz w:val="24"/>
          <w:szCs w:val="20"/>
          <w:highlight w:val="none"/>
        </w:rPr>
      </w:pPr>
      <w:r>
        <w:rPr>
          <w:rFonts w:hint="eastAsia" w:ascii="宋体" w:hAnsi="宋体"/>
          <w:bCs/>
          <w:color w:val="auto"/>
          <w:sz w:val="24"/>
          <w:highlight w:val="none"/>
        </w:rPr>
        <w:t>投标文件</w:t>
      </w:r>
    </w:p>
    <w:p w14:paraId="4A5EA352">
      <w:pPr>
        <w:snapToGrid w:val="0"/>
        <w:spacing w:before="120" w:beforeLines="50" w:after="50" w:line="276" w:lineRule="auto"/>
        <w:rPr>
          <w:rFonts w:ascii="宋体" w:hAnsi="宋体"/>
          <w:bCs/>
          <w:color w:val="auto"/>
          <w:sz w:val="24"/>
          <w:szCs w:val="20"/>
          <w:highlight w:val="none"/>
        </w:rPr>
      </w:pPr>
    </w:p>
    <w:p w14:paraId="5C5638F7">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321E81A2">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0756AC0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投标文件名称：资格审查文件/技术商务文件/报价文件/电子备份文件......</w:t>
      </w:r>
    </w:p>
    <w:p w14:paraId="472BE479">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4808745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12873936">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在年月日时分之前不得启封</w:t>
      </w:r>
    </w:p>
    <w:p w14:paraId="1B15A12F">
      <w:pPr>
        <w:snapToGrid w:val="0"/>
        <w:spacing w:before="120" w:beforeLines="50" w:after="50" w:line="276" w:lineRule="auto"/>
        <w:ind w:firstLine="4080" w:firstLineChars="1700"/>
        <w:rPr>
          <w:rFonts w:ascii="宋体" w:hAnsi="宋体"/>
          <w:bCs/>
          <w:color w:val="auto"/>
          <w:sz w:val="24"/>
          <w:szCs w:val="20"/>
          <w:highlight w:val="none"/>
        </w:rPr>
      </w:pPr>
    </w:p>
    <w:p w14:paraId="747E5AE6">
      <w:pPr>
        <w:snapToGrid w:val="0"/>
        <w:spacing w:before="120" w:beforeLines="50" w:after="50" w:line="276" w:lineRule="auto"/>
        <w:ind w:firstLine="645"/>
        <w:jc w:val="center"/>
        <w:rPr>
          <w:rFonts w:hint="eastAsia" w:ascii="宋体" w:hAnsi="宋体"/>
          <w:bCs/>
          <w:color w:val="auto"/>
          <w:sz w:val="24"/>
          <w:highlight w:val="none"/>
        </w:rPr>
      </w:pPr>
      <w:r>
        <w:rPr>
          <w:rFonts w:hint="eastAsia" w:ascii="宋体" w:hAnsi="宋体"/>
          <w:bCs/>
          <w:color w:val="auto"/>
          <w:sz w:val="24"/>
          <w:highlight w:val="none"/>
        </w:rPr>
        <w:t>年   月    日</w:t>
      </w:r>
    </w:p>
    <w:p w14:paraId="32E3CB93">
      <w:pPr>
        <w:snapToGrid w:val="0"/>
        <w:spacing w:before="120" w:beforeLines="50" w:after="50" w:line="276" w:lineRule="auto"/>
        <w:outlineLvl w:val="1"/>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bookmarkStart w:id="389" w:name="_Toc10176"/>
      <w:bookmarkStart w:id="390" w:name="_Toc2787"/>
      <w:bookmarkStart w:id="391" w:name="_Toc9790"/>
      <w:bookmarkStart w:id="392" w:name="_Toc16464"/>
    </w:p>
    <w:p w14:paraId="05580850">
      <w:pPr>
        <w:rPr>
          <w:rFonts w:hint="eastAsia" w:ascii="宋体" w:hAnsi="宋体" w:cs="宋体"/>
          <w:color w:val="auto"/>
          <w:sz w:val="28"/>
          <w:szCs w:val="28"/>
          <w:highlight w:val="none"/>
        </w:rPr>
      </w:pPr>
      <w:r>
        <w:rPr>
          <w:rFonts w:hint="eastAsia" w:ascii="宋体" w:hAnsi="宋体" w:cs="宋体"/>
          <w:color w:val="auto"/>
          <w:sz w:val="28"/>
          <w:szCs w:val="28"/>
          <w:highlight w:val="none"/>
        </w:rPr>
        <w:t>附件2：所有投标文件封面格式</w:t>
      </w:r>
      <w:bookmarkEnd w:id="389"/>
      <w:bookmarkEnd w:id="390"/>
      <w:bookmarkEnd w:id="391"/>
      <w:bookmarkEnd w:id="392"/>
    </w:p>
    <w:p w14:paraId="74A98531">
      <w:pPr>
        <w:snapToGrid w:val="0"/>
        <w:spacing w:before="120" w:beforeLines="50" w:after="50" w:line="276"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52F20FC7">
      <w:pPr>
        <w:snapToGrid w:val="0"/>
        <w:spacing w:before="120" w:beforeLines="50" w:after="50" w:line="276" w:lineRule="auto"/>
        <w:jc w:val="center"/>
        <w:outlineLvl w:val="1"/>
        <w:rPr>
          <w:rFonts w:hint="eastAsia" w:ascii="宋体" w:hAnsi="宋体" w:cs="宋体"/>
          <w:bCs/>
          <w:color w:val="auto"/>
          <w:sz w:val="30"/>
          <w:szCs w:val="30"/>
          <w:highlight w:val="none"/>
        </w:rPr>
      </w:pPr>
    </w:p>
    <w:p w14:paraId="659D4E77">
      <w:pPr>
        <w:snapToGrid w:val="0"/>
        <w:spacing w:before="120" w:beforeLines="50" w:after="50" w:line="276" w:lineRule="auto"/>
        <w:jc w:val="center"/>
        <w:outlineLvl w:val="1"/>
        <w:rPr>
          <w:rFonts w:hint="eastAsia" w:ascii="宋体" w:hAnsi="宋体" w:cs="宋体"/>
          <w:bCs/>
          <w:color w:val="auto"/>
          <w:sz w:val="30"/>
          <w:szCs w:val="30"/>
          <w:highlight w:val="none"/>
        </w:rPr>
      </w:pPr>
    </w:p>
    <w:p w14:paraId="520C9044">
      <w:pPr>
        <w:snapToGrid w:val="0"/>
        <w:spacing w:before="120" w:beforeLines="50" w:after="50" w:line="276" w:lineRule="auto"/>
        <w:jc w:val="center"/>
        <w:outlineLvl w:val="1"/>
        <w:rPr>
          <w:rFonts w:hint="eastAsia" w:ascii="宋体" w:hAnsi="宋体" w:cs="宋体"/>
          <w:b/>
          <w:color w:val="auto"/>
          <w:sz w:val="24"/>
          <w:highlight w:val="none"/>
        </w:rPr>
      </w:pPr>
      <w:r>
        <w:rPr>
          <w:rFonts w:hint="eastAsia" w:ascii="宋体" w:hAnsi="宋体" w:cs="宋体"/>
          <w:bCs/>
          <w:color w:val="auto"/>
          <w:sz w:val="30"/>
          <w:szCs w:val="30"/>
          <w:highlight w:val="none"/>
        </w:rPr>
        <w:t xml:space="preserve">                  </w:t>
      </w:r>
      <w:r>
        <w:rPr>
          <w:rFonts w:hint="eastAsia" w:ascii="宋体" w:hAnsi="宋体" w:cs="宋体"/>
          <w:b/>
          <w:color w:val="auto"/>
          <w:sz w:val="24"/>
          <w:highlight w:val="none"/>
        </w:rPr>
        <w:t xml:space="preserve"> 正本/副本</w:t>
      </w:r>
    </w:p>
    <w:p w14:paraId="7E7BB56A">
      <w:pPr>
        <w:snapToGrid w:val="0"/>
        <w:spacing w:before="120" w:beforeLines="50" w:after="50" w:line="276" w:lineRule="auto"/>
        <w:ind w:firstLine="1335" w:firstLineChars="445"/>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2025年盘峰乡松材线虫病枯死松树清理服务项目（高二片区)</w:t>
      </w:r>
    </w:p>
    <w:p w14:paraId="0AADDA55">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资格审查文件/技术商务文件/报价文件/电子备份文件......</w:t>
      </w:r>
    </w:p>
    <w:p w14:paraId="288C21A1">
      <w:pPr>
        <w:snapToGrid w:val="0"/>
        <w:spacing w:before="120" w:beforeLines="50" w:after="50" w:line="276" w:lineRule="auto"/>
        <w:rPr>
          <w:rFonts w:ascii="宋体" w:hAnsi="宋体"/>
          <w:bCs/>
          <w:color w:val="auto"/>
          <w:sz w:val="24"/>
          <w:highlight w:val="none"/>
        </w:rPr>
      </w:pPr>
    </w:p>
    <w:p w14:paraId="4B933A18">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7EE7259F">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7FFE9DEB">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5D44A1F3">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68A797E2">
      <w:pPr>
        <w:snapToGrid w:val="0"/>
        <w:spacing w:before="120" w:beforeLines="50" w:after="50" w:line="276" w:lineRule="auto"/>
        <w:ind w:firstLine="4080" w:firstLineChars="1700"/>
        <w:rPr>
          <w:rFonts w:ascii="宋体" w:hAnsi="宋体"/>
          <w:color w:val="auto"/>
          <w:sz w:val="24"/>
          <w:szCs w:val="20"/>
          <w:highlight w:val="none"/>
        </w:rPr>
      </w:pPr>
    </w:p>
    <w:p w14:paraId="3F8709AA">
      <w:pPr>
        <w:snapToGrid w:val="0"/>
        <w:spacing w:before="120" w:beforeLines="50" w:after="50" w:line="276" w:lineRule="auto"/>
        <w:ind w:firstLine="645"/>
        <w:jc w:val="center"/>
        <w:rPr>
          <w:rFonts w:ascii="宋体" w:hAnsi="宋体"/>
          <w:color w:val="auto"/>
          <w:sz w:val="24"/>
          <w:highlight w:val="none"/>
        </w:rPr>
      </w:pPr>
      <w:r>
        <w:rPr>
          <w:rFonts w:hint="eastAsia" w:ascii="宋体" w:hAnsi="宋体"/>
          <w:color w:val="auto"/>
          <w:sz w:val="24"/>
          <w:highlight w:val="none"/>
        </w:rPr>
        <w:t>年   月    日</w:t>
      </w:r>
    </w:p>
    <w:p w14:paraId="300CAF79">
      <w:pPr>
        <w:snapToGrid w:val="0"/>
        <w:spacing w:line="360" w:lineRule="exact"/>
        <w:jc w:val="left"/>
        <w:rPr>
          <w:rFonts w:ascii="宋体" w:hAnsi="宋体"/>
          <w:color w:val="auto"/>
          <w:sz w:val="24"/>
          <w:highlight w:val="none"/>
        </w:rPr>
      </w:pPr>
    </w:p>
    <w:p w14:paraId="556AC5D8">
      <w:pPr>
        <w:pStyle w:val="107"/>
        <w:rPr>
          <w:color w:val="auto"/>
          <w:highlight w:val="none"/>
        </w:rPr>
      </w:pPr>
    </w:p>
    <w:p w14:paraId="447778A0">
      <w:pPr>
        <w:snapToGrid w:val="0"/>
        <w:spacing w:line="276" w:lineRule="auto"/>
        <w:jc w:val="left"/>
        <w:rPr>
          <w:rFonts w:ascii="宋体" w:hAnsi="宋体"/>
          <w:color w:val="auto"/>
          <w:sz w:val="24"/>
          <w:highlight w:val="none"/>
        </w:rPr>
      </w:pPr>
    </w:p>
    <w:p w14:paraId="062BEC69">
      <w:pPr>
        <w:snapToGrid w:val="0"/>
        <w:spacing w:before="120" w:beforeLines="50" w:after="50"/>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ABEF78C">
      <w:pPr>
        <w:rPr>
          <w:rFonts w:hint="eastAsia" w:ascii="宋体" w:hAnsi="宋体"/>
          <w:b/>
          <w:color w:val="auto"/>
          <w:sz w:val="24"/>
          <w:highlight w:val="none"/>
        </w:rPr>
      </w:pPr>
      <w:r>
        <w:rPr>
          <w:rFonts w:hint="eastAsia" w:ascii="宋体" w:hAnsi="宋体" w:cs="宋体"/>
          <w:color w:val="auto"/>
          <w:sz w:val="28"/>
          <w:szCs w:val="28"/>
          <w:highlight w:val="none"/>
        </w:rPr>
        <w:t>附件3：政府采购供应商诚信承诺书</w:t>
      </w:r>
    </w:p>
    <w:p w14:paraId="1B32F976">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政府采购供应商诚信承诺书</w:t>
      </w:r>
    </w:p>
    <w:p w14:paraId="6E3E6DCB">
      <w:pPr>
        <w:widowControl/>
        <w:spacing w:before="100" w:beforeAutospacing="1" w:after="190"/>
        <w:jc w:val="left"/>
        <w:rPr>
          <w:rFonts w:ascii="Arial" w:hAnsi="Arial" w:cs="Arial"/>
          <w:b/>
          <w:color w:val="auto"/>
          <w:kern w:val="0"/>
          <w:sz w:val="24"/>
          <w:highlight w:val="none"/>
        </w:rPr>
      </w:pPr>
      <w:r>
        <w:rPr>
          <w:rFonts w:hint="eastAsia" w:ascii="Arial" w:hAnsi="Arial" w:cs="Arial"/>
          <w:b/>
          <w:color w:val="auto"/>
          <w:kern w:val="0"/>
          <w:sz w:val="24"/>
          <w:highlight w:val="none"/>
          <w:lang w:eastAsia="zh-CN"/>
        </w:rPr>
        <w:t>浙江诚远工程咨询有限公司</w:t>
      </w:r>
      <w:r>
        <w:rPr>
          <w:rFonts w:ascii="Arial" w:hAnsi="Arial" w:cs="Arial"/>
          <w:b/>
          <w:color w:val="auto"/>
          <w:kern w:val="0"/>
          <w:sz w:val="24"/>
          <w:highlight w:val="none"/>
        </w:rPr>
        <w:t>：</w:t>
      </w:r>
    </w:p>
    <w:p w14:paraId="75D7FEFD">
      <w:pPr>
        <w:spacing w:line="40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公司</w:t>
      </w:r>
      <w:r>
        <w:rPr>
          <w:color w:val="auto"/>
          <w:kern w:val="0"/>
          <w:sz w:val="24"/>
          <w:highlight w:val="none"/>
        </w:rPr>
        <w:t>组织的</w:t>
      </w:r>
      <w:r>
        <w:rPr>
          <w:rFonts w:hint="eastAsia"/>
          <w:color w:val="auto"/>
          <w:kern w:val="0"/>
          <w:sz w:val="24"/>
          <w:highlight w:val="none"/>
          <w:u w:val="single"/>
        </w:rPr>
        <w:t xml:space="preserve">            </w:t>
      </w:r>
      <w:r>
        <w:rPr>
          <w:bCs/>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543D420">
      <w:pPr>
        <w:spacing w:line="400" w:lineRule="exact"/>
        <w:ind w:firstLine="480" w:firstLineChars="200"/>
        <w:rPr>
          <w:color w:val="auto"/>
          <w:sz w:val="24"/>
          <w:highlight w:val="none"/>
        </w:rPr>
      </w:pPr>
      <w:r>
        <w:rPr>
          <w:color w:val="auto"/>
          <w:sz w:val="24"/>
          <w:highlight w:val="none"/>
        </w:rPr>
        <w:t>（一）提供虚假材料谋取中标的；</w:t>
      </w:r>
    </w:p>
    <w:p w14:paraId="78A0BD31">
      <w:pPr>
        <w:spacing w:line="40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w:instrText>
      </w:r>
      <w:r>
        <w:rPr>
          <w:color w:val="auto"/>
          <w:sz w:val="24"/>
          <w:highlight w:val="none"/>
        </w:rPr>
        <w:fldChar w:fldCharType="separate"/>
      </w:r>
      <w:r>
        <w:rPr>
          <w:color w:val="auto"/>
          <w:sz w:val="24"/>
          <w:highlight w:val="none"/>
        </w:rPr>
        <w:t>其他</w:t>
      </w:r>
      <w:r>
        <w:rPr>
          <w:color w:val="auto"/>
          <w:sz w:val="24"/>
          <w:highlight w:val="none"/>
        </w:rPr>
        <w:fldChar w:fldCharType="end"/>
      </w:r>
      <w:r>
        <w:rPr>
          <w:color w:val="auto"/>
          <w:sz w:val="24"/>
          <w:highlight w:val="none"/>
        </w:rPr>
        <w:t>供应商的；</w:t>
      </w:r>
    </w:p>
    <w:p w14:paraId="0958CDB2">
      <w:pPr>
        <w:spacing w:line="400" w:lineRule="exact"/>
        <w:ind w:firstLine="480" w:firstLineChars="200"/>
        <w:rPr>
          <w:color w:val="auto"/>
          <w:sz w:val="24"/>
          <w:highlight w:val="none"/>
        </w:rPr>
      </w:pPr>
      <w:r>
        <w:rPr>
          <w:color w:val="auto"/>
          <w:sz w:val="24"/>
          <w:highlight w:val="none"/>
        </w:rPr>
        <w:t>（三）与招标采购单位、其他投标人恶意串通的；</w:t>
      </w:r>
    </w:p>
    <w:p w14:paraId="544E81E9">
      <w:pPr>
        <w:spacing w:line="400" w:lineRule="exact"/>
        <w:ind w:firstLine="480" w:firstLineChars="200"/>
        <w:rPr>
          <w:color w:val="auto"/>
          <w:sz w:val="24"/>
          <w:highlight w:val="none"/>
        </w:rPr>
      </w:pPr>
      <w:r>
        <w:rPr>
          <w:color w:val="auto"/>
          <w:sz w:val="24"/>
          <w:highlight w:val="none"/>
        </w:rPr>
        <w:t>（四）向招标采购单位行贿或提供其他不正当利益的；</w:t>
      </w:r>
    </w:p>
    <w:p w14:paraId="7D1CFC8B">
      <w:pPr>
        <w:spacing w:line="40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672FB02D">
      <w:pPr>
        <w:spacing w:line="400" w:lineRule="exact"/>
        <w:ind w:firstLine="480" w:firstLineChars="200"/>
        <w:rPr>
          <w:color w:val="auto"/>
          <w:sz w:val="24"/>
          <w:highlight w:val="none"/>
        </w:rPr>
      </w:pPr>
      <w:r>
        <w:rPr>
          <w:color w:val="auto"/>
          <w:sz w:val="24"/>
          <w:highlight w:val="none"/>
        </w:rPr>
        <w:t>（六）开标后擅自撤销投标，影响招标继续进行的；</w:t>
      </w:r>
    </w:p>
    <w:p w14:paraId="5350AF47">
      <w:pPr>
        <w:spacing w:line="400" w:lineRule="exact"/>
        <w:ind w:firstLine="480" w:firstLineChars="200"/>
        <w:rPr>
          <w:color w:val="auto"/>
          <w:sz w:val="24"/>
          <w:highlight w:val="none"/>
        </w:rPr>
      </w:pPr>
      <w:r>
        <w:rPr>
          <w:color w:val="auto"/>
          <w:sz w:val="24"/>
          <w:highlight w:val="none"/>
        </w:rPr>
        <w:t>（七）中标后无正当理由，在规定时间内不与采购单位签订合同的；</w:t>
      </w:r>
    </w:p>
    <w:p w14:paraId="0FF495FC">
      <w:pPr>
        <w:spacing w:line="400" w:lineRule="exact"/>
        <w:ind w:firstLine="480" w:firstLineChars="200"/>
        <w:rPr>
          <w:color w:val="auto"/>
          <w:sz w:val="24"/>
          <w:highlight w:val="none"/>
        </w:rPr>
      </w:pPr>
      <w:r>
        <w:rPr>
          <w:color w:val="auto"/>
          <w:sz w:val="24"/>
          <w:highlight w:val="none"/>
        </w:rPr>
        <w:t>（八）将中标项目转让给他人或非法分包他人的；</w:t>
      </w:r>
    </w:p>
    <w:p w14:paraId="50D47BD5">
      <w:pPr>
        <w:spacing w:line="400" w:lineRule="exact"/>
        <w:ind w:firstLine="480" w:firstLineChars="200"/>
        <w:rPr>
          <w:color w:val="auto"/>
          <w:sz w:val="24"/>
          <w:highlight w:val="none"/>
        </w:rPr>
      </w:pPr>
      <w:r>
        <w:rPr>
          <w:color w:val="auto"/>
          <w:sz w:val="24"/>
          <w:highlight w:val="none"/>
        </w:rPr>
        <w:t>（九）无正当理由，拒绝履行合同义务的；</w:t>
      </w:r>
    </w:p>
    <w:p w14:paraId="279E1557">
      <w:pPr>
        <w:spacing w:line="400" w:lineRule="exact"/>
        <w:ind w:firstLine="480" w:firstLineChars="200"/>
        <w:rPr>
          <w:color w:val="auto"/>
          <w:sz w:val="24"/>
          <w:highlight w:val="none"/>
        </w:rPr>
      </w:pPr>
      <w:r>
        <w:rPr>
          <w:color w:val="auto"/>
          <w:sz w:val="24"/>
          <w:highlight w:val="none"/>
        </w:rPr>
        <w:t>（十）无正当理由放弃中标（成交）项目的；</w:t>
      </w:r>
    </w:p>
    <w:p w14:paraId="5172E408">
      <w:pPr>
        <w:spacing w:line="400" w:lineRule="exact"/>
        <w:ind w:firstLine="480" w:firstLineChars="20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DAE4956">
      <w:pPr>
        <w:spacing w:line="40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2D9035D3">
      <w:pPr>
        <w:spacing w:line="40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717503AE">
      <w:pPr>
        <w:spacing w:line="400" w:lineRule="exact"/>
        <w:ind w:firstLine="480" w:firstLineChars="200"/>
        <w:rPr>
          <w:color w:val="auto"/>
          <w:sz w:val="24"/>
          <w:highlight w:val="none"/>
        </w:rPr>
      </w:pPr>
      <w:r>
        <w:rPr>
          <w:color w:val="auto"/>
          <w:sz w:val="24"/>
          <w:highlight w:val="none"/>
        </w:rPr>
        <w:t>（十四）开标后对招标文件的相关内容再进行质疑的；</w:t>
      </w:r>
    </w:p>
    <w:p w14:paraId="25BC9AC8">
      <w:pPr>
        <w:spacing w:line="40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0E1A75ED">
      <w:pPr>
        <w:spacing w:line="400" w:lineRule="exact"/>
        <w:ind w:firstLine="480" w:firstLineChars="200"/>
        <w:rPr>
          <w:color w:val="auto"/>
          <w:sz w:val="24"/>
          <w:highlight w:val="none"/>
        </w:rPr>
      </w:pPr>
      <w:r>
        <w:rPr>
          <w:color w:val="auto"/>
          <w:sz w:val="24"/>
          <w:highlight w:val="none"/>
        </w:rPr>
        <w:t>（十六）拒绝有关部门监督检查或者提供虚假情况的；</w:t>
      </w:r>
    </w:p>
    <w:p w14:paraId="2060E2B1">
      <w:pPr>
        <w:spacing w:line="400" w:lineRule="exact"/>
        <w:ind w:firstLine="480" w:firstLineChars="200"/>
        <w:rPr>
          <w:color w:val="auto"/>
          <w:sz w:val="24"/>
          <w:highlight w:val="none"/>
        </w:rPr>
      </w:pPr>
      <w:r>
        <w:rPr>
          <w:color w:val="auto"/>
          <w:sz w:val="24"/>
          <w:highlight w:val="none"/>
        </w:rPr>
        <w:t>（十七）财政、监察部门认定的其他不诚信行为。</w:t>
      </w:r>
    </w:p>
    <w:p w14:paraId="3C072828">
      <w:pPr>
        <w:spacing w:line="400" w:lineRule="exact"/>
        <w:ind w:firstLine="480" w:firstLineChars="200"/>
        <w:rPr>
          <w:color w:val="auto"/>
          <w:sz w:val="24"/>
          <w:highlight w:val="none"/>
        </w:rPr>
      </w:pPr>
      <w:r>
        <w:rPr>
          <w:rFonts w:hint="eastAsia"/>
          <w:color w:val="auto"/>
          <w:sz w:val="24"/>
          <w:highlight w:val="none"/>
        </w:rPr>
        <w:t>（十八）招标文件规定的其他不诚信行为。</w:t>
      </w:r>
    </w:p>
    <w:p w14:paraId="418727F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C914E44">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1F2AFC5">
      <w:pPr>
        <w:snapToGrid w:val="0"/>
        <w:spacing w:before="120" w:line="360" w:lineRule="auto"/>
        <w:rPr>
          <w:rFonts w:hAnsi="宋体" w:cs="宋体"/>
          <w:color w:val="auto"/>
          <w:szCs w:val="21"/>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EEBD8BA">
      <w:pPr>
        <w:snapToGrid w:val="0"/>
        <w:spacing w:before="50" w:after="120" w:afterLines="50" w:line="276" w:lineRule="auto"/>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31EF2B2B">
      <w:pPr>
        <w:rPr>
          <w:rFonts w:hint="eastAsia" w:ascii="宋体" w:hAnsi="宋体" w:cs="宋体"/>
          <w:color w:val="auto"/>
          <w:sz w:val="28"/>
          <w:szCs w:val="28"/>
          <w:highlight w:val="none"/>
        </w:rPr>
      </w:pPr>
      <w:r>
        <w:rPr>
          <w:rFonts w:hint="eastAsia" w:ascii="宋体" w:hAnsi="宋体" w:cs="宋体"/>
          <w:color w:val="auto"/>
          <w:sz w:val="28"/>
          <w:szCs w:val="28"/>
          <w:highlight w:val="none"/>
        </w:rPr>
        <w:t>附件4：无围标串标等负面行为承诺书</w:t>
      </w:r>
    </w:p>
    <w:p w14:paraId="6EDFDD05">
      <w:pPr>
        <w:autoSpaceDE w:val="0"/>
        <w:autoSpaceDN w:val="0"/>
        <w:adjustRightInd w:val="0"/>
        <w:spacing w:line="360" w:lineRule="auto"/>
        <w:rPr>
          <w:rFonts w:ascii="黑体" w:hAnsi="黑体" w:eastAsia="黑体"/>
          <w:b/>
          <w:color w:val="auto"/>
          <w:sz w:val="36"/>
          <w:highlight w:val="none"/>
        </w:rPr>
      </w:pPr>
    </w:p>
    <w:p w14:paraId="5043C3B9">
      <w:pPr>
        <w:autoSpaceDE w:val="0"/>
        <w:autoSpaceDN w:val="0"/>
        <w:adjustRightInd w:val="0"/>
        <w:spacing w:line="360" w:lineRule="auto"/>
        <w:jc w:val="center"/>
        <w:rPr>
          <w:rFonts w:ascii="黑体" w:hAnsi="黑体" w:eastAsia="黑体"/>
          <w:b/>
          <w:color w:val="auto"/>
          <w:sz w:val="36"/>
          <w:highlight w:val="none"/>
        </w:rPr>
      </w:pPr>
      <w:r>
        <w:rPr>
          <w:rFonts w:hint="eastAsia" w:ascii="黑体" w:hAnsi="黑体" w:eastAsia="黑体"/>
          <w:b/>
          <w:color w:val="auto"/>
          <w:sz w:val="36"/>
          <w:highlight w:val="none"/>
        </w:rPr>
        <w:t>无围标串标等负面行为承诺书</w:t>
      </w:r>
    </w:p>
    <w:p w14:paraId="52587522">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本人作为经授权的投标人（或供应商、竞拍人等，下同）代表，清楚知晓我单位参与本项目投标（交易，下同），现对以下事项作出郑重承诺并签名：</w:t>
      </w:r>
    </w:p>
    <w:p w14:paraId="52BC0FC8">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一、我单位和本人遵循公开、公平、公正、诚实守信的原则，所提供的一切材料均真实、有效、合法，依法依规参与本项目投标。</w:t>
      </w:r>
    </w:p>
    <w:p w14:paraId="1A5EFB56">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二、我单位和本人在本项目招标投标活动中，拒绝参与围标串标，决不损害其他投标人、招标人（或采购人、拍卖人等，下同）的合法权益。</w:t>
      </w:r>
    </w:p>
    <w:p w14:paraId="691AF36E">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三、我单位如被查实在本项目公共资源交易活动中存在围标串标等行为，本人作为违法行为直接责任人员，将承担被执行失信惩戒并被依法追究相关责任的后果。</w:t>
      </w:r>
    </w:p>
    <w:p w14:paraId="557B81B1">
      <w:pPr>
        <w:spacing w:line="560" w:lineRule="exact"/>
        <w:ind w:firstLine="480"/>
        <w:rPr>
          <w:rFonts w:ascii="宋体" w:hAnsi="宋体" w:cs="宋体"/>
          <w:color w:val="auto"/>
          <w:sz w:val="24"/>
          <w:highlight w:val="none"/>
        </w:rPr>
      </w:pPr>
    </w:p>
    <w:p w14:paraId="4208D700">
      <w:pPr>
        <w:spacing w:line="560" w:lineRule="exact"/>
        <w:ind w:firstLine="480"/>
        <w:rPr>
          <w:rFonts w:ascii="宋体" w:hAnsi="宋体" w:cs="宋体"/>
          <w:color w:val="auto"/>
          <w:sz w:val="24"/>
          <w:highlight w:val="none"/>
        </w:rPr>
      </w:pPr>
    </w:p>
    <w:p w14:paraId="33801B1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6BE37AD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291891C">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13EEC55">
      <w:pPr>
        <w:snapToGrid w:val="0"/>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B61BC80">
      <w:pPr>
        <w:rPr>
          <w:rFonts w:hint="eastAsia" w:ascii="宋体" w:hAnsi="宋体" w:cs="宋体"/>
          <w:color w:val="auto"/>
          <w:sz w:val="28"/>
          <w:szCs w:val="28"/>
          <w:highlight w:val="none"/>
        </w:rPr>
      </w:pPr>
      <w:r>
        <w:rPr>
          <w:rFonts w:hint="eastAsia" w:ascii="宋体" w:hAnsi="宋体" w:cs="宋体"/>
          <w:color w:val="auto"/>
          <w:sz w:val="28"/>
          <w:szCs w:val="28"/>
          <w:highlight w:val="none"/>
        </w:rPr>
        <w:t>附件5：《供应商市场行为信誉情况承诺书》：</w:t>
      </w:r>
    </w:p>
    <w:p w14:paraId="3B76B59D">
      <w:pPr>
        <w:jc w:val="center"/>
        <w:rPr>
          <w:rFonts w:ascii="黑体" w:hAnsi="宋体" w:eastAsia="黑体"/>
          <w:b/>
          <w:bCs/>
          <w:color w:val="auto"/>
          <w:kern w:val="0"/>
          <w:sz w:val="32"/>
          <w:szCs w:val="32"/>
          <w:highlight w:val="none"/>
        </w:rPr>
      </w:pPr>
      <w:r>
        <w:rPr>
          <w:rFonts w:hint="eastAsia" w:ascii="黑体" w:hAnsi="宋体" w:eastAsia="黑体"/>
          <w:b/>
          <w:bCs/>
          <w:color w:val="auto"/>
          <w:kern w:val="0"/>
          <w:sz w:val="32"/>
          <w:szCs w:val="32"/>
          <w:highlight w:val="none"/>
        </w:rPr>
        <w:t>供应商市场行为信誉情况承诺书（申明书）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63AD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3880F689">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r>
              <w:rPr>
                <w:color w:val="auto"/>
                <w:highlight w:val="none"/>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5155EC3C">
            <w:pPr>
              <w:spacing w:line="260" w:lineRule="exact"/>
              <w:rPr>
                <w:rFonts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648C7306">
            <w:pPr>
              <w:spacing w:before="100" w:beforeAutospacing="1" w:after="100" w:afterAutospacing="1" w:line="260" w:lineRule="exact"/>
              <w:jc w:val="center"/>
              <w:rPr>
                <w:color w:val="auto"/>
                <w:highlight w:val="none"/>
              </w:rPr>
            </w:pPr>
            <w:r>
              <w:rPr>
                <w:rFonts w:hint="eastAsia"/>
                <w:color w:val="auto"/>
                <w:highlight w:val="none"/>
              </w:rPr>
              <w:t>企业资质等级</w:t>
            </w:r>
          </w:p>
          <w:p w14:paraId="07D6613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（如</w:t>
            </w:r>
            <w:r>
              <w:rPr>
                <w:color w:val="auto"/>
                <w:highlight w:val="none"/>
              </w:rPr>
              <w:t xml:space="preserve"> </w:t>
            </w:r>
            <w:r>
              <w:rPr>
                <w:rFonts w:hint="eastAsia"/>
                <w:color w:val="auto"/>
                <w:highlight w:val="none"/>
              </w:rPr>
              <w:t>有）</w:t>
            </w:r>
            <w:r>
              <w:rPr>
                <w:color w:val="auto"/>
                <w:highlight w:val="none"/>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50F08074">
            <w:pPr>
              <w:spacing w:line="260" w:lineRule="exact"/>
              <w:rPr>
                <w:rFonts w:ascii="宋体" w:hAnsi="宋体"/>
                <w:color w:val="auto"/>
                <w:sz w:val="18"/>
                <w:szCs w:val="18"/>
                <w:highlight w:val="none"/>
              </w:rPr>
            </w:pPr>
          </w:p>
        </w:tc>
      </w:tr>
      <w:tr w14:paraId="5A22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5F47102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企</w:t>
            </w:r>
            <w:r>
              <w:rPr>
                <w:color w:val="auto"/>
                <w:highlight w:val="none"/>
              </w:rPr>
              <w:t xml:space="preserve"> </w:t>
            </w:r>
            <w:r>
              <w:rPr>
                <w:rFonts w:hint="eastAsia"/>
                <w:color w:val="auto"/>
                <w:highlight w:val="none"/>
              </w:rPr>
              <w:t>业</w:t>
            </w:r>
            <w:r>
              <w:rPr>
                <w:color w:val="auto"/>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0F64FC37">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0784DA57">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1F0E0FAF">
            <w:pPr>
              <w:spacing w:line="260" w:lineRule="exact"/>
              <w:rPr>
                <w:rFonts w:ascii="宋体" w:hAnsi="宋体"/>
                <w:color w:val="auto"/>
                <w:sz w:val="18"/>
                <w:szCs w:val="18"/>
                <w:highlight w:val="none"/>
              </w:rPr>
            </w:pPr>
          </w:p>
        </w:tc>
      </w:tr>
      <w:tr w14:paraId="5C3C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45C8CB8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拟投（竞）标项目名称</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6DEFC73">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4D0AD842">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拟投标项目负责人姓名及资质</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tcPr>
          <w:p w14:paraId="027967C4">
            <w:pPr>
              <w:spacing w:line="260" w:lineRule="exact"/>
              <w:rPr>
                <w:rFonts w:ascii="宋体" w:hAnsi="宋体"/>
                <w:color w:val="auto"/>
                <w:sz w:val="18"/>
                <w:szCs w:val="18"/>
                <w:highlight w:val="none"/>
              </w:rPr>
            </w:pPr>
          </w:p>
        </w:tc>
      </w:tr>
      <w:tr w14:paraId="1707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70339E34">
            <w:pPr>
              <w:spacing w:before="100" w:beforeAutospacing="1" w:after="100" w:afterAutospacing="1" w:line="260" w:lineRule="exact"/>
              <w:jc w:val="center"/>
              <w:rPr>
                <w:color w:val="auto"/>
                <w:sz w:val="24"/>
                <w:highlight w:val="none"/>
              </w:rPr>
            </w:pPr>
            <w:r>
              <w:rPr>
                <w:rFonts w:hint="eastAsia"/>
                <w:color w:val="auto"/>
                <w:highlight w:val="none"/>
              </w:rPr>
              <w:t>供应商</w:t>
            </w:r>
          </w:p>
          <w:p w14:paraId="729CC700">
            <w:pPr>
              <w:spacing w:before="100" w:beforeAutospacing="1" w:after="100" w:afterAutospacing="1" w:line="260" w:lineRule="exact"/>
              <w:jc w:val="center"/>
              <w:rPr>
                <w:color w:val="auto"/>
                <w:sz w:val="24"/>
                <w:highlight w:val="none"/>
              </w:rPr>
            </w:pPr>
            <w:r>
              <w:rPr>
                <w:rFonts w:hint="eastAsia"/>
                <w:color w:val="auto"/>
                <w:highlight w:val="none"/>
              </w:rPr>
              <w:t>市场</w:t>
            </w:r>
          </w:p>
          <w:p w14:paraId="3FC83882">
            <w:pPr>
              <w:spacing w:before="100" w:beforeAutospacing="1" w:after="100" w:afterAutospacing="1" w:line="260" w:lineRule="exact"/>
              <w:jc w:val="center"/>
              <w:rPr>
                <w:color w:val="auto"/>
                <w:sz w:val="24"/>
                <w:highlight w:val="none"/>
              </w:rPr>
            </w:pPr>
            <w:r>
              <w:rPr>
                <w:rFonts w:hint="eastAsia"/>
                <w:color w:val="auto"/>
                <w:highlight w:val="none"/>
              </w:rPr>
              <w:t>行为</w:t>
            </w:r>
          </w:p>
          <w:p w14:paraId="2F2A3E61">
            <w:pPr>
              <w:spacing w:before="100" w:beforeAutospacing="1" w:after="100" w:afterAutospacing="1" w:line="260" w:lineRule="exact"/>
              <w:jc w:val="center"/>
              <w:rPr>
                <w:color w:val="auto"/>
                <w:sz w:val="24"/>
                <w:highlight w:val="none"/>
              </w:rPr>
            </w:pPr>
            <w:r>
              <w:rPr>
                <w:rFonts w:hint="eastAsia"/>
                <w:color w:val="auto"/>
                <w:highlight w:val="none"/>
              </w:rPr>
              <w:t>信用</w:t>
            </w:r>
          </w:p>
          <w:p w14:paraId="7E414630">
            <w:pP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BF5EBDD">
            <w:pP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32889594">
            <w:pPr>
              <w:spacing w:line="260" w:lineRule="exact"/>
              <w:jc w:val="center"/>
              <w:rPr>
                <w:rFonts w:ascii="宋体" w:hAnsi="宋体"/>
                <w:color w:val="auto"/>
                <w:sz w:val="18"/>
                <w:szCs w:val="18"/>
                <w:highlight w:val="none"/>
              </w:rPr>
            </w:pPr>
          </w:p>
        </w:tc>
      </w:tr>
      <w:tr w14:paraId="1D3C3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E5C758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420AAD10">
            <w:pP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3372A0F2">
            <w:pPr>
              <w:spacing w:line="260" w:lineRule="exact"/>
              <w:rPr>
                <w:rFonts w:ascii="宋体" w:hAnsi="宋体"/>
                <w:color w:val="auto"/>
                <w:sz w:val="18"/>
                <w:szCs w:val="18"/>
                <w:highlight w:val="none"/>
              </w:rPr>
            </w:pPr>
          </w:p>
        </w:tc>
      </w:tr>
      <w:tr w14:paraId="51D8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5A0B2AC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3FC476DC">
            <w:pPr>
              <w:spacing w:before="100" w:beforeAutospacing="1" w:after="100" w:afterAutospacing="1" w:line="260" w:lineRule="exact"/>
              <w:rPr>
                <w:rFonts w:hint="eastAsia"/>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0743F0B3">
            <w:pPr>
              <w:spacing w:line="260" w:lineRule="exact"/>
              <w:rPr>
                <w:rFonts w:ascii="宋体" w:hAnsi="宋体"/>
                <w:color w:val="auto"/>
                <w:sz w:val="18"/>
                <w:szCs w:val="18"/>
                <w:highlight w:val="none"/>
              </w:rPr>
            </w:pPr>
          </w:p>
        </w:tc>
      </w:tr>
      <w:tr w14:paraId="0EDAF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F205CDB">
            <w:pPr>
              <w:widowControl/>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0543B661">
            <w:pPr>
              <w:spacing w:before="100" w:beforeAutospacing="1" w:after="100" w:afterAutospacing="1" w:line="260" w:lineRule="exact"/>
              <w:rPr>
                <w:rFonts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2524264B">
            <w:pPr>
              <w:spacing w:line="260" w:lineRule="exact"/>
              <w:rPr>
                <w:rFonts w:ascii="宋体" w:hAnsi="宋体"/>
                <w:color w:val="auto"/>
                <w:sz w:val="18"/>
                <w:szCs w:val="18"/>
                <w:highlight w:val="none"/>
              </w:rPr>
            </w:pPr>
          </w:p>
        </w:tc>
      </w:tr>
      <w:tr w14:paraId="2858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52DEAA7">
            <w:pPr>
              <w:widowControl/>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3F47ACAB">
            <w:pP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3A987CCC">
            <w:pPr>
              <w:spacing w:line="260" w:lineRule="exact"/>
              <w:rPr>
                <w:rFonts w:ascii="宋体" w:hAnsi="宋体"/>
                <w:color w:val="auto"/>
                <w:sz w:val="18"/>
                <w:szCs w:val="18"/>
                <w:highlight w:val="none"/>
              </w:rPr>
            </w:pPr>
          </w:p>
        </w:tc>
      </w:tr>
      <w:tr w14:paraId="1A361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6433615D">
            <w:pPr>
              <w:spacing w:before="100" w:beforeAutospacing="1" w:after="100" w:afterAutospacing="1" w:line="260" w:lineRule="exact"/>
              <w:jc w:val="center"/>
              <w:rPr>
                <w:color w:val="auto"/>
                <w:highlight w:val="none"/>
              </w:rPr>
            </w:pPr>
            <w:r>
              <w:rPr>
                <w:rFonts w:hint="eastAsia"/>
                <w:color w:val="auto"/>
                <w:highlight w:val="none"/>
              </w:rPr>
              <w:t>投标供应商</w:t>
            </w:r>
          </w:p>
          <w:p w14:paraId="62198815">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声</w:t>
            </w:r>
            <w:r>
              <w:rPr>
                <w:color w:val="auto"/>
                <w:highlight w:val="none"/>
              </w:rPr>
              <w:t xml:space="preserve"> </w:t>
            </w:r>
            <w:r>
              <w:rPr>
                <w:rFonts w:hint="eastAsia"/>
                <w:color w:val="auto"/>
                <w:highlight w:val="none"/>
              </w:rPr>
              <w:t>明</w:t>
            </w:r>
            <w:r>
              <w:rPr>
                <w:color w:val="auto"/>
                <w:highlight w:val="none"/>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616A7D09">
            <w:pPr>
              <w:pStyle w:val="14"/>
              <w:spacing w:line="260" w:lineRule="exact"/>
              <w:ind w:left="420" w:firstLine="337"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214ED649">
            <w:pPr>
              <w:spacing w:before="100" w:beforeAutospacing="1" w:after="100" w:afterAutospacing="1" w:line="260" w:lineRule="exact"/>
              <w:jc w:val="center"/>
              <w:rPr>
                <w:color w:val="auto"/>
                <w:sz w:val="24"/>
                <w:highlight w:val="none"/>
              </w:rPr>
            </w:pPr>
            <w:r>
              <w:rPr>
                <w:rFonts w:hint="eastAsia"/>
                <w:color w:val="auto"/>
                <w:highlight w:val="none"/>
              </w:rPr>
              <w:t>法定代表人签名：</w:t>
            </w:r>
            <w:r>
              <w:rPr>
                <w:rFonts w:hint="eastAsia"/>
                <w:color w:val="auto"/>
                <w:highlight w:val="none"/>
                <w:u w:val="single"/>
              </w:rPr>
              <w:t xml:space="preserve">            </w:t>
            </w:r>
            <w:r>
              <w:rPr>
                <w:color w:val="auto"/>
                <w:highlight w:val="none"/>
              </w:rPr>
              <w:t xml:space="preserve"> </w:t>
            </w:r>
          </w:p>
          <w:p w14:paraId="2BFE08EB">
            <w:pPr>
              <w:spacing w:before="100" w:beforeAutospacing="1" w:after="100" w:afterAutospacing="1" w:line="260" w:lineRule="exact"/>
              <w:jc w:val="center"/>
              <w:rPr>
                <w:color w:val="auto"/>
                <w:sz w:val="24"/>
                <w:highlight w:val="none"/>
              </w:rPr>
            </w:pPr>
            <w:r>
              <w:rPr>
                <w:color w:val="auto"/>
                <w:highlight w:val="none"/>
              </w:rPr>
              <w:t>(</w:t>
            </w:r>
            <w:r>
              <w:rPr>
                <w:rFonts w:hint="eastAsia"/>
                <w:color w:val="auto"/>
                <w:highlight w:val="none"/>
              </w:rPr>
              <w:t>电子签章）</w:t>
            </w:r>
            <w:r>
              <w:rPr>
                <w:color w:val="auto"/>
                <w:highlight w:val="none"/>
              </w:rPr>
              <w:t xml:space="preserve"> </w:t>
            </w:r>
          </w:p>
          <w:p w14:paraId="54B03AE7">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r>
              <w:rPr>
                <w:color w:val="auto"/>
                <w:highlight w:val="none"/>
              </w:rPr>
              <w:t xml:space="preserve"> </w:t>
            </w:r>
          </w:p>
        </w:tc>
      </w:tr>
    </w:tbl>
    <w:p w14:paraId="365CFBB1">
      <w:pPr>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5D286B9E">
      <w:pPr>
        <w:ind w:firstLine="420" w:firstLineChars="200"/>
        <w:rPr>
          <w:rFonts w:hint="eastAsia"/>
          <w:color w:val="auto"/>
          <w:highlight w:val="none"/>
        </w:rPr>
      </w:pPr>
      <w:r>
        <w:rPr>
          <w:rFonts w:hint="eastAsia"/>
          <w:color w:val="auto"/>
          <w:highlight w:val="none"/>
        </w:rPr>
        <w:t>2.本表格由供应商自己填写，若无表中所列情况，则在相应栏中写“无”，若有，须按具体次数分别说明（包括处罚时间、事由、处罚主体等）；</w:t>
      </w:r>
    </w:p>
    <w:p w14:paraId="0C58807A">
      <w:pPr>
        <w:snapToGrid w:val="0"/>
        <w:spacing w:before="50" w:after="120" w:afterLines="50" w:line="276" w:lineRule="auto"/>
        <w:jc w:val="left"/>
        <w:rPr>
          <w:rFonts w:hint="eastAsia" w:ascii="宋体" w:hAnsi="宋体"/>
          <w:b/>
          <w:color w:val="auto"/>
          <w:sz w:val="24"/>
          <w:highlight w:val="none"/>
        </w:rPr>
      </w:pPr>
    </w:p>
    <w:p w14:paraId="068C6E84">
      <w:pPr>
        <w:snapToGrid w:val="0"/>
        <w:spacing w:before="50" w:after="120" w:afterLines="50" w:line="276" w:lineRule="auto"/>
        <w:jc w:val="left"/>
        <w:rPr>
          <w:rFonts w:hint="eastAsia" w:ascii="宋体" w:hAnsi="宋体"/>
          <w:b/>
          <w:color w:val="auto"/>
          <w:sz w:val="24"/>
          <w:highlight w:val="none"/>
        </w:rPr>
      </w:pPr>
    </w:p>
    <w:p w14:paraId="26C23225">
      <w:pPr>
        <w:snapToGrid w:val="0"/>
        <w:spacing w:before="50" w:after="120" w:afterLines="50" w:line="276" w:lineRule="auto"/>
        <w:jc w:val="left"/>
        <w:rPr>
          <w:rFonts w:hint="eastAsia" w:ascii="宋体" w:hAnsi="宋体"/>
          <w:b/>
          <w:color w:val="auto"/>
          <w:sz w:val="24"/>
          <w:highlight w:val="none"/>
        </w:rPr>
      </w:pPr>
    </w:p>
    <w:p w14:paraId="46C83CDD">
      <w:pPr>
        <w:rPr>
          <w:rFonts w:hint="eastAsia" w:ascii="宋体" w:hAnsi="宋体" w:cs="宋体"/>
          <w:color w:val="auto"/>
          <w:sz w:val="28"/>
          <w:szCs w:val="28"/>
          <w:highlight w:val="none"/>
        </w:rPr>
      </w:pPr>
      <w:r>
        <w:rPr>
          <w:rFonts w:hint="eastAsia" w:ascii="宋体" w:hAnsi="宋体" w:cs="宋体"/>
          <w:color w:val="auto"/>
          <w:sz w:val="28"/>
          <w:szCs w:val="28"/>
          <w:highlight w:val="none"/>
        </w:rPr>
        <w:t>附件6：投标单位情况表：</w:t>
      </w:r>
    </w:p>
    <w:p w14:paraId="57C51C0C">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投标单位情况表</w:t>
      </w:r>
    </w:p>
    <w:p w14:paraId="2F7F75F0">
      <w:pPr>
        <w:pStyle w:val="29"/>
        <w:spacing w:before="120" w:after="120" w:line="276" w:lineRule="auto"/>
        <w:rPr>
          <w:rFonts w:ascii="Times New Roman" w:hAnsi="Times New Roman"/>
          <w:color w:val="auto"/>
          <w:highlight w:val="none"/>
        </w:rPr>
      </w:pPr>
      <w:r>
        <w:rPr>
          <w:rFonts w:hint="eastAsia" w:ascii="Times New Roman" w:hAnsi="Times New Roman"/>
          <w:color w:val="auto"/>
          <w:highlight w:val="none"/>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126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73025FB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单位名称</w:t>
            </w:r>
          </w:p>
        </w:tc>
        <w:tc>
          <w:tcPr>
            <w:tcW w:w="3385" w:type="dxa"/>
            <w:vAlign w:val="center"/>
          </w:tcPr>
          <w:p w14:paraId="356BA1B0">
            <w:pPr>
              <w:widowControl/>
              <w:spacing w:line="276" w:lineRule="auto"/>
              <w:jc w:val="center"/>
              <w:rPr>
                <w:rFonts w:ascii="宋体" w:hAnsi="宋体"/>
                <w:color w:val="auto"/>
                <w:szCs w:val="21"/>
                <w:highlight w:val="none"/>
              </w:rPr>
            </w:pPr>
          </w:p>
        </w:tc>
        <w:tc>
          <w:tcPr>
            <w:tcW w:w="1418" w:type="dxa"/>
            <w:gridSpan w:val="2"/>
            <w:vAlign w:val="center"/>
          </w:tcPr>
          <w:p w14:paraId="24CC5AF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电话</w:t>
            </w:r>
          </w:p>
        </w:tc>
        <w:tc>
          <w:tcPr>
            <w:tcW w:w="2627" w:type="dxa"/>
            <w:vAlign w:val="center"/>
          </w:tcPr>
          <w:p w14:paraId="562468C6">
            <w:pPr>
              <w:pStyle w:val="29"/>
              <w:spacing w:before="120" w:after="120" w:line="276" w:lineRule="auto"/>
              <w:jc w:val="center"/>
              <w:rPr>
                <w:rFonts w:hAnsi="宋体"/>
                <w:color w:val="auto"/>
                <w:sz w:val="21"/>
                <w:szCs w:val="21"/>
                <w:highlight w:val="none"/>
              </w:rPr>
            </w:pPr>
          </w:p>
        </w:tc>
      </w:tr>
      <w:tr w14:paraId="360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4DF4796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地址</w:t>
            </w:r>
          </w:p>
        </w:tc>
        <w:tc>
          <w:tcPr>
            <w:tcW w:w="3385" w:type="dxa"/>
            <w:vAlign w:val="center"/>
          </w:tcPr>
          <w:p w14:paraId="76C8DFBE">
            <w:pPr>
              <w:pStyle w:val="29"/>
              <w:spacing w:before="120" w:after="120" w:line="276" w:lineRule="auto"/>
              <w:jc w:val="center"/>
              <w:rPr>
                <w:rFonts w:hAnsi="宋体"/>
                <w:color w:val="auto"/>
                <w:sz w:val="21"/>
                <w:szCs w:val="21"/>
                <w:highlight w:val="none"/>
              </w:rPr>
            </w:pPr>
          </w:p>
        </w:tc>
        <w:tc>
          <w:tcPr>
            <w:tcW w:w="1418" w:type="dxa"/>
            <w:gridSpan w:val="2"/>
            <w:vAlign w:val="center"/>
          </w:tcPr>
          <w:p w14:paraId="6158C8A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传真</w:t>
            </w:r>
          </w:p>
        </w:tc>
        <w:tc>
          <w:tcPr>
            <w:tcW w:w="2627" w:type="dxa"/>
            <w:vAlign w:val="center"/>
          </w:tcPr>
          <w:p w14:paraId="318517DF">
            <w:pPr>
              <w:pStyle w:val="29"/>
              <w:spacing w:before="120" w:after="120" w:line="276" w:lineRule="auto"/>
              <w:jc w:val="center"/>
              <w:rPr>
                <w:rFonts w:hAnsi="宋体"/>
                <w:color w:val="auto"/>
                <w:sz w:val="21"/>
                <w:szCs w:val="21"/>
                <w:highlight w:val="none"/>
              </w:rPr>
            </w:pPr>
          </w:p>
        </w:tc>
      </w:tr>
      <w:tr w14:paraId="6E5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5752D72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主管部门</w:t>
            </w:r>
          </w:p>
        </w:tc>
        <w:tc>
          <w:tcPr>
            <w:tcW w:w="3385" w:type="dxa"/>
            <w:vAlign w:val="center"/>
          </w:tcPr>
          <w:p w14:paraId="6DE7DCC4">
            <w:pPr>
              <w:pStyle w:val="29"/>
              <w:spacing w:before="120" w:after="120" w:line="276" w:lineRule="auto"/>
              <w:jc w:val="center"/>
              <w:rPr>
                <w:rFonts w:hAnsi="宋体"/>
                <w:color w:val="auto"/>
                <w:sz w:val="21"/>
                <w:szCs w:val="21"/>
                <w:highlight w:val="none"/>
              </w:rPr>
            </w:pPr>
          </w:p>
        </w:tc>
        <w:tc>
          <w:tcPr>
            <w:tcW w:w="1418" w:type="dxa"/>
            <w:gridSpan w:val="2"/>
            <w:vAlign w:val="center"/>
          </w:tcPr>
          <w:p w14:paraId="238F2ED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企业性质</w:t>
            </w:r>
          </w:p>
        </w:tc>
        <w:tc>
          <w:tcPr>
            <w:tcW w:w="2627" w:type="dxa"/>
            <w:vAlign w:val="center"/>
          </w:tcPr>
          <w:p w14:paraId="368E7D2F">
            <w:pPr>
              <w:pStyle w:val="29"/>
              <w:spacing w:before="120" w:after="120" w:line="276" w:lineRule="auto"/>
              <w:jc w:val="center"/>
              <w:rPr>
                <w:rFonts w:hAnsi="宋体"/>
                <w:color w:val="auto"/>
                <w:sz w:val="21"/>
                <w:szCs w:val="21"/>
                <w:highlight w:val="none"/>
              </w:rPr>
            </w:pPr>
          </w:p>
        </w:tc>
      </w:tr>
      <w:tr w14:paraId="102A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129DE299">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企业法人</w:t>
            </w:r>
          </w:p>
        </w:tc>
        <w:tc>
          <w:tcPr>
            <w:tcW w:w="3385" w:type="dxa"/>
            <w:vAlign w:val="center"/>
          </w:tcPr>
          <w:p w14:paraId="05D32396">
            <w:pPr>
              <w:pStyle w:val="29"/>
              <w:spacing w:before="120" w:after="120" w:line="276" w:lineRule="auto"/>
              <w:jc w:val="center"/>
              <w:rPr>
                <w:rFonts w:hAnsi="宋体"/>
                <w:color w:val="auto"/>
                <w:sz w:val="21"/>
                <w:szCs w:val="21"/>
                <w:highlight w:val="none"/>
              </w:rPr>
            </w:pPr>
          </w:p>
        </w:tc>
        <w:tc>
          <w:tcPr>
            <w:tcW w:w="1418" w:type="dxa"/>
            <w:gridSpan w:val="2"/>
            <w:vAlign w:val="center"/>
          </w:tcPr>
          <w:p w14:paraId="53598B2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资质等级</w:t>
            </w:r>
          </w:p>
        </w:tc>
        <w:tc>
          <w:tcPr>
            <w:tcW w:w="2627" w:type="dxa"/>
            <w:vAlign w:val="center"/>
          </w:tcPr>
          <w:p w14:paraId="2B3573FD">
            <w:pPr>
              <w:pStyle w:val="29"/>
              <w:spacing w:before="120" w:after="120" w:line="276" w:lineRule="auto"/>
              <w:jc w:val="center"/>
              <w:rPr>
                <w:rFonts w:hAnsi="宋体"/>
                <w:color w:val="auto"/>
                <w:sz w:val="21"/>
                <w:szCs w:val="21"/>
                <w:highlight w:val="none"/>
              </w:rPr>
            </w:pPr>
          </w:p>
        </w:tc>
      </w:tr>
      <w:tr w14:paraId="01AD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6AD33C53">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授权代表</w:t>
            </w:r>
          </w:p>
        </w:tc>
        <w:tc>
          <w:tcPr>
            <w:tcW w:w="3385" w:type="dxa"/>
            <w:vAlign w:val="center"/>
          </w:tcPr>
          <w:p w14:paraId="11AB7715">
            <w:pPr>
              <w:pStyle w:val="29"/>
              <w:spacing w:before="120" w:after="120" w:line="276" w:lineRule="auto"/>
              <w:jc w:val="center"/>
              <w:rPr>
                <w:rFonts w:hAnsi="宋体"/>
                <w:color w:val="auto"/>
                <w:sz w:val="21"/>
                <w:szCs w:val="21"/>
                <w:highlight w:val="none"/>
              </w:rPr>
            </w:pPr>
          </w:p>
        </w:tc>
        <w:tc>
          <w:tcPr>
            <w:tcW w:w="1418" w:type="dxa"/>
            <w:gridSpan w:val="2"/>
            <w:vAlign w:val="center"/>
          </w:tcPr>
          <w:p w14:paraId="6923136F">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职务</w:t>
            </w:r>
          </w:p>
        </w:tc>
        <w:tc>
          <w:tcPr>
            <w:tcW w:w="2627" w:type="dxa"/>
            <w:vAlign w:val="center"/>
          </w:tcPr>
          <w:p w14:paraId="13F570EF">
            <w:pPr>
              <w:pStyle w:val="29"/>
              <w:spacing w:before="120" w:after="120" w:line="276" w:lineRule="auto"/>
              <w:jc w:val="center"/>
              <w:rPr>
                <w:rFonts w:hAnsi="宋体"/>
                <w:color w:val="auto"/>
                <w:sz w:val="21"/>
                <w:szCs w:val="21"/>
                <w:highlight w:val="none"/>
              </w:rPr>
            </w:pPr>
          </w:p>
        </w:tc>
      </w:tr>
      <w:tr w14:paraId="052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6F0E9479">
            <w:pPr>
              <w:pStyle w:val="29"/>
              <w:spacing w:before="120" w:after="120" w:line="276" w:lineRule="auto"/>
              <w:ind w:firstLine="630" w:firstLineChars="300"/>
              <w:jc w:val="center"/>
              <w:rPr>
                <w:rFonts w:hAnsi="宋体"/>
                <w:color w:val="auto"/>
                <w:sz w:val="21"/>
                <w:szCs w:val="21"/>
                <w:highlight w:val="none"/>
              </w:rPr>
            </w:pPr>
          </w:p>
          <w:p w14:paraId="435296D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w:t>
            </w:r>
          </w:p>
          <w:p w14:paraId="2EF5AAB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概况</w:t>
            </w:r>
          </w:p>
          <w:p w14:paraId="0A5CC4A2">
            <w:pPr>
              <w:pStyle w:val="29"/>
              <w:spacing w:before="120" w:after="120" w:line="276" w:lineRule="auto"/>
              <w:ind w:firstLine="630" w:firstLineChars="300"/>
              <w:jc w:val="center"/>
              <w:rPr>
                <w:rFonts w:hAnsi="宋体"/>
                <w:color w:val="auto"/>
                <w:sz w:val="21"/>
                <w:szCs w:val="21"/>
                <w:highlight w:val="none"/>
              </w:rPr>
            </w:pPr>
          </w:p>
          <w:p w14:paraId="64481EE7">
            <w:pPr>
              <w:pStyle w:val="29"/>
              <w:spacing w:before="120" w:after="120" w:line="276" w:lineRule="auto"/>
              <w:ind w:firstLine="630" w:firstLineChars="300"/>
              <w:jc w:val="center"/>
              <w:rPr>
                <w:rFonts w:hAnsi="宋体"/>
                <w:color w:val="auto"/>
                <w:sz w:val="21"/>
                <w:szCs w:val="21"/>
                <w:highlight w:val="none"/>
              </w:rPr>
            </w:pPr>
          </w:p>
          <w:p w14:paraId="0CB2ACCC">
            <w:pPr>
              <w:pStyle w:val="29"/>
              <w:spacing w:before="120" w:after="120" w:line="276" w:lineRule="auto"/>
              <w:ind w:firstLine="630" w:firstLineChars="300"/>
              <w:jc w:val="center"/>
              <w:rPr>
                <w:rFonts w:hAnsi="宋体"/>
                <w:color w:val="auto"/>
                <w:sz w:val="21"/>
                <w:szCs w:val="21"/>
                <w:highlight w:val="none"/>
              </w:rPr>
            </w:pPr>
          </w:p>
          <w:p w14:paraId="0BE51C0B">
            <w:pPr>
              <w:pStyle w:val="29"/>
              <w:spacing w:before="120" w:after="120" w:line="276" w:lineRule="auto"/>
              <w:ind w:firstLine="630" w:firstLineChars="300"/>
              <w:jc w:val="center"/>
              <w:rPr>
                <w:rFonts w:hAnsi="宋体"/>
                <w:color w:val="auto"/>
                <w:sz w:val="21"/>
                <w:szCs w:val="21"/>
                <w:highlight w:val="none"/>
              </w:rPr>
            </w:pPr>
          </w:p>
        </w:tc>
        <w:tc>
          <w:tcPr>
            <w:tcW w:w="1300" w:type="dxa"/>
            <w:vMerge w:val="restart"/>
            <w:vAlign w:val="center"/>
          </w:tcPr>
          <w:p w14:paraId="6C89FF9B">
            <w:pPr>
              <w:spacing w:line="276" w:lineRule="auto"/>
              <w:jc w:val="center"/>
              <w:rPr>
                <w:rFonts w:ascii="宋体" w:hAnsi="宋体"/>
                <w:color w:val="auto"/>
                <w:szCs w:val="21"/>
                <w:highlight w:val="none"/>
              </w:rPr>
            </w:pPr>
            <w:r>
              <w:rPr>
                <w:rFonts w:hint="eastAsia" w:ascii="宋体" w:hAnsi="宋体"/>
                <w:color w:val="auto"/>
                <w:szCs w:val="21"/>
                <w:highlight w:val="none"/>
              </w:rPr>
              <w:t>职工总数</w:t>
            </w:r>
          </w:p>
        </w:tc>
        <w:tc>
          <w:tcPr>
            <w:tcW w:w="3385" w:type="dxa"/>
            <w:vAlign w:val="center"/>
          </w:tcPr>
          <w:p w14:paraId="614E53D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员工：           人</w:t>
            </w:r>
          </w:p>
        </w:tc>
        <w:tc>
          <w:tcPr>
            <w:tcW w:w="4045" w:type="dxa"/>
            <w:gridSpan w:val="3"/>
            <w:vAlign w:val="center"/>
          </w:tcPr>
          <w:p w14:paraId="49DCE8D2">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技术工人：          人</w:t>
            </w:r>
          </w:p>
        </w:tc>
      </w:tr>
      <w:tr w14:paraId="17C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1772CB2D">
            <w:pPr>
              <w:pStyle w:val="29"/>
              <w:spacing w:before="120" w:after="120" w:line="276" w:lineRule="auto"/>
              <w:ind w:firstLine="630" w:firstLineChars="300"/>
              <w:jc w:val="center"/>
              <w:rPr>
                <w:rFonts w:hAnsi="宋体"/>
                <w:color w:val="auto"/>
                <w:sz w:val="21"/>
                <w:szCs w:val="21"/>
                <w:highlight w:val="none"/>
              </w:rPr>
            </w:pPr>
          </w:p>
        </w:tc>
        <w:tc>
          <w:tcPr>
            <w:tcW w:w="1300" w:type="dxa"/>
            <w:vMerge w:val="continue"/>
            <w:vAlign w:val="center"/>
          </w:tcPr>
          <w:p w14:paraId="056B7F38">
            <w:pPr>
              <w:widowControl/>
              <w:spacing w:line="276" w:lineRule="auto"/>
              <w:jc w:val="center"/>
              <w:rPr>
                <w:rFonts w:ascii="宋体" w:hAnsi="宋体"/>
                <w:color w:val="auto"/>
                <w:szCs w:val="21"/>
                <w:highlight w:val="none"/>
              </w:rPr>
            </w:pPr>
          </w:p>
        </w:tc>
        <w:tc>
          <w:tcPr>
            <w:tcW w:w="3385" w:type="dxa"/>
            <w:vAlign w:val="center"/>
          </w:tcPr>
          <w:p w14:paraId="6C50C14A">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高级技师：       人</w:t>
            </w:r>
          </w:p>
        </w:tc>
        <w:tc>
          <w:tcPr>
            <w:tcW w:w="4045" w:type="dxa"/>
            <w:gridSpan w:val="3"/>
            <w:vAlign w:val="center"/>
          </w:tcPr>
          <w:p w14:paraId="0339963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工程师：            人</w:t>
            </w:r>
          </w:p>
        </w:tc>
      </w:tr>
      <w:tr w14:paraId="0EAB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575E9BCE">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16E5235C">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流动资金</w:t>
            </w:r>
          </w:p>
        </w:tc>
        <w:tc>
          <w:tcPr>
            <w:tcW w:w="3385" w:type="dxa"/>
            <w:vAlign w:val="center"/>
          </w:tcPr>
          <w:p w14:paraId="74468EB8">
            <w:pPr>
              <w:pStyle w:val="29"/>
              <w:spacing w:before="120" w:after="120" w:line="276" w:lineRule="auto"/>
              <w:jc w:val="center"/>
              <w:rPr>
                <w:rFonts w:hAnsi="宋体"/>
                <w:color w:val="auto"/>
                <w:sz w:val="21"/>
                <w:szCs w:val="21"/>
                <w:highlight w:val="none"/>
              </w:rPr>
            </w:pPr>
          </w:p>
        </w:tc>
        <w:tc>
          <w:tcPr>
            <w:tcW w:w="1260" w:type="dxa"/>
            <w:vAlign w:val="center"/>
          </w:tcPr>
          <w:p w14:paraId="725A7CB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营业面积</w:t>
            </w:r>
          </w:p>
        </w:tc>
        <w:tc>
          <w:tcPr>
            <w:tcW w:w="2785" w:type="dxa"/>
            <w:gridSpan w:val="2"/>
            <w:vAlign w:val="center"/>
          </w:tcPr>
          <w:p w14:paraId="753D0DD5">
            <w:pPr>
              <w:pStyle w:val="29"/>
              <w:spacing w:before="120" w:after="120" w:line="276" w:lineRule="auto"/>
              <w:jc w:val="center"/>
              <w:rPr>
                <w:rFonts w:hAnsi="宋体"/>
                <w:color w:val="auto"/>
                <w:sz w:val="21"/>
                <w:szCs w:val="21"/>
                <w:highlight w:val="none"/>
              </w:rPr>
            </w:pPr>
          </w:p>
        </w:tc>
      </w:tr>
      <w:tr w14:paraId="49E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3A4A1D71">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05CC21A2">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固定资金</w:t>
            </w:r>
          </w:p>
        </w:tc>
        <w:tc>
          <w:tcPr>
            <w:tcW w:w="3385" w:type="dxa"/>
            <w:vAlign w:val="center"/>
          </w:tcPr>
          <w:p w14:paraId="67472C4F">
            <w:pPr>
              <w:widowControl/>
              <w:spacing w:line="276" w:lineRule="auto"/>
              <w:jc w:val="center"/>
              <w:rPr>
                <w:rFonts w:ascii="宋体" w:hAnsi="宋体"/>
                <w:color w:val="auto"/>
                <w:szCs w:val="21"/>
                <w:highlight w:val="none"/>
              </w:rPr>
            </w:pPr>
          </w:p>
        </w:tc>
        <w:tc>
          <w:tcPr>
            <w:tcW w:w="1260" w:type="dxa"/>
            <w:vAlign w:val="center"/>
          </w:tcPr>
          <w:p w14:paraId="1B8A9E5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维修网点</w:t>
            </w:r>
          </w:p>
        </w:tc>
        <w:tc>
          <w:tcPr>
            <w:tcW w:w="2785" w:type="dxa"/>
            <w:gridSpan w:val="2"/>
            <w:vAlign w:val="center"/>
          </w:tcPr>
          <w:p w14:paraId="3E450091">
            <w:pPr>
              <w:widowControl/>
              <w:spacing w:line="276" w:lineRule="auto"/>
              <w:jc w:val="center"/>
              <w:rPr>
                <w:rFonts w:ascii="宋体" w:hAnsi="宋体"/>
                <w:color w:val="auto"/>
                <w:szCs w:val="21"/>
                <w:highlight w:val="none"/>
              </w:rPr>
            </w:pPr>
          </w:p>
        </w:tc>
      </w:tr>
      <w:tr w14:paraId="642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02EB9BC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单位简历</w:t>
            </w:r>
          </w:p>
        </w:tc>
        <w:tc>
          <w:tcPr>
            <w:tcW w:w="8730" w:type="dxa"/>
            <w:gridSpan w:val="5"/>
          </w:tcPr>
          <w:p w14:paraId="444C6B69">
            <w:pPr>
              <w:spacing w:line="276" w:lineRule="auto"/>
              <w:jc w:val="left"/>
              <w:rPr>
                <w:rFonts w:ascii="宋体" w:hAnsi="宋体"/>
                <w:color w:val="auto"/>
                <w:szCs w:val="21"/>
                <w:highlight w:val="none"/>
              </w:rPr>
            </w:pPr>
          </w:p>
        </w:tc>
      </w:tr>
      <w:tr w14:paraId="776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0D13817D">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优势及特长</w:t>
            </w:r>
          </w:p>
        </w:tc>
        <w:tc>
          <w:tcPr>
            <w:tcW w:w="8730" w:type="dxa"/>
            <w:gridSpan w:val="5"/>
          </w:tcPr>
          <w:p w14:paraId="226FEDEC">
            <w:pPr>
              <w:spacing w:line="276" w:lineRule="auto"/>
              <w:jc w:val="left"/>
              <w:rPr>
                <w:rFonts w:ascii="宋体" w:hAnsi="宋体"/>
                <w:color w:val="auto"/>
                <w:szCs w:val="21"/>
                <w:highlight w:val="none"/>
              </w:rPr>
            </w:pPr>
          </w:p>
        </w:tc>
      </w:tr>
    </w:tbl>
    <w:p w14:paraId="02C85151">
      <w:pPr>
        <w:snapToGrid w:val="0"/>
        <w:spacing w:before="50" w:after="120" w:afterLines="50" w:line="276" w:lineRule="auto"/>
        <w:jc w:val="left"/>
        <w:rPr>
          <w:rFonts w:ascii="宋体" w:hAnsi="宋体"/>
          <w:b/>
          <w:color w:val="auto"/>
          <w:sz w:val="24"/>
          <w:highlight w:val="none"/>
        </w:rPr>
      </w:pPr>
    </w:p>
    <w:p w14:paraId="72E1B5C0">
      <w:pPr>
        <w:snapToGrid w:val="0"/>
        <w:spacing w:before="50" w:after="120" w:afterLines="50" w:line="276" w:lineRule="auto"/>
        <w:jc w:val="left"/>
        <w:rPr>
          <w:rFonts w:hint="eastAsia" w:ascii="宋体" w:hAnsi="宋体"/>
          <w:b/>
          <w:color w:val="auto"/>
          <w:sz w:val="24"/>
          <w:highlight w:val="none"/>
        </w:rPr>
      </w:pPr>
    </w:p>
    <w:p w14:paraId="18A8703A">
      <w:pPr>
        <w:rPr>
          <w:rFonts w:ascii="宋体" w:hAnsi="宋体"/>
          <w:b/>
          <w:color w:val="auto"/>
          <w:sz w:val="24"/>
          <w:highlight w:val="none"/>
        </w:rPr>
      </w:pPr>
      <w:r>
        <w:rPr>
          <w:rFonts w:hint="eastAsia" w:ascii="宋体" w:hAnsi="宋体"/>
          <w:b/>
          <w:color w:val="auto"/>
          <w:sz w:val="24"/>
          <w:highlight w:val="none"/>
        </w:rPr>
        <w:br w:type="page"/>
      </w:r>
      <w:bookmarkStart w:id="393" w:name="_Toc8679"/>
      <w:r>
        <w:rPr>
          <w:rFonts w:hint="eastAsia" w:ascii="宋体" w:hAnsi="宋体" w:cs="宋体"/>
          <w:color w:val="auto"/>
          <w:sz w:val="28"/>
          <w:szCs w:val="28"/>
          <w:highlight w:val="none"/>
        </w:rPr>
        <w:t>附件7：法定代表人授权委托书格式</w:t>
      </w:r>
      <w:bookmarkEnd w:id="393"/>
    </w:p>
    <w:p w14:paraId="2F44D900">
      <w:pPr>
        <w:snapToGrid w:val="0"/>
        <w:spacing w:before="120" w:beforeLines="50" w:after="50" w:line="276" w:lineRule="auto"/>
        <w:jc w:val="center"/>
        <w:rPr>
          <w:rFonts w:ascii="宋体" w:hAnsi="宋体"/>
          <w:color w:val="auto"/>
          <w:sz w:val="30"/>
          <w:szCs w:val="20"/>
          <w:highlight w:val="none"/>
        </w:rPr>
      </w:pPr>
    </w:p>
    <w:p w14:paraId="40E365B0">
      <w:pPr>
        <w:snapToGrid w:val="0"/>
        <w:spacing w:before="120" w:beforeLines="50" w:after="50" w:line="276"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2BFB5E03">
      <w:pPr>
        <w:snapToGrid w:val="0"/>
        <w:spacing w:line="360" w:lineRule="auto"/>
        <w:rPr>
          <w:rFonts w:ascii="宋体" w:hAnsi="宋体"/>
          <w:bCs/>
          <w:color w:val="auto"/>
          <w:sz w:val="24"/>
          <w:highlight w:val="none"/>
        </w:rPr>
      </w:pPr>
    </w:p>
    <w:p w14:paraId="322D7C7E">
      <w:pPr>
        <w:snapToGrid w:val="0"/>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（招标采购单位名称）：</w:t>
      </w:r>
    </w:p>
    <w:p w14:paraId="0A95B5F0">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6FEC0FCE">
      <w:pPr>
        <w:snapToGrid w:val="0"/>
        <w:spacing w:line="360" w:lineRule="auto"/>
        <w:rPr>
          <w:rFonts w:ascii="宋体" w:hAnsi="宋体"/>
          <w:color w:val="auto"/>
          <w:sz w:val="24"/>
          <w:highlight w:val="none"/>
        </w:rPr>
      </w:pPr>
      <w:r>
        <w:rPr>
          <w:rFonts w:hint="eastAsia" w:ascii="宋体" w:hAnsi="宋体"/>
          <w:color w:val="auto"/>
          <w:sz w:val="24"/>
          <w:highlight w:val="none"/>
        </w:rPr>
        <w:t>我方对被授权人的签名事项负全部责任。</w:t>
      </w:r>
    </w:p>
    <w:p w14:paraId="459DEBB3">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9CF65E3">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8944407">
      <w:pPr>
        <w:snapToGrid w:val="0"/>
        <w:spacing w:line="360" w:lineRule="auto"/>
        <w:rPr>
          <w:rFonts w:ascii="宋体" w:hAnsi="宋体"/>
          <w:color w:val="auto"/>
          <w:sz w:val="24"/>
          <w:highlight w:val="none"/>
        </w:rPr>
      </w:pPr>
    </w:p>
    <w:p w14:paraId="4AD9686A">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被授权人签名：                          法定代表人签名：</w:t>
      </w:r>
    </w:p>
    <w:p w14:paraId="2BD0CB57">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职务：                          职务：</w:t>
      </w:r>
    </w:p>
    <w:p w14:paraId="543F5F08">
      <w:pPr>
        <w:snapToGrid w:val="0"/>
        <w:spacing w:line="360" w:lineRule="auto"/>
        <w:rPr>
          <w:rFonts w:hint="eastAsia" w:ascii="宋体" w:hAnsi="宋体"/>
          <w:color w:val="auto"/>
          <w:sz w:val="24"/>
          <w:highlight w:val="none"/>
        </w:rPr>
      </w:pPr>
    </w:p>
    <w:p w14:paraId="01B6903D">
      <w:pPr>
        <w:snapToGrid w:val="0"/>
        <w:spacing w:line="360" w:lineRule="auto"/>
        <w:rPr>
          <w:rFonts w:ascii="宋体" w:hAnsi="宋体"/>
          <w:color w:val="auto"/>
          <w:sz w:val="24"/>
          <w:highlight w:val="none"/>
        </w:rPr>
      </w:pPr>
      <w:r>
        <w:rPr>
          <w:rFonts w:hint="eastAsia" w:ascii="宋体" w:hAnsi="宋体"/>
          <w:color w:val="auto"/>
          <w:sz w:val="24"/>
          <w:highlight w:val="none"/>
        </w:rPr>
        <w:t>被授权人身份证扫描件：</w:t>
      </w:r>
    </w:p>
    <w:p w14:paraId="65C87387">
      <w:pPr>
        <w:snapToGrid w:val="0"/>
        <w:spacing w:line="360" w:lineRule="auto"/>
        <w:rPr>
          <w:rFonts w:ascii="宋体" w:hAnsi="宋体"/>
          <w:color w:val="auto"/>
          <w:sz w:val="24"/>
          <w:highlight w:val="none"/>
        </w:rPr>
      </w:pPr>
    </w:p>
    <w:p w14:paraId="031C5651">
      <w:pPr>
        <w:snapToGrid w:val="0"/>
        <w:rPr>
          <w:rFonts w:ascii="宋体" w:hAnsi="宋体"/>
          <w:color w:val="auto"/>
          <w:sz w:val="24"/>
          <w:highlight w:val="none"/>
        </w:rPr>
      </w:pPr>
    </w:p>
    <w:p w14:paraId="4B5241CB">
      <w:pPr>
        <w:snapToGrid w:val="0"/>
        <w:rPr>
          <w:rFonts w:ascii="宋体" w:hAnsi="宋体"/>
          <w:color w:val="auto"/>
          <w:sz w:val="24"/>
          <w:highlight w:val="none"/>
        </w:rPr>
      </w:pPr>
    </w:p>
    <w:p w14:paraId="27E3B769">
      <w:pPr>
        <w:pStyle w:val="34"/>
        <w:rPr>
          <w:color w:val="auto"/>
          <w:sz w:val="24"/>
          <w:highlight w:val="none"/>
        </w:rPr>
      </w:pPr>
    </w:p>
    <w:p w14:paraId="6097AD5C">
      <w:pPr>
        <w:pStyle w:val="34"/>
        <w:rPr>
          <w:color w:val="auto"/>
          <w:sz w:val="24"/>
          <w:highlight w:val="none"/>
        </w:rPr>
      </w:pPr>
    </w:p>
    <w:p w14:paraId="4921C565">
      <w:pPr>
        <w:pStyle w:val="34"/>
        <w:rPr>
          <w:color w:val="auto"/>
          <w:sz w:val="24"/>
          <w:highlight w:val="none"/>
        </w:rPr>
      </w:pPr>
    </w:p>
    <w:p w14:paraId="5681813A">
      <w:pPr>
        <w:snapToGrid w:val="0"/>
        <w:spacing w:line="360" w:lineRule="auto"/>
        <w:rPr>
          <w:rFonts w:ascii="宋体" w:hAnsi="宋体"/>
          <w:color w:val="auto"/>
          <w:sz w:val="24"/>
          <w:highlight w:val="none"/>
        </w:rPr>
      </w:pPr>
    </w:p>
    <w:p w14:paraId="71C5B93E">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投标人电子签章：</w:t>
      </w:r>
    </w:p>
    <w:p w14:paraId="58530AFC">
      <w:pPr>
        <w:pStyle w:val="22"/>
        <w:rPr>
          <w:color w:val="auto"/>
          <w:highlight w:val="none"/>
        </w:rPr>
      </w:pPr>
    </w:p>
    <w:p w14:paraId="1B20588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34122FB4">
      <w:pPr>
        <w:snapToGrid w:val="0"/>
        <w:spacing w:line="360" w:lineRule="auto"/>
        <w:rPr>
          <w:rFonts w:ascii="宋体" w:hAnsi="宋体"/>
          <w:bCs/>
          <w:color w:val="auto"/>
          <w:sz w:val="24"/>
          <w:highlight w:val="none"/>
        </w:rPr>
      </w:pPr>
    </w:p>
    <w:p w14:paraId="5946EBE2">
      <w:pPr>
        <w:snapToGrid w:val="0"/>
        <w:spacing w:before="50" w:after="120" w:afterLines="50" w:line="276" w:lineRule="auto"/>
        <w:jc w:val="left"/>
        <w:rPr>
          <w:rFonts w:hint="eastAsia" w:ascii="宋体" w:hAnsi="宋体"/>
          <w:b/>
          <w:color w:val="auto"/>
          <w:sz w:val="24"/>
          <w:highlight w:val="none"/>
        </w:rPr>
      </w:pPr>
    </w:p>
    <w:p w14:paraId="4254D324">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br w:type="page"/>
      </w:r>
      <w:bookmarkStart w:id="394" w:name="_Toc11297"/>
      <w:r>
        <w:rPr>
          <w:rFonts w:hint="eastAsia" w:ascii="宋体" w:hAnsi="宋体" w:cs="宋体"/>
          <w:color w:val="auto"/>
          <w:sz w:val="28"/>
          <w:szCs w:val="28"/>
          <w:highlight w:val="none"/>
        </w:rPr>
        <w:t>附件8：法人身份证相关材料</w:t>
      </w:r>
      <w:bookmarkEnd w:id="394"/>
    </w:p>
    <w:p w14:paraId="34343815">
      <w:pPr>
        <w:spacing w:line="400" w:lineRule="exact"/>
        <w:ind w:firstLine="482" w:firstLineChars="200"/>
        <w:rPr>
          <w:rFonts w:hint="eastAsia" w:ascii="宋体" w:hAnsi="宋体"/>
          <w:b/>
          <w:color w:val="auto"/>
          <w:sz w:val="24"/>
          <w:highlight w:val="none"/>
        </w:rPr>
      </w:pPr>
    </w:p>
    <w:p w14:paraId="5C496600">
      <w:pPr>
        <w:spacing w:line="400" w:lineRule="exact"/>
        <w:ind w:firstLine="482" w:firstLineChars="200"/>
        <w:jc w:val="center"/>
        <w:rPr>
          <w:rFonts w:ascii="宋体" w:hAnsi="宋体"/>
          <w:b/>
          <w:color w:val="auto"/>
          <w:sz w:val="24"/>
          <w:highlight w:val="none"/>
        </w:rPr>
      </w:pPr>
      <w:r>
        <w:rPr>
          <w:rFonts w:hint="eastAsia" w:ascii="宋体" w:hAnsi="宋体"/>
          <w:b/>
          <w:color w:val="auto"/>
          <w:sz w:val="24"/>
          <w:highlight w:val="none"/>
        </w:rPr>
        <w:t>法人身份证相关材料</w:t>
      </w:r>
    </w:p>
    <w:p w14:paraId="11E66B27">
      <w:pPr>
        <w:spacing w:line="400" w:lineRule="exact"/>
        <w:ind w:firstLine="480" w:firstLineChars="200"/>
        <w:rPr>
          <w:rFonts w:hint="eastAsia" w:ascii="宋体" w:hAnsi="宋体" w:cs="宋体"/>
          <w:color w:val="auto"/>
          <w:sz w:val="24"/>
          <w:highlight w:val="none"/>
        </w:rPr>
      </w:pPr>
    </w:p>
    <w:p w14:paraId="39EF3BB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733247A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p>
    <w:p w14:paraId="6832EB17">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6CEBCE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1494B3B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p>
    <w:p w14:paraId="50E51D9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    性别：     年龄：      职务：</w:t>
      </w:r>
    </w:p>
    <w:p w14:paraId="5B46D3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的法定代表人／负责人。</w:t>
      </w:r>
    </w:p>
    <w:p w14:paraId="6441E0F2">
      <w:pPr>
        <w:spacing w:line="400" w:lineRule="exact"/>
        <w:ind w:firstLine="480" w:firstLineChars="200"/>
        <w:rPr>
          <w:rFonts w:ascii="宋体" w:hAnsi="宋体" w:cs="宋体"/>
          <w:color w:val="auto"/>
          <w:sz w:val="24"/>
          <w:highlight w:val="none"/>
        </w:rPr>
      </w:pPr>
    </w:p>
    <w:p w14:paraId="1581A6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79BA10">
      <w:pPr>
        <w:spacing w:line="400" w:lineRule="exact"/>
        <w:rPr>
          <w:rFonts w:ascii="宋体" w:hAnsi="宋体" w:cs="宋体"/>
          <w:color w:val="auto"/>
          <w:sz w:val="24"/>
          <w:highlight w:val="none"/>
        </w:rPr>
      </w:pPr>
    </w:p>
    <w:p w14:paraId="29222308">
      <w:pPr>
        <w:spacing w:line="400" w:lineRule="exact"/>
        <w:rPr>
          <w:rFonts w:ascii="宋体" w:hAnsi="宋体" w:cs="宋体"/>
          <w:color w:val="auto"/>
          <w:sz w:val="24"/>
          <w:highlight w:val="none"/>
        </w:rPr>
      </w:pPr>
    </w:p>
    <w:p w14:paraId="4EC05F33">
      <w:pPr>
        <w:spacing w:line="400" w:lineRule="exact"/>
        <w:ind w:firstLine="3360" w:firstLineChars="1400"/>
        <w:rPr>
          <w:rFonts w:ascii="宋体" w:hAnsi="宋体" w:cs="宋体"/>
          <w:color w:val="auto"/>
          <w:sz w:val="24"/>
          <w:highlight w:val="none"/>
          <w:u w:val="singl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(盖章）      </w:t>
      </w:r>
    </w:p>
    <w:p w14:paraId="4F37B55C">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日  期：   年   月   日</w:t>
      </w:r>
    </w:p>
    <w:p w14:paraId="2809F47B">
      <w:pPr>
        <w:snapToGrid w:val="0"/>
        <w:spacing w:line="400" w:lineRule="exact"/>
        <w:rPr>
          <w:rFonts w:ascii="宋体" w:hAnsi="宋体"/>
          <w:color w:val="auto"/>
          <w:sz w:val="24"/>
          <w:highlight w:val="none"/>
        </w:rPr>
      </w:pPr>
    </w:p>
    <w:p w14:paraId="2ED4338D">
      <w:pPr>
        <w:rPr>
          <w:color w:val="auto"/>
          <w:sz w:val="24"/>
          <w:highlight w:val="none"/>
        </w:rPr>
      </w:pPr>
    </w:p>
    <w:p w14:paraId="78112EEE">
      <w:pPr>
        <w:snapToGrid w:val="0"/>
        <w:spacing w:before="120" w:beforeLines="50" w:after="50"/>
        <w:jc w:val="left"/>
        <w:rPr>
          <w:rFonts w:hAnsi="宋体" w:cs="宋体"/>
          <w:color w:val="auto"/>
          <w:sz w:val="24"/>
          <w:highlight w:val="none"/>
        </w:rPr>
      </w:pPr>
      <w:r>
        <w:rPr>
          <w:rFonts w:hint="eastAsia" w:hAnsi="宋体"/>
          <w:b/>
          <w:color w:val="auto"/>
          <w:sz w:val="24"/>
          <w:highlight w:val="none"/>
          <w:lang w:val="zh-CN"/>
        </w:rPr>
        <w:t>法定代表人身份证扫描件</w:t>
      </w:r>
    </w:p>
    <w:p w14:paraId="3CF05451">
      <w:pPr>
        <w:snapToGrid w:val="0"/>
        <w:spacing w:before="120" w:beforeLines="50" w:after="50"/>
        <w:jc w:val="left"/>
        <w:rPr>
          <w:rFonts w:hAnsi="宋体" w:cs="宋体"/>
          <w:color w:val="auto"/>
          <w:sz w:val="24"/>
          <w:highlight w:val="none"/>
        </w:rPr>
      </w:pPr>
    </w:p>
    <w:tbl>
      <w:tblPr>
        <w:tblStyle w:val="53"/>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14:paraId="4BE19C20">
        <w:tblPrEx>
          <w:tblCellMar>
            <w:top w:w="0" w:type="dxa"/>
            <w:left w:w="108" w:type="dxa"/>
            <w:bottom w:w="0" w:type="dxa"/>
            <w:right w:w="108" w:type="dxa"/>
          </w:tblCellMar>
        </w:tblPrEx>
        <w:trPr>
          <w:trHeight w:val="2359" w:hRule="atLeast"/>
        </w:trPr>
        <w:tc>
          <w:tcPr>
            <w:tcW w:w="3917" w:type="dxa"/>
            <w:vAlign w:val="center"/>
          </w:tcPr>
          <w:p w14:paraId="2C5BE909">
            <w:pPr>
              <w:snapToGrid w:val="0"/>
              <w:spacing w:before="120" w:beforeLines="50" w:after="50" w:line="200" w:lineRule="exact"/>
              <w:jc w:val="center"/>
              <w:rPr>
                <w:rFonts w:hAnsi="宋体" w:cs="宋体"/>
                <w:color w:val="auto"/>
                <w:sz w:val="24"/>
                <w:highlight w:val="none"/>
              </w:rPr>
            </w:pPr>
            <w:r>
              <w:rPr>
                <w:rFonts w:hint="eastAsia" w:hAnsi="宋体" w:cs="宋体"/>
                <w:color w:val="auto"/>
                <w:sz w:val="24"/>
                <w:highlight w:val="none"/>
              </w:rPr>
              <w:t>国徽面粘贴处</w:t>
            </w:r>
          </w:p>
        </w:tc>
      </w:tr>
    </w:tbl>
    <w:p w14:paraId="6FB5ECDA">
      <w:pPr>
        <w:rPr>
          <w:vanish/>
          <w:color w:val="auto"/>
          <w:sz w:val="24"/>
          <w:highlight w:val="none"/>
        </w:rPr>
      </w:pPr>
    </w:p>
    <w:tbl>
      <w:tblPr>
        <w:tblStyle w:val="5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02707942">
        <w:tblPrEx>
          <w:tblCellMar>
            <w:top w:w="0" w:type="dxa"/>
            <w:left w:w="108" w:type="dxa"/>
            <w:bottom w:w="0" w:type="dxa"/>
            <w:right w:w="108" w:type="dxa"/>
          </w:tblCellMar>
        </w:tblPrEx>
        <w:trPr>
          <w:trHeight w:val="2359" w:hRule="atLeast"/>
        </w:trPr>
        <w:tc>
          <w:tcPr>
            <w:tcW w:w="3917" w:type="dxa"/>
            <w:vAlign w:val="center"/>
          </w:tcPr>
          <w:p w14:paraId="76E9D421">
            <w:pPr>
              <w:snapToGrid w:val="0"/>
              <w:spacing w:before="120" w:beforeLines="50" w:after="50"/>
              <w:jc w:val="center"/>
              <w:rPr>
                <w:rFonts w:hAnsi="宋体" w:cs="宋体"/>
                <w:color w:val="auto"/>
                <w:sz w:val="24"/>
                <w:highlight w:val="none"/>
              </w:rPr>
            </w:pPr>
            <w:r>
              <w:rPr>
                <w:rFonts w:hint="eastAsia" w:hAnsi="宋体"/>
                <w:color w:val="auto"/>
                <w:sz w:val="24"/>
                <w:highlight w:val="none"/>
              </w:rPr>
              <w:t>个人信息面粘贴处</w:t>
            </w:r>
          </w:p>
        </w:tc>
      </w:tr>
    </w:tbl>
    <w:p w14:paraId="2FD1FC7F">
      <w:pPr>
        <w:snapToGrid w:val="0"/>
        <w:spacing w:before="50" w:after="120" w:afterLines="50" w:line="276" w:lineRule="auto"/>
        <w:jc w:val="left"/>
        <w:rPr>
          <w:rFonts w:hint="eastAsia" w:ascii="宋体" w:hAnsi="宋体"/>
          <w:b/>
          <w:color w:val="auto"/>
          <w:sz w:val="24"/>
          <w:highlight w:val="none"/>
        </w:rPr>
      </w:pPr>
      <w:bookmarkStart w:id="395" w:name="_Toc16897"/>
    </w:p>
    <w:p w14:paraId="0E79F676">
      <w:pPr>
        <w:pStyle w:val="47"/>
        <w:adjustRightInd w:val="0"/>
        <w:snapToGrid w:val="0"/>
        <w:spacing w:beforeAutospacing="0" w:afterAutospacing="0" w:line="360" w:lineRule="auto"/>
        <w:rPr>
          <w:rFonts w:hint="eastAsia"/>
          <w:b/>
          <w:color w:val="auto"/>
          <w:highlight w:val="none"/>
        </w:rPr>
      </w:pPr>
      <w:r>
        <w:rPr>
          <w:rFonts w:hint="eastAsia"/>
          <w:b/>
          <w:color w:val="auto"/>
          <w:highlight w:val="none"/>
        </w:rPr>
        <w:br w:type="page"/>
      </w:r>
      <w:r>
        <w:rPr>
          <w:rFonts w:hint="eastAsia" w:cs="宋体"/>
          <w:color w:val="auto"/>
          <w:kern w:val="2"/>
          <w:sz w:val="28"/>
          <w:szCs w:val="28"/>
          <w:highlight w:val="none"/>
        </w:rPr>
        <w:t>附件9</w:t>
      </w:r>
    </w:p>
    <w:p w14:paraId="5893FDEC">
      <w:pPr>
        <w:pStyle w:val="47"/>
        <w:adjustRightInd w:val="0"/>
        <w:snapToGrid w:val="0"/>
        <w:spacing w:beforeAutospacing="0" w:afterAutospacing="0" w:line="360" w:lineRule="auto"/>
        <w:ind w:left="419"/>
        <w:rPr>
          <w:rFonts w:hint="eastAsia"/>
          <w:b/>
          <w:color w:val="auto"/>
          <w:highlight w:val="none"/>
        </w:rPr>
      </w:pPr>
    </w:p>
    <w:p w14:paraId="2DC71E9F">
      <w:pPr>
        <w:pStyle w:val="47"/>
        <w:adjustRightInd w:val="0"/>
        <w:snapToGrid w:val="0"/>
        <w:spacing w:beforeAutospacing="0" w:afterAutospacing="0" w:line="360" w:lineRule="auto"/>
        <w:ind w:left="419"/>
        <w:jc w:val="center"/>
        <w:rPr>
          <w:rFonts w:hint="eastAsia" w:ascii="黑体" w:hAnsi="黑体" w:eastAsia="黑体" w:cs="黑体"/>
          <w:color w:val="auto"/>
          <w:sz w:val="27"/>
          <w:szCs w:val="27"/>
          <w:highlight w:val="none"/>
        </w:rPr>
      </w:pPr>
      <w:r>
        <w:rPr>
          <w:rFonts w:hint="eastAsia" w:ascii="黑体" w:hAnsi="黑体" w:eastAsia="黑体" w:cs="黑体"/>
          <w:b/>
          <w:bCs/>
          <w:color w:val="auto"/>
          <w:sz w:val="27"/>
          <w:szCs w:val="27"/>
          <w:highlight w:val="none"/>
        </w:rPr>
        <w:t>符合参加政府采购活动应当具备的一般条件的承诺函</w:t>
      </w:r>
    </w:p>
    <w:p w14:paraId="4AD6041A">
      <w:pPr>
        <w:tabs>
          <w:tab w:val="left" w:pos="0"/>
        </w:tabs>
        <w:snapToGrid w:val="0"/>
        <w:spacing w:line="360" w:lineRule="auto"/>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（采购人）、（采购代理机构）：</w:t>
      </w:r>
    </w:p>
    <w:p w14:paraId="7B322C62">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我方参与</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rPr>
        <w:t>项目【项目编号：</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lang w:val="en-US" w:eastAsia="zh-CN"/>
        </w:rPr>
        <w:t xml:space="preserve"> </w:t>
      </w:r>
      <w:r>
        <w:rPr>
          <w:rFonts w:hint="eastAsia" w:ascii="仿宋" w:hAnsi="仿宋" w:eastAsia="仿宋" w:cs="Helvetica"/>
          <w:color w:val="auto"/>
          <w:kern w:val="0"/>
          <w:sz w:val="24"/>
          <w:highlight w:val="none"/>
        </w:rPr>
        <w:t>】政府采购活动，郑重承诺：</w:t>
      </w:r>
    </w:p>
    <w:p w14:paraId="78149440">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（一）具备《中华人民共和国政府采购法》第二十二条第一款规定的条件：</w:t>
      </w:r>
    </w:p>
    <w:p w14:paraId="6C9E72E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1.具有独立承担民事责任的能力；</w:t>
      </w:r>
    </w:p>
    <w:p w14:paraId="755361D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2.具有良好的商业信誉和健全的财务会计制度； </w:t>
      </w:r>
    </w:p>
    <w:p w14:paraId="7D5ADB4A">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3.具有履行合同所必需的设备和专业技术能力；</w:t>
      </w:r>
    </w:p>
    <w:p w14:paraId="466512D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4.有依法缴纳税收和社会保障资金的良好记录；</w:t>
      </w:r>
    </w:p>
    <w:p w14:paraId="1211DD46">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5.参加政府采购活动前三年内，在经营活动中没有重大违法记录；</w:t>
      </w:r>
    </w:p>
    <w:p w14:paraId="6F81BA7E">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6.具有法律、行政法规规定的其他条件。</w:t>
      </w:r>
    </w:p>
    <w:p w14:paraId="21E4AB8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14:paraId="4157344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（三）不存在以下情况：</w:t>
      </w:r>
    </w:p>
    <w:p w14:paraId="1C7B5FA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1.单位负责人为同一人或者存在直接控股、管理关系的不同供应商参加同一合同项下的政府采购活动的；</w:t>
      </w:r>
    </w:p>
    <w:p w14:paraId="29DFC95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2.为采购项目提供整体设计、规范编制或者项目管理、监理、检测等服务后再参加该采购项目的其他采购活动的。</w:t>
      </w:r>
    </w:p>
    <w:p w14:paraId="0A71DA89">
      <w:pPr>
        <w:tabs>
          <w:tab w:val="left" w:pos="0"/>
        </w:tabs>
        <w:snapToGrid w:val="0"/>
        <w:spacing w:line="360" w:lineRule="auto"/>
        <w:ind w:firstLine="480"/>
        <w:rPr>
          <w:rFonts w:hint="eastAsia" w:ascii="仿宋" w:hAnsi="仿宋" w:eastAsia="仿宋" w:cs="Helvetica"/>
          <w:color w:val="auto"/>
          <w:kern w:val="0"/>
          <w:sz w:val="24"/>
          <w:highlight w:val="none"/>
        </w:rPr>
      </w:pPr>
    </w:p>
    <w:p w14:paraId="61049C7B">
      <w:pPr>
        <w:tabs>
          <w:tab w:val="left" w:pos="0"/>
        </w:tabs>
        <w:snapToGrid w:val="0"/>
        <w:spacing w:line="360" w:lineRule="auto"/>
        <w:ind w:firstLine="480"/>
        <w:rPr>
          <w:rFonts w:hint="eastAsia" w:ascii="仿宋" w:hAnsi="仿宋" w:eastAsia="仿宋" w:cs="Helvetica"/>
          <w:color w:val="auto"/>
          <w:kern w:val="0"/>
          <w:sz w:val="24"/>
          <w:highlight w:val="none"/>
        </w:rPr>
      </w:pPr>
    </w:p>
    <w:p w14:paraId="6095C4E0">
      <w:pPr>
        <w:tabs>
          <w:tab w:val="left" w:pos="0"/>
        </w:tabs>
        <w:snapToGrid w:val="0"/>
        <w:spacing w:line="360" w:lineRule="auto"/>
        <w:ind w:firstLine="480"/>
        <w:rPr>
          <w:rFonts w:hint="eastAsia" w:ascii="仿宋" w:hAnsi="仿宋" w:eastAsia="仿宋" w:cs="Helvetica"/>
          <w:color w:val="auto"/>
          <w:kern w:val="0"/>
          <w:sz w:val="24"/>
          <w:highlight w:val="none"/>
        </w:rPr>
      </w:pPr>
    </w:p>
    <w:p w14:paraId="2D89999B">
      <w:pPr>
        <w:tabs>
          <w:tab w:val="left" w:pos="0"/>
        </w:tabs>
        <w:snapToGrid w:val="0"/>
        <w:spacing w:line="360" w:lineRule="auto"/>
        <w:ind w:firstLine="480"/>
        <w:rPr>
          <w:rFonts w:hint="eastAsia" w:ascii="仿宋" w:hAnsi="仿宋" w:eastAsia="仿宋" w:cs="Helvetica"/>
          <w:color w:val="auto"/>
          <w:kern w:val="0"/>
          <w:sz w:val="24"/>
          <w:highlight w:val="none"/>
        </w:rPr>
      </w:pPr>
    </w:p>
    <w:p w14:paraId="08F66DE4">
      <w:pPr>
        <w:tabs>
          <w:tab w:val="left" w:pos="0"/>
        </w:tabs>
        <w:snapToGrid w:val="0"/>
        <w:spacing w:line="360" w:lineRule="auto"/>
        <w:ind w:firstLine="5040" w:firstLineChars="21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投标人名称(电子签名）：</w:t>
      </w:r>
    </w:p>
    <w:p w14:paraId="7CD6007F">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                                       日期：  年  月   日</w:t>
      </w:r>
    </w:p>
    <w:p w14:paraId="144F1535">
      <w:pPr>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s="宋体"/>
          <w:color w:val="auto"/>
          <w:sz w:val="28"/>
          <w:szCs w:val="28"/>
          <w:highlight w:val="none"/>
        </w:rPr>
        <w:t>附件10:联合投标</w:t>
      </w:r>
      <w:r>
        <w:rPr>
          <w:rFonts w:hint="eastAsia" w:ascii="宋体" w:hAnsi="宋体" w:cs="宋体"/>
          <w:color w:val="auto"/>
          <w:sz w:val="28"/>
          <w:szCs w:val="28"/>
          <w:highlight w:val="none"/>
          <w:lang w:eastAsia="zh-CN"/>
        </w:rPr>
        <w:t>相关文件格式</w:t>
      </w:r>
      <w:r>
        <w:rPr>
          <w:rFonts w:hint="eastAsia" w:ascii="宋体" w:hAnsi="宋体" w:cs="宋体"/>
          <w:color w:val="auto"/>
          <w:sz w:val="28"/>
          <w:szCs w:val="28"/>
          <w:highlight w:val="none"/>
        </w:rPr>
        <w:t>（本表允许联合体投标时适用）</w:t>
      </w:r>
    </w:p>
    <w:p w14:paraId="0C5A56BE">
      <w:pPr>
        <w:snapToGrid w:val="0"/>
        <w:spacing w:line="460" w:lineRule="atLeast"/>
        <w:ind w:firstLine="538" w:firstLineChars="200"/>
        <w:jc w:val="center"/>
        <w:rPr>
          <w:rFonts w:ascii="宋体" w:hAnsi="宋体"/>
          <w:color w:val="auto"/>
          <w:spacing w:val="14"/>
          <w:kern w:val="24"/>
          <w:sz w:val="24"/>
          <w:highlight w:val="none"/>
        </w:rPr>
      </w:pPr>
      <w:r>
        <w:rPr>
          <w:rFonts w:ascii="宋体" w:hAnsi="宋体"/>
          <w:b/>
          <w:bCs/>
          <w:color w:val="auto"/>
          <w:spacing w:val="14"/>
          <w:kern w:val="24"/>
          <w:sz w:val="24"/>
          <w:highlight w:val="none"/>
        </w:rPr>
        <w:t>联合投标协议书</w:t>
      </w:r>
    </w:p>
    <w:p w14:paraId="5C520C7A">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甲方：</w:t>
      </w:r>
    </w:p>
    <w:p w14:paraId="47DFA8B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乙方：</w:t>
      </w:r>
    </w:p>
    <w:p w14:paraId="0E58608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（如果有的话，可按甲、乙、丙、丁…序列增加）</w:t>
      </w:r>
    </w:p>
    <w:p w14:paraId="12DAD90D">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各方经协商，就响应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组织实施的编号为</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号的招标活动联合进行投标之事宜，达成如下协议：</w:t>
      </w:r>
    </w:p>
    <w:p w14:paraId="63F7508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一、各方一致决定，以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 xml:space="preserve"> 为主办人进行投标，并按照招标文件的规定分别提交资格文件。</w:t>
      </w:r>
    </w:p>
    <w:p w14:paraId="59EBB513">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二、在本次投标过程中，主办人的</w:t>
      </w:r>
      <w:r>
        <w:rPr>
          <w:rFonts w:ascii="宋体" w:hAnsi="宋体"/>
          <w:color w:val="auto"/>
          <w:spacing w:val="14"/>
          <w:kern w:val="24"/>
          <w:sz w:val="24"/>
          <w:highlight w:val="none"/>
          <w:u w:val="single"/>
        </w:rPr>
        <w:t>法定代表人或授权代理人</w:t>
      </w:r>
      <w:r>
        <w:rPr>
          <w:rFonts w:ascii="宋体" w:hAnsi="宋体"/>
          <w:color w:val="auto"/>
          <w:spacing w:val="14"/>
          <w:kern w:val="24"/>
          <w:sz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A50D4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三、联合投标其余各方保证对主办人为响应本次招标而提供的产品和服务提供全部质量保证及售后服务支持。</w:t>
      </w:r>
    </w:p>
    <w:p w14:paraId="6034031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四、本次联合投标中，</w:t>
      </w:r>
    </w:p>
    <w:p w14:paraId="3C5031A2">
      <w:pPr>
        <w:snapToGrid w:val="0"/>
        <w:spacing w:line="460" w:lineRule="atLeast"/>
        <w:ind w:firstLine="1072" w:firstLineChars="400"/>
        <w:rPr>
          <w:rFonts w:ascii="宋体" w:hAnsi="宋体"/>
          <w:color w:val="auto"/>
          <w:spacing w:val="14"/>
          <w:sz w:val="24"/>
          <w:highlight w:val="none"/>
        </w:rPr>
      </w:pPr>
      <w:r>
        <w:rPr>
          <w:rFonts w:ascii="宋体" w:hAnsi="宋体"/>
          <w:color w:val="auto"/>
          <w:spacing w:val="14"/>
          <w:kern w:val="24"/>
          <w:sz w:val="24"/>
          <w:highlight w:val="none"/>
        </w:rPr>
        <w:t>甲方承担的工作和义务为</w:t>
      </w:r>
      <w:r>
        <w:rPr>
          <w:rFonts w:hint="eastAsia" w:ascii="宋体" w:hAnsi="宋体"/>
          <w:color w:val="auto"/>
          <w:spacing w:val="14"/>
          <w:kern w:val="24"/>
          <w:sz w:val="24"/>
          <w:highlight w:val="none"/>
        </w:rPr>
        <w:t>：</w:t>
      </w:r>
    </w:p>
    <w:p w14:paraId="33C0C3F1">
      <w:pPr>
        <w:snapToGrid w:val="0"/>
        <w:spacing w:line="460" w:lineRule="atLeast"/>
        <w:ind w:firstLine="536" w:firstLineChars="200"/>
        <w:rPr>
          <w:rFonts w:ascii="宋体" w:hAnsi="宋体"/>
          <w:color w:val="auto"/>
          <w:spacing w:val="14"/>
          <w:sz w:val="24"/>
          <w:highlight w:val="none"/>
        </w:rPr>
      </w:pPr>
      <w:r>
        <w:rPr>
          <w:rFonts w:ascii="宋体" w:hAnsi="宋体"/>
          <w:color w:val="auto"/>
          <w:spacing w:val="14"/>
          <w:kern w:val="24"/>
          <w:sz w:val="24"/>
          <w:highlight w:val="none"/>
        </w:rPr>
        <w:t xml:space="preserve">   乙方承担的工作和义务为：</w:t>
      </w:r>
    </w:p>
    <w:p w14:paraId="7F02ACAF">
      <w:pPr>
        <w:snapToGrid w:val="0"/>
        <w:spacing w:line="460" w:lineRule="atLeast"/>
        <w:ind w:firstLine="538" w:firstLineChars="200"/>
        <w:rPr>
          <w:rFonts w:ascii="宋体" w:hAnsi="宋体"/>
          <w:b/>
          <w:bCs/>
          <w:color w:val="auto"/>
          <w:spacing w:val="14"/>
          <w:sz w:val="24"/>
          <w:highlight w:val="none"/>
        </w:rPr>
      </w:pP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方为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企业（此处填中型、小型、微型），预计本次承当的合同金额为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w:t>
      </w:r>
    </w:p>
    <w:p w14:paraId="4EB34D4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五、有关本次联合投标的其他事宜：</w:t>
      </w:r>
    </w:p>
    <w:p w14:paraId="0853729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六、本协议提交招标方后，联合投标各方不得以任何形式对上述实质内容进行修改或撤销。</w:t>
      </w:r>
    </w:p>
    <w:p w14:paraId="17386DA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七、本协议</w:t>
      </w:r>
      <w:r>
        <w:rPr>
          <w:rFonts w:hint="eastAsia" w:ascii="宋体" w:hAnsi="宋体"/>
          <w:color w:val="auto"/>
          <w:spacing w:val="14"/>
          <w:kern w:val="24"/>
          <w:sz w:val="24"/>
          <w:highlight w:val="none"/>
        </w:rPr>
        <w:t>一式四份</w:t>
      </w:r>
      <w:r>
        <w:rPr>
          <w:rFonts w:ascii="宋体" w:hAnsi="宋体"/>
          <w:color w:val="auto"/>
          <w:spacing w:val="14"/>
          <w:kern w:val="24"/>
          <w:sz w:val="24"/>
          <w:highlight w:val="none"/>
        </w:rPr>
        <w:t>，签约各方各持一份，交政府采购管理部门及招标机构各一份。</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7878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7B72F15E">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甲方单位：          （公章）</w:t>
            </w:r>
          </w:p>
          <w:p w14:paraId="21C393B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4662FD35">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c>
          <w:tcPr>
            <w:tcW w:w="4260" w:type="dxa"/>
            <w:tcBorders>
              <w:top w:val="nil"/>
              <w:left w:val="nil"/>
              <w:bottom w:val="nil"/>
              <w:right w:val="nil"/>
            </w:tcBorders>
            <w:vAlign w:val="center"/>
          </w:tcPr>
          <w:p w14:paraId="006EC74B">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乙方单位：           （公章）</w:t>
            </w:r>
          </w:p>
          <w:p w14:paraId="13B5DEC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6E7C8E3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r>
    </w:tbl>
    <w:p w14:paraId="228485E8">
      <w:pPr>
        <w:pStyle w:val="13"/>
        <w:overflowPunct w:val="0"/>
        <w:spacing w:line="460" w:lineRule="exact"/>
        <w:jc w:val="left"/>
        <w:rPr>
          <w:rFonts w:hint="default" w:ascii="宋体" w:hAnsi="宋体" w:eastAsia="宋体" w:cs="宋体"/>
          <w:color w:val="auto"/>
          <w:sz w:val="28"/>
          <w:szCs w:val="28"/>
          <w:highlight w:val="none"/>
          <w:lang w:val="en-US" w:eastAsia="zh-CN"/>
        </w:rPr>
      </w:pPr>
      <w:bookmarkStart w:id="396" w:name="_Toc6151"/>
      <w:bookmarkStart w:id="397" w:name="_Toc25790"/>
      <w:bookmarkStart w:id="398" w:name="_Toc19072"/>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11:</w:t>
      </w:r>
    </w:p>
    <w:p w14:paraId="150F86EC">
      <w:pPr>
        <w:pStyle w:val="13"/>
        <w:overflowPunct w:val="0"/>
        <w:spacing w:line="460" w:lineRule="exact"/>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联合投标授权委托书</w:t>
      </w:r>
    </w:p>
    <w:p w14:paraId="0BEB6D9F">
      <w:pPr>
        <w:pStyle w:val="13"/>
        <w:overflowPunct w:val="0"/>
        <w:spacing w:line="460" w:lineRule="exact"/>
        <w:rPr>
          <w:rFonts w:ascii="仿宋" w:hAnsi="仿宋" w:eastAsia="仿宋"/>
          <w:color w:val="auto"/>
          <w:sz w:val="30"/>
          <w:szCs w:val="30"/>
          <w:highlight w:val="none"/>
        </w:rPr>
      </w:pPr>
    </w:p>
    <w:p w14:paraId="71F02C28">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14:paraId="2047A8DA">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14:paraId="226636C8">
      <w:pPr>
        <w:pStyle w:val="13"/>
        <w:overflowPunct w:val="0"/>
        <w:spacing w:line="460" w:lineRule="exact"/>
        <w:rPr>
          <w:rFonts w:ascii="仿宋" w:hAnsi="仿宋" w:eastAsia="仿宋"/>
          <w:color w:val="auto"/>
          <w:sz w:val="30"/>
          <w:szCs w:val="30"/>
          <w:highlight w:val="none"/>
        </w:rPr>
      </w:pPr>
    </w:p>
    <w:p w14:paraId="3B44B837">
      <w:pPr>
        <w:pStyle w:val="13"/>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14:paraId="2661D4DA">
      <w:pPr>
        <w:pStyle w:val="13"/>
        <w:overflowPunct w:val="0"/>
        <w:spacing w:line="460" w:lineRule="exact"/>
        <w:ind w:firstLine="600" w:firstLineChars="200"/>
        <w:rPr>
          <w:rFonts w:ascii="仿宋" w:hAnsi="仿宋" w:eastAsia="仿宋"/>
          <w:color w:val="auto"/>
          <w:sz w:val="30"/>
          <w:szCs w:val="30"/>
          <w:highlight w:val="none"/>
        </w:rPr>
      </w:pPr>
    </w:p>
    <w:p w14:paraId="5EDB4047">
      <w:pPr>
        <w:pStyle w:val="13"/>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2D0D6AE0">
      <w:pPr>
        <w:pStyle w:val="13"/>
        <w:overflowPunct w:val="0"/>
        <w:spacing w:line="460" w:lineRule="exact"/>
        <w:rPr>
          <w:rFonts w:ascii="仿宋" w:hAnsi="仿宋" w:eastAsia="仿宋"/>
          <w:color w:val="auto"/>
          <w:sz w:val="30"/>
          <w:szCs w:val="30"/>
          <w:highlight w:val="none"/>
        </w:rPr>
      </w:pPr>
    </w:p>
    <w:p w14:paraId="1184B4BF">
      <w:pPr>
        <w:pStyle w:val="13"/>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14:paraId="55F1360B">
      <w:pPr>
        <w:pStyle w:val="13"/>
        <w:overflowPunct w:val="0"/>
        <w:spacing w:line="460" w:lineRule="exact"/>
        <w:ind w:firstLine="570" w:firstLineChars="190"/>
        <w:rPr>
          <w:rFonts w:ascii="仿宋" w:hAnsi="仿宋" w:eastAsia="仿宋"/>
          <w:color w:val="auto"/>
          <w:sz w:val="30"/>
          <w:szCs w:val="30"/>
          <w:highlight w:val="none"/>
        </w:rPr>
      </w:pPr>
    </w:p>
    <w:p w14:paraId="29F60645">
      <w:pPr>
        <w:pStyle w:val="13"/>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6455EA45">
      <w:pPr>
        <w:tabs>
          <w:tab w:val="left" w:pos="606"/>
        </w:tabs>
        <w:spacing w:line="460" w:lineRule="exact"/>
        <w:rPr>
          <w:rFonts w:ascii="仿宋" w:hAnsi="仿宋" w:eastAsia="仿宋"/>
          <w:color w:val="auto"/>
          <w:spacing w:val="20"/>
          <w:sz w:val="30"/>
          <w:szCs w:val="30"/>
          <w:highlight w:val="none"/>
        </w:rPr>
      </w:pPr>
    </w:p>
    <w:p w14:paraId="7F6499B1">
      <w:pPr>
        <w:tabs>
          <w:tab w:val="left" w:pos="606"/>
        </w:tabs>
        <w:spacing w:line="460" w:lineRule="exact"/>
        <w:rPr>
          <w:rFonts w:ascii="仿宋" w:hAnsi="仿宋" w:eastAsia="仿宋"/>
          <w:color w:val="auto"/>
          <w:spacing w:val="20"/>
          <w:sz w:val="30"/>
          <w:szCs w:val="30"/>
          <w:highlight w:val="none"/>
        </w:rPr>
      </w:pPr>
    </w:p>
    <w:tbl>
      <w:tblPr>
        <w:tblStyle w:val="53"/>
        <w:tblW w:w="8530" w:type="dxa"/>
        <w:jc w:val="center"/>
        <w:tblLayout w:type="fixed"/>
        <w:tblCellMar>
          <w:top w:w="0" w:type="dxa"/>
          <w:left w:w="108" w:type="dxa"/>
          <w:bottom w:w="0" w:type="dxa"/>
          <w:right w:w="108" w:type="dxa"/>
        </w:tblCellMar>
      </w:tblPr>
      <w:tblGrid>
        <w:gridCol w:w="4265"/>
        <w:gridCol w:w="4265"/>
      </w:tblGrid>
      <w:tr w14:paraId="0CE24EFD">
        <w:tblPrEx>
          <w:tblCellMar>
            <w:top w:w="0" w:type="dxa"/>
            <w:left w:w="108" w:type="dxa"/>
            <w:bottom w:w="0" w:type="dxa"/>
            <w:right w:w="108" w:type="dxa"/>
          </w:tblCellMar>
        </w:tblPrEx>
        <w:trPr>
          <w:trHeight w:val="1635" w:hRule="atLeast"/>
          <w:jc w:val="center"/>
        </w:trPr>
        <w:tc>
          <w:tcPr>
            <w:tcW w:w="4264" w:type="dxa"/>
          </w:tcPr>
          <w:p w14:paraId="01F98CAB">
            <w:pPr>
              <w:pStyle w:val="13"/>
              <w:overflowPunct w:val="0"/>
              <w:spacing w:line="460" w:lineRule="exact"/>
              <w:ind w:firstLine="0"/>
              <w:rPr>
                <w:rFonts w:ascii="仿宋" w:hAnsi="仿宋" w:eastAsia="仿宋"/>
                <w:color w:val="auto"/>
                <w:sz w:val="30"/>
                <w:szCs w:val="30"/>
                <w:highlight w:val="none"/>
              </w:rPr>
            </w:pPr>
          </w:p>
          <w:p w14:paraId="68AECEC7">
            <w:pPr>
              <w:pStyle w:val="13"/>
              <w:overflowPunct w:val="0"/>
              <w:spacing w:line="460" w:lineRule="exact"/>
              <w:ind w:firstLine="0"/>
              <w:rPr>
                <w:rFonts w:ascii="仿宋" w:hAnsi="仿宋" w:eastAsia="仿宋"/>
                <w:color w:val="auto"/>
                <w:sz w:val="30"/>
                <w:szCs w:val="30"/>
                <w:highlight w:val="none"/>
              </w:rPr>
            </w:pPr>
          </w:p>
          <w:p w14:paraId="1E28A17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7339ABC7">
            <w:pPr>
              <w:pStyle w:val="13"/>
              <w:overflowPunct w:val="0"/>
              <w:spacing w:line="460" w:lineRule="exact"/>
              <w:ind w:firstLine="0"/>
              <w:rPr>
                <w:rFonts w:ascii="仿宋" w:hAnsi="仿宋" w:eastAsia="仿宋"/>
                <w:color w:val="auto"/>
                <w:sz w:val="30"/>
                <w:szCs w:val="30"/>
                <w:highlight w:val="none"/>
              </w:rPr>
            </w:pPr>
          </w:p>
          <w:p w14:paraId="643FCB35">
            <w:pPr>
              <w:pStyle w:val="13"/>
              <w:overflowPunct w:val="0"/>
              <w:spacing w:line="460" w:lineRule="exact"/>
              <w:ind w:firstLine="0"/>
              <w:rPr>
                <w:rFonts w:ascii="仿宋" w:hAnsi="仿宋" w:eastAsia="仿宋"/>
                <w:color w:val="auto"/>
                <w:sz w:val="30"/>
                <w:szCs w:val="30"/>
                <w:highlight w:val="none"/>
              </w:rPr>
            </w:pPr>
          </w:p>
          <w:p w14:paraId="4363F5E3">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1984B55D">
            <w:pPr>
              <w:pStyle w:val="13"/>
              <w:overflowPunct w:val="0"/>
              <w:spacing w:line="460" w:lineRule="exact"/>
              <w:ind w:firstLine="0"/>
              <w:rPr>
                <w:rFonts w:ascii="仿宋" w:hAnsi="仿宋" w:eastAsia="仿宋"/>
                <w:color w:val="auto"/>
                <w:sz w:val="30"/>
                <w:szCs w:val="30"/>
                <w:highlight w:val="none"/>
              </w:rPr>
            </w:pPr>
          </w:p>
          <w:p w14:paraId="598533E3">
            <w:pPr>
              <w:pStyle w:val="13"/>
              <w:overflowPunct w:val="0"/>
              <w:spacing w:line="460" w:lineRule="exact"/>
              <w:ind w:firstLine="0"/>
              <w:rPr>
                <w:rFonts w:ascii="仿宋" w:hAnsi="仿宋" w:eastAsia="仿宋"/>
                <w:color w:val="auto"/>
                <w:sz w:val="30"/>
                <w:szCs w:val="30"/>
                <w:highlight w:val="none"/>
              </w:rPr>
            </w:pPr>
          </w:p>
          <w:p w14:paraId="41D8C205">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14:paraId="5E14D2D5">
            <w:pPr>
              <w:pStyle w:val="13"/>
              <w:overflowPunct w:val="0"/>
              <w:spacing w:line="460" w:lineRule="exact"/>
              <w:ind w:firstLine="0"/>
              <w:rPr>
                <w:rFonts w:ascii="仿宋" w:hAnsi="仿宋" w:eastAsia="仿宋"/>
                <w:color w:val="auto"/>
                <w:sz w:val="30"/>
                <w:szCs w:val="30"/>
                <w:highlight w:val="none"/>
              </w:rPr>
            </w:pPr>
          </w:p>
          <w:p w14:paraId="56527B23">
            <w:pPr>
              <w:pStyle w:val="13"/>
              <w:overflowPunct w:val="0"/>
              <w:spacing w:line="460" w:lineRule="exact"/>
              <w:ind w:firstLine="0"/>
              <w:rPr>
                <w:rFonts w:ascii="仿宋" w:hAnsi="仿宋" w:eastAsia="仿宋"/>
                <w:color w:val="auto"/>
                <w:sz w:val="30"/>
                <w:szCs w:val="30"/>
                <w:highlight w:val="none"/>
              </w:rPr>
            </w:pPr>
          </w:p>
          <w:p w14:paraId="16C5722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5735F38A">
            <w:pPr>
              <w:pStyle w:val="13"/>
              <w:overflowPunct w:val="0"/>
              <w:spacing w:line="460" w:lineRule="exact"/>
              <w:ind w:firstLine="0"/>
              <w:rPr>
                <w:rFonts w:ascii="仿宋" w:hAnsi="仿宋" w:eastAsia="仿宋"/>
                <w:color w:val="auto"/>
                <w:sz w:val="30"/>
                <w:szCs w:val="30"/>
                <w:highlight w:val="none"/>
              </w:rPr>
            </w:pPr>
          </w:p>
          <w:p w14:paraId="6CBCD652">
            <w:pPr>
              <w:pStyle w:val="13"/>
              <w:overflowPunct w:val="0"/>
              <w:spacing w:line="460" w:lineRule="exact"/>
              <w:ind w:firstLine="0"/>
              <w:rPr>
                <w:rFonts w:ascii="仿宋" w:hAnsi="仿宋" w:eastAsia="仿宋"/>
                <w:color w:val="auto"/>
                <w:sz w:val="30"/>
                <w:szCs w:val="30"/>
                <w:highlight w:val="none"/>
              </w:rPr>
            </w:pPr>
          </w:p>
          <w:p w14:paraId="1C07C11E">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524A2FE9">
            <w:pPr>
              <w:pStyle w:val="13"/>
              <w:overflowPunct w:val="0"/>
              <w:spacing w:line="460" w:lineRule="exact"/>
              <w:ind w:firstLine="0"/>
              <w:rPr>
                <w:rFonts w:ascii="仿宋" w:hAnsi="仿宋" w:eastAsia="仿宋"/>
                <w:color w:val="auto"/>
                <w:sz w:val="30"/>
                <w:szCs w:val="30"/>
                <w:highlight w:val="none"/>
              </w:rPr>
            </w:pPr>
          </w:p>
          <w:p w14:paraId="55F61753">
            <w:pPr>
              <w:pStyle w:val="13"/>
              <w:overflowPunct w:val="0"/>
              <w:spacing w:line="460" w:lineRule="exact"/>
              <w:ind w:firstLine="0"/>
              <w:rPr>
                <w:rFonts w:ascii="仿宋" w:hAnsi="仿宋" w:eastAsia="仿宋"/>
                <w:color w:val="auto"/>
                <w:sz w:val="30"/>
                <w:szCs w:val="30"/>
                <w:highlight w:val="none"/>
              </w:rPr>
            </w:pPr>
          </w:p>
          <w:p w14:paraId="0C4C8F8C">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14:paraId="2C0F5274">
      <w:pPr>
        <w:snapToGrid w:val="0"/>
        <w:spacing w:before="50" w:after="120" w:afterLines="50" w:line="276" w:lineRule="auto"/>
        <w:jc w:val="left"/>
        <w:rPr>
          <w:rFonts w:hint="eastAsia" w:ascii="宋体" w:hAnsi="宋体"/>
          <w:b/>
          <w:color w:val="auto"/>
          <w:sz w:val="24"/>
          <w:highlight w:val="none"/>
        </w:rPr>
      </w:pPr>
    </w:p>
    <w:p w14:paraId="509E00D4">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7BAAAFDE">
      <w:pPr>
        <w:snapToGrid w:val="0"/>
        <w:spacing w:line="400" w:lineRule="exact"/>
        <w:jc w:val="left"/>
        <w:rPr>
          <w:rFonts w:ascii="宋体" w:hAnsi="宋体"/>
          <w:color w:val="auto"/>
          <w:sz w:val="24"/>
          <w:highlight w:val="none"/>
        </w:rPr>
      </w:pPr>
      <w:bookmarkStart w:id="399" w:name="_Toc7510"/>
      <w:r>
        <w:rPr>
          <w:rFonts w:hint="eastAsia" w:ascii="宋体" w:hAnsi="宋体" w:cs="宋体"/>
          <w:color w:val="auto"/>
          <w:sz w:val="28"/>
          <w:szCs w:val="28"/>
          <w:highlight w:val="none"/>
        </w:rPr>
        <w:t>附件12</w:t>
      </w:r>
      <w:bookmarkEnd w:id="399"/>
    </w:p>
    <w:p w14:paraId="7F7FDF75">
      <w:pPr>
        <w:jc w:val="center"/>
        <w:rPr>
          <w:rFonts w:hint="eastAsia" w:ascii="黑体" w:hAnsi="宋体" w:eastAsia="黑体"/>
          <w:b/>
          <w:bCs/>
          <w:color w:val="auto"/>
          <w:kern w:val="0"/>
          <w:sz w:val="32"/>
          <w:szCs w:val="32"/>
          <w:highlight w:val="none"/>
          <w:lang w:val="zh-CN"/>
        </w:rPr>
      </w:pPr>
      <w:bookmarkStart w:id="400" w:name="_Toc2674"/>
      <w:bookmarkStart w:id="401" w:name="_Toc1258"/>
      <w:bookmarkStart w:id="402" w:name="_Toc9710"/>
      <w:bookmarkStart w:id="403" w:name="_Toc16470"/>
      <w:r>
        <w:rPr>
          <w:rFonts w:hint="eastAsia" w:ascii="黑体" w:hAnsi="宋体" w:eastAsia="黑体"/>
          <w:b/>
          <w:bCs/>
          <w:color w:val="auto"/>
          <w:kern w:val="0"/>
          <w:sz w:val="32"/>
          <w:szCs w:val="32"/>
          <w:highlight w:val="none"/>
          <w:lang w:val="zh-CN"/>
        </w:rPr>
        <w:t>残疾人福利性单位声明函</w:t>
      </w:r>
      <w:bookmarkEnd w:id="400"/>
      <w:bookmarkEnd w:id="401"/>
      <w:bookmarkEnd w:id="402"/>
      <w:bookmarkEnd w:id="403"/>
    </w:p>
    <w:p w14:paraId="167617B2">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FDE62A3">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B90B814">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单位名称（盖章）：</w:t>
      </w:r>
    </w:p>
    <w:p w14:paraId="4118162D">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60F65FB7">
      <w:pPr>
        <w:spacing w:line="400" w:lineRule="exact"/>
        <w:rPr>
          <w:rFonts w:hint="eastAsia" w:ascii="宋体" w:hAnsi="宋体" w:cs="宋体"/>
          <w:b/>
          <w:bCs/>
          <w:color w:val="auto"/>
          <w:szCs w:val="21"/>
          <w:highlight w:val="none"/>
        </w:rPr>
      </w:pPr>
      <w:bookmarkStart w:id="404" w:name="_Toc22028"/>
      <w:bookmarkStart w:id="405" w:name="_Toc15107"/>
      <w:bookmarkStart w:id="406" w:name="_Toc27597"/>
      <w:bookmarkStart w:id="407" w:name="_Toc12139"/>
      <w:r>
        <w:rPr>
          <w:rFonts w:hint="eastAsia" w:ascii="宋体" w:hAnsi="宋体" w:cs="宋体"/>
          <w:b/>
          <w:bCs/>
          <w:color w:val="auto"/>
          <w:szCs w:val="21"/>
          <w:highlight w:val="none"/>
        </w:rPr>
        <w:t>说明：1.声明函应按上述内容及格式填写，不得修改。</w:t>
      </w:r>
      <w:bookmarkEnd w:id="404"/>
      <w:bookmarkEnd w:id="405"/>
      <w:bookmarkEnd w:id="406"/>
      <w:bookmarkEnd w:id="407"/>
    </w:p>
    <w:p w14:paraId="62D6716E">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w:t>
      </w:r>
      <w:r>
        <w:rPr>
          <w:rFonts w:hint="eastAsia" w:ascii="宋体" w:hAnsi="宋体" w:cs="宋体"/>
          <w:bCs/>
          <w:color w:val="auto"/>
          <w:szCs w:val="21"/>
          <w:highlight w:val="none"/>
        </w:rPr>
        <w:t>残疾人福利性单位参与政府采购活动的，提供《残疾人福利性单位声明函》相关材料的，视为小微企业，报价分计算时对投标报价给予相应的扣除。</w:t>
      </w:r>
      <w:r>
        <w:rPr>
          <w:rFonts w:hint="eastAsia" w:ascii="宋体" w:hAnsi="宋体" w:cs="宋体"/>
          <w:b/>
          <w:color w:val="auto"/>
          <w:szCs w:val="21"/>
          <w:highlight w:val="none"/>
          <w:u w:val="single"/>
        </w:rPr>
        <w:t>如中标，《残疾人福利性单位声明函》将随中标结果公告一同公告</w:t>
      </w:r>
      <w:r>
        <w:rPr>
          <w:rFonts w:hint="eastAsia" w:ascii="宋体" w:hAnsi="宋体" w:cs="宋体"/>
          <w:b/>
          <w:color w:val="auto"/>
          <w:szCs w:val="21"/>
          <w:highlight w:val="none"/>
        </w:rPr>
        <w:t>。</w:t>
      </w:r>
    </w:p>
    <w:p w14:paraId="7AF32CD2">
      <w:pPr>
        <w:spacing w:line="400" w:lineRule="exact"/>
        <w:rPr>
          <w:rFonts w:hint="eastAsia" w:ascii="宋体" w:hAnsi="宋体" w:cs="宋体"/>
          <w:b/>
          <w:bCs/>
          <w:color w:val="auto"/>
          <w:szCs w:val="21"/>
          <w:highlight w:val="none"/>
        </w:rPr>
      </w:pPr>
      <w:r>
        <w:rPr>
          <w:rFonts w:hint="eastAsia" w:ascii="宋体" w:hAnsi="宋体" w:cs="宋体"/>
          <w:b/>
          <w:color w:val="auto"/>
          <w:szCs w:val="21"/>
          <w:highlight w:val="none"/>
        </w:rPr>
        <w:t xml:space="preserve">      3.享</w:t>
      </w:r>
      <w:r>
        <w:rPr>
          <w:rFonts w:hint="eastAsia" w:ascii="宋体" w:hAnsi="宋体" w:cs="宋体"/>
          <w:b/>
          <w:bCs/>
          <w:color w:val="auto"/>
          <w:szCs w:val="21"/>
          <w:highlight w:val="none"/>
        </w:rPr>
        <w:t>受政府采购支持政策的残疾人福利性单位应当同时满足以下条件：</w:t>
      </w:r>
    </w:p>
    <w:p w14:paraId="4D7616F4">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（一）安置的残疾人占本单位在职职工人数的比例不低于25%（含25%），并且安置的残疾人人数不少于10人（含10人）；</w:t>
      </w:r>
    </w:p>
    <w:p w14:paraId="24E93675">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（二）依法与安置的每位残疾人签订了一年以上（含一年）的劳动合同或服务协议；</w:t>
      </w:r>
    </w:p>
    <w:p w14:paraId="27113B31">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（三）为安置的每位残疾人按月足额缴纳了基本养老保险、基本医疗保险、失业保险、工伤保险和生育保险等社会保险费；</w:t>
      </w:r>
    </w:p>
    <w:p w14:paraId="54DF50A9">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（四）通过银行等金融机构向安置的每位残疾人，按月支付了不低于单位所在区县适用的经省级人民政府批准的月最低工资标准的工资；</w:t>
      </w:r>
    </w:p>
    <w:p w14:paraId="4DC5BDE7">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75E68DB">
      <w:pPr>
        <w:widowControl/>
        <w:adjustRightIn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D084F4">
      <w:pPr>
        <w:snapToGrid w:val="0"/>
        <w:spacing w:line="400" w:lineRule="exact"/>
        <w:jc w:val="left"/>
        <w:rPr>
          <w:rFonts w:ascii="宋体" w:hAnsi="宋体"/>
          <w:color w:val="auto"/>
          <w:sz w:val="24"/>
          <w:highlight w:val="none"/>
        </w:rPr>
      </w:pPr>
    </w:p>
    <w:p w14:paraId="0AE35C7A">
      <w:pPr>
        <w:snapToGrid w:val="0"/>
        <w:spacing w:line="400" w:lineRule="exact"/>
        <w:jc w:val="left"/>
        <w:rPr>
          <w:rFonts w:ascii="宋体" w:hAnsi="宋体"/>
          <w:color w:val="auto"/>
          <w:sz w:val="24"/>
          <w:highlight w:val="none"/>
        </w:rPr>
      </w:pPr>
      <w:r>
        <w:rPr>
          <w:rFonts w:ascii="宋体" w:hAnsi="宋体"/>
          <w:color w:val="auto"/>
          <w:szCs w:val="21"/>
          <w:highlight w:val="none"/>
        </w:rPr>
        <w:br w:type="page"/>
      </w:r>
      <w:bookmarkStart w:id="408" w:name="_Toc25467"/>
      <w:r>
        <w:rPr>
          <w:rFonts w:hint="eastAsia" w:ascii="宋体" w:hAnsi="宋体" w:cs="宋体"/>
          <w:color w:val="auto"/>
          <w:sz w:val="28"/>
          <w:szCs w:val="28"/>
          <w:highlight w:val="none"/>
        </w:rPr>
        <w:t>附件13</w:t>
      </w:r>
      <w:bookmarkEnd w:id="408"/>
    </w:p>
    <w:p w14:paraId="6A40530F">
      <w:pPr>
        <w:snapToGrid w:val="0"/>
        <w:spacing w:line="600" w:lineRule="exact"/>
        <w:jc w:val="left"/>
        <w:rPr>
          <w:rFonts w:ascii="宋体" w:hAnsi="宋体"/>
          <w:color w:val="auto"/>
          <w:sz w:val="24"/>
          <w:highlight w:val="none"/>
        </w:rPr>
      </w:pPr>
      <w:r>
        <w:rPr>
          <w:rFonts w:hint="eastAsia" w:ascii="宋体" w:hAnsi="宋体"/>
          <w:color w:val="auto"/>
          <w:sz w:val="24"/>
          <w:highlight w:val="none"/>
        </w:rPr>
        <w:t>省级以上监狱管理局、戒毒管理局（含新疆生产建设兵团）出具的属于监狱企业的有效文件。</w:t>
      </w:r>
    </w:p>
    <w:bookmarkEnd w:id="395"/>
    <w:bookmarkEnd w:id="396"/>
    <w:bookmarkEnd w:id="397"/>
    <w:bookmarkEnd w:id="398"/>
    <w:p w14:paraId="294098B4">
      <w:pPr>
        <w:snapToGrid w:val="0"/>
        <w:spacing w:before="50" w:after="120" w:afterLines="50" w:line="276" w:lineRule="auto"/>
        <w:jc w:val="left"/>
        <w:rPr>
          <w:rFonts w:ascii="宋体" w:hAnsi="宋体"/>
          <w:b/>
          <w:color w:val="auto"/>
          <w:sz w:val="24"/>
          <w:highlight w:val="none"/>
        </w:rPr>
      </w:pPr>
      <w:r>
        <w:rPr>
          <w:rFonts w:hint="eastAsia" w:ascii="宋体" w:hAnsi="宋体"/>
          <w:b/>
          <w:color w:val="auto"/>
          <w:sz w:val="24"/>
          <w:highlight w:val="none"/>
        </w:rPr>
        <w:br w:type="page"/>
      </w:r>
      <w:bookmarkStart w:id="409" w:name="_Toc10093"/>
      <w:r>
        <w:rPr>
          <w:rFonts w:hint="eastAsia" w:ascii="宋体" w:hAnsi="宋体" w:cs="宋体"/>
          <w:color w:val="auto"/>
          <w:sz w:val="28"/>
          <w:szCs w:val="28"/>
          <w:highlight w:val="none"/>
        </w:rPr>
        <w:t>附件14:评分响应表格式</w:t>
      </w:r>
      <w:bookmarkEnd w:id="409"/>
    </w:p>
    <w:p w14:paraId="006C102F">
      <w:pPr>
        <w:snapToGrid w:val="0"/>
        <w:spacing w:before="120" w:beforeLines="50" w:after="50" w:line="276" w:lineRule="auto"/>
        <w:rPr>
          <w:rFonts w:ascii="宋体" w:hAnsi="宋体"/>
          <w:b/>
          <w:color w:val="auto"/>
          <w:sz w:val="24"/>
          <w:highlight w:val="none"/>
        </w:rPr>
      </w:pPr>
    </w:p>
    <w:p w14:paraId="28F66501">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评分响应表</w:t>
      </w:r>
    </w:p>
    <w:p w14:paraId="3E596B7C">
      <w:pPr>
        <w:snapToGrid w:val="0"/>
        <w:spacing w:before="50" w:after="50" w:line="276" w:lineRule="auto"/>
        <w:rPr>
          <w:rFonts w:ascii="宋体" w:hAnsi="宋体"/>
          <w:b/>
          <w:color w:val="auto"/>
          <w:sz w:val="24"/>
          <w:highlight w:val="none"/>
        </w:rPr>
      </w:pPr>
    </w:p>
    <w:p w14:paraId="24AAB1BF">
      <w:pPr>
        <w:snapToGrid w:val="0"/>
        <w:spacing w:before="50" w:after="50" w:line="276"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33F7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1F4ED8">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3328934E">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71A879D9">
            <w:pPr>
              <w:pStyle w:val="43"/>
              <w:spacing w:line="276" w:lineRule="auto"/>
              <w:ind w:firstLine="442"/>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6DE88825">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26098073">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页码</w:t>
            </w:r>
          </w:p>
        </w:tc>
      </w:tr>
      <w:tr w14:paraId="14E6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E58FC67">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14:paraId="56143253">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7B1FEDFF">
            <w:pPr>
              <w:spacing w:line="276" w:lineRule="auto"/>
              <w:rPr>
                <w:rFonts w:ascii="宋体" w:hAnsi="宋体"/>
                <w:color w:val="auto"/>
                <w:sz w:val="22"/>
                <w:szCs w:val="22"/>
                <w:highlight w:val="none"/>
              </w:rPr>
            </w:pPr>
          </w:p>
        </w:tc>
        <w:tc>
          <w:tcPr>
            <w:tcW w:w="1218" w:type="dxa"/>
            <w:tcBorders>
              <w:top w:val="single" w:color="auto" w:sz="4" w:space="0"/>
              <w:left w:val="single" w:color="auto" w:sz="4" w:space="0"/>
              <w:right w:val="single" w:color="auto" w:sz="4" w:space="0"/>
            </w:tcBorders>
            <w:vAlign w:val="center"/>
          </w:tcPr>
          <w:p w14:paraId="3AE6B585">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689429D2">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详见第几页</w:t>
            </w:r>
          </w:p>
        </w:tc>
      </w:tr>
      <w:tr w14:paraId="2B16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5409FE8">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2</w:t>
            </w:r>
          </w:p>
        </w:tc>
        <w:tc>
          <w:tcPr>
            <w:tcW w:w="1390" w:type="dxa"/>
            <w:tcBorders>
              <w:top w:val="single" w:color="auto" w:sz="4" w:space="0"/>
              <w:left w:val="single" w:color="auto" w:sz="4" w:space="0"/>
              <w:bottom w:val="single" w:color="auto" w:sz="4" w:space="0"/>
              <w:right w:val="single" w:color="auto" w:sz="4" w:space="0"/>
            </w:tcBorders>
            <w:vAlign w:val="center"/>
          </w:tcPr>
          <w:p w14:paraId="26B3AFAD">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1FA3C574">
            <w:pPr>
              <w:widowControl/>
              <w:spacing w:line="276" w:lineRule="auto"/>
              <w:rPr>
                <w:rFonts w:ascii="宋体" w:hAnsi="宋体" w:cs="宋体"/>
                <w:color w:val="auto"/>
                <w:kern w:val="0"/>
                <w:sz w:val="22"/>
                <w:szCs w:val="22"/>
                <w:highlight w:val="none"/>
              </w:rPr>
            </w:pPr>
          </w:p>
        </w:tc>
        <w:tc>
          <w:tcPr>
            <w:tcW w:w="1218" w:type="dxa"/>
            <w:tcBorders>
              <w:top w:val="single" w:color="auto" w:sz="4" w:space="0"/>
              <w:left w:val="single" w:color="auto" w:sz="4" w:space="0"/>
              <w:right w:val="single" w:color="auto" w:sz="4" w:space="0"/>
            </w:tcBorders>
            <w:vAlign w:val="center"/>
          </w:tcPr>
          <w:p w14:paraId="5FD82C39">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166BB051">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w:t>
            </w:r>
          </w:p>
        </w:tc>
      </w:tr>
      <w:tr w14:paraId="15905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831012D">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2545ED9C">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07D1AF5B">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38F88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8CDC41A">
            <w:pPr>
              <w:spacing w:line="276" w:lineRule="auto"/>
              <w:jc w:val="center"/>
              <w:rPr>
                <w:rFonts w:ascii="宋体" w:hAnsi="宋体"/>
                <w:bCs/>
                <w:color w:val="auto"/>
                <w:sz w:val="22"/>
                <w:szCs w:val="22"/>
                <w:highlight w:val="none"/>
              </w:rPr>
            </w:pPr>
          </w:p>
        </w:tc>
      </w:tr>
      <w:tr w14:paraId="203F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7B4B255">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4DE261A4">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15F34E4A">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40B1A9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7F2D776">
            <w:pPr>
              <w:spacing w:line="276" w:lineRule="auto"/>
              <w:jc w:val="center"/>
              <w:rPr>
                <w:rFonts w:ascii="宋体" w:hAnsi="宋体"/>
                <w:bCs/>
                <w:color w:val="auto"/>
                <w:sz w:val="22"/>
                <w:szCs w:val="22"/>
                <w:highlight w:val="none"/>
              </w:rPr>
            </w:pPr>
          </w:p>
        </w:tc>
      </w:tr>
      <w:tr w14:paraId="0329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77A60366">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w:t>
            </w:r>
          </w:p>
        </w:tc>
        <w:tc>
          <w:tcPr>
            <w:tcW w:w="1390" w:type="dxa"/>
            <w:tcBorders>
              <w:left w:val="single" w:color="auto" w:sz="4" w:space="0"/>
              <w:bottom w:val="single" w:color="auto" w:sz="4" w:space="0"/>
              <w:right w:val="single" w:color="auto" w:sz="4" w:space="0"/>
            </w:tcBorders>
            <w:vAlign w:val="center"/>
          </w:tcPr>
          <w:p w14:paraId="37D2EE7F">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7F743250">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69775F4">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54EE9F80">
            <w:pPr>
              <w:spacing w:line="276" w:lineRule="auto"/>
              <w:jc w:val="center"/>
              <w:rPr>
                <w:rFonts w:ascii="宋体" w:hAnsi="宋体"/>
                <w:bCs/>
                <w:color w:val="auto"/>
                <w:sz w:val="22"/>
                <w:szCs w:val="22"/>
                <w:highlight w:val="none"/>
              </w:rPr>
            </w:pPr>
          </w:p>
        </w:tc>
      </w:tr>
    </w:tbl>
    <w:p w14:paraId="7FC7C1CE">
      <w:pPr>
        <w:snapToGrid w:val="0"/>
        <w:spacing w:before="50" w:after="50" w:line="400" w:lineRule="exact"/>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注：1.投标单位根据所投标项的评分表内容，按此格式提供评分响应表，每本技术商务文件一份，置于技术商务文件第1页。</w:t>
      </w:r>
    </w:p>
    <w:p w14:paraId="643DAA4D">
      <w:pPr>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2.投标人在标注页码时，应如实准确地标注“详见哪一页”，因投标人页码标注错误，导致专家误评、漏评的风险由投标人承担。</w:t>
      </w:r>
    </w:p>
    <w:p w14:paraId="3B387C34">
      <w:pPr>
        <w:snapToGrid w:val="0"/>
        <w:spacing w:before="50" w:after="120" w:afterLines="50" w:line="276" w:lineRule="auto"/>
        <w:jc w:val="left"/>
        <w:rPr>
          <w:rFonts w:ascii="宋体" w:hAnsi="宋体"/>
          <w:b/>
          <w:color w:val="auto"/>
          <w:sz w:val="24"/>
          <w:szCs w:val="20"/>
          <w:highlight w:val="none"/>
        </w:rPr>
      </w:pPr>
      <w:r>
        <w:rPr>
          <w:rFonts w:hint="eastAsia" w:ascii="宋体" w:hAnsi="宋体"/>
          <w:b/>
          <w:color w:val="auto"/>
          <w:sz w:val="24"/>
          <w:highlight w:val="none"/>
        </w:rPr>
        <w:br w:type="page"/>
      </w:r>
      <w:bookmarkStart w:id="410" w:name="_Toc11621"/>
      <w:r>
        <w:rPr>
          <w:rFonts w:hint="eastAsia" w:ascii="宋体" w:hAnsi="宋体" w:cs="宋体"/>
          <w:color w:val="auto"/>
          <w:sz w:val="28"/>
          <w:szCs w:val="28"/>
          <w:highlight w:val="none"/>
        </w:rPr>
        <w:t>附件15:投标声明书格式</w:t>
      </w:r>
      <w:bookmarkEnd w:id="410"/>
    </w:p>
    <w:p w14:paraId="0C03F916">
      <w:pPr>
        <w:snapToGrid w:val="0"/>
        <w:spacing w:before="120" w:beforeLines="50" w:after="50" w:line="400" w:lineRule="exact"/>
        <w:jc w:val="center"/>
        <w:rPr>
          <w:rFonts w:hint="eastAsia" w:ascii="宋体" w:hAnsi="宋体" w:cs="宋体"/>
          <w:color w:val="auto"/>
          <w:sz w:val="24"/>
          <w:highlight w:val="none"/>
        </w:rPr>
      </w:pPr>
      <w:r>
        <w:rPr>
          <w:rFonts w:hint="eastAsia" w:ascii="宋体" w:hAnsi="宋体"/>
          <w:b/>
          <w:color w:val="auto"/>
          <w:sz w:val="24"/>
          <w:highlight w:val="none"/>
        </w:rPr>
        <w:t>投标声明书</w:t>
      </w:r>
    </w:p>
    <w:p w14:paraId="1937283B">
      <w:pPr>
        <w:snapToGrid w:val="0"/>
        <w:spacing w:before="120" w:beforeLines="50" w:after="50" w:line="400" w:lineRule="exact"/>
        <w:rPr>
          <w:rFonts w:hint="eastAsia" w:ascii="宋体" w:hAnsi="宋体" w:cs="宋体"/>
          <w:color w:val="auto"/>
          <w:sz w:val="24"/>
          <w:highlight w:val="none"/>
        </w:rPr>
      </w:pPr>
    </w:p>
    <w:p w14:paraId="64BCB41D">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致（采购人）：</w:t>
      </w:r>
    </w:p>
    <w:p w14:paraId="14A1FD6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065BA">
      <w:pPr>
        <w:snapToGri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14:paraId="05FA7C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31819A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F05C04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；该型号产品我方有现货可供，并已于</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月生产完工或向</w:t>
      </w:r>
      <w:r>
        <w:rPr>
          <w:rFonts w:hint="eastAsia" w:ascii="宋体" w:hAnsi="宋体" w:cs="宋体"/>
          <w:color w:val="auto"/>
          <w:sz w:val="24"/>
          <w:highlight w:val="none"/>
          <w:u w:val="single"/>
        </w:rPr>
        <w:t>　　/</w:t>
      </w:r>
      <w:r>
        <w:rPr>
          <w:rFonts w:hint="eastAsia" w:ascii="宋体" w:hAnsi="宋体" w:cs="宋体"/>
          <w:color w:val="auto"/>
          <w:sz w:val="24"/>
          <w:highlight w:val="none"/>
        </w:rPr>
        <w:t>（原厂商名称）购进［</w:t>
      </w:r>
      <w:r>
        <w:rPr>
          <w:rFonts w:hint="eastAsia" w:ascii="宋体" w:hAnsi="宋体" w:cs="宋体"/>
          <w:bCs/>
          <w:color w:val="auto"/>
          <w:sz w:val="24"/>
          <w:highlight w:val="none"/>
        </w:rPr>
        <w:t>或</w:t>
      </w:r>
      <w:r>
        <w:rPr>
          <w:rFonts w:hint="eastAsia" w:ascii="宋体" w:hAnsi="宋体" w:cs="宋体"/>
          <w:color w:val="auto"/>
          <w:sz w:val="24"/>
          <w:highlight w:val="none"/>
        </w:rPr>
        <w:t>需在中标后向</w:t>
      </w:r>
      <w:r>
        <w:rPr>
          <w:rFonts w:hint="eastAsia" w:ascii="宋体" w:hAnsi="宋体" w:cs="宋体"/>
          <w:color w:val="auto"/>
          <w:sz w:val="24"/>
          <w:highlight w:val="none"/>
          <w:u w:val="single"/>
        </w:rPr>
        <w:t>/</w:t>
      </w:r>
      <w:r>
        <w:rPr>
          <w:rFonts w:hint="eastAsia" w:ascii="宋体" w:hAnsi="宋体" w:cs="宋体"/>
          <w:color w:val="auto"/>
          <w:sz w:val="24"/>
          <w:highlight w:val="none"/>
        </w:rPr>
        <w:t>订购］。</w:t>
      </w:r>
    </w:p>
    <w:p w14:paraId="09AF77F0">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4.我方及由本人担任法定代表人的其他机构最近三年内被通报或者被处罚的违法行为有：（若有，请如实填写；若无，请做出“参加政府采购活动前三年内，在经营活动中没有重大违法记录”的承诺）</w:t>
      </w:r>
    </w:p>
    <w:p w14:paraId="6B3C8BDA">
      <w:pPr>
        <w:snapToGrid w:val="0"/>
        <w:spacing w:line="4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14:paraId="087CC9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989D4C2">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F8492E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6B724D5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92536C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5E9D6E5F">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0AE0DBB2">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7283F79">
      <w:pPr>
        <w:tabs>
          <w:tab w:val="left" w:pos="1418"/>
        </w:tabs>
        <w:snapToGrid w:val="0"/>
        <w:spacing w:line="400" w:lineRule="exact"/>
        <w:jc w:val="left"/>
        <w:rPr>
          <w:rFonts w:ascii="宋体" w:hAnsi="宋体"/>
          <w:b/>
          <w:color w:val="auto"/>
          <w:spacing w:val="20"/>
          <w:sz w:val="24"/>
          <w:highlight w:val="none"/>
        </w:rPr>
      </w:pPr>
    </w:p>
    <w:p w14:paraId="70FAA1EB">
      <w:pPr>
        <w:rPr>
          <w:rFonts w:hint="eastAsia" w:ascii="宋体" w:hAnsi="宋体"/>
          <w:b/>
          <w:color w:val="auto"/>
          <w:sz w:val="24"/>
          <w:highlight w:val="none"/>
        </w:rPr>
      </w:pPr>
    </w:p>
    <w:p w14:paraId="5F4542B4">
      <w:pPr>
        <w:tabs>
          <w:tab w:val="left" w:pos="1418"/>
        </w:tabs>
        <w:snapToGrid w:val="0"/>
        <w:spacing w:line="400" w:lineRule="exact"/>
        <w:jc w:val="left"/>
        <w:rPr>
          <w:rFonts w:ascii="宋体" w:hAnsi="宋体"/>
          <w:b/>
          <w:color w:val="auto"/>
          <w:spacing w:val="20"/>
          <w:sz w:val="24"/>
          <w:highlight w:val="none"/>
        </w:rPr>
      </w:pPr>
    </w:p>
    <w:p w14:paraId="0AA7A0AA">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2B8A255C">
      <w:pPr>
        <w:rPr>
          <w:rFonts w:hint="eastAsia" w:ascii="宋体" w:hAnsi="宋体" w:cs="宋体"/>
          <w:color w:val="auto"/>
          <w:sz w:val="28"/>
          <w:szCs w:val="28"/>
          <w:highlight w:val="none"/>
        </w:rPr>
      </w:pPr>
      <w:r>
        <w:rPr>
          <w:rFonts w:hint="eastAsia" w:ascii="宋体" w:hAnsi="宋体" w:cs="宋体"/>
          <w:color w:val="auto"/>
          <w:sz w:val="28"/>
          <w:szCs w:val="28"/>
          <w:highlight w:val="none"/>
        </w:rPr>
        <w:t>附件16:产品技术指标响应情况</w:t>
      </w:r>
    </w:p>
    <w:p w14:paraId="280B8F16">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技术指标偏离表</w:t>
      </w:r>
    </w:p>
    <w:p w14:paraId="0659900B">
      <w:pPr>
        <w:spacing w:line="500" w:lineRule="exact"/>
        <w:jc w:val="center"/>
        <w:rPr>
          <w:rFonts w:hint="eastAsia" w:ascii="宋体" w:hAnsi="宋体" w:cs="宋体"/>
          <w:b/>
          <w:bCs/>
          <w:color w:val="auto"/>
          <w:sz w:val="28"/>
          <w:szCs w:val="28"/>
          <w:highlight w:val="none"/>
        </w:rPr>
      </w:pPr>
    </w:p>
    <w:p w14:paraId="6D359147">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14:paraId="5FAA0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14:paraId="432E34BD">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151" w:type="dxa"/>
            <w:tcBorders>
              <w:right w:val="single" w:color="auto" w:sz="4" w:space="0"/>
            </w:tcBorders>
            <w:vAlign w:val="center"/>
          </w:tcPr>
          <w:p w14:paraId="6640D2CC">
            <w:pPr>
              <w:snapToGrid w:val="0"/>
              <w:jc w:val="center"/>
              <w:rPr>
                <w:rFonts w:hint="eastAsia" w:ascii="宋体" w:hAnsi="宋体" w:cs="宋体"/>
                <w:color w:val="auto"/>
                <w:highlight w:val="none"/>
              </w:rPr>
            </w:pPr>
            <w:r>
              <w:rPr>
                <w:rFonts w:hint="eastAsia" w:ascii="宋体" w:hAnsi="宋体" w:cs="宋体"/>
                <w:color w:val="auto"/>
                <w:highlight w:val="none"/>
              </w:rPr>
              <w:t>设备名称</w:t>
            </w:r>
          </w:p>
        </w:tc>
        <w:tc>
          <w:tcPr>
            <w:tcW w:w="2531" w:type="dxa"/>
            <w:tcBorders>
              <w:left w:val="single" w:color="auto" w:sz="4" w:space="0"/>
            </w:tcBorders>
            <w:vAlign w:val="center"/>
          </w:tcPr>
          <w:p w14:paraId="0A262143">
            <w:pPr>
              <w:snapToGrid w:val="0"/>
              <w:jc w:val="center"/>
              <w:rPr>
                <w:rFonts w:hint="eastAsia" w:ascii="宋体" w:hAnsi="宋体" w:cs="宋体"/>
                <w:color w:val="auto"/>
                <w:highlight w:val="none"/>
              </w:rPr>
            </w:pPr>
            <w:r>
              <w:rPr>
                <w:rFonts w:hint="eastAsia" w:ascii="宋体" w:hAnsi="宋体" w:cs="宋体"/>
                <w:color w:val="auto"/>
                <w:highlight w:val="none"/>
              </w:rPr>
              <w:t>采购需求技术规格要求</w:t>
            </w:r>
          </w:p>
        </w:tc>
        <w:tc>
          <w:tcPr>
            <w:tcW w:w="2811" w:type="dxa"/>
            <w:vAlign w:val="center"/>
          </w:tcPr>
          <w:p w14:paraId="17C87340">
            <w:pPr>
              <w:snapToGrid w:val="0"/>
              <w:jc w:val="center"/>
              <w:rPr>
                <w:rFonts w:hint="eastAsia" w:ascii="宋体" w:hAnsi="宋体" w:cs="宋体"/>
                <w:color w:val="auto"/>
                <w:highlight w:val="none"/>
              </w:rPr>
            </w:pPr>
            <w:r>
              <w:rPr>
                <w:rFonts w:hint="eastAsia" w:ascii="宋体" w:hAnsi="宋体" w:cs="宋体"/>
                <w:color w:val="auto"/>
                <w:highlight w:val="none"/>
              </w:rPr>
              <w:t>响应文件响应内容</w:t>
            </w:r>
          </w:p>
        </w:tc>
        <w:tc>
          <w:tcPr>
            <w:tcW w:w="1964" w:type="dxa"/>
            <w:vAlign w:val="center"/>
          </w:tcPr>
          <w:p w14:paraId="7C96EBD9">
            <w:pPr>
              <w:snapToGrid w:val="0"/>
              <w:jc w:val="center"/>
              <w:rPr>
                <w:rFonts w:hint="eastAsia" w:ascii="宋体" w:hAnsi="宋体" w:cs="宋体"/>
                <w:color w:val="auto"/>
                <w:highlight w:val="none"/>
              </w:rPr>
            </w:pPr>
            <w:r>
              <w:rPr>
                <w:rFonts w:hint="eastAsia" w:ascii="宋体" w:hAnsi="宋体" w:cs="宋体"/>
                <w:color w:val="auto"/>
                <w:highlight w:val="none"/>
              </w:rPr>
              <w:t>偏离情况</w:t>
            </w:r>
          </w:p>
        </w:tc>
      </w:tr>
      <w:tr w14:paraId="6F675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F98F534">
            <w:pPr>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151" w:type="dxa"/>
            <w:tcBorders>
              <w:right w:val="single" w:color="auto" w:sz="4" w:space="0"/>
            </w:tcBorders>
            <w:vAlign w:val="center"/>
          </w:tcPr>
          <w:p w14:paraId="21B67BFA">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3AD1898">
            <w:pPr>
              <w:snapToGrid w:val="0"/>
              <w:jc w:val="center"/>
              <w:rPr>
                <w:rFonts w:hint="eastAsia" w:ascii="宋体" w:hAnsi="宋体" w:cs="宋体"/>
                <w:color w:val="auto"/>
                <w:highlight w:val="none"/>
              </w:rPr>
            </w:pPr>
          </w:p>
        </w:tc>
        <w:tc>
          <w:tcPr>
            <w:tcW w:w="2811" w:type="dxa"/>
            <w:vAlign w:val="center"/>
          </w:tcPr>
          <w:p w14:paraId="4737482E">
            <w:pPr>
              <w:snapToGrid w:val="0"/>
              <w:jc w:val="center"/>
              <w:rPr>
                <w:rFonts w:hint="eastAsia" w:ascii="宋体" w:hAnsi="宋体" w:cs="宋体"/>
                <w:color w:val="auto"/>
                <w:highlight w:val="none"/>
              </w:rPr>
            </w:pPr>
          </w:p>
        </w:tc>
        <w:tc>
          <w:tcPr>
            <w:tcW w:w="1964" w:type="dxa"/>
            <w:vAlign w:val="center"/>
          </w:tcPr>
          <w:p w14:paraId="0C03DB29">
            <w:pPr>
              <w:snapToGrid w:val="0"/>
              <w:jc w:val="center"/>
              <w:rPr>
                <w:rFonts w:hint="eastAsia" w:ascii="宋体" w:hAnsi="宋体" w:cs="宋体"/>
                <w:color w:val="auto"/>
                <w:highlight w:val="none"/>
              </w:rPr>
            </w:pPr>
          </w:p>
        </w:tc>
      </w:tr>
      <w:tr w14:paraId="77BD6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66BBB3C">
            <w:pPr>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151" w:type="dxa"/>
            <w:tcBorders>
              <w:right w:val="single" w:color="auto" w:sz="4" w:space="0"/>
            </w:tcBorders>
            <w:vAlign w:val="center"/>
          </w:tcPr>
          <w:p w14:paraId="7C560443">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6373DE55">
            <w:pPr>
              <w:snapToGrid w:val="0"/>
              <w:jc w:val="center"/>
              <w:rPr>
                <w:rFonts w:hint="eastAsia" w:ascii="宋体" w:hAnsi="宋体" w:cs="宋体"/>
                <w:color w:val="auto"/>
                <w:highlight w:val="none"/>
              </w:rPr>
            </w:pPr>
          </w:p>
        </w:tc>
        <w:tc>
          <w:tcPr>
            <w:tcW w:w="2811" w:type="dxa"/>
            <w:vAlign w:val="center"/>
          </w:tcPr>
          <w:p w14:paraId="0A88940B">
            <w:pPr>
              <w:snapToGrid w:val="0"/>
              <w:jc w:val="center"/>
              <w:rPr>
                <w:rFonts w:hint="eastAsia" w:ascii="宋体" w:hAnsi="宋体" w:cs="宋体"/>
                <w:color w:val="auto"/>
                <w:highlight w:val="none"/>
              </w:rPr>
            </w:pPr>
          </w:p>
        </w:tc>
        <w:tc>
          <w:tcPr>
            <w:tcW w:w="1964" w:type="dxa"/>
            <w:vAlign w:val="center"/>
          </w:tcPr>
          <w:p w14:paraId="70C0B859">
            <w:pPr>
              <w:snapToGrid w:val="0"/>
              <w:jc w:val="center"/>
              <w:rPr>
                <w:rFonts w:hint="eastAsia" w:ascii="宋体" w:hAnsi="宋体" w:cs="宋体"/>
                <w:color w:val="auto"/>
                <w:highlight w:val="none"/>
              </w:rPr>
            </w:pPr>
          </w:p>
        </w:tc>
      </w:tr>
      <w:tr w14:paraId="53C6C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9C2D391">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151" w:type="dxa"/>
            <w:tcBorders>
              <w:right w:val="single" w:color="auto" w:sz="4" w:space="0"/>
            </w:tcBorders>
            <w:vAlign w:val="center"/>
          </w:tcPr>
          <w:p w14:paraId="5B026660">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09E229BF">
            <w:pPr>
              <w:snapToGrid w:val="0"/>
              <w:jc w:val="center"/>
              <w:rPr>
                <w:rFonts w:hint="eastAsia" w:ascii="宋体" w:hAnsi="宋体" w:cs="宋体"/>
                <w:color w:val="auto"/>
                <w:highlight w:val="none"/>
              </w:rPr>
            </w:pPr>
          </w:p>
        </w:tc>
        <w:tc>
          <w:tcPr>
            <w:tcW w:w="2811" w:type="dxa"/>
            <w:vAlign w:val="center"/>
          </w:tcPr>
          <w:p w14:paraId="5F90F47A">
            <w:pPr>
              <w:snapToGrid w:val="0"/>
              <w:jc w:val="center"/>
              <w:rPr>
                <w:rFonts w:hint="eastAsia" w:ascii="宋体" w:hAnsi="宋体" w:cs="宋体"/>
                <w:color w:val="auto"/>
                <w:highlight w:val="none"/>
              </w:rPr>
            </w:pPr>
          </w:p>
        </w:tc>
        <w:tc>
          <w:tcPr>
            <w:tcW w:w="1964" w:type="dxa"/>
            <w:vAlign w:val="center"/>
          </w:tcPr>
          <w:p w14:paraId="0E58C361">
            <w:pPr>
              <w:snapToGrid w:val="0"/>
              <w:jc w:val="center"/>
              <w:rPr>
                <w:rFonts w:hint="eastAsia" w:ascii="宋体" w:hAnsi="宋体" w:cs="宋体"/>
                <w:color w:val="auto"/>
                <w:highlight w:val="none"/>
              </w:rPr>
            </w:pPr>
          </w:p>
        </w:tc>
      </w:tr>
      <w:tr w14:paraId="0779C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AB23047">
            <w:pPr>
              <w:snapToGrid w:val="0"/>
              <w:jc w:val="center"/>
              <w:rPr>
                <w:rFonts w:hint="eastAsia" w:ascii="宋体" w:hAnsi="宋体" w:cs="宋体"/>
                <w:color w:val="auto"/>
                <w:highlight w:val="none"/>
              </w:rPr>
            </w:pPr>
            <w:r>
              <w:rPr>
                <w:rFonts w:hint="eastAsia" w:ascii="宋体" w:hAnsi="宋体" w:cs="宋体"/>
                <w:color w:val="auto"/>
                <w:highlight w:val="none"/>
              </w:rPr>
              <w:t>4</w:t>
            </w:r>
          </w:p>
        </w:tc>
        <w:tc>
          <w:tcPr>
            <w:tcW w:w="1151" w:type="dxa"/>
            <w:tcBorders>
              <w:right w:val="single" w:color="auto" w:sz="4" w:space="0"/>
            </w:tcBorders>
            <w:vAlign w:val="center"/>
          </w:tcPr>
          <w:p w14:paraId="6A76F4E7">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904BE90">
            <w:pPr>
              <w:snapToGrid w:val="0"/>
              <w:jc w:val="center"/>
              <w:rPr>
                <w:rFonts w:hint="eastAsia" w:ascii="宋体" w:hAnsi="宋体" w:cs="宋体"/>
                <w:color w:val="auto"/>
                <w:highlight w:val="none"/>
              </w:rPr>
            </w:pPr>
          </w:p>
        </w:tc>
        <w:tc>
          <w:tcPr>
            <w:tcW w:w="2811" w:type="dxa"/>
            <w:vAlign w:val="center"/>
          </w:tcPr>
          <w:p w14:paraId="52FE1C7E">
            <w:pPr>
              <w:snapToGrid w:val="0"/>
              <w:jc w:val="center"/>
              <w:rPr>
                <w:rFonts w:hint="eastAsia" w:ascii="宋体" w:hAnsi="宋体" w:cs="宋体"/>
                <w:color w:val="auto"/>
                <w:highlight w:val="none"/>
              </w:rPr>
            </w:pPr>
          </w:p>
        </w:tc>
        <w:tc>
          <w:tcPr>
            <w:tcW w:w="1964" w:type="dxa"/>
            <w:vAlign w:val="center"/>
          </w:tcPr>
          <w:p w14:paraId="584940B2">
            <w:pPr>
              <w:snapToGrid w:val="0"/>
              <w:jc w:val="center"/>
              <w:rPr>
                <w:rFonts w:hint="eastAsia" w:ascii="宋体" w:hAnsi="宋体" w:cs="宋体"/>
                <w:color w:val="auto"/>
                <w:highlight w:val="none"/>
              </w:rPr>
            </w:pPr>
          </w:p>
        </w:tc>
      </w:tr>
      <w:tr w14:paraId="3FDD4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DA54050">
            <w:pPr>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151" w:type="dxa"/>
            <w:tcBorders>
              <w:right w:val="single" w:color="auto" w:sz="4" w:space="0"/>
            </w:tcBorders>
            <w:vAlign w:val="center"/>
          </w:tcPr>
          <w:p w14:paraId="3C5507F4">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79540CE5">
            <w:pPr>
              <w:snapToGrid w:val="0"/>
              <w:jc w:val="center"/>
              <w:rPr>
                <w:rFonts w:hint="eastAsia" w:ascii="宋体" w:hAnsi="宋体" w:cs="宋体"/>
                <w:color w:val="auto"/>
                <w:highlight w:val="none"/>
              </w:rPr>
            </w:pPr>
          </w:p>
        </w:tc>
        <w:tc>
          <w:tcPr>
            <w:tcW w:w="2811" w:type="dxa"/>
            <w:vAlign w:val="center"/>
          </w:tcPr>
          <w:p w14:paraId="32518CB6">
            <w:pPr>
              <w:snapToGrid w:val="0"/>
              <w:jc w:val="center"/>
              <w:rPr>
                <w:rFonts w:hint="eastAsia" w:ascii="宋体" w:hAnsi="宋体" w:cs="宋体"/>
                <w:color w:val="auto"/>
                <w:highlight w:val="none"/>
              </w:rPr>
            </w:pPr>
          </w:p>
        </w:tc>
        <w:tc>
          <w:tcPr>
            <w:tcW w:w="1964" w:type="dxa"/>
            <w:vAlign w:val="center"/>
          </w:tcPr>
          <w:p w14:paraId="49A18244">
            <w:pPr>
              <w:snapToGrid w:val="0"/>
              <w:jc w:val="center"/>
              <w:rPr>
                <w:rFonts w:hint="eastAsia" w:ascii="宋体" w:hAnsi="宋体" w:cs="宋体"/>
                <w:color w:val="auto"/>
                <w:highlight w:val="none"/>
              </w:rPr>
            </w:pPr>
          </w:p>
        </w:tc>
      </w:tr>
      <w:tr w14:paraId="1D333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795C588B">
            <w:pPr>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151" w:type="dxa"/>
            <w:vAlign w:val="center"/>
          </w:tcPr>
          <w:p w14:paraId="16251742">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57F2F7A5">
            <w:pPr>
              <w:snapToGrid w:val="0"/>
              <w:jc w:val="center"/>
              <w:rPr>
                <w:rFonts w:hint="eastAsia" w:ascii="宋体" w:hAnsi="宋体" w:cs="宋体"/>
                <w:color w:val="auto"/>
                <w:highlight w:val="none"/>
              </w:rPr>
            </w:pPr>
          </w:p>
        </w:tc>
        <w:tc>
          <w:tcPr>
            <w:tcW w:w="2811" w:type="dxa"/>
            <w:tcBorders>
              <w:left w:val="single" w:color="auto" w:sz="4" w:space="0"/>
            </w:tcBorders>
            <w:vAlign w:val="center"/>
          </w:tcPr>
          <w:p w14:paraId="05F17AC4">
            <w:pPr>
              <w:snapToGrid w:val="0"/>
              <w:jc w:val="center"/>
              <w:rPr>
                <w:rFonts w:hint="eastAsia" w:ascii="宋体" w:hAnsi="宋体" w:cs="宋体"/>
                <w:color w:val="auto"/>
                <w:highlight w:val="none"/>
              </w:rPr>
            </w:pPr>
          </w:p>
        </w:tc>
        <w:tc>
          <w:tcPr>
            <w:tcW w:w="1964" w:type="dxa"/>
            <w:vAlign w:val="center"/>
          </w:tcPr>
          <w:p w14:paraId="4E713320">
            <w:pPr>
              <w:snapToGrid w:val="0"/>
              <w:jc w:val="center"/>
              <w:rPr>
                <w:rFonts w:hint="eastAsia" w:ascii="宋体" w:hAnsi="宋体" w:cs="宋体"/>
                <w:color w:val="auto"/>
                <w:highlight w:val="none"/>
              </w:rPr>
            </w:pPr>
          </w:p>
        </w:tc>
      </w:tr>
      <w:tr w14:paraId="50DBC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22D534A9">
            <w:pPr>
              <w:snapToGrid w:val="0"/>
              <w:jc w:val="center"/>
              <w:rPr>
                <w:rFonts w:hint="eastAsia" w:ascii="宋体" w:hAnsi="宋体" w:cs="宋体"/>
                <w:color w:val="auto"/>
                <w:highlight w:val="none"/>
              </w:rPr>
            </w:pPr>
            <w:r>
              <w:rPr>
                <w:rFonts w:hint="eastAsia" w:ascii="宋体" w:hAnsi="宋体" w:cs="宋体"/>
                <w:color w:val="auto"/>
                <w:highlight w:val="none"/>
              </w:rPr>
              <w:t>7</w:t>
            </w:r>
          </w:p>
        </w:tc>
        <w:tc>
          <w:tcPr>
            <w:tcW w:w="1151" w:type="dxa"/>
            <w:vAlign w:val="center"/>
          </w:tcPr>
          <w:p w14:paraId="12F608E1">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0FAFEA79">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58C87977">
            <w:pPr>
              <w:snapToGrid w:val="0"/>
              <w:jc w:val="center"/>
              <w:rPr>
                <w:rFonts w:hint="eastAsia" w:ascii="宋体" w:hAnsi="宋体" w:cs="宋体"/>
                <w:b/>
                <w:color w:val="auto"/>
                <w:highlight w:val="none"/>
              </w:rPr>
            </w:pPr>
          </w:p>
        </w:tc>
        <w:tc>
          <w:tcPr>
            <w:tcW w:w="1964" w:type="dxa"/>
            <w:vAlign w:val="center"/>
          </w:tcPr>
          <w:p w14:paraId="2F765E05">
            <w:pPr>
              <w:snapToGrid w:val="0"/>
              <w:jc w:val="center"/>
              <w:rPr>
                <w:rFonts w:hint="eastAsia" w:ascii="宋体" w:hAnsi="宋体" w:cs="宋体"/>
                <w:color w:val="auto"/>
                <w:highlight w:val="none"/>
              </w:rPr>
            </w:pPr>
          </w:p>
        </w:tc>
      </w:tr>
      <w:tr w14:paraId="13553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138B950">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151" w:type="dxa"/>
            <w:vAlign w:val="center"/>
          </w:tcPr>
          <w:p w14:paraId="157A66E5">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75F3C16C">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0C197869">
            <w:pPr>
              <w:snapToGrid w:val="0"/>
              <w:jc w:val="center"/>
              <w:rPr>
                <w:rFonts w:hint="eastAsia" w:ascii="宋体" w:hAnsi="宋体" w:cs="宋体"/>
                <w:b/>
                <w:color w:val="auto"/>
                <w:highlight w:val="none"/>
              </w:rPr>
            </w:pPr>
          </w:p>
        </w:tc>
        <w:tc>
          <w:tcPr>
            <w:tcW w:w="1964" w:type="dxa"/>
            <w:vAlign w:val="center"/>
          </w:tcPr>
          <w:p w14:paraId="14C0828B">
            <w:pPr>
              <w:snapToGrid w:val="0"/>
              <w:jc w:val="center"/>
              <w:rPr>
                <w:rFonts w:hint="eastAsia" w:ascii="宋体" w:hAnsi="宋体" w:cs="宋体"/>
                <w:color w:val="auto"/>
                <w:highlight w:val="none"/>
              </w:rPr>
            </w:pPr>
          </w:p>
        </w:tc>
      </w:tr>
      <w:tr w14:paraId="020D4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14:paraId="7EDBC601">
            <w:pPr>
              <w:snapToGrid w:val="0"/>
              <w:jc w:val="center"/>
              <w:rPr>
                <w:rFonts w:hint="eastAsia" w:ascii="宋体" w:hAnsi="宋体" w:cs="宋体"/>
                <w:color w:val="auto"/>
                <w:highlight w:val="none"/>
              </w:rPr>
            </w:pPr>
            <w:r>
              <w:rPr>
                <w:rFonts w:hint="eastAsia" w:ascii="宋体" w:hAnsi="宋体" w:cs="宋体"/>
                <w:color w:val="auto"/>
                <w:highlight w:val="none"/>
              </w:rPr>
              <w:t>……</w:t>
            </w:r>
          </w:p>
        </w:tc>
        <w:tc>
          <w:tcPr>
            <w:tcW w:w="1151" w:type="dxa"/>
            <w:vAlign w:val="center"/>
          </w:tcPr>
          <w:p w14:paraId="7E3E83E0">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28665DBB">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7F094E19">
            <w:pPr>
              <w:snapToGrid w:val="0"/>
              <w:jc w:val="center"/>
              <w:rPr>
                <w:rFonts w:hint="eastAsia" w:ascii="宋体" w:hAnsi="宋体" w:cs="宋体"/>
                <w:b/>
                <w:color w:val="auto"/>
                <w:highlight w:val="none"/>
              </w:rPr>
            </w:pPr>
          </w:p>
        </w:tc>
        <w:tc>
          <w:tcPr>
            <w:tcW w:w="1964" w:type="dxa"/>
            <w:vAlign w:val="center"/>
          </w:tcPr>
          <w:p w14:paraId="64135F15">
            <w:pPr>
              <w:snapToGrid w:val="0"/>
              <w:jc w:val="center"/>
              <w:rPr>
                <w:rFonts w:hint="eastAsia" w:ascii="宋体" w:hAnsi="宋体" w:cs="宋体"/>
                <w:color w:val="auto"/>
                <w:highlight w:val="none"/>
              </w:rPr>
            </w:pPr>
          </w:p>
        </w:tc>
      </w:tr>
    </w:tbl>
    <w:p w14:paraId="727A31DC">
      <w:pPr>
        <w:pStyle w:val="29"/>
        <w:spacing w:before="120" w:after="120" w:line="440" w:lineRule="exact"/>
        <w:jc w:val="left"/>
        <w:rPr>
          <w:rFonts w:hint="eastAsia" w:hAnsi="宋体" w:cs="宋体"/>
          <w:b/>
          <w:bCs/>
          <w:color w:val="auto"/>
          <w:szCs w:val="21"/>
          <w:highlight w:val="none"/>
        </w:rPr>
      </w:pPr>
      <w:r>
        <w:rPr>
          <w:rFonts w:hint="eastAsia" w:hAnsi="宋体" w:cs="宋体"/>
          <w:b/>
          <w:bCs/>
          <w:color w:val="auto"/>
          <w:szCs w:val="21"/>
          <w:highlight w:val="none"/>
        </w:rPr>
        <w:t>说明：</w:t>
      </w:r>
    </w:p>
    <w:p w14:paraId="03E2E260">
      <w:pPr>
        <w:pStyle w:val="29"/>
        <w:spacing w:before="120" w:after="120" w:line="440" w:lineRule="exact"/>
        <w:ind w:firstLine="480" w:firstLineChars="200"/>
        <w:jc w:val="left"/>
        <w:rPr>
          <w:rFonts w:hint="eastAsia" w:hAnsi="宋体" w:cs="宋体"/>
          <w:color w:val="auto"/>
          <w:szCs w:val="21"/>
          <w:highlight w:val="none"/>
        </w:rPr>
      </w:pPr>
      <w:r>
        <w:rPr>
          <w:rFonts w:hint="eastAsia" w:hAnsi="宋体" w:cs="宋体"/>
          <w:color w:val="auto"/>
          <w:szCs w:val="21"/>
          <w:highlight w:val="none"/>
        </w:rPr>
        <w:t>1.供应商应对采购需求的各项技术指标要求逐一做出明确响应，并在“偏离情况”栏注明“正偏离”“负偏离”或“无偏离”。行数不够可按原格式扩展。</w:t>
      </w:r>
    </w:p>
    <w:p w14:paraId="3914BBEE">
      <w:pPr>
        <w:pStyle w:val="29"/>
        <w:spacing w:before="120" w:after="120" w:line="440" w:lineRule="exact"/>
        <w:ind w:firstLine="470" w:firstLineChars="196"/>
        <w:rPr>
          <w:rFonts w:hint="eastAsia" w:hAnsi="宋体" w:cs="宋体"/>
          <w:color w:val="auto"/>
          <w:szCs w:val="21"/>
          <w:highlight w:val="none"/>
        </w:rPr>
      </w:pPr>
      <w:r>
        <w:rPr>
          <w:rFonts w:hint="eastAsia" w:hAnsi="宋体" w:cs="宋体"/>
          <w:color w:val="auto"/>
          <w:szCs w:val="21"/>
          <w:highlight w:val="none"/>
        </w:rPr>
        <w:t>2.供应商未按要求填写、标注偏离情况的，视为完全响应采购文件各采购需求。若成交后提供的服务（货物）不满足采购需求的，将认定为提供虚假材料、谋取中标（成交）。采购人有权单方面解除合同并追究其违约责任。</w:t>
      </w:r>
    </w:p>
    <w:p w14:paraId="1B3AF21C">
      <w:pPr>
        <w:pStyle w:val="29"/>
        <w:spacing w:before="120" w:after="120" w:line="540" w:lineRule="exact"/>
        <w:jc w:val="left"/>
        <w:rPr>
          <w:rFonts w:hint="eastAsia" w:ascii="仿宋_GB2312" w:hAnsi="宋体"/>
          <w:color w:val="auto"/>
          <w:highlight w:val="none"/>
        </w:rPr>
      </w:pPr>
      <w:r>
        <w:rPr>
          <w:rFonts w:hint="eastAsia" w:ascii="仿宋_GB2312" w:hAnsi="宋体"/>
          <w:color w:val="auto"/>
          <w:highlight w:val="none"/>
        </w:rPr>
        <w:t xml:space="preserve"> </w:t>
      </w:r>
    </w:p>
    <w:p w14:paraId="38F4E06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3F9FFA6">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5F20A8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793BC0F">
      <w:pPr>
        <w:spacing w:line="500" w:lineRule="exact"/>
        <w:rPr>
          <w:rFonts w:hint="eastAsia" w:ascii="宋体" w:hAnsi="宋体" w:cs="宋体"/>
          <w:color w:val="auto"/>
          <w:sz w:val="24"/>
          <w:highlight w:val="none"/>
        </w:rPr>
      </w:pPr>
    </w:p>
    <w:p w14:paraId="760325E0">
      <w:pPr>
        <w:spacing w:line="500" w:lineRule="exact"/>
        <w:rPr>
          <w:rFonts w:hint="eastAsia" w:ascii="宋体" w:hAnsi="宋体" w:cs="宋体"/>
          <w:color w:val="auto"/>
          <w:sz w:val="24"/>
          <w:highlight w:val="none"/>
        </w:rPr>
      </w:pPr>
    </w:p>
    <w:p w14:paraId="37F97D05">
      <w:pPr>
        <w:rPr>
          <w:rFonts w:hint="eastAsia" w:ascii="宋体" w:hAnsi="宋体" w:cs="宋体"/>
          <w:color w:val="auto"/>
          <w:sz w:val="28"/>
          <w:szCs w:val="28"/>
          <w:highlight w:val="none"/>
        </w:rPr>
      </w:pPr>
      <w:r>
        <w:rPr>
          <w:rFonts w:hint="eastAsia" w:ascii="宋体" w:hAnsi="宋体" w:cs="宋体"/>
          <w:color w:val="auto"/>
          <w:sz w:val="28"/>
          <w:szCs w:val="28"/>
          <w:highlight w:val="none"/>
        </w:rPr>
        <w:t>附件17:类似业绩</w:t>
      </w:r>
    </w:p>
    <w:p w14:paraId="0BB7CB3D">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同类项目业绩汇总表</w:t>
      </w:r>
    </w:p>
    <w:tbl>
      <w:tblPr>
        <w:tblStyle w:val="5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4F4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079C7290">
            <w:pPr>
              <w:spacing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53" w:type="dxa"/>
            <w:vAlign w:val="center"/>
          </w:tcPr>
          <w:p w14:paraId="706CC24E">
            <w:pPr>
              <w:spacing w:line="276" w:lineRule="auto"/>
              <w:jc w:val="center"/>
              <w:rPr>
                <w:rFonts w:ascii="宋体" w:hAnsi="宋体"/>
                <w:color w:val="auto"/>
                <w:sz w:val="24"/>
                <w:highlight w:val="none"/>
              </w:rPr>
            </w:pPr>
            <w:r>
              <w:rPr>
                <w:rFonts w:hint="eastAsia" w:ascii="宋体" w:hAnsi="宋体"/>
                <w:color w:val="auto"/>
                <w:sz w:val="24"/>
                <w:highlight w:val="none"/>
              </w:rPr>
              <w:t>项目规模</w:t>
            </w:r>
          </w:p>
        </w:tc>
        <w:tc>
          <w:tcPr>
            <w:tcW w:w="1207" w:type="dxa"/>
            <w:vAlign w:val="center"/>
          </w:tcPr>
          <w:p w14:paraId="4CE58AB7">
            <w:pPr>
              <w:spacing w:line="276" w:lineRule="auto"/>
              <w:jc w:val="center"/>
              <w:rPr>
                <w:rFonts w:ascii="宋体" w:hAnsi="宋体"/>
                <w:color w:val="auto"/>
                <w:sz w:val="24"/>
                <w:highlight w:val="none"/>
              </w:rPr>
            </w:pPr>
            <w:r>
              <w:rPr>
                <w:rFonts w:hint="eastAsia" w:ascii="宋体" w:hAnsi="宋体"/>
                <w:color w:val="auto"/>
                <w:sz w:val="24"/>
                <w:highlight w:val="none"/>
              </w:rPr>
              <w:t>合同金额</w:t>
            </w:r>
          </w:p>
        </w:tc>
        <w:tc>
          <w:tcPr>
            <w:tcW w:w="1660" w:type="dxa"/>
            <w:vAlign w:val="center"/>
          </w:tcPr>
          <w:p w14:paraId="6174E908">
            <w:pPr>
              <w:spacing w:line="276" w:lineRule="auto"/>
              <w:jc w:val="center"/>
              <w:rPr>
                <w:rFonts w:ascii="宋体" w:hAnsi="宋体"/>
                <w:color w:val="auto"/>
                <w:sz w:val="24"/>
                <w:highlight w:val="none"/>
              </w:rPr>
            </w:pPr>
            <w:r>
              <w:rPr>
                <w:rFonts w:hint="eastAsia" w:ascii="宋体" w:hAnsi="宋体"/>
                <w:color w:val="auto"/>
                <w:sz w:val="24"/>
                <w:highlight w:val="none"/>
              </w:rPr>
              <w:t>项目建设单位</w:t>
            </w:r>
          </w:p>
        </w:tc>
        <w:tc>
          <w:tcPr>
            <w:tcW w:w="2208" w:type="dxa"/>
            <w:vAlign w:val="center"/>
          </w:tcPr>
          <w:p w14:paraId="71739BBF">
            <w:pPr>
              <w:spacing w:line="276" w:lineRule="auto"/>
              <w:jc w:val="center"/>
              <w:rPr>
                <w:rFonts w:ascii="宋体" w:hAnsi="宋体"/>
                <w:color w:val="auto"/>
                <w:sz w:val="24"/>
                <w:highlight w:val="none"/>
              </w:rPr>
            </w:pPr>
            <w:r>
              <w:rPr>
                <w:rFonts w:hint="eastAsia" w:ascii="宋体" w:hAnsi="宋体"/>
                <w:color w:val="auto"/>
                <w:sz w:val="24"/>
                <w:highlight w:val="none"/>
              </w:rPr>
              <w:t>项目单位联系人及联系电话</w:t>
            </w:r>
          </w:p>
        </w:tc>
        <w:tc>
          <w:tcPr>
            <w:tcW w:w="1452" w:type="dxa"/>
            <w:vAlign w:val="center"/>
          </w:tcPr>
          <w:p w14:paraId="40A814BE">
            <w:pPr>
              <w:spacing w:line="276" w:lineRule="auto"/>
              <w:jc w:val="center"/>
              <w:rPr>
                <w:rFonts w:hint="eastAsia" w:ascii="宋体" w:hAnsi="宋体"/>
                <w:color w:val="auto"/>
                <w:sz w:val="24"/>
                <w:highlight w:val="none"/>
              </w:rPr>
            </w:pPr>
            <w:r>
              <w:rPr>
                <w:rFonts w:hint="eastAsia" w:ascii="宋体" w:hAnsi="宋体"/>
                <w:color w:val="auto"/>
                <w:sz w:val="24"/>
                <w:highlight w:val="none"/>
              </w:rPr>
              <w:t>签订日期</w:t>
            </w:r>
          </w:p>
        </w:tc>
      </w:tr>
      <w:tr w14:paraId="667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4B9245">
            <w:pPr>
              <w:spacing w:line="276" w:lineRule="auto"/>
              <w:rPr>
                <w:rFonts w:ascii="宋体" w:hAnsi="宋体"/>
                <w:color w:val="auto"/>
                <w:sz w:val="24"/>
                <w:highlight w:val="none"/>
              </w:rPr>
            </w:pPr>
          </w:p>
        </w:tc>
        <w:tc>
          <w:tcPr>
            <w:tcW w:w="1453" w:type="dxa"/>
            <w:vAlign w:val="center"/>
          </w:tcPr>
          <w:p w14:paraId="3B80DF93">
            <w:pPr>
              <w:spacing w:line="276" w:lineRule="auto"/>
              <w:rPr>
                <w:rFonts w:ascii="宋体" w:hAnsi="宋体"/>
                <w:color w:val="auto"/>
                <w:sz w:val="24"/>
                <w:highlight w:val="none"/>
              </w:rPr>
            </w:pPr>
          </w:p>
        </w:tc>
        <w:tc>
          <w:tcPr>
            <w:tcW w:w="1207" w:type="dxa"/>
            <w:vAlign w:val="center"/>
          </w:tcPr>
          <w:p w14:paraId="55876978">
            <w:pPr>
              <w:spacing w:line="276" w:lineRule="auto"/>
              <w:rPr>
                <w:rFonts w:ascii="宋体" w:hAnsi="宋体"/>
                <w:color w:val="auto"/>
                <w:sz w:val="24"/>
                <w:highlight w:val="none"/>
              </w:rPr>
            </w:pPr>
          </w:p>
        </w:tc>
        <w:tc>
          <w:tcPr>
            <w:tcW w:w="1660" w:type="dxa"/>
          </w:tcPr>
          <w:p w14:paraId="2FD765B6">
            <w:pPr>
              <w:spacing w:line="276" w:lineRule="auto"/>
              <w:rPr>
                <w:rFonts w:ascii="宋体" w:hAnsi="宋体"/>
                <w:color w:val="auto"/>
                <w:sz w:val="24"/>
                <w:highlight w:val="none"/>
              </w:rPr>
            </w:pPr>
          </w:p>
        </w:tc>
        <w:tc>
          <w:tcPr>
            <w:tcW w:w="2208" w:type="dxa"/>
          </w:tcPr>
          <w:p w14:paraId="6F1CE8F1">
            <w:pPr>
              <w:spacing w:line="276" w:lineRule="auto"/>
              <w:rPr>
                <w:rFonts w:ascii="宋体" w:hAnsi="宋体"/>
                <w:color w:val="auto"/>
                <w:sz w:val="24"/>
                <w:highlight w:val="none"/>
              </w:rPr>
            </w:pPr>
          </w:p>
        </w:tc>
        <w:tc>
          <w:tcPr>
            <w:tcW w:w="1452" w:type="dxa"/>
            <w:vAlign w:val="center"/>
          </w:tcPr>
          <w:p w14:paraId="5EF1E1F9">
            <w:pPr>
              <w:spacing w:line="276" w:lineRule="auto"/>
              <w:rPr>
                <w:rFonts w:ascii="宋体" w:hAnsi="宋体"/>
                <w:color w:val="auto"/>
                <w:sz w:val="24"/>
                <w:highlight w:val="none"/>
              </w:rPr>
            </w:pPr>
          </w:p>
        </w:tc>
      </w:tr>
      <w:tr w14:paraId="0BA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6C3B022A">
            <w:pPr>
              <w:spacing w:line="276" w:lineRule="auto"/>
              <w:rPr>
                <w:rFonts w:ascii="宋体" w:hAnsi="宋体"/>
                <w:color w:val="auto"/>
                <w:sz w:val="24"/>
                <w:highlight w:val="none"/>
              </w:rPr>
            </w:pPr>
          </w:p>
        </w:tc>
        <w:tc>
          <w:tcPr>
            <w:tcW w:w="1453" w:type="dxa"/>
            <w:vAlign w:val="center"/>
          </w:tcPr>
          <w:p w14:paraId="1A21EC45">
            <w:pPr>
              <w:spacing w:line="276" w:lineRule="auto"/>
              <w:rPr>
                <w:rFonts w:ascii="宋体" w:hAnsi="宋体"/>
                <w:color w:val="auto"/>
                <w:sz w:val="24"/>
                <w:highlight w:val="none"/>
              </w:rPr>
            </w:pPr>
          </w:p>
        </w:tc>
        <w:tc>
          <w:tcPr>
            <w:tcW w:w="1207" w:type="dxa"/>
            <w:vAlign w:val="center"/>
          </w:tcPr>
          <w:p w14:paraId="72024F8D">
            <w:pPr>
              <w:spacing w:line="276" w:lineRule="auto"/>
              <w:rPr>
                <w:rFonts w:ascii="宋体" w:hAnsi="宋体"/>
                <w:color w:val="auto"/>
                <w:sz w:val="24"/>
                <w:highlight w:val="none"/>
              </w:rPr>
            </w:pPr>
          </w:p>
        </w:tc>
        <w:tc>
          <w:tcPr>
            <w:tcW w:w="1660" w:type="dxa"/>
          </w:tcPr>
          <w:p w14:paraId="5C62D29F">
            <w:pPr>
              <w:spacing w:line="276" w:lineRule="auto"/>
              <w:rPr>
                <w:rFonts w:ascii="宋体" w:hAnsi="宋体"/>
                <w:color w:val="auto"/>
                <w:sz w:val="24"/>
                <w:highlight w:val="none"/>
              </w:rPr>
            </w:pPr>
          </w:p>
        </w:tc>
        <w:tc>
          <w:tcPr>
            <w:tcW w:w="2208" w:type="dxa"/>
          </w:tcPr>
          <w:p w14:paraId="4975990A">
            <w:pPr>
              <w:spacing w:line="276" w:lineRule="auto"/>
              <w:rPr>
                <w:rFonts w:ascii="宋体" w:hAnsi="宋体"/>
                <w:color w:val="auto"/>
                <w:sz w:val="24"/>
                <w:highlight w:val="none"/>
              </w:rPr>
            </w:pPr>
          </w:p>
        </w:tc>
        <w:tc>
          <w:tcPr>
            <w:tcW w:w="1452" w:type="dxa"/>
            <w:vAlign w:val="center"/>
          </w:tcPr>
          <w:p w14:paraId="1F7F0650">
            <w:pPr>
              <w:spacing w:line="276" w:lineRule="auto"/>
              <w:rPr>
                <w:rFonts w:ascii="宋体" w:hAnsi="宋体"/>
                <w:color w:val="auto"/>
                <w:sz w:val="24"/>
                <w:highlight w:val="none"/>
              </w:rPr>
            </w:pPr>
          </w:p>
        </w:tc>
      </w:tr>
      <w:tr w14:paraId="7B77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4B332B0">
            <w:pPr>
              <w:spacing w:line="276" w:lineRule="auto"/>
              <w:rPr>
                <w:rFonts w:ascii="宋体" w:hAnsi="宋体"/>
                <w:color w:val="auto"/>
                <w:sz w:val="24"/>
                <w:highlight w:val="none"/>
              </w:rPr>
            </w:pPr>
          </w:p>
        </w:tc>
        <w:tc>
          <w:tcPr>
            <w:tcW w:w="1453" w:type="dxa"/>
            <w:vAlign w:val="center"/>
          </w:tcPr>
          <w:p w14:paraId="1A89055C">
            <w:pPr>
              <w:spacing w:line="276" w:lineRule="auto"/>
              <w:rPr>
                <w:rFonts w:ascii="宋体" w:hAnsi="宋体"/>
                <w:color w:val="auto"/>
                <w:sz w:val="24"/>
                <w:highlight w:val="none"/>
              </w:rPr>
            </w:pPr>
          </w:p>
        </w:tc>
        <w:tc>
          <w:tcPr>
            <w:tcW w:w="1207" w:type="dxa"/>
            <w:vAlign w:val="center"/>
          </w:tcPr>
          <w:p w14:paraId="09E2DA8A">
            <w:pPr>
              <w:spacing w:line="276" w:lineRule="auto"/>
              <w:rPr>
                <w:rFonts w:ascii="宋体" w:hAnsi="宋体"/>
                <w:color w:val="auto"/>
                <w:sz w:val="24"/>
                <w:highlight w:val="none"/>
              </w:rPr>
            </w:pPr>
          </w:p>
        </w:tc>
        <w:tc>
          <w:tcPr>
            <w:tcW w:w="1660" w:type="dxa"/>
          </w:tcPr>
          <w:p w14:paraId="1FEEE7A3">
            <w:pPr>
              <w:spacing w:line="276" w:lineRule="auto"/>
              <w:rPr>
                <w:rFonts w:ascii="宋体" w:hAnsi="宋体"/>
                <w:color w:val="auto"/>
                <w:sz w:val="24"/>
                <w:highlight w:val="none"/>
              </w:rPr>
            </w:pPr>
          </w:p>
        </w:tc>
        <w:tc>
          <w:tcPr>
            <w:tcW w:w="2208" w:type="dxa"/>
          </w:tcPr>
          <w:p w14:paraId="13FD64C7">
            <w:pPr>
              <w:spacing w:line="276" w:lineRule="auto"/>
              <w:rPr>
                <w:rFonts w:ascii="宋体" w:hAnsi="宋体"/>
                <w:color w:val="auto"/>
                <w:sz w:val="24"/>
                <w:highlight w:val="none"/>
              </w:rPr>
            </w:pPr>
          </w:p>
        </w:tc>
        <w:tc>
          <w:tcPr>
            <w:tcW w:w="1452" w:type="dxa"/>
            <w:vAlign w:val="center"/>
          </w:tcPr>
          <w:p w14:paraId="1D96CE79">
            <w:pPr>
              <w:spacing w:line="276" w:lineRule="auto"/>
              <w:rPr>
                <w:rFonts w:ascii="宋体" w:hAnsi="宋体"/>
                <w:color w:val="auto"/>
                <w:sz w:val="24"/>
                <w:highlight w:val="none"/>
              </w:rPr>
            </w:pPr>
          </w:p>
        </w:tc>
      </w:tr>
      <w:tr w14:paraId="2FC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A609117">
            <w:pPr>
              <w:spacing w:line="276" w:lineRule="auto"/>
              <w:rPr>
                <w:rFonts w:ascii="宋体" w:hAnsi="宋体"/>
                <w:color w:val="auto"/>
                <w:sz w:val="24"/>
                <w:highlight w:val="none"/>
              </w:rPr>
            </w:pPr>
          </w:p>
        </w:tc>
        <w:tc>
          <w:tcPr>
            <w:tcW w:w="1453" w:type="dxa"/>
            <w:vAlign w:val="center"/>
          </w:tcPr>
          <w:p w14:paraId="362F5613">
            <w:pPr>
              <w:spacing w:line="276" w:lineRule="auto"/>
              <w:rPr>
                <w:rFonts w:ascii="宋体" w:hAnsi="宋体"/>
                <w:color w:val="auto"/>
                <w:sz w:val="24"/>
                <w:highlight w:val="none"/>
              </w:rPr>
            </w:pPr>
          </w:p>
        </w:tc>
        <w:tc>
          <w:tcPr>
            <w:tcW w:w="1207" w:type="dxa"/>
            <w:vAlign w:val="center"/>
          </w:tcPr>
          <w:p w14:paraId="726446AC">
            <w:pPr>
              <w:spacing w:line="276" w:lineRule="auto"/>
              <w:rPr>
                <w:rFonts w:ascii="宋体" w:hAnsi="宋体"/>
                <w:color w:val="auto"/>
                <w:sz w:val="24"/>
                <w:highlight w:val="none"/>
              </w:rPr>
            </w:pPr>
          </w:p>
        </w:tc>
        <w:tc>
          <w:tcPr>
            <w:tcW w:w="1660" w:type="dxa"/>
          </w:tcPr>
          <w:p w14:paraId="27F8A14A">
            <w:pPr>
              <w:spacing w:line="276" w:lineRule="auto"/>
              <w:rPr>
                <w:rFonts w:ascii="宋体" w:hAnsi="宋体"/>
                <w:color w:val="auto"/>
                <w:sz w:val="24"/>
                <w:highlight w:val="none"/>
              </w:rPr>
            </w:pPr>
          </w:p>
        </w:tc>
        <w:tc>
          <w:tcPr>
            <w:tcW w:w="2208" w:type="dxa"/>
          </w:tcPr>
          <w:p w14:paraId="64462E8F">
            <w:pPr>
              <w:spacing w:line="276" w:lineRule="auto"/>
              <w:rPr>
                <w:rFonts w:ascii="宋体" w:hAnsi="宋体"/>
                <w:color w:val="auto"/>
                <w:sz w:val="24"/>
                <w:highlight w:val="none"/>
              </w:rPr>
            </w:pPr>
          </w:p>
        </w:tc>
        <w:tc>
          <w:tcPr>
            <w:tcW w:w="1452" w:type="dxa"/>
            <w:vAlign w:val="center"/>
          </w:tcPr>
          <w:p w14:paraId="6133F978">
            <w:pPr>
              <w:spacing w:line="276" w:lineRule="auto"/>
              <w:rPr>
                <w:rFonts w:ascii="宋体" w:hAnsi="宋体"/>
                <w:color w:val="auto"/>
                <w:sz w:val="24"/>
                <w:highlight w:val="none"/>
              </w:rPr>
            </w:pPr>
          </w:p>
        </w:tc>
      </w:tr>
      <w:tr w14:paraId="00A1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0298932B">
            <w:pPr>
              <w:spacing w:line="276" w:lineRule="auto"/>
              <w:rPr>
                <w:rFonts w:ascii="宋体" w:hAnsi="宋体"/>
                <w:color w:val="auto"/>
                <w:sz w:val="24"/>
                <w:highlight w:val="none"/>
              </w:rPr>
            </w:pPr>
          </w:p>
        </w:tc>
        <w:tc>
          <w:tcPr>
            <w:tcW w:w="1453" w:type="dxa"/>
            <w:vAlign w:val="center"/>
          </w:tcPr>
          <w:p w14:paraId="112E7AEA">
            <w:pPr>
              <w:spacing w:line="276" w:lineRule="auto"/>
              <w:rPr>
                <w:rFonts w:ascii="宋体" w:hAnsi="宋体"/>
                <w:color w:val="auto"/>
                <w:sz w:val="24"/>
                <w:highlight w:val="none"/>
              </w:rPr>
            </w:pPr>
          </w:p>
        </w:tc>
        <w:tc>
          <w:tcPr>
            <w:tcW w:w="1207" w:type="dxa"/>
            <w:vAlign w:val="center"/>
          </w:tcPr>
          <w:p w14:paraId="25C7EEF9">
            <w:pPr>
              <w:spacing w:line="276" w:lineRule="auto"/>
              <w:rPr>
                <w:rFonts w:ascii="宋体" w:hAnsi="宋体"/>
                <w:color w:val="auto"/>
                <w:sz w:val="24"/>
                <w:highlight w:val="none"/>
              </w:rPr>
            </w:pPr>
          </w:p>
        </w:tc>
        <w:tc>
          <w:tcPr>
            <w:tcW w:w="1660" w:type="dxa"/>
          </w:tcPr>
          <w:p w14:paraId="7BFE074B">
            <w:pPr>
              <w:spacing w:line="276" w:lineRule="auto"/>
              <w:rPr>
                <w:rFonts w:ascii="宋体" w:hAnsi="宋体"/>
                <w:color w:val="auto"/>
                <w:sz w:val="24"/>
                <w:highlight w:val="none"/>
              </w:rPr>
            </w:pPr>
          </w:p>
        </w:tc>
        <w:tc>
          <w:tcPr>
            <w:tcW w:w="2208" w:type="dxa"/>
          </w:tcPr>
          <w:p w14:paraId="3035AED1">
            <w:pPr>
              <w:spacing w:line="276" w:lineRule="auto"/>
              <w:rPr>
                <w:rFonts w:ascii="宋体" w:hAnsi="宋体"/>
                <w:color w:val="auto"/>
                <w:sz w:val="24"/>
                <w:highlight w:val="none"/>
              </w:rPr>
            </w:pPr>
          </w:p>
        </w:tc>
        <w:tc>
          <w:tcPr>
            <w:tcW w:w="1452" w:type="dxa"/>
            <w:vAlign w:val="center"/>
          </w:tcPr>
          <w:p w14:paraId="0E7ECE8D">
            <w:pPr>
              <w:spacing w:line="276" w:lineRule="auto"/>
              <w:rPr>
                <w:rFonts w:ascii="宋体" w:hAnsi="宋体"/>
                <w:color w:val="auto"/>
                <w:sz w:val="24"/>
                <w:highlight w:val="none"/>
              </w:rPr>
            </w:pPr>
          </w:p>
        </w:tc>
      </w:tr>
      <w:tr w14:paraId="519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3B28240">
            <w:pPr>
              <w:spacing w:line="276" w:lineRule="auto"/>
              <w:rPr>
                <w:rFonts w:ascii="宋体" w:hAnsi="宋体"/>
                <w:color w:val="auto"/>
                <w:sz w:val="24"/>
                <w:highlight w:val="none"/>
              </w:rPr>
            </w:pPr>
          </w:p>
        </w:tc>
        <w:tc>
          <w:tcPr>
            <w:tcW w:w="1453" w:type="dxa"/>
            <w:vAlign w:val="center"/>
          </w:tcPr>
          <w:p w14:paraId="75526FA9">
            <w:pPr>
              <w:spacing w:line="276" w:lineRule="auto"/>
              <w:rPr>
                <w:rFonts w:ascii="宋体" w:hAnsi="宋体"/>
                <w:color w:val="auto"/>
                <w:sz w:val="24"/>
                <w:highlight w:val="none"/>
              </w:rPr>
            </w:pPr>
          </w:p>
        </w:tc>
        <w:tc>
          <w:tcPr>
            <w:tcW w:w="1207" w:type="dxa"/>
            <w:vAlign w:val="center"/>
          </w:tcPr>
          <w:p w14:paraId="7629A3C6">
            <w:pPr>
              <w:spacing w:line="276" w:lineRule="auto"/>
              <w:rPr>
                <w:rFonts w:ascii="宋体" w:hAnsi="宋体"/>
                <w:color w:val="auto"/>
                <w:sz w:val="24"/>
                <w:highlight w:val="none"/>
              </w:rPr>
            </w:pPr>
          </w:p>
        </w:tc>
        <w:tc>
          <w:tcPr>
            <w:tcW w:w="1660" w:type="dxa"/>
          </w:tcPr>
          <w:p w14:paraId="77206B75">
            <w:pPr>
              <w:spacing w:line="276" w:lineRule="auto"/>
              <w:rPr>
                <w:rFonts w:ascii="宋体" w:hAnsi="宋体"/>
                <w:color w:val="auto"/>
                <w:sz w:val="24"/>
                <w:highlight w:val="none"/>
              </w:rPr>
            </w:pPr>
          </w:p>
        </w:tc>
        <w:tc>
          <w:tcPr>
            <w:tcW w:w="2208" w:type="dxa"/>
          </w:tcPr>
          <w:p w14:paraId="2818E834">
            <w:pPr>
              <w:spacing w:line="276" w:lineRule="auto"/>
              <w:rPr>
                <w:rFonts w:ascii="宋体" w:hAnsi="宋体"/>
                <w:color w:val="auto"/>
                <w:sz w:val="24"/>
                <w:highlight w:val="none"/>
              </w:rPr>
            </w:pPr>
          </w:p>
        </w:tc>
        <w:tc>
          <w:tcPr>
            <w:tcW w:w="1452" w:type="dxa"/>
            <w:vAlign w:val="center"/>
          </w:tcPr>
          <w:p w14:paraId="1B42FEF9">
            <w:pPr>
              <w:spacing w:line="276" w:lineRule="auto"/>
              <w:rPr>
                <w:rFonts w:ascii="宋体" w:hAnsi="宋体"/>
                <w:color w:val="auto"/>
                <w:sz w:val="24"/>
                <w:highlight w:val="none"/>
              </w:rPr>
            </w:pPr>
          </w:p>
        </w:tc>
      </w:tr>
      <w:tr w14:paraId="2304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CBCC99">
            <w:pPr>
              <w:spacing w:line="276" w:lineRule="auto"/>
              <w:rPr>
                <w:rFonts w:ascii="宋体" w:hAnsi="宋体"/>
                <w:color w:val="auto"/>
                <w:sz w:val="24"/>
                <w:highlight w:val="none"/>
              </w:rPr>
            </w:pPr>
          </w:p>
        </w:tc>
        <w:tc>
          <w:tcPr>
            <w:tcW w:w="1453" w:type="dxa"/>
            <w:vAlign w:val="center"/>
          </w:tcPr>
          <w:p w14:paraId="3D1A6DBD">
            <w:pPr>
              <w:spacing w:line="276" w:lineRule="auto"/>
              <w:rPr>
                <w:rFonts w:ascii="宋体" w:hAnsi="宋体"/>
                <w:color w:val="auto"/>
                <w:sz w:val="24"/>
                <w:highlight w:val="none"/>
              </w:rPr>
            </w:pPr>
          </w:p>
        </w:tc>
        <w:tc>
          <w:tcPr>
            <w:tcW w:w="1207" w:type="dxa"/>
            <w:vAlign w:val="center"/>
          </w:tcPr>
          <w:p w14:paraId="3266C978">
            <w:pPr>
              <w:spacing w:line="276" w:lineRule="auto"/>
              <w:rPr>
                <w:rFonts w:ascii="宋体" w:hAnsi="宋体"/>
                <w:color w:val="auto"/>
                <w:sz w:val="24"/>
                <w:highlight w:val="none"/>
              </w:rPr>
            </w:pPr>
          </w:p>
        </w:tc>
        <w:tc>
          <w:tcPr>
            <w:tcW w:w="1660" w:type="dxa"/>
          </w:tcPr>
          <w:p w14:paraId="58A0D43B">
            <w:pPr>
              <w:spacing w:line="276" w:lineRule="auto"/>
              <w:rPr>
                <w:rFonts w:ascii="宋体" w:hAnsi="宋体"/>
                <w:color w:val="auto"/>
                <w:sz w:val="24"/>
                <w:highlight w:val="none"/>
              </w:rPr>
            </w:pPr>
          </w:p>
        </w:tc>
        <w:tc>
          <w:tcPr>
            <w:tcW w:w="2208" w:type="dxa"/>
          </w:tcPr>
          <w:p w14:paraId="2AB2DA4F">
            <w:pPr>
              <w:spacing w:line="276" w:lineRule="auto"/>
              <w:rPr>
                <w:rFonts w:ascii="宋体" w:hAnsi="宋体"/>
                <w:color w:val="auto"/>
                <w:sz w:val="24"/>
                <w:highlight w:val="none"/>
              </w:rPr>
            </w:pPr>
          </w:p>
        </w:tc>
        <w:tc>
          <w:tcPr>
            <w:tcW w:w="1452" w:type="dxa"/>
            <w:vAlign w:val="center"/>
          </w:tcPr>
          <w:p w14:paraId="1FE4240A">
            <w:pPr>
              <w:spacing w:line="276" w:lineRule="auto"/>
              <w:rPr>
                <w:rFonts w:ascii="宋体" w:hAnsi="宋体"/>
                <w:color w:val="auto"/>
                <w:sz w:val="24"/>
                <w:highlight w:val="none"/>
              </w:rPr>
            </w:pPr>
          </w:p>
        </w:tc>
      </w:tr>
      <w:tr w14:paraId="5A4D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75B32A3C">
            <w:pPr>
              <w:spacing w:line="276" w:lineRule="auto"/>
              <w:rPr>
                <w:rFonts w:ascii="宋体" w:hAnsi="宋体"/>
                <w:color w:val="auto"/>
                <w:sz w:val="24"/>
                <w:highlight w:val="none"/>
              </w:rPr>
            </w:pPr>
          </w:p>
        </w:tc>
        <w:tc>
          <w:tcPr>
            <w:tcW w:w="1453" w:type="dxa"/>
            <w:vAlign w:val="center"/>
          </w:tcPr>
          <w:p w14:paraId="72E1F364">
            <w:pPr>
              <w:spacing w:line="276" w:lineRule="auto"/>
              <w:rPr>
                <w:rFonts w:ascii="宋体" w:hAnsi="宋体"/>
                <w:color w:val="auto"/>
                <w:sz w:val="24"/>
                <w:highlight w:val="none"/>
              </w:rPr>
            </w:pPr>
          </w:p>
        </w:tc>
        <w:tc>
          <w:tcPr>
            <w:tcW w:w="1207" w:type="dxa"/>
            <w:vAlign w:val="center"/>
          </w:tcPr>
          <w:p w14:paraId="55F13315">
            <w:pPr>
              <w:spacing w:line="276" w:lineRule="auto"/>
              <w:rPr>
                <w:rFonts w:ascii="宋体" w:hAnsi="宋体"/>
                <w:color w:val="auto"/>
                <w:sz w:val="24"/>
                <w:highlight w:val="none"/>
              </w:rPr>
            </w:pPr>
          </w:p>
        </w:tc>
        <w:tc>
          <w:tcPr>
            <w:tcW w:w="1660" w:type="dxa"/>
          </w:tcPr>
          <w:p w14:paraId="31A67E9E">
            <w:pPr>
              <w:spacing w:line="276" w:lineRule="auto"/>
              <w:rPr>
                <w:rFonts w:ascii="宋体" w:hAnsi="宋体"/>
                <w:color w:val="auto"/>
                <w:sz w:val="24"/>
                <w:highlight w:val="none"/>
              </w:rPr>
            </w:pPr>
          </w:p>
        </w:tc>
        <w:tc>
          <w:tcPr>
            <w:tcW w:w="2208" w:type="dxa"/>
          </w:tcPr>
          <w:p w14:paraId="186C6471">
            <w:pPr>
              <w:spacing w:line="276" w:lineRule="auto"/>
              <w:rPr>
                <w:rFonts w:ascii="宋体" w:hAnsi="宋体"/>
                <w:color w:val="auto"/>
                <w:sz w:val="24"/>
                <w:highlight w:val="none"/>
              </w:rPr>
            </w:pPr>
          </w:p>
        </w:tc>
        <w:tc>
          <w:tcPr>
            <w:tcW w:w="1452" w:type="dxa"/>
            <w:vAlign w:val="center"/>
          </w:tcPr>
          <w:p w14:paraId="3B111052">
            <w:pPr>
              <w:spacing w:line="276" w:lineRule="auto"/>
              <w:rPr>
                <w:rFonts w:ascii="宋体" w:hAnsi="宋体"/>
                <w:color w:val="auto"/>
                <w:sz w:val="24"/>
                <w:highlight w:val="none"/>
              </w:rPr>
            </w:pPr>
          </w:p>
        </w:tc>
      </w:tr>
      <w:tr w14:paraId="1251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84F0F3A">
            <w:pPr>
              <w:spacing w:line="276" w:lineRule="auto"/>
              <w:rPr>
                <w:rFonts w:ascii="宋体" w:hAnsi="宋体"/>
                <w:color w:val="auto"/>
                <w:sz w:val="24"/>
                <w:highlight w:val="none"/>
              </w:rPr>
            </w:pPr>
          </w:p>
        </w:tc>
        <w:tc>
          <w:tcPr>
            <w:tcW w:w="1453" w:type="dxa"/>
            <w:vAlign w:val="center"/>
          </w:tcPr>
          <w:p w14:paraId="119C6050">
            <w:pPr>
              <w:spacing w:line="276" w:lineRule="auto"/>
              <w:rPr>
                <w:rFonts w:ascii="宋体" w:hAnsi="宋体"/>
                <w:color w:val="auto"/>
                <w:sz w:val="24"/>
                <w:highlight w:val="none"/>
              </w:rPr>
            </w:pPr>
          </w:p>
        </w:tc>
        <w:tc>
          <w:tcPr>
            <w:tcW w:w="1207" w:type="dxa"/>
            <w:vAlign w:val="center"/>
          </w:tcPr>
          <w:p w14:paraId="3C56A4DA">
            <w:pPr>
              <w:spacing w:line="276" w:lineRule="auto"/>
              <w:rPr>
                <w:rFonts w:ascii="宋体" w:hAnsi="宋体"/>
                <w:color w:val="auto"/>
                <w:sz w:val="24"/>
                <w:highlight w:val="none"/>
              </w:rPr>
            </w:pPr>
          </w:p>
        </w:tc>
        <w:tc>
          <w:tcPr>
            <w:tcW w:w="1660" w:type="dxa"/>
          </w:tcPr>
          <w:p w14:paraId="738D674F">
            <w:pPr>
              <w:spacing w:line="276" w:lineRule="auto"/>
              <w:rPr>
                <w:rFonts w:ascii="宋体" w:hAnsi="宋体"/>
                <w:color w:val="auto"/>
                <w:sz w:val="24"/>
                <w:highlight w:val="none"/>
              </w:rPr>
            </w:pPr>
          </w:p>
        </w:tc>
        <w:tc>
          <w:tcPr>
            <w:tcW w:w="2208" w:type="dxa"/>
          </w:tcPr>
          <w:p w14:paraId="3FE81865">
            <w:pPr>
              <w:spacing w:line="276" w:lineRule="auto"/>
              <w:rPr>
                <w:rFonts w:ascii="宋体" w:hAnsi="宋体"/>
                <w:color w:val="auto"/>
                <w:sz w:val="24"/>
                <w:highlight w:val="none"/>
              </w:rPr>
            </w:pPr>
          </w:p>
        </w:tc>
        <w:tc>
          <w:tcPr>
            <w:tcW w:w="1452" w:type="dxa"/>
            <w:vAlign w:val="center"/>
          </w:tcPr>
          <w:p w14:paraId="6A796D59">
            <w:pPr>
              <w:spacing w:line="276" w:lineRule="auto"/>
              <w:rPr>
                <w:rFonts w:ascii="宋体" w:hAnsi="宋体"/>
                <w:color w:val="auto"/>
                <w:sz w:val="24"/>
                <w:highlight w:val="none"/>
              </w:rPr>
            </w:pPr>
          </w:p>
        </w:tc>
      </w:tr>
      <w:tr w14:paraId="1D0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7521418">
            <w:pPr>
              <w:spacing w:line="276" w:lineRule="auto"/>
              <w:rPr>
                <w:rFonts w:ascii="宋体" w:hAnsi="宋体"/>
                <w:color w:val="auto"/>
                <w:sz w:val="24"/>
                <w:highlight w:val="none"/>
              </w:rPr>
            </w:pPr>
          </w:p>
        </w:tc>
        <w:tc>
          <w:tcPr>
            <w:tcW w:w="1453" w:type="dxa"/>
            <w:vAlign w:val="center"/>
          </w:tcPr>
          <w:p w14:paraId="335DB646">
            <w:pPr>
              <w:spacing w:line="276" w:lineRule="auto"/>
              <w:rPr>
                <w:rFonts w:ascii="宋体" w:hAnsi="宋体"/>
                <w:color w:val="auto"/>
                <w:sz w:val="24"/>
                <w:highlight w:val="none"/>
              </w:rPr>
            </w:pPr>
          </w:p>
        </w:tc>
        <w:tc>
          <w:tcPr>
            <w:tcW w:w="1207" w:type="dxa"/>
            <w:vAlign w:val="center"/>
          </w:tcPr>
          <w:p w14:paraId="4ECDB06F">
            <w:pPr>
              <w:spacing w:line="276" w:lineRule="auto"/>
              <w:rPr>
                <w:rFonts w:ascii="宋体" w:hAnsi="宋体"/>
                <w:color w:val="auto"/>
                <w:sz w:val="24"/>
                <w:highlight w:val="none"/>
              </w:rPr>
            </w:pPr>
          </w:p>
        </w:tc>
        <w:tc>
          <w:tcPr>
            <w:tcW w:w="1660" w:type="dxa"/>
          </w:tcPr>
          <w:p w14:paraId="5B554DD4">
            <w:pPr>
              <w:spacing w:line="276" w:lineRule="auto"/>
              <w:rPr>
                <w:rFonts w:ascii="宋体" w:hAnsi="宋体"/>
                <w:color w:val="auto"/>
                <w:sz w:val="24"/>
                <w:highlight w:val="none"/>
              </w:rPr>
            </w:pPr>
          </w:p>
        </w:tc>
        <w:tc>
          <w:tcPr>
            <w:tcW w:w="2208" w:type="dxa"/>
          </w:tcPr>
          <w:p w14:paraId="0751C924">
            <w:pPr>
              <w:spacing w:line="276" w:lineRule="auto"/>
              <w:rPr>
                <w:rFonts w:ascii="宋体" w:hAnsi="宋体"/>
                <w:color w:val="auto"/>
                <w:sz w:val="24"/>
                <w:highlight w:val="none"/>
              </w:rPr>
            </w:pPr>
          </w:p>
        </w:tc>
        <w:tc>
          <w:tcPr>
            <w:tcW w:w="1452" w:type="dxa"/>
            <w:vAlign w:val="center"/>
          </w:tcPr>
          <w:p w14:paraId="3AEA52E8">
            <w:pPr>
              <w:spacing w:line="276" w:lineRule="auto"/>
              <w:rPr>
                <w:rFonts w:ascii="宋体" w:hAnsi="宋体"/>
                <w:color w:val="auto"/>
                <w:sz w:val="24"/>
                <w:highlight w:val="none"/>
              </w:rPr>
            </w:pPr>
          </w:p>
        </w:tc>
      </w:tr>
    </w:tbl>
    <w:p w14:paraId="7122FD45">
      <w:pPr>
        <w:pStyle w:val="323"/>
        <w:spacing w:before="120" w:after="120" w:line="276" w:lineRule="auto"/>
        <w:rPr>
          <w:rFonts w:ascii="仿宋_GB2312" w:hAnsi="宋体"/>
          <w:color w:val="auto"/>
          <w:highlight w:val="none"/>
        </w:rPr>
      </w:pPr>
    </w:p>
    <w:p w14:paraId="1EA8114A">
      <w:pPr>
        <w:pStyle w:val="323"/>
        <w:spacing w:before="120" w:after="120" w:line="276" w:lineRule="auto"/>
        <w:ind w:left="430" w:leftChars="205" w:firstLine="4320" w:firstLineChars="1800"/>
        <w:rPr>
          <w:rFonts w:hint="eastAsia" w:ascii="仿宋_GB2312" w:hAnsi="宋体"/>
          <w:color w:val="auto"/>
          <w:highlight w:val="none"/>
        </w:rPr>
      </w:pPr>
      <w:r>
        <w:rPr>
          <w:rFonts w:hint="eastAsia" w:ascii="仿宋_GB2312" w:hAnsi="宋体"/>
          <w:color w:val="auto"/>
          <w:highlight w:val="none"/>
        </w:rPr>
        <w:t xml:space="preserve">  </w:t>
      </w:r>
    </w:p>
    <w:p w14:paraId="389BC775">
      <w:pPr>
        <w:pStyle w:val="323"/>
        <w:spacing w:before="120" w:after="120" w:line="276" w:lineRule="auto"/>
        <w:rPr>
          <w:rFonts w:ascii="仿宋_GB2312" w:hAnsi="宋体"/>
          <w:color w:val="auto"/>
          <w:highlight w:val="none"/>
        </w:rPr>
      </w:pPr>
      <w:r>
        <w:rPr>
          <w:rFonts w:hint="eastAsia" w:ascii="仿宋_GB2312" w:hAnsi="宋体"/>
          <w:color w:val="auto"/>
          <w:highlight w:val="none"/>
        </w:rPr>
        <w:t>注：</w:t>
      </w:r>
      <w:r>
        <w:rPr>
          <w:rFonts w:hint="eastAsia" w:ascii="宋体" w:hAnsi="宋体" w:cs="宋体"/>
          <w:color w:val="auto"/>
          <w:highlight w:val="none"/>
        </w:rPr>
        <w:t>提供合同扫描件、网上中标公示页截图及网址连接并加盖公章。</w:t>
      </w:r>
    </w:p>
    <w:p w14:paraId="116E8AAA">
      <w:pPr>
        <w:pStyle w:val="323"/>
        <w:spacing w:before="120" w:after="120" w:line="276" w:lineRule="auto"/>
        <w:ind w:left="430" w:leftChars="205" w:firstLine="4320" w:firstLineChars="1800"/>
        <w:rPr>
          <w:rFonts w:hint="eastAsia" w:ascii="仿宋_GB2312" w:hAnsi="宋体"/>
          <w:color w:val="auto"/>
          <w:highlight w:val="none"/>
        </w:rPr>
      </w:pPr>
    </w:p>
    <w:p w14:paraId="052CC358">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15B852FC">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E1C4419">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4101458">
      <w:pPr>
        <w:rPr>
          <w:rFonts w:hint="eastAsia" w:ascii="宋体" w:hAnsi="宋体" w:cs="宋体"/>
          <w:color w:val="auto"/>
          <w:sz w:val="24"/>
          <w:highlight w:val="none"/>
        </w:rPr>
      </w:pPr>
    </w:p>
    <w:p w14:paraId="622D9818">
      <w:pPr>
        <w:rPr>
          <w:rFonts w:hint="eastAsia" w:ascii="宋体" w:hAnsi="宋体" w:cs="宋体"/>
          <w:color w:val="auto"/>
          <w:sz w:val="24"/>
          <w:highlight w:val="none"/>
        </w:rPr>
      </w:pPr>
    </w:p>
    <w:p w14:paraId="410998A9">
      <w:pPr>
        <w:rPr>
          <w:rFonts w:hint="eastAsia" w:ascii="宋体" w:hAnsi="宋体" w:cs="宋体"/>
          <w:color w:val="auto"/>
          <w:sz w:val="24"/>
          <w:highlight w:val="none"/>
        </w:rPr>
      </w:pPr>
    </w:p>
    <w:p w14:paraId="491A84FB">
      <w:pPr>
        <w:rPr>
          <w:rFonts w:hint="eastAsia" w:ascii="宋体" w:hAnsi="宋体" w:cs="宋体"/>
          <w:color w:val="auto"/>
          <w:sz w:val="24"/>
          <w:highlight w:val="none"/>
        </w:rPr>
      </w:pPr>
    </w:p>
    <w:p w14:paraId="4FDD786C">
      <w:pPr>
        <w:rPr>
          <w:rFonts w:hint="eastAsia" w:ascii="宋体" w:hAnsi="宋体" w:cs="宋体"/>
          <w:color w:val="auto"/>
          <w:sz w:val="24"/>
          <w:highlight w:val="none"/>
        </w:rPr>
      </w:pPr>
    </w:p>
    <w:p w14:paraId="6C074E22">
      <w:pPr>
        <w:rPr>
          <w:rFonts w:ascii="宋体" w:hAnsi="宋体" w:cs="宋体"/>
          <w:color w:val="auto"/>
          <w:sz w:val="28"/>
          <w:szCs w:val="28"/>
          <w:highlight w:val="none"/>
        </w:rPr>
      </w:pPr>
      <w:r>
        <w:rPr>
          <w:rFonts w:hint="eastAsia" w:ascii="宋体" w:hAnsi="宋体" w:cs="宋体"/>
          <w:color w:val="auto"/>
          <w:sz w:val="28"/>
          <w:szCs w:val="28"/>
          <w:highlight w:val="none"/>
        </w:rPr>
        <w:t>附件18</w:t>
      </w:r>
    </w:p>
    <w:p w14:paraId="1E57B6D2">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项目经理情况表</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D48028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588A044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0B20F8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75B71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6D3F9B3E">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2E95EE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1E1701EC">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23308C6">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2AE0ECE5">
            <w:pPr>
              <w:spacing w:line="360" w:lineRule="exact"/>
              <w:jc w:val="center"/>
              <w:rPr>
                <w:rFonts w:hint="eastAsia" w:ascii="新宋体" w:hAnsi="新宋体" w:eastAsia="新宋体" w:cs="新宋体"/>
                <w:color w:val="auto"/>
                <w:sz w:val="22"/>
                <w:szCs w:val="22"/>
                <w:highlight w:val="none"/>
              </w:rPr>
            </w:pPr>
          </w:p>
        </w:tc>
      </w:tr>
      <w:tr w14:paraId="1341C7B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C757E7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4B8B4414">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6AC0F6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2D9FBA98">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3B8B41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0D1DEC7D">
            <w:pPr>
              <w:spacing w:line="360" w:lineRule="exact"/>
              <w:jc w:val="center"/>
              <w:rPr>
                <w:rFonts w:hint="eastAsia" w:ascii="新宋体" w:hAnsi="新宋体" w:eastAsia="新宋体" w:cs="新宋体"/>
                <w:color w:val="auto"/>
                <w:sz w:val="22"/>
                <w:szCs w:val="22"/>
                <w:highlight w:val="none"/>
              </w:rPr>
            </w:pPr>
          </w:p>
        </w:tc>
      </w:tr>
      <w:tr w14:paraId="0BB23C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6B95CE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0349EDC6">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1E77CA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304064A9">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8D66C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1FC5E76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14:paraId="7EAB7BE0">
            <w:pPr>
              <w:spacing w:line="360" w:lineRule="exact"/>
              <w:jc w:val="center"/>
              <w:rPr>
                <w:rFonts w:hint="eastAsia" w:ascii="新宋体" w:hAnsi="新宋体" w:eastAsia="新宋体" w:cs="新宋体"/>
                <w:color w:val="auto"/>
                <w:sz w:val="22"/>
                <w:szCs w:val="22"/>
                <w:highlight w:val="none"/>
              </w:rPr>
            </w:pPr>
          </w:p>
        </w:tc>
      </w:tr>
      <w:tr w14:paraId="1734F6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BF3AB5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3E3D9C0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BC1A28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2395940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43ECAE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F5EE32F">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04B6319">
            <w:pPr>
              <w:spacing w:line="360" w:lineRule="exact"/>
              <w:rPr>
                <w:rFonts w:hint="eastAsia" w:ascii="新宋体" w:hAnsi="新宋体" w:eastAsia="新宋体" w:cs="新宋体"/>
                <w:color w:val="auto"/>
                <w:sz w:val="22"/>
                <w:szCs w:val="22"/>
                <w:highlight w:val="none"/>
              </w:rPr>
            </w:pPr>
          </w:p>
        </w:tc>
      </w:tr>
      <w:tr w14:paraId="35982C4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3C5E29C">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2BA8A6F0">
            <w:pPr>
              <w:spacing w:line="360" w:lineRule="exact"/>
              <w:rPr>
                <w:rFonts w:hint="eastAsia" w:ascii="新宋体" w:hAnsi="新宋体" w:eastAsia="新宋体" w:cs="新宋体"/>
                <w:color w:val="auto"/>
                <w:sz w:val="22"/>
                <w:szCs w:val="22"/>
                <w:highlight w:val="none"/>
              </w:rPr>
            </w:pPr>
          </w:p>
        </w:tc>
      </w:tr>
      <w:tr w14:paraId="246EBC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DC067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3、项目经理业绩</w:t>
            </w:r>
          </w:p>
        </w:tc>
      </w:tr>
      <w:tr w14:paraId="28B5FD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686B7D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1E40497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637493D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0F6D331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2A0F1D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D8221D6">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256CA4D1">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1907F56">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36A7054F">
            <w:pPr>
              <w:spacing w:line="360" w:lineRule="exact"/>
              <w:rPr>
                <w:rFonts w:hint="eastAsia" w:ascii="新宋体" w:hAnsi="新宋体" w:eastAsia="新宋体" w:cs="新宋体"/>
                <w:color w:val="auto"/>
                <w:sz w:val="22"/>
                <w:szCs w:val="22"/>
                <w:highlight w:val="none"/>
              </w:rPr>
            </w:pPr>
          </w:p>
        </w:tc>
      </w:tr>
      <w:tr w14:paraId="59AC04E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1BD5A2A">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42D7B110">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6FB646D">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EA2F4B6">
            <w:pPr>
              <w:spacing w:line="360" w:lineRule="exact"/>
              <w:rPr>
                <w:rFonts w:hint="eastAsia" w:ascii="新宋体" w:hAnsi="新宋体" w:eastAsia="新宋体" w:cs="新宋体"/>
                <w:color w:val="auto"/>
                <w:sz w:val="22"/>
                <w:szCs w:val="22"/>
                <w:highlight w:val="none"/>
              </w:rPr>
            </w:pPr>
          </w:p>
        </w:tc>
      </w:tr>
      <w:tr w14:paraId="0E74B1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C468BBD">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515C3E89">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4CE072EA">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2DB4D6E">
            <w:pPr>
              <w:spacing w:line="360" w:lineRule="exact"/>
              <w:rPr>
                <w:rFonts w:hint="eastAsia" w:ascii="新宋体" w:hAnsi="新宋体" w:eastAsia="新宋体" w:cs="新宋体"/>
                <w:color w:val="auto"/>
                <w:sz w:val="22"/>
                <w:szCs w:val="22"/>
                <w:highlight w:val="none"/>
              </w:rPr>
            </w:pPr>
          </w:p>
        </w:tc>
      </w:tr>
      <w:tr w14:paraId="52212DF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66A73784">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0E605F65">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14F68C3F">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1C61571D">
            <w:pPr>
              <w:spacing w:line="360" w:lineRule="exact"/>
              <w:rPr>
                <w:rFonts w:hint="eastAsia" w:ascii="新宋体" w:hAnsi="新宋体" w:eastAsia="新宋体" w:cs="新宋体"/>
                <w:color w:val="auto"/>
                <w:sz w:val="22"/>
                <w:szCs w:val="22"/>
                <w:highlight w:val="none"/>
              </w:rPr>
            </w:pPr>
          </w:p>
        </w:tc>
      </w:tr>
    </w:tbl>
    <w:p w14:paraId="0C34966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注：1.此表所列人员如需更换，须经采购人同意。</w:t>
      </w:r>
    </w:p>
    <w:p w14:paraId="7EBFBE9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2794A3E1">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BC817AA">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DCE5CE1">
      <w:pPr>
        <w:snapToGrid w:val="0"/>
        <w:spacing w:before="120" w:line="360" w:lineRule="auto"/>
        <w:rPr>
          <w:rFonts w:hAnsi="宋体"/>
          <w:b/>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r>
        <w:rPr>
          <w:rFonts w:hAnsi="宋体"/>
          <w:color w:val="auto"/>
          <w:highlight w:val="none"/>
        </w:rPr>
        <w:br w:type="page"/>
      </w:r>
      <w:r>
        <w:rPr>
          <w:rFonts w:hint="eastAsia" w:ascii="宋体" w:hAnsi="宋体" w:cs="宋体"/>
          <w:color w:val="auto"/>
          <w:sz w:val="28"/>
          <w:szCs w:val="28"/>
          <w:highlight w:val="none"/>
        </w:rPr>
        <w:t xml:space="preserve">附件19:项目组成员   </w:t>
      </w:r>
      <w:r>
        <w:rPr>
          <w:rFonts w:hint="eastAsia" w:hAnsi="宋体"/>
          <w:b/>
          <w:color w:val="auto"/>
          <w:highlight w:val="none"/>
        </w:rPr>
        <w:t xml:space="preserve">                </w:t>
      </w:r>
    </w:p>
    <w:p w14:paraId="4C07A84A">
      <w:pPr>
        <w:pStyle w:val="29"/>
        <w:spacing w:before="120" w:after="120" w:line="360" w:lineRule="auto"/>
        <w:ind w:right="-48" w:rightChars="-23"/>
        <w:jc w:val="center"/>
        <w:rPr>
          <w:rFonts w:hAnsi="宋体"/>
          <w:b/>
          <w:color w:val="auto"/>
          <w:highlight w:val="none"/>
        </w:rPr>
      </w:pPr>
      <w:r>
        <w:rPr>
          <w:rFonts w:hint="eastAsia" w:hAnsi="宋体"/>
          <w:b/>
          <w:color w:val="auto"/>
          <w:highlight w:val="none"/>
        </w:rPr>
        <w:t>项目组成员情况表</w:t>
      </w:r>
    </w:p>
    <w:p w14:paraId="73DA0AE3">
      <w:pPr>
        <w:spacing w:line="0" w:lineRule="atLeast"/>
        <w:rPr>
          <w:rFonts w:ascii="宋体" w:hAnsi="宋体"/>
          <w:color w:val="auto"/>
          <w:sz w:val="24"/>
          <w:highlight w:val="none"/>
        </w:rPr>
      </w:pPr>
      <w:r>
        <w:rPr>
          <w:rFonts w:hint="eastAsia" w:ascii="宋体" w:hAnsi="宋体"/>
          <w:color w:val="auto"/>
          <w:sz w:val="24"/>
          <w:highlight w:val="none"/>
        </w:rPr>
        <w:t>项目名称：                                            招标编号：</w:t>
      </w:r>
    </w:p>
    <w:p w14:paraId="05182F70">
      <w:pPr>
        <w:spacing w:line="0" w:lineRule="atLeast"/>
        <w:rPr>
          <w:rFonts w:ascii="宋体" w:hAnsi="宋体"/>
          <w:color w:val="auto"/>
          <w:sz w:val="24"/>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20FE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060832D">
            <w:pPr>
              <w:spacing w:line="0" w:lineRule="atLeast"/>
              <w:jc w:val="center"/>
              <w:rPr>
                <w:rFonts w:ascii="宋体" w:hAnsi="宋体"/>
                <w:color w:val="auto"/>
                <w:sz w:val="24"/>
                <w:highlight w:val="none"/>
              </w:rPr>
            </w:pPr>
            <w:r>
              <w:rPr>
                <w:rFonts w:hint="eastAsia" w:ascii="宋体" w:hAnsi="宋体"/>
                <w:color w:val="auto"/>
                <w:sz w:val="24"/>
                <w:highlight w:val="none"/>
              </w:rPr>
              <w:t>序号</w:t>
            </w:r>
          </w:p>
        </w:tc>
        <w:tc>
          <w:tcPr>
            <w:tcW w:w="1126" w:type="dxa"/>
            <w:vAlign w:val="center"/>
          </w:tcPr>
          <w:p w14:paraId="311943F5">
            <w:pPr>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992" w:type="dxa"/>
            <w:vAlign w:val="center"/>
          </w:tcPr>
          <w:p w14:paraId="68ADFC7C">
            <w:pPr>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993" w:type="dxa"/>
            <w:vAlign w:val="center"/>
          </w:tcPr>
          <w:p w14:paraId="5D875D90">
            <w:pPr>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661" w:type="dxa"/>
            <w:vAlign w:val="center"/>
          </w:tcPr>
          <w:p w14:paraId="10DE1B6D">
            <w:pPr>
              <w:spacing w:line="0" w:lineRule="atLeast"/>
              <w:jc w:val="center"/>
              <w:rPr>
                <w:rFonts w:ascii="宋体" w:hAnsi="宋体"/>
                <w:color w:val="auto"/>
                <w:sz w:val="24"/>
                <w:highlight w:val="none"/>
              </w:rPr>
            </w:pPr>
            <w:r>
              <w:rPr>
                <w:rFonts w:hint="eastAsia" w:ascii="宋体" w:hAnsi="宋体"/>
                <w:color w:val="auto"/>
                <w:sz w:val="24"/>
                <w:highlight w:val="none"/>
              </w:rPr>
              <w:t>资格证书</w:t>
            </w:r>
          </w:p>
        </w:tc>
        <w:tc>
          <w:tcPr>
            <w:tcW w:w="1950" w:type="dxa"/>
            <w:vAlign w:val="center"/>
          </w:tcPr>
          <w:p w14:paraId="3B9ADDB0">
            <w:pPr>
              <w:spacing w:line="0" w:lineRule="atLeast"/>
              <w:jc w:val="center"/>
              <w:rPr>
                <w:rFonts w:ascii="宋体" w:hAnsi="宋体"/>
                <w:color w:val="auto"/>
                <w:sz w:val="24"/>
                <w:highlight w:val="none"/>
              </w:rPr>
            </w:pPr>
            <w:r>
              <w:rPr>
                <w:rFonts w:hint="eastAsia" w:ascii="宋体" w:hAnsi="宋体"/>
                <w:color w:val="auto"/>
                <w:sz w:val="24"/>
                <w:highlight w:val="none"/>
              </w:rPr>
              <w:t>经验及承担过的相关服务的项目</w:t>
            </w:r>
          </w:p>
        </w:tc>
        <w:tc>
          <w:tcPr>
            <w:tcW w:w="2055" w:type="dxa"/>
            <w:vAlign w:val="center"/>
          </w:tcPr>
          <w:p w14:paraId="53153A4B">
            <w:pPr>
              <w:spacing w:line="0" w:lineRule="atLeast"/>
              <w:jc w:val="center"/>
              <w:rPr>
                <w:rFonts w:ascii="宋体" w:hAnsi="宋体"/>
                <w:color w:val="auto"/>
                <w:sz w:val="24"/>
                <w:highlight w:val="none"/>
              </w:rPr>
            </w:pPr>
            <w:r>
              <w:rPr>
                <w:rFonts w:hint="eastAsia" w:ascii="宋体" w:hAnsi="宋体"/>
                <w:color w:val="auto"/>
                <w:sz w:val="24"/>
                <w:highlight w:val="none"/>
              </w:rPr>
              <w:t>拟担工作岗位</w:t>
            </w:r>
          </w:p>
        </w:tc>
      </w:tr>
      <w:tr w14:paraId="09D6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7F6563">
            <w:pPr>
              <w:rPr>
                <w:rFonts w:ascii="宋体" w:hAnsi="宋体"/>
                <w:color w:val="auto"/>
                <w:kern w:val="0"/>
                <w:sz w:val="24"/>
                <w:highlight w:val="none"/>
              </w:rPr>
            </w:pPr>
          </w:p>
          <w:p w14:paraId="4FF8F06C">
            <w:pPr>
              <w:rPr>
                <w:rFonts w:ascii="宋体" w:hAnsi="宋体"/>
                <w:color w:val="auto"/>
                <w:kern w:val="0"/>
                <w:sz w:val="24"/>
                <w:highlight w:val="none"/>
              </w:rPr>
            </w:pPr>
          </w:p>
        </w:tc>
        <w:tc>
          <w:tcPr>
            <w:tcW w:w="1126" w:type="dxa"/>
            <w:vAlign w:val="center"/>
          </w:tcPr>
          <w:p w14:paraId="7A6EE631">
            <w:pPr>
              <w:rPr>
                <w:rFonts w:ascii="宋体" w:hAnsi="宋体"/>
                <w:color w:val="auto"/>
                <w:kern w:val="0"/>
                <w:sz w:val="24"/>
                <w:highlight w:val="none"/>
              </w:rPr>
            </w:pPr>
          </w:p>
        </w:tc>
        <w:tc>
          <w:tcPr>
            <w:tcW w:w="992" w:type="dxa"/>
            <w:vAlign w:val="center"/>
          </w:tcPr>
          <w:p w14:paraId="05919FFE">
            <w:pPr>
              <w:rPr>
                <w:rFonts w:ascii="宋体" w:hAnsi="宋体"/>
                <w:color w:val="auto"/>
                <w:kern w:val="0"/>
                <w:sz w:val="24"/>
                <w:highlight w:val="none"/>
              </w:rPr>
            </w:pPr>
          </w:p>
        </w:tc>
        <w:tc>
          <w:tcPr>
            <w:tcW w:w="993" w:type="dxa"/>
            <w:vAlign w:val="center"/>
          </w:tcPr>
          <w:p w14:paraId="24C009C5">
            <w:pPr>
              <w:rPr>
                <w:rFonts w:ascii="宋体" w:hAnsi="宋体"/>
                <w:color w:val="auto"/>
                <w:kern w:val="0"/>
                <w:sz w:val="24"/>
                <w:highlight w:val="none"/>
              </w:rPr>
            </w:pPr>
          </w:p>
        </w:tc>
        <w:tc>
          <w:tcPr>
            <w:tcW w:w="1661" w:type="dxa"/>
            <w:vAlign w:val="center"/>
          </w:tcPr>
          <w:p w14:paraId="29E27EB1">
            <w:pPr>
              <w:rPr>
                <w:rFonts w:ascii="宋体" w:hAnsi="宋体"/>
                <w:color w:val="auto"/>
                <w:kern w:val="0"/>
                <w:sz w:val="24"/>
                <w:highlight w:val="none"/>
              </w:rPr>
            </w:pPr>
          </w:p>
        </w:tc>
        <w:tc>
          <w:tcPr>
            <w:tcW w:w="1950" w:type="dxa"/>
            <w:vAlign w:val="center"/>
          </w:tcPr>
          <w:p w14:paraId="2512835E">
            <w:pPr>
              <w:rPr>
                <w:rFonts w:ascii="宋体" w:hAnsi="宋体"/>
                <w:color w:val="auto"/>
                <w:kern w:val="0"/>
                <w:sz w:val="24"/>
                <w:highlight w:val="none"/>
              </w:rPr>
            </w:pPr>
          </w:p>
        </w:tc>
        <w:tc>
          <w:tcPr>
            <w:tcW w:w="2055" w:type="dxa"/>
            <w:vAlign w:val="center"/>
          </w:tcPr>
          <w:p w14:paraId="33513F43">
            <w:pPr>
              <w:rPr>
                <w:rFonts w:ascii="宋体" w:hAnsi="宋体"/>
                <w:color w:val="auto"/>
                <w:kern w:val="0"/>
                <w:sz w:val="24"/>
                <w:highlight w:val="none"/>
              </w:rPr>
            </w:pPr>
          </w:p>
        </w:tc>
      </w:tr>
      <w:tr w14:paraId="31AF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10C6D83">
            <w:pPr>
              <w:rPr>
                <w:rFonts w:ascii="宋体" w:hAnsi="宋体"/>
                <w:color w:val="auto"/>
                <w:kern w:val="0"/>
                <w:sz w:val="24"/>
                <w:highlight w:val="none"/>
              </w:rPr>
            </w:pPr>
          </w:p>
          <w:p w14:paraId="3210591F">
            <w:pPr>
              <w:rPr>
                <w:rFonts w:ascii="宋体" w:hAnsi="宋体"/>
                <w:color w:val="auto"/>
                <w:kern w:val="0"/>
                <w:sz w:val="24"/>
                <w:highlight w:val="none"/>
              </w:rPr>
            </w:pPr>
          </w:p>
        </w:tc>
        <w:tc>
          <w:tcPr>
            <w:tcW w:w="1126" w:type="dxa"/>
            <w:vAlign w:val="center"/>
          </w:tcPr>
          <w:p w14:paraId="670AD4D4">
            <w:pPr>
              <w:rPr>
                <w:rFonts w:ascii="宋体" w:hAnsi="宋体"/>
                <w:color w:val="auto"/>
                <w:kern w:val="0"/>
                <w:sz w:val="24"/>
                <w:highlight w:val="none"/>
              </w:rPr>
            </w:pPr>
          </w:p>
        </w:tc>
        <w:tc>
          <w:tcPr>
            <w:tcW w:w="992" w:type="dxa"/>
            <w:vAlign w:val="center"/>
          </w:tcPr>
          <w:p w14:paraId="03F73AC1">
            <w:pPr>
              <w:rPr>
                <w:rFonts w:ascii="宋体" w:hAnsi="宋体"/>
                <w:color w:val="auto"/>
                <w:kern w:val="0"/>
                <w:sz w:val="24"/>
                <w:highlight w:val="none"/>
              </w:rPr>
            </w:pPr>
          </w:p>
        </w:tc>
        <w:tc>
          <w:tcPr>
            <w:tcW w:w="993" w:type="dxa"/>
            <w:vAlign w:val="center"/>
          </w:tcPr>
          <w:p w14:paraId="0DC19200">
            <w:pPr>
              <w:rPr>
                <w:rFonts w:ascii="宋体" w:hAnsi="宋体"/>
                <w:color w:val="auto"/>
                <w:kern w:val="0"/>
                <w:sz w:val="24"/>
                <w:highlight w:val="none"/>
              </w:rPr>
            </w:pPr>
          </w:p>
        </w:tc>
        <w:tc>
          <w:tcPr>
            <w:tcW w:w="1661" w:type="dxa"/>
            <w:vAlign w:val="center"/>
          </w:tcPr>
          <w:p w14:paraId="05B36EF9">
            <w:pPr>
              <w:rPr>
                <w:rFonts w:ascii="宋体" w:hAnsi="宋体"/>
                <w:color w:val="auto"/>
                <w:kern w:val="0"/>
                <w:sz w:val="24"/>
                <w:highlight w:val="none"/>
              </w:rPr>
            </w:pPr>
          </w:p>
        </w:tc>
        <w:tc>
          <w:tcPr>
            <w:tcW w:w="1950" w:type="dxa"/>
            <w:vAlign w:val="center"/>
          </w:tcPr>
          <w:p w14:paraId="5605DF26">
            <w:pPr>
              <w:rPr>
                <w:rFonts w:ascii="宋体" w:hAnsi="宋体"/>
                <w:color w:val="auto"/>
                <w:kern w:val="0"/>
                <w:sz w:val="24"/>
                <w:highlight w:val="none"/>
              </w:rPr>
            </w:pPr>
          </w:p>
        </w:tc>
        <w:tc>
          <w:tcPr>
            <w:tcW w:w="2055" w:type="dxa"/>
            <w:vAlign w:val="center"/>
          </w:tcPr>
          <w:p w14:paraId="557ABC61">
            <w:pPr>
              <w:rPr>
                <w:rFonts w:ascii="宋体" w:hAnsi="宋体"/>
                <w:color w:val="auto"/>
                <w:kern w:val="0"/>
                <w:sz w:val="24"/>
                <w:highlight w:val="none"/>
              </w:rPr>
            </w:pPr>
          </w:p>
        </w:tc>
      </w:tr>
      <w:tr w14:paraId="131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31A23EC">
            <w:pPr>
              <w:rPr>
                <w:rFonts w:ascii="宋体" w:hAnsi="宋体"/>
                <w:color w:val="auto"/>
                <w:kern w:val="0"/>
                <w:sz w:val="24"/>
                <w:highlight w:val="none"/>
              </w:rPr>
            </w:pPr>
          </w:p>
          <w:p w14:paraId="2CE84C36">
            <w:pPr>
              <w:rPr>
                <w:rFonts w:ascii="宋体" w:hAnsi="宋体"/>
                <w:color w:val="auto"/>
                <w:kern w:val="0"/>
                <w:sz w:val="24"/>
                <w:highlight w:val="none"/>
              </w:rPr>
            </w:pPr>
          </w:p>
        </w:tc>
        <w:tc>
          <w:tcPr>
            <w:tcW w:w="1126" w:type="dxa"/>
            <w:vAlign w:val="center"/>
          </w:tcPr>
          <w:p w14:paraId="3170EF82">
            <w:pPr>
              <w:rPr>
                <w:rFonts w:ascii="宋体" w:hAnsi="宋体"/>
                <w:color w:val="auto"/>
                <w:kern w:val="0"/>
                <w:sz w:val="24"/>
                <w:highlight w:val="none"/>
              </w:rPr>
            </w:pPr>
          </w:p>
        </w:tc>
        <w:tc>
          <w:tcPr>
            <w:tcW w:w="992" w:type="dxa"/>
            <w:vAlign w:val="center"/>
          </w:tcPr>
          <w:p w14:paraId="089FD1D4">
            <w:pPr>
              <w:rPr>
                <w:rFonts w:ascii="宋体" w:hAnsi="宋体"/>
                <w:color w:val="auto"/>
                <w:kern w:val="0"/>
                <w:sz w:val="24"/>
                <w:highlight w:val="none"/>
              </w:rPr>
            </w:pPr>
          </w:p>
        </w:tc>
        <w:tc>
          <w:tcPr>
            <w:tcW w:w="993" w:type="dxa"/>
            <w:vAlign w:val="center"/>
          </w:tcPr>
          <w:p w14:paraId="1474288C">
            <w:pPr>
              <w:rPr>
                <w:rFonts w:ascii="宋体" w:hAnsi="宋体"/>
                <w:color w:val="auto"/>
                <w:kern w:val="0"/>
                <w:sz w:val="24"/>
                <w:highlight w:val="none"/>
              </w:rPr>
            </w:pPr>
          </w:p>
        </w:tc>
        <w:tc>
          <w:tcPr>
            <w:tcW w:w="1661" w:type="dxa"/>
            <w:vAlign w:val="center"/>
          </w:tcPr>
          <w:p w14:paraId="44B70B04">
            <w:pPr>
              <w:rPr>
                <w:rFonts w:ascii="宋体" w:hAnsi="宋体"/>
                <w:color w:val="auto"/>
                <w:kern w:val="0"/>
                <w:sz w:val="24"/>
                <w:highlight w:val="none"/>
              </w:rPr>
            </w:pPr>
          </w:p>
        </w:tc>
        <w:tc>
          <w:tcPr>
            <w:tcW w:w="1950" w:type="dxa"/>
            <w:vAlign w:val="center"/>
          </w:tcPr>
          <w:p w14:paraId="523BA30D">
            <w:pPr>
              <w:rPr>
                <w:rFonts w:ascii="宋体" w:hAnsi="宋体"/>
                <w:color w:val="auto"/>
                <w:kern w:val="0"/>
                <w:sz w:val="24"/>
                <w:highlight w:val="none"/>
              </w:rPr>
            </w:pPr>
          </w:p>
        </w:tc>
        <w:tc>
          <w:tcPr>
            <w:tcW w:w="2055" w:type="dxa"/>
            <w:vAlign w:val="center"/>
          </w:tcPr>
          <w:p w14:paraId="00D6B7AC">
            <w:pPr>
              <w:rPr>
                <w:rFonts w:ascii="宋体" w:hAnsi="宋体"/>
                <w:color w:val="auto"/>
                <w:kern w:val="0"/>
                <w:sz w:val="24"/>
                <w:highlight w:val="none"/>
              </w:rPr>
            </w:pPr>
          </w:p>
        </w:tc>
      </w:tr>
      <w:tr w14:paraId="0A0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234AA7">
            <w:pPr>
              <w:rPr>
                <w:rFonts w:ascii="宋体" w:hAnsi="宋体"/>
                <w:color w:val="auto"/>
                <w:kern w:val="0"/>
                <w:sz w:val="24"/>
                <w:highlight w:val="none"/>
              </w:rPr>
            </w:pPr>
          </w:p>
          <w:p w14:paraId="2C9B08A5">
            <w:pPr>
              <w:rPr>
                <w:rFonts w:ascii="宋体" w:hAnsi="宋体"/>
                <w:color w:val="auto"/>
                <w:kern w:val="0"/>
                <w:sz w:val="24"/>
                <w:highlight w:val="none"/>
              </w:rPr>
            </w:pPr>
          </w:p>
        </w:tc>
        <w:tc>
          <w:tcPr>
            <w:tcW w:w="1126" w:type="dxa"/>
            <w:vAlign w:val="center"/>
          </w:tcPr>
          <w:p w14:paraId="5624A00C">
            <w:pPr>
              <w:rPr>
                <w:rFonts w:ascii="宋体" w:hAnsi="宋体"/>
                <w:color w:val="auto"/>
                <w:kern w:val="0"/>
                <w:sz w:val="24"/>
                <w:highlight w:val="none"/>
              </w:rPr>
            </w:pPr>
          </w:p>
        </w:tc>
        <w:tc>
          <w:tcPr>
            <w:tcW w:w="992" w:type="dxa"/>
            <w:vAlign w:val="center"/>
          </w:tcPr>
          <w:p w14:paraId="4CEB0F77">
            <w:pPr>
              <w:rPr>
                <w:rFonts w:ascii="宋体" w:hAnsi="宋体"/>
                <w:color w:val="auto"/>
                <w:kern w:val="0"/>
                <w:sz w:val="24"/>
                <w:highlight w:val="none"/>
              </w:rPr>
            </w:pPr>
          </w:p>
        </w:tc>
        <w:tc>
          <w:tcPr>
            <w:tcW w:w="993" w:type="dxa"/>
            <w:vAlign w:val="center"/>
          </w:tcPr>
          <w:p w14:paraId="7EA011F7">
            <w:pPr>
              <w:rPr>
                <w:rFonts w:ascii="宋体" w:hAnsi="宋体"/>
                <w:color w:val="auto"/>
                <w:kern w:val="0"/>
                <w:sz w:val="24"/>
                <w:highlight w:val="none"/>
              </w:rPr>
            </w:pPr>
          </w:p>
        </w:tc>
        <w:tc>
          <w:tcPr>
            <w:tcW w:w="1661" w:type="dxa"/>
            <w:vAlign w:val="center"/>
          </w:tcPr>
          <w:p w14:paraId="41A986F7">
            <w:pPr>
              <w:rPr>
                <w:rFonts w:ascii="宋体" w:hAnsi="宋体"/>
                <w:color w:val="auto"/>
                <w:kern w:val="0"/>
                <w:sz w:val="24"/>
                <w:highlight w:val="none"/>
              </w:rPr>
            </w:pPr>
          </w:p>
        </w:tc>
        <w:tc>
          <w:tcPr>
            <w:tcW w:w="1950" w:type="dxa"/>
            <w:vAlign w:val="center"/>
          </w:tcPr>
          <w:p w14:paraId="4AC5D9A7">
            <w:pPr>
              <w:rPr>
                <w:rFonts w:ascii="宋体" w:hAnsi="宋体"/>
                <w:color w:val="auto"/>
                <w:kern w:val="0"/>
                <w:sz w:val="24"/>
                <w:highlight w:val="none"/>
              </w:rPr>
            </w:pPr>
          </w:p>
        </w:tc>
        <w:tc>
          <w:tcPr>
            <w:tcW w:w="2055" w:type="dxa"/>
            <w:vAlign w:val="center"/>
          </w:tcPr>
          <w:p w14:paraId="6E13307F">
            <w:pPr>
              <w:rPr>
                <w:rFonts w:ascii="宋体" w:hAnsi="宋体"/>
                <w:color w:val="auto"/>
                <w:kern w:val="0"/>
                <w:sz w:val="24"/>
                <w:highlight w:val="none"/>
              </w:rPr>
            </w:pPr>
          </w:p>
        </w:tc>
      </w:tr>
      <w:tr w14:paraId="2FDF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35CBD128">
            <w:pPr>
              <w:rPr>
                <w:rFonts w:ascii="宋体" w:hAnsi="宋体"/>
                <w:color w:val="auto"/>
                <w:kern w:val="0"/>
                <w:sz w:val="24"/>
                <w:highlight w:val="none"/>
              </w:rPr>
            </w:pPr>
          </w:p>
          <w:p w14:paraId="14028360">
            <w:pPr>
              <w:rPr>
                <w:rFonts w:ascii="宋体" w:hAnsi="宋体"/>
                <w:color w:val="auto"/>
                <w:kern w:val="0"/>
                <w:sz w:val="24"/>
                <w:highlight w:val="none"/>
              </w:rPr>
            </w:pPr>
          </w:p>
        </w:tc>
        <w:tc>
          <w:tcPr>
            <w:tcW w:w="1126" w:type="dxa"/>
            <w:vAlign w:val="center"/>
          </w:tcPr>
          <w:p w14:paraId="526E89A6">
            <w:pPr>
              <w:rPr>
                <w:rFonts w:ascii="宋体" w:hAnsi="宋体"/>
                <w:color w:val="auto"/>
                <w:kern w:val="0"/>
                <w:sz w:val="24"/>
                <w:highlight w:val="none"/>
              </w:rPr>
            </w:pPr>
          </w:p>
        </w:tc>
        <w:tc>
          <w:tcPr>
            <w:tcW w:w="992" w:type="dxa"/>
            <w:vAlign w:val="center"/>
          </w:tcPr>
          <w:p w14:paraId="26361854">
            <w:pPr>
              <w:rPr>
                <w:rFonts w:ascii="宋体" w:hAnsi="宋体"/>
                <w:color w:val="auto"/>
                <w:kern w:val="0"/>
                <w:sz w:val="24"/>
                <w:highlight w:val="none"/>
              </w:rPr>
            </w:pPr>
          </w:p>
        </w:tc>
        <w:tc>
          <w:tcPr>
            <w:tcW w:w="993" w:type="dxa"/>
            <w:vAlign w:val="center"/>
          </w:tcPr>
          <w:p w14:paraId="284837B5">
            <w:pPr>
              <w:rPr>
                <w:rFonts w:ascii="宋体" w:hAnsi="宋体"/>
                <w:color w:val="auto"/>
                <w:kern w:val="0"/>
                <w:sz w:val="24"/>
                <w:highlight w:val="none"/>
              </w:rPr>
            </w:pPr>
          </w:p>
        </w:tc>
        <w:tc>
          <w:tcPr>
            <w:tcW w:w="1661" w:type="dxa"/>
            <w:vAlign w:val="center"/>
          </w:tcPr>
          <w:p w14:paraId="10C2674D">
            <w:pPr>
              <w:rPr>
                <w:rFonts w:ascii="宋体" w:hAnsi="宋体"/>
                <w:color w:val="auto"/>
                <w:kern w:val="0"/>
                <w:sz w:val="24"/>
                <w:highlight w:val="none"/>
              </w:rPr>
            </w:pPr>
          </w:p>
        </w:tc>
        <w:tc>
          <w:tcPr>
            <w:tcW w:w="1950" w:type="dxa"/>
            <w:vAlign w:val="center"/>
          </w:tcPr>
          <w:p w14:paraId="420CDB61">
            <w:pPr>
              <w:rPr>
                <w:rFonts w:ascii="宋体" w:hAnsi="宋体"/>
                <w:color w:val="auto"/>
                <w:kern w:val="0"/>
                <w:sz w:val="24"/>
                <w:highlight w:val="none"/>
              </w:rPr>
            </w:pPr>
          </w:p>
        </w:tc>
        <w:tc>
          <w:tcPr>
            <w:tcW w:w="2055" w:type="dxa"/>
            <w:vAlign w:val="center"/>
          </w:tcPr>
          <w:p w14:paraId="7D61881E">
            <w:pPr>
              <w:rPr>
                <w:rFonts w:ascii="宋体" w:hAnsi="宋体"/>
                <w:color w:val="auto"/>
                <w:kern w:val="0"/>
                <w:sz w:val="24"/>
                <w:highlight w:val="none"/>
              </w:rPr>
            </w:pPr>
          </w:p>
        </w:tc>
      </w:tr>
      <w:tr w14:paraId="7F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C237190">
            <w:pPr>
              <w:rPr>
                <w:rFonts w:ascii="宋体" w:hAnsi="宋体"/>
                <w:color w:val="auto"/>
                <w:kern w:val="0"/>
                <w:sz w:val="24"/>
                <w:highlight w:val="none"/>
              </w:rPr>
            </w:pPr>
          </w:p>
          <w:p w14:paraId="5BDBC39A">
            <w:pPr>
              <w:rPr>
                <w:rFonts w:ascii="宋体" w:hAnsi="宋体"/>
                <w:color w:val="auto"/>
                <w:kern w:val="0"/>
                <w:sz w:val="24"/>
                <w:highlight w:val="none"/>
              </w:rPr>
            </w:pPr>
          </w:p>
        </w:tc>
        <w:tc>
          <w:tcPr>
            <w:tcW w:w="1126" w:type="dxa"/>
            <w:vAlign w:val="center"/>
          </w:tcPr>
          <w:p w14:paraId="725BB23F">
            <w:pPr>
              <w:rPr>
                <w:rFonts w:ascii="宋体" w:hAnsi="宋体"/>
                <w:color w:val="auto"/>
                <w:kern w:val="0"/>
                <w:sz w:val="24"/>
                <w:highlight w:val="none"/>
              </w:rPr>
            </w:pPr>
          </w:p>
        </w:tc>
        <w:tc>
          <w:tcPr>
            <w:tcW w:w="992" w:type="dxa"/>
            <w:vAlign w:val="center"/>
          </w:tcPr>
          <w:p w14:paraId="150A1562">
            <w:pPr>
              <w:rPr>
                <w:rFonts w:ascii="宋体" w:hAnsi="宋体"/>
                <w:color w:val="auto"/>
                <w:kern w:val="0"/>
                <w:sz w:val="24"/>
                <w:highlight w:val="none"/>
              </w:rPr>
            </w:pPr>
          </w:p>
        </w:tc>
        <w:tc>
          <w:tcPr>
            <w:tcW w:w="993" w:type="dxa"/>
            <w:vAlign w:val="center"/>
          </w:tcPr>
          <w:p w14:paraId="122F03EB">
            <w:pPr>
              <w:rPr>
                <w:rFonts w:ascii="宋体" w:hAnsi="宋体"/>
                <w:color w:val="auto"/>
                <w:kern w:val="0"/>
                <w:sz w:val="24"/>
                <w:highlight w:val="none"/>
              </w:rPr>
            </w:pPr>
          </w:p>
        </w:tc>
        <w:tc>
          <w:tcPr>
            <w:tcW w:w="1661" w:type="dxa"/>
            <w:vAlign w:val="center"/>
          </w:tcPr>
          <w:p w14:paraId="29F93888">
            <w:pPr>
              <w:rPr>
                <w:rFonts w:ascii="宋体" w:hAnsi="宋体"/>
                <w:color w:val="auto"/>
                <w:kern w:val="0"/>
                <w:sz w:val="24"/>
                <w:highlight w:val="none"/>
              </w:rPr>
            </w:pPr>
          </w:p>
        </w:tc>
        <w:tc>
          <w:tcPr>
            <w:tcW w:w="1950" w:type="dxa"/>
            <w:vAlign w:val="center"/>
          </w:tcPr>
          <w:p w14:paraId="520F8B5C">
            <w:pPr>
              <w:rPr>
                <w:rFonts w:ascii="宋体" w:hAnsi="宋体"/>
                <w:color w:val="auto"/>
                <w:kern w:val="0"/>
                <w:sz w:val="24"/>
                <w:highlight w:val="none"/>
              </w:rPr>
            </w:pPr>
          </w:p>
        </w:tc>
        <w:tc>
          <w:tcPr>
            <w:tcW w:w="2055" w:type="dxa"/>
            <w:vAlign w:val="center"/>
          </w:tcPr>
          <w:p w14:paraId="4AD9E89B">
            <w:pPr>
              <w:rPr>
                <w:rFonts w:ascii="宋体" w:hAnsi="宋体"/>
                <w:color w:val="auto"/>
                <w:kern w:val="0"/>
                <w:sz w:val="24"/>
                <w:highlight w:val="none"/>
              </w:rPr>
            </w:pPr>
          </w:p>
        </w:tc>
      </w:tr>
    </w:tbl>
    <w:p w14:paraId="374CC79C">
      <w:pPr>
        <w:rPr>
          <w:rFonts w:ascii="宋体" w:hAnsi="宋体"/>
          <w:color w:val="auto"/>
          <w:kern w:val="0"/>
          <w:sz w:val="24"/>
          <w:highlight w:val="none"/>
        </w:rPr>
      </w:pPr>
    </w:p>
    <w:p w14:paraId="6CB2299B">
      <w:pPr>
        <w:spacing w:line="360" w:lineRule="auto"/>
        <w:rPr>
          <w:rFonts w:ascii="宋体" w:hAnsi="宋体"/>
          <w:b/>
          <w:color w:val="auto"/>
          <w:sz w:val="24"/>
          <w:highlight w:val="none"/>
        </w:rPr>
      </w:pPr>
      <w:r>
        <w:rPr>
          <w:rFonts w:hint="eastAsia" w:ascii="宋体" w:hAnsi="宋体"/>
          <w:b/>
          <w:color w:val="auto"/>
          <w:sz w:val="24"/>
          <w:highlight w:val="none"/>
        </w:rPr>
        <w:t>注：1.此表可以根据人数进行增减调整。</w:t>
      </w:r>
    </w:p>
    <w:p w14:paraId="504C37EF">
      <w:pPr>
        <w:snapToGrid w:val="0"/>
        <w:spacing w:line="360" w:lineRule="auto"/>
        <w:ind w:firstLine="480" w:firstLineChars="200"/>
        <w:rPr>
          <w:rFonts w:ascii="宋体" w:hAnsi="宋体"/>
          <w:color w:val="auto"/>
          <w:sz w:val="24"/>
          <w:highlight w:val="none"/>
        </w:rPr>
      </w:pPr>
      <w:r>
        <w:rPr>
          <w:rFonts w:hint="eastAsia" w:ascii="新宋体" w:hAnsi="新宋体" w:eastAsia="新宋体" w:cs="新宋体"/>
          <w:color w:val="auto"/>
          <w:sz w:val="24"/>
          <w:highlight w:val="none"/>
        </w:rPr>
        <w:t>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D51EDF3">
      <w:pPr>
        <w:snapToGrid w:val="0"/>
        <w:rPr>
          <w:rFonts w:ascii="宋体" w:hAnsi="宋体"/>
          <w:color w:val="auto"/>
          <w:sz w:val="24"/>
          <w:highlight w:val="none"/>
        </w:rPr>
      </w:pPr>
    </w:p>
    <w:p w14:paraId="75DE2592">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F54A04E">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9579DFE">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30FF90E">
      <w:pPr>
        <w:snapToGrid w:val="0"/>
        <w:spacing w:before="50" w:after="120" w:afterLines="50"/>
        <w:jc w:val="left"/>
        <w:rPr>
          <w:rFonts w:ascii="宋体" w:hAnsi="宋体"/>
          <w:b/>
          <w:color w:val="auto"/>
          <w:sz w:val="24"/>
          <w:highlight w:val="none"/>
        </w:rPr>
      </w:pPr>
    </w:p>
    <w:p w14:paraId="60DD0AAD">
      <w:pPr>
        <w:snapToGrid w:val="0"/>
        <w:spacing w:before="50" w:after="120" w:afterLines="50"/>
        <w:jc w:val="left"/>
        <w:rPr>
          <w:rFonts w:ascii="宋体" w:hAnsi="宋体"/>
          <w:b/>
          <w:color w:val="auto"/>
          <w:sz w:val="24"/>
          <w:highlight w:val="none"/>
        </w:rPr>
      </w:pPr>
    </w:p>
    <w:p w14:paraId="4B66B6D9">
      <w:pPr>
        <w:snapToGrid w:val="0"/>
        <w:spacing w:before="50" w:after="120" w:afterLines="50"/>
        <w:jc w:val="left"/>
        <w:rPr>
          <w:rFonts w:ascii="宋体" w:hAnsi="宋体"/>
          <w:b/>
          <w:color w:val="auto"/>
          <w:sz w:val="24"/>
          <w:highlight w:val="none"/>
        </w:rPr>
      </w:pPr>
    </w:p>
    <w:p w14:paraId="1015A1F1">
      <w:pPr>
        <w:snapToGrid w:val="0"/>
        <w:spacing w:before="50" w:after="120" w:afterLines="50"/>
        <w:jc w:val="left"/>
        <w:rPr>
          <w:rFonts w:ascii="宋体" w:hAnsi="宋体"/>
          <w:b/>
          <w:color w:val="auto"/>
          <w:sz w:val="24"/>
          <w:highlight w:val="none"/>
        </w:rPr>
      </w:pPr>
    </w:p>
    <w:p w14:paraId="1E39A367">
      <w:pPr>
        <w:snapToGrid w:val="0"/>
        <w:spacing w:before="50" w:after="120" w:afterLines="50"/>
        <w:jc w:val="left"/>
        <w:rPr>
          <w:rFonts w:ascii="宋体" w:hAnsi="宋体"/>
          <w:b/>
          <w:color w:val="auto"/>
          <w:sz w:val="24"/>
          <w:highlight w:val="none"/>
        </w:rPr>
      </w:pPr>
    </w:p>
    <w:p w14:paraId="140D53F2">
      <w:pPr>
        <w:snapToGrid w:val="0"/>
        <w:spacing w:before="50" w:after="120" w:afterLines="50"/>
        <w:jc w:val="left"/>
        <w:rPr>
          <w:rFonts w:ascii="宋体" w:hAnsi="宋体"/>
          <w:b/>
          <w:color w:val="auto"/>
          <w:sz w:val="24"/>
          <w:highlight w:val="none"/>
        </w:rPr>
      </w:pPr>
    </w:p>
    <w:p w14:paraId="4EC22005">
      <w:pPr>
        <w:snapToGrid w:val="0"/>
        <w:spacing w:before="50" w:after="120" w:afterLines="50"/>
        <w:jc w:val="left"/>
        <w:rPr>
          <w:rFonts w:ascii="宋体" w:hAnsi="宋体"/>
          <w:b/>
          <w:color w:val="auto"/>
          <w:sz w:val="24"/>
          <w:highlight w:val="none"/>
        </w:rPr>
      </w:pPr>
    </w:p>
    <w:p w14:paraId="570236A8">
      <w:pPr>
        <w:snapToGrid w:val="0"/>
        <w:spacing w:before="50" w:after="120" w:afterLines="50"/>
        <w:jc w:val="left"/>
        <w:rPr>
          <w:rFonts w:ascii="宋体" w:hAnsi="宋体"/>
          <w:b/>
          <w:color w:val="auto"/>
          <w:sz w:val="24"/>
          <w:highlight w:val="none"/>
        </w:rPr>
      </w:pPr>
    </w:p>
    <w:p w14:paraId="3D77712A">
      <w:pPr>
        <w:snapToGrid w:val="0"/>
        <w:spacing w:before="50" w:after="120" w:afterLines="50"/>
        <w:jc w:val="left"/>
        <w:rPr>
          <w:rFonts w:ascii="宋体" w:hAnsi="宋体"/>
          <w:b/>
          <w:color w:val="auto"/>
          <w:sz w:val="24"/>
          <w:highlight w:val="none"/>
        </w:rPr>
      </w:pPr>
    </w:p>
    <w:p w14:paraId="79AC3BD2">
      <w:pPr>
        <w:snapToGrid w:val="0"/>
        <w:spacing w:before="120" w:beforeLines="50" w:after="50"/>
        <w:rPr>
          <w:rFonts w:ascii="宋体" w:hAnsi="宋体"/>
          <w:b/>
          <w:color w:val="auto"/>
          <w:sz w:val="24"/>
          <w:highlight w:val="none"/>
        </w:rPr>
      </w:pPr>
      <w:r>
        <w:rPr>
          <w:rFonts w:hint="eastAsia" w:ascii="宋体" w:hAnsi="宋体"/>
          <w:b/>
          <w:color w:val="auto"/>
          <w:sz w:val="24"/>
          <w:highlight w:val="none"/>
        </w:rPr>
        <w:br w:type="page"/>
      </w:r>
      <w:bookmarkStart w:id="411" w:name="_Toc10049"/>
      <w:r>
        <w:rPr>
          <w:rFonts w:hint="eastAsia" w:ascii="宋体" w:hAnsi="宋体" w:cs="宋体"/>
          <w:color w:val="auto"/>
          <w:sz w:val="28"/>
          <w:szCs w:val="28"/>
          <w:highlight w:val="none"/>
        </w:rPr>
        <w:t>附件20</w:t>
      </w:r>
      <w:bookmarkEnd w:id="411"/>
    </w:p>
    <w:p w14:paraId="125E056D">
      <w:pPr>
        <w:snapToGrid w:val="0"/>
        <w:spacing w:before="120" w:beforeLines="50" w:after="50"/>
        <w:jc w:val="center"/>
        <w:rPr>
          <w:rFonts w:hint="eastAsia" w:ascii="宋体" w:hAnsi="宋体"/>
          <w:b/>
          <w:color w:val="auto"/>
          <w:sz w:val="24"/>
          <w:highlight w:val="none"/>
        </w:rPr>
      </w:pPr>
    </w:p>
    <w:p w14:paraId="496116A7">
      <w:pPr>
        <w:pStyle w:val="13"/>
        <w:spacing w:line="360" w:lineRule="auto"/>
        <w:ind w:firstLine="0"/>
        <w:jc w:val="center"/>
        <w:rPr>
          <w:rFonts w:hint="eastAsia" w:ascii="仿宋_GB2312" w:hAnsi="仿宋_GB2312" w:eastAsia="仿宋_GB2312" w:cs="仿宋_GB2312"/>
          <w:b/>
          <w:color w:val="auto"/>
          <w:sz w:val="32"/>
          <w:szCs w:val="32"/>
          <w:highlight w:val="none"/>
        </w:rPr>
      </w:pPr>
      <w:bookmarkStart w:id="412" w:name="_Toc21200"/>
      <w:r>
        <w:rPr>
          <w:rFonts w:hint="eastAsia" w:ascii="仿宋_GB2312" w:hAnsi="仿宋_GB2312" w:eastAsia="仿宋_GB2312" w:cs="仿宋_GB2312"/>
          <w:b/>
          <w:color w:val="auto"/>
          <w:sz w:val="32"/>
          <w:szCs w:val="32"/>
          <w:highlight w:val="none"/>
        </w:rPr>
        <w:t>投标函</w:t>
      </w:r>
      <w:bookmarkEnd w:id="412"/>
    </w:p>
    <w:p w14:paraId="49FE26F9">
      <w:pPr>
        <w:pStyle w:val="384"/>
        <w:tabs>
          <w:tab w:val="left" w:pos="0"/>
        </w:tabs>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kern w:val="2"/>
          <w:sz w:val="24"/>
          <w:szCs w:val="24"/>
          <w:highlight w:val="none"/>
          <w:u w:val="single"/>
        </w:rPr>
        <w:t>（采购人名称）</w:t>
      </w:r>
      <w:r>
        <w:rPr>
          <w:rFonts w:hint="eastAsia" w:hAnsi="宋体" w:cs="宋体"/>
          <w:color w:val="auto"/>
          <w:sz w:val="24"/>
          <w:highlight w:val="none"/>
        </w:rPr>
        <w:t>：</w:t>
      </w:r>
    </w:p>
    <w:p w14:paraId="2B871D0C">
      <w:pPr>
        <w:pStyle w:val="384"/>
        <w:tabs>
          <w:tab w:val="left" w:pos="0"/>
        </w:tabs>
        <w:spacing w:line="48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根据贵方</w:t>
      </w:r>
      <w:r>
        <w:rPr>
          <w:rFonts w:hint="eastAsia" w:hAnsi="宋体" w:cs="宋体"/>
          <w:color w:val="auto"/>
          <w:kern w:val="2"/>
          <w:sz w:val="24"/>
          <w:szCs w:val="24"/>
          <w:highlight w:val="none"/>
          <w:u w:val="single"/>
        </w:rPr>
        <w:t>（项目名称）（项目编号）（标项）</w:t>
      </w:r>
      <w:r>
        <w:rPr>
          <w:rFonts w:hint="eastAsia" w:hAnsi="宋体" w:cs="宋体"/>
          <w:color w:val="auto"/>
          <w:sz w:val="24"/>
          <w:szCs w:val="21"/>
          <w:highlight w:val="none"/>
          <w:u w:val="single"/>
        </w:rPr>
        <w:t xml:space="preserve"> </w:t>
      </w:r>
      <w:r>
        <w:rPr>
          <w:rFonts w:hint="eastAsia" w:hAnsi="宋体" w:cs="宋体"/>
          <w:color w:val="auto"/>
          <w:kern w:val="2"/>
          <w:sz w:val="24"/>
          <w:szCs w:val="24"/>
          <w:highlight w:val="none"/>
        </w:rPr>
        <w:t>的招标文件要求，正式授权下述签字人（</w:t>
      </w:r>
      <w:r>
        <w:rPr>
          <w:rFonts w:hint="eastAsia" w:hAnsi="宋体" w:cs="宋体"/>
          <w:color w:val="auto"/>
          <w:kern w:val="2"/>
          <w:sz w:val="24"/>
          <w:szCs w:val="24"/>
          <w:highlight w:val="none"/>
          <w:u w:val="single"/>
        </w:rPr>
        <w:t>姓名和职务）</w:t>
      </w:r>
      <w:r>
        <w:rPr>
          <w:rFonts w:hint="eastAsia" w:hAnsi="宋体" w:cs="宋体"/>
          <w:color w:val="auto"/>
          <w:kern w:val="2"/>
          <w:sz w:val="24"/>
          <w:szCs w:val="24"/>
          <w:highlight w:val="none"/>
        </w:rPr>
        <w:t>全权代表投标人（</w:t>
      </w:r>
      <w:r>
        <w:rPr>
          <w:rFonts w:hint="eastAsia" w:hAnsi="宋体" w:cs="宋体"/>
          <w:color w:val="auto"/>
          <w:kern w:val="2"/>
          <w:sz w:val="24"/>
          <w:szCs w:val="24"/>
          <w:highlight w:val="none"/>
          <w:u w:val="single"/>
        </w:rPr>
        <w:t>投标人全称</w:t>
      </w:r>
      <w:r>
        <w:rPr>
          <w:rFonts w:hint="eastAsia" w:hAnsi="宋体" w:cs="宋体"/>
          <w:color w:val="auto"/>
          <w:kern w:val="2"/>
          <w:sz w:val="24"/>
          <w:szCs w:val="24"/>
          <w:highlight w:val="none"/>
        </w:rPr>
        <w:t>）参加贵方组织的有关招标活动，并提交下述文件：</w:t>
      </w:r>
    </w:p>
    <w:p w14:paraId="74D07DD6">
      <w:pPr>
        <w:pStyle w:val="384"/>
        <w:tabs>
          <w:tab w:val="left" w:pos="0"/>
        </w:tabs>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1"/>
          <w:highlight w:val="none"/>
        </w:rPr>
        <w:t>政府采购云系统提交电子加密投标文件</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29EFA447">
      <w:pPr>
        <w:pStyle w:val="384"/>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4"/>
          <w:highlight w:val="none"/>
        </w:rPr>
        <w:t>提交备份电子投标文件（打包压缩加密）</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4DFAAC94">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据此函我方就本次投标有关事项郑重承诺如下：</w:t>
      </w:r>
    </w:p>
    <w:p w14:paraId="0E31DDE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05586FA">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2.我方承诺已经具备《中华人民共和国政府采购法》《中华人民共和国政府采购法实施条例》中规定的参加政府采购活动的投标人应当具备的条件，并真实提供相关材料。</w:t>
      </w:r>
    </w:p>
    <w:p w14:paraId="6049740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3.如果我方中标，将派出</w:t>
      </w:r>
      <w:r>
        <w:rPr>
          <w:rFonts w:hint="eastAsia" w:ascii="宋体" w:hAnsi="宋体" w:cs="宋体"/>
          <w:color w:val="auto"/>
          <w:sz w:val="24"/>
          <w:highlight w:val="none"/>
          <w:u w:val="single"/>
        </w:rPr>
        <w:t>（姓名及身份证号码）</w:t>
      </w:r>
      <w:r>
        <w:rPr>
          <w:rFonts w:hint="eastAsia" w:ascii="宋体" w:hAnsi="宋体" w:cs="宋体"/>
          <w:color w:val="auto"/>
          <w:sz w:val="24"/>
          <w:szCs w:val="21"/>
          <w:highlight w:val="none"/>
          <w:u w:val="single"/>
        </w:rPr>
        <w:t>，</w:t>
      </w:r>
      <w:r>
        <w:rPr>
          <w:rFonts w:hint="eastAsia" w:ascii="宋体" w:hAnsi="宋体" w:cs="宋体"/>
          <w:color w:val="auto"/>
          <w:sz w:val="24"/>
          <w:highlight w:val="none"/>
        </w:rPr>
        <w:t>作为本项目与采购单位联系的项目实施负责人，联系手机号码：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。在项目实施过程中，并承诺项目实施负责人不更换，若确需要更换的，书面征得采购人同意后才准予更换。</w:t>
      </w:r>
    </w:p>
    <w:p w14:paraId="3A2C2C9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4.我方的投标有效期自在开标日起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天内有效。如果在开标后规定的投标有效期内撤回投标，贵方可按相关规定处理我方。</w:t>
      </w:r>
    </w:p>
    <w:p w14:paraId="6872CA9C">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5.我方在投标之前已经与贵方进行了充分的沟通，完全理解并接受招标文件的各项规定和要求，对招标文件的合理性、合法性不再有异议。</w:t>
      </w:r>
    </w:p>
    <w:p w14:paraId="16F3EAF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我方愿意向贵方提供真实完整的任何与该项投标有关的数据、情况和技术资料。若贵方需要，我方愿意提供我方作出的一切承诺的相关材料。</w:t>
      </w:r>
    </w:p>
    <w:p w14:paraId="3993BB0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3A478E8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7.我方不是采购人的附属机构，并未为本项目提供整体设计、规范编制或者项目管理、监理、监测等服务。</w:t>
      </w:r>
    </w:p>
    <w:p w14:paraId="1A9B64B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B30E7D">
      <w:pPr>
        <w:spacing w:line="480" w:lineRule="exact"/>
        <w:ind w:firstLine="480"/>
        <w:rPr>
          <w:rFonts w:hint="eastAsia" w:ascii="宋体" w:hAnsi="宋体" w:cs="宋体"/>
          <w:color w:val="auto"/>
          <w:sz w:val="24"/>
          <w:highlight w:val="none"/>
        </w:rPr>
      </w:pPr>
      <w:bookmarkStart w:id="413" w:name="_Toc3948"/>
      <w:r>
        <w:rPr>
          <w:rFonts w:hint="eastAsia" w:ascii="宋体" w:hAnsi="宋体" w:cs="宋体"/>
          <w:color w:val="auto"/>
          <w:sz w:val="24"/>
          <w:highlight w:val="none"/>
        </w:rPr>
        <w:t>（一）提供虚假材料谋取中标、中标的；</w:t>
      </w:r>
      <w:bookmarkEnd w:id="413"/>
    </w:p>
    <w:p w14:paraId="287943F6">
      <w:pPr>
        <w:spacing w:line="480" w:lineRule="exact"/>
        <w:ind w:firstLine="480"/>
        <w:rPr>
          <w:rFonts w:hint="eastAsia" w:ascii="宋体" w:hAnsi="宋体" w:cs="宋体"/>
          <w:color w:val="auto"/>
          <w:sz w:val="24"/>
          <w:highlight w:val="none"/>
        </w:rPr>
      </w:pPr>
      <w:bookmarkStart w:id="414" w:name="_Toc15281"/>
      <w:r>
        <w:rPr>
          <w:rFonts w:hint="eastAsia" w:ascii="宋体" w:hAnsi="宋体" w:cs="宋体"/>
          <w:color w:val="auto"/>
          <w:sz w:val="24"/>
          <w:highlight w:val="none"/>
        </w:rPr>
        <w:t>（二）采取不正当手段诋毁、排挤其他投标人的；</w:t>
      </w:r>
      <w:bookmarkEnd w:id="414"/>
    </w:p>
    <w:p w14:paraId="3C54909D">
      <w:pPr>
        <w:spacing w:line="480" w:lineRule="exact"/>
        <w:ind w:firstLine="480"/>
        <w:rPr>
          <w:rFonts w:hint="eastAsia" w:ascii="宋体" w:hAnsi="宋体" w:cs="宋体"/>
          <w:color w:val="auto"/>
          <w:sz w:val="24"/>
          <w:highlight w:val="none"/>
        </w:rPr>
      </w:pPr>
      <w:bookmarkStart w:id="415" w:name="_Toc28866"/>
      <w:r>
        <w:rPr>
          <w:rFonts w:hint="eastAsia" w:ascii="宋体" w:hAnsi="宋体" w:cs="宋体"/>
          <w:color w:val="auto"/>
          <w:sz w:val="24"/>
          <w:highlight w:val="none"/>
        </w:rPr>
        <w:t>（三）与采购人、其他投标人或者采购代理机构恶意串通的；</w:t>
      </w:r>
      <w:bookmarkEnd w:id="415"/>
    </w:p>
    <w:p w14:paraId="66C98793">
      <w:pPr>
        <w:spacing w:line="480" w:lineRule="exact"/>
        <w:ind w:firstLine="480"/>
        <w:rPr>
          <w:rFonts w:hint="eastAsia" w:ascii="宋体" w:hAnsi="宋体" w:cs="宋体"/>
          <w:color w:val="auto"/>
          <w:sz w:val="24"/>
          <w:highlight w:val="none"/>
        </w:rPr>
      </w:pPr>
      <w:bookmarkStart w:id="416" w:name="_Toc17244"/>
      <w:r>
        <w:rPr>
          <w:rFonts w:hint="eastAsia" w:ascii="宋体" w:hAnsi="宋体" w:cs="宋体"/>
          <w:color w:val="auto"/>
          <w:sz w:val="24"/>
          <w:highlight w:val="none"/>
        </w:rPr>
        <w:t>（四）向采购人、采购代理机构行贿或者提供其他不正当利益的；</w:t>
      </w:r>
      <w:bookmarkEnd w:id="416"/>
    </w:p>
    <w:p w14:paraId="3F41FD99">
      <w:pPr>
        <w:spacing w:line="480" w:lineRule="exact"/>
        <w:ind w:firstLine="480"/>
        <w:rPr>
          <w:rFonts w:hint="eastAsia" w:ascii="宋体" w:hAnsi="宋体" w:cs="宋体"/>
          <w:color w:val="auto"/>
          <w:sz w:val="24"/>
          <w:highlight w:val="none"/>
        </w:rPr>
      </w:pPr>
      <w:bookmarkStart w:id="417" w:name="_Toc22488"/>
      <w:r>
        <w:rPr>
          <w:rFonts w:hint="eastAsia" w:ascii="宋体" w:hAnsi="宋体" w:cs="宋体"/>
          <w:color w:val="auto"/>
          <w:sz w:val="24"/>
          <w:highlight w:val="none"/>
        </w:rPr>
        <w:t>（五）在招标采购过程中与采购人进行协商谈判的；</w:t>
      </w:r>
      <w:bookmarkEnd w:id="417"/>
    </w:p>
    <w:p w14:paraId="1FA4DA85">
      <w:pPr>
        <w:spacing w:line="480" w:lineRule="exact"/>
        <w:ind w:firstLine="480"/>
        <w:rPr>
          <w:rFonts w:hint="eastAsia" w:ascii="宋体" w:hAnsi="宋体" w:cs="宋体"/>
          <w:color w:val="auto"/>
          <w:sz w:val="24"/>
          <w:highlight w:val="none"/>
        </w:rPr>
      </w:pPr>
      <w:bookmarkStart w:id="418" w:name="_Toc4216"/>
      <w:r>
        <w:rPr>
          <w:rFonts w:hint="eastAsia" w:ascii="宋体" w:hAnsi="宋体" w:cs="宋体"/>
          <w:color w:val="auto"/>
          <w:sz w:val="24"/>
          <w:highlight w:val="none"/>
        </w:rPr>
        <w:t>（六）拒绝有关部门监督检查或提供虚假情况的。</w:t>
      </w:r>
      <w:bookmarkEnd w:id="418"/>
    </w:p>
    <w:p w14:paraId="352BCB58">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9.如中标，本投标文件至本项目合同履行完毕止均保持有效，我方将按招标文件及政府采购法律、法规的规定履行合同责任和义务。</w:t>
      </w:r>
    </w:p>
    <w:p w14:paraId="201084C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10.以上事项如有虚假或隐瞒，我方愿意承担一切不利后果，并不再寻求任何旨在减轻或免除法律责任。</w:t>
      </w:r>
    </w:p>
    <w:p w14:paraId="2A719BD0">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与本次投标有关的一切正式往来信函请寄：</w:t>
      </w:r>
    </w:p>
    <w:p w14:paraId="1A757493">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339C8E01">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传真：           </w:t>
      </w:r>
    </w:p>
    <w:p w14:paraId="1DBC91A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kern w:val="0"/>
          <w:sz w:val="24"/>
          <w:highlight w:val="none"/>
          <w:lang w:val="zh-CN"/>
        </w:rPr>
        <w:t>(电子签名）</w:t>
      </w:r>
      <w:r>
        <w:rPr>
          <w:rFonts w:hint="eastAsia" w:ascii="宋体" w:hAnsi="宋体" w:cs="宋体"/>
          <w:color w:val="auto"/>
          <w:sz w:val="24"/>
          <w:highlight w:val="none"/>
        </w:rPr>
        <w:t xml:space="preserve">：                </w:t>
      </w:r>
    </w:p>
    <w:p w14:paraId="3BDD50C9">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5A1A8C64">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8"/>
          <w:szCs w:val="28"/>
          <w:highlight w:val="none"/>
        </w:rPr>
        <w:t>附件21</w:t>
      </w:r>
    </w:p>
    <w:p w14:paraId="6B5D2A49">
      <w:pPr>
        <w:snapToGrid w:val="0"/>
        <w:spacing w:line="400" w:lineRule="exact"/>
        <w:jc w:val="left"/>
        <w:rPr>
          <w:rFonts w:hint="eastAsia" w:ascii="宋体" w:hAnsi="宋体"/>
          <w:sz w:val="24"/>
        </w:rPr>
      </w:pPr>
      <w:bookmarkStart w:id="419" w:name="_Toc18821"/>
      <w:bookmarkStart w:id="420" w:name="_Toc5493"/>
      <w:bookmarkStart w:id="421" w:name="_Toc25044"/>
      <w:bookmarkStart w:id="422" w:name="_Toc2411"/>
    </w:p>
    <w:p w14:paraId="58A8AB34">
      <w:pPr>
        <w:snapToGrid w:val="0"/>
        <w:spacing w:line="400" w:lineRule="exact"/>
        <w:jc w:val="left"/>
        <w:rPr>
          <w:rFonts w:hint="eastAsia" w:ascii="宋体" w:hAnsi="宋体"/>
          <w:sz w:val="24"/>
        </w:rPr>
      </w:pPr>
    </w:p>
    <w:p w14:paraId="57FCD2A3">
      <w:pPr>
        <w:jc w:val="center"/>
        <w:rPr>
          <w:rFonts w:hint="eastAsia" w:ascii="黑体" w:hAnsi="宋体" w:eastAsia="黑体"/>
          <w:b/>
          <w:bCs/>
          <w:kern w:val="0"/>
          <w:sz w:val="32"/>
          <w:szCs w:val="32"/>
          <w:lang w:val="zh-CN"/>
        </w:rPr>
      </w:pPr>
      <w:r>
        <w:rPr>
          <w:rFonts w:hint="eastAsia" w:ascii="黑体" w:hAnsi="宋体" w:eastAsia="黑体"/>
          <w:b/>
          <w:bCs/>
          <w:kern w:val="0"/>
          <w:sz w:val="32"/>
          <w:szCs w:val="32"/>
          <w:lang w:val="zh-CN"/>
        </w:rPr>
        <w:t>开标一览表</w:t>
      </w:r>
    </w:p>
    <w:p w14:paraId="26AF5997">
      <w:pPr>
        <w:jc w:val="center"/>
        <w:rPr>
          <w:sz w:val="24"/>
        </w:rPr>
      </w:pPr>
      <w:r>
        <w:rPr>
          <w:rFonts w:hint="eastAsia" w:ascii="宋体" w:hAnsi="宋体" w:cs="宋体"/>
          <w:sz w:val="24"/>
        </w:rPr>
        <w:t xml:space="preserve"> </w:t>
      </w:r>
      <w:r>
        <w:rPr>
          <w:rFonts w:hint="eastAsia"/>
          <w:sz w:val="24"/>
        </w:rPr>
        <w:t xml:space="preserve">                                          单位：人民币（元）</w:t>
      </w:r>
    </w:p>
    <w:tbl>
      <w:tblPr>
        <w:tblStyle w:val="5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1831"/>
        <w:gridCol w:w="4868"/>
      </w:tblGrid>
      <w:tr w14:paraId="50E5B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249" w:type="dxa"/>
            <w:noWrap w:val="0"/>
            <w:vAlign w:val="center"/>
          </w:tcPr>
          <w:p w14:paraId="247CA740">
            <w:pPr>
              <w:adjustRightInd w:val="0"/>
              <w:snapToGrid w:val="0"/>
              <w:spacing w:line="312" w:lineRule="auto"/>
              <w:ind w:firstLine="480" w:firstLineChars="200"/>
              <w:rPr>
                <w:rFonts w:hint="eastAsia"/>
                <w:sz w:val="24"/>
              </w:rPr>
            </w:pPr>
            <w:r>
              <w:rPr>
                <w:rFonts w:hint="eastAsia"/>
                <w:sz w:val="24"/>
                <w:lang w:val="zh-CN"/>
              </w:rPr>
              <w:t>项目</w:t>
            </w:r>
            <w:r>
              <w:rPr>
                <w:rFonts w:hint="eastAsia"/>
                <w:sz w:val="24"/>
              </w:rPr>
              <w:t>名称</w:t>
            </w:r>
          </w:p>
        </w:tc>
        <w:tc>
          <w:tcPr>
            <w:tcW w:w="1831" w:type="dxa"/>
            <w:noWrap w:val="0"/>
            <w:vAlign w:val="center"/>
          </w:tcPr>
          <w:p w14:paraId="0E54E6DC">
            <w:pPr>
              <w:adjustRightInd w:val="0"/>
              <w:snapToGrid w:val="0"/>
              <w:spacing w:line="312" w:lineRule="auto"/>
              <w:ind w:firstLine="480" w:firstLineChars="200"/>
              <w:rPr>
                <w:rFonts w:hint="eastAsia"/>
                <w:sz w:val="24"/>
                <w:lang w:val="zh-CN"/>
              </w:rPr>
            </w:pPr>
            <w:r>
              <w:rPr>
                <w:rFonts w:hint="eastAsia"/>
                <w:sz w:val="24"/>
                <w:lang w:val="zh-CN"/>
              </w:rPr>
              <w:t>数量（吨）</w:t>
            </w:r>
          </w:p>
        </w:tc>
        <w:tc>
          <w:tcPr>
            <w:tcW w:w="4868" w:type="dxa"/>
            <w:noWrap w:val="0"/>
            <w:vAlign w:val="center"/>
          </w:tcPr>
          <w:p w14:paraId="731DD90A">
            <w:pPr>
              <w:adjustRightInd w:val="0"/>
              <w:snapToGrid w:val="0"/>
              <w:spacing w:line="312" w:lineRule="auto"/>
              <w:jc w:val="center"/>
              <w:rPr>
                <w:rFonts w:hint="eastAsia"/>
                <w:sz w:val="24"/>
                <w:lang w:val="zh-CN"/>
              </w:rPr>
            </w:pPr>
            <w:r>
              <w:rPr>
                <w:rFonts w:hint="eastAsia"/>
                <w:sz w:val="24"/>
              </w:rPr>
              <w:t>单价:（元/吨）</w:t>
            </w:r>
          </w:p>
        </w:tc>
      </w:tr>
      <w:tr w14:paraId="624C8C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3249" w:type="dxa"/>
            <w:noWrap w:val="0"/>
            <w:vAlign w:val="center"/>
          </w:tcPr>
          <w:p w14:paraId="16C64825">
            <w:pPr>
              <w:pStyle w:val="29"/>
              <w:snapToGrid w:val="0"/>
              <w:spacing w:before="120" w:after="120" w:line="360" w:lineRule="auto"/>
              <w:jc w:val="left"/>
              <w:rPr>
                <w:rFonts w:hAnsi="宋体"/>
                <w:b/>
                <w:bCs/>
                <w:color w:val="000000"/>
              </w:rPr>
            </w:pPr>
            <w:r>
              <w:rPr>
                <w:rFonts w:hint="eastAsia" w:hAnsi="宋体" w:cs="宋体"/>
                <w:kern w:val="0"/>
                <w:lang w:eastAsia="zh-CN" w:bidi="ar"/>
              </w:rPr>
              <w:t>2025年盘峰乡松材线虫病枯死松树清理服务项目（高二片区)</w:t>
            </w:r>
          </w:p>
        </w:tc>
        <w:tc>
          <w:tcPr>
            <w:tcW w:w="1831" w:type="dxa"/>
            <w:noWrap w:val="0"/>
            <w:vAlign w:val="center"/>
          </w:tcPr>
          <w:p w14:paraId="129EC03A">
            <w:pPr>
              <w:adjustRightInd w:val="0"/>
              <w:snapToGrid w:val="0"/>
              <w:spacing w:line="312" w:lineRule="auto"/>
              <w:jc w:val="center"/>
              <w:rPr>
                <w:sz w:val="24"/>
              </w:rPr>
            </w:pPr>
            <w:r>
              <w:rPr>
                <w:rFonts w:hint="eastAsia"/>
                <w:sz w:val="24"/>
              </w:rPr>
              <w:t>2263</w:t>
            </w:r>
          </w:p>
        </w:tc>
        <w:tc>
          <w:tcPr>
            <w:tcW w:w="4868" w:type="dxa"/>
            <w:noWrap w:val="0"/>
            <w:vAlign w:val="center"/>
          </w:tcPr>
          <w:p w14:paraId="022BEACD">
            <w:pPr>
              <w:adjustRightInd w:val="0"/>
              <w:snapToGrid w:val="0"/>
              <w:spacing w:line="312" w:lineRule="auto"/>
              <w:jc w:val="left"/>
              <w:rPr>
                <w:rFonts w:hint="eastAsia"/>
                <w:sz w:val="24"/>
              </w:rPr>
            </w:pPr>
            <w:r>
              <w:rPr>
                <w:rFonts w:hint="eastAsia"/>
                <w:sz w:val="24"/>
                <w:lang w:val="zh-CN"/>
              </w:rPr>
              <w:t>人民币大写：</w:t>
            </w:r>
            <w:r>
              <w:rPr>
                <w:rFonts w:hint="eastAsia"/>
                <w:sz w:val="24"/>
                <w:u w:val="single"/>
                <w:lang w:val="zh-CN"/>
              </w:rPr>
              <w:t xml:space="preserve">               </w:t>
            </w:r>
            <w:r>
              <w:rPr>
                <w:rFonts w:hint="eastAsia"/>
                <w:sz w:val="24"/>
                <w:lang w:val="zh-CN"/>
              </w:rPr>
              <w:t>元</w:t>
            </w:r>
            <w:r>
              <w:rPr>
                <w:rFonts w:hint="eastAsia"/>
                <w:sz w:val="24"/>
              </w:rPr>
              <w:t>/吨</w:t>
            </w:r>
          </w:p>
          <w:p w14:paraId="2702598E">
            <w:pPr>
              <w:adjustRightInd w:val="0"/>
              <w:snapToGrid w:val="0"/>
              <w:spacing w:line="312" w:lineRule="auto"/>
              <w:jc w:val="left"/>
              <w:rPr>
                <w:rFonts w:hint="eastAsia"/>
                <w:sz w:val="24"/>
              </w:rPr>
            </w:pPr>
          </w:p>
          <w:p w14:paraId="2B08F8AD">
            <w:pPr>
              <w:adjustRightInd w:val="0"/>
              <w:snapToGrid w:val="0"/>
              <w:spacing w:line="312" w:lineRule="auto"/>
              <w:jc w:val="left"/>
              <w:rPr>
                <w:sz w:val="24"/>
                <w:u w:val="single"/>
              </w:rPr>
            </w:pPr>
            <w:r>
              <w:rPr>
                <w:rFonts w:hint="eastAsia"/>
                <w:sz w:val="24"/>
              </w:rPr>
              <w:t>小写：</w:t>
            </w:r>
            <w:r>
              <w:rPr>
                <w:rFonts w:hint="eastAsia"/>
                <w:sz w:val="24"/>
                <w:u w:val="single"/>
              </w:rPr>
              <w:t xml:space="preserve">                     </w:t>
            </w:r>
            <w:r>
              <w:rPr>
                <w:rFonts w:hint="eastAsia"/>
                <w:sz w:val="24"/>
              </w:rPr>
              <w:t>元/吨</w:t>
            </w:r>
          </w:p>
        </w:tc>
      </w:tr>
    </w:tbl>
    <w:p w14:paraId="3823F88B">
      <w:pPr>
        <w:widowControl/>
        <w:spacing w:line="400" w:lineRule="exact"/>
        <w:jc w:val="left"/>
        <w:rPr>
          <w:rFonts w:hint="eastAsia" w:ascii="宋体" w:hAnsi="宋体" w:cs="宋体"/>
          <w:lang w:val="zh-CN"/>
        </w:rPr>
      </w:pPr>
      <w:r>
        <w:rPr>
          <w:rFonts w:hint="eastAsia" w:ascii="宋体" w:hAnsi="宋体" w:cs="宋体"/>
        </w:rPr>
        <w:t>注：</w:t>
      </w:r>
      <w:r>
        <w:rPr>
          <w:rFonts w:hint="eastAsia" w:ascii="宋体" w:hAnsi="宋体" w:cs="宋体"/>
          <w:lang w:val="zh-CN"/>
        </w:rPr>
        <w:t>1、</w:t>
      </w:r>
      <w:r>
        <w:rPr>
          <w:rFonts w:hint="eastAsia" w:ascii="宋体" w:hAnsi="宋体" w:cs="宋体"/>
        </w:rPr>
        <w:t>报价应</w:t>
      </w:r>
      <w:r>
        <w:rPr>
          <w:rFonts w:hint="eastAsia" w:cs="宋体"/>
        </w:rPr>
        <w:t>包括自疫木采伐至运入疫木定点处理企业整个清理过程所发生的一切费用，包括枯死松树采伐、造材、伐桩处理、枝桠处理、人工搬运、运输、安全（保险）、税收及源头监管费、人员工资、机械材料、利润、税金、测量、勘察、保险（施工人员一律参加工伤保险）等完成合同所需的一切本身和不可或缺的所有工作开支、政策性文件规定及合同包含的所有风险、责任等各项全部费用。如有漏项，视为已包含在其它项目中。</w:t>
      </w:r>
    </w:p>
    <w:p w14:paraId="0A6C1849">
      <w:pPr>
        <w:spacing w:line="400" w:lineRule="exact"/>
        <w:ind w:firstLine="480"/>
        <w:rPr>
          <w:rFonts w:hint="eastAsia" w:ascii="宋体" w:hAnsi="宋体" w:cs="宋体"/>
          <w:lang w:val="zh-CN"/>
        </w:rPr>
      </w:pPr>
      <w:r>
        <w:rPr>
          <w:rFonts w:hint="eastAsia" w:ascii="宋体" w:hAnsi="宋体" w:cs="宋体"/>
        </w:rPr>
        <w:t>2</w:t>
      </w:r>
      <w:r>
        <w:rPr>
          <w:rFonts w:hint="eastAsia" w:ascii="宋体" w:hAnsi="宋体" w:cs="宋体"/>
          <w:lang w:val="zh-CN"/>
        </w:rPr>
        <w:t>、本表由招标响应供应商填写，供评标委员会参考所用。</w:t>
      </w:r>
      <w:r>
        <w:rPr>
          <w:rFonts w:hint="eastAsia" w:ascii="宋体" w:hAnsi="宋体" w:cs="宋体"/>
        </w:rPr>
        <w:t>▲报价填写必须为印刷体打印，手写无效报价</w:t>
      </w:r>
      <w:r>
        <w:rPr>
          <w:rFonts w:hint="eastAsia" w:ascii="宋体" w:hAnsi="宋体" w:cs="宋体"/>
          <w:lang w:val="zh-CN"/>
        </w:rPr>
        <w:t>。</w:t>
      </w:r>
    </w:p>
    <w:p w14:paraId="20A2771E">
      <w:pPr>
        <w:spacing w:line="400" w:lineRule="exact"/>
        <w:ind w:firstLine="480"/>
        <w:rPr>
          <w:rFonts w:hint="eastAsia" w:ascii="宋体" w:hAnsi="宋体" w:cs="宋体"/>
          <w:lang w:val="zh-CN"/>
        </w:rPr>
      </w:pPr>
      <w:r>
        <w:rPr>
          <w:rFonts w:hint="eastAsia" w:ascii="宋体" w:hAnsi="宋体" w:cs="宋体"/>
          <w:lang w:val="en-US" w:eastAsia="zh-CN"/>
        </w:rPr>
        <w:t>3</w:t>
      </w:r>
      <w:r>
        <w:rPr>
          <w:rFonts w:hint="eastAsia" w:ascii="宋体" w:hAnsi="宋体" w:cs="宋体"/>
          <w:lang w:val="zh-CN"/>
        </w:rPr>
        <w:t>、报价不得超过限价。</w:t>
      </w:r>
    </w:p>
    <w:p w14:paraId="7462AF21">
      <w:pPr>
        <w:pStyle w:val="535"/>
        <w:snapToGrid w:val="0"/>
        <w:spacing w:before="120" w:line="360" w:lineRule="auto"/>
        <w:rPr>
          <w:rFonts w:hint="eastAsia" w:ascii="宋体" w:hAnsi="宋体" w:cs="宋体"/>
          <w:color w:val="000000"/>
          <w:szCs w:val="24"/>
        </w:rPr>
      </w:pPr>
    </w:p>
    <w:p w14:paraId="126E121D">
      <w:pPr>
        <w:pStyle w:val="535"/>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14:paraId="29F68E17">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14:paraId="748285A4">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14:paraId="4AF47292">
      <w:pPr>
        <w:snapToGrid w:val="0"/>
        <w:spacing w:line="400" w:lineRule="exact"/>
        <w:jc w:val="left"/>
        <w:rPr>
          <w:rFonts w:hint="eastAsia" w:ascii="宋体" w:hAnsi="宋体"/>
          <w:sz w:val="24"/>
        </w:rPr>
      </w:pPr>
    </w:p>
    <w:p w14:paraId="5F804BED">
      <w:pPr>
        <w:snapToGrid w:val="0"/>
        <w:spacing w:line="400" w:lineRule="exact"/>
        <w:jc w:val="left"/>
        <w:rPr>
          <w:rFonts w:hint="eastAsia" w:ascii="宋体" w:hAnsi="宋体"/>
          <w:sz w:val="24"/>
        </w:rPr>
      </w:pPr>
    </w:p>
    <w:p w14:paraId="3C350433">
      <w:pPr>
        <w:snapToGrid w:val="0"/>
        <w:spacing w:line="400" w:lineRule="exact"/>
        <w:jc w:val="left"/>
        <w:rPr>
          <w:rFonts w:hint="eastAsia" w:ascii="宋体" w:hAnsi="宋体"/>
          <w:sz w:val="24"/>
        </w:rPr>
      </w:pPr>
    </w:p>
    <w:p w14:paraId="58B2F5E1">
      <w:pPr>
        <w:snapToGrid w:val="0"/>
        <w:spacing w:line="400" w:lineRule="exact"/>
        <w:jc w:val="left"/>
        <w:rPr>
          <w:rFonts w:hint="eastAsia" w:ascii="宋体" w:hAnsi="宋体"/>
          <w:sz w:val="24"/>
        </w:rPr>
      </w:pPr>
    </w:p>
    <w:p w14:paraId="02BCB7DA">
      <w:pPr>
        <w:snapToGrid w:val="0"/>
        <w:spacing w:line="400" w:lineRule="exact"/>
        <w:jc w:val="left"/>
        <w:rPr>
          <w:rFonts w:hint="eastAsia" w:ascii="宋体" w:hAnsi="宋体"/>
          <w:sz w:val="24"/>
        </w:rPr>
      </w:pPr>
    </w:p>
    <w:p w14:paraId="220CB002">
      <w:pPr>
        <w:snapToGrid w:val="0"/>
        <w:spacing w:line="400" w:lineRule="exact"/>
        <w:jc w:val="left"/>
        <w:rPr>
          <w:rFonts w:hint="eastAsia" w:ascii="宋体" w:hAnsi="宋体"/>
          <w:sz w:val="24"/>
        </w:rPr>
      </w:pPr>
    </w:p>
    <w:p w14:paraId="2BE870ED">
      <w:pPr>
        <w:snapToGrid w:val="0"/>
        <w:spacing w:line="400" w:lineRule="exact"/>
        <w:jc w:val="left"/>
        <w:rPr>
          <w:rFonts w:hint="eastAsia" w:ascii="宋体" w:hAnsi="宋体"/>
          <w:sz w:val="24"/>
        </w:rPr>
      </w:pPr>
    </w:p>
    <w:bookmarkEnd w:id="419"/>
    <w:bookmarkEnd w:id="420"/>
    <w:bookmarkEnd w:id="421"/>
    <w:bookmarkEnd w:id="422"/>
    <w:p w14:paraId="0BB3FB3B">
      <w:pPr>
        <w:pStyle w:val="22"/>
        <w:rPr>
          <w:color w:val="auto"/>
          <w:highlight w:val="none"/>
        </w:rPr>
      </w:pPr>
    </w:p>
    <w:p w14:paraId="4E253764">
      <w:pPr>
        <w:pStyle w:val="34"/>
        <w:rPr>
          <w:color w:val="auto"/>
          <w:highlight w:val="none"/>
        </w:rPr>
      </w:pPr>
    </w:p>
    <w:p w14:paraId="7D43DF0B">
      <w:pPr>
        <w:pStyle w:val="3"/>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附件23</w:t>
      </w:r>
    </w:p>
    <w:p w14:paraId="386C5BC6">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916AA28">
      <w:pPr>
        <w:pStyle w:val="52"/>
        <w:spacing w:line="400" w:lineRule="exact"/>
        <w:rPr>
          <w:color w:val="auto"/>
          <w:highlight w:val="none"/>
        </w:rPr>
      </w:pPr>
    </w:p>
    <w:p w14:paraId="574642B8">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14:paraId="6B006B5B">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14:paraId="4E818BE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14:paraId="45B8F26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14:paraId="1416737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14:paraId="7B863064">
      <w:pPr>
        <w:snapToGrid w:val="0"/>
        <w:spacing w:line="3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14:paraId="6CD98018">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39D47316">
      <w:pPr>
        <w:snapToGrid w:val="0"/>
        <w:spacing w:line="360" w:lineRule="exact"/>
        <w:ind w:left="84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14:paraId="4DBA54F8">
      <w:pPr>
        <w:snapToGrid w:val="0"/>
        <w:spacing w:line="36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5A376C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14:paraId="5EA18986">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097326C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14:paraId="04A36FEA">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5F2C48E9">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14:paraId="08EBEB45">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A791684">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14:paraId="4C292362">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D3FACE7">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14:paraId="50A04AD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5964E44F">
      <w:pPr>
        <w:snapToGrid w:val="0"/>
        <w:spacing w:line="360" w:lineRule="exact"/>
        <w:ind w:firstLine="840" w:firstLineChars="300"/>
        <w:rPr>
          <w:rFonts w:ascii="仿宋" w:hAnsi="仿宋" w:eastAsia="仿宋"/>
          <w:color w:val="auto"/>
          <w:sz w:val="28"/>
          <w:szCs w:val="28"/>
          <w:highlight w:val="none"/>
          <w:lang w:val="zh-CN"/>
        </w:rPr>
      </w:pPr>
    </w:p>
    <w:p w14:paraId="07A8A010">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18245D4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14:paraId="721613D1">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sectPr>
      <w:pgSz w:w="11906" w:h="16838"/>
      <w:pgMar w:top="1440" w:right="110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47BE">
    <w:pPr>
      <w:pStyle w:val="34"/>
      <w:ind w:right="720" w:firstLine="180" w:firstLineChars="100"/>
      <w:jc w:val="right"/>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0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8CJ98YBAACKAwAADgAAAAAAAAABACAAAAAfAQAAZHJzL2Uyb0RvYy54&#10;bWxQSwUGAAAAAAYABgBZAQAAVwUAAAAA&#10;">
              <v:fill on="f" focussize="0,0"/>
              <v:stroke on="f"/>
              <v:imagedata o:title=""/>
              <o:lock v:ext="edit" aspectratio="f"/>
              <v:textbox inset="0mm,0mm,0mm,0mm" style="mso-fit-shape-to-text:t;">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rect>
          </w:pict>
        </mc:Fallback>
      </mc:AlternateContent>
    </w:r>
  </w:p>
  <w:p w14:paraId="6FC9F568">
    <w:pPr>
      <w:pStyle w:val="34"/>
      <w:tabs>
        <w:tab w:val="left" w:pos="5361"/>
      </w:tabs>
      <w:ind w:right="720" w:firstLine="18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20B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5693">
    <w:pPr>
      <w:pStyle w:val="34"/>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7031">
    <w:pPr>
      <w:pStyle w:val="486"/>
      <w:jc w:val="center"/>
      <w:rPr>
        <w:rFonts w:hint="eastAsia" w:ascii="宋体" w:hAnsi="宋体" w:cs="宋体"/>
        <w:bCs/>
        <w:color w:val="000000"/>
        <w:sz w:val="21"/>
        <w:szCs w:val="21"/>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DE5B">
    <w:pPr>
      <w:pStyle w:val="36"/>
      <w:rPr>
        <w:rFonts w:hint="defaul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nothing"/>
      <w:lvlText w:val="（%1）"/>
      <w:lvlJc w:val="left"/>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6"/>
    <w:multiLevelType w:val="singleLevel"/>
    <w:tmpl w:val="00000006"/>
    <w:lvl w:ilvl="0" w:tentative="0">
      <w:start w:val="1"/>
      <w:numFmt w:val="decimal"/>
      <w:suff w:val="space"/>
      <w:lvlText w:val="%1."/>
      <w:lvlJc w:val="left"/>
    </w:lvl>
  </w:abstractNum>
  <w:abstractNum w:abstractNumId="3">
    <w:nsid w:val="4A126B24"/>
    <w:multiLevelType w:val="multilevel"/>
    <w:tmpl w:val="4A126B2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5608421"/>
    <w:multiLevelType w:val="singleLevel"/>
    <w:tmpl w:val="55608421"/>
    <w:lvl w:ilvl="0" w:tentative="0">
      <w:start w:val="9"/>
      <w:numFmt w:val="decimal"/>
      <w:suff w:val="space"/>
      <w:lvlText w:val="%1."/>
      <w:lvlJc w:val="left"/>
    </w:lvl>
  </w:abstractNum>
  <w:abstractNum w:abstractNumId="5">
    <w:nsid w:val="640E7462"/>
    <w:multiLevelType w:val="singleLevel"/>
    <w:tmpl w:val="640E7462"/>
    <w:lvl w:ilvl="0" w:tentative="0">
      <w:start w:val="6"/>
      <w:numFmt w:val="decimal"/>
      <w:lvlText w:val="%1."/>
      <w:lvlJc w:val="left"/>
      <w:pPr>
        <w:tabs>
          <w:tab w:val="left" w:pos="312"/>
        </w:tabs>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2Q5MjRlNmExOTdkMDM4MzhjZTM2Mjc0OGM4MTEifQ=="/>
  </w:docVars>
  <w:rsids>
    <w:rsidRoot w:val="00000000"/>
    <w:rsid w:val="026F7CDB"/>
    <w:rsid w:val="037961D9"/>
    <w:rsid w:val="03876D6B"/>
    <w:rsid w:val="03B169AD"/>
    <w:rsid w:val="04B81E61"/>
    <w:rsid w:val="04C063D7"/>
    <w:rsid w:val="059A1C9A"/>
    <w:rsid w:val="05EC17CE"/>
    <w:rsid w:val="063607F1"/>
    <w:rsid w:val="076E27BD"/>
    <w:rsid w:val="082066F6"/>
    <w:rsid w:val="08A20D04"/>
    <w:rsid w:val="09EF1EF6"/>
    <w:rsid w:val="0B01794E"/>
    <w:rsid w:val="0CE20070"/>
    <w:rsid w:val="0D782A7C"/>
    <w:rsid w:val="0E9C32EC"/>
    <w:rsid w:val="0F2729AB"/>
    <w:rsid w:val="0F2B1096"/>
    <w:rsid w:val="10CA5E49"/>
    <w:rsid w:val="122907E8"/>
    <w:rsid w:val="12477B58"/>
    <w:rsid w:val="136E0A24"/>
    <w:rsid w:val="141901F4"/>
    <w:rsid w:val="164D3B25"/>
    <w:rsid w:val="18136923"/>
    <w:rsid w:val="19594642"/>
    <w:rsid w:val="19DE635C"/>
    <w:rsid w:val="1A8446CF"/>
    <w:rsid w:val="1BD619E1"/>
    <w:rsid w:val="1D861831"/>
    <w:rsid w:val="1EEA0C04"/>
    <w:rsid w:val="1F6D2C39"/>
    <w:rsid w:val="1F941EB0"/>
    <w:rsid w:val="215D079D"/>
    <w:rsid w:val="21932099"/>
    <w:rsid w:val="234436D4"/>
    <w:rsid w:val="23B960C2"/>
    <w:rsid w:val="278F3A45"/>
    <w:rsid w:val="27AD45EA"/>
    <w:rsid w:val="27C43035"/>
    <w:rsid w:val="2919115F"/>
    <w:rsid w:val="29D377FF"/>
    <w:rsid w:val="2ABB2A2D"/>
    <w:rsid w:val="2B8851D5"/>
    <w:rsid w:val="2BCF440F"/>
    <w:rsid w:val="2C506C46"/>
    <w:rsid w:val="2D234549"/>
    <w:rsid w:val="30FC727B"/>
    <w:rsid w:val="31046251"/>
    <w:rsid w:val="31CB18F0"/>
    <w:rsid w:val="329C5AF8"/>
    <w:rsid w:val="32E26284"/>
    <w:rsid w:val="33A01380"/>
    <w:rsid w:val="36523B9D"/>
    <w:rsid w:val="37F60FE9"/>
    <w:rsid w:val="39866654"/>
    <w:rsid w:val="3B605478"/>
    <w:rsid w:val="3BFA6BCE"/>
    <w:rsid w:val="3C543CC3"/>
    <w:rsid w:val="3D5567B2"/>
    <w:rsid w:val="3EBE1EF8"/>
    <w:rsid w:val="3F991294"/>
    <w:rsid w:val="3FCB17B4"/>
    <w:rsid w:val="42326E06"/>
    <w:rsid w:val="425A6618"/>
    <w:rsid w:val="427B20EB"/>
    <w:rsid w:val="43F31BC1"/>
    <w:rsid w:val="441647C1"/>
    <w:rsid w:val="46153EA2"/>
    <w:rsid w:val="465B1773"/>
    <w:rsid w:val="486317FC"/>
    <w:rsid w:val="48BD520B"/>
    <w:rsid w:val="4A38723F"/>
    <w:rsid w:val="4B047FAD"/>
    <w:rsid w:val="4B933B41"/>
    <w:rsid w:val="4C2511A1"/>
    <w:rsid w:val="4D0A301F"/>
    <w:rsid w:val="4DE62AF9"/>
    <w:rsid w:val="519B61D1"/>
    <w:rsid w:val="52F145DB"/>
    <w:rsid w:val="541E108B"/>
    <w:rsid w:val="55D80A52"/>
    <w:rsid w:val="56373A45"/>
    <w:rsid w:val="56EB3C0A"/>
    <w:rsid w:val="57213857"/>
    <w:rsid w:val="57E948DE"/>
    <w:rsid w:val="58DD7FD9"/>
    <w:rsid w:val="59EA1BD8"/>
    <w:rsid w:val="5C0668B1"/>
    <w:rsid w:val="5DD6AD61"/>
    <w:rsid w:val="5F056BF5"/>
    <w:rsid w:val="5F221E14"/>
    <w:rsid w:val="5F797390"/>
    <w:rsid w:val="5FB762F8"/>
    <w:rsid w:val="60271FFC"/>
    <w:rsid w:val="627B1D3B"/>
    <w:rsid w:val="630C3F05"/>
    <w:rsid w:val="640A0C33"/>
    <w:rsid w:val="64AF84C6"/>
    <w:rsid w:val="65631607"/>
    <w:rsid w:val="65D541F3"/>
    <w:rsid w:val="66A15D14"/>
    <w:rsid w:val="66AA7FB2"/>
    <w:rsid w:val="6880545C"/>
    <w:rsid w:val="69AD3625"/>
    <w:rsid w:val="6A70090F"/>
    <w:rsid w:val="6D62663C"/>
    <w:rsid w:val="70734EFA"/>
    <w:rsid w:val="70E14F12"/>
    <w:rsid w:val="71334131"/>
    <w:rsid w:val="728F6151"/>
    <w:rsid w:val="72DD0C5B"/>
    <w:rsid w:val="73425708"/>
    <w:rsid w:val="74DD260E"/>
    <w:rsid w:val="759727BC"/>
    <w:rsid w:val="76F821FE"/>
    <w:rsid w:val="78153E6C"/>
    <w:rsid w:val="78727B97"/>
    <w:rsid w:val="78A74377"/>
    <w:rsid w:val="795F14E6"/>
    <w:rsid w:val="79667075"/>
    <w:rsid w:val="798E1D1D"/>
    <w:rsid w:val="7A70182E"/>
    <w:rsid w:val="7AF729C0"/>
    <w:rsid w:val="7B09761E"/>
    <w:rsid w:val="7B7315D6"/>
    <w:rsid w:val="7BAA5C96"/>
    <w:rsid w:val="7CF72A56"/>
    <w:rsid w:val="7D8C7EAD"/>
    <w:rsid w:val="7E9E2E0E"/>
    <w:rsid w:val="B1FF9501"/>
    <w:rsid w:val="ECEE1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100"/>
    <w:qFormat/>
    <w:uiPriority w:val="0"/>
    <w:pPr>
      <w:keepNext/>
      <w:keepLines/>
      <w:spacing w:before="260" w:after="260" w:line="413" w:lineRule="auto"/>
      <w:outlineLvl w:val="1"/>
    </w:pPr>
    <w:rPr>
      <w:b/>
      <w:bCs/>
      <w:kern w:val="44"/>
      <w:sz w:val="44"/>
      <w:szCs w:val="44"/>
    </w:rPr>
  </w:style>
  <w:style w:type="paragraph" w:styleId="4">
    <w:name w:val="heading 3"/>
    <w:basedOn w:val="1"/>
    <w:next w:val="1"/>
    <w:link w:val="7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2" w:lineRule="auto"/>
      <w:outlineLvl w:val="4"/>
    </w:pPr>
    <w:rPr>
      <w:b/>
      <w:bCs/>
      <w:sz w:val="28"/>
      <w:szCs w:val="28"/>
    </w:rPr>
  </w:style>
  <w:style w:type="paragraph" w:styleId="7">
    <w:name w:val="heading 6"/>
    <w:basedOn w:val="1"/>
    <w:next w:val="1"/>
    <w:link w:val="79"/>
    <w:qFormat/>
    <w:uiPriority w:val="0"/>
    <w:pPr>
      <w:keepNext/>
      <w:keepLines/>
      <w:spacing w:before="240" w:after="64" w:line="317" w:lineRule="auto"/>
      <w:outlineLvl w:val="5"/>
    </w:pPr>
    <w:rPr>
      <w:rFonts w:ascii="Arial" w:hAnsi="Arial" w:eastAsia="黑体"/>
      <w:b/>
      <w:bCs/>
      <w:sz w:val="24"/>
      <w:szCs w:val="20"/>
    </w:rPr>
  </w:style>
  <w:style w:type="paragraph" w:styleId="8">
    <w:name w:val="heading 7"/>
    <w:basedOn w:val="1"/>
    <w:next w:val="1"/>
    <w:link w:val="80"/>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qFormat/>
    <w:uiPriority w:val="0"/>
  </w:style>
  <w:style w:type="table" w:default="1" w:styleId="53">
    <w:name w:val="Normal Table"/>
    <w:qFormat/>
    <w:uiPriority w:val="99"/>
    <w:tblPr>
      <w:tblCellMar>
        <w:top w:w="0" w:type="dxa"/>
        <w:left w:w="108" w:type="dxa"/>
        <w:bottom w:w="0" w:type="dxa"/>
        <w:right w:w="108" w:type="dxa"/>
      </w:tblCellMar>
    </w:tblPr>
  </w:style>
  <w:style w:type="paragraph" w:styleId="11">
    <w:name w:val="Note Heading"/>
    <w:basedOn w:val="1"/>
    <w:next w:val="1"/>
    <w:link w:val="83"/>
    <w:qFormat/>
    <w:uiPriority w:val="0"/>
    <w:pPr>
      <w:jc w:val="center"/>
    </w:pPr>
    <w:rPr>
      <w:rFonts w:ascii="DFKai-SB" w:hAnsi="DFKai-SB" w:eastAsia="DFKai-SB"/>
      <w:kern w:val="0"/>
      <w:sz w:val="20"/>
      <w:szCs w:val="20"/>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4"/>
    <w:link w:val="84"/>
    <w:qFormat/>
    <w:uiPriority w:val="0"/>
    <w:pPr>
      <w:ind w:firstLine="420"/>
    </w:pPr>
    <w:rPr>
      <w:szCs w:val="20"/>
    </w:rPr>
  </w:style>
  <w:style w:type="paragraph" w:styleId="14">
    <w:name w:val="Body Text Indent"/>
    <w:basedOn w:val="1"/>
    <w:next w:val="1"/>
    <w:link w:val="88"/>
    <w:qFormat/>
    <w:uiPriority w:val="0"/>
    <w:pPr>
      <w:spacing w:line="200" w:lineRule="exact"/>
      <w:ind w:firstLine="301"/>
    </w:pPr>
    <w:rPr>
      <w:rFonts w:ascii="宋体" w:hAnsi="Courier New"/>
      <w:spacing w:val="-4"/>
      <w:sz w:val="18"/>
      <w:szCs w:val="20"/>
    </w:rPr>
  </w:style>
  <w:style w:type="paragraph" w:styleId="15">
    <w:name w:val="caption"/>
    <w:basedOn w:val="1"/>
    <w:next w:val="1"/>
    <w:link w:val="85"/>
    <w:qFormat/>
    <w:uiPriority w:val="0"/>
    <w:pPr>
      <w:spacing w:before="152" w:after="160"/>
    </w:pPr>
    <w:rPr>
      <w:rFonts w:ascii="Arial" w:hAnsi="Arial" w:eastAsia="黑体"/>
      <w:sz w:val="20"/>
      <w:szCs w:val="20"/>
    </w:rPr>
  </w:style>
  <w:style w:type="paragraph" w:styleId="16">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link w:val="86"/>
    <w:qFormat/>
    <w:uiPriority w:val="0"/>
    <w:pPr>
      <w:shd w:val="clear" w:color="auto" w:fill="000080"/>
    </w:pPr>
    <w:rPr>
      <w:shd w:val="clear" w:color="auto" w:fill="000080"/>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0"/>
    <w:pPr>
      <w:jc w:val="left"/>
    </w:pPr>
  </w:style>
  <w:style w:type="paragraph" w:styleId="20">
    <w:name w:val="Salutation"/>
    <w:basedOn w:val="1"/>
    <w:next w:val="1"/>
    <w:qFormat/>
    <w:uiPriority w:val="0"/>
    <w:rPr>
      <w:sz w:val="24"/>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3"/>
    <w:qFormat/>
    <w:uiPriority w:val="0"/>
    <w:pPr>
      <w:spacing w:after="120"/>
    </w:pPr>
    <w:rPr>
      <w:rFonts w:ascii="宋体" w:hAnsi="宋体"/>
      <w:kern w:val="0"/>
      <w:sz w:val="24"/>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ind w:left="113" w:right="113"/>
      <w:jc w:val="center"/>
    </w:pPr>
    <w:rPr>
      <w:sz w:val="18"/>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HTML Address"/>
    <w:basedOn w:val="1"/>
    <w:qFormat/>
    <w:uiPriority w:val="0"/>
    <w:rPr>
      <w:rFonts w:ascii="宋体" w:hAnsi="宋体"/>
      <w:i/>
      <w:iCs/>
      <w:kern w:val="0"/>
      <w:sz w:val="20"/>
    </w:rPr>
  </w:style>
  <w:style w:type="paragraph" w:styleId="28">
    <w:name w:val="toc 3"/>
    <w:basedOn w:val="1"/>
    <w:next w:val="1"/>
    <w:qFormat/>
    <w:uiPriority w:val="0"/>
    <w:pPr>
      <w:ind w:left="420"/>
      <w:jc w:val="left"/>
    </w:pPr>
    <w:rPr>
      <w:iCs/>
      <w:sz w:val="20"/>
      <w:szCs w:val="20"/>
    </w:rPr>
  </w:style>
  <w:style w:type="paragraph" w:styleId="29">
    <w:name w:val="Plain Text"/>
    <w:basedOn w:val="1"/>
    <w:next w:val="1"/>
    <w:link w:val="89"/>
    <w:qFormat/>
    <w:uiPriority w:val="0"/>
    <w:pPr>
      <w:spacing w:before="156" w:beforeLines="50" w:after="156" w:afterLines="50" w:line="400" w:lineRule="exact"/>
    </w:pPr>
    <w:rPr>
      <w:rFonts w:ascii="宋体" w:hAnsi="Courier New"/>
      <w:sz w:val="24"/>
    </w:rPr>
  </w:style>
  <w:style w:type="paragraph" w:styleId="30">
    <w:name w:val="Date"/>
    <w:basedOn w:val="1"/>
    <w:next w:val="1"/>
    <w:link w:val="90"/>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endnote text"/>
    <w:basedOn w:val="1"/>
    <w:qFormat/>
    <w:uiPriority w:val="0"/>
    <w:pPr>
      <w:snapToGrid w:val="0"/>
      <w:spacing w:after="156" w:afterLines="50"/>
      <w:jc w:val="left"/>
    </w:pPr>
    <w:rPr>
      <w:rFonts w:ascii="宋体"/>
      <w:snapToGrid w:val="0"/>
      <w:kern w:val="0"/>
      <w:szCs w:val="20"/>
    </w:rPr>
  </w:style>
  <w:style w:type="paragraph" w:styleId="33">
    <w:name w:val="Balloon Text"/>
    <w:basedOn w:val="1"/>
    <w:link w:val="91"/>
    <w:qFormat/>
    <w:uiPriority w:val="0"/>
    <w:rPr>
      <w:sz w:val="18"/>
      <w:szCs w:val="18"/>
    </w:rPr>
  </w:style>
  <w:style w:type="paragraph" w:styleId="34">
    <w:name w:val="footer"/>
    <w:basedOn w:val="1"/>
    <w:qFormat/>
    <w:uiPriority w:val="0"/>
    <w:pPr>
      <w:tabs>
        <w:tab w:val="center" w:pos="4153"/>
        <w:tab w:val="right" w:pos="8306"/>
      </w:tabs>
      <w:snapToGrid w:val="0"/>
      <w:jc w:val="left"/>
    </w:pPr>
    <w:rPr>
      <w:rFonts w:ascii="宋体" w:hAnsi="宋体" w:eastAsia="宋体" w:cs="Times New Roman"/>
      <w:sz w:val="18"/>
      <w:szCs w:val="20"/>
    </w:rPr>
  </w:style>
  <w:style w:type="paragraph" w:styleId="35">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rFonts w:ascii="宋体" w:hAnsi="宋体"/>
      <w:kern w:val="0"/>
      <w:sz w:val="18"/>
      <w:szCs w:val="20"/>
    </w:rPr>
  </w:style>
  <w:style w:type="paragraph" w:styleId="37">
    <w:name w:val="toc 1"/>
    <w:basedOn w:val="1"/>
    <w:next w:val="1"/>
    <w:qFormat/>
    <w:uiPriority w:val="0"/>
  </w:style>
  <w:style w:type="paragraph" w:styleId="38">
    <w:name w:val="toc 4"/>
    <w:basedOn w:val="1"/>
    <w:next w:val="1"/>
    <w:qFormat/>
    <w:uiPriority w:val="39"/>
    <w:pPr>
      <w:ind w:left="840"/>
    </w:pPr>
  </w:style>
  <w:style w:type="paragraph" w:styleId="39">
    <w:name w:val="Subtitle"/>
    <w:basedOn w:val="1"/>
    <w:qFormat/>
    <w:uiPriority w:val="0"/>
    <w:pPr>
      <w:spacing w:after="156" w:afterLines="50"/>
      <w:jc w:val="center"/>
    </w:pPr>
    <w:rPr>
      <w:rFonts w:ascii="宋体"/>
      <w:i/>
      <w:snapToGrid w:val="0"/>
      <w:kern w:val="0"/>
      <w:sz w:val="36"/>
      <w:szCs w:val="20"/>
      <w:lang w:val="en-AU"/>
    </w:rPr>
  </w:style>
  <w:style w:type="paragraph" w:styleId="40">
    <w:name w:val="List"/>
    <w:basedOn w:val="1"/>
    <w:next w:val="1"/>
    <w:qFormat/>
    <w:uiPriority w:val="0"/>
    <w:pPr>
      <w:ind w:left="200" w:hanging="200" w:hangingChars="200"/>
    </w:pPr>
    <w:rPr>
      <w:sz w:val="28"/>
    </w:rPr>
  </w:style>
  <w:style w:type="paragraph" w:styleId="41">
    <w:name w:val="footnote text"/>
    <w:basedOn w:val="1"/>
    <w:qFormat/>
    <w:uiPriority w:val="0"/>
    <w:pPr>
      <w:snapToGrid w:val="0"/>
      <w:jc w:val="left"/>
    </w:pPr>
    <w:rPr>
      <w:rFonts w:ascii="宋体" w:hAnsi="宋体"/>
      <w:kern w:val="0"/>
      <w:sz w:val="18"/>
      <w:szCs w:val="18"/>
    </w:rPr>
  </w:style>
  <w:style w:type="paragraph" w:styleId="42">
    <w:name w:val="toc 6"/>
    <w:basedOn w:val="1"/>
    <w:next w:val="1"/>
    <w:qFormat/>
    <w:uiPriority w:val="0"/>
    <w:pPr>
      <w:ind w:left="1050"/>
      <w:jc w:val="left"/>
    </w:pPr>
    <w:rPr>
      <w:rFonts w:ascii="Calibri" w:hAnsi="Calibri" w:cs="Calibri"/>
      <w:sz w:val="18"/>
      <w:szCs w:val="18"/>
    </w:rPr>
  </w:style>
  <w:style w:type="paragraph" w:styleId="43">
    <w:name w:val="Body Text Indent 3"/>
    <w:basedOn w:val="1"/>
    <w:link w:val="93"/>
    <w:qFormat/>
    <w:uiPriority w:val="0"/>
    <w:pPr>
      <w:snapToGrid w:val="0"/>
      <w:ind w:firstLine="480" w:firstLineChars="200"/>
      <w:jc w:val="left"/>
    </w:pPr>
    <w:rPr>
      <w:rFonts w:ascii="仿宋_GB2312" w:hAnsi="宋体" w:eastAsia="仿宋_GB2312"/>
      <w:color w:val="000000"/>
      <w:sz w:val="24"/>
    </w:rPr>
  </w:style>
  <w:style w:type="paragraph" w:styleId="44">
    <w:name w:val="toc 2"/>
    <w:basedOn w:val="1"/>
    <w:next w:val="1"/>
    <w:qFormat/>
    <w:uiPriority w:val="0"/>
    <w:pPr>
      <w:ind w:left="210"/>
      <w:jc w:val="left"/>
    </w:pPr>
    <w:rPr>
      <w:smallCaps/>
      <w:sz w:val="20"/>
      <w:szCs w:val="20"/>
    </w:rPr>
  </w:style>
  <w:style w:type="paragraph" w:styleId="4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link w:val="94"/>
    <w:qFormat/>
    <w:uiPriority w:val="0"/>
    <w:rPr>
      <w:rFonts w:ascii="Courier New" w:hAnsi="Courier New"/>
      <w:sz w:val="20"/>
      <w:szCs w:val="20"/>
    </w:rPr>
  </w:style>
  <w:style w:type="paragraph" w:styleId="47">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qFormat/>
    <w:uiPriority w:val="0"/>
    <w:pPr>
      <w:adjustRightInd w:val="0"/>
      <w:spacing w:line="360" w:lineRule="atLeast"/>
      <w:jc w:val="center"/>
      <w:textAlignment w:val="baseline"/>
    </w:pPr>
    <w:rPr>
      <w:rFonts w:ascii="Arial" w:hAnsi="Arial"/>
      <w:szCs w:val="21"/>
    </w:rPr>
  </w:style>
  <w:style w:type="paragraph" w:styleId="49">
    <w:name w:val="Title"/>
    <w:basedOn w:val="1"/>
    <w:next w:val="1"/>
    <w:link w:val="95"/>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9"/>
    <w:next w:val="19"/>
    <w:link w:val="96"/>
    <w:qFormat/>
    <w:uiPriority w:val="0"/>
    <w:rPr>
      <w:b/>
      <w:bCs/>
    </w:rPr>
  </w:style>
  <w:style w:type="paragraph" w:styleId="51">
    <w:name w:val="Body Text First Indent"/>
    <w:basedOn w:val="22"/>
    <w:next w:val="1"/>
    <w:qFormat/>
    <w:uiPriority w:val="0"/>
    <w:pPr>
      <w:ind w:firstLine="420"/>
    </w:pPr>
    <w:rPr>
      <w:rFonts w:hAnsi="Calibri" w:cs="Times New Roman"/>
      <w:snapToGrid/>
      <w:szCs w:val="20"/>
    </w:rPr>
  </w:style>
  <w:style w:type="paragraph" w:styleId="52">
    <w:name w:val="Body Text First Indent 2"/>
    <w:basedOn w:val="14"/>
    <w:next w:val="1"/>
    <w:link w:val="98"/>
    <w:qFormat/>
    <w:uiPriority w:val="0"/>
    <w:pPr>
      <w:spacing w:after="120" w:line="240" w:lineRule="auto"/>
      <w:ind w:left="420" w:leftChars="200" w:firstLine="420" w:firstLineChars="200"/>
    </w:pPr>
    <w:rPr>
      <w:rFonts w:ascii="Calibri" w:hAnsi="Calibri"/>
      <w:sz w:val="21"/>
      <w:szCs w:val="2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333333"/>
      <w:u w:val="none"/>
    </w:rPr>
  </w:style>
  <w:style w:type="character" w:styleId="65">
    <w:name w:val="HTML Code"/>
    <w:qFormat/>
    <w:uiPriority w:val="0"/>
    <w:rPr>
      <w:rFonts w:ascii="Courier New" w:hAnsi="Courier New"/>
      <w:sz w:val="20"/>
      <w:szCs w:val="20"/>
    </w:rPr>
  </w:style>
  <w:style w:type="character" w:styleId="66">
    <w:name w:val="annotation reference"/>
    <w:qFormat/>
    <w:uiPriority w:val="0"/>
    <w:rPr>
      <w:sz w:val="21"/>
      <w:szCs w:val="21"/>
    </w:rPr>
  </w:style>
  <w:style w:type="character" w:styleId="67">
    <w:name w:val="HTML Cite"/>
    <w:qFormat/>
    <w:uiPriority w:val="0"/>
    <w:rPr>
      <w:i/>
      <w:iCs/>
    </w:rPr>
  </w:style>
  <w:style w:type="character" w:styleId="68">
    <w:name w:val="HTML Keyboard"/>
    <w:qFormat/>
    <w:uiPriority w:val="0"/>
    <w:rPr>
      <w:rFonts w:ascii="Courier New" w:hAnsi="Courier New"/>
      <w:sz w:val="20"/>
      <w:szCs w:val="20"/>
    </w:rPr>
  </w:style>
  <w:style w:type="character" w:styleId="69">
    <w:name w:val="HTML Sample"/>
    <w:qFormat/>
    <w:uiPriority w:val="0"/>
    <w:rPr>
      <w:rFonts w:ascii="Courier New" w:hAnsi="Courier New"/>
    </w:rPr>
  </w:style>
  <w:style w:type="paragraph" w:customStyle="1" w:styleId="7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2">
    <w:name w:val="Body Text First Indent1"/>
    <w:basedOn w:val="1"/>
    <w:next w:val="1"/>
    <w:qFormat/>
    <w:uiPriority w:val="0"/>
    <w:pPr>
      <w:spacing w:line="360" w:lineRule="auto"/>
      <w:ind w:firstLine="200" w:firstLineChars="200"/>
      <w:jc w:val="left"/>
    </w:pPr>
    <w:rPr>
      <w:bCs/>
      <w:sz w:val="24"/>
    </w:rPr>
  </w:style>
  <w:style w:type="character" w:customStyle="1" w:styleId="73">
    <w:name w:val="正文文本 字符"/>
    <w:link w:val="22"/>
    <w:qFormat/>
    <w:uiPriority w:val="0"/>
    <w:rPr>
      <w:rFonts w:ascii="宋体" w:hAnsi="宋体" w:eastAsia="宋体" w:cs="Times New Roman"/>
      <w:sz w:val="24"/>
      <w:szCs w:val="24"/>
    </w:rPr>
  </w:style>
  <w:style w:type="character" w:customStyle="1" w:styleId="74">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
    <w:link w:val="2"/>
    <w:qFormat/>
    <w:uiPriority w:val="0"/>
    <w:rPr>
      <w:rFonts w:ascii="Arial" w:hAnsi="Arial" w:eastAsia="黑体"/>
      <w:b/>
      <w:bCs/>
      <w:kern w:val="2"/>
      <w:sz w:val="32"/>
      <w:szCs w:val="32"/>
      <w:lang w:val="en-US" w:eastAsia="zh-CN" w:bidi="ar-SA"/>
    </w:rPr>
  </w:style>
  <w:style w:type="character" w:customStyle="1" w:styleId="76">
    <w:name w:val="标题 3 字符"/>
    <w:link w:val="4"/>
    <w:qFormat/>
    <w:uiPriority w:val="0"/>
    <w:rPr>
      <w:rFonts w:ascii="宋体" w:hAnsi="宋体" w:eastAsia="宋体" w:cs="Times New Roman"/>
      <w:b/>
      <w:sz w:val="24"/>
      <w:u w:val="none"/>
      <w:lang w:val="en-US" w:eastAsia="zh-CN" w:bidi="ar-SA"/>
    </w:rPr>
  </w:style>
  <w:style w:type="character" w:customStyle="1" w:styleId="77">
    <w:name w:val="标题 4 字符"/>
    <w:link w:val="5"/>
    <w:qFormat/>
    <w:uiPriority w:val="0"/>
    <w:rPr>
      <w:rFonts w:ascii="Arial" w:hAnsi="Arial" w:eastAsia="黑体"/>
      <w:b/>
      <w:bCs/>
      <w:kern w:val="2"/>
      <w:sz w:val="28"/>
      <w:szCs w:val="28"/>
      <w:lang w:val="en-US" w:eastAsia="zh-CN" w:bidi="ar-SA"/>
    </w:rPr>
  </w:style>
  <w:style w:type="character" w:customStyle="1" w:styleId="78">
    <w:name w:val="标题 5 字符"/>
    <w:link w:val="6"/>
    <w:qFormat/>
    <w:uiPriority w:val="0"/>
    <w:rPr>
      <w:rFonts w:eastAsia="宋体"/>
      <w:b/>
      <w:bCs/>
      <w:kern w:val="2"/>
      <w:sz w:val="28"/>
      <w:szCs w:val="28"/>
      <w:lang w:val="en-US" w:eastAsia="zh-CN" w:bidi="ar-SA"/>
    </w:rPr>
  </w:style>
  <w:style w:type="character" w:customStyle="1" w:styleId="79">
    <w:name w:val="标题 6 字符"/>
    <w:link w:val="7"/>
    <w:qFormat/>
    <w:uiPriority w:val="0"/>
    <w:rPr>
      <w:rFonts w:ascii="Arial" w:hAnsi="Arial" w:eastAsia="黑体"/>
      <w:b/>
      <w:bCs/>
      <w:kern w:val="2"/>
      <w:sz w:val="24"/>
      <w:lang w:val="en-US" w:eastAsia="zh-CN" w:bidi="ar-SA"/>
    </w:rPr>
  </w:style>
  <w:style w:type="character" w:customStyle="1" w:styleId="80">
    <w:name w:val="标题 7 字符"/>
    <w:link w:val="8"/>
    <w:qFormat/>
    <w:uiPriority w:val="0"/>
    <w:rPr>
      <w:rFonts w:ascii="宋体" w:eastAsia="仿宋_GB2312"/>
      <w:b/>
      <w:sz w:val="24"/>
    </w:rPr>
  </w:style>
  <w:style w:type="character" w:customStyle="1" w:styleId="81">
    <w:name w:val="标题 8 字符"/>
    <w:link w:val="9"/>
    <w:qFormat/>
    <w:uiPriority w:val="0"/>
    <w:rPr>
      <w:rFonts w:ascii="Arial" w:hAnsi="Arial" w:eastAsia="黑体"/>
      <w:sz w:val="24"/>
    </w:rPr>
  </w:style>
  <w:style w:type="character" w:customStyle="1" w:styleId="82">
    <w:name w:val="标题 9 字符"/>
    <w:link w:val="10"/>
    <w:qFormat/>
    <w:uiPriority w:val="0"/>
    <w:rPr>
      <w:rFonts w:ascii="Arial" w:hAnsi="Arial" w:eastAsia="黑体"/>
      <w:sz w:val="28"/>
    </w:rPr>
  </w:style>
  <w:style w:type="character" w:customStyle="1" w:styleId="83">
    <w:name w:val="注释标题 字符"/>
    <w:link w:val="11"/>
    <w:qFormat/>
    <w:uiPriority w:val="0"/>
    <w:rPr>
      <w:rFonts w:ascii="DFKai-SB" w:hAnsi="DFKai-SB" w:eastAsia="DFKai-SB"/>
      <w:lang w:bidi="ar-SA"/>
    </w:rPr>
  </w:style>
  <w:style w:type="character" w:customStyle="1" w:styleId="84">
    <w:name w:val="正文缩进 字符"/>
    <w:link w:val="13"/>
    <w:qFormat/>
    <w:uiPriority w:val="0"/>
    <w:rPr>
      <w:rFonts w:eastAsia="宋体"/>
      <w:kern w:val="2"/>
      <w:sz w:val="21"/>
      <w:lang w:val="en-US" w:eastAsia="zh-CN" w:bidi="ar-SA"/>
    </w:rPr>
  </w:style>
  <w:style w:type="character" w:customStyle="1" w:styleId="85">
    <w:name w:val="题注 字符"/>
    <w:link w:val="15"/>
    <w:qFormat/>
    <w:uiPriority w:val="0"/>
    <w:rPr>
      <w:rFonts w:ascii="Arial" w:hAnsi="Arial" w:eastAsia="黑体" w:cs="Arial"/>
      <w:kern w:val="2"/>
    </w:rPr>
  </w:style>
  <w:style w:type="character" w:customStyle="1" w:styleId="86">
    <w:name w:val="文档结构图 字符"/>
    <w:link w:val="17"/>
    <w:qFormat/>
    <w:uiPriority w:val="0"/>
    <w:rPr>
      <w:kern w:val="2"/>
      <w:sz w:val="21"/>
      <w:szCs w:val="24"/>
      <w:shd w:val="clear" w:color="auto" w:fill="000080"/>
    </w:rPr>
  </w:style>
  <w:style w:type="character" w:customStyle="1" w:styleId="87">
    <w:name w:val="批注文字 字符"/>
    <w:link w:val="19"/>
    <w:qFormat/>
    <w:uiPriority w:val="0"/>
    <w:rPr>
      <w:rFonts w:eastAsia="宋体"/>
      <w:kern w:val="2"/>
      <w:sz w:val="21"/>
      <w:szCs w:val="24"/>
      <w:lang w:val="en-US" w:eastAsia="zh-CN" w:bidi="ar-SA"/>
    </w:rPr>
  </w:style>
  <w:style w:type="character" w:customStyle="1" w:styleId="88">
    <w:name w:val="正文文本缩进 字符"/>
    <w:link w:val="14"/>
    <w:qFormat/>
    <w:uiPriority w:val="0"/>
    <w:rPr>
      <w:rFonts w:ascii="宋体" w:hAnsi="Courier New" w:eastAsia="宋体"/>
      <w:spacing w:val="-4"/>
      <w:kern w:val="2"/>
      <w:sz w:val="18"/>
      <w:lang w:val="en-US" w:eastAsia="zh-CN" w:bidi="ar-SA"/>
    </w:rPr>
  </w:style>
  <w:style w:type="character" w:customStyle="1" w:styleId="89">
    <w:name w:val="纯文本 字符"/>
    <w:link w:val="29"/>
    <w:qFormat/>
    <w:uiPriority w:val="0"/>
    <w:rPr>
      <w:rFonts w:ascii="宋体" w:hAnsi="Courier New" w:eastAsia="宋体"/>
      <w:kern w:val="2"/>
      <w:sz w:val="24"/>
      <w:szCs w:val="24"/>
      <w:lang w:val="en-US" w:eastAsia="zh-CN" w:bidi="ar-SA"/>
    </w:rPr>
  </w:style>
  <w:style w:type="character" w:customStyle="1" w:styleId="90">
    <w:name w:val="日期 字符"/>
    <w:link w:val="30"/>
    <w:qFormat/>
    <w:uiPriority w:val="0"/>
    <w:rPr>
      <w:rFonts w:eastAsia="楷体_GB2312"/>
      <w:kern w:val="2"/>
      <w:sz w:val="32"/>
    </w:rPr>
  </w:style>
  <w:style w:type="character" w:customStyle="1" w:styleId="91">
    <w:name w:val="批注框文本 字符"/>
    <w:link w:val="33"/>
    <w:qFormat/>
    <w:uiPriority w:val="0"/>
    <w:rPr>
      <w:kern w:val="2"/>
      <w:sz w:val="18"/>
      <w:szCs w:val="18"/>
    </w:rPr>
  </w:style>
  <w:style w:type="character" w:customStyle="1" w:styleId="92">
    <w:name w:val="页眉 字符"/>
    <w:link w:val="36"/>
    <w:qFormat/>
    <w:uiPriority w:val="0"/>
    <w:rPr>
      <w:rFonts w:ascii="宋体" w:hAnsi="宋体" w:eastAsia="宋体" w:cs="Times New Roman"/>
      <w:sz w:val="18"/>
      <w:szCs w:val="20"/>
    </w:rPr>
  </w:style>
  <w:style w:type="character" w:customStyle="1" w:styleId="93">
    <w:name w:val="正文文本缩进 3 字符"/>
    <w:link w:val="43"/>
    <w:qFormat/>
    <w:uiPriority w:val="0"/>
    <w:rPr>
      <w:rFonts w:ascii="仿宋_GB2312" w:hAnsi="宋体" w:eastAsia="仿宋_GB2312"/>
      <w:color w:val="000000"/>
      <w:kern w:val="2"/>
      <w:sz w:val="24"/>
      <w:szCs w:val="24"/>
      <w:lang w:val="en-US" w:eastAsia="zh-CN" w:bidi="ar-SA"/>
    </w:rPr>
  </w:style>
  <w:style w:type="character" w:customStyle="1" w:styleId="94">
    <w:name w:val="HTML 预设格式 字符"/>
    <w:link w:val="46"/>
    <w:qFormat/>
    <w:uiPriority w:val="0"/>
    <w:rPr>
      <w:rFonts w:ascii="Courier New" w:hAnsi="Courier New" w:cs="Courier New"/>
      <w:kern w:val="2"/>
    </w:rPr>
  </w:style>
  <w:style w:type="character" w:customStyle="1" w:styleId="95">
    <w:name w:val="标题 字符"/>
    <w:link w:val="49"/>
    <w:qFormat/>
    <w:uiPriority w:val="0"/>
    <w:rPr>
      <w:rFonts w:eastAsia="宋体"/>
      <w:b/>
      <w:sz w:val="24"/>
      <w:lang w:val="en-GB" w:eastAsia="zh-CN" w:bidi="ar-SA"/>
    </w:rPr>
  </w:style>
  <w:style w:type="character" w:customStyle="1" w:styleId="96">
    <w:name w:val="批注主题 字符"/>
    <w:link w:val="50"/>
    <w:qFormat/>
    <w:uiPriority w:val="0"/>
    <w:rPr>
      <w:rFonts w:eastAsia="宋体"/>
      <w:b/>
      <w:bCs/>
      <w:kern w:val="2"/>
      <w:sz w:val="21"/>
      <w:szCs w:val="24"/>
      <w:lang w:val="en-US" w:eastAsia="zh-CN" w:bidi="ar-SA"/>
    </w:rPr>
  </w:style>
  <w:style w:type="character" w:customStyle="1" w:styleId="97">
    <w:name w:val="正文文本首行缩进 字符"/>
    <w:qFormat/>
    <w:uiPriority w:val="0"/>
    <w:rPr>
      <w:rFonts w:ascii="宋体" w:hAnsi="宋体" w:eastAsia="宋体" w:cs="Times New Roman"/>
      <w:bCs/>
      <w:kern w:val="2"/>
      <w:sz w:val="24"/>
      <w:szCs w:val="24"/>
      <w:lang w:val="en-US" w:eastAsia="zh-CN" w:bidi="ar-SA"/>
    </w:rPr>
  </w:style>
  <w:style w:type="character" w:customStyle="1" w:styleId="98">
    <w:name w:val="正文文本首行缩进 2 字符"/>
    <w:link w:val="52"/>
    <w:qFormat/>
    <w:uiPriority w:val="0"/>
    <w:rPr>
      <w:rFonts w:ascii="Calibri" w:hAnsi="Calibri" w:eastAsia="宋体"/>
      <w:spacing w:val="-4"/>
      <w:kern w:val="2"/>
      <w:sz w:val="21"/>
      <w:szCs w:val="22"/>
      <w:lang w:val="en-US" w:eastAsia="zh-CN" w:bidi="ar-SA"/>
    </w:rPr>
  </w:style>
  <w:style w:type="character" w:customStyle="1" w:styleId="99">
    <w:name w:val="标题 1 Char"/>
    <w:link w:val="3"/>
    <w:qFormat/>
    <w:uiPriority w:val="9"/>
    <w:rPr>
      <w:b/>
      <w:bCs/>
      <w:kern w:val="44"/>
      <w:sz w:val="44"/>
      <w:szCs w:val="44"/>
    </w:rPr>
  </w:style>
  <w:style w:type="character" w:customStyle="1" w:styleId="100">
    <w:name w:val="标题 2 字符"/>
    <w:link w:val="2"/>
    <w:qFormat/>
    <w:uiPriority w:val="0"/>
    <w:rPr>
      <w:b/>
      <w:bCs/>
      <w:kern w:val="44"/>
      <w:sz w:val="44"/>
      <w:szCs w:val="44"/>
    </w:rPr>
  </w:style>
  <w:style w:type="paragraph" w:styleId="101">
    <w:name w:val="List Paragraph"/>
    <w:basedOn w:val="1"/>
    <w:link w:val="102"/>
    <w:qFormat/>
    <w:uiPriority w:val="0"/>
    <w:pPr>
      <w:ind w:firstLine="420" w:firstLineChars="200"/>
    </w:pPr>
  </w:style>
  <w:style w:type="character" w:customStyle="1" w:styleId="102">
    <w:name w:val="列表段落 字符"/>
    <w:link w:val="101"/>
    <w:qFormat/>
    <w:uiPriority w:val="0"/>
    <w:rPr>
      <w:rFonts w:eastAsia="宋体"/>
      <w:kern w:val="2"/>
      <w:sz w:val="21"/>
      <w:szCs w:val="24"/>
      <w:lang w:val="en-US" w:eastAsia="zh-CN" w:bidi="ar-SA"/>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4">
    <w:name w:val="Body Text First Indent 2_8e46f345-1b7b-4616-b3eb-043bf4b0bb15"/>
    <w:basedOn w:val="105"/>
    <w:qFormat/>
    <w:uiPriority w:val="0"/>
    <w:pPr>
      <w:spacing w:after="120" w:line="240" w:lineRule="auto"/>
      <w:ind w:left="420" w:leftChars="200" w:firstLine="420"/>
    </w:pPr>
    <w:rPr>
      <w:rFonts w:cs="宋体"/>
      <w:sz w:val="21"/>
      <w:szCs w:val="21"/>
    </w:rPr>
  </w:style>
  <w:style w:type="paragraph" w:customStyle="1" w:styleId="105">
    <w:name w:val="Body Text Indent_4b70765f-8401-42c6-8eb6-5ffee982d488"/>
    <w:basedOn w:val="1"/>
    <w:qFormat/>
    <w:uiPriority w:val="0"/>
    <w:pPr>
      <w:spacing w:line="200" w:lineRule="exact"/>
      <w:ind w:firstLine="301"/>
    </w:pPr>
    <w:rPr>
      <w:rFonts w:ascii="宋体" w:hAnsi="Courier New"/>
      <w:spacing w:val="-4"/>
      <w:sz w:val="18"/>
      <w:szCs w:val="20"/>
    </w:rPr>
  </w:style>
  <w:style w:type="paragraph" w:customStyle="1" w:styleId="10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font312"/>
    <w:qFormat/>
    <w:uiPriority w:val="0"/>
    <w:rPr>
      <w:rFonts w:hint="eastAsia" w:ascii="宋体" w:hAnsi="宋体" w:eastAsia="宋体" w:cs="宋体"/>
      <w:color w:val="000000"/>
      <w:sz w:val="20"/>
      <w:szCs w:val="20"/>
      <w:u w:val="none"/>
    </w:rPr>
  </w:style>
  <w:style w:type="character" w:customStyle="1" w:styleId="109">
    <w:name w:val="17"/>
    <w:qFormat/>
    <w:uiPriority w:val="0"/>
    <w:rPr>
      <w:rFonts w:hint="default" w:ascii="Arial" w:hAnsi="Arial" w:cs="Arial"/>
      <w:color w:val="000000"/>
      <w:sz w:val="18"/>
      <w:szCs w:val="18"/>
    </w:rPr>
  </w:style>
  <w:style w:type="character" w:customStyle="1" w:styleId="110">
    <w:name w:val="font161"/>
    <w:qFormat/>
    <w:uiPriority w:val="0"/>
    <w:rPr>
      <w:rFonts w:hint="eastAsia" w:ascii="宋体" w:hAnsi="宋体" w:eastAsia="宋体" w:cs="宋体"/>
      <w:color w:val="000000"/>
      <w:sz w:val="18"/>
      <w:szCs w:val="18"/>
      <w:u w:val="none"/>
    </w:rPr>
  </w:style>
  <w:style w:type="character" w:customStyle="1" w:styleId="111">
    <w:name w:val="font412"/>
    <w:qFormat/>
    <w:uiPriority w:val="0"/>
    <w:rPr>
      <w:rFonts w:hint="default" w:ascii="Arial" w:hAnsi="Arial" w:cs="Arial"/>
      <w:color w:val="000000"/>
      <w:sz w:val="18"/>
      <w:szCs w:val="18"/>
      <w:u w:val="none"/>
    </w:rPr>
  </w:style>
  <w:style w:type="character" w:customStyle="1" w:styleId="112">
    <w:name w:val="font212"/>
    <w:qFormat/>
    <w:uiPriority w:val="0"/>
    <w:rPr>
      <w:rFonts w:hint="eastAsia" w:ascii="宋体" w:hAnsi="宋体" w:eastAsia="宋体" w:cs="宋体"/>
      <w:color w:val="000000"/>
      <w:sz w:val="20"/>
      <w:szCs w:val="20"/>
      <w:u w:val="none"/>
    </w:rPr>
  </w:style>
  <w:style w:type="character" w:customStyle="1" w:styleId="113">
    <w:name w:val="font251"/>
    <w:qFormat/>
    <w:uiPriority w:val="0"/>
    <w:rPr>
      <w:rFonts w:hint="default" w:ascii="Arial" w:hAnsi="Arial" w:cs="Arial"/>
      <w:color w:val="000000"/>
      <w:sz w:val="20"/>
      <w:szCs w:val="20"/>
      <w:u w:val="none"/>
    </w:rPr>
  </w:style>
  <w:style w:type="character" w:customStyle="1" w:styleId="114">
    <w:name w:val="apple-converted-space"/>
    <w:qFormat/>
    <w:uiPriority w:val="0"/>
  </w:style>
  <w:style w:type="character" w:customStyle="1" w:styleId="115">
    <w:name w:val="tw4winMark"/>
    <w:qFormat/>
    <w:uiPriority w:val="0"/>
    <w:rPr>
      <w:rFonts w:ascii="Courier New" w:hAnsi="Courier New"/>
      <w:vanish/>
      <w:color w:val="800080"/>
      <w:vertAlign w:val="subscript"/>
    </w:rPr>
  </w:style>
  <w:style w:type="character" w:customStyle="1" w:styleId="116">
    <w:name w:val="para"/>
    <w:qFormat/>
    <w:uiPriority w:val="0"/>
  </w:style>
  <w:style w:type="character" w:customStyle="1" w:styleId="117">
    <w:name w:val="Char Char13"/>
    <w:qFormat/>
    <w:uiPriority w:val="0"/>
    <w:rPr>
      <w:rFonts w:ascii="宋体" w:hAnsi="宋体" w:eastAsia="宋体" w:cs="Times New Roman"/>
      <w:szCs w:val="24"/>
      <w:shd w:val="clear" w:color="auto" w:fill="000080"/>
    </w:rPr>
  </w:style>
  <w:style w:type="character" w:customStyle="1" w:styleId="118">
    <w:name w:val="页脚 Char Char"/>
    <w:qFormat/>
    <w:uiPriority w:val="0"/>
    <w:rPr>
      <w:rFonts w:ascii="宋体" w:hAnsi="宋体" w:eastAsia="宋体" w:cs="Times New Roman"/>
      <w:sz w:val="18"/>
      <w:szCs w:val="20"/>
    </w:rPr>
  </w:style>
  <w:style w:type="character" w:customStyle="1" w:styleId="119">
    <w:name w:val="五级条标题 Char Char"/>
    <w:link w:val="120"/>
    <w:qFormat/>
    <w:uiPriority w:val="0"/>
    <w:rPr>
      <w:lang w:val="en-US" w:eastAsia="zh-CN" w:bidi="ar-SA"/>
    </w:rPr>
  </w:style>
  <w:style w:type="paragraph" w:customStyle="1" w:styleId="120">
    <w:name w:val="五级条标题"/>
    <w:basedOn w:val="121"/>
    <w:next w:val="1"/>
    <w:link w:val="119"/>
    <w:qFormat/>
    <w:uiPriority w:val="0"/>
    <w:pPr>
      <w:tabs>
        <w:tab w:val="left" w:pos="420"/>
      </w:tabs>
      <w:ind w:left="420" w:hanging="420"/>
      <w:outlineLvl w:val="6"/>
    </w:pPr>
  </w:style>
  <w:style w:type="paragraph" w:customStyle="1" w:styleId="121">
    <w:name w:val="四级条标题"/>
    <w:basedOn w:val="122"/>
    <w:next w:val="1"/>
    <w:link w:val="128"/>
    <w:qFormat/>
    <w:uiPriority w:val="0"/>
    <w:pPr>
      <w:ind w:left="420"/>
      <w:outlineLvl w:val="5"/>
    </w:pPr>
  </w:style>
  <w:style w:type="paragraph" w:customStyle="1" w:styleId="122">
    <w:name w:val="三级条标题"/>
    <w:basedOn w:val="123"/>
    <w:next w:val="1"/>
    <w:link w:val="127"/>
    <w:qFormat/>
    <w:uiPriority w:val="0"/>
    <w:pPr>
      <w:ind w:left="420"/>
      <w:outlineLvl w:val="4"/>
    </w:pPr>
    <w:rPr>
      <w:rFonts w:ascii="Times New Roman" w:eastAsia="宋体"/>
      <w:sz w:val="20"/>
    </w:rPr>
  </w:style>
  <w:style w:type="paragraph" w:customStyle="1" w:styleId="123">
    <w:name w:val="二级条标题"/>
    <w:basedOn w:val="124"/>
    <w:next w:val="1"/>
    <w:qFormat/>
    <w:uiPriority w:val="0"/>
    <w:pPr>
      <w:ind w:left="420"/>
      <w:outlineLvl w:val="3"/>
    </w:pPr>
    <w:rPr>
      <w:lang w:val="en-US" w:eastAsia="zh-CN" w:bidi="ar-SA"/>
    </w:rPr>
  </w:style>
  <w:style w:type="paragraph" w:customStyle="1" w:styleId="124">
    <w:name w:val="一级条标题"/>
    <w:basedOn w:val="125"/>
    <w:next w:val="1"/>
    <w:qFormat/>
    <w:uiPriority w:val="0"/>
    <w:pPr>
      <w:ind w:left="420"/>
      <w:outlineLvl w:val="2"/>
    </w:pPr>
  </w:style>
  <w:style w:type="paragraph" w:customStyle="1" w:styleId="125">
    <w:name w:val="章标题"/>
    <w:next w:val="1"/>
    <w:link w:val="126"/>
    <w:qFormat/>
    <w:uiPriority w:val="0"/>
    <w:pPr>
      <w:spacing w:before="156" w:beforeLines="50" w:after="156" w:afterLines="50" w:line="400" w:lineRule="exact"/>
      <w:jc w:val="both"/>
      <w:outlineLvl w:val="1"/>
    </w:pPr>
    <w:rPr>
      <w:rFonts w:ascii="黑体" w:hAnsi="Times New Roman" w:eastAsia="黑体" w:cs="Times New Roman"/>
      <w:sz w:val="21"/>
      <w:lang w:val="en-US" w:eastAsia="zh-CN" w:bidi="ar-SA"/>
    </w:rPr>
  </w:style>
  <w:style w:type="character" w:customStyle="1" w:styleId="126">
    <w:name w:val="章标题 Char Char Char Char Char"/>
    <w:link w:val="125"/>
    <w:qFormat/>
    <w:uiPriority w:val="0"/>
    <w:rPr>
      <w:rFonts w:ascii="黑体" w:eastAsia="黑体"/>
      <w:sz w:val="21"/>
      <w:lang w:val="en-US" w:eastAsia="zh-CN" w:bidi="ar-SA"/>
    </w:rPr>
  </w:style>
  <w:style w:type="character" w:customStyle="1" w:styleId="127">
    <w:name w:val="三级条标题 Char Char"/>
    <w:link w:val="122"/>
    <w:qFormat/>
    <w:uiPriority w:val="0"/>
    <w:rPr>
      <w:lang w:val="en-US" w:eastAsia="zh-CN" w:bidi="ar-SA"/>
    </w:rPr>
  </w:style>
  <w:style w:type="character" w:customStyle="1" w:styleId="128">
    <w:name w:val="四级条标题 Char Char"/>
    <w:link w:val="121"/>
    <w:qFormat/>
    <w:uiPriority w:val="0"/>
    <w:rPr>
      <w:lang w:val="en-US" w:eastAsia="zh-CN" w:bidi="ar-SA"/>
    </w:rPr>
  </w:style>
  <w:style w:type="character" w:customStyle="1" w:styleId="129">
    <w:name w:val="样式 小四"/>
    <w:qFormat/>
    <w:uiPriority w:val="0"/>
    <w:rPr>
      <w:sz w:val="21"/>
    </w:rPr>
  </w:style>
  <w:style w:type="character" w:customStyle="1" w:styleId="130">
    <w:name w:val="一级条标题 Char Char Char Char"/>
    <w:qFormat/>
    <w:uiPriority w:val="0"/>
    <w:rPr>
      <w:lang w:val="en-US" w:eastAsia="zh-CN" w:bidi="ar-SA"/>
    </w:rPr>
  </w:style>
  <w:style w:type="character" w:customStyle="1" w:styleId="131">
    <w:name w:val="H1 Char1"/>
    <w:qFormat/>
    <w:uiPriority w:val="0"/>
    <w:rPr>
      <w:rFonts w:eastAsia="宋体"/>
      <w:b/>
      <w:bCs/>
      <w:kern w:val="44"/>
      <w:sz w:val="44"/>
      <w:szCs w:val="44"/>
      <w:lang w:bidi="ar-SA"/>
    </w:rPr>
  </w:style>
  <w:style w:type="character" w:customStyle="1" w:styleId="132">
    <w:name w:val="t91"/>
    <w:qFormat/>
    <w:uiPriority w:val="0"/>
  </w:style>
  <w:style w:type="character" w:customStyle="1" w:styleId="133">
    <w:name w:val="Char Char27"/>
    <w:qFormat/>
    <w:uiPriority w:val="0"/>
    <w:rPr>
      <w:rFonts w:ascii="宋体" w:hAnsi="宋体" w:eastAsia="黑体"/>
      <w:b/>
      <w:kern w:val="44"/>
      <w:sz w:val="36"/>
    </w:rPr>
  </w:style>
  <w:style w:type="character" w:customStyle="1" w:styleId="134">
    <w:name w:val="正文小标题 Char Char"/>
    <w:qFormat/>
    <w:uiPriority w:val="0"/>
    <w:rPr>
      <w:rFonts w:ascii="楷体_GB2312" w:eastAsia="楷体_GB2312"/>
      <w:kern w:val="2"/>
      <w:sz w:val="32"/>
      <w:lang w:bidi="ar-SA"/>
    </w:rPr>
  </w:style>
  <w:style w:type="character" w:customStyle="1" w:styleId="135">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Char Char8"/>
    <w:qFormat/>
    <w:uiPriority w:val="0"/>
    <w:rPr>
      <w:rFonts w:ascii="宋体" w:hAnsi="宋体"/>
      <w:kern w:val="2"/>
      <w:sz w:val="18"/>
    </w:rPr>
  </w:style>
  <w:style w:type="character" w:customStyle="1" w:styleId="138">
    <w:name w:val="huide001"/>
    <w:qFormat/>
    <w:uiPriority w:val="0"/>
    <w:rPr>
      <w:rFonts w:hint="default" w:ascii="Arial" w:hAnsi="Arial" w:cs="Arial"/>
      <w:color w:val="666666"/>
      <w:sz w:val="18"/>
      <w:szCs w:val="18"/>
    </w:rPr>
  </w:style>
  <w:style w:type="character" w:customStyle="1" w:styleId="139">
    <w:name w:val="A C"/>
    <w:qFormat/>
    <w:uiPriority w:val="0"/>
    <w:rPr>
      <w:rFonts w:ascii="仿宋_GB2312"/>
      <w:bCs/>
      <w:iCs/>
      <w:sz w:val="24"/>
    </w:rPr>
  </w:style>
  <w:style w:type="character" w:customStyle="1" w:styleId="140">
    <w:name w:val="point_normal1"/>
    <w:qFormat/>
    <w:uiPriority w:val="0"/>
    <w:rPr>
      <w:rFonts w:hint="default" w:ascii="Arial" w:hAnsi="Arial" w:cs="Arial"/>
      <w:sz w:val="18"/>
      <w:szCs w:val="18"/>
    </w:rPr>
  </w:style>
  <w:style w:type="character" w:customStyle="1" w:styleId="141">
    <w:name w:val="个人撰写风格"/>
    <w:qFormat/>
    <w:uiPriority w:val="0"/>
    <w:rPr>
      <w:rFonts w:ascii="Arial" w:hAnsi="Arial" w:eastAsia="宋体" w:cs="Arial"/>
      <w:color w:val="auto"/>
      <w:sz w:val="20"/>
    </w:rPr>
  </w:style>
  <w:style w:type="character" w:customStyle="1" w:styleId="142">
    <w:name w:val="_Style 141"/>
    <w:qFormat/>
    <w:uiPriority w:val="0"/>
    <w:rPr>
      <w:color w:val="605E5C"/>
      <w:shd w:val="clear" w:color="auto" w:fill="E1DFDD"/>
    </w:rPr>
  </w:style>
  <w:style w:type="character" w:customStyle="1" w:styleId="143">
    <w:name w:val="正文缩进2字符 Char Char"/>
    <w:link w:val="144"/>
    <w:qFormat/>
    <w:uiPriority w:val="0"/>
    <w:rPr>
      <w:rFonts w:eastAsia="宋体"/>
      <w:kern w:val="2"/>
      <w:sz w:val="24"/>
      <w:szCs w:val="24"/>
      <w:lang w:bidi="ar-SA"/>
    </w:rPr>
  </w:style>
  <w:style w:type="paragraph" w:customStyle="1" w:styleId="144">
    <w:name w:val="正文缩进2字符"/>
    <w:basedOn w:val="1"/>
    <w:link w:val="143"/>
    <w:qFormat/>
    <w:uiPriority w:val="0"/>
    <w:pPr>
      <w:spacing w:line="360" w:lineRule="auto"/>
      <w:ind w:firstLine="480" w:firstLineChars="200"/>
    </w:pPr>
    <w:rPr>
      <w:sz w:val="24"/>
    </w:rPr>
  </w:style>
  <w:style w:type="character" w:customStyle="1" w:styleId="145">
    <w:name w:val="Normal Indent Char"/>
    <w:qFormat/>
    <w:uiPriority w:val="0"/>
    <w:rPr>
      <w:rFonts w:ascii="Calibri" w:hAnsi="Calibri" w:eastAsia="宋体"/>
      <w:kern w:val="0"/>
      <w:sz w:val="20"/>
    </w:rPr>
  </w:style>
  <w:style w:type="character" w:customStyle="1" w:styleId="146">
    <w:name w:val="unnamed24"/>
    <w:qFormat/>
    <w:uiPriority w:val="0"/>
  </w:style>
  <w:style w:type="character" w:customStyle="1" w:styleId="147">
    <w:name w:val="fontblank12"/>
    <w:qFormat/>
    <w:uiPriority w:val="0"/>
  </w:style>
  <w:style w:type="character" w:customStyle="1" w:styleId="148">
    <w:name w:val="Char Char15"/>
    <w:qFormat/>
    <w:uiPriority w:val="0"/>
    <w:rPr>
      <w:rFonts w:ascii="宋体" w:hAnsi="Courier New" w:eastAsia="宋体" w:cs="Times New Roman"/>
      <w:sz w:val="28"/>
      <w:szCs w:val="20"/>
    </w:rPr>
  </w:style>
  <w:style w:type="character" w:customStyle="1" w:styleId="149">
    <w:name w:val="正文文本 Char1"/>
    <w:qFormat/>
    <w:uiPriority w:val="0"/>
    <w:rPr>
      <w:rFonts w:ascii="Times New Roman" w:hAnsi="Times New Roman" w:eastAsia="宋体" w:cs="Times New Roman"/>
      <w:szCs w:val="24"/>
    </w:rPr>
  </w:style>
  <w:style w:type="character" w:customStyle="1" w:styleId="150">
    <w:name w:val="Char Char18"/>
    <w:qFormat/>
    <w:uiPriority w:val="0"/>
    <w:rPr>
      <w:rFonts w:ascii="宋体" w:hAnsi="宋体"/>
      <w:kern w:val="2"/>
      <w:sz w:val="18"/>
    </w:rPr>
  </w:style>
  <w:style w:type="character" w:customStyle="1" w:styleId="151">
    <w:name w:val="标题 3 Char2"/>
    <w:qFormat/>
    <w:uiPriority w:val="0"/>
    <w:rPr>
      <w:rFonts w:ascii="宋体" w:eastAsia="宋体"/>
      <w:b/>
      <w:sz w:val="24"/>
      <w:u w:val="single"/>
      <w:lang w:val="en-US" w:eastAsia="zh-CN" w:bidi="ar-SA"/>
    </w:rPr>
  </w:style>
  <w:style w:type="character" w:customStyle="1" w:styleId="152">
    <w:name w:val="Char Char9"/>
    <w:qFormat/>
    <w:uiPriority w:val="0"/>
    <w:rPr>
      <w:rFonts w:ascii="宋体" w:hAnsi="宋体" w:eastAsia="宋体" w:cs="Times New Roman"/>
      <w:sz w:val="28"/>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b titlename wangputoptitle"/>
    <w:qFormat/>
    <w:uiPriority w:val="0"/>
  </w:style>
  <w:style w:type="character" w:customStyle="1" w:styleId="155">
    <w:name w:val="font71"/>
    <w:qFormat/>
    <w:uiPriority w:val="0"/>
    <w:rPr>
      <w:rFonts w:hint="default" w:ascii="Calibri" w:hAnsi="Calibri" w:cs="Calibri"/>
      <w:color w:val="000000"/>
      <w:sz w:val="18"/>
      <w:szCs w:val="18"/>
      <w:u w:val="none"/>
    </w:rPr>
  </w:style>
  <w:style w:type="character" w:customStyle="1" w:styleId="156">
    <w:name w:val="font31"/>
    <w:basedOn w:val="55"/>
    <w:qFormat/>
    <w:uiPriority w:val="0"/>
    <w:rPr>
      <w:rFonts w:hint="eastAsia" w:ascii="宋体" w:hAnsi="宋体" w:eastAsia="宋体" w:cs="宋体"/>
      <w:color w:val="000000"/>
      <w:sz w:val="21"/>
      <w:szCs w:val="21"/>
      <w:u w:val="none"/>
    </w:rPr>
  </w:style>
  <w:style w:type="character" w:customStyle="1" w:styleId="157">
    <w:name w:val="tw4winJump"/>
    <w:qFormat/>
    <w:uiPriority w:val="0"/>
    <w:rPr>
      <w:rFonts w:ascii="Courier New" w:hAnsi="Courier New"/>
      <w:color w:val="008080"/>
    </w:rPr>
  </w:style>
  <w:style w:type="character" w:customStyle="1" w:styleId="158">
    <w:name w:val="specinfo"/>
    <w:qFormat/>
    <w:uiPriority w:val="0"/>
  </w:style>
  <w:style w:type="character" w:customStyle="1" w:styleId="159">
    <w:name w:val="Char Char17"/>
    <w:qFormat/>
    <w:uiPriority w:val="0"/>
    <w:rPr>
      <w:rFonts w:ascii="宋体" w:hAnsi="宋体" w:eastAsia="宋体" w:cs="Times New Roman"/>
      <w:szCs w:val="20"/>
    </w:rPr>
  </w:style>
  <w:style w:type="character" w:customStyle="1" w:styleId="160">
    <w:name w:val="Char Char11"/>
    <w:qFormat/>
    <w:uiPriority w:val="0"/>
    <w:rPr>
      <w:rFonts w:ascii="宋体" w:hAnsi="宋体" w:eastAsia="宋体" w:cs="Times New Roman"/>
      <w:sz w:val="28"/>
      <w:szCs w:val="20"/>
    </w:rPr>
  </w:style>
  <w:style w:type="character" w:customStyle="1" w:styleId="161">
    <w:name w:val="style60"/>
    <w:qFormat/>
    <w:uiPriority w:val="0"/>
  </w:style>
  <w:style w:type="character" w:customStyle="1" w:styleId="162">
    <w:name w:val="Char Char26"/>
    <w:qFormat/>
    <w:uiPriority w:val="0"/>
    <w:rPr>
      <w:rFonts w:ascii="CG Times" w:hAnsi="CG Times"/>
      <w:b/>
      <w:kern w:val="2"/>
      <w:sz w:val="30"/>
    </w:rPr>
  </w:style>
  <w:style w:type="character" w:customStyle="1" w:styleId="163">
    <w:name w:val="正文（缩进） Char Char"/>
    <w:link w:val="164"/>
    <w:qFormat/>
    <w:uiPriority w:val="0"/>
    <w:rPr>
      <w:sz w:val="24"/>
      <w:szCs w:val="24"/>
    </w:rPr>
  </w:style>
  <w:style w:type="paragraph" w:customStyle="1" w:styleId="164">
    <w:name w:val="正文（缩进）"/>
    <w:basedOn w:val="1"/>
    <w:link w:val="163"/>
    <w:qFormat/>
    <w:uiPriority w:val="0"/>
    <w:pPr>
      <w:spacing w:before="156" w:beforeLines="50" w:after="156" w:afterLines="50" w:line="360" w:lineRule="auto"/>
      <w:ind w:firstLine="480" w:firstLineChars="200"/>
    </w:pPr>
    <w:rPr>
      <w:kern w:val="0"/>
      <w:sz w:val="24"/>
    </w:rPr>
  </w:style>
  <w:style w:type="character" w:customStyle="1" w:styleId="165">
    <w:name w:val="arial1"/>
    <w:qFormat/>
    <w:uiPriority w:val="0"/>
    <w:rPr>
      <w:rFonts w:hint="default" w:ascii="Arial" w:hAnsi="Arial" w:cs="Arial"/>
    </w:rPr>
  </w:style>
  <w:style w:type="character" w:customStyle="1" w:styleId="166">
    <w:name w:val="unnamed31"/>
    <w:qFormat/>
    <w:uiPriority w:val="0"/>
    <w:rPr>
      <w:sz w:val="30"/>
      <w:szCs w:val="30"/>
    </w:rPr>
  </w:style>
  <w:style w:type="character" w:customStyle="1" w:styleId="167">
    <w:name w:val="正文表标题 Char Char"/>
    <w:link w:val="168"/>
    <w:qFormat/>
    <w:uiPriority w:val="0"/>
    <w:rPr>
      <w:rFonts w:ascii="黑体" w:hAnsi="宋体" w:eastAsia="黑体"/>
      <w:kern w:val="2"/>
      <w:sz w:val="21"/>
      <w:szCs w:val="24"/>
      <w:lang w:val="en-US" w:eastAsia="zh-CN" w:bidi="ar-SA"/>
    </w:rPr>
  </w:style>
  <w:style w:type="paragraph" w:customStyle="1" w:styleId="168">
    <w:name w:val="正文表标题"/>
    <w:next w:val="169"/>
    <w:link w:val="167"/>
    <w:qFormat/>
    <w:uiPriority w:val="0"/>
    <w:pPr>
      <w:tabs>
        <w:tab w:val="left" w:pos="360"/>
      </w:tabs>
      <w:ind w:left="3780"/>
      <w:jc w:val="center"/>
    </w:pPr>
    <w:rPr>
      <w:rFonts w:ascii="黑体" w:hAnsi="宋体" w:eastAsia="黑体" w:cs="Times New Roman"/>
      <w:kern w:val="2"/>
      <w:sz w:val="21"/>
      <w:szCs w:val="24"/>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0">
    <w:name w:val="style11"/>
    <w:qFormat/>
    <w:uiPriority w:val="0"/>
    <w:rPr>
      <w:rFonts w:eastAsia="宋体"/>
      <w:kern w:val="2"/>
      <w:sz w:val="21"/>
      <w:szCs w:val="21"/>
      <w:lang w:val="en-US" w:eastAsia="zh-CN"/>
    </w:rPr>
  </w:style>
  <w:style w:type="character" w:customStyle="1" w:styleId="171">
    <w:name w:val="章标题 Char Char Char Char"/>
    <w:link w:val="172"/>
    <w:qFormat/>
    <w:uiPriority w:val="0"/>
    <w:rPr>
      <w:rFonts w:ascii="黑体" w:hAnsi="宋体" w:eastAsia="黑体"/>
      <w:kern w:val="2"/>
      <w:sz w:val="21"/>
      <w:szCs w:val="24"/>
      <w:lang w:val="en-US" w:eastAsia="zh-CN" w:bidi="ar-SA"/>
    </w:rPr>
  </w:style>
  <w:style w:type="paragraph" w:customStyle="1" w:styleId="172">
    <w:name w:val="章标题 Char Char"/>
    <w:next w:val="1"/>
    <w:link w:val="171"/>
    <w:qFormat/>
    <w:uiPriority w:val="0"/>
    <w:pPr>
      <w:spacing w:before="156" w:beforeLines="50" w:after="156" w:afterLines="50"/>
      <w:ind w:left="840" w:hanging="420"/>
      <w:jc w:val="both"/>
      <w:outlineLvl w:val="1"/>
    </w:pPr>
    <w:rPr>
      <w:rFonts w:ascii="黑体" w:hAnsi="宋体" w:eastAsia="黑体" w:cs="Times New Roman"/>
      <w:kern w:val="2"/>
      <w:sz w:val="21"/>
      <w:szCs w:val="24"/>
      <w:lang w:val="en-US" w:eastAsia="zh-CN" w:bidi="ar-SA"/>
    </w:rPr>
  </w:style>
  <w:style w:type="character" w:customStyle="1" w:styleId="173">
    <w:name w:val="ask-title"/>
    <w:qFormat/>
    <w:uiPriority w:val="0"/>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我的正文 Ctr+Q Char Char"/>
    <w:link w:val="176"/>
    <w:qFormat/>
    <w:uiPriority w:val="0"/>
    <w:rPr>
      <w:rFonts w:ascii="Arial" w:hAnsi="Arial" w:eastAsia="宋体"/>
      <w:kern w:val="2"/>
      <w:sz w:val="24"/>
      <w:szCs w:val="21"/>
      <w:lang w:val="en-US" w:eastAsia="zh-CN" w:bidi="ar-SA"/>
    </w:rPr>
  </w:style>
  <w:style w:type="paragraph" w:customStyle="1" w:styleId="176">
    <w:name w:val="!我的正文 Ctr+Q"/>
    <w:basedOn w:val="1"/>
    <w:link w:val="175"/>
    <w:qFormat/>
    <w:uiPriority w:val="0"/>
    <w:pPr>
      <w:adjustRightInd w:val="0"/>
      <w:snapToGrid w:val="0"/>
      <w:spacing w:line="360" w:lineRule="auto"/>
      <w:ind w:firstLine="480" w:firstLineChars="200"/>
    </w:pPr>
    <w:rPr>
      <w:rFonts w:ascii="Arial" w:hAnsi="Arial"/>
      <w:sz w:val="24"/>
      <w:szCs w:val="21"/>
    </w:rPr>
  </w:style>
  <w:style w:type="character" w:customStyle="1" w:styleId="177">
    <w:name w:val="big14"/>
    <w:qFormat/>
    <w:uiPriority w:val="0"/>
  </w:style>
  <w:style w:type="character" w:customStyle="1" w:styleId="178">
    <w:name w:val="h2 Char"/>
    <w:qFormat/>
    <w:uiPriority w:val="0"/>
    <w:rPr>
      <w:rFonts w:ascii="宋体" w:hAnsi="宋体" w:eastAsia="宋体"/>
      <w:bCs/>
      <w:kern w:val="24"/>
      <w:sz w:val="24"/>
      <w:szCs w:val="24"/>
      <w:lang w:val="en-US" w:eastAsia="zh-CN" w:bidi="ar-SA"/>
    </w:rPr>
  </w:style>
  <w:style w:type="character" w:customStyle="1" w:styleId="179">
    <w:name w:val="二级条标题 Char Char Char"/>
    <w:qFormat/>
    <w:uiPriority w:val="0"/>
    <w:rPr>
      <w:lang w:val="en-US" w:eastAsia="zh-CN" w:bidi="ar-SA"/>
    </w:rPr>
  </w:style>
  <w:style w:type="character" w:customStyle="1" w:styleId="180">
    <w:name w:val="pagetitle"/>
    <w:qFormat/>
    <w:uiPriority w:val="0"/>
  </w:style>
  <w:style w:type="character" w:customStyle="1" w:styleId="181">
    <w:name w:val="一级无标题条 Char Char"/>
    <w:link w:val="182"/>
    <w:qFormat/>
    <w:uiPriority w:val="0"/>
    <w:rPr>
      <w:rFonts w:ascii="宋体" w:hAnsi="宋体" w:eastAsia="宋体"/>
      <w:szCs w:val="24"/>
      <w:lang w:bidi="ar-SA"/>
    </w:rPr>
  </w:style>
  <w:style w:type="paragraph" w:customStyle="1" w:styleId="182">
    <w:name w:val="一级无标题条"/>
    <w:basedOn w:val="1"/>
    <w:link w:val="181"/>
    <w:qFormat/>
    <w:uiPriority w:val="0"/>
    <w:rPr>
      <w:rFonts w:ascii="宋体" w:hAnsi="宋体"/>
      <w:kern w:val="0"/>
      <w:sz w:val="20"/>
    </w:rPr>
  </w:style>
  <w:style w:type="character" w:customStyle="1" w:styleId="183">
    <w:name w:val="tw4winError"/>
    <w:qFormat/>
    <w:uiPriority w:val="0"/>
    <w:rPr>
      <w:rFonts w:ascii="Courier New" w:hAnsi="Courier New"/>
      <w:color w:val="00FF00"/>
      <w:sz w:val="40"/>
    </w:rPr>
  </w:style>
  <w:style w:type="character" w:customStyle="1" w:styleId="184">
    <w:name w:val="normal91"/>
    <w:qFormat/>
    <w:uiPriority w:val="0"/>
    <w:rPr>
      <w:sz w:val="20"/>
      <w:szCs w:val="20"/>
    </w:rPr>
  </w:style>
  <w:style w:type="character" w:customStyle="1" w:styleId="185">
    <w:name w:val="line1"/>
    <w:qFormat/>
    <w:uiPriority w:val="0"/>
    <w:rPr>
      <w:u w:val="none"/>
    </w:rPr>
  </w:style>
  <w:style w:type="character" w:customStyle="1" w:styleId="186">
    <w:name w:val="个人答复风格"/>
    <w:qFormat/>
    <w:uiPriority w:val="0"/>
    <w:rPr>
      <w:rFonts w:ascii="Arial" w:hAnsi="Arial" w:eastAsia="宋体" w:cs="Arial"/>
      <w:color w:val="auto"/>
      <w:sz w:val="20"/>
    </w:rPr>
  </w:style>
  <w:style w:type="character" w:customStyle="1" w:styleId="187">
    <w:name w:val="font121"/>
    <w:qFormat/>
    <w:uiPriority w:val="0"/>
    <w:rPr>
      <w:rFonts w:hint="eastAsia" w:ascii="宋体" w:hAnsi="宋体" w:eastAsia="宋体" w:cs="宋体"/>
      <w:color w:val="000000"/>
      <w:sz w:val="22"/>
      <w:szCs w:val="22"/>
      <w:u w:val="none"/>
    </w:rPr>
  </w:style>
  <w:style w:type="character" w:customStyle="1" w:styleId="188">
    <w:name w:val="标题 3 Char"/>
    <w:qFormat/>
    <w:uiPriority w:val="0"/>
    <w:rPr>
      <w:rFonts w:ascii="宋体" w:eastAsia="宋体"/>
      <w:b/>
      <w:sz w:val="24"/>
      <w:u w:val="single"/>
      <w:lang w:val="en-US" w:eastAsia="zh-CN" w:bidi="ar-SA"/>
    </w:rPr>
  </w:style>
  <w:style w:type="character" w:customStyle="1" w:styleId="189">
    <w:name w:val="font81"/>
    <w:qFormat/>
    <w:uiPriority w:val="0"/>
    <w:rPr>
      <w:rFonts w:ascii="Calibri" w:hAnsi="Calibri" w:cs="Calibri"/>
      <w:color w:val="000000"/>
      <w:sz w:val="20"/>
      <w:szCs w:val="20"/>
      <w:u w:val="none"/>
    </w:rPr>
  </w:style>
  <w:style w:type="character" w:customStyle="1" w:styleId="190">
    <w:name w:val="font01"/>
    <w:qFormat/>
    <w:uiPriority w:val="0"/>
    <w:rPr>
      <w:rFonts w:hint="default" w:ascii="Arial" w:hAnsi="Arial" w:cs="Arial"/>
      <w:color w:val="000000"/>
      <w:sz w:val="20"/>
      <w:szCs w:val="20"/>
      <w:u w:val="none"/>
    </w:rPr>
  </w:style>
  <w:style w:type="character" w:customStyle="1" w:styleId="191">
    <w:name w:val="font151"/>
    <w:qFormat/>
    <w:uiPriority w:val="0"/>
    <w:rPr>
      <w:rFonts w:hint="eastAsia" w:ascii="宋体" w:hAnsi="宋体" w:eastAsia="宋体" w:cs="宋体"/>
      <w:color w:val="000000"/>
      <w:sz w:val="18"/>
      <w:szCs w:val="18"/>
      <w:u w:val="none"/>
    </w:rPr>
  </w:style>
  <w:style w:type="character" w:customStyle="1" w:styleId="192">
    <w:name w:val="无间隔 字符"/>
    <w:link w:val="193"/>
    <w:qFormat/>
    <w:uiPriority w:val="0"/>
    <w:rPr>
      <w:sz w:val="22"/>
      <w:szCs w:val="22"/>
      <w:lang w:val="en-US" w:eastAsia="en-US" w:bidi="ar-SA"/>
    </w:rPr>
  </w:style>
  <w:style w:type="paragraph" w:styleId="193">
    <w:name w:val="No Spacing"/>
    <w:link w:val="192"/>
    <w:qFormat/>
    <w:uiPriority w:val="0"/>
    <w:rPr>
      <w:rFonts w:ascii="Times New Roman" w:hAnsi="Times New Roman" w:eastAsia="宋体" w:cs="Times New Roman"/>
      <w:sz w:val="22"/>
      <w:szCs w:val="22"/>
      <w:lang w:val="en-US" w:eastAsia="en-US" w:bidi="ar-SA"/>
    </w:rPr>
  </w:style>
  <w:style w:type="character" w:customStyle="1" w:styleId="194">
    <w:name w:val="Char Char1"/>
    <w:qFormat/>
    <w:uiPriority w:val="0"/>
    <w:rPr>
      <w:kern w:val="2"/>
      <w:sz w:val="21"/>
      <w:szCs w:val="21"/>
    </w:rPr>
  </w:style>
  <w:style w:type="character" w:customStyle="1" w:styleId="195">
    <w:name w:val="font2"/>
    <w:qFormat/>
    <w:uiPriority w:val="0"/>
    <w:rPr>
      <w:rFonts w:hint="default" w:ascii="Arial" w:hAnsi="Arial" w:cs="Arial"/>
      <w:color w:val="333333"/>
      <w:spacing w:val="0"/>
      <w:sz w:val="18"/>
      <w:szCs w:val="18"/>
    </w:rPr>
  </w:style>
  <w:style w:type="character" w:customStyle="1" w:styleId="196">
    <w:name w:val="text11"/>
    <w:qFormat/>
    <w:uiPriority w:val="0"/>
    <w:rPr>
      <w:rFonts w:hint="default" w:ascii="Verdana" w:hAnsi="Verdana"/>
      <w:color w:val="4E4E4E"/>
      <w:sz w:val="18"/>
      <w:szCs w:val="18"/>
    </w:rPr>
  </w:style>
  <w:style w:type="character" w:customStyle="1" w:styleId="197">
    <w:name w:val="UH正文 Char Char"/>
    <w:link w:val="198"/>
    <w:qFormat/>
    <w:uiPriority w:val="0"/>
    <w:rPr>
      <w:rFonts w:ascii="Arial" w:hAnsi="Arial"/>
      <w:sz w:val="24"/>
      <w:szCs w:val="21"/>
      <w:lang w:val="en-US" w:eastAsia="zh-CN" w:bidi="ar-SA"/>
    </w:rPr>
  </w:style>
  <w:style w:type="paragraph" w:customStyle="1" w:styleId="198">
    <w:name w:val="UH正文"/>
    <w:link w:val="197"/>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99">
    <w:name w:val="newsitemtitle1"/>
    <w:qFormat/>
    <w:uiPriority w:val="0"/>
    <w:rPr>
      <w:b/>
      <w:bCs/>
      <w:color w:val="0000CD"/>
      <w:sz w:val="28"/>
      <w:szCs w:val="28"/>
    </w:rPr>
  </w:style>
  <w:style w:type="character" w:customStyle="1" w:styleId="200">
    <w:name w:val="concon2007"/>
    <w:qFormat/>
    <w:uiPriority w:val="0"/>
  </w:style>
  <w:style w:type="character" w:customStyle="1" w:styleId="201">
    <w:name w:val="NormalCharacter"/>
    <w:qFormat/>
    <w:uiPriority w:val="0"/>
    <w:rPr>
      <w:kern w:val="2"/>
      <w:sz w:val="21"/>
      <w:szCs w:val="24"/>
      <w:lang w:val="en-US" w:eastAsia="zh-CN" w:bidi="ar-SA"/>
    </w:rPr>
  </w:style>
  <w:style w:type="character" w:customStyle="1" w:styleId="202">
    <w:name w:val="font3"/>
    <w:qFormat/>
    <w:uiPriority w:val="0"/>
  </w:style>
  <w:style w:type="character" w:customStyle="1" w:styleId="203">
    <w:name w:val="font61"/>
    <w:qFormat/>
    <w:uiPriority w:val="0"/>
    <w:rPr>
      <w:rFonts w:hint="default" w:ascii="Times New Roman" w:hAnsi="Times New Roman" w:cs="Times New Roman"/>
      <w:color w:val="000000"/>
      <w:sz w:val="20"/>
      <w:szCs w:val="20"/>
      <w:u w:val="none"/>
    </w:rPr>
  </w:style>
  <w:style w:type="character" w:customStyle="1" w:styleId="204">
    <w:name w:val="H1 Char"/>
    <w:qFormat/>
    <w:uiPriority w:val="0"/>
    <w:rPr>
      <w:rFonts w:eastAsia="宋体"/>
      <w:b/>
      <w:bCs/>
      <w:kern w:val="44"/>
      <w:sz w:val="44"/>
      <w:szCs w:val="44"/>
      <w:lang w:val="en-US" w:eastAsia="zh-CN" w:bidi="ar-SA"/>
    </w:rPr>
  </w:style>
  <w:style w:type="character" w:customStyle="1" w:styleId="205">
    <w:name w:val="style31"/>
    <w:qFormat/>
    <w:uiPriority w:val="0"/>
    <w:rPr>
      <w:color w:val="4B4B4B"/>
    </w:rPr>
  </w:style>
  <w:style w:type="character" w:customStyle="1" w:styleId="206">
    <w:name w:val="标题 2 Char2"/>
    <w:qFormat/>
    <w:uiPriority w:val="0"/>
    <w:rPr>
      <w:rFonts w:ascii="Arial" w:hAnsi="Arial" w:eastAsia="宋体"/>
      <w:b/>
      <w:bCs/>
      <w:kern w:val="2"/>
      <w:sz w:val="28"/>
      <w:szCs w:val="32"/>
      <w:lang w:val="en-US" w:eastAsia="zh-CN" w:bidi="ar-SA"/>
    </w:rPr>
  </w:style>
  <w:style w:type="character" w:customStyle="1" w:styleId="207">
    <w:name w:val="font421"/>
    <w:qFormat/>
    <w:uiPriority w:val="0"/>
    <w:rPr>
      <w:rFonts w:hint="default" w:ascii="Arial" w:hAnsi="Arial" w:cs="Arial"/>
      <w:color w:val="000000"/>
      <w:sz w:val="18"/>
      <w:szCs w:val="18"/>
      <w:u w:val="none"/>
    </w:rPr>
  </w:style>
  <w:style w:type="character" w:customStyle="1" w:styleId="208">
    <w:name w:val="普通文字 Char Char1"/>
    <w:qFormat/>
    <w:uiPriority w:val="0"/>
    <w:rPr>
      <w:rFonts w:ascii="宋体" w:hAnsi="Courier New" w:eastAsia="宋体"/>
      <w:kern w:val="2"/>
      <w:sz w:val="24"/>
      <w:szCs w:val="24"/>
      <w:lang w:val="en-US" w:eastAsia="zh-CN" w:bidi="ar-SA"/>
    </w:rPr>
  </w:style>
  <w:style w:type="character" w:customStyle="1" w:styleId="209">
    <w:name w:val="unnamed11"/>
    <w:qFormat/>
    <w:uiPriority w:val="0"/>
    <w:rPr>
      <w:sz w:val="20"/>
      <w:szCs w:val="20"/>
    </w:rPr>
  </w:style>
  <w:style w:type="character" w:customStyle="1" w:styleId="210">
    <w:name w:val="font112"/>
    <w:qFormat/>
    <w:uiPriority w:val="0"/>
    <w:rPr>
      <w:rFonts w:hint="default" w:ascii="Times New Roman" w:hAnsi="Times New Roman" w:cs="Times New Roman"/>
      <w:color w:val="000000"/>
      <w:sz w:val="18"/>
      <w:szCs w:val="18"/>
      <w:u w:val="none"/>
    </w:rPr>
  </w:style>
  <w:style w:type="character" w:customStyle="1" w:styleId="211">
    <w:name w:val="tw4winPopup"/>
    <w:qFormat/>
    <w:uiPriority w:val="0"/>
    <w:rPr>
      <w:rFonts w:ascii="Courier New" w:hAnsi="Courier New"/>
      <w:color w:val="008000"/>
    </w:rPr>
  </w:style>
  <w:style w:type="character" w:customStyle="1" w:styleId="212">
    <w:name w:val="1111 字符"/>
    <w:link w:val="213"/>
    <w:qFormat/>
    <w:uiPriority w:val="0"/>
    <w:rPr>
      <w:rFonts w:ascii="宋体" w:hAnsi="宋体"/>
      <w:kern w:val="2"/>
      <w:sz w:val="21"/>
      <w:szCs w:val="21"/>
    </w:rPr>
  </w:style>
  <w:style w:type="paragraph" w:customStyle="1" w:styleId="213">
    <w:name w:val="1111"/>
    <w:basedOn w:val="214"/>
    <w:link w:val="212"/>
    <w:qFormat/>
    <w:uiPriority w:val="0"/>
    <w:pPr>
      <w:adjustRightInd w:val="0"/>
      <w:snapToGrid w:val="0"/>
      <w:spacing w:line="276" w:lineRule="auto"/>
      <w:ind w:firstLine="0" w:firstLineChars="0"/>
    </w:pPr>
    <w:rPr>
      <w:rFonts w:ascii="宋体" w:hAnsi="宋体"/>
      <w:szCs w:val="21"/>
    </w:rPr>
  </w:style>
  <w:style w:type="paragraph" w:customStyle="1" w:styleId="214">
    <w:name w:val="列表段落1"/>
    <w:basedOn w:val="1"/>
    <w:link w:val="215"/>
    <w:qFormat/>
    <w:uiPriority w:val="0"/>
    <w:pPr>
      <w:ind w:firstLine="420" w:firstLineChars="200"/>
    </w:pPr>
    <w:rPr>
      <w:rFonts w:ascii="Calibri" w:hAnsi="Calibri"/>
    </w:rPr>
  </w:style>
  <w:style w:type="character" w:customStyle="1" w:styleId="215">
    <w:name w:val="列表段落1 字符"/>
    <w:link w:val="214"/>
    <w:qFormat/>
    <w:uiPriority w:val="0"/>
    <w:rPr>
      <w:rFonts w:ascii="Calibri" w:hAnsi="Calibri"/>
      <w:kern w:val="2"/>
      <w:sz w:val="21"/>
      <w:szCs w:val="24"/>
    </w:rPr>
  </w:style>
  <w:style w:type="character" w:customStyle="1" w:styleId="216">
    <w:name w:val="zbggmain style9"/>
    <w:qFormat/>
    <w:uiPriority w:val="0"/>
  </w:style>
  <w:style w:type="character" w:customStyle="1" w:styleId="217">
    <w:name w:val="style101"/>
    <w:qFormat/>
    <w:uiPriority w:val="0"/>
    <w:rPr>
      <w:color w:val="FFFFFF"/>
    </w:rPr>
  </w:style>
  <w:style w:type="character" w:customStyle="1" w:styleId="218">
    <w:name w:val="font191"/>
    <w:qFormat/>
    <w:uiPriority w:val="0"/>
    <w:rPr>
      <w:rFonts w:hint="default" w:ascii="Arial" w:hAnsi="Arial" w:cs="Arial"/>
      <w:color w:val="000000"/>
      <w:sz w:val="18"/>
      <w:szCs w:val="18"/>
      <w:u w:val="none"/>
    </w:rPr>
  </w:style>
  <w:style w:type="character" w:customStyle="1" w:styleId="219">
    <w:name w:val="font91"/>
    <w:qFormat/>
    <w:uiPriority w:val="0"/>
    <w:rPr>
      <w:rFonts w:hint="default" w:ascii="Times New Roman" w:hAnsi="Times New Roman" w:cs="Times New Roman"/>
      <w:color w:val="000000"/>
      <w:sz w:val="18"/>
      <w:szCs w:val="18"/>
      <w:u w:val="none"/>
    </w:rPr>
  </w:style>
  <w:style w:type="character" w:customStyle="1" w:styleId="220">
    <w:name w:val="正文缩进 Char1"/>
    <w:qFormat/>
    <w:uiPriority w:val="0"/>
    <w:rPr>
      <w:rFonts w:eastAsia="宋体"/>
      <w:kern w:val="2"/>
      <w:sz w:val="21"/>
      <w:szCs w:val="24"/>
      <w:lang w:val="en-US" w:eastAsia="zh-CN" w:bidi="ar-SA"/>
    </w:rPr>
  </w:style>
  <w:style w:type="character" w:customStyle="1" w:styleId="221">
    <w:name w:val="font301"/>
    <w:qFormat/>
    <w:uiPriority w:val="0"/>
    <w:rPr>
      <w:rFonts w:hint="default" w:ascii="Arial" w:hAnsi="Arial" w:cs="Arial"/>
      <w:color w:val="000000"/>
      <w:sz w:val="18"/>
      <w:szCs w:val="18"/>
      <w:u w:val="none"/>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样式 正文缩进 + 首行缩进:  2 字符 Char Char"/>
    <w:link w:val="224"/>
    <w:qFormat/>
    <w:uiPriority w:val="0"/>
    <w:rPr>
      <w:rFonts w:eastAsia="宋体"/>
      <w:kern w:val="2"/>
      <w:sz w:val="24"/>
      <w:lang w:bidi="ar-SA"/>
    </w:rPr>
  </w:style>
  <w:style w:type="paragraph" w:customStyle="1" w:styleId="224">
    <w:name w:val="样式 正文缩进 + 首行缩进:  2 字符"/>
    <w:basedOn w:val="13"/>
    <w:link w:val="223"/>
    <w:qFormat/>
    <w:uiPriority w:val="0"/>
    <w:pPr>
      <w:spacing w:line="360" w:lineRule="auto"/>
      <w:ind w:firstLine="200" w:firstLineChars="200"/>
    </w:pPr>
    <w:rPr>
      <w:sz w:val="24"/>
    </w:rPr>
  </w:style>
  <w:style w:type="character" w:customStyle="1" w:styleId="225">
    <w:name w:val="tw4winExternal"/>
    <w:qFormat/>
    <w:uiPriority w:val="0"/>
    <w:rPr>
      <w:rFonts w:ascii="Courier New" w:hAnsi="Courier New"/>
      <w:color w:val="808080"/>
    </w:rPr>
  </w:style>
  <w:style w:type="character" w:customStyle="1" w:styleId="226">
    <w:name w:val="发布"/>
    <w:qFormat/>
    <w:uiPriority w:val="0"/>
    <w:rPr>
      <w:rFonts w:ascii="黑体" w:eastAsia="黑体"/>
      <w:spacing w:val="22"/>
      <w:w w:val="100"/>
      <w:position w:val="3"/>
      <w:sz w:val="28"/>
    </w:rPr>
  </w:style>
  <w:style w:type="character" w:customStyle="1" w:styleId="227">
    <w:name w:val="font141"/>
    <w:qFormat/>
    <w:uiPriority w:val="0"/>
    <w:rPr>
      <w:rFonts w:hint="eastAsia" w:ascii="宋体" w:hAnsi="宋体" w:eastAsia="宋体" w:cs="宋体"/>
      <w:color w:val="000000"/>
      <w:sz w:val="18"/>
      <w:szCs w:val="18"/>
      <w:u w:val="none"/>
    </w:rPr>
  </w:style>
  <w:style w:type="character" w:customStyle="1" w:styleId="228">
    <w:name w:val="font131"/>
    <w:qFormat/>
    <w:uiPriority w:val="0"/>
    <w:rPr>
      <w:rFonts w:hint="eastAsia" w:ascii="宋体" w:hAnsi="宋体" w:eastAsia="宋体" w:cs="宋体"/>
      <w:color w:val="000000"/>
      <w:sz w:val="18"/>
      <w:szCs w:val="18"/>
      <w:u w:val="none"/>
    </w:rPr>
  </w:style>
  <w:style w:type="character" w:customStyle="1" w:styleId="229">
    <w:name w:val="arial111"/>
    <w:qFormat/>
    <w:uiPriority w:val="0"/>
    <w:rPr>
      <w:rFonts w:hint="default" w:ascii="Arial" w:hAnsi="Arial" w:cs="Arial"/>
      <w:sz w:val="17"/>
      <w:szCs w:val="17"/>
    </w:rPr>
  </w:style>
  <w:style w:type="character" w:customStyle="1" w:styleId="230">
    <w:name w:val="段落 Char Char"/>
    <w:link w:val="231"/>
    <w:qFormat/>
    <w:uiPriority w:val="0"/>
    <w:rPr>
      <w:rFonts w:eastAsia="仿宋_GB2312"/>
      <w:kern w:val="2"/>
      <w:sz w:val="24"/>
      <w:szCs w:val="22"/>
      <w:lang w:val="en-US" w:eastAsia="zh-CN" w:bidi="ar-SA"/>
    </w:rPr>
  </w:style>
  <w:style w:type="paragraph" w:customStyle="1" w:styleId="231">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232">
    <w:name w:val="15"/>
    <w:qFormat/>
    <w:uiPriority w:val="0"/>
    <w:rPr>
      <w:rFonts w:hint="default" w:ascii="Times New Roman" w:hAnsi="Times New Roman" w:cs="Times New Roman"/>
      <w:color w:val="000000"/>
      <w:sz w:val="18"/>
      <w:szCs w:val="18"/>
    </w:rPr>
  </w:style>
  <w:style w:type="character" w:customStyle="1" w:styleId="233">
    <w:name w:val="tw4winInternal"/>
    <w:qFormat/>
    <w:uiPriority w:val="0"/>
    <w:rPr>
      <w:rFonts w:ascii="Courier New" w:hAnsi="Courier New"/>
      <w:color w:val="FF0000"/>
    </w:rPr>
  </w:style>
  <w:style w:type="character" w:customStyle="1" w:styleId="234">
    <w:name w:val="标题 3 Char Char"/>
    <w:qFormat/>
    <w:uiPriority w:val="0"/>
    <w:rPr>
      <w:rFonts w:eastAsia="宋体"/>
      <w:b/>
      <w:kern w:val="2"/>
      <w:sz w:val="32"/>
      <w:lang w:val="en-US" w:eastAsia="zh-CN"/>
    </w:rPr>
  </w:style>
  <w:style w:type="character" w:customStyle="1" w:styleId="235">
    <w:name w:val="font341"/>
    <w:qFormat/>
    <w:uiPriority w:val="0"/>
    <w:rPr>
      <w:rFonts w:hint="default" w:ascii="Arial" w:hAnsi="Arial" w:cs="Arial"/>
      <w:color w:val="000000"/>
      <w:sz w:val="18"/>
      <w:szCs w:val="18"/>
      <w:u w:val="none"/>
    </w:rPr>
  </w:style>
  <w:style w:type="character" w:customStyle="1" w:styleId="236">
    <w:name w:val="Char Char36"/>
    <w:qFormat/>
    <w:uiPriority w:val="0"/>
    <w:rPr>
      <w:rFonts w:ascii="Arial" w:hAnsi="Arial" w:eastAsia="黑体"/>
      <w:b/>
      <w:bCs/>
      <w:kern w:val="2"/>
      <w:sz w:val="32"/>
      <w:szCs w:val="32"/>
    </w:rPr>
  </w:style>
  <w:style w:type="character" w:customStyle="1" w:styleId="237">
    <w:name w:val="16"/>
    <w:qFormat/>
    <w:uiPriority w:val="0"/>
    <w:rPr>
      <w:rFonts w:hint="eastAsia" w:ascii="宋体" w:hAnsi="宋体" w:eastAsia="宋体"/>
      <w:color w:val="000000"/>
      <w:sz w:val="20"/>
      <w:szCs w:val="20"/>
    </w:rPr>
  </w:style>
  <w:style w:type="character" w:customStyle="1" w:styleId="238">
    <w:name w:val="paramlista1"/>
    <w:qFormat/>
    <w:uiPriority w:val="0"/>
    <w:rPr>
      <w:sz w:val="18"/>
      <w:szCs w:val="18"/>
    </w:rPr>
  </w:style>
  <w:style w:type="character" w:customStyle="1" w:styleId="239">
    <w:name w:val="font101"/>
    <w:qFormat/>
    <w:uiPriority w:val="0"/>
    <w:rPr>
      <w:rFonts w:hint="eastAsia" w:ascii="宋体" w:hAnsi="宋体" w:eastAsia="宋体" w:cs="宋体"/>
      <w:color w:val="000000"/>
      <w:sz w:val="20"/>
      <w:szCs w:val="20"/>
      <w:u w:val="none"/>
    </w:rPr>
  </w:style>
  <w:style w:type="character" w:customStyle="1" w:styleId="240">
    <w:name w:val="纯文本[858D7CFB-ED40-4347-BF05-701D383B685F]"/>
    <w:qFormat/>
    <w:uiPriority w:val="0"/>
    <w:rPr>
      <w:rFonts w:ascii="宋体" w:hAnsi="Courier New"/>
      <w:szCs w:val="20"/>
    </w:rPr>
  </w:style>
  <w:style w:type="character" w:customStyle="1" w:styleId="241">
    <w:name w:val="tw4winTerm"/>
    <w:qFormat/>
    <w:uiPriority w:val="0"/>
    <w:rPr>
      <w:color w:val="0000FF"/>
    </w:rPr>
  </w:style>
  <w:style w:type="character" w:customStyle="1" w:styleId="242">
    <w:name w:val="font21"/>
    <w:basedOn w:val="55"/>
    <w:qFormat/>
    <w:uiPriority w:val="0"/>
    <w:rPr>
      <w:rFonts w:hint="eastAsia" w:ascii="宋体" w:hAnsi="宋体" w:eastAsia="宋体" w:cs="宋体"/>
      <w:color w:val="000000"/>
      <w:sz w:val="18"/>
      <w:szCs w:val="18"/>
      <w:u w:val="none"/>
    </w:rPr>
  </w:style>
  <w:style w:type="paragraph" w:customStyle="1" w:styleId="24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44">
    <w:name w:val="表格标题"/>
    <w:basedOn w:val="245"/>
    <w:qFormat/>
    <w:uiPriority w:val="0"/>
    <w:pPr>
      <w:jc w:val="center"/>
    </w:pPr>
    <w:rPr>
      <w:b/>
      <w:bCs/>
      <w:i/>
      <w:iCs/>
    </w:rPr>
  </w:style>
  <w:style w:type="paragraph" w:customStyle="1" w:styleId="245">
    <w:name w:val="表格内容"/>
    <w:basedOn w:val="22"/>
    <w:qFormat/>
    <w:uiPriority w:val="0"/>
    <w:pPr>
      <w:suppressLineNumbers/>
      <w:suppressAutoHyphens/>
    </w:pPr>
    <w:rPr>
      <w:kern w:val="1"/>
      <w:lang w:eastAsia="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Char3 Char Char Char"/>
    <w:basedOn w:val="1"/>
    <w:qFormat/>
    <w:uiPriority w:val="0"/>
    <w:pPr>
      <w:tabs>
        <w:tab w:val="left" w:pos="1440"/>
      </w:tabs>
      <w:ind w:left="1440" w:hanging="1275"/>
    </w:pPr>
    <w:rPr>
      <w:sz w:val="24"/>
    </w:rPr>
  </w:style>
  <w:style w:type="paragraph" w:customStyle="1" w:styleId="248">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249">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250">
    <w:name w:val="BH-03"/>
    <w:basedOn w:val="1"/>
    <w:next w:val="1"/>
    <w:qFormat/>
    <w:uiPriority w:val="0"/>
    <w:pPr>
      <w:spacing w:line="360" w:lineRule="auto"/>
      <w:outlineLvl w:val="2"/>
    </w:pPr>
    <w:rPr>
      <w:rFonts w:ascii="Arial" w:hAnsi="Arial"/>
      <w:b/>
      <w:szCs w:val="21"/>
    </w:rPr>
  </w:style>
  <w:style w:type="paragraph" w:customStyle="1" w:styleId="25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253">
    <w:name w:val="Char1 Char Char Char Char Char Char Char Char1 Char Char"/>
    <w:basedOn w:val="1"/>
    <w:qFormat/>
    <w:uiPriority w:val="0"/>
    <w:rPr>
      <w:b/>
      <w:bCs/>
      <w:sz w:val="36"/>
      <w:szCs w:val="32"/>
    </w:rPr>
  </w:style>
  <w:style w:type="paragraph" w:customStyle="1" w:styleId="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55">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样式 标题 4 + 非加粗"/>
    <w:basedOn w:val="5"/>
    <w:qFormat/>
    <w:uiPriority w:val="0"/>
    <w:pPr>
      <w:spacing w:before="120" w:after="120" w:line="500" w:lineRule="exact"/>
    </w:pPr>
    <w:rPr>
      <w:rFonts w:eastAsia="宋体"/>
      <w:bCs w:val="0"/>
      <w:spacing w:val="4"/>
      <w:sz w:val="24"/>
      <w:szCs w:val="24"/>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264">
    <w:name w:val="Table Paragraph"/>
    <w:basedOn w:val="1"/>
    <w:qFormat/>
    <w:uiPriority w:val="0"/>
  </w:style>
  <w:style w:type="paragraph" w:customStyle="1" w:styleId="26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标题1"/>
    <w:basedOn w:val="29"/>
    <w:qFormat/>
    <w:uiPriority w:val="0"/>
    <w:pPr>
      <w:spacing w:line="360" w:lineRule="auto"/>
    </w:pPr>
    <w:rPr>
      <w:b/>
      <w:sz w:val="30"/>
      <w:szCs w:val="20"/>
    </w:rPr>
  </w:style>
  <w:style w:type="paragraph" w:customStyle="1" w:styleId="26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68">
    <w:name w:val="样式 正文文本缩进 + 仿宋_GB2312 小四 首行缩进:  0 厘米 行距: 1.5 倍行距"/>
    <w:basedOn w:val="14"/>
    <w:qFormat/>
    <w:uiPriority w:val="0"/>
    <w:pPr>
      <w:spacing w:line="360" w:lineRule="auto"/>
      <w:ind w:firstLine="0"/>
    </w:pPr>
    <w:rPr>
      <w:rFonts w:ascii="仿宋_GB2312" w:hAnsi="Times New Roman" w:eastAsia="新宋体"/>
      <w:spacing w:val="0"/>
      <w:sz w:val="24"/>
    </w:rPr>
  </w:style>
  <w:style w:type="paragraph" w:customStyle="1" w:styleId="269">
    <w:name w:val="封面标准代替信息"/>
    <w:basedOn w:val="270"/>
    <w:qFormat/>
    <w:uiPriority w:val="0"/>
    <w:pPr>
      <w:spacing w:before="57"/>
    </w:pPr>
    <w:rPr>
      <w:sz w:val="21"/>
    </w:rPr>
  </w:style>
  <w:style w:type="paragraph" w:customStyle="1" w:styleId="270">
    <w:name w:val="封面标准号2"/>
    <w:basedOn w:val="271"/>
    <w:qFormat/>
    <w:uiPriority w:val="0"/>
    <w:pPr>
      <w:adjustRightInd w:val="0"/>
      <w:spacing w:before="357" w:line="280" w:lineRule="exact"/>
    </w:pPr>
  </w:style>
  <w:style w:type="paragraph" w:customStyle="1" w:styleId="27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272">
    <w:name w:val="三级无标题条"/>
    <w:basedOn w:val="1"/>
    <w:qFormat/>
    <w:uiPriority w:val="0"/>
    <w:rPr>
      <w:rFonts w:ascii="宋体" w:hAnsi="宋体"/>
    </w:rPr>
  </w:style>
  <w:style w:type="paragraph" w:customStyle="1" w:styleId="27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74">
    <w:name w:val="样式 标题 3Chapter X.X.X. + 段后: 0.5 行1"/>
    <w:basedOn w:val="4"/>
    <w:next w:val="1"/>
    <w:qFormat/>
    <w:uiPriority w:val="0"/>
    <w:pPr>
      <w:keepLines w:val="0"/>
      <w:autoSpaceDE/>
      <w:autoSpaceDN/>
      <w:adjustRightInd/>
      <w:spacing w:before="120" w:after="156" w:afterLines="50"/>
    </w:pPr>
    <w:rPr>
      <w:rFonts w:cs="宋体"/>
      <w:bCs/>
      <w:snapToGrid w:val="0"/>
      <w:u w:val="none"/>
    </w:rPr>
  </w:style>
  <w:style w:type="paragraph" w:customStyle="1" w:styleId="2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标准标题1"/>
    <w:basedOn w:val="3"/>
    <w:qFormat/>
    <w:uiPriority w:val="0"/>
    <w:pPr>
      <w:pageBreakBefore/>
      <w:tabs>
        <w:tab w:val="left" w:pos="1080"/>
      </w:tabs>
      <w:ind w:left="425" w:hanging="425"/>
    </w:pPr>
    <w:rPr>
      <w:rFonts w:eastAsia="仿宋_GB2312"/>
      <w:sz w:val="32"/>
    </w:rPr>
  </w:style>
  <w:style w:type="paragraph" w:customStyle="1" w:styleId="277">
    <w:name w:val="Char Char Char Char Char Char Char Char Char Char Char Char"/>
    <w:basedOn w:val="1"/>
    <w:qFormat/>
    <w:uiPriority w:val="0"/>
    <w:rPr>
      <w:rFonts w:ascii="宋体" w:hAnsi="宋体"/>
      <w:szCs w:val="20"/>
    </w:rPr>
  </w:style>
  <w:style w:type="paragraph" w:customStyle="1" w:styleId="27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79">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0">
    <w:name w:val="Style-正文"/>
    <w:basedOn w:val="1"/>
    <w:qFormat/>
    <w:uiPriority w:val="0"/>
    <w:pPr>
      <w:spacing w:line="360" w:lineRule="auto"/>
      <w:ind w:firstLine="420"/>
    </w:pPr>
    <w:rPr>
      <w:rFonts w:ascii="宋体" w:hAnsi="宋体"/>
      <w:sz w:val="24"/>
    </w:rPr>
  </w:style>
  <w:style w:type="paragraph" w:customStyle="1" w:styleId="281">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282">
    <w:name w:val="样式 标题 2Chapter X.X. Statementh22Header 2l2Level 2 Headhea...1"/>
    <w:basedOn w:val="4"/>
    <w:qFormat/>
    <w:uiPriority w:val="0"/>
    <w:pPr>
      <w:keepLines w:val="0"/>
      <w:autoSpaceDE/>
      <w:autoSpaceDN/>
      <w:adjustRightInd/>
      <w:spacing w:before="120" w:after="156" w:afterLines="50"/>
    </w:pPr>
    <w:rPr>
      <w:rFonts w:cs="宋体"/>
      <w:bCs/>
      <w:snapToGrid w:val="0"/>
      <w:u w:val="none"/>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2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潘"/>
    <w:basedOn w:val="1"/>
    <w:qFormat/>
    <w:uiPriority w:val="0"/>
    <w:pPr>
      <w:snapToGrid w:val="0"/>
      <w:spacing w:line="240" w:lineRule="atLeast"/>
    </w:pPr>
    <w:rPr>
      <w:rFonts w:ascii="Arial" w:hAnsi="Arial" w:eastAsia="楷体_GB2312"/>
      <w:b/>
      <w:bCs/>
    </w:rPr>
  </w:style>
  <w:style w:type="paragraph" w:customStyle="1" w:styleId="28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90">
    <w:name w:val="Default"/>
    <w:next w:val="29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2">
    <w:name w:val="Char1 Char Char Char Char Char Char Char Char1 Char Char1"/>
    <w:basedOn w:val="1"/>
    <w:qFormat/>
    <w:uiPriority w:val="0"/>
    <w:rPr>
      <w:b/>
      <w:bCs/>
      <w:sz w:val="36"/>
      <w:szCs w:val="32"/>
    </w:rPr>
  </w:style>
  <w:style w:type="paragraph" w:customStyle="1" w:styleId="29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Char1"/>
    <w:basedOn w:val="1"/>
    <w:qFormat/>
    <w:uiPriority w:val="0"/>
    <w:rPr>
      <w:rFonts w:ascii="仿宋_GB2312" w:eastAsia="仿宋_GB2312"/>
      <w:b/>
      <w:sz w:val="32"/>
      <w:szCs w:val="32"/>
    </w:rPr>
  </w:style>
  <w:style w:type="paragraph" w:customStyle="1" w:styleId="29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97">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1">
    <w:name w:val="BH-02"/>
    <w:basedOn w:val="1"/>
    <w:next w:val="1"/>
    <w:qFormat/>
    <w:uiPriority w:val="0"/>
    <w:pPr>
      <w:spacing w:line="360" w:lineRule="auto"/>
      <w:outlineLvl w:val="1"/>
    </w:pPr>
    <w:rPr>
      <w:rFonts w:ascii="Arial" w:hAnsi="Arial"/>
      <w:b/>
      <w:sz w:val="24"/>
    </w:rPr>
  </w:style>
  <w:style w:type="paragraph" w:customStyle="1" w:styleId="302">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0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04">
    <w:name w:val="附录标识"/>
    <w:basedOn w:val="305"/>
    <w:qFormat/>
    <w:uiPriority w:val="0"/>
    <w:pPr>
      <w:tabs>
        <w:tab w:val="left" w:pos="360"/>
        <w:tab w:val="left" w:pos="6405"/>
      </w:tabs>
      <w:spacing w:after="200" w:line="240" w:lineRule="auto"/>
    </w:pPr>
    <w:rPr>
      <w:rFonts w:hAnsi="宋体"/>
      <w:kern w:val="2"/>
      <w:sz w:val="21"/>
      <w:szCs w:val="24"/>
    </w:rPr>
  </w:style>
  <w:style w:type="paragraph" w:customStyle="1" w:styleId="305">
    <w:name w:val="前言、引言标题"/>
    <w:next w:val="1"/>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306">
    <w:name w:val="P1"/>
    <w:basedOn w:val="1"/>
    <w:qFormat/>
    <w:uiPriority w:val="0"/>
    <w:pPr>
      <w:widowControl/>
      <w:spacing w:before="240" w:line="240" w:lineRule="atLeast"/>
      <w:jc w:val="left"/>
    </w:pPr>
    <w:rPr>
      <w:b/>
      <w:kern w:val="0"/>
      <w:szCs w:val="21"/>
      <w:lang w:val="en-AU" w:eastAsia="en-US"/>
    </w:rPr>
  </w:style>
  <w:style w:type="paragraph" w:customStyle="1" w:styleId="3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9">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10">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13">
    <w:name w:val="表格1"/>
    <w:basedOn w:val="1"/>
    <w:qFormat/>
    <w:uiPriority w:val="0"/>
    <w:pPr>
      <w:jc w:val="center"/>
    </w:pPr>
    <w:rPr>
      <w:rFonts w:ascii="Calibri" w:hAnsi="Calibri"/>
      <w:szCs w:val="22"/>
    </w:rPr>
  </w:style>
  <w:style w:type="paragraph" w:customStyle="1" w:styleId="314">
    <w:name w:val="Char Char Char"/>
    <w:basedOn w:val="1"/>
    <w:qFormat/>
    <w:uiPriority w:val="0"/>
    <w:rPr>
      <w:rFonts w:ascii="Tahoma" w:hAnsi="Tahoma"/>
      <w:sz w:val="24"/>
      <w:szCs w:val="20"/>
    </w:rPr>
  </w:style>
  <w:style w:type="paragraph" w:customStyle="1" w:styleId="3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6">
    <w:name w:val="S4-L15-C"/>
    <w:basedOn w:val="1"/>
    <w:qFormat/>
    <w:uiPriority w:val="0"/>
    <w:pPr>
      <w:spacing w:after="120" w:line="360" w:lineRule="auto"/>
      <w:jc w:val="center"/>
    </w:pPr>
    <w:rPr>
      <w:szCs w:val="21"/>
    </w:rPr>
  </w:style>
  <w:style w:type="paragraph" w:customStyle="1" w:styleId="3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表头1"/>
    <w:basedOn w:val="22"/>
    <w:qFormat/>
    <w:uiPriority w:val="0"/>
    <w:pPr>
      <w:adjustRightInd w:val="0"/>
      <w:spacing w:after="0"/>
      <w:jc w:val="center"/>
      <w:textAlignment w:val="baseline"/>
    </w:pPr>
    <w:rPr>
      <w:kern w:val="0"/>
      <w:sz w:val="24"/>
      <w:szCs w:val="20"/>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Char11"/>
    <w:basedOn w:val="1"/>
    <w:qFormat/>
    <w:uiPriority w:val="0"/>
    <w:pPr>
      <w:tabs>
        <w:tab w:val="left" w:pos="432"/>
      </w:tabs>
      <w:spacing w:before="156" w:beforeLines="50" w:after="156" w:afterLines="50"/>
      <w:ind w:left="432" w:hanging="432"/>
    </w:pPr>
    <w:rPr>
      <w:sz w:val="24"/>
    </w:rPr>
  </w:style>
  <w:style w:type="paragraph" w:customStyle="1" w:styleId="32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325">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3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329">
    <w:name w:val="样式 标题 4H4sect 1.2.3.4Ref Heading 1rh1Heading sqlh4h41h42..."/>
    <w:basedOn w:val="5"/>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330">
    <w:name w:val="S4-I-L15-U"/>
    <w:basedOn w:val="1"/>
    <w:qFormat/>
    <w:uiPriority w:val="0"/>
    <w:pPr>
      <w:spacing w:line="360" w:lineRule="auto"/>
    </w:pPr>
    <w:rPr>
      <w:b/>
      <w:i/>
      <w:sz w:val="24"/>
      <w:u w:val="single"/>
    </w:rPr>
  </w:style>
  <w:style w:type="paragraph" w:customStyle="1" w:styleId="331">
    <w:name w:val="样式 标题 2"/>
    <w:basedOn w:val="2"/>
    <w:next w:val="3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32">
    <w:name w:val="最新标题3"/>
    <w:basedOn w:val="333"/>
    <w:next w:val="334"/>
    <w:qFormat/>
    <w:uiPriority w:val="0"/>
  </w:style>
  <w:style w:type="paragraph" w:customStyle="1" w:styleId="333">
    <w:name w:val="样式 标题 3"/>
    <w:basedOn w:val="4"/>
    <w:next w:val="334"/>
    <w:qFormat/>
    <w:uiPriority w:val="0"/>
    <w:pPr>
      <w:keepLines w:val="0"/>
      <w:autoSpaceDE/>
      <w:autoSpaceDN/>
      <w:adjustRightInd/>
      <w:spacing w:before="120" w:after="156" w:afterLines="50"/>
    </w:pPr>
    <w:rPr>
      <w:rFonts w:cs="宋体"/>
      <w:bCs/>
      <w:snapToGrid w:val="0"/>
      <w:u w:val="none"/>
    </w:rPr>
  </w:style>
  <w:style w:type="paragraph" w:customStyle="1" w:styleId="334">
    <w:name w:val="最新标题4"/>
    <w:basedOn w:val="335"/>
    <w:next w:val="1"/>
    <w:qFormat/>
    <w:uiPriority w:val="0"/>
    <w:pPr>
      <w:tabs>
        <w:tab w:val="left" w:pos="2100"/>
      </w:tabs>
      <w:spacing w:after="120"/>
      <w:ind w:left="0" w:firstLine="0"/>
    </w:pPr>
  </w:style>
  <w:style w:type="paragraph" w:customStyle="1" w:styleId="335">
    <w:name w:val="样式 标题 4"/>
    <w:basedOn w:val="336"/>
    <w:next w:val="338"/>
    <w:qFormat/>
    <w:uiPriority w:val="0"/>
    <w:pPr>
      <w:tabs>
        <w:tab w:val="left" w:pos="2100"/>
      </w:tabs>
      <w:spacing w:after="50"/>
      <w:ind w:left="2100" w:hanging="420"/>
    </w:pPr>
  </w:style>
  <w:style w:type="paragraph" w:customStyle="1" w:styleId="336">
    <w:name w:val="样式 标题 4Chapter X.X.X.X. + 段后: 0.5 行1"/>
    <w:basedOn w:val="337"/>
    <w:qFormat/>
    <w:uiPriority w:val="0"/>
    <w:pPr>
      <w:spacing w:after="120"/>
    </w:pPr>
  </w:style>
  <w:style w:type="paragraph" w:customStyle="1" w:styleId="337">
    <w:name w:val="样式 标题 4 +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38">
    <w:name w:val="样式 正文"/>
    <w:basedOn w:val="1"/>
    <w:next w:val="1"/>
    <w:qFormat/>
    <w:uiPriority w:val="0"/>
    <w:pPr>
      <w:spacing w:after="156" w:afterLines="50"/>
      <w:jc w:val="left"/>
    </w:pPr>
    <w:rPr>
      <w:rFonts w:ascii="宋体" w:cs="宋体"/>
      <w:snapToGrid w:val="0"/>
      <w:kern w:val="0"/>
      <w:szCs w:val="20"/>
    </w:rPr>
  </w:style>
  <w:style w:type="paragraph" w:customStyle="1" w:styleId="33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340">
    <w:name w:val="标准小四"/>
    <w:basedOn w:val="1"/>
    <w:qFormat/>
    <w:uiPriority w:val="0"/>
    <w:pPr>
      <w:spacing w:line="360" w:lineRule="auto"/>
      <w:ind w:firstLine="480" w:firstLineChars="200"/>
    </w:pPr>
    <w:rPr>
      <w:rFonts w:ascii="Arial" w:hAnsi="Arial"/>
      <w:sz w:val="24"/>
      <w:szCs w:val="21"/>
    </w:rPr>
  </w:style>
  <w:style w:type="paragraph" w:customStyle="1" w:styleId="3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2">
    <w:name w:val="样式 标题 1 + 段后: 0.5 行"/>
    <w:basedOn w:val="3"/>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343">
    <w:name w:val="样式 标题1"/>
    <w:basedOn w:val="342"/>
    <w:next w:val="344"/>
    <w:qFormat/>
    <w:uiPriority w:val="0"/>
    <w:pPr>
      <w:tabs>
        <w:tab w:val="left" w:pos="1140"/>
      </w:tabs>
      <w:spacing w:after="50"/>
      <w:ind w:left="1140" w:hanging="720"/>
    </w:pPr>
    <w:rPr>
      <w:bCs w:val="0"/>
      <w:sz w:val="32"/>
    </w:rPr>
  </w:style>
  <w:style w:type="paragraph" w:customStyle="1" w:styleId="344">
    <w:name w:val="最新标题2"/>
    <w:basedOn w:val="331"/>
    <w:next w:val="332"/>
    <w:qFormat/>
    <w:uiPriority w:val="0"/>
    <w:pPr>
      <w:spacing w:after="120"/>
    </w:pPr>
  </w:style>
  <w:style w:type="paragraph" w:customStyle="1" w:styleId="34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3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8">
    <w:name w:val="样式 标题 1 + 五号"/>
    <w:basedOn w:val="3"/>
    <w:qFormat/>
    <w:uiPriority w:val="0"/>
    <w:pPr>
      <w:spacing w:before="0" w:after="0" w:line="240" w:lineRule="auto"/>
      <w:jc w:val="center"/>
    </w:pPr>
    <w:rPr>
      <w:sz w:val="32"/>
      <w:szCs w:val="32"/>
    </w:rPr>
  </w:style>
  <w:style w:type="paragraph" w:customStyle="1" w:styleId="349">
    <w:name w:val="font7"/>
    <w:basedOn w:val="1"/>
    <w:qFormat/>
    <w:uiPriority w:val="0"/>
    <w:pPr>
      <w:widowControl/>
      <w:spacing w:before="100" w:beforeAutospacing="1" w:after="100" w:afterAutospacing="1"/>
      <w:jc w:val="left"/>
    </w:pPr>
    <w:rPr>
      <w:kern w:val="0"/>
      <w:sz w:val="20"/>
      <w:szCs w:val="20"/>
    </w:rPr>
  </w:style>
  <w:style w:type="paragraph" w:customStyle="1" w:styleId="350">
    <w:name w:val="正文－恩普"/>
    <w:basedOn w:val="13"/>
    <w:qFormat/>
    <w:uiPriority w:val="0"/>
    <w:pPr>
      <w:widowControl/>
      <w:spacing w:after="156" w:afterLines="50" w:line="360" w:lineRule="auto"/>
      <w:ind w:firstLine="480" w:firstLineChars="200"/>
      <w:jc w:val="left"/>
    </w:pPr>
    <w:rPr>
      <w:kern w:val="0"/>
      <w:sz w:val="24"/>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条文脚注"/>
    <w:basedOn w:val="41"/>
    <w:qFormat/>
    <w:uiPriority w:val="0"/>
    <w:pPr>
      <w:ind w:left="780" w:leftChars="200" w:hanging="360" w:hangingChars="200"/>
      <w:jc w:val="both"/>
    </w:pPr>
  </w:style>
  <w:style w:type="paragraph" w:customStyle="1" w:styleId="3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355">
    <w:name w:val="Main Title"/>
    <w:basedOn w:val="1"/>
    <w:qFormat/>
    <w:uiPriority w:val="0"/>
    <w:pPr>
      <w:spacing w:before="480" w:after="156" w:afterLines="50"/>
      <w:jc w:val="center"/>
    </w:pPr>
    <w:rPr>
      <w:rFonts w:ascii="宋体"/>
      <w:b/>
      <w:snapToGrid w:val="0"/>
      <w:kern w:val="28"/>
      <w:sz w:val="32"/>
      <w:szCs w:val="20"/>
    </w:rPr>
  </w:style>
  <w:style w:type="paragraph" w:customStyle="1" w:styleId="356">
    <w:name w:val="Char Char Char Char Char Char Char Char1 Char"/>
    <w:basedOn w:val="1"/>
    <w:qFormat/>
    <w:uiPriority w:val="0"/>
    <w:rPr>
      <w:szCs w:val="20"/>
    </w:rPr>
  </w:style>
  <w:style w:type="paragraph" w:customStyle="1" w:styleId="357">
    <w:name w:val="样式 样式 标题 4 + 段后: 0.5 行 + 段后: 0.5 行"/>
    <w:basedOn w:val="337"/>
    <w:qFormat/>
    <w:uiPriority w:val="0"/>
  </w:style>
  <w:style w:type="paragraph" w:customStyle="1" w:styleId="35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362">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63">
    <w:name w:val="Char21"/>
    <w:basedOn w:val="1"/>
    <w:qFormat/>
    <w:uiPriority w:val="0"/>
    <w:pPr>
      <w:tabs>
        <w:tab w:val="left" w:pos="432"/>
      </w:tabs>
      <w:spacing w:before="156" w:beforeLines="50" w:after="156" w:afterLines="50"/>
      <w:ind w:left="432" w:hanging="432"/>
    </w:pPr>
    <w:rPr>
      <w:sz w:val="24"/>
    </w:rPr>
  </w:style>
  <w:style w:type="paragraph" w:customStyle="1" w:styleId="364">
    <w:name w:val="标准有序列表（L1）"/>
    <w:basedOn w:val="13"/>
    <w:qFormat/>
    <w:uiPriority w:val="0"/>
    <w:pPr>
      <w:tabs>
        <w:tab w:val="left" w:pos="0"/>
      </w:tabs>
      <w:spacing w:line="360" w:lineRule="auto"/>
      <w:ind w:firstLine="0"/>
    </w:pPr>
    <w:rPr>
      <w:rFonts w:ascii="黑体" w:eastAsia="黑体"/>
      <w:color w:val="000000"/>
      <w:sz w:val="24"/>
    </w:rPr>
  </w:style>
  <w:style w:type="paragraph" w:customStyle="1" w:styleId="365">
    <w:name w:val="样式 样式 正文文本缩进 + 仿宋_GB2312 小四 首行缩进:  0 厘米 行距: 1.5 倍行距 + (中文) 仿宋_GB..."/>
    <w:basedOn w:val="268"/>
    <w:qFormat/>
    <w:uiPriority w:val="0"/>
    <w:pPr>
      <w:ind w:firstLine="480" w:firstLineChars="200"/>
    </w:p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368">
    <w:name w:val="样式 标题 4Chapter X.X.X. + 段后: 0.5 行1"/>
    <w:basedOn w:val="5"/>
    <w:next w:val="5"/>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369">
    <w:name w:val="Char4"/>
    <w:basedOn w:val="1"/>
    <w:qFormat/>
    <w:uiPriority w:val="0"/>
  </w:style>
  <w:style w:type="paragraph" w:customStyle="1" w:styleId="3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 Char1"/>
    <w:basedOn w:val="1"/>
    <w:qFormat/>
    <w:uiPriority w:val="0"/>
    <w:pPr>
      <w:spacing w:line="360" w:lineRule="auto"/>
      <w:ind w:firstLine="200" w:firstLineChars="200"/>
    </w:pPr>
    <w:rPr>
      <w:rFonts w:ascii="Tahoma" w:hAnsi="Tahoma"/>
      <w:sz w:val="24"/>
    </w:rPr>
  </w:style>
  <w:style w:type="paragraph" w:customStyle="1" w:styleId="372">
    <w:name w:val="附录五级条标题"/>
    <w:basedOn w:val="373"/>
    <w:next w:val="169"/>
    <w:qFormat/>
    <w:uiPriority w:val="0"/>
    <w:pPr>
      <w:tabs>
        <w:tab w:val="left" w:pos="360"/>
      </w:tabs>
      <w:outlineLvl w:val="6"/>
    </w:pPr>
  </w:style>
  <w:style w:type="paragraph" w:customStyle="1" w:styleId="373">
    <w:name w:val="附录四级条标题"/>
    <w:basedOn w:val="374"/>
    <w:next w:val="169"/>
    <w:qFormat/>
    <w:uiPriority w:val="0"/>
    <w:pPr>
      <w:tabs>
        <w:tab w:val="left" w:pos="360"/>
      </w:tabs>
      <w:outlineLvl w:val="5"/>
    </w:pPr>
  </w:style>
  <w:style w:type="paragraph" w:customStyle="1" w:styleId="374">
    <w:name w:val="附录三级条标题"/>
    <w:basedOn w:val="375"/>
    <w:next w:val="169"/>
    <w:qFormat/>
    <w:uiPriority w:val="0"/>
    <w:pPr>
      <w:tabs>
        <w:tab w:val="left" w:pos="360"/>
      </w:tabs>
      <w:outlineLvl w:val="4"/>
    </w:pPr>
  </w:style>
  <w:style w:type="paragraph" w:customStyle="1" w:styleId="375">
    <w:name w:val="附录二级条标题"/>
    <w:basedOn w:val="376"/>
    <w:next w:val="169"/>
    <w:qFormat/>
    <w:uiPriority w:val="0"/>
    <w:pPr>
      <w:tabs>
        <w:tab w:val="left" w:pos="360"/>
      </w:tabs>
      <w:outlineLvl w:val="3"/>
    </w:pPr>
  </w:style>
  <w:style w:type="paragraph" w:customStyle="1" w:styleId="376">
    <w:name w:val="附录一级条标题"/>
    <w:basedOn w:val="377"/>
    <w:next w:val="169"/>
    <w:qFormat/>
    <w:uiPriority w:val="0"/>
    <w:pPr>
      <w:tabs>
        <w:tab w:val="left" w:pos="360"/>
      </w:tabs>
      <w:autoSpaceDN w:val="0"/>
      <w:ind w:left="0"/>
      <w:outlineLvl w:val="2"/>
    </w:pPr>
  </w:style>
  <w:style w:type="paragraph" w:customStyle="1" w:styleId="377">
    <w:name w:val="附录章标题"/>
    <w:next w:val="169"/>
    <w:qFormat/>
    <w:uiPriority w:val="0"/>
    <w:pPr>
      <w:tabs>
        <w:tab w:val="left" w:pos="360"/>
      </w:tabs>
      <w:wordWrap w:val="0"/>
      <w:overflowPunct w:val="0"/>
      <w:autoSpaceDE w:val="0"/>
      <w:spacing w:before="156" w:beforeLines="50" w:after="156"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78">
    <w:name w:val="Paragraph3"/>
    <w:basedOn w:val="1"/>
    <w:qFormat/>
    <w:uiPriority w:val="0"/>
    <w:pPr>
      <w:spacing w:before="80" w:after="156" w:afterLines="50"/>
      <w:ind w:left="1530"/>
    </w:pPr>
    <w:rPr>
      <w:rFonts w:ascii="宋体"/>
      <w:snapToGrid w:val="0"/>
      <w:kern w:val="0"/>
      <w:szCs w:val="20"/>
    </w:rPr>
  </w:style>
  <w:style w:type="paragraph" w:customStyle="1" w:styleId="379">
    <w:name w:val="普通(Web)1"/>
    <w:basedOn w:val="1"/>
    <w:next w:val="47"/>
    <w:qFormat/>
    <w:uiPriority w:val="0"/>
    <w:pPr>
      <w:widowControl/>
      <w:spacing w:before="100" w:beforeAutospacing="1" w:after="100" w:afterAutospacing="1"/>
      <w:jc w:val="left"/>
    </w:pPr>
    <w:rPr>
      <w:rFonts w:ascii="宋体" w:hAnsi="宋体"/>
      <w:color w:val="000000"/>
      <w:kern w:val="0"/>
      <w:sz w:val="24"/>
    </w:rPr>
  </w:style>
  <w:style w:type="paragraph" w:customStyle="1" w:styleId="380">
    <w:name w:val="Char Char Char Char Char Char Char Char Char Char Char Char Char Char Char Char"/>
    <w:basedOn w:val="1"/>
    <w:qFormat/>
    <w:uiPriority w:val="0"/>
    <w:pPr>
      <w:tabs>
        <w:tab w:val="left" w:pos="360"/>
      </w:tabs>
    </w:pPr>
    <w:rPr>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3">
    <w:name w:val="*正文"/>
    <w:basedOn w:val="1"/>
    <w:qFormat/>
    <w:uiPriority w:val="0"/>
    <w:pPr>
      <w:spacing w:line="360" w:lineRule="auto"/>
      <w:ind w:firstLine="200" w:firstLineChars="200"/>
    </w:pPr>
    <w:rPr>
      <w:rFonts w:ascii="宋体" w:hAnsi="宋体" w:cs="Times New Roman"/>
      <w:sz w:val="22"/>
    </w:rPr>
  </w:style>
  <w:style w:type="paragraph" w:customStyle="1" w:styleId="384">
    <w:name w:val="纯文本_0"/>
    <w:basedOn w:val="246"/>
    <w:qFormat/>
    <w:uiPriority w:val="0"/>
    <w:rPr>
      <w:rFonts w:ascii="宋体" w:hAnsi="Courier New"/>
      <w:kern w:val="0"/>
      <w:sz w:val="20"/>
      <w:szCs w:val="20"/>
    </w:rPr>
  </w:style>
  <w:style w:type="paragraph" w:customStyle="1" w:styleId="385">
    <w:name w:val="附录表标题"/>
    <w:next w:val="169"/>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386">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87">
    <w:name w:val="此正文"/>
    <w:basedOn w:val="1"/>
    <w:qFormat/>
    <w:uiPriority w:val="0"/>
    <w:pPr>
      <w:spacing w:line="360" w:lineRule="auto"/>
      <w:ind w:firstLine="200" w:firstLineChars="200"/>
    </w:pPr>
    <w:rPr>
      <w:sz w:val="24"/>
      <w:szCs w:val="20"/>
    </w:rPr>
  </w:style>
  <w:style w:type="paragraph" w:customStyle="1" w:styleId="3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90">
    <w:name w:val="样式 标题 2Chapter X.X. Statementh22Header 2l2Level 2 Headhea..."/>
    <w:basedOn w:val="2"/>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391">
    <w:name w:val="Char1 Char Char Char Char Char Char"/>
    <w:basedOn w:val="1"/>
    <w:qFormat/>
    <w:uiPriority w:val="0"/>
    <w:rPr>
      <w:rFonts w:ascii="Tahoma" w:hAnsi="Tahoma"/>
      <w:sz w:val="24"/>
      <w:szCs w:val="20"/>
    </w:rPr>
  </w:style>
  <w:style w:type="paragraph" w:customStyle="1" w:styleId="39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94">
    <w:name w:val="正文首行缩进2字符"/>
    <w:basedOn w:val="1"/>
    <w:qFormat/>
    <w:uiPriority w:val="0"/>
    <w:pPr>
      <w:spacing w:line="360" w:lineRule="auto"/>
      <w:ind w:firstLine="200" w:firstLineChars="200"/>
    </w:pPr>
    <w:rPr>
      <w:rFonts w:eastAsia="仿宋"/>
      <w:sz w:val="28"/>
      <w:szCs w:val="20"/>
    </w:rPr>
  </w:style>
  <w:style w:type="paragraph" w:customStyle="1" w:styleId="395">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396">
    <w:name w:val="WPSOffice手动目录 1"/>
    <w:qFormat/>
    <w:uiPriority w:val="0"/>
    <w:rPr>
      <w:rFonts w:ascii="Times New Roman" w:hAnsi="Times New Roman" w:eastAsia="宋体" w:cs="Times New Roman"/>
      <w:lang w:val="en-US" w:eastAsia="zh-CN" w:bidi="ar-SA"/>
    </w:rPr>
  </w:style>
  <w:style w:type="paragraph" w:customStyle="1" w:styleId="397">
    <w:name w:val="示例"/>
    <w:next w:val="169"/>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398">
    <w:name w:val="其他发布部门"/>
    <w:basedOn w:val="399"/>
    <w:qFormat/>
    <w:uiPriority w:val="0"/>
    <w:pPr>
      <w:spacing w:line="0" w:lineRule="atLeast"/>
    </w:pPr>
    <w:rPr>
      <w:rFonts w:ascii="黑体" w:eastAsia="黑体"/>
      <w:b w:val="0"/>
    </w:rPr>
  </w:style>
  <w:style w:type="paragraph" w:customStyle="1" w:styleId="399">
    <w:name w:val="发布部门"/>
    <w:next w:val="169"/>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00">
    <w:name w:val="表文字"/>
    <w:basedOn w:val="13"/>
    <w:qFormat/>
    <w:uiPriority w:val="0"/>
    <w:pPr>
      <w:widowControl/>
      <w:overflowPunct w:val="0"/>
      <w:autoSpaceDE w:val="0"/>
      <w:autoSpaceDN w:val="0"/>
      <w:adjustRightInd w:val="0"/>
      <w:snapToGrid w:val="0"/>
      <w:spacing w:line="360" w:lineRule="auto"/>
      <w:ind w:firstLine="0"/>
    </w:pPr>
    <w:rPr>
      <w:rFonts w:ascii="宋体" w:hAnsi="宋体" w:eastAsia="幼圆"/>
      <w:snapToGrid w:val="0"/>
      <w:color w:val="000000"/>
      <w:kern w:val="28"/>
      <w:sz w:val="28"/>
    </w:rPr>
  </w:style>
  <w:style w:type="paragraph" w:customStyle="1" w:styleId="401">
    <w:name w:val="标准标题3"/>
    <w:basedOn w:val="4"/>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402">
    <w:name w:val="Char"/>
    <w:basedOn w:val="1"/>
    <w:qFormat/>
    <w:uiPriority w:val="0"/>
    <w:rPr>
      <w:szCs w:val="20"/>
    </w:rPr>
  </w:style>
  <w:style w:type="paragraph" w:customStyle="1" w:styleId="4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样式 标题 2 + 五号"/>
    <w:basedOn w:val="2"/>
    <w:qFormat/>
    <w:uiPriority w:val="0"/>
    <w:pPr>
      <w:spacing w:before="0" w:after="0" w:line="240" w:lineRule="auto"/>
    </w:pPr>
    <w:rPr>
      <w:rFonts w:ascii="宋体" w:hAnsi="宋体" w:eastAsia="宋体"/>
      <w:sz w:val="21"/>
    </w:rPr>
  </w:style>
  <w:style w:type="paragraph" w:customStyle="1" w:styleId="407">
    <w:name w:val="样式　标题4"/>
    <w:basedOn w:val="368"/>
    <w:next w:val="1"/>
    <w:qFormat/>
    <w:uiPriority w:val="0"/>
  </w:style>
  <w:style w:type="paragraph" w:customStyle="1" w:styleId="408">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09">
    <w:name w:val="1"/>
    <w:basedOn w:val="1"/>
    <w:next w:val="45"/>
    <w:qFormat/>
    <w:uiPriority w:val="0"/>
    <w:pPr>
      <w:tabs>
        <w:tab w:val="left" w:pos="840"/>
      </w:tabs>
      <w:spacing w:line="360" w:lineRule="auto"/>
      <w:ind w:left="840" w:hanging="420"/>
    </w:pPr>
    <w:rPr>
      <w:rFonts w:eastAsia="仿宋_GB2312"/>
      <w:sz w:val="24"/>
    </w:rPr>
  </w:style>
  <w:style w:type="paragraph" w:customStyle="1" w:styleId="41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411">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2">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3">
    <w:name w:val="正文1"/>
    <w:qFormat/>
    <w:uiPriority w:val="0"/>
    <w:rPr>
      <w:rFonts w:ascii="Calibri" w:hAnsi="Calibri" w:eastAsia="Times New Roman" w:cs="Times New Roman"/>
      <w:sz w:val="24"/>
      <w:szCs w:val="24"/>
      <w:lang w:val="en-US" w:eastAsia="zh-CN" w:bidi="ar-SA"/>
    </w:rPr>
  </w:style>
  <w:style w:type="paragraph" w:customStyle="1" w:styleId="4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Table - Text"/>
    <w:basedOn w:val="1"/>
    <w:qFormat/>
    <w:uiPriority w:val="0"/>
    <w:pPr>
      <w:widowControl/>
      <w:spacing w:before="60" w:after="156" w:afterLines="50"/>
      <w:jc w:val="left"/>
    </w:pPr>
    <w:rPr>
      <w:kern w:val="0"/>
      <w:szCs w:val="20"/>
      <w:lang w:eastAsia="en-US"/>
    </w:rPr>
  </w:style>
  <w:style w:type="paragraph" w:customStyle="1" w:styleId="416">
    <w:name w:val="图表脚注"/>
    <w:next w:val="169"/>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17">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4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19">
    <w:name w:val="Char3"/>
    <w:basedOn w:val="1"/>
    <w:qFormat/>
    <w:uiPriority w:val="0"/>
    <w:rPr>
      <w:rFonts w:ascii="Tahoma" w:hAnsi="Tahoma"/>
      <w:sz w:val="24"/>
      <w:szCs w:val="20"/>
    </w:rPr>
  </w:style>
  <w:style w:type="paragraph" w:customStyle="1" w:styleId="420">
    <w:name w:val="P2"/>
    <w:basedOn w:val="1"/>
    <w:qFormat/>
    <w:uiPriority w:val="0"/>
    <w:pPr>
      <w:widowControl/>
      <w:spacing w:before="240" w:line="240" w:lineRule="atLeast"/>
      <w:ind w:left="578"/>
      <w:jc w:val="left"/>
    </w:pPr>
    <w:rPr>
      <w:b/>
      <w:kern w:val="0"/>
      <w:szCs w:val="21"/>
      <w:lang w:val="en-AU" w:eastAsia="en-US"/>
    </w:rPr>
  </w:style>
  <w:style w:type="paragraph" w:customStyle="1" w:styleId="42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22">
    <w:name w:val="Char Char Char1 Char Char Char Char"/>
    <w:basedOn w:val="1"/>
    <w:qFormat/>
    <w:uiPriority w:val="0"/>
    <w:rPr>
      <w:rFonts w:ascii="仿宋_GB2312" w:eastAsia="仿宋_GB2312"/>
      <w:b/>
      <w:sz w:val="32"/>
      <w:szCs w:val="32"/>
    </w:rPr>
  </w:style>
  <w:style w:type="paragraph" w:customStyle="1" w:styleId="423">
    <w:name w:val="四级无标题条"/>
    <w:basedOn w:val="1"/>
    <w:qFormat/>
    <w:uiPriority w:val="0"/>
    <w:rPr>
      <w:rFonts w:ascii="宋体" w:hAnsi="宋体"/>
    </w:rPr>
  </w:style>
  <w:style w:type="paragraph" w:customStyle="1" w:styleId="424">
    <w:name w:val="实施日期"/>
    <w:basedOn w:val="425"/>
    <w:qFormat/>
    <w:uiPriority w:val="0"/>
    <w:pPr>
      <w:jc w:val="right"/>
    </w:pPr>
  </w:style>
  <w:style w:type="paragraph" w:customStyle="1" w:styleId="425">
    <w:name w:val="发布日期"/>
    <w:qFormat/>
    <w:uiPriority w:val="0"/>
    <w:rPr>
      <w:rFonts w:ascii="宋体" w:hAnsi="宋体" w:eastAsia="黑体" w:cs="Times New Roman"/>
      <w:kern w:val="2"/>
      <w:sz w:val="28"/>
      <w:szCs w:val="24"/>
      <w:lang w:val="en-US" w:eastAsia="zh-CN" w:bidi="ar-SA"/>
    </w:rPr>
  </w:style>
  <w:style w:type="paragraph" w:customStyle="1" w:styleId="426">
    <w:name w:val="表格"/>
    <w:basedOn w:val="1"/>
    <w:next w:val="1"/>
    <w:qFormat/>
    <w:uiPriority w:val="0"/>
    <w:pPr>
      <w:widowControl/>
      <w:jc w:val="center"/>
    </w:pPr>
    <w:rPr>
      <w:rFonts w:ascii="宋体" w:cs="宋体"/>
      <w:bCs/>
      <w:kern w:val="0"/>
    </w:rPr>
  </w:style>
  <w:style w:type="paragraph" w:customStyle="1" w:styleId="4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9">
    <w:name w:val="Char Char6 Char Char"/>
    <w:basedOn w:val="1"/>
    <w:qFormat/>
    <w:uiPriority w:val="0"/>
    <w:pPr>
      <w:tabs>
        <w:tab w:val="right" w:pos="-2120"/>
      </w:tabs>
      <w:snapToGrid w:val="0"/>
    </w:pPr>
    <w:rPr>
      <w:rFonts w:ascii="Tahoma" w:hAnsi="Tahoma"/>
      <w:spacing w:val="6"/>
      <w:sz w:val="24"/>
      <w:szCs w:val="20"/>
    </w:rPr>
  </w:style>
  <w:style w:type="paragraph" w:customStyle="1" w:styleId="430">
    <w:name w:val="修订1"/>
    <w:qFormat/>
    <w:uiPriority w:val="0"/>
    <w:rPr>
      <w:rFonts w:ascii="Times New Roman" w:hAnsi="Times New Roman" w:eastAsia="宋体" w:cs="Times New Roman"/>
      <w:kern w:val="2"/>
      <w:sz w:val="21"/>
      <w:szCs w:val="24"/>
      <w:lang w:val="en-US" w:eastAsia="zh-CN" w:bidi="ar-SA"/>
    </w:rPr>
  </w:style>
  <w:style w:type="paragraph" w:customStyle="1" w:styleId="431">
    <w:name w:val="样式 模板描述"/>
    <w:basedOn w:val="1"/>
    <w:next w:val="338"/>
    <w:qFormat/>
    <w:uiPriority w:val="0"/>
    <w:pPr>
      <w:spacing w:after="156" w:afterLines="50"/>
      <w:jc w:val="left"/>
    </w:pPr>
    <w:rPr>
      <w:rFonts w:ascii="宋体" w:cs="宋体"/>
      <w:i/>
      <w:iCs/>
      <w:snapToGrid w:val="0"/>
      <w:color w:val="0000FF"/>
      <w:kern w:val="0"/>
      <w:szCs w:val="21"/>
    </w:rPr>
  </w:style>
  <w:style w:type="paragraph" w:customStyle="1" w:styleId="432">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433">
    <w:name w:val="List Paragraph1"/>
    <w:basedOn w:val="1"/>
    <w:qFormat/>
    <w:uiPriority w:val="0"/>
    <w:pPr>
      <w:ind w:firstLine="420" w:firstLineChars="200"/>
    </w:pPr>
    <w:rPr>
      <w:rFonts w:ascii="Calibri" w:hAnsi="Calibri"/>
      <w:szCs w:val="22"/>
    </w:rPr>
  </w:style>
  <w:style w:type="paragraph" w:customStyle="1" w:styleId="434">
    <w:name w:val="二级无标题条"/>
    <w:basedOn w:val="1"/>
    <w:qFormat/>
    <w:uiPriority w:val="0"/>
    <w:rPr>
      <w:rFonts w:ascii="宋体" w:hAnsi="宋体"/>
    </w:rPr>
  </w:style>
  <w:style w:type="paragraph" w:customStyle="1" w:styleId="435">
    <w:name w:val="样式 标题 3Chapter X.X.X"/>
    <w:basedOn w:val="436"/>
    <w:qFormat/>
    <w:uiPriority w:val="0"/>
  </w:style>
  <w:style w:type="paragraph" w:customStyle="1" w:styleId="436">
    <w:name w:val="标题 3Chapter X.X.X. + 段后: 0.5 行 + 段后: 0.5 行 + 段后: 0.5 行1"/>
    <w:basedOn w:val="437"/>
    <w:qFormat/>
    <w:uiPriority w:val="0"/>
  </w:style>
  <w:style w:type="paragraph" w:customStyle="1" w:styleId="437">
    <w:name w:val="样式 样式 标题 3Chapter X.X.X. + 段后: 0.5 行 + 段后: 0.5 行"/>
    <w:basedOn w:val="438"/>
    <w:qFormat/>
    <w:uiPriority w:val="0"/>
  </w:style>
  <w:style w:type="paragraph" w:customStyle="1" w:styleId="438">
    <w:name w:val="样式 标题 3Chapter X.X.X. + 段后: 0.5 行"/>
    <w:basedOn w:val="4"/>
    <w:qFormat/>
    <w:uiPriority w:val="0"/>
    <w:pPr>
      <w:keepLines w:val="0"/>
      <w:autoSpaceDE/>
      <w:autoSpaceDN/>
      <w:adjustRightInd/>
      <w:spacing w:before="120" w:after="156" w:afterLines="50"/>
    </w:pPr>
    <w:rPr>
      <w:rFonts w:cs="宋体"/>
      <w:bCs/>
      <w:snapToGrid w:val="0"/>
      <w:u w:val="none"/>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1">
    <w:name w:val="样式 样式 正文文本缩进 + 仿宋_GB2312 小四 首行缩进:  0 厘米 行距: 1.5 倍行距 + (中文) 仿宋_GB... Char Char"/>
    <w:basedOn w:val="268"/>
    <w:qFormat/>
    <w:uiPriority w:val="0"/>
    <w:pPr>
      <w:ind w:firstLine="480" w:firstLineChars="200"/>
    </w:pPr>
  </w:style>
  <w:style w:type="paragraph" w:customStyle="1" w:styleId="44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443">
    <w:name w:val="1 Char Char Char Char"/>
    <w:basedOn w:val="1"/>
    <w:qFormat/>
    <w:uiPriority w:val="0"/>
    <w:rPr>
      <w:rFonts w:ascii="Tahoma" w:hAnsi="Tahoma"/>
      <w:sz w:val="24"/>
      <w:szCs w:val="20"/>
    </w:rPr>
  </w:style>
  <w:style w:type="paragraph" w:customStyle="1" w:styleId="444">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445">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446">
    <w:name w:val="S4-L15-No"/>
    <w:basedOn w:val="447"/>
    <w:qFormat/>
    <w:uiPriority w:val="0"/>
    <w:pPr>
      <w:tabs>
        <w:tab w:val="left" w:pos="720"/>
      </w:tabs>
      <w:ind w:hanging="720"/>
    </w:pPr>
  </w:style>
  <w:style w:type="paragraph" w:customStyle="1" w:styleId="447">
    <w:name w:val="S4-L15"/>
    <w:basedOn w:val="1"/>
    <w:qFormat/>
    <w:uiPriority w:val="0"/>
    <w:pPr>
      <w:spacing w:after="120" w:line="360" w:lineRule="auto"/>
      <w:ind w:left="720" w:firstLine="392"/>
    </w:pPr>
    <w:rPr>
      <w:szCs w:val="21"/>
      <w:lang w:val="fr-FR"/>
    </w:rPr>
  </w:style>
  <w:style w:type="paragraph" w:customStyle="1" w:styleId="448">
    <w:name w:val="样式 标题 3Chapter X.X.X. + 五号 段后: 0.5 行"/>
    <w:basedOn w:val="4"/>
    <w:qFormat/>
    <w:uiPriority w:val="0"/>
    <w:pPr>
      <w:keepLines w:val="0"/>
      <w:autoSpaceDE/>
      <w:autoSpaceDN/>
      <w:adjustRightInd/>
      <w:spacing w:before="120" w:after="156" w:afterLines="50"/>
    </w:pPr>
    <w:rPr>
      <w:rFonts w:cs="宋体"/>
      <w:bCs/>
      <w:snapToGrid w:val="0"/>
      <w:sz w:val="21"/>
      <w:u w:val="none"/>
    </w:rPr>
  </w:style>
  <w:style w:type="paragraph" w:customStyle="1" w:styleId="449">
    <w:name w:val="最新标题1"/>
    <w:basedOn w:val="343"/>
    <w:next w:val="344"/>
    <w:qFormat/>
    <w:uiPriority w:val="0"/>
    <w:pPr>
      <w:spacing w:after="120"/>
    </w:pPr>
    <w:rPr>
      <w:bCs/>
    </w:rPr>
  </w:style>
  <w:style w:type="paragraph" w:customStyle="1" w:styleId="4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1">
    <w:name w:val="样式 正文（首行缩进两字） + 首行缩进:  2 字符"/>
    <w:basedOn w:val="13"/>
    <w:qFormat/>
    <w:uiPriority w:val="0"/>
    <w:pPr>
      <w:spacing w:line="460" w:lineRule="exact"/>
      <w:ind w:firstLine="536" w:firstLineChars="200"/>
    </w:pPr>
    <w:rPr>
      <w:rFonts w:cs="宋体"/>
      <w:spacing w:val="6"/>
      <w:kern w:val="24"/>
      <w:sz w:val="24"/>
      <w:szCs w:val="24"/>
    </w:rPr>
  </w:style>
  <w:style w:type="paragraph" w:customStyle="1" w:styleId="452">
    <w:name w:val="样式 标题 4Chapter X.X.X. + 段后: 0.5 行1 + 段后: 0.5 行"/>
    <w:basedOn w:val="368"/>
    <w:qFormat/>
    <w:uiPriority w:val="0"/>
    <w:rPr>
      <w:szCs w:val="21"/>
    </w:rPr>
  </w:style>
  <w:style w:type="paragraph" w:customStyle="1" w:styleId="453">
    <w:name w:val="Paragraph4"/>
    <w:basedOn w:val="1"/>
    <w:qFormat/>
    <w:uiPriority w:val="0"/>
    <w:pPr>
      <w:spacing w:before="80" w:after="156" w:afterLines="50"/>
      <w:ind w:left="2250"/>
    </w:pPr>
    <w:rPr>
      <w:rFonts w:ascii="宋体"/>
      <w:snapToGrid w:val="0"/>
      <w:kern w:val="0"/>
      <w:szCs w:val="20"/>
    </w:rPr>
  </w:style>
  <w:style w:type="paragraph" w:customStyle="1" w:styleId="454">
    <w:name w:val="五级无标题条"/>
    <w:basedOn w:val="1"/>
    <w:qFormat/>
    <w:uiPriority w:val="0"/>
    <w:rPr>
      <w:rFonts w:ascii="宋体" w:hAnsi="宋体"/>
    </w:rPr>
  </w:style>
  <w:style w:type="paragraph" w:customStyle="1" w:styleId="455">
    <w:name w:val="标准标题2"/>
    <w:basedOn w:val="2"/>
    <w:qFormat/>
    <w:uiPriority w:val="0"/>
    <w:pPr>
      <w:spacing w:line="360" w:lineRule="auto"/>
    </w:pPr>
    <w:rPr>
      <w:rFonts w:eastAsia="仿宋_GB2312"/>
      <w:bCs w:val="0"/>
      <w:sz w:val="28"/>
    </w:rPr>
  </w:style>
  <w:style w:type="paragraph" w:customStyle="1" w:styleId="456">
    <w:name w:val="Note Heading1"/>
    <w:basedOn w:val="1"/>
    <w:next w:val="1"/>
    <w:qFormat/>
    <w:uiPriority w:val="0"/>
    <w:pPr>
      <w:jc w:val="center"/>
    </w:pPr>
    <w:rPr>
      <w:rFonts w:ascii="DFKai-SB" w:hAnsi="DFKai-SB" w:eastAsia="DFKai-SB"/>
      <w:sz w:val="20"/>
      <w:szCs w:val="20"/>
    </w:rPr>
  </w:style>
  <w:style w:type="paragraph" w:customStyle="1" w:styleId="457">
    <w:name w:val="附录性质"/>
    <w:basedOn w:val="1"/>
    <w:qFormat/>
    <w:uiPriority w:val="0"/>
    <w:pPr>
      <w:jc w:val="center"/>
    </w:pPr>
    <w:rPr>
      <w:rFonts w:ascii="黑体" w:hAnsi="宋体" w:eastAsia="黑体"/>
    </w:rPr>
  </w:style>
  <w:style w:type="paragraph" w:customStyle="1" w:styleId="45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9">
    <w:name w:val="附录图标题"/>
    <w:next w:val="169"/>
    <w:qFormat/>
    <w:uiPriority w:val="0"/>
    <w:pPr>
      <w:jc w:val="center"/>
    </w:pPr>
    <w:rPr>
      <w:rFonts w:ascii="黑体" w:hAnsi="宋体" w:eastAsia="黑体" w:cs="Times New Roman"/>
      <w:kern w:val="2"/>
      <w:sz w:val="21"/>
      <w:szCs w:val="24"/>
      <w:lang w:val="en-US" w:eastAsia="zh-CN" w:bidi="ar-SA"/>
    </w:rPr>
  </w:style>
  <w:style w:type="paragraph" w:customStyle="1" w:styleId="460">
    <w:name w:val="目次、标准名称标题"/>
    <w:basedOn w:val="305"/>
    <w:next w:val="1"/>
    <w:qFormat/>
    <w:uiPriority w:val="0"/>
    <w:pPr>
      <w:spacing w:line="460" w:lineRule="exact"/>
    </w:pPr>
    <w:rPr>
      <w:rFonts w:hAnsi="宋体"/>
      <w:kern w:val="2"/>
      <w:szCs w:val="24"/>
    </w:rPr>
  </w:style>
  <w:style w:type="paragraph" w:customStyle="1" w:styleId="461">
    <w:name w:val="样式1"/>
    <w:basedOn w:val="3"/>
    <w:qFormat/>
    <w:uiPriority w:val="0"/>
    <w:pPr>
      <w:spacing w:line="0" w:lineRule="atLeast"/>
      <w:jc w:val="center"/>
    </w:pPr>
    <w:rPr>
      <w:rFonts w:ascii="宋体" w:hAnsi="宋体" w:eastAsia="黑体"/>
      <w:b w:val="0"/>
      <w:bCs w:val="0"/>
      <w:sz w:val="36"/>
      <w:szCs w:val="20"/>
    </w:rPr>
  </w:style>
  <w:style w:type="paragraph" w:customStyle="1" w:styleId="462">
    <w:name w:val="正文图标题"/>
    <w:next w:val="169"/>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6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464">
    <w:name w:val="Plain Text_5d4b503d-331e-4e98-946a-c245bef629af"/>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5">
    <w:name w:val="Tabletext"/>
    <w:basedOn w:val="1"/>
    <w:qFormat/>
    <w:uiPriority w:val="0"/>
    <w:pPr>
      <w:keepLines/>
      <w:spacing w:after="156" w:afterLines="50"/>
      <w:jc w:val="left"/>
    </w:pPr>
    <w:rPr>
      <w:rFonts w:ascii="宋体"/>
      <w:snapToGrid w:val="0"/>
      <w:kern w:val="0"/>
      <w:szCs w:val="20"/>
    </w:rPr>
  </w:style>
  <w:style w:type="paragraph" w:customStyle="1" w:styleId="466">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467">
    <w:name w:val="列出段落1"/>
    <w:basedOn w:val="1"/>
    <w:qFormat/>
    <w:uiPriority w:val="0"/>
    <w:pPr>
      <w:ind w:firstLine="420" w:firstLineChars="200"/>
    </w:pPr>
    <w:rPr>
      <w:rFonts w:ascii="Calibri" w:hAnsi="Calibri"/>
      <w:szCs w:val="22"/>
    </w:rPr>
  </w:style>
  <w:style w:type="paragraph" w:customStyle="1" w:styleId="468">
    <w:name w:val="样式 样式 标题 4 + 段后: 0.5 行1"/>
    <w:basedOn w:val="337"/>
    <w:next w:val="32"/>
    <w:qFormat/>
    <w:uiPriority w:val="0"/>
    <w:pPr>
      <w:spacing w:after="120"/>
    </w:pPr>
  </w:style>
  <w:style w:type="paragraph" w:customStyle="1" w:styleId="469">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70">
    <w:name w:val="S4-I-U-L15-No-dot"/>
    <w:basedOn w:val="1"/>
    <w:qFormat/>
    <w:uiPriority w:val="0"/>
    <w:pPr>
      <w:tabs>
        <w:tab w:val="left" w:pos="1112"/>
      </w:tabs>
      <w:spacing w:after="120" w:line="360" w:lineRule="auto"/>
      <w:ind w:left="1112" w:hanging="420"/>
    </w:pPr>
    <w:rPr>
      <w:i/>
      <w:sz w:val="24"/>
      <w:u w:val="single"/>
    </w:rPr>
  </w:style>
  <w:style w:type="paragraph" w:customStyle="1" w:styleId="471">
    <w:name w:val="Note Heading2"/>
    <w:basedOn w:val="1"/>
    <w:next w:val="1"/>
    <w:qFormat/>
    <w:uiPriority w:val="0"/>
    <w:pPr>
      <w:jc w:val="center"/>
    </w:pPr>
    <w:rPr>
      <w:rFonts w:ascii="DFKai-SB" w:hAnsi="DFKai-SB" w:eastAsia="DFKai-SB"/>
      <w:sz w:val="20"/>
      <w:szCs w:val="20"/>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75">
    <w:name w:val="样式 样式 样式 标题 3Chapter X.X.X. + 段后: 0.5 行 + 段后: 0.5 行 + 段后: 0.5 行"/>
    <w:basedOn w:val="437"/>
    <w:qFormat/>
    <w:uiPriority w:val="0"/>
  </w:style>
  <w:style w:type="paragraph" w:customStyle="1" w:styleId="476">
    <w:name w:val="列表内容"/>
    <w:basedOn w:val="1"/>
    <w:next w:val="1"/>
    <w:qFormat/>
    <w:uiPriority w:val="0"/>
    <w:pPr>
      <w:widowControl/>
      <w:tabs>
        <w:tab w:val="left" w:pos="840"/>
        <w:tab w:val="left" w:pos="3645"/>
      </w:tabs>
      <w:ind w:left="3645" w:hanging="1965"/>
      <w:jc w:val="left"/>
    </w:pPr>
    <w:rPr>
      <w:kern w:val="0"/>
      <w:sz w:val="18"/>
    </w:rPr>
  </w:style>
  <w:style w:type="paragraph" w:customStyle="1" w:styleId="47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文本框内文字"/>
    <w:basedOn w:val="1"/>
    <w:qFormat/>
    <w:uiPriority w:val="0"/>
    <w:pPr>
      <w:spacing w:line="0" w:lineRule="atLeast"/>
    </w:pPr>
    <w:rPr>
      <w:rFonts w:eastAsia="仿宋_GB2312"/>
      <w:sz w:val="22"/>
    </w:rPr>
  </w:style>
  <w:style w:type="paragraph" w:customStyle="1" w:styleId="479">
    <w:name w:val="Bullet1"/>
    <w:basedOn w:val="1"/>
    <w:qFormat/>
    <w:uiPriority w:val="0"/>
    <w:pPr>
      <w:spacing w:after="156" w:afterLines="50"/>
      <w:ind w:left="720" w:hanging="432"/>
      <w:jc w:val="left"/>
    </w:pPr>
    <w:rPr>
      <w:rFonts w:ascii="宋体"/>
      <w:snapToGrid w:val="0"/>
      <w:kern w:val="0"/>
      <w:szCs w:val="20"/>
    </w:rPr>
  </w:style>
  <w:style w:type="paragraph" w:customStyle="1" w:styleId="480">
    <w:name w:val="Char Char4"/>
    <w:basedOn w:val="1"/>
    <w:qFormat/>
    <w:uiPriority w:val="0"/>
  </w:style>
  <w:style w:type="paragraph" w:customStyle="1" w:styleId="4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3">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484">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86">
    <w:name w:val="p0"/>
    <w:basedOn w:val="1"/>
    <w:qFormat/>
    <w:uiPriority w:val="0"/>
    <w:pPr>
      <w:widowControl/>
      <w:spacing w:line="360" w:lineRule="auto"/>
      <w:jc w:val="left"/>
    </w:pPr>
    <w:rPr>
      <w:rFonts w:ascii="Calibri" w:hAnsi="Calibri"/>
      <w:kern w:val="0"/>
      <w:sz w:val="24"/>
    </w:rPr>
  </w:style>
  <w:style w:type="paragraph" w:customStyle="1" w:styleId="487">
    <w:name w:val="样式 标题 3标题 3 CharH3h33rd level3Level 3 Headlevel_3PIM 3s..."/>
    <w:basedOn w:val="4"/>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48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4">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495">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496">
    <w:name w:val="样式 标题 3Level 3 Headsect1.2.3H3l3CTh3heading 33rd levelH..."/>
    <w:basedOn w:val="4"/>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497">
    <w:name w:val="BodyText"/>
    <w:basedOn w:val="1"/>
    <w:next w:val="444"/>
    <w:qFormat/>
    <w:uiPriority w:val="0"/>
    <w:pPr>
      <w:spacing w:after="120"/>
      <w:jc w:val="both"/>
      <w:textAlignment w:val="baseline"/>
    </w:pPr>
  </w:style>
  <w:style w:type="paragraph" w:customStyle="1" w:styleId="4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0">
    <w:name w:val="注："/>
    <w:next w:val="169"/>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501">
    <w:name w:val="表内1"/>
    <w:basedOn w:val="22"/>
    <w:qFormat/>
    <w:uiPriority w:val="0"/>
    <w:pPr>
      <w:adjustRightInd w:val="0"/>
      <w:spacing w:after="0"/>
      <w:jc w:val="left"/>
      <w:textAlignment w:val="baseline"/>
    </w:pPr>
    <w:rPr>
      <w:kern w:val="0"/>
      <w:szCs w:val="20"/>
    </w:rPr>
  </w:style>
  <w:style w:type="paragraph" w:customStyle="1" w:styleId="502">
    <w:name w:val="Paragraph1"/>
    <w:basedOn w:val="1"/>
    <w:qFormat/>
    <w:uiPriority w:val="0"/>
    <w:pPr>
      <w:spacing w:before="80" w:after="156" w:afterLines="50"/>
    </w:pPr>
    <w:rPr>
      <w:rFonts w:ascii="宋体"/>
      <w:snapToGrid w:val="0"/>
      <w:kern w:val="0"/>
      <w:szCs w:val="20"/>
    </w:rPr>
  </w:style>
  <w:style w:type="paragraph" w:customStyle="1" w:styleId="503">
    <w:name w:val="Char Char Char Char Char Char Char Char Char"/>
    <w:basedOn w:val="1"/>
    <w:qFormat/>
    <w:uiPriority w:val="0"/>
    <w:rPr>
      <w:rFonts w:ascii="Tahoma" w:hAnsi="Tahoma" w:eastAsia="仿宋_GB2312"/>
      <w:sz w:val="24"/>
      <w:szCs w:val="20"/>
    </w:rPr>
  </w:style>
  <w:style w:type="paragraph" w:customStyle="1" w:styleId="5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5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50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5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10">
    <w:name w:val="S4-B-L15"/>
    <w:basedOn w:val="1"/>
    <w:qFormat/>
    <w:uiPriority w:val="0"/>
    <w:pPr>
      <w:spacing w:line="360" w:lineRule="auto"/>
    </w:pPr>
    <w:rPr>
      <w:b/>
      <w:bCs/>
      <w:sz w:val="24"/>
    </w:rPr>
  </w:style>
  <w:style w:type="paragraph" w:customStyle="1" w:styleId="51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512">
    <w:name w:val="Char Char Char Char"/>
    <w:basedOn w:val="1"/>
    <w:qFormat/>
    <w:uiPriority w:val="0"/>
    <w:rPr>
      <w:rFonts w:ascii="Tahoma" w:hAnsi="Tahoma"/>
      <w:sz w:val="24"/>
      <w:szCs w:val="20"/>
    </w:rPr>
  </w:style>
  <w:style w:type="paragraph" w:customStyle="1" w:styleId="5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5">
    <w:name w:val="样式 标题 3(A-3)sect1.2.3h3H3level_3PIM 3Level 3 HeadHeading..."/>
    <w:basedOn w:val="4"/>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516">
    <w:name w:val="小标题"/>
    <w:basedOn w:val="22"/>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5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模板普通正文"/>
    <w:basedOn w:val="14"/>
    <w:qFormat/>
    <w:uiPriority w:val="0"/>
    <w:pPr>
      <w:spacing w:beforeLines="50" w:after="10"/>
      <w:ind w:firstLine="490" w:firstLineChars="175"/>
      <w:jc w:val="left"/>
    </w:pPr>
  </w:style>
  <w:style w:type="paragraph" w:customStyle="1" w:styleId="519">
    <w:name w:val="样式3"/>
    <w:basedOn w:val="29"/>
    <w:qFormat/>
    <w:uiPriority w:val="0"/>
    <w:pPr>
      <w:spacing w:line="0" w:lineRule="atLeast"/>
      <w:outlineLvl w:val="0"/>
    </w:pPr>
    <w:rPr>
      <w:kern w:val="0"/>
      <w:sz w:val="28"/>
      <w:szCs w:val="21"/>
    </w:rPr>
  </w:style>
  <w:style w:type="paragraph" w:customStyle="1" w:styleId="520">
    <w:name w:val="xl8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1">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522">
    <w:name w:val="c封面发布日期"/>
    <w:basedOn w:val="1"/>
    <w:qFormat/>
    <w:uiPriority w:val="0"/>
    <w:pPr>
      <w:adjustRightInd w:val="0"/>
    </w:pPr>
    <w:rPr>
      <w:rFonts w:ascii="宋体" w:hAnsi="宋体" w:eastAsia="黑体"/>
      <w:kern w:val="0"/>
      <w:sz w:val="28"/>
      <w:szCs w:val="20"/>
    </w:rPr>
  </w:style>
  <w:style w:type="paragraph" w:customStyle="1" w:styleId="523">
    <w:name w:val="样式 标题 2 + (中文) 黑体 四号 黑色"/>
    <w:basedOn w:val="2"/>
    <w:qFormat/>
    <w:uiPriority w:val="0"/>
    <w:pPr>
      <w:spacing w:line="520" w:lineRule="exact"/>
      <w:jc w:val="left"/>
    </w:pPr>
    <w:rPr>
      <w:color w:val="000000"/>
      <w:kern w:val="24"/>
      <w:sz w:val="28"/>
      <w:szCs w:val="20"/>
    </w:rPr>
  </w:style>
  <w:style w:type="paragraph" w:customStyle="1" w:styleId="52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26">
    <w:name w:val="参考文献、索引标题"/>
    <w:basedOn w:val="305"/>
    <w:next w:val="1"/>
    <w:qFormat/>
    <w:uiPriority w:val="0"/>
    <w:pPr>
      <w:spacing w:after="200" w:line="240" w:lineRule="auto"/>
    </w:pPr>
    <w:rPr>
      <w:rFonts w:hAnsi="宋体"/>
      <w:kern w:val="2"/>
      <w:sz w:val="21"/>
      <w:szCs w:val="24"/>
    </w:rPr>
  </w:style>
  <w:style w:type="paragraph" w:customStyle="1" w:styleId="527">
    <w:name w:val="纯文本1"/>
    <w:basedOn w:val="432"/>
    <w:qFormat/>
    <w:uiPriority w:val="0"/>
    <w:rPr>
      <w:rFonts w:ascii="Arial Unicode MS" w:hAnsi="等线" w:eastAsia="Arial Unicode MS" w:cs="方正姚体"/>
    </w:rPr>
  </w:style>
  <w:style w:type="paragraph" w:customStyle="1" w:styleId="528">
    <w:name w:val="表格文字"/>
    <w:basedOn w:val="29"/>
    <w:next w:val="22"/>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529">
    <w:name w:val="IBM 正文"/>
    <w:basedOn w:val="1"/>
    <w:qFormat/>
    <w:uiPriority w:val="0"/>
    <w:pPr>
      <w:spacing w:line="360" w:lineRule="atLeast"/>
    </w:pPr>
    <w:rPr>
      <w:sz w:val="24"/>
      <w:szCs w:val="20"/>
    </w:rPr>
  </w:style>
  <w:style w:type="paragraph" w:customStyle="1" w:styleId="530">
    <w:name w:val="样式2"/>
    <w:basedOn w:val="2"/>
    <w:qFormat/>
    <w:uiPriority w:val="0"/>
    <w:pPr>
      <w:tabs>
        <w:tab w:val="left" w:pos="600"/>
      </w:tabs>
      <w:ind w:left="600" w:hanging="600"/>
    </w:pPr>
    <w:rPr>
      <w:rFonts w:eastAsia="宋体"/>
    </w:rPr>
  </w:style>
  <w:style w:type="paragraph" w:customStyle="1" w:styleId="531">
    <w:name w:val="Body"/>
    <w:basedOn w:val="1"/>
    <w:qFormat/>
    <w:uiPriority w:val="0"/>
    <w:pPr>
      <w:widowControl/>
      <w:spacing w:before="120" w:after="156" w:afterLines="50"/>
    </w:pPr>
    <w:rPr>
      <w:rFonts w:ascii="宋体"/>
      <w:snapToGrid w:val="0"/>
      <w:kern w:val="0"/>
      <w:szCs w:val="20"/>
    </w:rPr>
  </w:style>
  <w:style w:type="paragraph" w:customStyle="1" w:styleId="532">
    <w:name w:val="InfoBlue"/>
    <w:basedOn w:val="1"/>
    <w:next w:val="22"/>
    <w:qFormat/>
    <w:uiPriority w:val="0"/>
    <w:pPr>
      <w:spacing w:after="156" w:afterLines="50"/>
      <w:ind w:left="720"/>
      <w:jc w:val="left"/>
    </w:pPr>
    <w:rPr>
      <w:rFonts w:ascii="宋体"/>
      <w:i/>
      <w:snapToGrid w:val="0"/>
      <w:color w:val="0000FF"/>
      <w:kern w:val="0"/>
      <w:szCs w:val="20"/>
    </w:rPr>
  </w:style>
  <w:style w:type="paragraph" w:customStyle="1" w:styleId="533">
    <w:name w:val="P3"/>
    <w:basedOn w:val="1"/>
    <w:qFormat/>
    <w:uiPriority w:val="0"/>
    <w:pPr>
      <w:widowControl/>
      <w:spacing w:before="240" w:line="240" w:lineRule="atLeast"/>
      <w:ind w:left="1152"/>
      <w:jc w:val="left"/>
    </w:pPr>
    <w:rPr>
      <w:b/>
      <w:kern w:val="0"/>
      <w:szCs w:val="21"/>
      <w:lang w:val="en-AU" w:eastAsia="en-US"/>
    </w:rPr>
  </w:style>
  <w:style w:type="paragraph" w:customStyle="1" w:styleId="534">
    <w:name w:val="样式 标题 2h2sect 1.2H22nd level2Header 2UNDERRUBRIK 1-2l2T..."/>
    <w:basedOn w:val="2"/>
    <w:qFormat/>
    <w:uiPriority w:val="0"/>
    <w:pPr>
      <w:spacing w:before="0" w:after="0" w:line="360" w:lineRule="auto"/>
      <w:jc w:val="center"/>
      <w:outlineLvl w:val="0"/>
    </w:pPr>
    <w:rPr>
      <w:rFonts w:ascii="宋体" w:hAnsi="宋体" w:eastAsia="宋体" w:cs="宋体"/>
      <w:sz w:val="24"/>
      <w:szCs w:val="20"/>
    </w:rPr>
  </w:style>
  <w:style w:type="paragraph" w:customStyle="1" w:styleId="535">
    <w:name w:val="默认段落字体 Para Char Char Char Char Char Char Char Char Char1 Char Char Char Char"/>
    <w:basedOn w:val="1"/>
    <w:qFormat/>
    <w:uiPriority w:val="0"/>
    <w:rPr>
      <w:rFonts w:ascii="Tahoma" w:hAnsi="Tahoma"/>
      <w:sz w:val="24"/>
      <w:szCs w:val="20"/>
    </w:rPr>
  </w:style>
  <w:style w:type="paragraph" w:customStyle="1" w:styleId="536">
    <w:name w:val="无标题条"/>
    <w:next w:val="169"/>
    <w:qFormat/>
    <w:uiPriority w:val="0"/>
    <w:pPr>
      <w:jc w:val="both"/>
    </w:pPr>
    <w:rPr>
      <w:rFonts w:ascii="宋体" w:hAnsi="宋体" w:eastAsia="宋体" w:cs="Times New Roman"/>
      <w:kern w:val="2"/>
      <w:sz w:val="21"/>
      <w:szCs w:val="24"/>
      <w:lang w:val="en-US" w:eastAsia="zh-CN" w:bidi="ar-SA"/>
    </w:rPr>
  </w:style>
  <w:style w:type="paragraph" w:customStyle="1" w:styleId="537">
    <w:name w:val="哈哈正文"/>
    <w:basedOn w:val="1"/>
    <w:qFormat/>
    <w:uiPriority w:val="0"/>
    <w:pPr>
      <w:spacing w:line="360" w:lineRule="auto"/>
      <w:ind w:firstLine="200" w:firstLineChars="200"/>
    </w:pPr>
    <w:rPr>
      <w:rFonts w:ascii="宋体" w:hAnsi="宋体" w:cs="宋体"/>
      <w:sz w:val="24"/>
    </w:rPr>
  </w:style>
  <w:style w:type="paragraph" w:customStyle="1" w:styleId="538">
    <w:name w:val="正文格式"/>
    <w:qFormat/>
    <w:uiPriority w:val="99"/>
    <w:pPr>
      <w:spacing w:line="360" w:lineRule="auto"/>
      <w:ind w:firstLine="200" w:firstLineChars="200"/>
    </w:pPr>
    <w:rPr>
      <w:rFonts w:ascii="宋体" w:hAnsi="宋体" w:eastAsia="宋体" w:cs="Times New Roman"/>
      <w:sz w:val="28"/>
      <w:szCs w:val="22"/>
      <w:lang w:val="en-US" w:eastAsia="zh-CN" w:bidi="ar-SA"/>
    </w:rPr>
  </w:style>
  <w:style w:type="paragraph" w:customStyle="1" w:styleId="53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540">
    <w:name w:val="表格文字1"/>
    <w:basedOn w:val="1"/>
    <w:qFormat/>
    <w:uiPriority w:val="0"/>
    <w:pPr>
      <w:widowControl w:val="0"/>
      <w:spacing w:line="300" w:lineRule="exact"/>
      <w:ind w:left="120" w:leftChars="50" w:firstLine="0" w:firstLineChars="0"/>
      <w:jc w:val="left"/>
      <w:textAlignment w:val="center"/>
    </w:pPr>
    <w:rPr>
      <w:rFonts w:hint="eastAsia" w:ascii="宋体" w:hAnsi="宋体" w:eastAsia="宋体" w:cs="宋体"/>
      <w:color w:val="000000"/>
      <w:kern w:val="0"/>
      <w:sz w:val="21"/>
      <w:szCs w:val="22"/>
      <w:u w:val="none"/>
    </w:rPr>
  </w:style>
  <w:style w:type="paragraph" w:customStyle="1" w:styleId="541">
    <w:name w:val="正文文字 Char"/>
    <w:basedOn w:val="1"/>
    <w:next w:val="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character" w:customStyle="1" w:styleId="542">
    <w:name w:val="page number_c13d1022-a779-489b-a15d-4398209c8395"/>
    <w:basedOn w:val="55"/>
    <w:qFormat/>
    <w:uiPriority w:val="0"/>
  </w:style>
  <w:style w:type="paragraph" w:customStyle="1" w:styleId="543">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paragraph" w:customStyle="1" w:styleId="544">
    <w:name w:val="Heading #3|1"/>
    <w:basedOn w:val="1"/>
    <w:autoRedefine/>
    <w:qFormat/>
    <w:uiPriority w:val="0"/>
    <w:pPr>
      <w:spacing w:line="580" w:lineRule="exact"/>
      <w:ind w:firstLine="520"/>
      <w:outlineLvl w:val="2"/>
    </w:pPr>
    <w:rPr>
      <w:rFonts w:ascii="宋体" w:hAnsi="宋体" w:eastAsia="宋体" w:cs="宋体"/>
      <w:lang w:val="zh-TW" w:eastAsia="zh-TW" w:bidi="zh-TW"/>
    </w:rPr>
  </w:style>
  <w:style w:type="paragraph" w:customStyle="1" w:styleId="545">
    <w:name w:val="Body text|1"/>
    <w:qFormat/>
    <w:uiPriority w:val="0"/>
    <w:pPr>
      <w:widowControl w:val="0"/>
      <w:spacing w:line="398" w:lineRule="auto"/>
      <w:ind w:firstLine="400"/>
    </w:pPr>
    <w:rPr>
      <w:rFonts w:ascii="宋体" w:hAnsi="宋体"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74</Pages>
  <Words>2928</Words>
  <Characters>3266</Characters>
  <Paragraphs>2058</Paragraphs>
  <TotalTime>0</TotalTime>
  <ScaleCrop>false</ScaleCrop>
  <LinksUpToDate>false</LinksUpToDate>
  <CharactersWithSpaces>3303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2023-06-11T02:46:00Z</dcterms:created>
  <dc:creator>dell</dc:creator>
  <cp:lastModifiedBy>pazl</cp:lastModifiedBy>
  <cp:lastPrinted>2024-12-25T06:07:00Z</cp:lastPrinted>
  <dcterms:modified xsi:type="dcterms:W3CDTF">2025-02-11T03:13:17Z</dcterms:modified>
  <dc:title>政府采购招标文件确认表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4BC7FAF19C8A42518BEC36B40AE46CA6_13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eyJoZGlkIjoiNDM4MDBhMzExNjRlYTVmNWUyMzljZTJkOTRiOTM2ZWUifQ==</vt:lpwstr>
  </property>
</Properties>
</file>