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EF3">
      <w:pPr>
        <w:jc w:val="center"/>
        <w:rPr>
          <w:rFonts w:hint="eastAsia" w:ascii="宋体"/>
          <w:b/>
          <w:color w:val="auto"/>
          <w:sz w:val="44"/>
          <w:szCs w:val="44"/>
          <w:highlight w:val="none"/>
        </w:rPr>
      </w:pPr>
      <w:bookmarkStart w:id="0" w:name="_Toc27710"/>
      <w:r>
        <w:rPr>
          <w:rFonts w:hint="eastAsia" w:ascii="宋体"/>
          <w:b/>
          <w:color w:val="auto"/>
          <w:sz w:val="44"/>
          <w:szCs w:val="44"/>
          <w:highlight w:val="none"/>
        </w:rPr>
        <w:t>政府采购招标文件确认表</w:t>
      </w:r>
      <w:bookmarkEnd w:id="0"/>
    </w:p>
    <w:p w14:paraId="61AE8280">
      <w:pPr>
        <w:pStyle w:val="34"/>
        <w:rPr>
          <w:rFonts w:hint="eastAsia"/>
          <w:b/>
          <w:color w:val="auto"/>
          <w:sz w:val="44"/>
          <w:szCs w:val="44"/>
          <w:highlight w:val="none"/>
        </w:rPr>
      </w:pPr>
    </w:p>
    <w:tbl>
      <w:tblPr>
        <w:tblStyle w:val="5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3043"/>
        <w:gridCol w:w="4927"/>
      </w:tblGrid>
      <w:tr w14:paraId="691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64E916AC">
            <w:pPr>
              <w:spacing w:line="40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6AA2AC0">
            <w:pPr>
              <w:spacing w:line="400" w:lineRule="exact"/>
              <w:rPr>
                <w:rFonts w:hint="eastAsia"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eastAsia="zh-CN"/>
              </w:rPr>
              <w:t>浙江省大盘山国家级自然保护区管理局 </w:t>
            </w:r>
          </w:p>
        </w:tc>
      </w:tr>
      <w:tr w14:paraId="041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195E6010">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72154611">
            <w:pPr>
              <w:spacing w:line="400" w:lineRule="exact"/>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lang w:eastAsia="zh-CN"/>
              </w:rPr>
              <w:t>浙江诚远工程咨询有限公司</w:t>
            </w:r>
          </w:p>
        </w:tc>
      </w:tr>
      <w:tr w14:paraId="00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2A6468BD">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招标项目名称</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61FF1F97">
            <w:pPr>
              <w:spacing w:line="400" w:lineRule="exact"/>
              <w:rPr>
                <w:rFonts w:hint="eastAsia"/>
                <w:lang w:eastAsia="zh-CN"/>
              </w:rPr>
            </w:pPr>
            <w:r>
              <w:rPr>
                <w:rFonts w:hint="eastAsia" w:ascii="宋体" w:hAnsi="宋体" w:cs="宋体"/>
                <w:color w:val="auto"/>
                <w:sz w:val="30"/>
                <w:szCs w:val="30"/>
                <w:highlight w:val="none"/>
                <w:lang w:eastAsia="zh-CN"/>
              </w:rPr>
              <w:t>2025年大盘山松材线虫病枯死松树清理服务项目</w:t>
            </w:r>
          </w:p>
        </w:tc>
      </w:tr>
      <w:tr w14:paraId="6CA6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725FEAB3">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财政审批号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56E667E">
            <w:pPr>
              <w:spacing w:line="4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磐财采确临[2025]56号</w:t>
            </w:r>
          </w:p>
        </w:tc>
      </w:tr>
      <w:tr w14:paraId="5D7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50D6EB4">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招标项目编号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19362896">
            <w:pPr>
              <w:spacing w:line="400" w:lineRule="exact"/>
              <w:rPr>
                <w:rFonts w:hint="default" w:ascii="宋体" w:hAnsi="宋体" w:eastAsia="宋体" w:cs="宋体"/>
                <w:bCs/>
                <w:color w:val="auto"/>
                <w:sz w:val="30"/>
                <w:szCs w:val="30"/>
                <w:highlight w:val="none"/>
                <w:lang w:val="en-US" w:eastAsia="zh-CN"/>
              </w:rPr>
            </w:pPr>
            <w:r>
              <w:rPr>
                <w:rFonts w:hint="eastAsia" w:ascii="宋体" w:hAnsi="宋体" w:cs="宋体"/>
                <w:color w:val="auto"/>
                <w:sz w:val="30"/>
                <w:szCs w:val="30"/>
                <w:highlight w:val="none"/>
                <w:lang w:eastAsia="zh-CN"/>
              </w:rPr>
              <w:t>ZJCY-PA2025008号</w:t>
            </w:r>
          </w:p>
        </w:tc>
      </w:tr>
      <w:tr w14:paraId="7E6B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5224" w:type="dxa"/>
            <w:gridSpan w:val="2"/>
            <w:tcBorders>
              <w:top w:val="single" w:color="auto" w:sz="4" w:space="0"/>
              <w:left w:val="single" w:color="auto" w:sz="4" w:space="0"/>
              <w:bottom w:val="single" w:color="auto" w:sz="4" w:space="0"/>
              <w:right w:val="single" w:color="auto" w:sz="4" w:space="0"/>
            </w:tcBorders>
          </w:tcPr>
          <w:p w14:paraId="6C06D628">
            <w:pPr>
              <w:spacing w:line="360" w:lineRule="auto"/>
              <w:jc w:val="left"/>
              <w:rPr>
                <w:rFonts w:hint="eastAsia" w:ascii="宋体" w:hAnsi="宋体" w:eastAsia="宋体" w:cs="宋体"/>
                <w:color w:val="auto"/>
                <w:sz w:val="30"/>
                <w:highlight w:val="none"/>
              </w:rPr>
            </w:pPr>
          </w:p>
          <w:p w14:paraId="7453D71A">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经办人：（签名）</w:t>
            </w:r>
          </w:p>
          <w:p w14:paraId="163743F2">
            <w:pPr>
              <w:spacing w:line="360" w:lineRule="auto"/>
              <w:jc w:val="left"/>
              <w:rPr>
                <w:rFonts w:hint="eastAsia" w:ascii="宋体" w:hAnsi="宋体" w:eastAsia="宋体" w:cs="宋体"/>
                <w:color w:val="auto"/>
                <w:sz w:val="30"/>
                <w:highlight w:val="none"/>
              </w:rPr>
            </w:pPr>
          </w:p>
          <w:p w14:paraId="77AD3FE8">
            <w:pPr>
              <w:pStyle w:val="49"/>
              <w:rPr>
                <w:rFonts w:hint="eastAsia"/>
              </w:rPr>
            </w:pPr>
          </w:p>
          <w:p w14:paraId="3FF82D73">
            <w:pPr>
              <w:spacing w:line="360" w:lineRule="auto"/>
              <w:jc w:val="left"/>
              <w:rPr>
                <w:rFonts w:hint="eastAsia" w:ascii="宋体" w:hAnsi="宋体" w:eastAsia="宋体" w:cs="宋体"/>
                <w:color w:val="auto"/>
                <w:sz w:val="30"/>
                <w:highlight w:val="none"/>
              </w:rPr>
            </w:pPr>
            <w:r>
              <w:rPr>
                <w:rFonts w:hint="eastAsia" w:ascii="宋体" w:hAnsi="宋体" w:cs="宋体"/>
                <w:color w:val="auto"/>
                <w:sz w:val="30"/>
                <w:highlight w:val="none"/>
                <w:lang w:val="en-US" w:eastAsia="zh-CN"/>
              </w:rPr>
              <w:t>项目</w:t>
            </w:r>
            <w:r>
              <w:rPr>
                <w:rFonts w:hint="eastAsia" w:ascii="宋体" w:hAnsi="宋体" w:eastAsia="宋体" w:cs="宋体"/>
                <w:color w:val="auto"/>
                <w:sz w:val="30"/>
                <w:highlight w:val="none"/>
              </w:rPr>
              <w:t>负责人：（签名）</w:t>
            </w:r>
          </w:p>
          <w:p w14:paraId="64D9923D">
            <w:pPr>
              <w:pStyle w:val="3"/>
              <w:rPr>
                <w:rFonts w:hint="eastAsia"/>
              </w:rPr>
            </w:pPr>
          </w:p>
          <w:p w14:paraId="4DAA87C6">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采购单位：（盖章）</w:t>
            </w:r>
          </w:p>
          <w:p w14:paraId="21A07A3D">
            <w:pPr>
              <w:spacing w:line="360" w:lineRule="auto"/>
              <w:jc w:val="left"/>
              <w:rPr>
                <w:rFonts w:hint="eastAsia" w:ascii="宋体" w:hAnsi="宋体" w:eastAsia="宋体" w:cs="宋体"/>
                <w:color w:val="auto"/>
                <w:sz w:val="30"/>
                <w:highlight w:val="none"/>
              </w:rPr>
            </w:pPr>
          </w:p>
          <w:p w14:paraId="79FD2CC0">
            <w:pPr>
              <w:spacing w:line="360" w:lineRule="auto"/>
              <w:jc w:val="both"/>
              <w:rPr>
                <w:rFonts w:hint="eastAsia" w:ascii="宋体" w:hAnsi="宋体" w:cs="宋体"/>
                <w:color w:val="auto"/>
                <w:sz w:val="30"/>
                <w:highlight w:val="none"/>
                <w:lang w:eastAsia="zh-CN"/>
              </w:rPr>
            </w:pPr>
          </w:p>
          <w:p w14:paraId="3A64A404">
            <w:pPr>
              <w:spacing w:line="360" w:lineRule="auto"/>
              <w:jc w:val="both"/>
              <w:rPr>
                <w:rFonts w:hint="eastAsia" w:ascii="宋体" w:hAnsi="宋体" w:cs="宋体"/>
                <w:color w:val="auto"/>
                <w:sz w:val="32"/>
                <w:szCs w:val="32"/>
                <w:highlight w:val="none"/>
              </w:rPr>
            </w:pPr>
            <w:r>
              <w:rPr>
                <w:rFonts w:hint="eastAsia" w:ascii="宋体" w:hAnsi="宋体" w:cs="宋体"/>
                <w:color w:val="auto"/>
                <w:sz w:val="30"/>
                <w:highlight w:val="none"/>
                <w:lang w:eastAsia="zh-CN"/>
              </w:rPr>
              <w:t>2025年</w:t>
            </w:r>
            <w:r>
              <w:rPr>
                <w:rFonts w:hint="eastAsia" w:ascii="宋体" w:hAnsi="宋体" w:cs="宋体"/>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17</w:t>
            </w:r>
            <w:r>
              <w:rPr>
                <w:rFonts w:hint="eastAsia" w:ascii="仿宋_GB2312" w:eastAsia="仿宋_GB2312"/>
                <w:color w:val="auto"/>
                <w:sz w:val="30"/>
                <w:highlight w:val="none"/>
              </w:rPr>
              <w:t>日</w:t>
            </w:r>
          </w:p>
        </w:tc>
        <w:tc>
          <w:tcPr>
            <w:tcW w:w="4927" w:type="dxa"/>
            <w:tcBorders>
              <w:top w:val="single" w:color="auto" w:sz="4" w:space="0"/>
              <w:left w:val="single" w:color="auto" w:sz="4" w:space="0"/>
              <w:bottom w:val="single" w:color="auto" w:sz="4" w:space="0"/>
              <w:right w:val="single" w:color="auto" w:sz="4" w:space="0"/>
            </w:tcBorders>
            <w:vAlign w:val="bottom"/>
          </w:tcPr>
          <w:p w14:paraId="7EE70D17">
            <w:pPr>
              <w:spacing w:line="360" w:lineRule="auto"/>
              <w:jc w:val="left"/>
              <w:rPr>
                <w:rFonts w:hint="eastAsia" w:ascii="宋体" w:hAnsi="宋体" w:cs="宋体"/>
                <w:color w:val="auto"/>
                <w:sz w:val="30"/>
                <w:highlight w:val="none"/>
              </w:rPr>
            </w:pPr>
            <w:r>
              <w:rPr>
                <w:rFonts w:hint="eastAsia" w:ascii="宋体" w:hAnsi="宋体" w:cs="宋体"/>
                <w:bCs/>
                <w:color w:val="auto"/>
                <w:sz w:val="30"/>
                <w:szCs w:val="30"/>
                <w:highlight w:val="none"/>
                <w:lang w:eastAsia="zh-CN"/>
              </w:rPr>
              <w:t>浙江诚远工程咨询有限公司</w:t>
            </w:r>
            <w:r>
              <w:rPr>
                <w:rFonts w:hint="eastAsia" w:ascii="宋体" w:hAnsi="宋体" w:cs="宋体"/>
                <w:color w:val="auto"/>
                <w:sz w:val="30"/>
                <w:szCs w:val="30"/>
                <w:highlight w:val="none"/>
              </w:rPr>
              <w:t>：</w:t>
            </w:r>
            <w:r>
              <w:rPr>
                <w:rFonts w:hint="eastAsia" w:ascii="宋体" w:hAnsi="宋体" w:cs="宋体"/>
                <w:color w:val="auto"/>
                <w:sz w:val="30"/>
                <w:highlight w:val="none"/>
              </w:rPr>
              <w:t>（盖章）</w:t>
            </w:r>
          </w:p>
          <w:p w14:paraId="750888E1">
            <w:pPr>
              <w:pStyle w:val="22"/>
              <w:jc w:val="left"/>
              <w:rPr>
                <w:rFonts w:hint="eastAsia" w:cs="宋体"/>
                <w:color w:val="auto"/>
                <w:kern w:val="2"/>
                <w:sz w:val="30"/>
                <w:highlight w:val="none"/>
              </w:rPr>
            </w:pPr>
          </w:p>
          <w:p w14:paraId="71172D78">
            <w:pPr>
              <w:spacing w:line="360" w:lineRule="auto"/>
              <w:jc w:val="both"/>
              <w:rPr>
                <w:rFonts w:hint="eastAsia" w:ascii="宋体" w:hAnsi="宋体" w:cs="宋体"/>
                <w:color w:val="auto"/>
                <w:sz w:val="32"/>
                <w:szCs w:val="32"/>
                <w:highlight w:val="none"/>
              </w:rPr>
            </w:pPr>
            <w:r>
              <w:rPr>
                <w:rFonts w:hint="eastAsia" w:ascii="宋体" w:hAnsi="宋体" w:cs="宋体"/>
                <w:color w:val="auto"/>
                <w:sz w:val="30"/>
                <w:highlight w:val="none"/>
                <w:lang w:val="en-US" w:eastAsia="zh-CN"/>
              </w:rPr>
              <w:t>2025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17</w:t>
            </w:r>
            <w:r>
              <w:rPr>
                <w:rFonts w:hint="eastAsia" w:ascii="仿宋_GB2312" w:eastAsia="仿宋_GB2312"/>
                <w:color w:val="auto"/>
                <w:sz w:val="30"/>
                <w:highlight w:val="none"/>
              </w:rPr>
              <w:t>日</w:t>
            </w:r>
          </w:p>
        </w:tc>
      </w:tr>
    </w:tbl>
    <w:p w14:paraId="4926A74B">
      <w:pPr>
        <w:spacing w:before="0" w:beforeLines="-2147483648" w:line="240" w:lineRule="auto"/>
        <w:jc w:val="left"/>
        <w:rPr>
          <w:rFonts w:hint="eastAsia" w:ascii="宋体" w:hAnsi="宋体" w:cs="宋体"/>
          <w:b/>
          <w:bCs w:val="0"/>
          <w:color w:val="auto"/>
          <w:sz w:val="52"/>
          <w:szCs w:val="52"/>
          <w:highlight w:val="none"/>
          <w:lang w:eastAsia="zh-CN"/>
        </w:rPr>
      </w:pPr>
      <w:r>
        <w:rPr>
          <w:rFonts w:hint="eastAsia" w:ascii="宋体" w:hAnsi="宋体" w:cs="宋体"/>
          <w:b/>
          <w:bCs w:val="0"/>
          <w:color w:val="auto"/>
          <w:sz w:val="52"/>
          <w:szCs w:val="52"/>
          <w:highlight w:val="none"/>
          <w:lang w:eastAsia="zh-CN"/>
        </w:rPr>
        <w:br w:type="page"/>
      </w:r>
    </w:p>
    <w:p w14:paraId="06706344">
      <w:pPr>
        <w:spacing w:before="120" w:beforeLines="50" w:line="48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52"/>
          <w:szCs w:val="52"/>
          <w:highlight w:val="none"/>
          <w:lang w:eastAsia="zh-CN"/>
        </w:rPr>
        <w:t>2025年大盘山松材线虫病枯死松树清理服务项目</w:t>
      </w:r>
    </w:p>
    <w:p w14:paraId="454884F8">
      <w:pPr>
        <w:spacing w:before="120" w:beforeLines="50" w:line="276" w:lineRule="auto"/>
        <w:jc w:val="center"/>
        <w:rPr>
          <w:rFonts w:hint="eastAsia" w:ascii="宋体" w:hAnsi="宋体"/>
          <w:color w:val="auto"/>
          <w:sz w:val="48"/>
          <w:szCs w:val="48"/>
          <w:highlight w:val="none"/>
        </w:rPr>
      </w:pPr>
    </w:p>
    <w:p w14:paraId="7F7F1A46">
      <w:pPr>
        <w:spacing w:before="120" w:beforeLines="50" w:line="276" w:lineRule="auto"/>
        <w:jc w:val="center"/>
        <w:rPr>
          <w:rFonts w:ascii="宋体" w:hAnsi="宋体"/>
          <w:color w:val="auto"/>
          <w:sz w:val="72"/>
          <w:szCs w:val="72"/>
          <w:highlight w:val="none"/>
        </w:rPr>
      </w:pPr>
      <w:r>
        <w:rPr>
          <w:rFonts w:hint="eastAsia" w:ascii="宋体" w:hAnsi="宋体"/>
          <w:color w:val="auto"/>
          <w:sz w:val="48"/>
          <w:szCs w:val="48"/>
          <w:highlight w:val="none"/>
        </w:rPr>
        <w:t>公开招标采购文件</w:t>
      </w:r>
    </w:p>
    <w:p w14:paraId="4C0F1BA2">
      <w:pPr>
        <w:spacing w:before="120" w:beforeLines="50" w:line="276" w:lineRule="auto"/>
        <w:jc w:val="center"/>
        <w:rPr>
          <w:rFonts w:ascii="宋体" w:hAnsi="宋体"/>
          <w:color w:val="auto"/>
          <w:sz w:val="72"/>
          <w:szCs w:val="72"/>
          <w:highlight w:val="none"/>
        </w:rPr>
      </w:pPr>
    </w:p>
    <w:p w14:paraId="35253B77">
      <w:pPr>
        <w:pStyle w:val="71"/>
        <w:rPr>
          <w:color w:val="auto"/>
          <w:highlight w:val="none"/>
        </w:rPr>
      </w:pPr>
    </w:p>
    <w:p w14:paraId="6FA68D33">
      <w:pPr>
        <w:snapToGrid w:val="0"/>
        <w:spacing w:before="120" w:beforeLines="50" w:line="276" w:lineRule="auto"/>
        <w:jc w:val="center"/>
        <w:rPr>
          <w:rFonts w:hAnsi="宋体"/>
          <w:b/>
          <w:bCs/>
          <w:color w:val="auto"/>
          <w:sz w:val="28"/>
          <w:szCs w:val="28"/>
          <w:highlight w:val="none"/>
        </w:rPr>
      </w:pPr>
      <w:r>
        <w:rPr>
          <w:rFonts w:ascii="仿宋_GB2312" w:hAnsi="新宋体" w:eastAsia="仿宋_GB2312"/>
          <w:b/>
          <w:color w:val="auto"/>
          <w:sz w:val="32"/>
          <w:highlight w:val="none"/>
        </w:rPr>
        <w:drawing>
          <wp:inline distT="0" distB="0" distL="0" distR="0">
            <wp:extent cx="3869690" cy="1330325"/>
            <wp:effectExtent l="0" t="0" r="165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11" cstate="print"/>
                    <a:srcRect/>
                    <a:stretch>
                      <a:fillRect/>
                    </a:stretch>
                  </pic:blipFill>
                  <pic:spPr>
                    <a:xfrm>
                      <a:off x="0" y="0"/>
                      <a:ext cx="3869690" cy="1330325"/>
                    </a:xfrm>
                    <a:prstGeom prst="rect">
                      <a:avLst/>
                    </a:prstGeom>
                    <a:ln>
                      <a:noFill/>
                    </a:ln>
                  </pic:spPr>
                </pic:pic>
              </a:graphicData>
            </a:graphic>
          </wp:inline>
        </w:drawing>
      </w:r>
    </w:p>
    <w:p w14:paraId="7308F0B5">
      <w:pPr>
        <w:pStyle w:val="29"/>
        <w:snapToGrid w:val="0"/>
        <w:spacing w:before="120" w:after="120" w:line="276" w:lineRule="auto"/>
        <w:rPr>
          <w:rFonts w:hAnsi="宋体"/>
          <w:b/>
          <w:bCs/>
          <w:color w:val="auto"/>
          <w:sz w:val="28"/>
          <w:szCs w:val="28"/>
          <w:highlight w:val="none"/>
        </w:rPr>
      </w:pPr>
    </w:p>
    <w:p w14:paraId="5DA7A67C">
      <w:pPr>
        <w:rPr>
          <w:color w:val="auto"/>
          <w:highlight w:val="none"/>
        </w:rPr>
      </w:pPr>
    </w:p>
    <w:p w14:paraId="27C601B7">
      <w:pPr>
        <w:rPr>
          <w:rFonts w:hAnsi="宋体"/>
          <w:b/>
          <w:bCs/>
          <w:color w:val="auto"/>
          <w:sz w:val="28"/>
          <w:szCs w:val="28"/>
          <w:highlight w:val="none"/>
        </w:rPr>
      </w:pPr>
    </w:p>
    <w:p w14:paraId="484012AB">
      <w:pPr>
        <w:pStyle w:val="22"/>
        <w:rPr>
          <w:color w:val="auto"/>
          <w:highlight w:val="none"/>
        </w:rPr>
      </w:pPr>
    </w:p>
    <w:p w14:paraId="65D31BDF">
      <w:pPr>
        <w:pStyle w:val="29"/>
        <w:snapToGrid w:val="0"/>
        <w:spacing w:before="120" w:after="120" w:line="276" w:lineRule="auto"/>
        <w:rPr>
          <w:rFonts w:hint="default" w:ascii="Times New Roman" w:hAnsi="宋体" w:eastAsia="宋体"/>
          <w:b w:val="0"/>
          <w:bCs w:val="0"/>
          <w:color w:val="auto"/>
          <w:sz w:val="28"/>
          <w:szCs w:val="28"/>
          <w:highlight w:val="none"/>
          <w:lang w:val="en-US" w:eastAsia="zh-CN"/>
        </w:rPr>
      </w:pPr>
      <w:r>
        <w:rPr>
          <w:rFonts w:hAnsi="宋体"/>
          <w:b w:val="0"/>
          <w:bCs w:val="0"/>
          <w:color w:val="auto"/>
          <w:sz w:val="28"/>
          <w:szCs w:val="28"/>
          <w:highlight w:val="none"/>
        </w:rPr>
        <w:t>项目编号</w:t>
      </w:r>
      <w:r>
        <w:rPr>
          <w:rFonts w:hint="eastAsia" w:ascii="Times New Roman" w:hAnsi="宋体"/>
          <w:b w:val="0"/>
          <w:bCs w:val="0"/>
          <w:color w:val="auto"/>
          <w:sz w:val="28"/>
          <w:szCs w:val="28"/>
          <w:highlight w:val="none"/>
        </w:rPr>
        <w:t>：</w:t>
      </w:r>
      <w:r>
        <w:rPr>
          <w:rFonts w:hint="eastAsia" w:hAnsi="宋体" w:cs="宋体"/>
          <w:b w:val="0"/>
          <w:bCs w:val="0"/>
          <w:color w:val="auto"/>
          <w:sz w:val="28"/>
          <w:szCs w:val="28"/>
          <w:highlight w:val="none"/>
          <w:lang w:eastAsia="zh-CN"/>
        </w:rPr>
        <w:t>ZJCY-PA2025008号</w:t>
      </w:r>
    </w:p>
    <w:p w14:paraId="3790C592">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1" w:name="_Toc8881"/>
      <w:r>
        <w:rPr>
          <w:rFonts w:hint="eastAsia" w:ascii="Times New Roman" w:hAnsi="宋体" w:eastAsia="宋体" w:cs="Times New Roman"/>
          <w:b w:val="0"/>
          <w:bCs w:val="0"/>
          <w:color w:val="auto"/>
          <w:sz w:val="28"/>
          <w:szCs w:val="28"/>
          <w:highlight w:val="none"/>
        </w:rPr>
        <w:t>项目名称：</w:t>
      </w:r>
      <w:bookmarkEnd w:id="1"/>
      <w:r>
        <w:rPr>
          <w:rFonts w:hint="eastAsia" w:hAnsi="宋体" w:cs="宋体"/>
          <w:bCs/>
          <w:color w:val="auto"/>
          <w:sz w:val="30"/>
          <w:szCs w:val="30"/>
          <w:highlight w:val="none"/>
          <w:lang w:eastAsia="zh-CN"/>
        </w:rPr>
        <w:t>2025年大盘山松材线虫病枯死松树清理服务项目</w:t>
      </w:r>
    </w:p>
    <w:p w14:paraId="2A4B586F">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2" w:name="_Toc4102"/>
      <w:r>
        <w:rPr>
          <w:rFonts w:hint="eastAsia" w:ascii="Times New Roman" w:hAnsi="宋体" w:eastAsia="宋体" w:cs="Times New Roman"/>
          <w:b w:val="0"/>
          <w:bCs w:val="0"/>
          <w:color w:val="auto"/>
          <w:sz w:val="28"/>
          <w:szCs w:val="28"/>
          <w:highlight w:val="none"/>
        </w:rPr>
        <w:t>采购单位：</w:t>
      </w:r>
      <w:bookmarkEnd w:id="2"/>
      <w:r>
        <w:rPr>
          <w:rFonts w:hint="eastAsia" w:hAnsi="宋体" w:cs="宋体"/>
          <w:bCs/>
          <w:color w:val="auto"/>
          <w:sz w:val="30"/>
          <w:szCs w:val="30"/>
          <w:highlight w:val="none"/>
          <w:lang w:eastAsia="zh-CN"/>
        </w:rPr>
        <w:t>浙江省大盘山国家级自然保护区管理局 </w:t>
      </w:r>
    </w:p>
    <w:p w14:paraId="64F0FABD">
      <w:pPr>
        <w:pStyle w:val="29"/>
        <w:snapToGrid w:val="0"/>
        <w:spacing w:before="120" w:after="120" w:line="276" w:lineRule="auto"/>
        <w:rPr>
          <w:rFonts w:hint="eastAsia" w:hAnsi="宋体" w:eastAsia="宋体"/>
          <w:b w:val="0"/>
          <w:bCs w:val="0"/>
          <w:color w:val="auto"/>
          <w:sz w:val="28"/>
          <w:szCs w:val="28"/>
          <w:highlight w:val="none"/>
          <w:lang w:eastAsia="zh-CN"/>
        </w:rPr>
      </w:pPr>
      <w:bookmarkStart w:id="3" w:name="_Toc14828"/>
      <w:r>
        <w:rPr>
          <w:rFonts w:hint="eastAsia" w:hAnsi="宋体"/>
          <w:b w:val="0"/>
          <w:bCs w:val="0"/>
          <w:color w:val="auto"/>
          <w:sz w:val="28"/>
          <w:szCs w:val="28"/>
          <w:highlight w:val="none"/>
          <w:lang w:eastAsia="zh-CN"/>
        </w:rPr>
        <w:t>代理</w:t>
      </w:r>
      <w:r>
        <w:rPr>
          <w:rFonts w:hAnsi="宋体"/>
          <w:b w:val="0"/>
          <w:bCs w:val="0"/>
          <w:color w:val="auto"/>
          <w:sz w:val="28"/>
          <w:szCs w:val="28"/>
          <w:highlight w:val="none"/>
        </w:rPr>
        <w:t>机构：</w:t>
      </w:r>
      <w:bookmarkEnd w:id="3"/>
      <w:r>
        <w:rPr>
          <w:rFonts w:hint="eastAsia" w:ascii="Times New Roman" w:hAnsi="宋体"/>
          <w:b w:val="0"/>
          <w:bCs w:val="0"/>
          <w:color w:val="auto"/>
          <w:sz w:val="28"/>
          <w:szCs w:val="28"/>
          <w:highlight w:val="none"/>
          <w:lang w:eastAsia="zh-CN"/>
        </w:rPr>
        <w:t>浙江诚远工程咨询有限公司</w:t>
      </w:r>
    </w:p>
    <w:p w14:paraId="040E924E">
      <w:pPr>
        <w:snapToGrid w:val="0"/>
        <w:spacing w:before="120" w:beforeLines="50" w:line="276" w:lineRule="auto"/>
        <w:ind w:left="384" w:leftChars="183" w:firstLine="4599" w:firstLineChars="1607"/>
        <w:rPr>
          <w:rFonts w:ascii="宋体" w:hAnsi="宋体"/>
          <w:b/>
          <w:bCs/>
          <w:color w:val="auto"/>
          <w:w w:val="95"/>
          <w:sz w:val="30"/>
          <w:szCs w:val="30"/>
          <w:highlight w:val="none"/>
        </w:rPr>
      </w:pPr>
    </w:p>
    <w:p w14:paraId="79552D68">
      <w:pPr>
        <w:pStyle w:val="396"/>
        <w:tabs>
          <w:tab w:val="right" w:leader="dot" w:pos="9660"/>
        </w:tabs>
        <w:spacing w:line="480" w:lineRule="auto"/>
        <w:rPr>
          <w:color w:val="auto"/>
          <w:sz w:val="32"/>
          <w:szCs w:val="32"/>
          <w:highlight w:val="none"/>
        </w:rPr>
      </w:pPr>
      <w:r>
        <w:rPr>
          <w:rFonts w:hAnsi="宋体"/>
          <w:color w:val="auto"/>
          <w:highlight w:val="none"/>
        </w:rPr>
        <w:br w:type="page"/>
      </w:r>
    </w:p>
    <w:p w14:paraId="62136A04">
      <w:pPr>
        <w:jc w:val="center"/>
        <w:rPr>
          <w:color w:val="auto"/>
          <w:sz w:val="44"/>
          <w:szCs w:val="44"/>
          <w:highlight w:val="none"/>
        </w:rPr>
      </w:pPr>
      <w:r>
        <w:rPr>
          <w:rFonts w:ascii="宋体" w:hAnsi="宋体"/>
          <w:color w:val="auto"/>
          <w:sz w:val="44"/>
          <w:szCs w:val="44"/>
          <w:highlight w:val="none"/>
        </w:rPr>
        <w:t>目录</w:t>
      </w:r>
    </w:p>
    <w:p w14:paraId="0C6FDC18">
      <w:pPr>
        <w:pStyle w:val="37"/>
        <w:tabs>
          <w:tab w:val="right" w:leader="dot" w:pos="9360"/>
        </w:tabs>
        <w:spacing w:line="360" w:lineRule="auto"/>
        <w:rPr>
          <w:rFonts w:hint="eastAsia" w:ascii="宋体" w:hAnsi="宋体" w:cs="宋体"/>
          <w:color w:val="auto"/>
          <w:sz w:val="28"/>
          <w:szCs w:val="28"/>
          <w:highlight w:val="none"/>
        </w:rPr>
      </w:pPr>
    </w:p>
    <w:p w14:paraId="3CF56039">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_Toc18691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_Toc18691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0B4036">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06042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90E7978">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A44A35">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B7D1A4C">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_Toc16359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665950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_Toc26624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52EEB3">
      <w:pPr>
        <w:widowControl/>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6287BD23">
      <w:pPr>
        <w:rPr>
          <w:color w:val="auto"/>
          <w:highlight w:val="none"/>
        </w:rPr>
      </w:pPr>
    </w:p>
    <w:p w14:paraId="39204C81">
      <w:pPr>
        <w:rPr>
          <w:color w:val="auto"/>
          <w:highlight w:val="none"/>
        </w:rPr>
      </w:pPr>
    </w:p>
    <w:p w14:paraId="43B4CB19">
      <w:pPr>
        <w:rPr>
          <w:color w:val="auto"/>
          <w:highlight w:val="none"/>
        </w:rPr>
      </w:pPr>
    </w:p>
    <w:p w14:paraId="3A922175">
      <w:pPr>
        <w:pStyle w:val="29"/>
        <w:snapToGrid w:val="0"/>
        <w:spacing w:before="120" w:after="120"/>
        <w:jc w:val="center"/>
        <w:outlineLvl w:val="0"/>
        <w:rPr>
          <w:rFonts w:ascii="黑体" w:hAnsi="黑体" w:eastAsia="黑体"/>
          <w:color w:val="auto"/>
          <w:sz w:val="30"/>
          <w:szCs w:val="30"/>
          <w:highlight w:val="none"/>
        </w:rPr>
      </w:pPr>
      <w:r>
        <w:rPr>
          <w:color w:val="auto"/>
          <w:highlight w:val="none"/>
        </w:rPr>
        <w:br w:type="page"/>
      </w:r>
      <w:bookmarkStart w:id="4" w:name="_Toc5922"/>
      <w:bookmarkStart w:id="5" w:name="_Toc2068"/>
      <w:bookmarkStart w:id="6" w:name="_Toc18691"/>
      <w:bookmarkStart w:id="7" w:name="_Toc1688"/>
      <w:bookmarkStart w:id="8" w:name="_Hlk74317073"/>
      <w:r>
        <w:rPr>
          <w:rStyle w:val="74"/>
          <w:rFonts w:hint="eastAsia"/>
          <w:color w:val="auto"/>
          <w:highlight w:val="none"/>
        </w:rPr>
        <w:t>第一</w:t>
      </w:r>
      <w:r>
        <w:rPr>
          <w:rStyle w:val="74"/>
          <w:rFonts w:hint="eastAsia" w:ascii="Times New Roman" w:hAnsi="Times New Roman" w:cs="Times New Roman"/>
          <w:color w:val="auto"/>
          <w:highlight w:val="none"/>
        </w:rPr>
        <w:t xml:space="preserve">章  </w:t>
      </w:r>
      <w:r>
        <w:rPr>
          <w:rStyle w:val="74"/>
          <w:rFonts w:hint="eastAsia"/>
          <w:color w:val="auto"/>
          <w:highlight w:val="none"/>
        </w:rPr>
        <w:t>招标公告</w:t>
      </w:r>
      <w:bookmarkEnd w:id="4"/>
      <w:bookmarkEnd w:id="5"/>
      <w:bookmarkEnd w:id="6"/>
      <w:bookmarkEnd w:id="7"/>
    </w:p>
    <w:p w14:paraId="1CA73569">
      <w:pPr>
        <w:spacing w:line="360" w:lineRule="auto"/>
        <w:ind w:firstLine="560" w:firstLineChars="200"/>
        <w:rPr>
          <w:rFonts w:hint="eastAsia"/>
          <w:color w:val="auto"/>
          <w:sz w:val="28"/>
          <w:szCs w:val="28"/>
          <w:highlight w:val="none"/>
        </w:rPr>
      </w:pPr>
    </w:p>
    <w:p w14:paraId="4E634FB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本项目经磐安县财政局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"https://pay.zcygov.cn/purchaseplan_front/" \l "/plan/list/detail?id=1000000000003445350&amp;encrypt=f6625fd24cdeb78dd47a2b1d97e1a416" \t "https://www.zcygov.cn/bidding-entrust/" \l "/purchasePlans/_blank"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采购计划确认书批准进行公开招标，本项目的潜在投标人应在浙江政府采购网获取招标文件，并于</w:t>
      </w:r>
      <w:r>
        <w:rPr>
          <w:rFonts w:hint="eastAsia" w:ascii="宋体" w:hAnsi="宋体" w:cs="宋体"/>
          <w:b/>
          <w:bCs/>
          <w:color w:val="FF0000"/>
          <w:sz w:val="24"/>
          <w:szCs w:val="24"/>
          <w:highlight w:val="none"/>
          <w:u w:val="single"/>
          <w:lang w:eastAsia="zh-CN"/>
        </w:rPr>
        <w:t>2025年3月</w:t>
      </w:r>
      <w:r>
        <w:rPr>
          <w:rFonts w:hint="eastAsia" w:ascii="宋体" w:hAnsi="宋体" w:cs="宋体"/>
          <w:b/>
          <w:bCs/>
          <w:color w:val="FF0000"/>
          <w:sz w:val="24"/>
          <w:szCs w:val="24"/>
          <w:highlight w:val="none"/>
          <w:u w:val="single"/>
          <w:lang w:val="en-US" w:eastAsia="zh-CN"/>
        </w:rPr>
        <w:t>11</w:t>
      </w:r>
      <w:r>
        <w:rPr>
          <w:rFonts w:hint="eastAsia" w:ascii="宋体" w:hAnsi="宋体" w:cs="宋体"/>
          <w:b/>
          <w:bCs/>
          <w:color w:val="FF0000"/>
          <w:sz w:val="24"/>
          <w:szCs w:val="24"/>
          <w:highlight w:val="none"/>
          <w:u w:val="single"/>
          <w:lang w:eastAsia="zh-CN"/>
        </w:rPr>
        <w:t>日</w:t>
      </w:r>
      <w:r>
        <w:rPr>
          <w:rFonts w:hint="eastAsia" w:ascii="宋体" w:hAnsi="宋体" w:cs="宋体"/>
          <w:b/>
          <w:bCs/>
          <w:color w:val="FF0000"/>
          <w:sz w:val="24"/>
          <w:szCs w:val="24"/>
          <w:highlight w:val="none"/>
          <w:u w:val="single"/>
          <w:lang w:val="en-US" w:eastAsia="zh-CN"/>
        </w:rPr>
        <w:t>9</w:t>
      </w:r>
      <w:r>
        <w:rPr>
          <w:rFonts w:hint="eastAsia" w:ascii="宋体" w:hAnsi="宋体" w:cs="宋体"/>
          <w:b/>
          <w:bCs/>
          <w:color w:val="FF0000"/>
          <w:sz w:val="24"/>
          <w:szCs w:val="24"/>
          <w:highlight w:val="none"/>
          <w:u w:val="single"/>
          <w:lang w:eastAsia="zh-CN"/>
        </w:rPr>
        <w:t>:00</w:t>
      </w:r>
      <w:r>
        <w:rPr>
          <w:rFonts w:hint="eastAsia" w:ascii="宋体" w:hAnsi="宋体" w:eastAsia="宋体" w:cs="宋体"/>
          <w:b/>
          <w:bCs/>
          <w:color w:val="FF0000"/>
          <w:sz w:val="24"/>
          <w:szCs w:val="24"/>
          <w:highlight w:val="none"/>
          <w:u w:val="single"/>
        </w:rPr>
        <w:t>（北京时间）前</w:t>
      </w:r>
      <w:r>
        <w:rPr>
          <w:rFonts w:hint="eastAsia" w:ascii="宋体" w:hAnsi="宋体" w:eastAsia="宋体" w:cs="宋体"/>
          <w:color w:val="auto"/>
          <w:sz w:val="24"/>
          <w:szCs w:val="24"/>
          <w:highlight w:val="none"/>
        </w:rPr>
        <w:t>递交投标文件。</w:t>
      </w:r>
    </w:p>
    <w:p w14:paraId="4CC8C5BF">
      <w:pPr>
        <w:pStyle w:val="3"/>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一、项目基本情况</w:t>
      </w:r>
    </w:p>
    <w:p w14:paraId="23BFB638">
      <w:pPr>
        <w:pStyle w:val="107"/>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2025年大盘山松材线虫病枯死松树清理服务项目</w:t>
      </w:r>
    </w:p>
    <w:p w14:paraId="01BA713A">
      <w:p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2.项目编号：</w:t>
      </w:r>
      <w:r>
        <w:rPr>
          <w:rFonts w:hint="eastAsia" w:ascii="宋体" w:hAnsi="宋体" w:cs="宋体"/>
          <w:color w:val="auto"/>
          <w:kern w:val="2"/>
          <w:sz w:val="24"/>
          <w:szCs w:val="24"/>
          <w:highlight w:val="none"/>
          <w:lang w:val="en-US" w:eastAsia="zh-CN" w:bidi="ar-SA"/>
        </w:rPr>
        <w:t>ZJCY-PA2025008号</w:t>
      </w:r>
    </w:p>
    <w:p w14:paraId="5D4FE5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3.采购组织类型：</w:t>
      </w:r>
      <w:r>
        <w:rPr>
          <w:rFonts w:hint="eastAsia" w:ascii="宋体" w:hAnsi="宋体" w:cs="宋体"/>
          <w:color w:val="auto"/>
          <w:sz w:val="24"/>
          <w:highlight w:val="none"/>
          <w:lang w:eastAsia="zh-CN"/>
        </w:rPr>
        <w:t>分散</w:t>
      </w:r>
      <w:r>
        <w:rPr>
          <w:rFonts w:hint="eastAsia" w:ascii="宋体" w:hAnsi="宋体" w:cs="宋体"/>
          <w:color w:val="auto"/>
          <w:sz w:val="24"/>
          <w:highlight w:val="none"/>
        </w:rPr>
        <w:t>采购</w:t>
      </w:r>
    </w:p>
    <w:p w14:paraId="256456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4.采购方式：公开招标 </w:t>
      </w:r>
    </w:p>
    <w:p w14:paraId="209B0577">
      <w:pPr>
        <w:spacing w:line="360" w:lineRule="auto"/>
        <w:ind w:firstLine="480" w:firstLineChars="200"/>
        <w:rPr>
          <w:rFonts w:hint="eastAsia" w:ascii="宋体" w:hAnsi="宋体" w:cs="宋体"/>
          <w:color w:val="FF0000"/>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期限：</w:t>
      </w:r>
      <w:r>
        <w:rPr>
          <w:color w:val="000000" w:themeColor="text1"/>
          <w:sz w:val="24"/>
          <w14:textFill>
            <w14:solidFill>
              <w14:schemeClr w14:val="tx1"/>
            </w14:solidFill>
          </w14:textFill>
        </w:rPr>
        <w:t>在2025年</w:t>
      </w:r>
      <w:r>
        <w:rPr>
          <w:rFonts w:hint="eastAsia"/>
          <w:color w:val="000000" w:themeColor="text1"/>
          <w:sz w:val="24"/>
          <w14:textFill>
            <w14:solidFill>
              <w14:schemeClr w14:val="tx1"/>
            </w14:solidFill>
          </w14:textFill>
        </w:rPr>
        <w:t>12</w:t>
      </w:r>
      <w:r>
        <w:rPr>
          <w:color w:val="000000" w:themeColor="text1"/>
          <w:sz w:val="24"/>
          <w14:textFill>
            <w14:solidFill>
              <w14:schemeClr w14:val="tx1"/>
            </w14:solidFill>
          </w14:textFill>
        </w:rPr>
        <w:t>月30日前全面完成病枯死木清理除治任务</w:t>
      </w:r>
      <w:r>
        <w:rPr>
          <w:rFonts w:hint="eastAsia"/>
          <w:color w:val="000000" w:themeColor="text1"/>
          <w:sz w:val="24"/>
          <w14:textFill>
            <w14:solidFill>
              <w14:schemeClr w14:val="tx1"/>
            </w14:solidFill>
          </w14:textFill>
        </w:rPr>
        <w:t>（其中</w:t>
      </w:r>
      <w:r>
        <w:rPr>
          <w:rFonts w:hint="eastAsia" w:ascii="宋体" w:hAnsi="宋体" w:cs="宋体"/>
          <w:color w:val="000000" w:themeColor="text1"/>
          <w:sz w:val="24"/>
          <w14:textFill>
            <w14:solidFill>
              <w14:schemeClr w14:val="tx1"/>
            </w14:solidFill>
          </w14:textFill>
        </w:rPr>
        <w:t>公路主干线、</w:t>
      </w:r>
      <w:r>
        <w:rPr>
          <w:rFonts w:hint="eastAsia" w:ascii="宋体" w:hAnsi="宋体" w:cs="宋体"/>
          <w:color w:val="000000" w:themeColor="text1"/>
          <w:sz w:val="24"/>
          <w:lang w:val="en-US" w:eastAsia="zh-CN"/>
          <w14:textFill>
            <w14:solidFill>
              <w14:schemeClr w14:val="tx1"/>
            </w14:solidFill>
          </w14:textFill>
        </w:rPr>
        <w:t>村庄</w:t>
      </w:r>
      <w:r>
        <w:rPr>
          <w:rFonts w:hint="eastAsia" w:ascii="宋体" w:hAnsi="宋体" w:cs="宋体"/>
          <w:color w:val="000000" w:themeColor="text1"/>
          <w:sz w:val="24"/>
          <w14:textFill>
            <w14:solidFill>
              <w14:schemeClr w14:val="tx1"/>
            </w14:solidFill>
          </w14:textFill>
        </w:rPr>
        <w:t>周边、大规模成片地块必须在2025年5月30日前完成</w:t>
      </w:r>
      <w:r>
        <w:rPr>
          <w:rFonts w:hint="eastAsia" w:ascii="宋体" w:hAnsi="宋体" w:cs="宋体"/>
          <w:color w:val="000000" w:themeColor="text1"/>
          <w:sz w:val="24"/>
          <w:lang w:val="en-US" w:eastAsia="zh-CN"/>
          <w14:textFill>
            <w14:solidFill>
              <w14:schemeClr w14:val="tx1"/>
            </w14:solidFill>
          </w14:textFill>
        </w:rPr>
        <w:t>除治</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0D061F3A">
      <w:pPr>
        <w:spacing w:line="360" w:lineRule="auto"/>
        <w:ind w:firstLine="420" w:firstLineChars="200"/>
        <w:rPr>
          <w:rFonts w:hint="default"/>
          <w:b w:val="0"/>
          <w:bCs w:val="0"/>
          <w:sz w:val="21"/>
          <w:szCs w:val="21"/>
          <w:lang w:val="en-US"/>
        </w:rPr>
      </w:pPr>
      <w:r>
        <w:rPr>
          <w:rFonts w:hint="eastAsia" w:ascii="宋体" w:hAnsi="宋体"/>
          <w:b w:val="0"/>
          <w:bCs w:val="0"/>
          <w:sz w:val="21"/>
          <w:szCs w:val="21"/>
          <w:lang w:val="en-US" w:eastAsia="zh-CN"/>
        </w:rPr>
        <w:t>6.</w:t>
      </w:r>
      <w:r>
        <w:rPr>
          <w:rFonts w:hint="eastAsia" w:ascii="宋体" w:hAnsi="宋体"/>
          <w:b w:val="0"/>
          <w:bCs w:val="0"/>
          <w:sz w:val="21"/>
          <w:szCs w:val="21"/>
          <w:lang w:eastAsia="zh-CN"/>
        </w:rPr>
        <w:t>预算金额</w:t>
      </w:r>
      <w:r>
        <w:rPr>
          <w:rFonts w:hint="eastAsia" w:ascii="宋体" w:hAnsi="宋体"/>
          <w:b w:val="0"/>
          <w:bCs w:val="0"/>
          <w:sz w:val="21"/>
          <w:szCs w:val="21"/>
          <w:lang w:val="en-US" w:eastAsia="zh-CN"/>
        </w:rPr>
        <w:t>(最高限价):总价</w:t>
      </w:r>
      <w:r>
        <w:rPr>
          <w:rFonts w:hint="eastAsia" w:ascii="宋体" w:hAnsi="宋体"/>
          <w:b/>
          <w:bCs/>
          <w:szCs w:val="21"/>
          <w:lang w:val="en-US" w:eastAsia="zh-CN"/>
        </w:rPr>
        <w:t>140万元。</w:t>
      </w:r>
    </w:p>
    <w:p w14:paraId="5E9557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.采购需求：</w:t>
      </w:r>
    </w:p>
    <w:tbl>
      <w:tblPr>
        <w:tblStyle w:val="5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005"/>
        <w:gridCol w:w="865"/>
        <w:gridCol w:w="2637"/>
        <w:gridCol w:w="1449"/>
      </w:tblGrid>
      <w:tr w14:paraId="59A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82" w:type="dxa"/>
            <w:vAlign w:val="center"/>
          </w:tcPr>
          <w:p w14:paraId="249A31DD">
            <w:pPr>
              <w:spacing w:line="360" w:lineRule="exact"/>
              <w:jc w:val="center"/>
              <w:rPr>
                <w:rFonts w:hint="eastAsia" w:ascii="宋体" w:hAnsi="宋体" w:eastAsia="宋体"/>
                <w:b/>
                <w:szCs w:val="21"/>
                <w:lang w:eastAsia="zh-CN"/>
              </w:rPr>
            </w:pPr>
            <w:r>
              <w:rPr>
                <w:rFonts w:hint="eastAsia" w:ascii="宋体" w:hAnsi="宋体"/>
                <w:b/>
                <w:szCs w:val="21"/>
                <w:lang w:eastAsia="zh-CN"/>
              </w:rPr>
              <w:t>标项</w:t>
            </w:r>
          </w:p>
        </w:tc>
        <w:tc>
          <w:tcPr>
            <w:tcW w:w="4005" w:type="dxa"/>
            <w:vAlign w:val="center"/>
          </w:tcPr>
          <w:p w14:paraId="64B8FD35">
            <w:pPr>
              <w:spacing w:line="360" w:lineRule="exact"/>
              <w:jc w:val="center"/>
              <w:rPr>
                <w:rFonts w:hint="eastAsia" w:ascii="宋体" w:hAnsi="宋体" w:eastAsia="宋体"/>
                <w:b/>
                <w:szCs w:val="21"/>
                <w:lang w:eastAsia="zh-CN"/>
              </w:rPr>
            </w:pPr>
            <w:r>
              <w:rPr>
                <w:rFonts w:hint="eastAsia" w:ascii="宋体" w:hAnsi="宋体"/>
                <w:b/>
                <w:szCs w:val="21"/>
              </w:rPr>
              <w:t>项目</w:t>
            </w:r>
            <w:r>
              <w:rPr>
                <w:rFonts w:hint="eastAsia" w:ascii="宋体" w:hAnsi="宋体"/>
                <w:b/>
                <w:szCs w:val="21"/>
                <w:lang w:eastAsia="zh-CN"/>
              </w:rPr>
              <w:t>名称</w:t>
            </w:r>
          </w:p>
        </w:tc>
        <w:tc>
          <w:tcPr>
            <w:tcW w:w="865" w:type="dxa"/>
            <w:vAlign w:val="center"/>
          </w:tcPr>
          <w:p w14:paraId="1EF50B19">
            <w:pPr>
              <w:spacing w:line="360" w:lineRule="exact"/>
              <w:jc w:val="center"/>
              <w:rPr>
                <w:rFonts w:ascii="宋体" w:hAnsi="宋体"/>
                <w:b/>
                <w:szCs w:val="21"/>
              </w:rPr>
            </w:pPr>
            <w:r>
              <w:rPr>
                <w:rFonts w:hint="eastAsia" w:ascii="宋体" w:hAnsi="宋体"/>
                <w:b/>
                <w:szCs w:val="21"/>
              </w:rPr>
              <w:t>数量</w:t>
            </w:r>
          </w:p>
        </w:tc>
        <w:tc>
          <w:tcPr>
            <w:tcW w:w="2637" w:type="dxa"/>
            <w:vAlign w:val="center"/>
          </w:tcPr>
          <w:p w14:paraId="79221C94">
            <w:pPr>
              <w:spacing w:line="360" w:lineRule="exact"/>
              <w:jc w:val="center"/>
              <w:rPr>
                <w:rFonts w:hint="eastAsia" w:ascii="宋体" w:hAnsi="宋体"/>
                <w:b/>
                <w:szCs w:val="21"/>
              </w:rPr>
            </w:pPr>
            <w:r>
              <w:rPr>
                <w:rFonts w:hint="eastAsia" w:ascii="宋体" w:hAnsi="宋体"/>
                <w:b/>
                <w:szCs w:val="21"/>
              </w:rPr>
              <w:t>最高</w:t>
            </w:r>
            <w:r>
              <w:rPr>
                <w:rFonts w:hint="eastAsia" w:ascii="宋体" w:hAnsi="宋体"/>
                <w:b/>
                <w:szCs w:val="21"/>
                <w:lang w:val="en-US" w:eastAsia="zh-CN"/>
              </w:rPr>
              <w:t>(单价)</w:t>
            </w:r>
            <w:r>
              <w:rPr>
                <w:rFonts w:hint="eastAsia" w:ascii="宋体" w:hAnsi="宋体"/>
                <w:b/>
                <w:szCs w:val="21"/>
              </w:rPr>
              <w:t>限价</w:t>
            </w:r>
          </w:p>
        </w:tc>
        <w:tc>
          <w:tcPr>
            <w:tcW w:w="1449" w:type="dxa"/>
            <w:vAlign w:val="center"/>
          </w:tcPr>
          <w:p w14:paraId="2F53E70C">
            <w:pPr>
              <w:spacing w:line="360" w:lineRule="exact"/>
              <w:jc w:val="center"/>
              <w:rPr>
                <w:rFonts w:ascii="宋体" w:hAnsi="宋体"/>
                <w:b/>
                <w:szCs w:val="21"/>
              </w:rPr>
            </w:pPr>
            <w:r>
              <w:rPr>
                <w:rFonts w:hint="eastAsia" w:ascii="宋体" w:hAnsi="宋体"/>
                <w:b/>
                <w:szCs w:val="21"/>
              </w:rPr>
              <w:t>备注</w:t>
            </w:r>
          </w:p>
        </w:tc>
      </w:tr>
      <w:tr w14:paraId="2C49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82" w:type="dxa"/>
            <w:shd w:val="clear" w:color="auto" w:fill="auto"/>
            <w:vAlign w:val="center"/>
          </w:tcPr>
          <w:p w14:paraId="4D72CAC1">
            <w:pPr>
              <w:spacing w:line="360" w:lineRule="exact"/>
              <w:jc w:val="center"/>
              <w:rPr>
                <w:rFonts w:hint="default" w:ascii="宋体" w:hAnsi="宋体" w:eastAsia="宋体"/>
                <w:b/>
                <w:bCs/>
                <w:szCs w:val="21"/>
                <w:lang w:eastAsia="zh-CN"/>
              </w:rPr>
            </w:pPr>
            <w:r>
              <w:rPr>
                <w:rFonts w:hint="eastAsia" w:ascii="宋体" w:hAnsi="宋体" w:cs="宋体"/>
                <w:sz w:val="24"/>
                <w:szCs w:val="24"/>
              </w:rPr>
              <w:t>一</w:t>
            </w:r>
          </w:p>
        </w:tc>
        <w:tc>
          <w:tcPr>
            <w:tcW w:w="4005" w:type="dxa"/>
            <w:shd w:val="clear" w:color="auto" w:fill="auto"/>
            <w:vAlign w:val="center"/>
          </w:tcPr>
          <w:p w14:paraId="34D9D8BF">
            <w:pPr>
              <w:spacing w:line="360" w:lineRule="exact"/>
              <w:jc w:val="center"/>
              <w:rPr>
                <w:rFonts w:hint="eastAsia" w:ascii="宋体" w:hAnsi="宋体"/>
                <w:b/>
                <w:bCs/>
                <w:szCs w:val="21"/>
              </w:rPr>
            </w:pPr>
            <w:r>
              <w:rPr>
                <w:rFonts w:hint="eastAsia" w:ascii="宋体" w:hAnsi="宋体" w:cs="宋体"/>
                <w:sz w:val="24"/>
                <w:szCs w:val="24"/>
                <w:lang w:eastAsia="zh-CN"/>
              </w:rPr>
              <w:t>2025年大盘山松材线虫病枯死松树清理服务项目</w:t>
            </w:r>
          </w:p>
        </w:tc>
        <w:tc>
          <w:tcPr>
            <w:tcW w:w="865" w:type="dxa"/>
            <w:shd w:val="clear" w:color="auto" w:fill="auto"/>
            <w:vAlign w:val="center"/>
          </w:tcPr>
          <w:p w14:paraId="37A1495E">
            <w:pPr>
              <w:spacing w:line="360" w:lineRule="exact"/>
              <w:jc w:val="center"/>
              <w:rPr>
                <w:rFonts w:ascii="宋体" w:hAnsi="宋体"/>
                <w:b/>
                <w:bCs/>
                <w:szCs w:val="21"/>
              </w:rPr>
            </w:pPr>
            <w:r>
              <w:rPr>
                <w:rFonts w:hint="eastAsia"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lang w:eastAsia="zh-CN"/>
                <w14:textFill>
                  <w14:solidFill>
                    <w14:schemeClr w14:val="tx1"/>
                  </w14:solidFill>
                </w14:textFill>
              </w:rPr>
              <w:t>项</w:t>
            </w:r>
          </w:p>
        </w:tc>
        <w:tc>
          <w:tcPr>
            <w:tcW w:w="2637" w:type="dxa"/>
            <w:shd w:val="clear" w:color="auto" w:fill="auto"/>
            <w:vAlign w:val="center"/>
          </w:tcPr>
          <w:p w14:paraId="7C97BBFD">
            <w:pPr>
              <w:spacing w:line="360" w:lineRule="exact"/>
              <w:jc w:val="center"/>
              <w:rPr>
                <w:rFonts w:hint="default" w:ascii="宋体" w:hAnsi="宋体"/>
                <w:b/>
                <w:bCs/>
                <w:szCs w:val="21"/>
                <w:lang w:val="en-US" w:eastAsia="zh-CN"/>
              </w:rPr>
            </w:pPr>
            <w:r>
              <w:rPr>
                <w:rFonts w:hint="eastAsia" w:ascii="宋体" w:hAnsi="宋体"/>
                <w:b/>
                <w:bCs/>
                <w:szCs w:val="21"/>
                <w:lang w:val="en-US" w:eastAsia="zh-CN"/>
              </w:rPr>
              <w:t>疫木铁丝网就地打包处理380元/株(包含铁丝网)</w:t>
            </w:r>
          </w:p>
        </w:tc>
        <w:tc>
          <w:tcPr>
            <w:tcW w:w="1449" w:type="dxa"/>
            <w:shd w:val="clear" w:color="auto" w:fill="auto"/>
            <w:vAlign w:val="center"/>
          </w:tcPr>
          <w:p w14:paraId="6BCB85AD">
            <w:pPr>
              <w:spacing w:line="360" w:lineRule="exact"/>
              <w:jc w:val="center"/>
              <w:rPr>
                <w:rFonts w:hint="eastAsia" w:ascii="宋体" w:hAnsi="宋体"/>
                <w:b/>
                <w:bCs/>
                <w:szCs w:val="21"/>
                <w:lang w:val="en-US" w:eastAsia="zh-CN"/>
              </w:rPr>
            </w:pPr>
            <w:r>
              <w:rPr>
                <w:rFonts w:hint="eastAsia" w:ascii="宋体" w:hAnsi="宋体"/>
                <w:b/>
                <w:bCs/>
                <w:szCs w:val="21"/>
                <w:lang w:val="en-US" w:eastAsia="zh-CN"/>
              </w:rPr>
              <w:t>具体详见《招标需求》。</w:t>
            </w:r>
          </w:p>
        </w:tc>
      </w:tr>
    </w:tbl>
    <w:p w14:paraId="409977A3">
      <w:pPr>
        <w:pStyle w:val="3"/>
        <w:keepNext/>
        <w:keepLines/>
        <w:pageBreakBefore w:val="0"/>
        <w:widowControl w:val="0"/>
        <w:kinsoku/>
        <w:wordWrap/>
        <w:overflowPunct/>
        <w:topLinePunct w:val="0"/>
        <w:autoSpaceDE/>
        <w:autoSpaceDN/>
        <w:bidi w:val="0"/>
        <w:adjustRightInd/>
        <w:snapToGrid/>
        <w:spacing w:before="26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二、合格投标人的资格要求</w:t>
      </w:r>
    </w:p>
    <w:p w14:paraId="56DD1C3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满足《中华人民共和国政府采购法》第二十二条规定；未被“信用中国”网站（www.creditchina.gov.cn）、中国政府采购网（www.ccgp.gov.cn）列入失信被执行人、重大税收违法当事人名单、政府采购严重违法失信行为记录名单；</w:t>
      </w:r>
    </w:p>
    <w:p w14:paraId="557943A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2</w:t>
      </w:r>
      <w:r>
        <w:rPr>
          <w:rFonts w:hint="eastAsia" w:ascii="宋体" w:hAnsi="宋体" w:cs="Arial"/>
          <w:bCs/>
          <w:color w:val="auto"/>
          <w:sz w:val="24"/>
          <w:highlight w:val="none"/>
        </w:rPr>
        <w:t>.特定资格条件：</w:t>
      </w:r>
      <w:r>
        <w:rPr>
          <w:rFonts w:hint="eastAsia" w:ascii="宋体" w:hAnsi="宋体" w:cs="Arial"/>
          <w:bCs/>
          <w:color w:val="auto"/>
          <w:sz w:val="24"/>
          <w:highlight w:val="none"/>
          <w:lang w:val="en-US" w:eastAsia="zh-CN"/>
        </w:rPr>
        <w:t>无</w:t>
      </w:r>
      <w:r>
        <w:rPr>
          <w:rFonts w:hint="eastAsia" w:ascii="宋体" w:hAnsi="宋体" w:cs="Arial"/>
          <w:bCs/>
          <w:color w:val="auto"/>
          <w:sz w:val="24"/>
          <w:highlight w:val="none"/>
        </w:rPr>
        <w:t>；</w:t>
      </w:r>
    </w:p>
    <w:p w14:paraId="319048B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落实政府采购政策需满足的资格要求：</w:t>
      </w:r>
    </w:p>
    <w:p w14:paraId="728B01E3">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FE"/>
      </w:r>
      <w:r>
        <w:rPr>
          <w:rFonts w:hint="eastAsia" w:ascii="宋体" w:hAnsi="宋体"/>
          <w:color w:val="auto"/>
          <w:sz w:val="24"/>
          <w:highlight w:val="none"/>
        </w:rPr>
        <w:t>本项目不专门面向中小企业</w:t>
      </w:r>
      <w:r>
        <w:rPr>
          <w:rFonts w:hint="eastAsia" w:ascii="宋体" w:hAnsi="宋体"/>
          <w:color w:val="auto"/>
          <w:sz w:val="24"/>
          <w:highlight w:val="none"/>
          <w:lang w:eastAsia="zh-CN"/>
        </w:rPr>
        <w:t>。</w:t>
      </w:r>
    </w:p>
    <w:p w14:paraId="31F51329">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本项目专门面向中小企业</w:t>
      </w:r>
      <w:r>
        <w:rPr>
          <w:rFonts w:hint="eastAsia" w:ascii="宋体" w:hAnsi="宋体"/>
          <w:color w:val="auto"/>
          <w:sz w:val="24"/>
          <w:highlight w:val="none"/>
          <w:lang w:eastAsia="zh-CN"/>
        </w:rPr>
        <w:t>。</w:t>
      </w:r>
    </w:p>
    <w:p w14:paraId="5C2DE227">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货物全部由符合政策要求的中小企业制造，提供中小企业声明函；</w:t>
      </w:r>
    </w:p>
    <w:p w14:paraId="238B6DFB">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货物全部由符合政策要求的小微企业制造，提供中小企业声明函；</w:t>
      </w:r>
    </w:p>
    <w:p w14:paraId="5DF245FF">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工程全部由符合政策要求的中小企业承接，提供中小企业声明函；</w:t>
      </w:r>
    </w:p>
    <w:p w14:paraId="63FA8A02">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工程全部由符合政策要求的小微企业承接，提供中小企业声明函；</w:t>
      </w:r>
    </w:p>
    <w:p w14:paraId="7265C445">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服务全部由符合政策要求的中小企业承接，提供中小企业声明函；</w:t>
      </w:r>
    </w:p>
    <w:p w14:paraId="0D942FBA">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服务全部由符合政策要求的小微企业承接，提供中小企业声明函；</w:t>
      </w:r>
    </w:p>
    <w:p w14:paraId="2A8CC33F">
      <w:pPr>
        <w:keepNext w:val="0"/>
        <w:keepLines w:val="0"/>
        <w:pageBreakBefore w:val="0"/>
        <w:kinsoku/>
        <w:wordWrap/>
        <w:overflowPunct/>
        <w:topLinePunct w:val="0"/>
        <w:autoSpaceDE/>
        <w:autoSpaceDN/>
        <w:bidi w:val="0"/>
        <w:adjustRightInd/>
        <w:snapToGrid w:val="0"/>
        <w:spacing w:line="440" w:lineRule="exact"/>
        <w:ind w:right="0" w:rightChars="0" w:firstLine="480" w:firstLineChars="200"/>
        <w:textAlignment w:val="auto"/>
        <w:rPr>
          <w:rFonts w:hint="eastAsia" w:ascii="宋体" w:hAnsi="宋体" w:cs="Arial"/>
          <w:bCs/>
          <w:color w:val="auto"/>
          <w:sz w:val="24"/>
        </w:rPr>
      </w:pPr>
      <w:bookmarkStart w:id="9" w:name="_Toc25035"/>
      <w:bookmarkStart w:id="10" w:name="_Toc23431"/>
      <w:bookmarkStart w:id="11" w:name="_Toc19722"/>
      <w:bookmarkStart w:id="12" w:name="_Toc18695"/>
      <w:bookmarkStart w:id="13" w:name="_Toc2481"/>
      <w:bookmarkStart w:id="14" w:name="_Toc7631"/>
      <w:bookmarkStart w:id="15" w:name="_Toc23203"/>
      <w:r>
        <w:rPr>
          <w:rFonts w:hint="eastAsia" w:ascii="宋体" w:hAnsi="宋体" w:cs="Arial"/>
          <w:bCs/>
          <w:color w:val="auto"/>
          <w:sz w:val="24"/>
          <w:lang w:val="en-US" w:eastAsia="zh-CN"/>
        </w:rPr>
        <w:t>4</w:t>
      </w:r>
      <w:r>
        <w:rPr>
          <w:rFonts w:hint="eastAsia" w:ascii="宋体" w:hAnsi="宋体" w:cs="Arial"/>
          <w:bCs/>
          <w:color w:val="auto"/>
          <w:sz w:val="24"/>
        </w:rPr>
        <w:t>.本项目接受（</w:t>
      </w:r>
      <w:r>
        <w:rPr>
          <w:rFonts w:hint="eastAsia" w:ascii="宋体" w:hAnsi="宋体"/>
          <w:color w:val="auto"/>
          <w:sz w:val="24"/>
        </w:rPr>
        <w:sym w:font="Wingdings" w:char="00FE"/>
      </w:r>
      <w:r>
        <w:rPr>
          <w:rFonts w:hint="eastAsia" w:ascii="宋体" w:hAnsi="宋体" w:cs="Arial"/>
          <w:bCs/>
          <w:color w:val="auto"/>
          <w:sz w:val="24"/>
        </w:rPr>
        <w:t>部分/</w:t>
      </w:r>
      <w:r>
        <w:rPr>
          <w:rFonts w:hint="eastAsia" w:ascii="宋体" w:hAnsi="宋体"/>
          <w:color w:val="auto"/>
          <w:sz w:val="24"/>
        </w:rPr>
        <w:sym w:font="Wingdings" w:char="00A8"/>
      </w:r>
      <w:r>
        <w:rPr>
          <w:rFonts w:hint="eastAsia" w:ascii="宋体" w:hAnsi="宋体" w:cs="Arial"/>
          <w:bCs/>
          <w:color w:val="auto"/>
          <w:sz w:val="24"/>
        </w:rPr>
        <w:t>全部）联合体投标。</w:t>
      </w:r>
    </w:p>
    <w:p w14:paraId="46FC6F82">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color w:val="auto"/>
          <w:sz w:val="24"/>
        </w:rPr>
      </w:pPr>
      <w:r>
        <w:rPr>
          <w:rFonts w:hint="eastAsia" w:ascii="宋体" w:hAnsi="宋体"/>
          <w:color w:val="auto"/>
          <w:sz w:val="24"/>
        </w:rPr>
        <w:sym w:font="Wingdings" w:char="00A8"/>
      </w:r>
      <w:r>
        <w:rPr>
          <w:rFonts w:hint="eastAsia" w:ascii="宋体" w:hAnsi="宋体"/>
          <w:color w:val="auto"/>
          <w:sz w:val="24"/>
        </w:rPr>
        <w:t>大型企业与大型企业组成联合体；</w:t>
      </w:r>
    </w:p>
    <w:p w14:paraId="1C43745F">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color w:val="auto"/>
          <w:sz w:val="24"/>
        </w:rPr>
      </w:pPr>
      <w:r>
        <w:rPr>
          <w:rFonts w:hint="eastAsia" w:ascii="宋体" w:hAnsi="宋体"/>
          <w:color w:val="auto"/>
          <w:sz w:val="24"/>
        </w:rPr>
        <w:sym w:font="Wingdings" w:char="00A8"/>
      </w:r>
      <w:r>
        <w:rPr>
          <w:rFonts w:hint="eastAsia" w:ascii="宋体" w:hAnsi="宋体"/>
          <w:color w:val="auto"/>
          <w:sz w:val="24"/>
        </w:rPr>
        <w:t>大型企业与</w:t>
      </w:r>
      <w:r>
        <w:rPr>
          <w:rFonts w:hint="eastAsia" w:ascii="宋体" w:hAnsi="宋体" w:cs="Arial"/>
          <w:bCs/>
          <w:color w:val="auto"/>
          <w:sz w:val="24"/>
        </w:rPr>
        <w:t>中型</w:t>
      </w:r>
      <w:r>
        <w:rPr>
          <w:rFonts w:hint="eastAsia" w:ascii="宋体" w:hAnsi="宋体"/>
          <w:color w:val="auto"/>
          <w:sz w:val="24"/>
        </w:rPr>
        <w:t>企业组成联合体；</w:t>
      </w:r>
    </w:p>
    <w:p w14:paraId="44495A36">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rPr>
      </w:pPr>
      <w:r>
        <w:rPr>
          <w:rFonts w:hint="eastAsia" w:ascii="宋体" w:hAnsi="宋体" w:eastAsia="宋体" w:cs="Times New Roman"/>
          <w:color w:val="auto"/>
          <w:sz w:val="24"/>
        </w:rPr>
        <w:sym w:font="Wingdings" w:char="00FE"/>
      </w:r>
      <w:r>
        <w:rPr>
          <w:rFonts w:hint="eastAsia" w:ascii="宋体" w:hAnsi="宋体" w:eastAsia="宋体" w:cs="Times New Roman"/>
          <w:color w:val="auto"/>
          <w:sz w:val="24"/>
        </w:rPr>
        <w:t>大型企业与小微企业组成联合体；</w:t>
      </w:r>
    </w:p>
    <w:p w14:paraId="740001F4">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rPr>
      </w:pPr>
      <w:r>
        <w:rPr>
          <w:rFonts w:hint="eastAsia" w:ascii="宋体" w:hAnsi="宋体" w:eastAsia="宋体" w:cs="Times New Roman"/>
          <w:color w:val="auto"/>
          <w:sz w:val="24"/>
        </w:rPr>
        <w:sym w:font="Wingdings" w:char="00A8"/>
      </w:r>
      <w:r>
        <w:rPr>
          <w:rFonts w:hint="eastAsia" w:ascii="宋体" w:hAnsi="宋体" w:eastAsia="宋体" w:cs="Times New Roman"/>
          <w:color w:val="auto"/>
          <w:sz w:val="24"/>
        </w:rPr>
        <w:t>中型企业与中型企业组成联合体；</w:t>
      </w:r>
    </w:p>
    <w:p w14:paraId="2799ACC9">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rPr>
      </w:pPr>
      <w:r>
        <w:rPr>
          <w:rFonts w:hint="eastAsia" w:ascii="宋体" w:hAnsi="宋体" w:eastAsia="宋体" w:cs="Times New Roman"/>
          <w:color w:val="auto"/>
          <w:sz w:val="24"/>
        </w:rPr>
        <w:sym w:font="Wingdings" w:char="00FE"/>
      </w:r>
      <w:r>
        <w:rPr>
          <w:rFonts w:hint="eastAsia" w:ascii="宋体" w:hAnsi="宋体" w:eastAsia="宋体" w:cs="Times New Roman"/>
          <w:color w:val="auto"/>
          <w:sz w:val="24"/>
        </w:rPr>
        <w:t>中型企业与小微企业组成联合体；</w:t>
      </w:r>
    </w:p>
    <w:p w14:paraId="39F20FC2">
      <w:pPr>
        <w:keepNext w:val="0"/>
        <w:keepLines w:val="0"/>
        <w:pageBreakBefore w:val="0"/>
        <w:kinsoku/>
        <w:wordWrap/>
        <w:overflowPunct/>
        <w:topLinePunct w:val="0"/>
        <w:autoSpaceDE/>
        <w:autoSpaceDN/>
        <w:bidi w:val="0"/>
        <w:adjustRightInd/>
        <w:spacing w:line="440" w:lineRule="exact"/>
        <w:ind w:right="0" w:rightChars="0" w:firstLine="1200" w:firstLineChars="500"/>
        <w:textAlignment w:val="auto"/>
        <w:rPr>
          <w:rFonts w:hint="eastAsia" w:ascii="宋体" w:hAnsi="宋体" w:eastAsia="宋体" w:cs="Times New Roman"/>
          <w:color w:val="auto"/>
          <w:sz w:val="24"/>
        </w:rPr>
      </w:pPr>
      <w:r>
        <w:rPr>
          <w:rFonts w:hint="eastAsia" w:ascii="宋体" w:hAnsi="宋体" w:eastAsia="宋体" w:cs="Times New Roman"/>
          <w:color w:val="auto"/>
          <w:sz w:val="24"/>
        </w:rPr>
        <w:sym w:font="Wingdings" w:char="00FE"/>
      </w:r>
      <w:r>
        <w:rPr>
          <w:rFonts w:hint="eastAsia" w:ascii="宋体" w:hAnsi="宋体" w:eastAsia="宋体" w:cs="Times New Roman"/>
          <w:color w:val="auto"/>
          <w:sz w:val="24"/>
        </w:rPr>
        <w:t>小微企业与小微企业组成联合体；</w:t>
      </w:r>
    </w:p>
    <w:p w14:paraId="71AD7ED0">
      <w:pPr>
        <w:snapToGrid w:val="0"/>
        <w:spacing w:line="480" w:lineRule="exact"/>
        <w:ind w:right="218" w:rightChars="104" w:firstLine="480" w:firstLineChars="200"/>
        <w:rPr>
          <w:rFonts w:hint="eastAsia" w:ascii="宋体" w:hAnsi="宋体" w:cs="Arial"/>
          <w:bCs/>
          <w:color w:val="auto"/>
          <w:sz w:val="24"/>
        </w:rPr>
      </w:pPr>
      <w:r>
        <w:rPr>
          <w:rFonts w:hint="eastAsia" w:ascii="宋体" w:hAnsi="宋体" w:cs="Arial"/>
          <w:bCs/>
          <w:color w:val="auto"/>
          <w:sz w:val="24"/>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体各方按要求签字、盖章后上传联合体协议书原件。牵头人制作、上传、解密电子投标文件即可。</w:t>
      </w:r>
    </w:p>
    <w:p w14:paraId="6A039A78">
      <w:pPr>
        <w:snapToGrid w:val="0"/>
        <w:spacing w:line="480" w:lineRule="exact"/>
        <w:ind w:right="218" w:rightChars="104" w:firstLine="480" w:firstLineChars="200"/>
        <w:rPr>
          <w:rFonts w:hint="eastAsia" w:ascii="宋体" w:hAnsi="宋体" w:cs="Arial"/>
          <w:bCs/>
          <w:color w:val="auto"/>
          <w:sz w:val="24"/>
        </w:rPr>
      </w:pPr>
      <w:r>
        <w:rPr>
          <w:rFonts w:hint="eastAsia" w:ascii="宋体" w:hAnsi="宋体" w:cs="Arial"/>
          <w:bCs/>
          <w:color w:val="auto"/>
          <w:sz w:val="24"/>
        </w:rPr>
        <w:t>向小微企业合理分包的：提供分包意向协议和中小企业声明函（详见附件）,且分包协议小微企业合同份额应当达到本项目规定的比例，如无特别规定的，小微企业合同份额应占合同总金额的30%及以上。</w:t>
      </w:r>
    </w:p>
    <w:p w14:paraId="5532D0C4">
      <w:pPr>
        <w:snapToGrid w:val="0"/>
        <w:spacing w:line="480" w:lineRule="exact"/>
        <w:ind w:right="218" w:rightChars="104" w:firstLine="480" w:firstLineChars="200"/>
        <w:rPr>
          <w:rFonts w:hint="eastAsia" w:ascii="Arial" w:hAnsi="Arial"/>
          <w:sz w:val="28"/>
          <w:szCs w:val="32"/>
        </w:rPr>
      </w:pPr>
      <w:r>
        <w:rPr>
          <w:rFonts w:hint="eastAsia" w:ascii="宋体" w:hAnsi="宋体" w:cs="Arial"/>
          <w:bCs/>
          <w:color w:val="auto"/>
          <w:sz w:val="24"/>
          <w:lang w:val="en-US" w:eastAsia="zh-CN"/>
        </w:rPr>
        <w:t>5</w:t>
      </w:r>
      <w:r>
        <w:rPr>
          <w:rFonts w:hint="eastAsia" w:ascii="宋体" w:hAnsi="宋体" w:cs="Arial"/>
          <w:bCs/>
          <w:color w:val="auto"/>
          <w:sz w:val="24"/>
        </w:rPr>
        <w:t>.单位负责人为同一人或者存在直接</w:t>
      </w:r>
      <w:r>
        <w:rPr>
          <w:rFonts w:hint="eastAsia" w:ascii="宋体" w:hAnsi="宋体" w:cs="Arial"/>
          <w:bCs/>
          <w:sz w:val="24"/>
        </w:rPr>
        <w:t>控股、管理关系的不同供应商，不得参加同一合同项下的政府采购活动；为采购项目提供整体设计、规范编制或者项目管理、监理、检测等服务后不得再参加该采购项目的其他采购活动。</w:t>
      </w:r>
    </w:p>
    <w:p w14:paraId="287B2390">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三、招标文件的获取</w:t>
      </w:r>
      <w:bookmarkEnd w:id="9"/>
      <w:bookmarkEnd w:id="10"/>
      <w:bookmarkEnd w:id="11"/>
      <w:bookmarkEnd w:id="12"/>
      <w:bookmarkEnd w:id="13"/>
      <w:bookmarkEnd w:id="14"/>
      <w:bookmarkEnd w:id="15"/>
    </w:p>
    <w:p w14:paraId="517910D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1.招标文件获取期限：投标截止时间前</w:t>
      </w:r>
    </w:p>
    <w:p w14:paraId="1F11DE85">
      <w:pPr>
        <w:snapToGrid w:val="0"/>
        <w:spacing w:line="480" w:lineRule="exact"/>
        <w:ind w:right="218" w:rightChars="104" w:firstLine="480" w:firstLineChars="200"/>
        <w:rPr>
          <w:color w:val="auto"/>
          <w:highlight w:val="none"/>
        </w:rPr>
      </w:pPr>
      <w:r>
        <w:rPr>
          <w:rFonts w:hint="eastAsia" w:ascii="宋体" w:hAnsi="宋体" w:cs="Arial"/>
          <w:bCs/>
          <w:color w:val="auto"/>
          <w:sz w:val="24"/>
          <w:highlight w:val="none"/>
        </w:rPr>
        <w:t>2.招标文件获取方式：政府采购云平台（www.zcygov.cn）</w:t>
      </w:r>
    </w:p>
    <w:p w14:paraId="4AE616F9">
      <w:pPr>
        <w:snapToGrid w:val="0"/>
        <w:spacing w:line="480" w:lineRule="exact"/>
        <w:ind w:right="218" w:rightChars="104" w:firstLine="482" w:firstLineChars="200"/>
        <w:rPr>
          <w:rFonts w:hint="eastAsia" w:ascii="宋体" w:hAnsi="宋体" w:cs="Arial"/>
          <w:b/>
          <w:color w:val="auto"/>
          <w:sz w:val="24"/>
          <w:highlight w:val="none"/>
        </w:rPr>
      </w:pPr>
      <w:r>
        <w:rPr>
          <w:rFonts w:hint="eastAsia" w:ascii="宋体" w:hAnsi="宋体" w:cs="Arial"/>
          <w:b/>
          <w:color w:val="auto"/>
          <w:sz w:val="24"/>
          <w:highlight w:val="none"/>
        </w:rPr>
        <w:t xml:space="preserve">（1）供应商登录政采云平台在线申请获取采购文件（进入“项目采购”应用，在获取采购文件菜单中选择项目，申请获取采购文件）。 </w:t>
      </w:r>
    </w:p>
    <w:p w14:paraId="5F1B6A40">
      <w:pPr>
        <w:snapToGrid w:val="0"/>
        <w:spacing w:line="480" w:lineRule="exact"/>
        <w:ind w:right="218" w:rightChars="104" w:firstLine="482" w:firstLineChars="200"/>
        <w:rPr>
          <w:rFonts w:hint="eastAsia" w:ascii="Arial" w:hAnsi="Arial"/>
          <w:color w:val="auto"/>
          <w:kern w:val="2"/>
          <w:sz w:val="28"/>
          <w:szCs w:val="32"/>
          <w:highlight w:val="none"/>
        </w:rPr>
      </w:pPr>
      <w:r>
        <w:rPr>
          <w:rFonts w:hint="eastAsia" w:ascii="宋体" w:hAnsi="宋体" w:cs="Arial"/>
          <w:b/>
          <w:color w:val="auto"/>
          <w:sz w:val="24"/>
          <w:highlight w:val="none"/>
        </w:rPr>
        <w:t>（2）在浙江政府采购网采购公告附件中以“游客”身份获取的招标文件仅供阅览；潜在供应商未按上述第（1）条方式获取招标文件的不得对招标文件提起质疑投诉。</w:t>
      </w:r>
      <w:bookmarkStart w:id="16" w:name="_Toc19407"/>
      <w:bookmarkStart w:id="17" w:name="_Toc24345"/>
      <w:bookmarkStart w:id="18" w:name="_Toc31426"/>
      <w:bookmarkStart w:id="19" w:name="_Toc24992"/>
      <w:bookmarkStart w:id="20" w:name="_Toc15817"/>
      <w:bookmarkStart w:id="21" w:name="_Toc6715"/>
      <w:bookmarkStart w:id="22" w:name="_Toc18791"/>
    </w:p>
    <w:p w14:paraId="594DB134">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四、提交投标文件截止时间</w:t>
      </w:r>
      <w:bookmarkEnd w:id="16"/>
      <w:bookmarkEnd w:id="17"/>
      <w:bookmarkEnd w:id="18"/>
      <w:bookmarkEnd w:id="19"/>
      <w:bookmarkEnd w:id="20"/>
      <w:bookmarkEnd w:id="21"/>
      <w:bookmarkEnd w:id="22"/>
    </w:p>
    <w:p w14:paraId="2F7D384E">
      <w:pPr>
        <w:snapToGrid w:val="0"/>
        <w:spacing w:line="480" w:lineRule="exact"/>
        <w:ind w:right="218" w:rightChars="104"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1.提交投标文件截止时间：</w:t>
      </w:r>
      <w:r>
        <w:rPr>
          <w:rFonts w:hint="eastAsia" w:ascii="宋体" w:hAnsi="宋体" w:cs="Arial"/>
          <w:b/>
          <w:bCs/>
          <w:color w:val="FF0000"/>
          <w:sz w:val="24"/>
          <w:highlight w:val="none"/>
          <w:u w:val="single"/>
          <w:lang w:eastAsia="zh-CN"/>
        </w:rPr>
        <w:t>2025年3月</w:t>
      </w:r>
      <w:r>
        <w:rPr>
          <w:rFonts w:hint="eastAsia" w:ascii="宋体" w:hAnsi="宋体" w:cs="Arial"/>
          <w:b/>
          <w:bCs/>
          <w:color w:val="FF0000"/>
          <w:sz w:val="24"/>
          <w:highlight w:val="none"/>
          <w:u w:val="single"/>
          <w:lang w:val="en-US" w:eastAsia="zh-CN"/>
        </w:rPr>
        <w:t>11</w:t>
      </w:r>
      <w:r>
        <w:rPr>
          <w:rFonts w:hint="eastAsia" w:ascii="宋体" w:hAnsi="宋体" w:cs="Arial"/>
          <w:b/>
          <w:bCs/>
          <w:color w:val="FF0000"/>
          <w:sz w:val="24"/>
          <w:highlight w:val="none"/>
          <w:u w:val="single"/>
          <w:lang w:eastAsia="zh-CN"/>
        </w:rPr>
        <w:t>日</w:t>
      </w:r>
      <w:r>
        <w:rPr>
          <w:rFonts w:hint="eastAsia" w:ascii="宋体" w:hAnsi="宋体" w:cs="Arial"/>
          <w:b/>
          <w:bCs/>
          <w:color w:val="FF0000"/>
          <w:sz w:val="24"/>
          <w:highlight w:val="none"/>
          <w:u w:val="single"/>
          <w:lang w:val="en-US" w:eastAsia="zh-CN"/>
        </w:rPr>
        <w:t>9</w:t>
      </w:r>
      <w:r>
        <w:rPr>
          <w:rFonts w:hint="eastAsia" w:ascii="宋体" w:hAnsi="宋体" w:cs="Arial"/>
          <w:b/>
          <w:bCs/>
          <w:color w:val="FF0000"/>
          <w:sz w:val="24"/>
          <w:highlight w:val="none"/>
          <w:u w:val="single"/>
          <w:lang w:eastAsia="zh-CN"/>
        </w:rPr>
        <w:t>:00</w:t>
      </w:r>
      <w:r>
        <w:rPr>
          <w:rFonts w:hint="eastAsia" w:ascii="宋体" w:hAnsi="宋体" w:cs="宋体"/>
          <w:color w:val="auto"/>
          <w:sz w:val="24"/>
          <w:highlight w:val="none"/>
        </w:rPr>
        <w:t>（北京时间）前将电子加密投标文件上传到政府采购云平台，未上传电子投标文件的，视为供应商放弃投标。</w:t>
      </w:r>
    </w:p>
    <w:p w14:paraId="04B46FB4">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2.供应商如提供备份投标文件的，应于</w:t>
      </w:r>
      <w:r>
        <w:rPr>
          <w:rFonts w:hint="eastAsia" w:ascii="宋体" w:hAnsi="宋体" w:cs="Arial"/>
          <w:b/>
          <w:bCs/>
          <w:color w:val="FF0000"/>
          <w:sz w:val="24"/>
          <w:highlight w:val="none"/>
          <w:u w:val="single"/>
          <w:lang w:eastAsia="zh-CN"/>
        </w:rPr>
        <w:t>2025年3月</w:t>
      </w:r>
      <w:r>
        <w:rPr>
          <w:rFonts w:hint="eastAsia" w:ascii="宋体" w:hAnsi="宋体" w:cs="Arial"/>
          <w:b/>
          <w:bCs/>
          <w:color w:val="FF0000"/>
          <w:sz w:val="24"/>
          <w:highlight w:val="none"/>
          <w:u w:val="single"/>
          <w:lang w:val="en-US" w:eastAsia="zh-CN"/>
        </w:rPr>
        <w:t>11</w:t>
      </w:r>
      <w:r>
        <w:rPr>
          <w:rFonts w:hint="eastAsia" w:ascii="宋体" w:hAnsi="宋体" w:cs="Arial"/>
          <w:b/>
          <w:bCs/>
          <w:color w:val="FF0000"/>
          <w:sz w:val="24"/>
          <w:highlight w:val="none"/>
          <w:u w:val="single"/>
          <w:lang w:eastAsia="zh-CN"/>
        </w:rPr>
        <w:t>日</w:t>
      </w:r>
      <w:r>
        <w:rPr>
          <w:rFonts w:hint="eastAsia" w:ascii="宋体" w:hAnsi="宋体" w:cs="Arial"/>
          <w:b/>
          <w:bCs/>
          <w:color w:val="FF0000"/>
          <w:sz w:val="24"/>
          <w:highlight w:val="none"/>
          <w:u w:val="single"/>
          <w:lang w:val="en-US" w:eastAsia="zh-CN"/>
        </w:rPr>
        <w:t>9</w:t>
      </w:r>
      <w:r>
        <w:rPr>
          <w:rFonts w:hint="eastAsia" w:ascii="宋体" w:hAnsi="宋体" w:cs="Arial"/>
          <w:b/>
          <w:bCs/>
          <w:color w:val="FF0000"/>
          <w:sz w:val="24"/>
          <w:highlight w:val="none"/>
          <w:u w:val="single"/>
          <w:lang w:eastAsia="zh-CN"/>
        </w:rPr>
        <w:t>:00</w:t>
      </w:r>
      <w:r>
        <w:rPr>
          <w:rFonts w:hint="eastAsia" w:ascii="宋体" w:hAnsi="宋体" w:cs="Arial"/>
          <w:bCs/>
          <w:color w:val="auto"/>
          <w:sz w:val="24"/>
          <w:highlight w:val="none"/>
        </w:rPr>
        <w:t>（北京时间）前，将</w:t>
      </w:r>
      <w:r>
        <w:rPr>
          <w:rFonts w:hint="eastAsia" w:ascii="宋体" w:hAnsi="宋体" w:cs="Arial"/>
          <w:bCs/>
          <w:color w:val="auto"/>
          <w:sz w:val="24"/>
          <w:szCs w:val="24"/>
          <w:highlight w:val="none"/>
        </w:rPr>
        <w:t>电子备份投标文件和纸质备份投标文件分别密封，</w:t>
      </w:r>
      <w:r>
        <w:rPr>
          <w:rFonts w:hint="eastAsia" w:ascii="宋体" w:hAnsi="宋体" w:cs="宋体"/>
          <w:color w:val="auto"/>
          <w:sz w:val="24"/>
          <w:szCs w:val="24"/>
          <w:highlight w:val="none"/>
        </w:rPr>
        <w:t>送交到金华市公共资源交易中心磐安县分中心开标室二（安文街道花月路211号建设大厦22楼）</w:t>
      </w:r>
      <w:r>
        <w:rPr>
          <w:rFonts w:hint="eastAsia" w:ascii="宋体" w:hAnsi="宋体" w:cs="Arial"/>
          <w:b/>
          <w:bCs/>
          <w:color w:val="auto"/>
          <w:sz w:val="24"/>
          <w:szCs w:val="24"/>
          <w:highlight w:val="none"/>
        </w:rPr>
        <w:t>，联系人</w:t>
      </w:r>
      <w:r>
        <w:rPr>
          <w:rFonts w:hint="eastAsia" w:ascii="宋体" w:hAnsi="宋体" w:cs="Arial"/>
          <w:b/>
          <w:bCs/>
          <w:color w:val="auto"/>
          <w:sz w:val="24"/>
          <w:szCs w:val="24"/>
          <w:highlight w:val="none"/>
          <w:lang w:eastAsia="zh-CN"/>
        </w:rPr>
        <w:t>厉晓</w:t>
      </w:r>
      <w:r>
        <w:rPr>
          <w:rFonts w:hint="eastAsia" w:ascii="宋体" w:hAnsi="宋体" w:cs="Arial"/>
          <w:b/>
          <w:bCs/>
          <w:color w:val="auto"/>
          <w:sz w:val="24"/>
          <w:szCs w:val="24"/>
          <w:highlight w:val="none"/>
        </w:rPr>
        <w:t>，联系电话：</w:t>
      </w:r>
      <w:r>
        <w:rPr>
          <w:rFonts w:hint="eastAsia" w:ascii="宋体" w:hAnsi="宋体" w:cs="宋体"/>
          <w:b/>
          <w:bCs/>
          <w:color w:val="auto"/>
          <w:sz w:val="24"/>
          <w:szCs w:val="24"/>
          <w:highlight w:val="none"/>
        </w:rPr>
        <w:t>15258906930</w:t>
      </w:r>
      <w:r>
        <w:rPr>
          <w:rFonts w:hint="eastAsia" w:ascii="宋体" w:hAnsi="宋体" w:cs="宋体"/>
          <w:b/>
          <w:bCs/>
          <w:color w:val="auto"/>
          <w:sz w:val="24"/>
          <w:szCs w:val="24"/>
          <w:highlight w:val="none"/>
          <w:lang w:eastAsia="zh-CN"/>
        </w:rPr>
        <w:t>，</w:t>
      </w:r>
      <w:r>
        <w:rPr>
          <w:rFonts w:hint="eastAsia" w:ascii="宋体" w:hAnsi="宋体" w:cs="Arial"/>
          <w:bCs/>
          <w:color w:val="auto"/>
          <w:sz w:val="24"/>
          <w:szCs w:val="24"/>
          <w:highlight w:val="none"/>
        </w:rPr>
        <w:t>逾期送达或未密封将予以拒收。供</w:t>
      </w:r>
      <w:r>
        <w:rPr>
          <w:rFonts w:hint="eastAsia" w:ascii="宋体" w:hAnsi="宋体" w:cs="Arial"/>
          <w:bCs/>
          <w:color w:val="auto"/>
          <w:sz w:val="24"/>
          <w:highlight w:val="none"/>
        </w:rPr>
        <w:t>应商仅提供备份投标文件（包括以电子备份投标文件或纸质备份投标文件）投标的，投标无效。</w:t>
      </w:r>
    </w:p>
    <w:p w14:paraId="2ABF66CF">
      <w:pPr>
        <w:snapToGrid w:val="0"/>
        <w:spacing w:line="480" w:lineRule="exact"/>
        <w:ind w:right="218" w:rightChars="104" w:firstLine="480" w:firstLineChars="200"/>
        <w:rPr>
          <w:rFonts w:hint="eastAsia" w:ascii="宋体" w:hAnsi="宋体" w:cs="宋体"/>
          <w:bCs/>
          <w:color w:val="auto"/>
          <w:sz w:val="24"/>
          <w:highlight w:val="none"/>
        </w:rPr>
      </w:pPr>
      <w:r>
        <w:rPr>
          <w:rFonts w:hint="eastAsia" w:ascii="宋体" w:hAnsi="宋体" w:cs="Arial"/>
          <w:bCs/>
          <w:color w:val="auto"/>
          <w:sz w:val="24"/>
          <w:highlight w:val="none"/>
        </w:rPr>
        <w:t>3.如因系统或部分电子投标文件无法解密，而采用纸质备份投标文件线下评审程序时，供应商在投标截止时间前未提交纸质备份投标文件的，视为供应商放弃投标。</w:t>
      </w:r>
    </w:p>
    <w:p w14:paraId="1831F740">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bookmarkStart w:id="23" w:name="_Toc20159"/>
      <w:bookmarkStart w:id="24" w:name="_Toc15"/>
      <w:bookmarkStart w:id="25" w:name="_Toc14408"/>
      <w:bookmarkStart w:id="26" w:name="_Toc7601"/>
      <w:bookmarkStart w:id="27" w:name="_Toc22135"/>
      <w:bookmarkStart w:id="28" w:name="_Toc17679"/>
      <w:bookmarkStart w:id="29" w:name="_Toc8418"/>
      <w:r>
        <w:rPr>
          <w:rFonts w:hint="eastAsia" w:ascii="Arial" w:hAnsi="Arial" w:eastAsia="宋体" w:cs="Times New Roman"/>
          <w:b/>
          <w:bCs/>
          <w:color w:val="auto"/>
          <w:kern w:val="2"/>
          <w:sz w:val="28"/>
          <w:szCs w:val="32"/>
          <w:highlight w:val="none"/>
        </w:rPr>
        <w:t>五、开标时间和地点</w:t>
      </w:r>
      <w:bookmarkEnd w:id="23"/>
      <w:bookmarkEnd w:id="24"/>
      <w:bookmarkEnd w:id="25"/>
      <w:bookmarkEnd w:id="26"/>
      <w:bookmarkEnd w:id="27"/>
      <w:bookmarkEnd w:id="28"/>
      <w:bookmarkEnd w:id="29"/>
    </w:p>
    <w:p w14:paraId="76554659">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1.开标时间：</w:t>
      </w:r>
      <w:r>
        <w:rPr>
          <w:rFonts w:hint="eastAsia" w:ascii="宋体" w:hAnsi="宋体" w:cs="Arial"/>
          <w:b/>
          <w:bCs/>
          <w:color w:val="FF0000"/>
          <w:sz w:val="24"/>
          <w:highlight w:val="none"/>
          <w:u w:val="single"/>
          <w:lang w:eastAsia="zh-CN"/>
        </w:rPr>
        <w:t>2025年</w:t>
      </w:r>
      <w:r>
        <w:rPr>
          <w:rFonts w:hint="eastAsia" w:ascii="宋体" w:hAnsi="宋体" w:cs="Arial"/>
          <w:b/>
          <w:bCs/>
          <w:color w:val="FF0000"/>
          <w:sz w:val="24"/>
          <w:highlight w:val="none"/>
          <w:u w:val="single"/>
          <w:lang w:val="en-US" w:eastAsia="zh-CN"/>
        </w:rPr>
        <w:t>3月11日9：00</w:t>
      </w:r>
      <w:r>
        <w:rPr>
          <w:rFonts w:hint="eastAsia" w:ascii="宋体" w:hAnsi="宋体" w:cs="Arial"/>
          <w:bCs/>
          <w:color w:val="auto"/>
          <w:sz w:val="24"/>
          <w:highlight w:val="none"/>
        </w:rPr>
        <w:t>（北京时间）</w:t>
      </w:r>
    </w:p>
    <w:p w14:paraId="4467688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2.开标地点（网址）：政采云平台（https://www.zcygov.cn/）</w:t>
      </w:r>
    </w:p>
    <w:p w14:paraId="166E74B8">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cs="Arial"/>
          <w:bCs/>
          <w:color w:val="auto"/>
          <w:sz w:val="24"/>
          <w:highlight w:val="none"/>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0" w:name="_Toc29617"/>
      <w:bookmarkStart w:id="31" w:name="_Toc18619"/>
      <w:bookmarkStart w:id="32" w:name="_Toc31439"/>
      <w:bookmarkStart w:id="33" w:name="_Toc18909"/>
      <w:bookmarkStart w:id="34" w:name="_Toc19936"/>
      <w:bookmarkStart w:id="35" w:name="_Toc15544"/>
      <w:bookmarkStart w:id="36" w:name="_Toc1294"/>
      <w:bookmarkStart w:id="37" w:name="_Toc27683"/>
      <w:bookmarkStart w:id="38" w:name="_Toc16756"/>
      <w:bookmarkStart w:id="39" w:name="_Toc28674"/>
    </w:p>
    <w:p w14:paraId="097699AD">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lang w:eastAsia="zh-CN"/>
        </w:rPr>
        <w:t>六、</w:t>
      </w:r>
      <w:r>
        <w:rPr>
          <w:rFonts w:hint="eastAsia" w:ascii="Arial" w:hAnsi="Arial" w:eastAsia="宋体" w:cs="Times New Roman"/>
          <w:b/>
          <w:bCs/>
          <w:color w:val="auto"/>
          <w:kern w:val="2"/>
          <w:sz w:val="28"/>
          <w:szCs w:val="32"/>
          <w:highlight w:val="none"/>
        </w:rPr>
        <w:t>公告期限</w:t>
      </w:r>
      <w:bookmarkEnd w:id="30"/>
      <w:bookmarkEnd w:id="31"/>
      <w:bookmarkEnd w:id="32"/>
      <w:bookmarkEnd w:id="33"/>
      <w:bookmarkEnd w:id="34"/>
      <w:bookmarkEnd w:id="35"/>
      <w:bookmarkEnd w:id="36"/>
      <w:bookmarkEnd w:id="37"/>
      <w:bookmarkEnd w:id="38"/>
      <w:bookmarkEnd w:id="39"/>
    </w:p>
    <w:p w14:paraId="3190AEC3">
      <w:pPr>
        <w:pStyle w:val="3"/>
        <w:spacing w:before="20" w:after="20" w:line="360" w:lineRule="auto"/>
        <w:ind w:firstLine="480" w:firstLineChars="200"/>
        <w:rPr>
          <w:rFonts w:hint="eastAsia" w:ascii="Arial" w:hAnsi="Arial"/>
          <w:color w:val="auto"/>
          <w:kern w:val="2"/>
          <w:sz w:val="28"/>
          <w:szCs w:val="32"/>
          <w:highlight w:val="none"/>
        </w:rPr>
      </w:pPr>
      <w:r>
        <w:rPr>
          <w:rFonts w:hint="eastAsia" w:ascii="宋体" w:hAnsi="宋体" w:cs="Arial"/>
          <w:b w:val="0"/>
          <w:color w:val="auto"/>
          <w:kern w:val="2"/>
          <w:sz w:val="24"/>
          <w:szCs w:val="24"/>
          <w:highlight w:val="none"/>
        </w:rPr>
        <w:t>自本公告发布之日起</w:t>
      </w:r>
      <w:r>
        <w:rPr>
          <w:rFonts w:hint="eastAsia" w:ascii="宋体" w:hAnsi="宋体" w:cs="Arial"/>
          <w:b w:val="0"/>
          <w:color w:val="auto"/>
          <w:kern w:val="2"/>
          <w:sz w:val="24"/>
          <w:szCs w:val="24"/>
          <w:highlight w:val="none"/>
          <w:lang w:val="en-US" w:eastAsia="zh-CN"/>
        </w:rPr>
        <w:t>5个工作日</w:t>
      </w:r>
      <w:r>
        <w:rPr>
          <w:rFonts w:hint="eastAsia" w:ascii="宋体" w:hAnsi="宋体" w:cs="Arial"/>
          <w:b w:val="0"/>
          <w:color w:val="auto"/>
          <w:kern w:val="2"/>
          <w:sz w:val="24"/>
          <w:szCs w:val="24"/>
          <w:highlight w:val="none"/>
        </w:rPr>
        <w:t>（以公告发布次日开始计算）</w:t>
      </w:r>
      <w:bookmarkStart w:id="40" w:name="_Toc15696"/>
      <w:bookmarkStart w:id="41" w:name="_Toc29944"/>
      <w:bookmarkStart w:id="42" w:name="_Toc28590"/>
      <w:bookmarkStart w:id="43" w:name="_Toc8029"/>
      <w:bookmarkStart w:id="44" w:name="_Toc32256"/>
      <w:bookmarkStart w:id="45" w:name="_Toc7563"/>
      <w:bookmarkStart w:id="46" w:name="_Toc22007"/>
    </w:p>
    <w:p w14:paraId="65F65844">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七、其他补充事宜</w:t>
      </w:r>
      <w:bookmarkEnd w:id="40"/>
      <w:bookmarkEnd w:id="41"/>
      <w:bookmarkEnd w:id="42"/>
      <w:bookmarkEnd w:id="43"/>
      <w:bookmarkEnd w:id="44"/>
      <w:bookmarkEnd w:id="45"/>
      <w:bookmarkEnd w:id="46"/>
    </w:p>
    <w:p w14:paraId="54846B39">
      <w:pPr>
        <w:spacing w:line="480" w:lineRule="exact"/>
        <w:ind w:firstLine="480" w:firstLineChars="200"/>
        <w:rPr>
          <w:rFonts w:hint="eastAsia" w:ascii="宋体" w:hAnsi="宋体"/>
          <w:color w:val="auto"/>
          <w:sz w:val="24"/>
          <w:highlight w:val="none"/>
        </w:rPr>
      </w:pPr>
      <w:r>
        <w:rPr>
          <w:rFonts w:hint="eastAsia" w:ascii="仿宋_GB2312" w:hAnsi="仿宋_GB2312" w:eastAsia="仿宋_GB2312" w:cs="仿宋_GB2312"/>
          <w:color w:val="auto"/>
          <w:sz w:val="24"/>
          <w:highlight w:val="none"/>
        </w:rPr>
        <w:t> </w:t>
      </w: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7978356D">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D83C5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3903F17">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633216A8">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5E050C6">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八、政采贷</w:t>
      </w:r>
    </w:p>
    <w:p w14:paraId="7D8E699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3A864466">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风险提示：</w:t>
      </w:r>
    </w:p>
    <w:p w14:paraId="70228F1E">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（1）本内容仅为提供给各中标供应商对办理政府采购金融服务的宣传和了解之方便，对金融服务的具体内容和操作流程均以各金融机构的要求为准，也不作强制要求。</w:t>
      </w:r>
    </w:p>
    <w:p w14:paraId="003B65C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（2）政府采购金融服务有风险，请详细了解并综合评估后再决定。</w:t>
      </w:r>
    </w:p>
    <w:p w14:paraId="617C3D87">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（3）政府采购金融服务遵循平等自愿、风险自担的原则。采购人、代理机构、财政部门不为任何政府采购金融服务项目承担任何形式的担保、解释或其他连带责任。</w:t>
      </w:r>
    </w:p>
    <w:p w14:paraId="5EB7A476">
      <w:pPr>
        <w:pStyle w:val="3"/>
        <w:spacing w:before="20" w:after="20" w:line="360" w:lineRule="auto"/>
        <w:ind w:firstLine="562" w:firstLineChars="200"/>
        <w:rPr>
          <w:rFonts w:hint="eastAsia" w:ascii="Arial" w:hAnsi="Arial"/>
          <w:color w:val="auto"/>
          <w:kern w:val="2"/>
          <w:sz w:val="28"/>
          <w:szCs w:val="32"/>
          <w:highlight w:val="none"/>
        </w:rPr>
      </w:pPr>
      <w:bookmarkStart w:id="47" w:name="_Toc23494"/>
      <w:bookmarkStart w:id="48" w:name="_Toc14402"/>
      <w:bookmarkStart w:id="49" w:name="_Toc13168"/>
      <w:bookmarkStart w:id="50" w:name="_Toc13994"/>
      <w:r>
        <w:rPr>
          <w:rFonts w:hint="eastAsia" w:ascii="Arial" w:hAnsi="Arial" w:eastAsia="宋体" w:cs="Times New Roman"/>
          <w:b/>
          <w:bCs/>
          <w:color w:val="auto"/>
          <w:kern w:val="2"/>
          <w:sz w:val="28"/>
          <w:szCs w:val="32"/>
          <w:highlight w:val="none"/>
        </w:rPr>
        <w:t>九、</w:t>
      </w:r>
      <w:bookmarkEnd w:id="47"/>
      <w:bookmarkEnd w:id="48"/>
      <w:bookmarkEnd w:id="49"/>
      <w:bookmarkEnd w:id="50"/>
      <w:r>
        <w:rPr>
          <w:rFonts w:hint="eastAsia" w:ascii="Arial" w:hAnsi="Arial" w:eastAsia="宋体" w:cs="Times New Roman"/>
          <w:b/>
          <w:bCs/>
          <w:color w:val="auto"/>
          <w:kern w:val="2"/>
          <w:sz w:val="28"/>
          <w:szCs w:val="32"/>
          <w:highlight w:val="none"/>
        </w:rPr>
        <w:t>业务咨询</w:t>
      </w:r>
      <w:r>
        <w:rPr>
          <w:rFonts w:hint="eastAsia" w:ascii="Arial" w:hAnsi="Arial"/>
          <w:color w:val="auto"/>
          <w:kern w:val="2"/>
          <w:sz w:val="28"/>
          <w:szCs w:val="32"/>
          <w:highlight w:val="none"/>
        </w:rPr>
        <w:t>（招标需求的疑问请向采购人询问或反映）</w:t>
      </w:r>
    </w:p>
    <w:p w14:paraId="4A0EAEA7">
      <w:pPr>
        <w:snapToGrid w:val="0"/>
        <w:spacing w:line="480" w:lineRule="exact"/>
        <w:ind w:right="218" w:rightChars="104" w:firstLine="542" w:firstLineChars="225"/>
        <w:rPr>
          <w:rFonts w:hint="eastAsia" w:ascii="宋体" w:hAnsi="宋体" w:cs="Arial"/>
          <w:b/>
          <w:bCs w:val="0"/>
          <w:sz w:val="24"/>
          <w:lang w:eastAsia="zh-CN"/>
        </w:rPr>
      </w:pPr>
      <w:r>
        <w:rPr>
          <w:rFonts w:hint="eastAsia" w:ascii="宋体" w:hAnsi="宋体" w:cs="Arial"/>
          <w:b/>
          <w:sz w:val="24"/>
        </w:rPr>
        <w:t>1．采购单位</w:t>
      </w:r>
      <w:r>
        <w:rPr>
          <w:rFonts w:hint="eastAsia" w:ascii="宋体" w:hAnsi="宋体" w:cs="Arial"/>
          <w:b/>
          <w:bCs w:val="0"/>
          <w:sz w:val="24"/>
        </w:rPr>
        <w:t>：</w:t>
      </w:r>
      <w:r>
        <w:rPr>
          <w:rFonts w:hint="eastAsia" w:ascii="宋体" w:hAnsi="宋体" w:cs="Arial"/>
          <w:b/>
          <w:bCs w:val="0"/>
          <w:sz w:val="24"/>
          <w:lang w:val="en-US" w:eastAsia="zh-CN"/>
        </w:rPr>
        <w:t>浙江省</w:t>
      </w:r>
      <w:r>
        <w:rPr>
          <w:rFonts w:hint="eastAsia" w:ascii="宋体" w:hAnsi="宋体" w:cs="Arial"/>
          <w:b/>
          <w:bCs w:val="0"/>
          <w:sz w:val="24"/>
          <w:lang w:eastAsia="zh-CN"/>
        </w:rPr>
        <w:t>大盘山国家级自然保护区管理局</w:t>
      </w:r>
    </w:p>
    <w:p w14:paraId="43C0FA6A">
      <w:pPr>
        <w:snapToGrid w:val="0"/>
        <w:spacing w:line="480" w:lineRule="exact"/>
        <w:ind w:right="218" w:rightChars="104" w:firstLine="540" w:firstLineChars="225"/>
        <w:rPr>
          <w:rFonts w:hint="eastAsia" w:ascii="宋体" w:hAnsi="宋体" w:cs="Arial"/>
          <w:bCs/>
          <w:color w:val="000000" w:themeColor="text1"/>
          <w:sz w:val="24"/>
          <w:lang w:val="en-US" w:eastAsia="zh-CN"/>
          <w14:textFill>
            <w14:solidFill>
              <w14:schemeClr w14:val="tx1"/>
            </w14:solidFill>
          </w14:textFill>
        </w:rPr>
      </w:pPr>
      <w:r>
        <w:rPr>
          <w:rFonts w:hint="eastAsia" w:ascii="宋体" w:hAnsi="宋体" w:cs="宋体"/>
          <w:bCs/>
          <w:sz w:val="24"/>
        </w:rPr>
        <w:t>项目联系人：</w:t>
      </w:r>
      <w:r>
        <w:rPr>
          <w:rFonts w:hint="eastAsia" w:ascii="宋体" w:hAnsi="宋体" w:cs="Arial"/>
          <w:bCs/>
          <w:sz w:val="24"/>
          <w:lang w:val="en-US" w:eastAsia="zh-CN"/>
        </w:rPr>
        <w:t>陈宇帅</w:t>
      </w:r>
      <w:r>
        <w:rPr>
          <w:rFonts w:hint="eastAsia" w:ascii="宋体" w:hAnsi="宋体" w:cs="宋体"/>
          <w:bCs/>
          <w:sz w:val="24"/>
          <w:lang w:val="en-US" w:eastAsia="zh-CN"/>
        </w:rPr>
        <w:t xml:space="preserve">   </w:t>
      </w:r>
      <w:r>
        <w:rPr>
          <w:rFonts w:hint="eastAsia" w:ascii="宋体" w:hAnsi="宋体" w:cs="宋体"/>
          <w:bCs/>
          <w:sz w:val="24"/>
        </w:rPr>
        <w:t xml:space="preserve">          联系电话：</w:t>
      </w:r>
      <w:r>
        <w:rPr>
          <w:rFonts w:hint="eastAsia" w:ascii="宋体" w:hAnsi="宋体" w:cs="Arial"/>
          <w:bCs/>
          <w:color w:val="000000" w:themeColor="text1"/>
          <w:sz w:val="24"/>
          <w:lang w:val="en-US" w:eastAsia="zh-CN"/>
          <w14:textFill>
            <w14:solidFill>
              <w14:schemeClr w14:val="tx1"/>
            </w14:solidFill>
          </w14:textFill>
        </w:rPr>
        <w:t>15858916161</w:t>
      </w:r>
    </w:p>
    <w:p w14:paraId="7B159C89">
      <w:pPr>
        <w:snapToGrid w:val="0"/>
        <w:spacing w:line="480" w:lineRule="exact"/>
        <w:ind w:right="218" w:rightChars="104" w:firstLine="540" w:firstLineChars="225"/>
        <w:rPr>
          <w:rFonts w:hint="eastAsia" w:ascii="宋体" w:hAnsi="宋体" w:cs="Arial"/>
          <w:b/>
          <w:bCs w:val="0"/>
          <w:sz w:val="24"/>
          <w:lang w:eastAsia="zh-CN"/>
        </w:rPr>
      </w:pPr>
      <w:r>
        <w:rPr>
          <w:rFonts w:hint="eastAsia" w:ascii="宋体" w:hAnsi="宋体" w:cs="宋体"/>
          <w:bCs/>
          <w:sz w:val="24"/>
        </w:rPr>
        <w:t>质疑联系人：</w:t>
      </w:r>
      <w:r>
        <w:rPr>
          <w:rFonts w:hint="eastAsia" w:ascii="宋体" w:hAnsi="宋体" w:cs="宋体"/>
          <w:bCs/>
          <w:sz w:val="24"/>
          <w:lang w:val="en-US" w:eastAsia="zh-CN"/>
        </w:rPr>
        <w:t>陈海清</w:t>
      </w:r>
      <w:r>
        <w:rPr>
          <w:rFonts w:hint="eastAsia" w:ascii="宋体" w:hAnsi="宋体" w:cs="宋体"/>
          <w:bCs/>
          <w:sz w:val="24"/>
        </w:rPr>
        <w:t xml:space="preserve">             联系电话：0579-84661391</w:t>
      </w:r>
    </w:p>
    <w:p w14:paraId="5B6E490A">
      <w:pPr>
        <w:snapToGrid w:val="0"/>
        <w:spacing w:line="480" w:lineRule="exact"/>
        <w:ind w:right="218" w:rightChars="104" w:firstLine="540" w:firstLineChars="225"/>
        <w:rPr>
          <w:rFonts w:hint="eastAsia" w:ascii="宋体" w:hAnsi="宋体" w:cs="Arial"/>
          <w:bCs/>
          <w:sz w:val="24"/>
          <w:lang w:eastAsia="zh-CN"/>
        </w:rPr>
      </w:pPr>
      <w:r>
        <w:rPr>
          <w:rFonts w:hint="eastAsia" w:ascii="宋体" w:hAnsi="宋体" w:cs="Arial"/>
          <w:bCs/>
          <w:sz w:val="24"/>
        </w:rPr>
        <w:t>地  址：</w:t>
      </w:r>
      <w:r>
        <w:rPr>
          <w:rFonts w:hint="eastAsia" w:ascii="宋体" w:hAnsi="宋体" w:cs="Arial"/>
          <w:bCs/>
          <w:sz w:val="24"/>
          <w:lang w:val="en-US" w:eastAsia="zh-CN"/>
        </w:rPr>
        <w:t>浙江省</w:t>
      </w:r>
      <w:r>
        <w:rPr>
          <w:rFonts w:hint="eastAsia" w:ascii="宋体" w:hAnsi="宋体" w:cs="Arial"/>
          <w:bCs/>
          <w:sz w:val="24"/>
          <w:lang w:eastAsia="zh-CN"/>
        </w:rPr>
        <w:t>大盘山国家级自然保护区管理局</w:t>
      </w:r>
    </w:p>
    <w:p w14:paraId="3B052552">
      <w:pPr>
        <w:snapToGrid w:val="0"/>
        <w:spacing w:line="480" w:lineRule="exact"/>
        <w:ind w:right="218" w:rightChars="104" w:firstLine="542" w:firstLineChars="225"/>
        <w:rPr>
          <w:rFonts w:hint="eastAsia" w:ascii="宋体" w:hAnsi="宋体" w:cs="Arial"/>
          <w:b/>
          <w:sz w:val="24"/>
        </w:rPr>
      </w:pPr>
      <w:r>
        <w:rPr>
          <w:rFonts w:hint="eastAsia" w:ascii="宋体" w:hAnsi="宋体" w:cs="Arial"/>
          <w:b/>
          <w:sz w:val="24"/>
        </w:rPr>
        <w:t>2．招标采购机构名称：</w:t>
      </w:r>
      <w:r>
        <w:rPr>
          <w:rFonts w:hint="eastAsia" w:ascii="宋体" w:hAnsi="宋体" w:cs="Arial"/>
          <w:b/>
          <w:bCs w:val="0"/>
          <w:sz w:val="24"/>
        </w:rPr>
        <w:t>浙江诚远工程咨询有限公司</w:t>
      </w:r>
    </w:p>
    <w:p w14:paraId="6E8A79B3">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联系</w:t>
      </w:r>
      <w:r>
        <w:rPr>
          <w:rFonts w:hint="eastAsia" w:ascii="宋体" w:hAnsi="宋体" w:cs="Arial"/>
          <w:bCs/>
          <w:sz w:val="24"/>
          <w:lang w:eastAsia="zh-CN"/>
        </w:rPr>
        <w:t>人</w:t>
      </w:r>
      <w:r>
        <w:rPr>
          <w:rFonts w:hint="eastAsia" w:ascii="宋体" w:hAnsi="宋体" w:cs="Arial"/>
          <w:bCs/>
          <w:sz w:val="24"/>
        </w:rPr>
        <w:t xml:space="preserve">：厉 晓 </w:t>
      </w:r>
      <w:r>
        <w:rPr>
          <w:rFonts w:hint="eastAsia" w:ascii="宋体" w:hAnsi="宋体" w:cs="Arial"/>
          <w:bCs/>
          <w:sz w:val="24"/>
          <w:lang w:val="en-US" w:eastAsia="zh-CN"/>
        </w:rPr>
        <w:t xml:space="preserve">           </w:t>
      </w:r>
      <w:r>
        <w:rPr>
          <w:rFonts w:hint="eastAsia" w:ascii="宋体" w:hAnsi="宋体" w:cs="Arial"/>
          <w:bCs/>
          <w:sz w:val="24"/>
        </w:rPr>
        <w:t xml:space="preserve"> </w:t>
      </w:r>
      <w:r>
        <w:rPr>
          <w:rFonts w:hint="eastAsia" w:ascii="宋体" w:hAnsi="宋体" w:cs="Arial"/>
          <w:bCs/>
          <w:sz w:val="24"/>
          <w:lang w:val="en-US" w:eastAsia="zh-CN"/>
        </w:rPr>
        <w:t>联系电话:</w:t>
      </w:r>
      <w:r>
        <w:rPr>
          <w:rFonts w:hint="eastAsia" w:ascii="宋体" w:hAnsi="宋体" w:cs="Arial"/>
          <w:bCs/>
          <w:sz w:val="24"/>
        </w:rPr>
        <w:t>15258906930</w:t>
      </w:r>
    </w:p>
    <w:p w14:paraId="15C3C99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址：磐安县安文街道北镇街1</w:t>
      </w:r>
      <w:r>
        <w:rPr>
          <w:rFonts w:hint="eastAsia" w:ascii="宋体" w:hAnsi="宋体" w:cs="Arial"/>
          <w:bCs/>
          <w:sz w:val="24"/>
          <w:lang w:val="en-US" w:eastAsia="zh-CN"/>
        </w:rPr>
        <w:t>5</w:t>
      </w:r>
      <w:r>
        <w:rPr>
          <w:rFonts w:hint="eastAsia" w:ascii="宋体" w:hAnsi="宋体" w:cs="Arial"/>
          <w:bCs/>
          <w:sz w:val="24"/>
        </w:rPr>
        <w:t>号二楼</w:t>
      </w:r>
    </w:p>
    <w:p w14:paraId="547198CE">
      <w:pPr>
        <w:snapToGrid w:val="0"/>
        <w:spacing w:line="480" w:lineRule="exact"/>
        <w:ind w:right="218" w:rightChars="104" w:firstLine="542" w:firstLineChars="225"/>
        <w:rPr>
          <w:rFonts w:hint="eastAsia" w:ascii="宋体" w:hAnsi="宋体" w:cs="Arial"/>
          <w:b/>
          <w:sz w:val="24"/>
        </w:rPr>
      </w:pPr>
      <w:r>
        <w:rPr>
          <w:rFonts w:hint="eastAsia" w:ascii="宋体" w:hAnsi="宋体" w:cs="Arial"/>
          <w:b/>
          <w:sz w:val="24"/>
        </w:rPr>
        <w:t>3．同级政府采购监督管理部门名称：金华市磐安县财政局</w:t>
      </w:r>
    </w:p>
    <w:p w14:paraId="64BDF4AC">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 xml:space="preserve">联系人：陈巧慧            监督投诉电话：0579-84883829  </w:t>
      </w:r>
    </w:p>
    <w:p w14:paraId="7E1A5632">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地址：磐安县安文街道文溪南路88号</w:t>
      </w:r>
    </w:p>
    <w:p w14:paraId="6D02A26D">
      <w:pPr>
        <w:snapToGrid w:val="0"/>
        <w:spacing w:line="480" w:lineRule="exact"/>
        <w:ind w:right="218" w:rightChars="104" w:firstLine="542" w:firstLineChars="225"/>
        <w:rPr>
          <w:rFonts w:hint="eastAsia" w:ascii="宋体" w:hAnsi="宋体" w:cs="Arial"/>
          <w:b/>
          <w:sz w:val="24"/>
        </w:rPr>
      </w:pPr>
      <w:r>
        <w:rPr>
          <w:rFonts w:hint="eastAsia" w:ascii="宋体" w:hAnsi="宋体" w:cs="Arial"/>
          <w:b/>
          <w:sz w:val="24"/>
        </w:rPr>
        <w:t>4.系统技术支持：政采云有限公司</w:t>
      </w:r>
    </w:p>
    <w:p w14:paraId="037CD16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联系人：客服      联系电话：95763</w:t>
      </w:r>
    </w:p>
    <w:p w14:paraId="095195FB">
      <w:pPr>
        <w:snapToGrid w:val="0"/>
        <w:spacing w:line="480" w:lineRule="exact"/>
        <w:ind w:right="218" w:rightChars="104" w:firstLine="540" w:firstLineChars="225"/>
        <w:rPr>
          <w:rFonts w:hint="eastAsia" w:ascii="仿宋_GB2312" w:hAnsi="仿宋_GB2312" w:eastAsia="仿宋_GB2312" w:cs="仿宋_GB2312"/>
          <w:color w:val="auto"/>
          <w:sz w:val="24"/>
          <w:highlight w:val="none"/>
        </w:rPr>
      </w:pPr>
      <w:r>
        <w:rPr>
          <w:rFonts w:hint="eastAsia" w:ascii="宋体" w:hAnsi="宋体" w:cs="Arial"/>
          <w:color w:val="auto"/>
          <w:sz w:val="24"/>
          <w:highlight w:val="none"/>
        </w:rPr>
        <w:t xml:space="preserve">      </w:t>
      </w:r>
    </w:p>
    <w:bookmarkEnd w:id="8"/>
    <w:p w14:paraId="1EBF848E">
      <w:pPr>
        <w:wordWrap w:val="0"/>
        <w:snapToGrid w:val="0"/>
        <w:spacing w:line="360" w:lineRule="auto"/>
        <w:rPr>
          <w:rFonts w:ascii="黑体" w:hAnsi="黑体" w:eastAsia="黑体"/>
          <w:color w:val="auto"/>
          <w:sz w:val="30"/>
          <w:szCs w:val="30"/>
          <w:highlight w:val="none"/>
        </w:rPr>
      </w:pPr>
      <w:bookmarkStart w:id="51" w:name="_Toc2844"/>
      <w:bookmarkStart w:id="52" w:name="_Toc15298"/>
      <w:bookmarkStart w:id="53" w:name="_Toc20561"/>
    </w:p>
    <w:p w14:paraId="33B2DC21">
      <w:pPr>
        <w:wordWrap w:val="0"/>
        <w:snapToGrid w:val="0"/>
        <w:spacing w:line="360" w:lineRule="auto"/>
        <w:ind w:firstLine="883" w:firstLineChars="200"/>
        <w:jc w:val="center"/>
        <w:rPr>
          <w:rStyle w:val="74"/>
          <w:rFonts w:hint="eastAsia"/>
          <w:color w:val="auto"/>
          <w:highlight w:val="none"/>
        </w:rPr>
        <w:sectPr>
          <w:footerReference r:id="rId5" w:type="first"/>
          <w:headerReference r:id="rId3" w:type="default"/>
          <w:footerReference r:id="rId4" w:type="default"/>
          <w:pgSz w:w="11906" w:h="16838"/>
          <w:pgMar w:top="1440" w:right="1106" w:bottom="1440" w:left="1440" w:header="851" w:footer="992" w:gutter="0"/>
          <w:pgNumType w:start="1"/>
          <w:cols w:space="720" w:num="1"/>
          <w:docGrid w:linePitch="312" w:charSpace="0"/>
        </w:sectPr>
      </w:pPr>
      <w:bookmarkStart w:id="54" w:name="_Toc10053"/>
      <w:bookmarkStart w:id="55" w:name="_Toc16324"/>
    </w:p>
    <w:p w14:paraId="43596D46">
      <w:pPr>
        <w:wordWrap w:val="0"/>
        <w:snapToGrid w:val="0"/>
        <w:spacing w:line="360" w:lineRule="auto"/>
        <w:jc w:val="center"/>
        <w:rPr>
          <w:rFonts w:hint="eastAsia" w:hAnsi="宋体" w:cs="宋体"/>
          <w:b/>
          <w:bCs/>
          <w:color w:val="auto"/>
          <w:sz w:val="32"/>
          <w:szCs w:val="32"/>
          <w:highlight w:val="none"/>
        </w:rPr>
      </w:pPr>
      <w:r>
        <w:rPr>
          <w:rStyle w:val="74"/>
          <w:rFonts w:hint="eastAsia"/>
          <w:color w:val="auto"/>
          <w:highlight w:val="none"/>
        </w:rPr>
        <w:t>第二章  招标需求</w:t>
      </w:r>
      <w:bookmarkEnd w:id="51"/>
      <w:bookmarkEnd w:id="52"/>
      <w:bookmarkEnd w:id="53"/>
      <w:bookmarkEnd w:id="54"/>
      <w:bookmarkEnd w:id="55"/>
    </w:p>
    <w:p w14:paraId="0BFFEEB1">
      <w:pPr>
        <w:spacing w:line="400" w:lineRule="exact"/>
        <w:ind w:firstLine="482" w:firstLineChars="200"/>
        <w:outlineLvl w:val="1"/>
        <w:rPr>
          <w:rFonts w:hint="eastAsia"/>
          <w:b/>
          <w:sz w:val="24"/>
        </w:rPr>
      </w:pPr>
      <w:bookmarkStart w:id="56" w:name="_Toc31222"/>
      <w:r>
        <w:rPr>
          <w:rFonts w:hint="eastAsia"/>
          <w:b/>
          <w:sz w:val="24"/>
        </w:rPr>
        <w:t>一、项目概况</w:t>
      </w:r>
      <w:bookmarkEnd w:id="56"/>
    </w:p>
    <w:p w14:paraId="495085A3">
      <w:pPr>
        <w:widowControl/>
        <w:spacing w:line="400" w:lineRule="exact"/>
        <w:ind w:firstLine="480" w:firstLineChars="200"/>
        <w:jc w:val="left"/>
        <w:rPr>
          <w:sz w:val="24"/>
        </w:rPr>
      </w:pPr>
      <w:r>
        <w:rPr>
          <w:rFonts w:hint="eastAsia"/>
          <w:sz w:val="24"/>
        </w:rPr>
        <w:t>为认真贯彻落实国家、省、市、县松材线虫病防控工作会议精神，</w:t>
      </w:r>
      <w:r>
        <w:rPr>
          <w:rFonts w:hint="eastAsia" w:ascii="宋体" w:hAnsi="宋体" w:cs="宋体"/>
          <w:sz w:val="24"/>
        </w:rPr>
        <w:t>有效地做好</w:t>
      </w:r>
      <w:r>
        <w:rPr>
          <w:rFonts w:hint="eastAsia" w:cs="宋体"/>
          <w:kern w:val="0"/>
          <w:sz w:val="24"/>
          <w:lang w:eastAsia="zh-CN" w:bidi="ar"/>
        </w:rPr>
        <w:t>2025年大盘山松材线虫病枯死松树清理服务项目</w:t>
      </w:r>
      <w:r>
        <w:rPr>
          <w:rFonts w:hint="eastAsia" w:cs="宋体"/>
          <w:kern w:val="0"/>
          <w:sz w:val="24"/>
          <w:lang w:bidi="ar"/>
        </w:rPr>
        <w:t> </w:t>
      </w:r>
      <w:r>
        <w:rPr>
          <w:rFonts w:hint="eastAsia"/>
          <w:sz w:val="24"/>
        </w:rPr>
        <w:t>，保护林地的生态安全，及时清除林内枯死松木，提高森林自控能力，特组织本次招标活动。</w:t>
      </w:r>
    </w:p>
    <w:p w14:paraId="5CEF8237">
      <w:pPr>
        <w:adjustRightInd w:val="0"/>
        <w:snapToGrid w:val="0"/>
        <w:spacing w:line="500" w:lineRule="exact"/>
        <w:ind w:firstLine="482" w:firstLineChars="200"/>
        <w:outlineLvl w:val="1"/>
        <w:rPr>
          <w:rFonts w:hint="eastAsia"/>
          <w:b/>
          <w:bCs/>
          <w:sz w:val="24"/>
        </w:rPr>
      </w:pPr>
      <w:bookmarkStart w:id="57" w:name="_Toc12250"/>
      <w:r>
        <w:rPr>
          <w:rFonts w:hint="eastAsia"/>
          <w:b/>
          <w:bCs/>
          <w:sz w:val="24"/>
        </w:rPr>
        <w:t>二、服务内容</w:t>
      </w:r>
      <w:bookmarkEnd w:id="57"/>
    </w:p>
    <w:p w14:paraId="5D334C80">
      <w:pPr>
        <w:wordWrap w:val="0"/>
        <w:spacing w:before="99" w:after="0" w:line="336" w:lineRule="auto"/>
        <w:ind w:left="260" w:right="300" w:firstLine="480"/>
        <w:jc w:val="both"/>
        <w:rPr>
          <w:rFonts w:hint="eastAsia" w:ascii="宋体" w:hAnsi="宋体"/>
          <w:color w:val="000000"/>
          <w:sz w:val="26"/>
          <w:lang w:val="en-US" w:eastAsia="zh-CN"/>
        </w:rPr>
      </w:pPr>
      <w:r>
        <w:rPr>
          <w:rFonts w:hint="eastAsia" w:ascii="宋体" w:hAnsi="宋体"/>
          <w:color w:val="000000"/>
          <w:sz w:val="26"/>
          <w:lang w:val="en-US" w:eastAsia="zh-CN"/>
        </w:rPr>
        <w:t>1.作业范围：</w:t>
      </w:r>
    </w:p>
    <w:p w14:paraId="2F6640B6">
      <w:pPr>
        <w:wordWrap w:val="0"/>
        <w:spacing w:before="99" w:after="0" w:line="336" w:lineRule="auto"/>
        <w:ind w:left="260" w:right="300" w:firstLine="480"/>
        <w:jc w:val="both"/>
        <w:rPr>
          <w:rFonts w:hint="eastAsia" w:ascii="宋体" w:hAnsi="宋体"/>
          <w:color w:val="000000"/>
          <w:sz w:val="26"/>
          <w:lang w:val="en-US" w:eastAsia="zh-CN"/>
        </w:rPr>
      </w:pPr>
      <w:r>
        <w:rPr>
          <w:rFonts w:hint="eastAsia" w:ascii="宋体" w:hAnsi="宋体"/>
          <w:color w:val="000000"/>
          <w:sz w:val="26"/>
          <w:lang w:val="en-US" w:eastAsia="zh-CN"/>
        </w:rPr>
        <w:t>根据2025年大盘山松材线虫病枯死松树清理服务项目调查，招标内容为业主要求所有范围的病枯死松树进行清理。</w:t>
      </w:r>
    </w:p>
    <w:p w14:paraId="38FED3AF">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720" w:firstLineChars="300"/>
        <w:jc w:val="both"/>
        <w:textAlignment w:val="auto"/>
        <w:rPr>
          <w:sz w:val="24"/>
          <w:szCs w:val="24"/>
        </w:rPr>
      </w:pPr>
      <w:r>
        <w:rPr>
          <w:rFonts w:hint="eastAsia" w:ascii="宋体" w:hAnsi="宋体"/>
          <w:color w:val="000000"/>
          <w:sz w:val="24"/>
          <w:szCs w:val="24"/>
          <w:lang w:val="en-US" w:eastAsia="zh-CN"/>
        </w:rPr>
        <w:t>2.清理要求：</w:t>
      </w:r>
      <w:r>
        <w:rPr>
          <w:rFonts w:hint="eastAsia" w:ascii="宋体" w:hAnsi="宋体" w:eastAsia="宋体"/>
          <w:color w:val="000000"/>
          <w:sz w:val="24"/>
          <w:szCs w:val="24"/>
        </w:rPr>
        <w:t>严格执行《松材线虫病防治技术方案（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w:t>
      </w:r>
    </w:p>
    <w:p w14:paraId="1FD42EE8">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伐桩处理：对疫木伐除后，按松材线虫病防治技术方案（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年版）》相关规定处理，伐桩上坡度面最高处的高度不得超过</w:t>
      </w:r>
      <w:r>
        <w:rPr>
          <w:rFonts w:hint="eastAsia" w:ascii="Calibri" w:hAnsi="Calibri" w:eastAsia="Calibri"/>
          <w:color w:val="000000"/>
          <w:sz w:val="24"/>
          <w:szCs w:val="24"/>
        </w:rPr>
        <w:t>5cm</w:t>
      </w:r>
      <w:r>
        <w:rPr>
          <w:rFonts w:hint="eastAsia" w:ascii="宋体" w:hAnsi="宋体" w:eastAsia="宋体"/>
          <w:color w:val="000000"/>
          <w:sz w:val="24"/>
          <w:szCs w:val="24"/>
        </w:rPr>
        <w:t>。伐桩采用塑料薄膜覆盖，四周用土压实。</w:t>
      </w:r>
    </w:p>
    <w:p w14:paraId="30C71CF8">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．枝桠处理：除治山场范围内，清理收集所有直径大于</w:t>
      </w:r>
      <w:r>
        <w:rPr>
          <w:rFonts w:hint="eastAsia" w:ascii="Calibri" w:hAnsi="Calibri" w:eastAsia="Calibri"/>
          <w:color w:val="auto"/>
          <w:sz w:val="24"/>
          <w:szCs w:val="24"/>
        </w:rPr>
        <w:t>1cm</w:t>
      </w:r>
      <w:r>
        <w:rPr>
          <w:rFonts w:hint="eastAsia" w:ascii="宋体" w:hAnsi="宋体" w:eastAsia="宋体"/>
          <w:color w:val="auto"/>
          <w:sz w:val="24"/>
          <w:szCs w:val="24"/>
        </w:rPr>
        <w:t>的死亡（病死、其他原因致死）的松树枝桠，随疫木主干</w:t>
      </w:r>
      <w:r>
        <w:rPr>
          <w:rFonts w:hint="eastAsia" w:ascii="宋体" w:hAnsi="宋体" w:eastAsia="宋体" w:cs="宋体"/>
          <w:i w:val="0"/>
          <w:iCs w:val="0"/>
          <w:caps w:val="0"/>
          <w:color w:val="auto"/>
          <w:spacing w:val="0"/>
          <w:sz w:val="24"/>
          <w:szCs w:val="24"/>
        </w:rPr>
        <w:t>使用</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丝直径≥0.12毫米，网目数≥8目的锻压</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丝网罩包裹疫木</w:t>
      </w:r>
      <w:r>
        <w:rPr>
          <w:rFonts w:hint="eastAsia" w:ascii="宋体" w:hAnsi="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并进行锁边</w:t>
      </w:r>
      <w:r>
        <w:rPr>
          <w:rFonts w:hint="eastAsia" w:ascii="宋体" w:hAnsi="宋体" w:eastAsia="宋体"/>
          <w:color w:val="auto"/>
          <w:sz w:val="24"/>
          <w:szCs w:val="24"/>
        </w:rPr>
        <w:t>就地封存</w:t>
      </w:r>
      <w:r>
        <w:rPr>
          <w:rFonts w:hint="eastAsia" w:ascii="宋体" w:hAnsi="宋体" w:cs="宋体"/>
          <w:i w:val="0"/>
          <w:iCs w:val="0"/>
          <w:caps w:val="0"/>
          <w:color w:val="auto"/>
          <w:spacing w:val="0"/>
          <w:sz w:val="24"/>
          <w:szCs w:val="24"/>
          <w:lang w:eastAsia="zh-CN"/>
        </w:rPr>
        <w:t>。</w:t>
      </w:r>
    </w:p>
    <w:p w14:paraId="00C4CDC9">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．疫木处理：伐除的松木连同直径大于</w:t>
      </w:r>
      <w:r>
        <w:rPr>
          <w:rFonts w:hint="eastAsia" w:ascii="Calibri" w:hAnsi="Calibri" w:eastAsia="Calibri"/>
          <w:color w:val="auto"/>
          <w:sz w:val="24"/>
          <w:szCs w:val="24"/>
        </w:rPr>
        <w:t>1cm</w:t>
      </w:r>
      <w:r>
        <w:rPr>
          <w:rFonts w:hint="eastAsia" w:ascii="宋体" w:hAnsi="宋体" w:eastAsia="宋体"/>
          <w:color w:val="auto"/>
          <w:sz w:val="24"/>
          <w:szCs w:val="24"/>
        </w:rPr>
        <w:t>的枝桠全部用</w:t>
      </w:r>
      <w:r>
        <w:rPr>
          <w:rFonts w:hint="eastAsia" w:ascii="宋体" w:hAnsi="宋体" w:eastAsia="宋体" w:cs="宋体"/>
          <w:i w:val="0"/>
          <w:iCs w:val="0"/>
          <w:caps w:val="0"/>
          <w:color w:val="auto"/>
          <w:spacing w:val="0"/>
          <w:sz w:val="24"/>
          <w:szCs w:val="24"/>
        </w:rPr>
        <w:t>使用</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丝直径≥0.12毫米，网目数≥8目的锻压</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丝网罩包裹疫木</w:t>
      </w:r>
      <w:r>
        <w:rPr>
          <w:rFonts w:hint="eastAsia" w:ascii="宋体" w:hAnsi="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并进行锁边</w:t>
      </w:r>
      <w:r>
        <w:rPr>
          <w:rFonts w:hint="eastAsia" w:ascii="宋体" w:hAnsi="宋体" w:eastAsia="宋体"/>
          <w:color w:val="auto"/>
          <w:sz w:val="24"/>
          <w:szCs w:val="24"/>
        </w:rPr>
        <w:t>就地封存。</w:t>
      </w:r>
    </w:p>
    <w:p w14:paraId="3DCCBB46">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9"/>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其他：采伐过程中，严禁砍伐活立木。</w:t>
      </w:r>
    </w:p>
    <w:p w14:paraId="5DE8A315">
      <w:pPr>
        <w:keepNext w:val="0"/>
        <w:keepLines w:val="0"/>
        <w:pageBreakBefore w:val="0"/>
        <w:widowControl w:val="0"/>
        <w:kinsoku/>
        <w:wordWrap w:val="0"/>
        <w:overflowPunct/>
        <w:topLinePunct w:val="0"/>
        <w:autoSpaceDE/>
        <w:autoSpaceDN/>
        <w:bidi w:val="0"/>
        <w:adjustRightInd/>
        <w:snapToGrid/>
        <w:spacing w:before="0" w:after="0" w:line="380" w:lineRule="exact"/>
        <w:ind w:firstLine="720"/>
        <w:jc w:val="both"/>
        <w:textAlignment w:val="auto"/>
        <w:rPr>
          <w:rFonts w:hint="eastAsia" w:ascii="宋体" w:hAnsi="宋体"/>
          <w:color w:val="000000"/>
          <w:sz w:val="26"/>
          <w:lang w:val="en-US" w:eastAsia="zh-CN"/>
        </w:rPr>
      </w:pPr>
      <w:r>
        <w:rPr>
          <w:rFonts w:hint="eastAsia" w:ascii="宋体" w:hAnsi="宋体" w:eastAsia="宋体"/>
          <w:b/>
          <w:color w:val="000000"/>
          <w:sz w:val="26"/>
          <w:lang w:val="en-US" w:eastAsia="zh-CN"/>
        </w:rPr>
        <w:t>3.</w:t>
      </w:r>
      <w:r>
        <w:rPr>
          <w:rFonts w:hint="eastAsia" w:ascii="宋体" w:hAnsi="宋体" w:eastAsia="宋体"/>
          <w:b/>
          <w:color w:val="000000"/>
          <w:sz w:val="26"/>
        </w:rPr>
        <w:t>工作要求</w:t>
      </w:r>
    </w:p>
    <w:p w14:paraId="24FBAB82">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(1）．乙方必须根据甲方制定的松材线虫病除治和疫木清理方案开展清理作业，不得突破批准的采伐限额指标，也不得遗漏枯死松树。</w:t>
      </w:r>
    </w:p>
    <w:p w14:paraId="1405299C">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(2）．乙方施工质量严格执行“510清干净“标准，伐桩低于5厘米，直径1厘米以上枝桠全部采用钢丝网打包封存，山上不得遗留除治对象。</w:t>
      </w:r>
    </w:p>
    <w:p w14:paraId="63DA68FD">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default" w:ascii="宋体" w:hAnsi="宋体"/>
          <w:color w:val="000000"/>
          <w:sz w:val="26"/>
          <w:lang w:val="en-US" w:eastAsia="zh-CN"/>
        </w:rPr>
      </w:pPr>
      <w:r>
        <w:rPr>
          <w:rFonts w:hint="eastAsia" w:ascii="宋体" w:hAnsi="宋体"/>
          <w:color w:val="000000"/>
          <w:sz w:val="26"/>
          <w:lang w:val="en-US" w:eastAsia="zh-CN"/>
        </w:rPr>
        <w:t>(3）．乙方必须确保足额的除治人员，配备足够的除治器械，及时足额缴纳除治人员的保险，做好安全生产管理。若发生安全事故，由乙方自行承担。</w:t>
      </w:r>
    </w:p>
    <w:p w14:paraId="220D3DFC">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(4）．乙方要积极配合甲方开展质量抽查和验收，抽查发现的质量问题要求在3日内完成整改。如故意拖延不及时整改，甲方可委托其他清理单位整改，整改费用由乙方承担。</w:t>
      </w:r>
    </w:p>
    <w:p w14:paraId="43541587">
      <w:pPr>
        <w:keepNext w:val="0"/>
        <w:keepLines w:val="0"/>
        <w:pageBreakBefore w:val="0"/>
        <w:widowControl/>
        <w:kinsoku/>
        <w:overflowPunct/>
        <w:topLinePunct w:val="0"/>
        <w:autoSpaceDE/>
        <w:autoSpaceDN/>
        <w:bidi w:val="0"/>
        <w:adjustRightInd/>
        <w:snapToGrid/>
        <w:spacing w:line="380" w:lineRule="exact"/>
        <w:ind w:firstLine="480"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.清理时间：根据松材线虫病疫情发生的特点，</w:t>
      </w:r>
      <w:r>
        <w:rPr>
          <w:rFonts w:hint="eastAsia" w:ascii="微软雅黑" w:hAnsi="微软雅黑" w:eastAsia="微软雅黑" w:cs="微软雅黑"/>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在2025年12月30日前全面完成枯死松树清理工作（其中</w:t>
      </w:r>
      <w:r>
        <w:rPr>
          <w:rFonts w:hint="eastAsia" w:ascii="宋体" w:hAnsi="宋体" w:cs="宋体"/>
          <w:color w:val="000000" w:themeColor="text1"/>
          <w:sz w:val="24"/>
          <w14:textFill>
            <w14:solidFill>
              <w14:schemeClr w14:val="tx1"/>
            </w14:solidFill>
          </w14:textFill>
        </w:rPr>
        <w:t>公路主干线、</w:t>
      </w:r>
      <w:r>
        <w:rPr>
          <w:rFonts w:hint="eastAsia" w:ascii="宋体" w:hAnsi="宋体" w:cs="宋体"/>
          <w:color w:val="000000" w:themeColor="text1"/>
          <w:sz w:val="24"/>
          <w:lang w:val="en-US" w:eastAsia="zh-CN"/>
          <w14:textFill>
            <w14:solidFill>
              <w14:schemeClr w14:val="tx1"/>
            </w14:solidFill>
          </w14:textFill>
        </w:rPr>
        <w:t>村庄</w:t>
      </w:r>
      <w:r>
        <w:rPr>
          <w:rFonts w:hint="eastAsia" w:ascii="宋体" w:hAnsi="宋体" w:cs="宋体"/>
          <w:color w:val="000000" w:themeColor="text1"/>
          <w:sz w:val="24"/>
          <w14:textFill>
            <w14:solidFill>
              <w14:schemeClr w14:val="tx1"/>
            </w14:solidFill>
          </w14:textFill>
        </w:rPr>
        <w:t>周边、大规模成片地块必须在2025年5月30日前完成</w:t>
      </w:r>
      <w:r>
        <w:rPr>
          <w:rFonts w:hint="eastAsia" w:ascii="宋体" w:hAnsi="宋体" w:cs="宋体"/>
          <w:color w:val="000000" w:themeColor="text1"/>
          <w:sz w:val="24"/>
          <w:lang w:val="en-US" w:eastAsia="zh-CN"/>
          <w14:textFill>
            <w14:solidFill>
              <w14:schemeClr w14:val="tx1"/>
            </w14:solidFill>
          </w14:textFill>
        </w:rPr>
        <w:t>除治</w:t>
      </w:r>
      <w:r>
        <w:rPr>
          <w:rFonts w:hint="eastAsia"/>
          <w:color w:val="000000" w:themeColor="text1"/>
          <w:sz w:val="24"/>
          <w14:textFill>
            <w14:solidFill>
              <w14:schemeClr w14:val="tx1"/>
            </w14:solidFill>
          </w14:textFill>
        </w:rPr>
        <w:t>），遇不可抗拒的特殊情况，另行协商。中标单位施工方案需报</w:t>
      </w:r>
      <w:r>
        <w:rPr>
          <w:rFonts w:hint="eastAsia"/>
          <w:color w:val="000000" w:themeColor="text1"/>
          <w:sz w:val="24"/>
          <w:lang w:val="en-US" w:eastAsia="zh-CN"/>
          <w14:textFill>
            <w14:solidFill>
              <w14:schemeClr w14:val="tx1"/>
            </w14:solidFill>
          </w14:textFill>
        </w:rPr>
        <w:t>大盘山管理局</w:t>
      </w:r>
      <w:r>
        <w:rPr>
          <w:rFonts w:hint="eastAsia"/>
          <w:color w:val="000000" w:themeColor="text1"/>
          <w:sz w:val="24"/>
          <w14:textFill>
            <w14:solidFill>
              <w14:schemeClr w14:val="tx1"/>
            </w14:solidFill>
          </w14:textFill>
        </w:rPr>
        <w:t>审核同意后方可实施，要按照“先难后易、先重点后一般、先紧后宽”的要求，合理安排，保证清理进度。</w:t>
      </w:r>
    </w:p>
    <w:p w14:paraId="31F729E0">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ascii="宋体" w:hAnsi="宋体" w:eastAsia="宋体"/>
          <w:color w:val="000000"/>
          <w:sz w:val="24"/>
          <w:szCs w:val="24"/>
          <w:lang w:eastAsia="zh-CN"/>
        </w:rPr>
      </w:pPr>
      <w:r>
        <w:rPr>
          <w:rFonts w:hint="eastAsia" w:ascii="宋体" w:hAnsi="宋体"/>
          <w:color w:val="000000"/>
          <w:sz w:val="24"/>
          <w:szCs w:val="24"/>
          <w:lang w:val="en-US" w:eastAsia="zh-CN"/>
        </w:rPr>
        <w:t>5.</w:t>
      </w:r>
      <w:r>
        <w:rPr>
          <w:rFonts w:hint="eastAsia" w:ascii="宋体" w:hAnsi="宋体" w:eastAsia="宋体"/>
          <w:color w:val="000000"/>
          <w:sz w:val="24"/>
          <w:szCs w:val="24"/>
        </w:rPr>
        <w:t>除治对象：集中除治阶段，松材线虫病疫情小班及其周边松林的中死亡（病死、其他原因致死）松树，除治其主干、枝桠和伐桩；即现即清阶段，松材线虫病疫情小班及其周边松林中零星发生的死亡（病死、其他原因致死）松树，在</w:t>
      </w:r>
      <w:r>
        <w:rPr>
          <w:rFonts w:hint="eastAsia" w:ascii="Calibri" w:hAnsi="Calibri" w:eastAsia="Calibri"/>
          <w:color w:val="000000"/>
          <w:sz w:val="24"/>
          <w:szCs w:val="24"/>
        </w:rPr>
        <w:t>3</w:t>
      </w:r>
      <w:r>
        <w:rPr>
          <w:rFonts w:hint="eastAsia" w:ascii="宋体" w:hAnsi="宋体" w:eastAsia="宋体"/>
          <w:color w:val="000000"/>
          <w:sz w:val="24"/>
          <w:szCs w:val="24"/>
        </w:rPr>
        <w:t>日内完成除治</w:t>
      </w:r>
      <w:r>
        <w:rPr>
          <w:rFonts w:hint="eastAsia" w:ascii="宋体" w:hAnsi="宋体" w:eastAsia="宋体"/>
          <w:color w:val="000000"/>
          <w:sz w:val="24"/>
          <w:szCs w:val="24"/>
          <w:lang w:eastAsia="zh-CN"/>
        </w:rPr>
        <w:t>。</w:t>
      </w:r>
    </w:p>
    <w:p w14:paraId="57A9EEB9">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sz w:val="24"/>
        </w:rPr>
      </w:pPr>
      <w:r>
        <w:rPr>
          <w:rFonts w:hint="eastAsia"/>
          <w:sz w:val="24"/>
          <w:lang w:val="en-US" w:eastAsia="zh-CN"/>
        </w:rPr>
        <w:t>6.</w:t>
      </w:r>
      <w:r>
        <w:rPr>
          <w:rFonts w:hint="eastAsia"/>
          <w:sz w:val="24"/>
        </w:rPr>
        <w:t>人员配置要求</w:t>
      </w:r>
    </w:p>
    <w:p w14:paraId="241C23B8">
      <w:pPr>
        <w:widowControl/>
        <w:spacing w:line="400" w:lineRule="exact"/>
        <w:ind w:firstLine="480" w:firstLineChars="200"/>
        <w:jc w:val="left"/>
        <w:rPr>
          <w:rFonts w:hint="eastAsia"/>
          <w:sz w:val="24"/>
        </w:rPr>
      </w:pPr>
      <w:r>
        <w:rPr>
          <w:rFonts w:hint="eastAsia"/>
          <w:sz w:val="24"/>
        </w:rPr>
        <w:t>中标单位在清理队伍人员配置中，不得少于2支专业组，每支队伍人员不得少于15人正常作业，并要指定2名以上专人负责监督清理质量。采购单位定期检查中标单位施工进度和施工质量，若发现中标单位清理人员少、班组人员搭配不合理、进度缓慢等问题，采购单位责令限期整改，情节严重的可予以罚款或者采购单位可自行增加施工班组加快施工进度。</w:t>
      </w:r>
    </w:p>
    <w:p w14:paraId="7D2CB7CA">
      <w:pPr>
        <w:adjustRightInd w:val="0"/>
        <w:snapToGrid w:val="0"/>
        <w:spacing w:line="500" w:lineRule="exact"/>
        <w:ind w:firstLine="241" w:firstLineChars="100"/>
        <w:outlineLvl w:val="1"/>
        <w:rPr>
          <w:rFonts w:hint="eastAsia"/>
          <w:b/>
          <w:bCs/>
          <w:sz w:val="24"/>
        </w:rPr>
      </w:pPr>
      <w:r>
        <w:rPr>
          <w:rFonts w:hint="eastAsia"/>
          <w:b/>
          <w:bCs/>
          <w:sz w:val="24"/>
        </w:rPr>
        <w:t>三、商务要求</w:t>
      </w:r>
    </w:p>
    <w:p w14:paraId="5A0D96C1">
      <w:pPr>
        <w:widowControl/>
        <w:spacing w:line="400" w:lineRule="exact"/>
        <w:ind w:firstLine="480" w:firstLineChars="200"/>
        <w:jc w:val="left"/>
        <w:rPr>
          <w:rFonts w:hint="eastAsia"/>
          <w:sz w:val="24"/>
        </w:rPr>
      </w:pPr>
      <w:r>
        <w:rPr>
          <w:rFonts w:hint="eastAsia"/>
          <w:sz w:val="24"/>
        </w:rPr>
        <w:t>1.付款办法：</w:t>
      </w:r>
    </w:p>
    <w:p w14:paraId="069204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sz w:val="24"/>
        </w:rPr>
        <w:t>（1）履约保证金：</w:t>
      </w:r>
      <w:r>
        <w:rPr>
          <w:rFonts w:hint="eastAsia" w:ascii="宋体" w:hAnsi="宋体" w:eastAsia="宋体" w:cs="宋体"/>
          <w:sz w:val="24"/>
          <w:szCs w:val="24"/>
        </w:rPr>
        <w:t>本项目履约保证金按合同金额的1%收取</w:t>
      </w:r>
      <w:r>
        <w:rPr>
          <w:rFonts w:hint="eastAsia" w:ascii="宋体" w:hAnsi="宋体" w:eastAsia="宋体" w:cs="宋体"/>
          <w:sz w:val="24"/>
          <w:szCs w:val="24"/>
          <w:lang w:eastAsia="zh-CN"/>
        </w:rPr>
        <w:t>（应当</w:t>
      </w:r>
      <w:r>
        <w:rPr>
          <w:rFonts w:hint="eastAsia" w:ascii="宋体" w:hAnsi="宋体" w:eastAsia="宋体" w:cs="宋体"/>
          <w:sz w:val="24"/>
          <w:szCs w:val="24"/>
        </w:rPr>
        <w:t>以支票、汇票、本票或者金融机构、担保机构出具的保函等非现金形式提交</w:t>
      </w:r>
      <w:r>
        <w:rPr>
          <w:rFonts w:hint="eastAsia" w:ascii="宋体" w:hAnsi="宋体" w:eastAsia="宋体" w:cs="宋体"/>
          <w:sz w:val="24"/>
          <w:szCs w:val="24"/>
          <w:lang w:eastAsia="zh-CN"/>
        </w:rPr>
        <w:t>），</w:t>
      </w:r>
      <w:r>
        <w:rPr>
          <w:rFonts w:hint="eastAsia" w:ascii="宋体" w:hAnsi="宋体" w:eastAsia="宋体" w:cs="宋体"/>
          <w:sz w:val="24"/>
          <w:szCs w:val="24"/>
        </w:rPr>
        <w:t>在合同签订</w:t>
      </w:r>
      <w:r>
        <w:rPr>
          <w:rFonts w:hint="eastAsia" w:ascii="宋体" w:hAnsi="宋体" w:eastAsia="宋体" w:cs="宋体"/>
          <w:sz w:val="24"/>
          <w:szCs w:val="24"/>
          <w:lang w:eastAsia="zh-CN"/>
        </w:rPr>
        <w:t>时</w:t>
      </w:r>
      <w:r>
        <w:rPr>
          <w:rFonts w:hint="eastAsia" w:ascii="宋体" w:hAnsi="宋体" w:eastAsia="宋体" w:cs="宋体"/>
          <w:sz w:val="24"/>
          <w:szCs w:val="24"/>
        </w:rPr>
        <w:t>向采购单位交纳。履约保证金自提交之日起至项目最终验收合格后15个工作日无息退还。</w:t>
      </w:r>
    </w:p>
    <w:p w14:paraId="056DFF70">
      <w:pPr>
        <w:widowControl/>
        <w:spacing w:line="400" w:lineRule="exact"/>
        <w:ind w:firstLine="480" w:firstLineChars="200"/>
        <w:jc w:val="left"/>
        <w:rPr>
          <w:rFonts w:hint="eastAsia"/>
          <w:sz w:val="24"/>
        </w:rPr>
      </w:pPr>
      <w:r>
        <w:rPr>
          <w:rFonts w:hint="eastAsia"/>
          <w:sz w:val="24"/>
        </w:rPr>
        <w:t>（2）付款方式：</w:t>
      </w:r>
    </w:p>
    <w:p w14:paraId="115E56E0">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cs="宋体"/>
          <w:color w:val="FF0000"/>
          <w:sz w:val="24"/>
          <w:szCs w:val="24"/>
        </w:rPr>
      </w:pPr>
      <w:r>
        <w:rPr>
          <w:rFonts w:hint="eastAsia" w:ascii="宋体" w:hAnsi="宋体" w:cs="宋体"/>
          <w:color w:val="FF0000"/>
          <w:sz w:val="24"/>
          <w:szCs w:val="24"/>
        </w:rPr>
        <w:t>1、</w:t>
      </w:r>
      <w:r>
        <w:rPr>
          <w:rFonts w:hint="eastAsia" w:ascii="宋体" w:hAnsi="宋体" w:eastAsia="宋体" w:cs="宋体"/>
          <w:bCs w:val="0"/>
          <w:color w:val="FF0000"/>
          <w:sz w:val="24"/>
          <w:szCs w:val="24"/>
        </w:rPr>
        <w:t>合同生效以及具备实施条件后 7 个工作日内，供应商出具预付款保函和履约保证金保函后 (可在政采云平台购买)</w:t>
      </w:r>
      <w:r>
        <w:rPr>
          <w:rFonts w:hint="eastAsia" w:ascii="宋体" w:hAnsi="宋体" w:cs="宋体"/>
          <w:bCs w:val="0"/>
          <w:color w:val="FF0000"/>
          <w:sz w:val="24"/>
          <w:szCs w:val="24"/>
          <w:lang w:eastAsia="zh-CN"/>
        </w:rPr>
        <w:t>，</w:t>
      </w:r>
      <w:r>
        <w:rPr>
          <w:rFonts w:hint="eastAsia" w:ascii="宋体" w:hAnsi="宋体" w:eastAsia="宋体" w:cs="宋体"/>
          <w:bCs w:val="0"/>
          <w:color w:val="FF0000"/>
          <w:sz w:val="24"/>
          <w:szCs w:val="24"/>
        </w:rPr>
        <w:t>采购人向中标人支付</w:t>
      </w:r>
      <w:r>
        <w:rPr>
          <w:rFonts w:hint="eastAsia" w:ascii="宋体" w:hAnsi="宋体" w:cs="宋体"/>
          <w:bCs w:val="0"/>
          <w:color w:val="FF0000"/>
          <w:sz w:val="24"/>
          <w:szCs w:val="24"/>
          <w:lang w:val="en-US" w:eastAsia="zh-CN"/>
        </w:rPr>
        <w:t>3</w:t>
      </w:r>
      <w:r>
        <w:rPr>
          <w:rFonts w:hint="eastAsia" w:ascii="宋体" w:hAnsi="宋体" w:eastAsia="宋体" w:cs="宋体"/>
          <w:bCs w:val="0"/>
          <w:color w:val="FF0000"/>
          <w:sz w:val="24"/>
          <w:szCs w:val="24"/>
        </w:rPr>
        <w:t>0%合同款</w:t>
      </w:r>
      <w:r>
        <w:rPr>
          <w:rFonts w:hint="eastAsia" w:ascii="宋体" w:hAnsi="宋体" w:eastAsia="宋体" w:cs="宋体"/>
          <w:bCs/>
          <w:color w:val="FF0000"/>
          <w:sz w:val="24"/>
          <w:szCs w:val="24"/>
        </w:rPr>
        <w:t>。</w:t>
      </w:r>
    </w:p>
    <w:p w14:paraId="46629468">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cs="宋体"/>
          <w:color w:val="FF0000"/>
          <w:sz w:val="24"/>
          <w:szCs w:val="24"/>
        </w:rPr>
      </w:pPr>
      <w:r>
        <w:rPr>
          <w:rFonts w:hint="eastAsia" w:ascii="宋体" w:hAnsi="宋体" w:eastAsia="宋体" w:cs="宋体"/>
          <w:bCs/>
          <w:color w:val="FF0000"/>
          <w:sz w:val="24"/>
          <w:szCs w:val="24"/>
        </w:rPr>
        <w:t>为支持和促进中小企业发展，进一步发挥政府采购政策功能，浙江省财政厅出台浙财采监 (2020) 3 号文件，企业若有购买保险/保函或者融资意向，可登录政采云平台融资服务 (https://jinrong.zcygov.cn/) ，查看相应融资政策文件及各相关服务方案，咨询热线 400-903-9583。</w:t>
      </w:r>
    </w:p>
    <w:p w14:paraId="4009B365">
      <w:pPr>
        <w:widowControl/>
        <w:numPr>
          <w:ilvl w:val="0"/>
          <w:numId w:val="1"/>
        </w:numPr>
        <w:spacing w:line="400" w:lineRule="exact"/>
        <w:ind w:firstLine="480" w:firstLineChars="200"/>
        <w:jc w:val="left"/>
        <w:rPr>
          <w:rFonts w:hint="eastAsia" w:ascii="宋体" w:hAnsi="宋体" w:cs="宋体"/>
          <w:color w:val="FF0000"/>
          <w:sz w:val="24"/>
          <w:szCs w:val="24"/>
        </w:rPr>
      </w:pPr>
      <w:r>
        <w:rPr>
          <w:rFonts w:hint="eastAsia" w:ascii="宋体" w:hAnsi="宋体" w:cs="宋体"/>
          <w:color w:val="FF0000"/>
          <w:sz w:val="24"/>
          <w:szCs w:val="24"/>
        </w:rPr>
        <w:t>项目余款待相关部门验收通过，财政资金补助到位后按实支付。</w:t>
      </w:r>
    </w:p>
    <w:p w14:paraId="775E49C8">
      <w:pPr>
        <w:widowControl/>
        <w:numPr>
          <w:ilvl w:val="0"/>
          <w:numId w:val="1"/>
        </w:numPr>
        <w:spacing w:line="400" w:lineRule="exact"/>
        <w:ind w:firstLine="480" w:firstLineChars="200"/>
        <w:jc w:val="left"/>
        <w:rPr>
          <w:rFonts w:hint="eastAsia"/>
          <w:color w:val="000000" w:themeColor="text1"/>
          <w:sz w:val="24"/>
          <w14:textFill>
            <w14:solidFill>
              <w14:schemeClr w14:val="tx1"/>
            </w14:solidFill>
          </w14:textFill>
        </w:rPr>
      </w:pPr>
      <w:r>
        <w:rPr>
          <w:rFonts w:hint="eastAsia" w:ascii="宋体" w:hAnsi="宋体" w:eastAsia="宋体" w:cs="宋体"/>
          <w:bCs/>
          <w:color w:val="FF0000"/>
          <w:sz w:val="24"/>
          <w:szCs w:val="24"/>
        </w:rPr>
        <w:t>结算时中标人应提供相应额度的税务发票。</w:t>
      </w:r>
    </w:p>
    <w:p w14:paraId="737D2E33">
      <w:pPr>
        <w:widowControl/>
        <w:numPr>
          <w:ilvl w:val="0"/>
          <w:numId w:val="0"/>
        </w:numPr>
        <w:spacing w:line="400" w:lineRule="exact"/>
        <w:ind w:firstLine="480" w:firstLineChars="200"/>
        <w:jc w:val="left"/>
        <w:rPr>
          <w:rFonts w:hint="eastAsia"/>
          <w:sz w:val="24"/>
        </w:rPr>
      </w:pPr>
      <w:r>
        <w:rPr>
          <w:rFonts w:hint="eastAsia"/>
          <w:sz w:val="24"/>
        </w:rPr>
        <w:t>接受县资规局、</w:t>
      </w:r>
      <w:r>
        <w:rPr>
          <w:rFonts w:hint="eastAsia"/>
          <w:sz w:val="24"/>
          <w:lang w:val="en-US" w:eastAsia="zh-CN"/>
        </w:rPr>
        <w:t>大盘山管理局</w:t>
      </w:r>
      <w:r>
        <w:rPr>
          <w:rFonts w:hint="eastAsia"/>
          <w:sz w:val="24"/>
        </w:rPr>
        <w:t>、各村监督检查，落实质量问题整改，做好清理“回头看”。要按合同要求组织开展自查验收，实地抽查不少于</w:t>
      </w:r>
      <w:r>
        <w:rPr>
          <w:rFonts w:hint="eastAsia"/>
          <w:sz w:val="24"/>
          <w:lang w:val="en-US" w:eastAsia="zh-CN"/>
        </w:rPr>
        <w:t>8</w:t>
      </w:r>
      <w:r>
        <w:rPr>
          <w:rFonts w:hint="eastAsia"/>
          <w:sz w:val="24"/>
        </w:rPr>
        <w:t>处清理山场（点），检查路线从山脚至山顶，清理质量不达标或有零星漏清枯死松树的，要责令清理单位返工清理，并每处扣款500元；对成片未清理的，依据枯死松树量每处扣款1000-3000元；对发现砍伐活松木或其他林木的，每发现一处扣款1000元。县资规</w:t>
      </w:r>
      <w:r>
        <w:rPr>
          <w:rFonts w:hint="eastAsia"/>
          <w:sz w:val="24"/>
          <w:lang w:val="en-US" w:eastAsia="zh-CN"/>
        </w:rPr>
        <w:t>局</w:t>
      </w:r>
      <w:r>
        <w:rPr>
          <w:rFonts w:hint="eastAsia"/>
          <w:sz w:val="24"/>
        </w:rPr>
        <w:t>委托第三方机构的自查验收情况进行抽样核查抽查不少于</w:t>
      </w:r>
      <w:r>
        <w:rPr>
          <w:rFonts w:hint="eastAsia"/>
          <w:sz w:val="24"/>
          <w:lang w:val="en-US" w:eastAsia="zh-CN"/>
        </w:rPr>
        <w:t>8</w:t>
      </w:r>
      <w:r>
        <w:rPr>
          <w:rFonts w:hint="eastAsia"/>
          <w:sz w:val="24"/>
        </w:rPr>
        <w:t>处清理山场（点），具体核验办法按上级标准验收。</w:t>
      </w:r>
    </w:p>
    <w:p w14:paraId="3D67589F">
      <w:pPr>
        <w:widowControl/>
        <w:spacing w:line="400" w:lineRule="exact"/>
        <w:ind w:firstLine="480" w:firstLineChars="200"/>
        <w:jc w:val="left"/>
        <w:rPr>
          <w:rFonts w:hint="eastAsia"/>
          <w:sz w:val="24"/>
          <w:lang w:eastAsia="zh-CN"/>
        </w:rPr>
        <w:sectPr>
          <w:headerReference r:id="rId6" w:type="default"/>
          <w:footerReference r:id="rId7" w:type="default"/>
          <w:pgSz w:w="11901" w:h="16821"/>
          <w:pgMar w:top="1680" w:right="1680" w:bottom="1440" w:left="1680" w:header="840" w:footer="720" w:gutter="0"/>
          <w:cols w:space="720" w:num="1"/>
        </w:sectPr>
      </w:pPr>
    </w:p>
    <w:p w14:paraId="72B6870C">
      <w:pPr>
        <w:bidi w:val="0"/>
        <w:rPr>
          <w:rFonts w:hint="eastAsia"/>
          <w:lang w:val="en-US" w:eastAsia="zh-CN"/>
        </w:rPr>
      </w:pPr>
    </w:p>
    <w:p w14:paraId="4FB6C2A3">
      <w:pPr>
        <w:bidi w:val="0"/>
      </w:pPr>
    </w:p>
    <w:p w14:paraId="6CBDCCEE">
      <w:pPr>
        <w:pStyle w:val="539"/>
        <w:ind w:firstLine="2650" w:firstLineChars="600"/>
        <w:jc w:val="both"/>
        <w:outlineLvl w:val="0"/>
        <w:rPr>
          <w:rStyle w:val="74"/>
          <w:rFonts w:hint="eastAsia" w:eastAsia="宋体"/>
          <w:color w:val="auto"/>
          <w:highlight w:val="none"/>
        </w:rPr>
      </w:pPr>
      <w:bookmarkStart w:id="58" w:name="_Toc21466"/>
      <w:bookmarkStart w:id="59" w:name="_Toc26924"/>
      <w:bookmarkStart w:id="60" w:name="_Toc20863"/>
      <w:r>
        <w:rPr>
          <w:rStyle w:val="74"/>
          <w:rFonts w:hint="eastAsia" w:eastAsia="宋体"/>
          <w:color w:val="auto"/>
          <w:highlight w:val="none"/>
        </w:rPr>
        <w:t>第三章  投标人须知</w:t>
      </w:r>
      <w:bookmarkEnd w:id="58"/>
      <w:bookmarkEnd w:id="59"/>
      <w:bookmarkEnd w:id="60"/>
    </w:p>
    <w:p w14:paraId="239E7729">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6"/>
          <w:szCs w:val="36"/>
          <w:highlight w:val="none"/>
        </w:rPr>
      </w:pPr>
      <w:bookmarkStart w:id="61" w:name="_Toc28964"/>
      <w:bookmarkStart w:id="62" w:name="_Toc30919"/>
      <w:bookmarkStart w:id="63" w:name="_Toc9522"/>
      <w:bookmarkStart w:id="64" w:name="_Toc32315"/>
      <w:bookmarkStart w:id="65" w:name="_Toc16323"/>
      <w:bookmarkStart w:id="66" w:name="_Toc5053"/>
      <w:bookmarkStart w:id="67" w:name="_Toc18857"/>
      <w:bookmarkStart w:id="68" w:name="_Toc4890"/>
      <w:bookmarkStart w:id="69" w:name="_Toc31446"/>
      <w:r>
        <w:rPr>
          <w:rFonts w:hint="eastAsia"/>
          <w:color w:val="auto"/>
          <w:sz w:val="36"/>
          <w:szCs w:val="36"/>
          <w:highlight w:val="none"/>
        </w:rPr>
        <w:t>前 附 表</w:t>
      </w:r>
    </w:p>
    <w:tbl>
      <w:tblPr>
        <w:tblStyle w:val="53"/>
        <w:tblW w:w="9500" w:type="dxa"/>
        <w:tblInd w:w="93" w:type="dxa"/>
        <w:tblLayout w:type="fixed"/>
        <w:tblCellMar>
          <w:top w:w="0" w:type="dxa"/>
          <w:left w:w="108" w:type="dxa"/>
          <w:bottom w:w="0" w:type="dxa"/>
          <w:right w:w="108" w:type="dxa"/>
        </w:tblCellMar>
      </w:tblPr>
      <w:tblGrid>
        <w:gridCol w:w="736"/>
        <w:gridCol w:w="1064"/>
        <w:gridCol w:w="7700"/>
      </w:tblGrid>
      <w:tr w14:paraId="17A76DFA">
        <w:tblPrEx>
          <w:tblCellMar>
            <w:top w:w="0" w:type="dxa"/>
            <w:left w:w="108" w:type="dxa"/>
            <w:bottom w:w="0" w:type="dxa"/>
            <w:right w:w="108" w:type="dxa"/>
          </w:tblCellMar>
        </w:tblPrEx>
        <w:trPr>
          <w:trHeight w:val="529"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2FE5078">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4120074">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14:paraId="06DF0DA4">
            <w:pPr>
              <w:spacing w:line="360" w:lineRule="auto"/>
              <w:ind w:firstLine="2650" w:firstLineChars="1100"/>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要求与说明</w:t>
            </w:r>
          </w:p>
        </w:tc>
      </w:tr>
      <w:tr w14:paraId="59E91E56">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CC39271">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1BEE9BF6">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14:paraId="1EECE8CD">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55C9FD63">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526DE4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64" w:type="dxa"/>
            <w:tcBorders>
              <w:top w:val="single" w:color="000000" w:sz="4" w:space="0"/>
              <w:left w:val="single" w:color="000000" w:sz="4" w:space="0"/>
              <w:bottom w:val="single" w:color="000000" w:sz="4" w:space="0"/>
              <w:right w:val="single" w:color="000000" w:sz="4" w:space="0"/>
            </w:tcBorders>
            <w:vAlign w:val="center"/>
          </w:tcPr>
          <w:p w14:paraId="31B9761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14:paraId="7E3D76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10035E0A">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8C2FF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64" w:type="dxa"/>
            <w:tcBorders>
              <w:top w:val="single" w:color="000000" w:sz="4" w:space="0"/>
              <w:left w:val="single" w:color="000000" w:sz="4" w:space="0"/>
              <w:bottom w:val="single" w:color="000000" w:sz="4" w:space="0"/>
              <w:right w:val="single" w:color="000000" w:sz="4" w:space="0"/>
            </w:tcBorders>
            <w:vAlign w:val="center"/>
          </w:tcPr>
          <w:p w14:paraId="4FF821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14:paraId="5578AE1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r>
              <w:rPr>
                <w:rFonts w:hint="eastAsia" w:ascii="宋体" w:hAnsi="宋体" w:cs="宋体"/>
                <w:color w:val="auto"/>
                <w:szCs w:val="21"/>
                <w:highlight w:val="none"/>
                <w:lang w:eastAsia="zh-CN"/>
              </w:rPr>
              <w:t>及损失</w:t>
            </w:r>
            <w:r>
              <w:rPr>
                <w:rFonts w:hint="eastAsia" w:ascii="宋体" w:hAnsi="宋体" w:cs="宋体"/>
                <w:color w:val="auto"/>
                <w:szCs w:val="21"/>
                <w:highlight w:val="none"/>
              </w:rPr>
              <w:t>。</w:t>
            </w:r>
          </w:p>
          <w:p w14:paraId="6A8A16A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A7AA462">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B1EA6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64" w:type="dxa"/>
            <w:tcBorders>
              <w:top w:val="single" w:color="000000" w:sz="4" w:space="0"/>
              <w:left w:val="single" w:color="000000" w:sz="4" w:space="0"/>
              <w:bottom w:val="single" w:color="000000" w:sz="4" w:space="0"/>
              <w:right w:val="single" w:color="000000" w:sz="4" w:space="0"/>
            </w:tcBorders>
            <w:vAlign w:val="center"/>
          </w:tcPr>
          <w:p w14:paraId="1821C4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14:paraId="21897E49">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4A5520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7FB3C588">
            <w:pPr>
              <w:spacing w:line="440" w:lineRule="exact"/>
              <w:rPr>
                <w:rFonts w:hint="eastAsia" w:ascii="宋体" w:hAnsi="宋体" w:cs="宋体"/>
                <w:szCs w:val="21"/>
              </w:rPr>
            </w:pPr>
            <w:r>
              <w:rPr>
                <w:rFonts w:hint="eastAsia" w:ascii="宋体" w:hAnsi="宋体" w:cs="宋体"/>
                <w:szCs w:val="21"/>
              </w:rPr>
              <w:t>3.1采购代理费参照《招标代理服务收费管理暂行办法》（国家计委计价格［2002］1980号）规定计取，由成交供应商承担，在领取成交通知书前一次性支付给采购代理机构。</w:t>
            </w:r>
          </w:p>
          <w:p w14:paraId="511D5F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Cs w:val="21"/>
                <w:highlight w:val="none"/>
                <w:lang w:val="en-US" w:eastAsia="zh-CN"/>
              </w:rPr>
            </w:pPr>
            <w:r>
              <w:rPr>
                <w:rFonts w:hint="eastAsia" w:ascii="宋体" w:hAnsi="宋体" w:cs="宋体"/>
                <w:szCs w:val="21"/>
              </w:rPr>
              <w:t>3.2若出现终止采购情形的，采购代理服务费由采购人支付。</w:t>
            </w:r>
          </w:p>
        </w:tc>
      </w:tr>
      <w:tr w14:paraId="3E45FC6F">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3C6AA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64" w:type="dxa"/>
            <w:tcBorders>
              <w:top w:val="single" w:color="000000" w:sz="4" w:space="0"/>
              <w:left w:val="single" w:color="000000" w:sz="4" w:space="0"/>
              <w:bottom w:val="single" w:color="000000" w:sz="4" w:space="0"/>
              <w:right w:val="single" w:color="000000" w:sz="4" w:space="0"/>
            </w:tcBorders>
            <w:vAlign w:val="center"/>
          </w:tcPr>
          <w:p w14:paraId="65B973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14:paraId="5C9C85FF">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本项目接受（</w:t>
            </w: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部分/</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全部）联合体投标。</w:t>
            </w:r>
          </w:p>
          <w:p w14:paraId="2D579CC7">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大型企业与大型企业组成联合体；</w:t>
            </w:r>
          </w:p>
          <w:p w14:paraId="164206EC">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大型企业与中型企业组成联合体；</w:t>
            </w:r>
          </w:p>
          <w:p w14:paraId="7DE22D24">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大型企业与小微企业组成联合体；</w:t>
            </w:r>
          </w:p>
          <w:p w14:paraId="2D78C332">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中型企业与中型企业组成联合体；</w:t>
            </w:r>
          </w:p>
          <w:p w14:paraId="3307CD80">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中型企业与小微企业组成联合体；</w:t>
            </w:r>
          </w:p>
          <w:p w14:paraId="5F0752C6">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小微企业与小微企业组成联合体；</w:t>
            </w:r>
          </w:p>
        </w:tc>
      </w:tr>
      <w:tr w14:paraId="29FA980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8CC834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vAlign w:val="center"/>
          </w:tcPr>
          <w:p w14:paraId="7C844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14:paraId="68FC4F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6BE0722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FBF66F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64" w:type="dxa"/>
            <w:tcBorders>
              <w:top w:val="single" w:color="000000" w:sz="4" w:space="0"/>
              <w:left w:val="single" w:color="000000" w:sz="4" w:space="0"/>
              <w:bottom w:val="single" w:color="000000" w:sz="4" w:space="0"/>
              <w:right w:val="single" w:color="000000" w:sz="4" w:space="0"/>
            </w:tcBorders>
            <w:vAlign w:val="center"/>
          </w:tcPr>
          <w:p w14:paraId="1D79CA8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3AC2B335">
            <w:pPr>
              <w:spacing w:line="4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提交投标文件截止时间起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0天</w:t>
            </w:r>
          </w:p>
        </w:tc>
      </w:tr>
      <w:tr w14:paraId="1AD8A790">
        <w:tblPrEx>
          <w:tblCellMar>
            <w:top w:w="0" w:type="dxa"/>
            <w:left w:w="108" w:type="dxa"/>
            <w:bottom w:w="0" w:type="dxa"/>
            <w:right w:w="108" w:type="dxa"/>
          </w:tblCellMar>
        </w:tblPrEx>
        <w:trPr>
          <w:trHeight w:val="145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74B7D7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64" w:type="dxa"/>
            <w:tcBorders>
              <w:top w:val="single" w:color="000000" w:sz="4" w:space="0"/>
              <w:left w:val="single" w:color="000000" w:sz="4" w:space="0"/>
              <w:bottom w:val="single" w:color="000000" w:sz="4" w:space="0"/>
              <w:right w:val="single" w:color="000000" w:sz="4" w:space="0"/>
            </w:tcBorders>
            <w:vAlign w:val="center"/>
          </w:tcPr>
          <w:p w14:paraId="6DA5AA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700" w:type="dxa"/>
            <w:tcBorders>
              <w:top w:val="single" w:color="000000" w:sz="4" w:space="0"/>
              <w:left w:val="single" w:color="000000" w:sz="4" w:space="0"/>
              <w:bottom w:val="single" w:color="000000" w:sz="4" w:space="0"/>
              <w:right w:val="single" w:color="000000" w:sz="4" w:space="0"/>
            </w:tcBorders>
            <w:vAlign w:val="center"/>
          </w:tcPr>
          <w:p w14:paraId="0AFEEE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6618EEEC">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002A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64" w:type="dxa"/>
            <w:tcBorders>
              <w:top w:val="single" w:color="000000" w:sz="4" w:space="0"/>
              <w:left w:val="single" w:color="000000" w:sz="4" w:space="0"/>
              <w:bottom w:val="nil"/>
              <w:right w:val="single" w:color="000000" w:sz="4" w:space="0"/>
            </w:tcBorders>
            <w:vAlign w:val="center"/>
          </w:tcPr>
          <w:p w14:paraId="11DB8B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14:paraId="31C8161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本项目实行在线电子投标。分电子投标文件、以介质存储的数据电文形式的备份投标文件、纸质备份投标文件三类，不同形式递交的文件内容均应一致：</w:t>
            </w:r>
          </w:p>
          <w:p w14:paraId="6D0F247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57F8D5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（2）以介质存储的数据电文形式的备份投标文件，按政采云平台项目采购-电子招投标操作指南中上传的电子投标文件格式，以U盘形式提供1份。</w:t>
            </w:r>
          </w:p>
          <w:p w14:paraId="1612FB1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（3）纸质备份投标文件将以纸质文件的形式递交，正本 1 份，副本1份。</w:t>
            </w:r>
          </w:p>
          <w:p w14:paraId="10848EC1">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备份文件不做强制性要求，由投标人自行考虑是否提供，后果自行承担。</w:t>
            </w:r>
          </w:p>
          <w:p w14:paraId="6F09ECAD">
            <w:pPr>
              <w:spacing w:line="44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供应商仅提供备份投标文件（包括以电子备份投标文件、纸质备份投标文件）投标的，投标无效。备份投标文件</w:t>
            </w:r>
            <w:r>
              <w:rPr>
                <w:rFonts w:hint="eastAsia" w:ascii="宋体" w:hAnsi="宋体" w:cs="宋体"/>
                <w:b/>
                <w:bCs/>
                <w:color w:val="auto"/>
                <w:szCs w:val="21"/>
                <w:highlight w:val="none"/>
                <w:lang w:eastAsia="zh-CN"/>
              </w:rPr>
              <w:t>应与</w:t>
            </w:r>
            <w:r>
              <w:rPr>
                <w:rFonts w:hint="eastAsia" w:ascii="宋体" w:hAnsi="宋体" w:eastAsia="宋体" w:cs="宋体"/>
                <w:b/>
                <w:bCs/>
                <w:color w:val="auto"/>
                <w:szCs w:val="21"/>
                <w:highlight w:val="none"/>
              </w:rPr>
              <w:t>电子投标文件</w:t>
            </w:r>
            <w:r>
              <w:rPr>
                <w:rFonts w:hint="eastAsia" w:ascii="宋体" w:hAnsi="宋体" w:eastAsia="宋体" w:cs="宋体"/>
                <w:b/>
                <w:bCs/>
                <w:color w:val="auto"/>
                <w:szCs w:val="21"/>
                <w:highlight w:val="none"/>
                <w:lang w:eastAsia="zh-CN"/>
              </w:rPr>
              <w:t>内容一致。</w:t>
            </w:r>
          </w:p>
          <w:p w14:paraId="318A27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69B34EE9">
        <w:tblPrEx>
          <w:tblCellMar>
            <w:top w:w="0" w:type="dxa"/>
            <w:left w:w="108" w:type="dxa"/>
            <w:bottom w:w="0" w:type="dxa"/>
            <w:right w:w="108" w:type="dxa"/>
          </w:tblCellMar>
        </w:tblPrEx>
        <w:trPr>
          <w:trHeight w:val="94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31CD7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64" w:type="dxa"/>
            <w:tcBorders>
              <w:top w:val="single" w:color="000000" w:sz="4" w:space="0"/>
              <w:left w:val="single" w:color="000000" w:sz="4" w:space="0"/>
              <w:bottom w:val="single" w:color="000000" w:sz="4" w:space="0"/>
              <w:right w:val="single" w:color="000000" w:sz="4" w:space="0"/>
            </w:tcBorders>
            <w:vAlign w:val="center"/>
          </w:tcPr>
          <w:p w14:paraId="5430222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14:paraId="55C0142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根据《关于在政府采购活动中查询及使用信用记录有关问题的通知》财库[2</w:t>
            </w:r>
            <w:r>
              <w:rPr>
                <w:rFonts w:hint="eastAsia" w:ascii="宋体" w:hAnsi="宋体" w:cs="宋体"/>
                <w:color w:val="auto"/>
                <w:szCs w:val="21"/>
                <w:highlight w:val="none"/>
                <w:lang w:eastAsia="zh-CN"/>
              </w:rPr>
              <w:t>002</w:t>
            </w:r>
            <w:r>
              <w:rPr>
                <w:rFonts w:hint="eastAsia" w:ascii="宋体" w:hAnsi="宋体" w:cs="宋体"/>
                <w:color w:val="auto"/>
                <w:szCs w:val="21"/>
                <w:highlight w:val="none"/>
              </w:rPr>
              <w:t>]125号的规定：</w:t>
            </w:r>
          </w:p>
          <w:p w14:paraId="3BF4DFC0">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p>
          <w:p w14:paraId="362F7F3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（2）截止时点：提交投标文件（响应文件）截止时间前3年内；</w:t>
            </w:r>
          </w:p>
          <w:p w14:paraId="42A2B2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（3）查询记录和证据的留存：信用信息查询记录和证据以网页截图等方式留存。</w:t>
            </w:r>
          </w:p>
          <w:p w14:paraId="2AF189BD">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E3737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（5）联合体成员任意一方存在不良信用记录的，视同联合体存在不良信用记录。</w:t>
            </w:r>
          </w:p>
        </w:tc>
      </w:tr>
      <w:tr w14:paraId="2DFC1B2E">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489720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64" w:type="dxa"/>
            <w:tcBorders>
              <w:top w:val="single" w:color="000000" w:sz="4" w:space="0"/>
              <w:left w:val="single" w:color="000000" w:sz="4" w:space="0"/>
              <w:bottom w:val="single" w:color="000000" w:sz="4" w:space="0"/>
              <w:right w:val="single" w:color="000000" w:sz="4" w:space="0"/>
            </w:tcBorders>
            <w:vAlign w:val="center"/>
          </w:tcPr>
          <w:p w14:paraId="46C2E4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14:paraId="2D2B1F6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797E3003">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95599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64" w:type="dxa"/>
            <w:tcBorders>
              <w:top w:val="single" w:color="000000" w:sz="4" w:space="0"/>
              <w:left w:val="single" w:color="000000" w:sz="4" w:space="0"/>
              <w:bottom w:val="single" w:color="000000" w:sz="4" w:space="0"/>
              <w:right w:val="single" w:color="000000" w:sz="4" w:space="0"/>
            </w:tcBorders>
            <w:vAlign w:val="center"/>
          </w:tcPr>
          <w:p w14:paraId="2CDCFA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14:paraId="4EF02DD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5F9BE468">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09E21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vAlign w:val="center"/>
          </w:tcPr>
          <w:p w14:paraId="6B25A33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7B809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1B8977A0">
        <w:tblPrEx>
          <w:tblCellMar>
            <w:top w:w="0" w:type="dxa"/>
            <w:left w:w="108" w:type="dxa"/>
            <w:bottom w:w="0" w:type="dxa"/>
            <w:right w:w="108" w:type="dxa"/>
          </w:tblCellMar>
        </w:tblPrEx>
        <w:trPr>
          <w:trHeight w:val="116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688C3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64" w:type="dxa"/>
            <w:tcBorders>
              <w:top w:val="single" w:color="000000" w:sz="4" w:space="0"/>
              <w:left w:val="single" w:color="000000" w:sz="4" w:space="0"/>
              <w:bottom w:val="single" w:color="000000" w:sz="4" w:space="0"/>
              <w:right w:val="single" w:color="000000" w:sz="4" w:space="0"/>
            </w:tcBorders>
            <w:vAlign w:val="center"/>
          </w:tcPr>
          <w:p w14:paraId="434CE9DD">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182E6BFC">
            <w:pPr>
              <w:wordWrap w:val="0"/>
              <w:snapToGrid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szCs w:val="21"/>
              </w:rPr>
              <w:t>采购人要求中标或者成交供应商提交履约保证金的，供应商可以以支票、汇票、本票或者金融机构、担保机构出具的保函等非现金形式提交。本项目履约保证金按合同金额的</w:t>
            </w:r>
            <w:r>
              <w:rPr>
                <w:rFonts w:hint="eastAsia" w:ascii="宋体" w:hAnsi="宋体" w:eastAsia="宋体" w:cs="宋体"/>
                <w:color w:val="0000FF"/>
                <w:szCs w:val="21"/>
                <w:u w:val="single"/>
                <w:lang w:val="en-US" w:eastAsia="zh-CN"/>
              </w:rPr>
              <w:t>1</w:t>
            </w:r>
            <w:r>
              <w:rPr>
                <w:rFonts w:hint="eastAsia" w:ascii="宋体" w:hAnsi="宋体" w:eastAsia="宋体" w:cs="宋体"/>
                <w:color w:val="0000FF"/>
                <w:szCs w:val="21"/>
                <w:u w:val="single"/>
              </w:rPr>
              <w:t xml:space="preserve">% </w:t>
            </w:r>
            <w:r>
              <w:rPr>
                <w:rFonts w:hint="eastAsia" w:ascii="宋体" w:hAnsi="宋体" w:eastAsia="宋体" w:cs="宋体"/>
                <w:szCs w:val="21"/>
              </w:rPr>
              <w:t>收取，在合同签订时向采购单位交纳。履约保证金自提交之日起至项目最终验收合格后15个工作日无息退还。</w:t>
            </w:r>
          </w:p>
        </w:tc>
      </w:tr>
      <w:tr w14:paraId="5B1E0146">
        <w:tblPrEx>
          <w:tblCellMar>
            <w:top w:w="0" w:type="dxa"/>
            <w:left w:w="108" w:type="dxa"/>
            <w:bottom w:w="0" w:type="dxa"/>
            <w:right w:w="108" w:type="dxa"/>
          </w:tblCellMar>
        </w:tblPrEx>
        <w:trPr>
          <w:trHeight w:val="69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5758F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64" w:type="dxa"/>
            <w:tcBorders>
              <w:top w:val="single" w:color="000000" w:sz="4" w:space="0"/>
              <w:left w:val="single" w:color="000000" w:sz="4" w:space="0"/>
              <w:bottom w:val="single" w:color="000000" w:sz="4" w:space="0"/>
              <w:right w:val="single" w:color="000000" w:sz="4" w:space="0"/>
            </w:tcBorders>
            <w:vAlign w:val="center"/>
          </w:tcPr>
          <w:p w14:paraId="56D7FFF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14:paraId="14C62398">
            <w:pPr>
              <w:spacing w:line="440" w:lineRule="exact"/>
              <w:rPr>
                <w:rFonts w:hint="eastAsia" w:ascii="宋体" w:hAnsi="宋体" w:cs="宋体"/>
                <w:szCs w:val="21"/>
              </w:rPr>
            </w:pPr>
            <w:r>
              <w:rPr>
                <w:rFonts w:hint="eastAsia" w:ascii="宋体" w:hAnsi="宋体" w:cs="宋体"/>
                <w:szCs w:val="21"/>
              </w:rPr>
              <w:t>1.预付款：根据（浙财采监〔2020）3号）、（浙财采监〔2022）3号）文件相关规定，采购单位应当在政府采购合同中约定预付款。</w:t>
            </w:r>
          </w:p>
          <w:p w14:paraId="5967DE31">
            <w:pPr>
              <w:spacing w:line="440" w:lineRule="exact"/>
              <w:rPr>
                <w:rFonts w:hint="eastAsia" w:ascii="宋体" w:hAnsi="宋体" w:cs="宋体"/>
                <w:szCs w:val="21"/>
              </w:rPr>
            </w:pPr>
            <w:r>
              <w:rPr>
                <w:rFonts w:hint="eastAsia" w:ascii="宋体" w:hAnsi="宋体" w:cs="宋体"/>
                <w:szCs w:val="21"/>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14:paraId="236428CB">
            <w:pPr>
              <w:spacing w:line="440" w:lineRule="exact"/>
              <w:rPr>
                <w:rFonts w:hint="eastAsia" w:ascii="宋体" w:hAnsi="宋体" w:cs="宋体"/>
                <w:szCs w:val="21"/>
              </w:rPr>
            </w:pPr>
            <w:r>
              <w:rPr>
                <w:rFonts w:hint="eastAsia" w:ascii="宋体" w:hAnsi="宋体" w:cs="宋体"/>
                <w:szCs w:val="21"/>
              </w:rPr>
              <w:t>（2）采购单位根据项目特点、供应商诚信等因素，可以要求供应商提交银行、保险公司等金融机构出具的预付款保函或其他担保措施；</w:t>
            </w:r>
          </w:p>
          <w:p w14:paraId="45C1EB63">
            <w:pPr>
              <w:spacing w:line="440" w:lineRule="exact"/>
              <w:rPr>
                <w:rFonts w:hint="eastAsia" w:ascii="宋体" w:hAnsi="宋体" w:cs="宋体"/>
                <w:szCs w:val="21"/>
              </w:rPr>
            </w:pPr>
            <w:r>
              <w:rPr>
                <w:rFonts w:hint="eastAsia" w:ascii="宋体" w:hAnsi="宋体" w:cs="宋体"/>
                <w:szCs w:val="21"/>
              </w:rPr>
              <w:t>（3）政府采购预付款应在合同生效以及具备实施条件后7个工作日内支付；</w:t>
            </w:r>
          </w:p>
          <w:p w14:paraId="4AA356F1">
            <w:pPr>
              <w:spacing w:line="440" w:lineRule="exact"/>
              <w:rPr>
                <w:rFonts w:hint="eastAsia" w:ascii="宋体" w:hAnsi="宋体" w:cs="宋体"/>
                <w:szCs w:val="21"/>
              </w:rPr>
            </w:pPr>
            <w:r>
              <w:rPr>
                <w:rFonts w:hint="eastAsia" w:ascii="宋体" w:hAnsi="宋体" w:cs="宋体"/>
                <w:szCs w:val="21"/>
              </w:rPr>
              <w:t>（4）政府采购工程以及与工程建设有关的货物、服务，采用招标方式采购的，预付款从其相关规定。</w:t>
            </w:r>
          </w:p>
          <w:p w14:paraId="002C085A">
            <w:pPr>
              <w:widowControl/>
              <w:spacing w:line="400" w:lineRule="exact"/>
              <w:jc w:val="left"/>
              <w:rPr>
                <w:rFonts w:hint="eastAsia" w:ascii="宋体" w:hAnsi="宋体" w:cs="宋体"/>
                <w:color w:val="auto"/>
                <w:szCs w:val="21"/>
                <w:highlight w:val="none"/>
              </w:rPr>
            </w:pPr>
            <w:r>
              <w:rPr>
                <w:rFonts w:hint="eastAsia" w:ascii="宋体" w:hAnsi="宋体" w:cs="宋体"/>
                <w:szCs w:val="21"/>
              </w:rPr>
              <w:t>2.其他款项支付方式：按合同约定。</w:t>
            </w:r>
          </w:p>
        </w:tc>
      </w:tr>
      <w:tr w14:paraId="4CF4A4BA">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FB5715">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vAlign w:val="center"/>
          </w:tcPr>
          <w:p w14:paraId="5192EC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700" w:type="dxa"/>
            <w:tcBorders>
              <w:top w:val="single" w:color="000000" w:sz="4" w:space="0"/>
              <w:left w:val="single" w:color="000000" w:sz="4" w:space="0"/>
              <w:bottom w:val="single" w:color="000000" w:sz="4" w:space="0"/>
              <w:right w:val="single" w:color="000000" w:sz="4" w:space="0"/>
            </w:tcBorders>
            <w:vAlign w:val="center"/>
          </w:tcPr>
          <w:p w14:paraId="203A8226">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本项目的核心产品为：</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 xml:space="preserve">   </w:t>
            </w:r>
          </w:p>
        </w:tc>
      </w:tr>
      <w:tr w14:paraId="4920CC4E">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36527BA">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vAlign w:val="center"/>
          </w:tcPr>
          <w:p w14:paraId="1C2CEB91">
            <w:pPr>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cBorders>
            <w:vAlign w:val="center"/>
          </w:tcPr>
          <w:p w14:paraId="6A4BBD6D">
            <w:pPr>
              <w:spacing w:line="44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6783F67">
        <w:tblPrEx>
          <w:tblCellMar>
            <w:top w:w="0" w:type="dxa"/>
            <w:left w:w="108" w:type="dxa"/>
            <w:bottom w:w="0" w:type="dxa"/>
            <w:right w:w="108" w:type="dxa"/>
          </w:tblCellMar>
        </w:tblPrEx>
        <w:trPr>
          <w:trHeight w:val="148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16BA291">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64" w:type="dxa"/>
            <w:tcBorders>
              <w:top w:val="single" w:color="000000" w:sz="4" w:space="0"/>
              <w:left w:val="single" w:color="000000" w:sz="4" w:space="0"/>
              <w:bottom w:val="single" w:color="000000" w:sz="4" w:space="0"/>
              <w:right w:val="single" w:color="000000" w:sz="4" w:space="0"/>
            </w:tcBorders>
            <w:vAlign w:val="center"/>
          </w:tcPr>
          <w:p w14:paraId="0695AC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扶持中小企业政策（监狱企业、残疾人福利性单位</w:t>
            </w:r>
            <w:r>
              <w:rPr>
                <w:rFonts w:hint="eastAsia" w:ascii="宋体" w:hAnsi="宋体" w:cs="宋体"/>
                <w:color w:val="auto"/>
                <w:szCs w:val="21"/>
                <w:highlight w:val="none"/>
                <w:lang w:eastAsia="zh-CN"/>
              </w:rPr>
              <w:t>视同小微企业</w:t>
            </w:r>
            <w:r>
              <w:rPr>
                <w:rFonts w:hint="eastAsia" w:ascii="宋体" w:hAnsi="宋体" w:cs="宋体"/>
                <w:color w:val="auto"/>
                <w:szCs w:val="21"/>
                <w:highlight w:val="none"/>
              </w:rPr>
              <w:t>）</w:t>
            </w:r>
          </w:p>
        </w:tc>
        <w:tc>
          <w:tcPr>
            <w:tcW w:w="7700" w:type="dxa"/>
            <w:tcBorders>
              <w:top w:val="single" w:color="000000" w:sz="4" w:space="0"/>
              <w:left w:val="single" w:color="000000" w:sz="4" w:space="0"/>
              <w:bottom w:val="single" w:color="000000" w:sz="4" w:space="0"/>
              <w:right w:val="single" w:color="000000" w:sz="4" w:space="0"/>
            </w:tcBorders>
            <w:vAlign w:val="center"/>
          </w:tcPr>
          <w:p w14:paraId="2853BE8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A35126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（1）最高限价：</w:t>
            </w:r>
            <w:r>
              <w:rPr>
                <w:rFonts w:hint="eastAsia" w:ascii="宋体" w:hAnsi="宋体" w:cs="宋体"/>
                <w:b w:val="0"/>
                <w:bCs w:val="0"/>
                <w:color w:val="auto"/>
                <w:szCs w:val="21"/>
                <w:highlight w:val="none"/>
                <w:u w:val="single"/>
                <w:lang w:val="en-US" w:eastAsia="zh-CN"/>
              </w:rPr>
              <w:t xml:space="preserve"> 140 </w:t>
            </w:r>
            <w:r>
              <w:rPr>
                <w:rFonts w:hint="eastAsia" w:ascii="宋体" w:hAnsi="宋体" w:cs="宋体"/>
                <w:b w:val="0"/>
                <w:bCs w:val="0"/>
                <w:color w:val="auto"/>
                <w:szCs w:val="21"/>
                <w:highlight w:val="none"/>
                <w:lang w:val="en-US" w:eastAsia="zh-CN"/>
              </w:rPr>
              <w:t xml:space="preserve"> 万</w:t>
            </w:r>
            <w:r>
              <w:rPr>
                <w:rFonts w:hint="eastAsia" w:ascii="宋体" w:hAnsi="宋体" w:cs="宋体"/>
                <w:b w:val="0"/>
                <w:bCs w:val="0"/>
                <w:color w:val="auto"/>
                <w:szCs w:val="21"/>
                <w:highlight w:val="none"/>
              </w:rPr>
              <w:t>元</w:t>
            </w:r>
            <w:r>
              <w:rPr>
                <w:rFonts w:hint="eastAsia" w:ascii="宋体" w:hAnsi="宋体" w:cs="宋体"/>
                <w:b w:val="0"/>
                <w:bCs w:val="0"/>
                <w:color w:val="auto"/>
                <w:szCs w:val="21"/>
                <w:highlight w:val="none"/>
                <w:lang w:eastAsia="zh-CN"/>
              </w:rPr>
              <w:t>；</w:t>
            </w:r>
          </w:p>
          <w:p w14:paraId="55FC6C0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（2）项目属性：</w:t>
            </w:r>
            <w:r>
              <w:rPr>
                <w:rFonts w:hint="eastAsia" w:ascii="宋体" w:hAnsi="宋体" w:cs="宋体"/>
                <w:color w:val="0000FF"/>
                <w:szCs w:val="21"/>
                <w:highlight w:val="none"/>
                <w:u w:val="single"/>
              </w:rPr>
              <w:t>②服务类</w:t>
            </w:r>
            <w:r>
              <w:rPr>
                <w:rFonts w:hint="eastAsia" w:ascii="宋体" w:hAnsi="宋体" w:cs="宋体"/>
                <w:color w:val="auto"/>
                <w:szCs w:val="21"/>
                <w:highlight w:val="none"/>
              </w:rPr>
              <w:t>（①货物类/②服务类/③工程类）</w:t>
            </w:r>
          </w:p>
          <w:p w14:paraId="3F6B6E8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（3）项目对应的中小企业划分标准所属行业：</w:t>
            </w:r>
            <w:r>
              <w:rPr>
                <w:rFonts w:hint="eastAsia" w:ascii="宋体" w:hAnsi="宋体" w:cs="宋体"/>
                <w:color w:val="auto"/>
                <w:szCs w:val="21"/>
                <w:highlight w:val="none"/>
                <w:u w:val="single"/>
                <w:lang w:val="en-US" w:eastAsia="zh-CN"/>
              </w:rPr>
              <w:t>⑯</w:t>
            </w:r>
            <w:r>
              <w:rPr>
                <w:rFonts w:hint="eastAsia" w:ascii="宋体" w:hAnsi="宋体" w:cs="宋体"/>
                <w:color w:val="auto"/>
                <w:szCs w:val="21"/>
                <w:highlight w:val="none"/>
              </w:rPr>
              <w:t>（根据《中小企业划型标准规定的通知》（工信部联企业〔2011〕300号）规定</w:t>
            </w:r>
            <w:r>
              <w:rPr>
                <w:rFonts w:hint="eastAsia" w:ascii="宋体" w:hAnsi="宋体" w:cs="宋体"/>
                <w:color w:val="auto"/>
                <w:szCs w:val="21"/>
                <w:highlight w:val="none"/>
                <w:lang w:eastAsia="zh-CN"/>
              </w:rPr>
              <w:t>明确</w:t>
            </w:r>
            <w:r>
              <w:rPr>
                <w:rFonts w:hint="eastAsia" w:ascii="宋体" w:hAnsi="宋体" w:cs="宋体"/>
                <w:color w:val="auto"/>
                <w:szCs w:val="21"/>
                <w:highlight w:val="none"/>
              </w:rPr>
              <w:t>）</w:t>
            </w:r>
          </w:p>
          <w:p w14:paraId="760C17B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（注：现行中小企业划分标准行业包括①农、林、牧、渔业</w:t>
            </w:r>
            <w:r>
              <w:rPr>
                <w:rFonts w:hint="eastAsia" w:ascii="宋体" w:hAnsi="宋体" w:cs="宋体"/>
                <w:color w:val="auto"/>
                <w:szCs w:val="21"/>
                <w:highlight w:val="none"/>
                <w:lang w:val="en-US" w:eastAsia="zh-CN"/>
              </w:rPr>
              <w:t>/ ②</w:t>
            </w:r>
            <w:r>
              <w:rPr>
                <w:rFonts w:hint="eastAsia" w:ascii="宋体" w:hAnsi="宋体" w:cs="宋体"/>
                <w:color w:val="auto"/>
                <w:szCs w:val="21"/>
                <w:highlight w:val="none"/>
              </w:rPr>
              <w:t>工业</w:t>
            </w:r>
            <w:r>
              <w:rPr>
                <w:rFonts w:hint="eastAsia" w:ascii="宋体" w:hAnsi="宋体" w:cs="宋体"/>
                <w:color w:val="auto"/>
                <w:szCs w:val="21"/>
                <w:highlight w:val="none"/>
                <w:lang w:val="en-US" w:eastAsia="zh-CN"/>
              </w:rPr>
              <w:t>/ ③</w:t>
            </w:r>
            <w:r>
              <w:rPr>
                <w:rFonts w:hint="eastAsia" w:ascii="宋体" w:hAnsi="宋体" w:cs="宋体"/>
                <w:color w:val="auto"/>
                <w:szCs w:val="21"/>
                <w:highlight w:val="none"/>
              </w:rPr>
              <w:t>建筑业</w:t>
            </w:r>
            <w:r>
              <w:rPr>
                <w:rFonts w:hint="eastAsia" w:ascii="宋体" w:hAnsi="宋体" w:cs="宋体"/>
                <w:color w:val="auto"/>
                <w:szCs w:val="21"/>
                <w:highlight w:val="none"/>
                <w:lang w:val="en-US" w:eastAsia="zh-CN"/>
              </w:rPr>
              <w:t>/   ④</w:t>
            </w:r>
            <w:r>
              <w:rPr>
                <w:rFonts w:hint="eastAsia" w:ascii="宋体" w:hAnsi="宋体" w:cs="宋体"/>
                <w:color w:val="auto"/>
                <w:szCs w:val="21"/>
                <w:highlight w:val="none"/>
              </w:rPr>
              <w:t>批发业</w:t>
            </w:r>
            <w:r>
              <w:rPr>
                <w:rFonts w:hint="eastAsia" w:ascii="宋体" w:hAnsi="宋体" w:cs="宋体"/>
                <w:color w:val="auto"/>
                <w:szCs w:val="21"/>
                <w:highlight w:val="none"/>
                <w:lang w:val="en-US" w:eastAsia="zh-CN"/>
              </w:rPr>
              <w:t>/ ⑤</w:t>
            </w:r>
            <w:r>
              <w:rPr>
                <w:rFonts w:hint="eastAsia" w:ascii="宋体" w:hAnsi="宋体" w:cs="宋体"/>
                <w:color w:val="auto"/>
                <w:szCs w:val="21"/>
                <w:highlight w:val="none"/>
              </w:rPr>
              <w:t>零售业</w:t>
            </w:r>
            <w:r>
              <w:rPr>
                <w:rFonts w:hint="eastAsia" w:ascii="宋体" w:hAnsi="宋体" w:cs="宋体"/>
                <w:color w:val="auto"/>
                <w:szCs w:val="21"/>
                <w:highlight w:val="none"/>
                <w:lang w:val="en-US" w:eastAsia="zh-CN"/>
              </w:rPr>
              <w:t>/ ⑥</w:t>
            </w:r>
            <w:r>
              <w:rPr>
                <w:rFonts w:hint="eastAsia" w:ascii="宋体" w:hAnsi="宋体" w:cs="宋体"/>
                <w:color w:val="auto"/>
                <w:szCs w:val="21"/>
                <w:highlight w:val="none"/>
              </w:rPr>
              <w:t>交通运输业</w:t>
            </w:r>
            <w:r>
              <w:rPr>
                <w:rFonts w:hint="eastAsia" w:ascii="宋体" w:hAnsi="宋体" w:cs="宋体"/>
                <w:color w:val="auto"/>
                <w:szCs w:val="21"/>
                <w:highlight w:val="none"/>
                <w:lang w:val="en-US" w:eastAsia="zh-CN"/>
              </w:rPr>
              <w:t>/ ⑦</w:t>
            </w:r>
            <w:r>
              <w:rPr>
                <w:rFonts w:hint="eastAsia" w:ascii="宋体" w:hAnsi="宋体" w:cs="宋体"/>
                <w:color w:val="auto"/>
                <w:szCs w:val="21"/>
                <w:highlight w:val="none"/>
              </w:rPr>
              <w:t>仓储业</w:t>
            </w:r>
            <w:r>
              <w:rPr>
                <w:rFonts w:hint="eastAsia" w:ascii="宋体" w:hAnsi="宋体" w:cs="宋体"/>
                <w:color w:val="auto"/>
                <w:szCs w:val="21"/>
                <w:highlight w:val="none"/>
                <w:lang w:val="en-US" w:eastAsia="zh-CN"/>
              </w:rPr>
              <w:t>/ ⑧</w:t>
            </w:r>
            <w:r>
              <w:rPr>
                <w:rFonts w:hint="eastAsia" w:ascii="宋体" w:hAnsi="宋体" w:cs="宋体"/>
                <w:color w:val="auto"/>
                <w:szCs w:val="21"/>
                <w:highlight w:val="none"/>
              </w:rPr>
              <w:t>邮政业</w:t>
            </w:r>
            <w:r>
              <w:rPr>
                <w:rFonts w:hint="eastAsia" w:ascii="宋体" w:hAnsi="宋体" w:cs="宋体"/>
                <w:color w:val="auto"/>
                <w:szCs w:val="21"/>
                <w:highlight w:val="none"/>
                <w:lang w:val="en-US" w:eastAsia="zh-CN"/>
              </w:rPr>
              <w:t>/ ⑨</w:t>
            </w:r>
            <w:r>
              <w:rPr>
                <w:rFonts w:hint="eastAsia" w:ascii="宋体" w:hAnsi="宋体" w:cs="宋体"/>
                <w:color w:val="auto"/>
                <w:szCs w:val="21"/>
                <w:highlight w:val="none"/>
              </w:rPr>
              <w:t>住宿业</w:t>
            </w:r>
            <w:r>
              <w:rPr>
                <w:rFonts w:hint="eastAsia" w:ascii="宋体" w:hAnsi="宋体" w:cs="宋体"/>
                <w:color w:val="auto"/>
                <w:szCs w:val="21"/>
                <w:highlight w:val="none"/>
                <w:lang w:val="en-US" w:eastAsia="zh-CN"/>
              </w:rPr>
              <w:t>/ ⑩</w:t>
            </w:r>
            <w:r>
              <w:rPr>
                <w:rFonts w:hint="eastAsia" w:ascii="宋体" w:hAnsi="宋体" w:cs="宋体"/>
                <w:color w:val="auto"/>
                <w:szCs w:val="21"/>
                <w:highlight w:val="none"/>
              </w:rPr>
              <w:t>餐饮业</w:t>
            </w:r>
            <w:r>
              <w:rPr>
                <w:rFonts w:hint="eastAsia" w:ascii="宋体" w:hAnsi="宋体" w:cs="宋体"/>
                <w:color w:val="auto"/>
                <w:szCs w:val="21"/>
                <w:highlight w:val="none"/>
                <w:lang w:val="en-US" w:eastAsia="zh-CN"/>
              </w:rPr>
              <w:t>/ ⑪</w:t>
            </w:r>
            <w:r>
              <w:rPr>
                <w:rFonts w:hint="eastAsia" w:ascii="宋体" w:hAnsi="宋体" w:cs="宋体"/>
                <w:color w:val="auto"/>
                <w:szCs w:val="21"/>
                <w:highlight w:val="none"/>
              </w:rPr>
              <w:t>信息传输业</w:t>
            </w:r>
            <w:r>
              <w:rPr>
                <w:rFonts w:hint="eastAsia" w:ascii="宋体" w:hAnsi="宋体" w:cs="宋体"/>
                <w:color w:val="auto"/>
                <w:szCs w:val="21"/>
                <w:highlight w:val="none"/>
                <w:lang w:val="en-US" w:eastAsia="zh-CN"/>
              </w:rPr>
              <w:t>/ ⑫</w:t>
            </w:r>
            <w:r>
              <w:rPr>
                <w:rFonts w:hint="eastAsia" w:ascii="宋体" w:hAnsi="宋体" w:cs="宋体"/>
                <w:color w:val="auto"/>
                <w:szCs w:val="21"/>
                <w:highlight w:val="none"/>
              </w:rPr>
              <w:t>软件和信息技术服务业</w:t>
            </w:r>
            <w:r>
              <w:rPr>
                <w:rFonts w:hint="eastAsia" w:ascii="宋体" w:hAnsi="宋体" w:cs="宋体"/>
                <w:color w:val="auto"/>
                <w:szCs w:val="21"/>
                <w:highlight w:val="none"/>
                <w:lang w:val="en-US" w:eastAsia="zh-CN"/>
              </w:rPr>
              <w:t>/ ⑬</w:t>
            </w:r>
            <w:r>
              <w:rPr>
                <w:rFonts w:hint="eastAsia" w:ascii="宋体" w:hAnsi="宋体" w:cs="宋体"/>
                <w:color w:val="auto"/>
                <w:szCs w:val="21"/>
                <w:highlight w:val="none"/>
              </w:rPr>
              <w:t>房地产开发经营</w:t>
            </w:r>
            <w:r>
              <w:rPr>
                <w:rFonts w:hint="eastAsia" w:ascii="宋体" w:hAnsi="宋体" w:cs="宋体"/>
                <w:color w:val="auto"/>
                <w:szCs w:val="21"/>
                <w:highlight w:val="none"/>
                <w:lang w:val="en-US" w:eastAsia="zh-CN"/>
              </w:rPr>
              <w:t>/ ⑭</w:t>
            </w:r>
            <w:r>
              <w:rPr>
                <w:rFonts w:hint="eastAsia" w:ascii="宋体" w:hAnsi="宋体" w:cs="宋体"/>
                <w:color w:val="auto"/>
                <w:szCs w:val="21"/>
                <w:highlight w:val="none"/>
              </w:rPr>
              <w:t>物业管理</w:t>
            </w:r>
            <w:r>
              <w:rPr>
                <w:rFonts w:hint="eastAsia" w:ascii="宋体" w:hAnsi="宋体" w:cs="宋体"/>
                <w:color w:val="auto"/>
                <w:szCs w:val="21"/>
                <w:highlight w:val="none"/>
                <w:lang w:val="en-US" w:eastAsia="zh-CN"/>
              </w:rPr>
              <w:t>/⑮</w:t>
            </w:r>
            <w:r>
              <w:rPr>
                <w:rFonts w:hint="eastAsia" w:ascii="宋体" w:hAnsi="宋体" w:cs="宋体"/>
                <w:color w:val="auto"/>
                <w:szCs w:val="21"/>
                <w:highlight w:val="none"/>
              </w:rPr>
              <w:t>租赁和商业服务业</w:t>
            </w:r>
            <w:r>
              <w:rPr>
                <w:rFonts w:hint="eastAsia" w:ascii="宋体" w:hAnsi="宋体" w:cs="宋体"/>
                <w:color w:val="auto"/>
                <w:szCs w:val="21"/>
                <w:highlight w:val="none"/>
                <w:lang w:val="en-US" w:eastAsia="zh-CN"/>
              </w:rPr>
              <w:t>/ ⑯</w:t>
            </w:r>
            <w:r>
              <w:rPr>
                <w:rFonts w:hint="eastAsia" w:ascii="宋体" w:hAnsi="宋体" w:cs="宋体"/>
                <w:color w:val="auto"/>
                <w:szCs w:val="21"/>
                <w:highlight w:val="none"/>
              </w:rPr>
              <w:t>其他未列明行业等十六类）</w:t>
            </w:r>
          </w:p>
          <w:p w14:paraId="093ACEDC">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（4）本项目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②否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rPr>
              <w:t>（①是/②否）属于预留份额专门面向中小企业采购的项目。</w:t>
            </w:r>
          </w:p>
          <w:p w14:paraId="10289558">
            <w:pPr>
              <w:numPr>
                <w:ilvl w:val="0"/>
                <w:numId w:val="2"/>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上述第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项中确定为“①是”的采购项目，</w:t>
            </w:r>
            <w:r>
              <w:rPr>
                <w:rFonts w:hint="eastAsia" w:ascii="宋体" w:hAnsi="宋体" w:eastAsia="宋体" w:cs="宋体"/>
                <w:color w:val="auto"/>
                <w:szCs w:val="21"/>
                <w:highlight w:val="none"/>
              </w:rPr>
              <w:t>专门面向中小企业采购的项目或者标项，不再执行价格评审优惠的扶持政策。</w:t>
            </w:r>
            <w:r>
              <w:rPr>
                <w:rFonts w:hint="eastAsia" w:ascii="宋体" w:hAnsi="宋体" w:cs="宋体"/>
                <w:color w:val="auto"/>
                <w:szCs w:val="21"/>
                <w:highlight w:val="none"/>
              </w:rPr>
              <w:t>预留份额通过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措施进行：</w:t>
            </w:r>
          </w:p>
          <w:p w14:paraId="6C5922A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①将采购项目整体专门面向中小企业采购；</w:t>
            </w:r>
          </w:p>
          <w:p w14:paraId="161F0218">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②将采购项目</w:t>
            </w:r>
            <w:r>
              <w:rPr>
                <w:rFonts w:hint="eastAsia" w:ascii="宋体" w:hAnsi="宋体" w:cs="宋体"/>
                <w:color w:val="auto"/>
                <w:szCs w:val="21"/>
                <w:highlight w:val="none"/>
                <w:lang w:eastAsia="zh-CN"/>
              </w:rPr>
              <w:t>标项</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（一/二）</w:t>
            </w:r>
            <w:r>
              <w:rPr>
                <w:rFonts w:hint="eastAsia" w:ascii="宋体" w:hAnsi="宋体" w:cs="宋体"/>
                <w:color w:val="auto"/>
                <w:szCs w:val="21"/>
                <w:highlight w:val="none"/>
              </w:rPr>
              <w:t>专门面向中小企业采购；</w:t>
            </w:r>
          </w:p>
          <w:p w14:paraId="2763D71D">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③要求供应商以联合体形式参加采购活动，且联合体中中小企业承担的部分达到</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color w:val="auto"/>
                <w:szCs w:val="21"/>
                <w:highlight w:val="none"/>
              </w:rPr>
              <w:t>以上；</w:t>
            </w:r>
          </w:p>
          <w:p w14:paraId="41BF98A8">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④要求获得采购合同的供应商将采购项目中的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(比例）分包给一家或者多家中小企业。</w:t>
            </w:r>
          </w:p>
          <w:p w14:paraId="1CAF34F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⑤组成联合体或者接受分包合同的中小企业与联合体内其他企业、分包企业之间不得存在直接控股、管理关系。</w:t>
            </w:r>
          </w:p>
          <w:p w14:paraId="6C4A63B4">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）上述第（4）项中确定为“</w:t>
            </w:r>
            <w:r>
              <w:rPr>
                <w:rFonts w:hint="eastAsia" w:ascii="宋体" w:hAnsi="宋体" w:cs="宋体"/>
                <w:color w:val="auto"/>
                <w:szCs w:val="21"/>
                <w:highlight w:val="none"/>
              </w:rPr>
              <w:t>②否</w:t>
            </w:r>
            <w:r>
              <w:rPr>
                <w:rFonts w:hint="eastAsia" w:ascii="宋体" w:hAnsi="宋体" w:cs="宋体"/>
                <w:color w:val="auto"/>
                <w:szCs w:val="21"/>
                <w:highlight w:val="none"/>
                <w:lang w:eastAsia="zh-CN"/>
              </w:rPr>
              <w:t>”的采购项目，即非专门面向中小微企业招标项目，执行价格评审优惠的扶持政策。相关政策按本招标文件（</w:t>
            </w:r>
            <w:r>
              <w:rPr>
                <w:rFonts w:hint="eastAsia"/>
                <w:color w:val="auto"/>
                <w:highlight w:val="none"/>
              </w:rPr>
              <w:t>第五章  政府采购政策相关说明</w:t>
            </w:r>
            <w:r>
              <w:rPr>
                <w:rFonts w:hint="eastAsia" w:ascii="宋体" w:hAnsi="宋体" w:cs="宋体"/>
                <w:color w:val="auto"/>
                <w:szCs w:val="21"/>
                <w:highlight w:val="none"/>
                <w:lang w:eastAsia="zh-CN"/>
              </w:rPr>
              <w:t>）执行。</w:t>
            </w:r>
          </w:p>
        </w:tc>
      </w:tr>
      <w:tr w14:paraId="50714027">
        <w:tblPrEx>
          <w:tblCellMar>
            <w:top w:w="0" w:type="dxa"/>
            <w:left w:w="108" w:type="dxa"/>
            <w:bottom w:w="0" w:type="dxa"/>
            <w:right w:w="108" w:type="dxa"/>
          </w:tblCellMar>
        </w:tblPrEx>
        <w:trPr>
          <w:trHeight w:val="6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897D30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064" w:type="dxa"/>
            <w:tcBorders>
              <w:top w:val="single" w:color="000000" w:sz="4" w:space="0"/>
              <w:left w:val="single" w:color="000000" w:sz="4" w:space="0"/>
              <w:bottom w:val="single" w:color="000000" w:sz="4" w:space="0"/>
              <w:right w:val="single" w:color="000000" w:sz="4" w:space="0"/>
            </w:tcBorders>
            <w:vAlign w:val="center"/>
          </w:tcPr>
          <w:p w14:paraId="516E99BF">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w:t>
            </w:r>
            <w:r>
              <w:rPr>
                <w:rFonts w:hint="eastAsia" w:ascii="宋体" w:hAnsi="宋体" w:cs="宋体"/>
                <w:color w:val="auto"/>
                <w:szCs w:val="21"/>
                <w:highlight w:val="none"/>
                <w:lang w:eastAsia="zh-CN"/>
              </w:rPr>
              <w:t>限</w:t>
            </w:r>
          </w:p>
        </w:tc>
        <w:tc>
          <w:tcPr>
            <w:tcW w:w="7700" w:type="dxa"/>
            <w:tcBorders>
              <w:top w:val="single" w:color="000000" w:sz="4" w:space="0"/>
              <w:left w:val="single" w:color="000000" w:sz="4" w:space="0"/>
              <w:bottom w:val="single" w:color="000000" w:sz="4" w:space="0"/>
              <w:right w:val="single" w:color="000000" w:sz="4" w:space="0"/>
            </w:tcBorders>
            <w:vAlign w:val="bottom"/>
          </w:tcPr>
          <w:p w14:paraId="6BE074C6">
            <w:pPr>
              <w:spacing w:line="4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在2025年12月30日前全面完成病枯死木清理除治任务（其中公路主干线、</w:t>
            </w:r>
            <w:r>
              <w:rPr>
                <w:rFonts w:hint="eastAsia" w:ascii="宋体" w:hAnsi="宋体" w:cs="宋体"/>
                <w:color w:val="auto"/>
                <w:szCs w:val="21"/>
                <w:highlight w:val="none"/>
                <w:lang w:val="en-US" w:eastAsia="zh-CN"/>
              </w:rPr>
              <w:t>村庄</w:t>
            </w:r>
            <w:r>
              <w:rPr>
                <w:rFonts w:hint="eastAsia" w:ascii="宋体" w:hAnsi="宋体" w:cs="宋体"/>
                <w:color w:val="auto"/>
                <w:szCs w:val="21"/>
                <w:highlight w:val="none"/>
              </w:rPr>
              <w:t>周边、大规模成片地块必须在2025年5月30日前完成</w:t>
            </w:r>
            <w:r>
              <w:rPr>
                <w:rFonts w:hint="eastAsia" w:ascii="宋体" w:hAnsi="宋体" w:cs="宋体"/>
                <w:color w:val="auto"/>
                <w:szCs w:val="21"/>
                <w:highlight w:val="none"/>
                <w:lang w:val="en-US" w:eastAsia="zh-CN"/>
              </w:rPr>
              <w:t>除治</w:t>
            </w:r>
            <w:r>
              <w:rPr>
                <w:rFonts w:hint="eastAsia" w:ascii="宋体" w:hAnsi="宋体" w:cs="宋体"/>
                <w:color w:val="auto"/>
                <w:szCs w:val="21"/>
                <w:highlight w:val="none"/>
              </w:rPr>
              <w:t>）</w:t>
            </w:r>
            <w:r>
              <w:rPr>
                <w:rFonts w:hint="eastAsia" w:ascii="宋体" w:hAnsi="宋体" w:cs="宋体"/>
                <w:color w:val="0000FF"/>
                <w:szCs w:val="21"/>
              </w:rPr>
              <w:t>（提供承诺函）</w:t>
            </w:r>
            <w:r>
              <w:rPr>
                <w:rFonts w:hint="eastAsia" w:ascii="宋体" w:hAnsi="宋体" w:cs="宋体"/>
                <w:szCs w:val="21"/>
              </w:rPr>
              <w:t>。</w:t>
            </w:r>
          </w:p>
        </w:tc>
      </w:tr>
      <w:tr w14:paraId="2B127414">
        <w:tblPrEx>
          <w:tblCellMar>
            <w:top w:w="0" w:type="dxa"/>
            <w:left w:w="108" w:type="dxa"/>
            <w:bottom w:w="0" w:type="dxa"/>
            <w:right w:w="108" w:type="dxa"/>
          </w:tblCellMar>
        </w:tblPrEx>
        <w:trPr>
          <w:trHeight w:val="93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4C42105">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vAlign w:val="center"/>
          </w:tcPr>
          <w:p w14:paraId="24FFBADC">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质疑与投诉</w:t>
            </w:r>
          </w:p>
        </w:tc>
        <w:tc>
          <w:tcPr>
            <w:tcW w:w="7700" w:type="dxa"/>
            <w:tcBorders>
              <w:top w:val="single" w:color="000000" w:sz="4" w:space="0"/>
              <w:left w:val="single" w:color="000000" w:sz="4" w:space="0"/>
              <w:bottom w:val="single" w:color="000000" w:sz="4" w:space="0"/>
              <w:right w:val="single" w:color="000000" w:sz="4" w:space="0"/>
            </w:tcBorders>
            <w:vAlign w:val="center"/>
          </w:tcPr>
          <w:p w14:paraId="5DAD6D63">
            <w:pPr>
              <w:numPr>
                <w:ilvl w:val="0"/>
                <w:numId w:val="0"/>
              </w:numPr>
              <w:spacing w:line="44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688E598">
            <w:pPr>
              <w:spacing w:line="440" w:lineRule="exact"/>
              <w:jc w:val="left"/>
              <w:rPr>
                <w:rFonts w:hint="eastAsia" w:ascii="宋体" w:hAnsi="宋体" w:cs="宋体"/>
                <w:color w:val="auto"/>
                <w:szCs w:val="21"/>
                <w:highlight w:val="none"/>
                <w:lang w:val="en-US" w:eastAsia="zh-CN"/>
              </w:rPr>
            </w:pPr>
            <w:r>
              <w:rPr>
                <w:rFonts w:hint="eastAsia" w:ascii="宋体" w:hAnsi="宋体" w:cs="宋体"/>
                <w:szCs w:val="21"/>
                <w:lang w:val="en-US" w:eastAsia="zh-CN"/>
              </w:rPr>
              <w:t>2</w:t>
            </w:r>
            <w:r>
              <w:rPr>
                <w:rFonts w:hint="eastAsia" w:ascii="宋体" w:hAnsi="宋体" w:cs="宋体"/>
                <w:szCs w:val="21"/>
              </w:rPr>
              <w:t>.供应商应在法定质疑期内一次性提出针对同一采购程序环节的质疑。</w:t>
            </w:r>
          </w:p>
        </w:tc>
      </w:tr>
    </w:tbl>
    <w:p w14:paraId="0C3D42DC">
      <w:pPr>
        <w:widowControl/>
        <w:spacing w:line="360" w:lineRule="auto"/>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一、总则</w:t>
      </w:r>
      <w:bookmarkEnd w:id="61"/>
      <w:bookmarkEnd w:id="62"/>
      <w:bookmarkEnd w:id="63"/>
      <w:bookmarkEnd w:id="64"/>
      <w:bookmarkEnd w:id="65"/>
      <w:bookmarkEnd w:id="66"/>
      <w:bookmarkEnd w:id="67"/>
      <w:bookmarkEnd w:id="68"/>
      <w:bookmarkEnd w:id="69"/>
    </w:p>
    <w:p w14:paraId="221B6F60">
      <w:pPr>
        <w:widowControl/>
        <w:spacing w:line="480" w:lineRule="exact"/>
        <w:ind w:firstLine="482" w:firstLineChars="200"/>
        <w:jc w:val="left"/>
        <w:outlineLvl w:val="2"/>
        <w:rPr>
          <w:rFonts w:hint="eastAsia" w:ascii="宋体" w:hAnsi="宋体"/>
          <w:b/>
          <w:bCs/>
          <w:color w:val="auto"/>
          <w:sz w:val="24"/>
          <w:highlight w:val="none"/>
        </w:rPr>
      </w:pPr>
      <w:bookmarkStart w:id="70" w:name="_Toc32099"/>
      <w:bookmarkStart w:id="71" w:name="_Toc363"/>
      <w:bookmarkStart w:id="72" w:name="_Toc8924"/>
      <w:bookmarkStart w:id="73" w:name="_Toc13133"/>
      <w:bookmarkStart w:id="74" w:name="_Toc17597"/>
      <w:r>
        <w:rPr>
          <w:rFonts w:hint="eastAsia" w:ascii="宋体" w:hAnsi="宋体"/>
          <w:b/>
          <w:bCs/>
          <w:color w:val="auto"/>
          <w:sz w:val="24"/>
          <w:highlight w:val="none"/>
        </w:rPr>
        <w:t>（一） 适用范围</w:t>
      </w:r>
      <w:bookmarkEnd w:id="70"/>
      <w:bookmarkEnd w:id="71"/>
      <w:bookmarkEnd w:id="72"/>
      <w:bookmarkEnd w:id="73"/>
      <w:bookmarkEnd w:id="74"/>
    </w:p>
    <w:p w14:paraId="2A881C8E">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2025年大盘山松材线虫病枯死松树清理服务项目</w:t>
      </w:r>
      <w:r>
        <w:rPr>
          <w:rFonts w:hint="eastAsia" w:ascii="宋体" w:hAnsi="宋体"/>
          <w:color w:val="auto"/>
          <w:sz w:val="24"/>
          <w:highlight w:val="none"/>
        </w:rPr>
        <w:t>的招标、投标、评标、定标、验收、合同履约、付款等行为（法律、法规另有规定的，从其规定）。</w:t>
      </w:r>
    </w:p>
    <w:p w14:paraId="73A6FE40">
      <w:pPr>
        <w:widowControl/>
        <w:spacing w:line="480" w:lineRule="exact"/>
        <w:ind w:firstLine="482" w:firstLineChars="200"/>
        <w:jc w:val="left"/>
        <w:outlineLvl w:val="2"/>
        <w:rPr>
          <w:rFonts w:hint="eastAsia" w:ascii="宋体" w:hAnsi="宋体"/>
          <w:b/>
          <w:bCs/>
          <w:color w:val="auto"/>
          <w:sz w:val="24"/>
          <w:highlight w:val="none"/>
        </w:rPr>
      </w:pPr>
      <w:bookmarkStart w:id="75" w:name="_Toc32680"/>
      <w:bookmarkStart w:id="76" w:name="_Toc25456"/>
      <w:bookmarkStart w:id="77" w:name="_Toc25060"/>
      <w:bookmarkStart w:id="78" w:name="_Toc17795"/>
      <w:bookmarkStart w:id="79" w:name="_Toc24686"/>
      <w:r>
        <w:rPr>
          <w:rFonts w:hint="eastAsia" w:ascii="宋体" w:hAnsi="宋体"/>
          <w:b/>
          <w:bCs/>
          <w:color w:val="auto"/>
          <w:sz w:val="24"/>
          <w:highlight w:val="none"/>
        </w:rPr>
        <w:t>（二）定义</w:t>
      </w:r>
      <w:bookmarkEnd w:id="75"/>
      <w:bookmarkEnd w:id="76"/>
      <w:bookmarkEnd w:id="77"/>
      <w:bookmarkEnd w:id="78"/>
      <w:bookmarkEnd w:id="79"/>
    </w:p>
    <w:p w14:paraId="22419E33">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1.招标采购单位系指组织本次招标的</w:t>
      </w:r>
      <w:r>
        <w:rPr>
          <w:rFonts w:hint="eastAsia" w:ascii="宋体" w:hAnsi="宋体"/>
          <w:b/>
          <w:bCs/>
          <w:color w:val="auto"/>
          <w:sz w:val="24"/>
          <w:highlight w:val="none"/>
          <w:lang w:eastAsia="zh-CN"/>
        </w:rPr>
        <w:t>浙江诚远工程咨询有限公司</w:t>
      </w:r>
      <w:r>
        <w:rPr>
          <w:rFonts w:hint="eastAsia" w:ascii="宋体" w:hAnsi="宋体"/>
          <w:b/>
          <w:bCs/>
          <w:color w:val="auto"/>
          <w:sz w:val="24"/>
          <w:highlight w:val="none"/>
        </w:rPr>
        <w:t>（“招标方”）</w:t>
      </w:r>
      <w:r>
        <w:rPr>
          <w:rFonts w:hint="eastAsia" w:ascii="宋体" w:hAnsi="宋体"/>
          <w:color w:val="auto"/>
          <w:sz w:val="24"/>
          <w:highlight w:val="none"/>
        </w:rPr>
        <w:t>和</w:t>
      </w:r>
      <w:r>
        <w:rPr>
          <w:rFonts w:hint="eastAsia" w:ascii="宋体" w:hAnsi="宋体"/>
          <w:b/>
          <w:bCs/>
          <w:color w:val="auto"/>
          <w:sz w:val="24"/>
          <w:highlight w:val="none"/>
          <w:lang w:eastAsia="zh-CN"/>
        </w:rPr>
        <w:t>浙江省大盘山国家级自然保护区管理局 </w:t>
      </w:r>
      <w:r>
        <w:rPr>
          <w:rFonts w:hint="eastAsia" w:ascii="宋体" w:hAnsi="宋体"/>
          <w:b/>
          <w:bCs/>
          <w:color w:val="auto"/>
          <w:sz w:val="24"/>
          <w:highlight w:val="none"/>
        </w:rPr>
        <w:t>（“采购人”）</w:t>
      </w:r>
      <w:r>
        <w:rPr>
          <w:rFonts w:hint="eastAsia" w:ascii="宋体" w:hAnsi="宋体"/>
          <w:color w:val="auto"/>
          <w:sz w:val="24"/>
          <w:highlight w:val="none"/>
        </w:rPr>
        <w:t>。</w:t>
      </w:r>
    </w:p>
    <w:p w14:paraId="3D99D495">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2.“投标人”系指向招标方提交投标文件的单位。</w:t>
      </w:r>
    </w:p>
    <w:p w14:paraId="5A2B0894">
      <w:pPr>
        <w:widowControl/>
        <w:spacing w:line="480" w:lineRule="exact"/>
        <w:ind w:firstLine="480" w:firstLineChars="200"/>
        <w:jc w:val="left"/>
        <w:rPr>
          <w:rFonts w:hint="eastAsia" w:ascii="宋体" w:hAnsi="宋体"/>
          <w:color w:val="auto"/>
          <w:sz w:val="24"/>
          <w:highlight w:val="none"/>
        </w:rPr>
      </w:pPr>
      <w:bookmarkStart w:id="80" w:name="_Toc3568"/>
      <w:bookmarkStart w:id="81" w:name="_Toc835"/>
      <w:bookmarkStart w:id="82" w:name="_Toc16944"/>
      <w:bookmarkStart w:id="83" w:name="_Toc48"/>
      <w:bookmarkStart w:id="84" w:name="_Toc20622"/>
      <w:r>
        <w:rPr>
          <w:rFonts w:hint="eastAsia" w:ascii="宋体" w:hAnsi="宋体"/>
          <w:color w:val="auto"/>
          <w:sz w:val="24"/>
          <w:highlight w:val="none"/>
        </w:rPr>
        <w:t>3.“电子签名”系指数据电文中以电子形式所含、所附用于识别签名人身份并表明签名人认可其中内容的数据；“公章”系指投标文件中所涉及的加盖公章均采用CA电子签章。</w:t>
      </w:r>
      <w:bookmarkEnd w:id="80"/>
      <w:bookmarkEnd w:id="81"/>
      <w:bookmarkEnd w:id="82"/>
      <w:bookmarkEnd w:id="83"/>
      <w:bookmarkEnd w:id="84"/>
    </w:p>
    <w:p w14:paraId="38A4D882">
      <w:pPr>
        <w:widowControl/>
        <w:spacing w:line="480" w:lineRule="exact"/>
        <w:ind w:firstLine="480" w:firstLineChars="200"/>
        <w:jc w:val="left"/>
        <w:rPr>
          <w:rFonts w:hint="eastAsia" w:ascii="宋体" w:hAnsi="宋体"/>
          <w:color w:val="auto"/>
          <w:sz w:val="24"/>
          <w:highlight w:val="none"/>
        </w:rPr>
      </w:pPr>
      <w:bookmarkStart w:id="85" w:name="_Toc16109"/>
      <w:bookmarkStart w:id="86" w:name="_Toc26912"/>
      <w:bookmarkStart w:id="87" w:name="_Toc1555"/>
      <w:bookmarkStart w:id="88" w:name="_Toc20446"/>
      <w:bookmarkStart w:id="89" w:name="_Toc16226"/>
      <w:r>
        <w:rPr>
          <w:rFonts w:hint="eastAsia" w:ascii="宋体" w:hAnsi="宋体"/>
          <w:color w:val="auto"/>
          <w:sz w:val="24"/>
          <w:highlight w:val="none"/>
        </w:rPr>
        <w:t>4.“电子交易平台”是指本项目政府采购活动所依托的政府采购云平台（https://www.zcygov.cn/）。</w:t>
      </w:r>
      <w:bookmarkEnd w:id="85"/>
      <w:bookmarkEnd w:id="86"/>
      <w:bookmarkEnd w:id="87"/>
      <w:bookmarkEnd w:id="88"/>
      <w:bookmarkEnd w:id="89"/>
    </w:p>
    <w:p w14:paraId="3EF717A1">
      <w:pPr>
        <w:snapToGrid w:val="0"/>
        <w:spacing w:line="400" w:lineRule="exact"/>
        <w:ind w:firstLine="480" w:firstLineChars="200"/>
        <w:jc w:val="left"/>
        <w:rPr>
          <w:rFonts w:hint="eastAsia" w:ascii="宋体" w:hAnsi="宋体"/>
          <w:color w:val="auto"/>
          <w:sz w:val="24"/>
          <w:highlight w:val="none"/>
        </w:rPr>
      </w:pPr>
      <w:bookmarkStart w:id="90" w:name="_Toc31468"/>
      <w:bookmarkStart w:id="91" w:name="_Toc8582"/>
      <w:bookmarkStart w:id="92" w:name="_Toc16702"/>
      <w:bookmarkStart w:id="93" w:name="_Toc9580"/>
      <w:bookmarkStart w:id="94" w:name="_Toc32163"/>
      <w:r>
        <w:rPr>
          <w:rFonts w:hint="eastAsia" w:ascii="宋体" w:hAnsi="宋体"/>
          <w:color w:val="auto"/>
          <w:sz w:val="24"/>
          <w:highlight w:val="none"/>
        </w:rPr>
        <w:t xml:space="preserve">5. </w:t>
      </w:r>
      <w:bookmarkEnd w:id="90"/>
      <w:bookmarkEnd w:id="91"/>
      <w:bookmarkEnd w:id="92"/>
      <w:bookmarkEnd w:id="93"/>
      <w:bookmarkEnd w:id="94"/>
      <w:r>
        <w:rPr>
          <w:rFonts w:hint="eastAsia" w:ascii="宋体" w:hAnsi="宋体" w:cs="宋体"/>
          <w:color w:val="auto"/>
          <w:sz w:val="24"/>
          <w:highlight w:val="none"/>
        </w:rPr>
        <w:t>“▲” 系指实质性要求条款，“★”系产品采购项目中重要参数。</w:t>
      </w:r>
    </w:p>
    <w:p w14:paraId="56313C83">
      <w:pPr>
        <w:widowControl/>
        <w:spacing w:line="480" w:lineRule="exact"/>
        <w:ind w:firstLine="482" w:firstLineChars="200"/>
        <w:jc w:val="left"/>
        <w:outlineLvl w:val="2"/>
        <w:rPr>
          <w:rFonts w:hint="eastAsia" w:ascii="宋体" w:hAnsi="宋体"/>
          <w:b/>
          <w:bCs/>
          <w:color w:val="auto"/>
          <w:sz w:val="24"/>
          <w:highlight w:val="none"/>
        </w:rPr>
      </w:pPr>
      <w:bookmarkStart w:id="95" w:name="_Toc6535"/>
      <w:bookmarkStart w:id="96" w:name="_Toc30903"/>
      <w:bookmarkStart w:id="97" w:name="_Toc10000"/>
      <w:bookmarkStart w:id="98" w:name="_Toc2587"/>
      <w:bookmarkStart w:id="99" w:name="_Toc27853"/>
      <w:r>
        <w:rPr>
          <w:rFonts w:hint="eastAsia" w:ascii="宋体" w:hAnsi="宋体"/>
          <w:b/>
          <w:bCs/>
          <w:color w:val="auto"/>
          <w:sz w:val="24"/>
          <w:highlight w:val="none"/>
        </w:rPr>
        <w:t>（三）招标方式</w:t>
      </w:r>
      <w:bookmarkEnd w:id="95"/>
      <w:bookmarkEnd w:id="96"/>
      <w:bookmarkEnd w:id="97"/>
      <w:bookmarkEnd w:id="98"/>
      <w:bookmarkEnd w:id="99"/>
    </w:p>
    <w:p w14:paraId="67CC4C2C">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本次招标采用公开招标方式进行。</w:t>
      </w:r>
    </w:p>
    <w:p w14:paraId="10A4767A">
      <w:pPr>
        <w:widowControl/>
        <w:spacing w:line="480" w:lineRule="exact"/>
        <w:ind w:firstLine="482" w:firstLineChars="200"/>
        <w:jc w:val="left"/>
        <w:outlineLvl w:val="2"/>
        <w:rPr>
          <w:rFonts w:hint="eastAsia" w:ascii="宋体" w:hAnsi="宋体"/>
          <w:b/>
          <w:bCs/>
          <w:color w:val="auto"/>
          <w:sz w:val="24"/>
          <w:highlight w:val="none"/>
        </w:rPr>
      </w:pPr>
      <w:bookmarkStart w:id="100" w:name="_Toc16932"/>
      <w:bookmarkStart w:id="101" w:name="_Toc19949"/>
      <w:bookmarkStart w:id="102" w:name="_Toc7882"/>
      <w:bookmarkStart w:id="103" w:name="_Toc15865"/>
      <w:bookmarkStart w:id="104" w:name="_Toc4962"/>
      <w:r>
        <w:rPr>
          <w:rFonts w:hint="eastAsia" w:ascii="宋体" w:hAnsi="宋体"/>
          <w:b/>
          <w:bCs/>
          <w:color w:val="auto"/>
          <w:sz w:val="24"/>
          <w:highlight w:val="none"/>
        </w:rPr>
        <w:t>（四）投标委托</w:t>
      </w:r>
      <w:bookmarkEnd w:id="100"/>
      <w:bookmarkEnd w:id="101"/>
      <w:bookmarkEnd w:id="102"/>
      <w:bookmarkEnd w:id="103"/>
      <w:bookmarkEnd w:id="104"/>
    </w:p>
    <w:p w14:paraId="1269BA55">
      <w:pPr>
        <w:widowControl/>
        <w:spacing w:line="480" w:lineRule="exact"/>
        <w:ind w:firstLine="480" w:firstLineChars="200"/>
        <w:jc w:val="left"/>
        <w:rPr>
          <w:rFonts w:hint="eastAsia" w:ascii="宋体" w:hAnsi="宋体"/>
          <w:sz w:val="24"/>
        </w:rPr>
      </w:pPr>
      <w:bookmarkStart w:id="105" w:name="_Toc21699"/>
      <w:bookmarkStart w:id="106" w:name="_Toc15588"/>
      <w:bookmarkStart w:id="107" w:name="_Toc1675"/>
      <w:bookmarkStart w:id="108" w:name="_Toc7017"/>
      <w:bookmarkStart w:id="109" w:name="_Toc255"/>
      <w:r>
        <w:rPr>
          <w:rFonts w:hint="eastAsia" w:ascii="宋体" w:hAnsi="宋体"/>
          <w:sz w:val="24"/>
        </w:rPr>
        <w:t>本项目采用在线投标响应方式，执行《浙江省财政厅关于印发浙江省政府采购项目电子交易管理暂行办法的通知》（浙财采监〔2019〕10 号）等相关规定。</w:t>
      </w:r>
    </w:p>
    <w:p w14:paraId="25972CFB">
      <w:pPr>
        <w:widowControl/>
        <w:spacing w:line="480" w:lineRule="exact"/>
        <w:ind w:firstLine="480" w:firstLineChars="200"/>
        <w:jc w:val="left"/>
        <w:rPr>
          <w:rFonts w:hint="eastAsia" w:ascii="宋体" w:hAnsi="宋体"/>
          <w:sz w:val="24"/>
        </w:rPr>
      </w:pPr>
      <w:r>
        <w:rPr>
          <w:rFonts w:hint="eastAsia" w:ascii="宋体" w:hAnsi="宋体"/>
          <w:sz w:val="24"/>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1109453E">
      <w:pPr>
        <w:widowControl/>
        <w:spacing w:line="480" w:lineRule="exact"/>
        <w:ind w:firstLine="480" w:firstLineChars="200"/>
        <w:jc w:val="left"/>
        <w:rPr>
          <w:rFonts w:hint="eastAsia" w:ascii="宋体" w:hAnsi="宋体"/>
          <w:color w:val="auto"/>
          <w:sz w:val="24"/>
          <w:highlight w:val="none"/>
        </w:rPr>
      </w:pPr>
      <w:r>
        <w:rPr>
          <w:rFonts w:hint="eastAsia" w:ascii="宋体" w:hAnsi="宋体"/>
          <w:sz w:val="24"/>
        </w:rPr>
        <w:t>投标人未按招标文件要求派代表参加电子开标会议的，视同认可开标结果，不得对开标过程及开标结果提出质疑。</w:t>
      </w:r>
      <w:bookmarkEnd w:id="105"/>
      <w:bookmarkEnd w:id="106"/>
      <w:bookmarkEnd w:id="107"/>
      <w:bookmarkEnd w:id="108"/>
      <w:bookmarkEnd w:id="109"/>
    </w:p>
    <w:p w14:paraId="6F489599">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（五）转包和分包</w:t>
      </w:r>
    </w:p>
    <w:p w14:paraId="1280FA3B">
      <w:pPr>
        <w:snapToGrid w:val="0"/>
        <w:spacing w:line="400" w:lineRule="exact"/>
        <w:ind w:firstLine="720" w:firstLineChars="300"/>
        <w:rPr>
          <w:rFonts w:hint="eastAsia" w:ascii="宋体" w:hAnsi="宋体"/>
          <w:color w:val="auto"/>
          <w:sz w:val="24"/>
          <w:highlight w:val="none"/>
        </w:rPr>
      </w:pPr>
      <w:bookmarkStart w:id="110" w:name="_Toc28200"/>
      <w:bookmarkStart w:id="111" w:name="_Toc15773"/>
      <w:bookmarkStart w:id="112" w:name="_Toc10240"/>
      <w:bookmarkStart w:id="113" w:name="_Toc6127"/>
      <w:bookmarkStart w:id="114" w:name="_Toc26291"/>
      <w:r>
        <w:rPr>
          <w:rFonts w:ascii="宋体" w:hAnsi="宋体"/>
          <w:color w:val="auto"/>
          <w:sz w:val="24"/>
          <w:highlight w:val="none"/>
        </w:rPr>
        <w:t>本项目</w:t>
      </w:r>
      <w:r>
        <w:rPr>
          <w:rFonts w:ascii="宋体" w:hAnsi="宋体"/>
          <w:b/>
          <w:bCs/>
          <w:color w:val="auto"/>
          <w:sz w:val="24"/>
          <w:highlight w:val="none"/>
        </w:rPr>
        <w:t>不允许</w:t>
      </w:r>
      <w:r>
        <w:rPr>
          <w:rFonts w:ascii="宋体" w:hAnsi="宋体"/>
          <w:color w:val="auto"/>
          <w:sz w:val="24"/>
          <w:highlight w:val="none"/>
        </w:rPr>
        <w:t>转包。</w:t>
      </w:r>
      <w:r>
        <w:rPr>
          <w:rFonts w:hint="eastAsia" w:ascii="宋体" w:hAnsi="宋体" w:cs="宋体"/>
          <w:color w:val="auto"/>
          <w:kern w:val="0"/>
          <w:sz w:val="24"/>
          <w:highlight w:val="none"/>
        </w:rPr>
        <w:t>分包须经采购人书面同意后方可实施。</w:t>
      </w:r>
    </w:p>
    <w:p w14:paraId="5DE07E4F">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（六）特别说明：</w:t>
      </w:r>
      <w:bookmarkEnd w:id="110"/>
      <w:bookmarkEnd w:id="111"/>
      <w:bookmarkEnd w:id="112"/>
      <w:bookmarkEnd w:id="113"/>
      <w:bookmarkEnd w:id="114"/>
    </w:p>
    <w:p w14:paraId="6949D77C">
      <w:pPr>
        <w:pStyle w:val="52"/>
        <w:spacing w:after="0" w:line="480" w:lineRule="exact"/>
        <w:ind w:left="0" w:leftChars="0" w:firstLine="480" w:firstLineChars="200"/>
        <w:rPr>
          <w:rFonts w:hint="eastAsia" w:ascii="宋体" w:hAnsi="宋体"/>
          <w:color w:val="auto"/>
          <w:spacing w:val="0"/>
          <w:sz w:val="24"/>
          <w:szCs w:val="24"/>
          <w:highlight w:val="none"/>
        </w:rPr>
      </w:pPr>
      <w:bookmarkStart w:id="115" w:name="_Toc31223"/>
      <w:bookmarkStart w:id="116" w:name="_Toc16041"/>
      <w:bookmarkStart w:id="117" w:name="_Toc16817"/>
      <w:bookmarkStart w:id="118" w:name="_Toc15408"/>
      <w:bookmarkStart w:id="119" w:name="_Toc13579"/>
      <w:bookmarkStart w:id="120" w:name="_Toc21517"/>
      <w:bookmarkStart w:id="121" w:name="_Toc27921"/>
      <w:bookmarkStart w:id="122" w:name="_Toc18823"/>
      <w:bookmarkStart w:id="123" w:name="_Toc22711"/>
      <w:bookmarkStart w:id="124" w:name="_Toc20289"/>
      <w:bookmarkStart w:id="125" w:name="_Toc4337"/>
      <w:bookmarkStart w:id="126" w:name="_Toc28428"/>
      <w:r>
        <w:rPr>
          <w:rFonts w:hint="eastAsia" w:ascii="宋体" w:hAnsi="宋体"/>
          <w:color w:val="auto"/>
          <w:spacing w:val="0"/>
          <w:sz w:val="24"/>
          <w:szCs w:val="24"/>
          <w:highlight w:val="none"/>
        </w:rPr>
        <w:t>1.</w:t>
      </w:r>
      <w:bookmarkStart w:id="127" w:name="OLE_LINK1"/>
      <w:r>
        <w:rPr>
          <w:rFonts w:hint="eastAsia" w:ascii="宋体" w:hAnsi="宋体"/>
          <w:color w:val="auto"/>
          <w:spacing w:val="0"/>
          <w:sz w:val="24"/>
          <w:szCs w:val="24"/>
          <w:highlight w:val="none"/>
        </w:rPr>
        <w:t>多家供应商参加投标，提供相同品牌产品</w:t>
      </w:r>
      <w:bookmarkEnd w:id="127"/>
      <w:r>
        <w:rPr>
          <w:rFonts w:hint="eastAsia" w:ascii="宋体" w:hAnsi="宋体"/>
          <w:color w:val="auto"/>
          <w:spacing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887CC0">
      <w:pPr>
        <w:snapToGrid w:val="0"/>
        <w:spacing w:line="480" w:lineRule="exact"/>
        <w:ind w:firstLine="472" w:firstLineChars="196"/>
        <w:jc w:val="left"/>
        <w:rPr>
          <w:rFonts w:hint="eastAsia" w:ascii="宋体" w:hAnsi="宋体"/>
          <w:color w:val="auto"/>
          <w:sz w:val="24"/>
          <w:highlight w:val="none"/>
        </w:rPr>
      </w:pPr>
      <w:r>
        <w:rPr>
          <w:rFonts w:hint="eastAsia" w:ascii="宋体" w:hAnsi="宋体"/>
          <w:b/>
          <w:bCs/>
          <w:color w:val="auto"/>
          <w:sz w:val="24"/>
          <w:highlight w:val="none"/>
        </w:rPr>
        <w:t>非单一产品采购项目，投标人使用相同产品的价格总和均超过项目各自投标总价50%及以上的，按一家投标人认定。多家投标人提供的核心产品品牌相同的，按前两款规定处理。</w:t>
      </w:r>
    </w:p>
    <w:p w14:paraId="1D96BE6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435F411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0394844F">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521F3C2E">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4.除单一来源采购项目外，为采购项目提供整体设计、规范编制或者项目管理、监理、检测等服务的供应商，不得再参加该采购项目的其他采购活动。</w:t>
      </w:r>
    </w:p>
    <w:p w14:paraId="66FC8E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5.支持绿色发展</w:t>
      </w:r>
    </w:p>
    <w:p w14:paraId="58327F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F8F35B">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二、招标文件</w:t>
      </w:r>
      <w:bookmarkEnd w:id="115"/>
      <w:bookmarkEnd w:id="116"/>
      <w:bookmarkEnd w:id="117"/>
      <w:bookmarkEnd w:id="118"/>
      <w:bookmarkEnd w:id="119"/>
      <w:bookmarkEnd w:id="120"/>
      <w:bookmarkEnd w:id="121"/>
      <w:bookmarkEnd w:id="122"/>
      <w:bookmarkEnd w:id="123"/>
      <w:bookmarkEnd w:id="124"/>
      <w:bookmarkEnd w:id="125"/>
      <w:bookmarkEnd w:id="126"/>
    </w:p>
    <w:p w14:paraId="4AF611C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（一）招标文件的构成。</w:t>
      </w:r>
    </w:p>
    <w:p w14:paraId="097BD029">
      <w:pPr>
        <w:pStyle w:val="43"/>
        <w:spacing w:line="480" w:lineRule="exact"/>
        <w:rPr>
          <w:rFonts w:hint="eastAsia" w:ascii="宋体" w:eastAsia="宋体" w:cs="宋体"/>
          <w:color w:val="auto"/>
          <w:highlight w:val="none"/>
        </w:rPr>
      </w:pPr>
      <w:r>
        <w:rPr>
          <w:rFonts w:hint="eastAsia" w:ascii="宋体" w:eastAsia="宋体" w:cs="宋体"/>
          <w:color w:val="auto"/>
          <w:highlight w:val="none"/>
        </w:rPr>
        <w:t>按《目录》</w:t>
      </w:r>
    </w:p>
    <w:p w14:paraId="689F282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7705A822">
      <w:pPr>
        <w:pStyle w:val="43"/>
        <w:spacing w:line="480" w:lineRule="exact"/>
        <w:rPr>
          <w:rFonts w:hint="eastAsia"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003116A3">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8054B0C">
      <w:pPr>
        <w:pStyle w:val="43"/>
        <w:spacing w:line="480" w:lineRule="exact"/>
        <w:rPr>
          <w:rFonts w:hint="eastAsia" w:ascii="宋体" w:eastAsia="宋体"/>
          <w:color w:val="auto"/>
          <w:highlight w:val="none"/>
        </w:rPr>
      </w:pPr>
      <w:bookmarkStart w:id="128" w:name="_Toc505"/>
      <w:bookmarkStart w:id="129" w:name="_Toc10219"/>
      <w:bookmarkStart w:id="130" w:name="_Toc6991"/>
      <w:bookmarkStart w:id="131" w:name="_Toc21585"/>
      <w:bookmarkStart w:id="132" w:name="_Toc3857"/>
      <w:bookmarkStart w:id="133" w:name="_Toc32299"/>
      <w:bookmarkStart w:id="134" w:name="_Toc29942"/>
      <w:bookmarkStart w:id="135" w:name="_Toc31619"/>
      <w:bookmarkStart w:id="136" w:name="_Toc32490"/>
      <w:r>
        <w:rPr>
          <w:rFonts w:hint="eastAsia" w:ascii="宋体" w:eastAsia="宋体"/>
          <w:color w:val="auto"/>
          <w:highlight w:val="none"/>
        </w:rPr>
        <w:t>1.投标人应认真阅读本招标文件，发现其中有误或有不合理要求的，投标人必须</w:t>
      </w:r>
      <w:r>
        <w:rPr>
          <w:rFonts w:hint="eastAsia" w:ascii="宋体" w:eastAsia="宋体"/>
          <w:color w:val="auto"/>
          <w:highlight w:val="none"/>
          <w:lang w:eastAsia="zh-CN"/>
        </w:rPr>
        <w:t>在规定时间内</w:t>
      </w:r>
      <w:r>
        <w:rPr>
          <w:rFonts w:hint="eastAsia" w:ascii="宋体" w:eastAsia="宋体"/>
          <w:color w:val="auto"/>
          <w:highlight w:val="none"/>
        </w:rPr>
        <w:t>以书面形式要求采购代理机构或采购人澄清。采购代理机构或采购人对已发出的招标文件进行必要澄清、答复、修改或补充的，在采购信息发布媒体上发布更正公告。</w:t>
      </w:r>
    </w:p>
    <w:p w14:paraId="3B2FC3E4">
      <w:pPr>
        <w:pStyle w:val="43"/>
        <w:spacing w:line="480" w:lineRule="exact"/>
        <w:rPr>
          <w:rFonts w:hint="eastAsia" w:ascii="宋体" w:eastAsia="宋体"/>
          <w:color w:val="auto"/>
          <w:highlight w:val="none"/>
        </w:rPr>
      </w:pPr>
      <w:r>
        <w:rPr>
          <w:rFonts w:hint="eastAsia" w:ascii="宋体" w:eastAsia="宋体"/>
          <w:color w:val="auto"/>
          <w:highlight w:val="none"/>
        </w:rPr>
        <w:t>2.采购代理机构根据实际情况，以书面或采购信息发布媒体上发布的形式答复投标人要求澄清的问题，不包含问题来源。</w:t>
      </w:r>
    </w:p>
    <w:p w14:paraId="371CE164">
      <w:pPr>
        <w:pStyle w:val="43"/>
        <w:spacing w:line="480" w:lineRule="exact"/>
        <w:rPr>
          <w:rFonts w:hint="eastAsia" w:ascii="宋体" w:eastAsia="宋体"/>
          <w:color w:val="auto"/>
          <w:highlight w:val="none"/>
        </w:rPr>
      </w:pPr>
      <w:r>
        <w:rPr>
          <w:rFonts w:hint="eastAsia" w:ascii="宋体" w:eastAsia="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496B8FAD">
      <w:pPr>
        <w:pStyle w:val="43"/>
        <w:keepNext w:val="0"/>
        <w:keepLines w:val="0"/>
        <w:pageBreakBefore w:val="0"/>
        <w:kinsoku/>
        <w:wordWrap/>
        <w:overflowPunct/>
        <w:topLinePunct w:val="0"/>
        <w:autoSpaceDE/>
        <w:autoSpaceDN/>
        <w:bidi w:val="0"/>
        <w:adjustRightInd/>
        <w:spacing w:line="360" w:lineRule="auto"/>
        <w:textAlignment w:val="auto"/>
        <w:rPr>
          <w:rFonts w:hint="eastAsia" w:ascii="宋体" w:eastAsia="宋体"/>
          <w:color w:val="auto"/>
          <w:highlight w:val="none"/>
        </w:rPr>
      </w:pPr>
      <w:r>
        <w:rPr>
          <w:rFonts w:hint="eastAsia" w:ascii="宋体" w:eastAsia="宋体"/>
          <w:color w:val="auto"/>
          <w:highlight w:val="none"/>
        </w:rPr>
        <w:t>4.招标文件的澄清、答复、修改或补充都应该通过本代理机构以法定形式发布，采购人非通过本机构，不得擅自澄清、答复、修改或补充招标文件。</w:t>
      </w:r>
    </w:p>
    <w:p w14:paraId="75CAD9B8">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三、投标文件的编制</w:t>
      </w:r>
      <w:bookmarkEnd w:id="128"/>
      <w:bookmarkEnd w:id="129"/>
      <w:bookmarkEnd w:id="130"/>
      <w:bookmarkEnd w:id="131"/>
      <w:bookmarkEnd w:id="132"/>
      <w:bookmarkEnd w:id="133"/>
      <w:bookmarkEnd w:id="134"/>
      <w:bookmarkEnd w:id="135"/>
      <w:bookmarkEnd w:id="136"/>
    </w:p>
    <w:p w14:paraId="6FAEF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注：投标人应保证所提供文件资料的真实性，所有文件资料必须是针对本次投标的。如发现投标人提供了虚假文件资料，其投标将被拒绝，并自行承担相应的法律责任。</w:t>
      </w:r>
    </w:p>
    <w:p w14:paraId="25ED84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37" w:name="_Toc1643"/>
      <w:bookmarkStart w:id="138" w:name="_Toc6708"/>
      <w:bookmarkStart w:id="139" w:name="_Toc985"/>
      <w:r>
        <w:rPr>
          <w:rFonts w:hint="eastAsia" w:ascii="宋体" w:hAnsi="宋体" w:eastAsia="宋体" w:cs="宋体"/>
          <w:b w:val="0"/>
          <w:bCs/>
          <w:color w:val="auto"/>
          <w:sz w:val="24"/>
          <w:szCs w:val="24"/>
          <w:highlight w:val="none"/>
        </w:rPr>
        <w:t>（一）投标文件的形式和效力</w:t>
      </w:r>
      <w:bookmarkEnd w:id="137"/>
      <w:bookmarkEnd w:id="138"/>
      <w:bookmarkEnd w:id="139"/>
    </w:p>
    <w:p w14:paraId="0E75E3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0" w:name="_Toc1160"/>
      <w:bookmarkStart w:id="141" w:name="_Toc14660"/>
      <w:bookmarkStart w:id="142" w:name="_Toc15545"/>
      <w:r>
        <w:rPr>
          <w:rFonts w:hint="eastAsia" w:ascii="宋体" w:hAnsi="宋体" w:eastAsia="宋体" w:cs="宋体"/>
          <w:b w:val="0"/>
          <w:bCs/>
          <w:color w:val="auto"/>
          <w:sz w:val="24"/>
          <w:szCs w:val="24"/>
          <w:highlight w:val="none"/>
        </w:rPr>
        <w:t>1. 投标文件分为电子投标文件以及备份投标文件，备份文件分为备份电子投标文件和纸质备份投标文件两部分。（其中备份投标文件的提供与否不做强制性要求）</w:t>
      </w:r>
      <w:bookmarkEnd w:id="140"/>
      <w:bookmarkEnd w:id="141"/>
      <w:bookmarkEnd w:id="142"/>
    </w:p>
    <w:p w14:paraId="033371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3" w:name="_Toc23694"/>
      <w:bookmarkStart w:id="144" w:name="_Toc20478"/>
      <w:bookmarkStart w:id="145" w:name="_Toc83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电子投标文件编制请按政府采购云平台供应商项目采购－电子招投标操作指南</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11"/>
          <w:sz w:val="24"/>
          <w:szCs w:val="24"/>
          <w:highlight w:val="none"/>
        </w:rPr>
        <w:fldChar w:fldCharType="begin"/>
      </w:r>
      <w:r>
        <w:rPr>
          <w:rFonts w:hint="eastAsia" w:ascii="宋体" w:hAnsi="宋体" w:eastAsia="宋体" w:cs="宋体"/>
          <w:b w:val="0"/>
          <w:bCs/>
          <w:color w:val="auto"/>
          <w:spacing w:val="-11"/>
          <w:sz w:val="24"/>
          <w:szCs w:val="24"/>
          <w:highlight w:val="none"/>
        </w:rPr>
        <w:instrText xml:space="preserve"> HYPERLINK "https://service.zcygov.cn/" \l "/knowledges/CW1EtGwBFdiHxlNd6I3m/6IMVAG0BFdiHxlNdQ8Na" </w:instrText>
      </w:r>
      <w:r>
        <w:rPr>
          <w:rFonts w:hint="eastAsia" w:ascii="宋体" w:hAnsi="宋体" w:eastAsia="宋体" w:cs="宋体"/>
          <w:b w:val="0"/>
          <w:bCs/>
          <w:color w:val="auto"/>
          <w:spacing w:val="-11"/>
          <w:sz w:val="24"/>
          <w:szCs w:val="24"/>
          <w:highlight w:val="none"/>
        </w:rPr>
        <w:fldChar w:fldCharType="separate"/>
      </w:r>
      <w:r>
        <w:rPr>
          <w:rStyle w:val="64"/>
          <w:rFonts w:hint="eastAsia" w:ascii="宋体" w:hAnsi="宋体" w:eastAsia="宋体" w:cs="宋体"/>
          <w:b w:val="0"/>
          <w:bCs/>
          <w:color w:val="auto"/>
          <w:spacing w:val="-11"/>
          <w:sz w:val="24"/>
          <w:szCs w:val="24"/>
          <w:highlight w:val="none"/>
        </w:rPr>
        <w:t>https://service.zcygov.cn/#/knowledges/CW1EtGwBFdiHxlNd6I3m/6ImVAG0BFdiHxlNdQ8Na</w:t>
      </w:r>
      <w:r>
        <w:rPr>
          <w:rFonts w:hint="eastAsia" w:ascii="宋体" w:hAnsi="宋体" w:eastAsia="宋体" w:cs="宋体"/>
          <w:b w:val="0"/>
          <w:bCs/>
          <w:color w:val="auto"/>
          <w:spacing w:val="-11"/>
          <w:sz w:val="24"/>
          <w:szCs w:val="24"/>
          <w:highlight w:val="none"/>
        </w:rPr>
        <w:fldChar w:fldCharType="end"/>
      </w:r>
      <w:r>
        <w:rPr>
          <w:rFonts w:hint="eastAsia" w:ascii="宋体" w:hAnsi="宋体" w:eastAsia="宋体" w:cs="宋体"/>
          <w:b w:val="0"/>
          <w:bCs/>
          <w:color w:val="auto"/>
          <w:spacing w:val="-11"/>
          <w:sz w:val="24"/>
          <w:szCs w:val="24"/>
          <w:highlight w:val="none"/>
          <w:lang w:eastAsia="zh-CN"/>
        </w:rPr>
        <w:t>）</w:t>
      </w:r>
      <w:r>
        <w:rPr>
          <w:rFonts w:hint="eastAsia" w:ascii="宋体" w:hAnsi="宋体" w:eastAsia="宋体" w:cs="宋体"/>
          <w:b w:val="0"/>
          <w:bCs/>
          <w:color w:val="auto"/>
          <w:sz w:val="24"/>
          <w:szCs w:val="24"/>
          <w:highlight w:val="none"/>
        </w:rPr>
        <w:t>和本招标文件要求编制并进行关联定位。</w:t>
      </w:r>
      <w:bookmarkEnd w:id="143"/>
      <w:bookmarkEnd w:id="144"/>
      <w:bookmarkEnd w:id="145"/>
    </w:p>
    <w:p w14:paraId="28DC5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6" w:name="_Toc22499"/>
      <w:bookmarkStart w:id="147" w:name="_Toc13124"/>
      <w:bookmarkStart w:id="148" w:name="_Toc2210"/>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备份电子投标文件：即电子投标文件按“政采云供应商项目采购－电子招投标操作指南”制作的备份文件。</w:t>
      </w:r>
      <w:bookmarkEnd w:id="146"/>
      <w:bookmarkEnd w:id="147"/>
      <w:bookmarkEnd w:id="148"/>
    </w:p>
    <w:p w14:paraId="1446E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9" w:name="_Toc24783"/>
      <w:bookmarkStart w:id="150" w:name="_Toc21980"/>
      <w:bookmarkStart w:id="151" w:name="_Toc3026"/>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纸质备份投标文件：系电子投标文件纸质版，按照“（二）投标文件的组成”要求制作。</w:t>
      </w:r>
      <w:bookmarkEnd w:id="149"/>
      <w:bookmarkEnd w:id="150"/>
      <w:bookmarkEnd w:id="151"/>
    </w:p>
    <w:p w14:paraId="7C6A0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2" w:name="_Toc25995"/>
      <w:bookmarkStart w:id="153" w:name="_Toc1528"/>
      <w:bookmarkStart w:id="154" w:name="_Toc20678"/>
      <w:r>
        <w:rPr>
          <w:rFonts w:hint="eastAsia" w:ascii="宋体" w:hAnsi="宋体" w:eastAsia="宋体" w:cs="宋体"/>
          <w:b w:val="0"/>
          <w:bCs/>
          <w:color w:val="auto"/>
          <w:sz w:val="24"/>
          <w:szCs w:val="24"/>
          <w:highlight w:val="none"/>
        </w:rPr>
        <w:t>2.投标文件的效力</w:t>
      </w:r>
      <w:bookmarkEnd w:id="152"/>
      <w:bookmarkEnd w:id="153"/>
      <w:bookmarkEnd w:id="154"/>
    </w:p>
    <w:p w14:paraId="2927A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5" w:name="_Toc10246"/>
      <w:bookmarkStart w:id="156" w:name="_Toc13794"/>
      <w:bookmarkStart w:id="157" w:name="_Toc23835"/>
      <w:r>
        <w:rPr>
          <w:rFonts w:hint="eastAsia" w:ascii="宋体" w:hAnsi="宋体" w:eastAsia="宋体" w:cs="宋体"/>
          <w:b w:val="0"/>
          <w:bCs/>
          <w:color w:val="auto"/>
          <w:sz w:val="24"/>
          <w:szCs w:val="24"/>
          <w:highlight w:val="none"/>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5"/>
      <w:bookmarkEnd w:id="156"/>
      <w:bookmarkEnd w:id="157"/>
    </w:p>
    <w:p w14:paraId="7ED53D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58" w:name="_Toc7298"/>
      <w:bookmarkStart w:id="159" w:name="_Toc27236"/>
      <w:bookmarkStart w:id="160" w:name="_Toc14880"/>
      <w:r>
        <w:rPr>
          <w:rFonts w:hint="eastAsia" w:ascii="宋体" w:hAnsi="宋体" w:eastAsia="宋体" w:cs="宋体"/>
          <w:b w:val="0"/>
          <w:bCs/>
          <w:color w:val="auto"/>
          <w:sz w:val="24"/>
          <w:szCs w:val="24"/>
          <w:highlight w:val="none"/>
        </w:rPr>
        <w:t>（二）投标文件的组成</w:t>
      </w:r>
      <w:bookmarkEnd w:id="158"/>
      <w:bookmarkEnd w:id="159"/>
      <w:bookmarkEnd w:id="160"/>
    </w:p>
    <w:p w14:paraId="7854C18E">
      <w:pPr>
        <w:snapToGrid w:val="0"/>
        <w:spacing w:line="480" w:lineRule="exact"/>
        <w:ind w:firstLine="470" w:firstLineChars="196"/>
        <w:jc w:val="left"/>
        <w:rPr>
          <w:rFonts w:hint="eastAsia" w:ascii="宋体" w:hAnsi="宋体" w:eastAsia="宋体" w:cs="宋体"/>
          <w:b w:val="0"/>
          <w:bCs/>
          <w:color w:val="auto"/>
          <w:sz w:val="24"/>
          <w:szCs w:val="24"/>
          <w:highlight w:val="none"/>
        </w:rPr>
      </w:pPr>
      <w:bookmarkStart w:id="161" w:name="_Toc24122"/>
      <w:bookmarkStart w:id="162" w:name="_Toc22737"/>
      <w:bookmarkStart w:id="163" w:name="_Toc23987"/>
      <w:r>
        <w:rPr>
          <w:rFonts w:hint="eastAsia" w:ascii="宋体" w:hAnsi="宋体" w:eastAsia="宋体" w:cs="宋体"/>
          <w:b w:val="0"/>
          <w:bCs/>
          <w:color w:val="auto"/>
          <w:sz w:val="24"/>
          <w:szCs w:val="24"/>
          <w:highlight w:val="none"/>
        </w:rPr>
        <w:t>投标文件（包括电子投标文件和备份投标文件）由</w:t>
      </w:r>
      <w:r>
        <w:rPr>
          <w:rFonts w:hint="eastAsia" w:ascii="宋体" w:hAnsi="宋体" w:eastAsia="宋体" w:cs="宋体"/>
          <w:b/>
          <w:bCs w:val="0"/>
          <w:color w:val="auto"/>
          <w:sz w:val="24"/>
          <w:szCs w:val="24"/>
          <w:highlight w:val="none"/>
        </w:rPr>
        <w:t>资格审查文件</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技术商务文件</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bCs w:val="0"/>
          <w:color w:val="auto"/>
          <w:sz w:val="24"/>
          <w:szCs w:val="24"/>
          <w:highlight w:val="none"/>
        </w:rPr>
        <w:t>报价文件</w:t>
      </w:r>
      <w:r>
        <w:rPr>
          <w:rFonts w:hint="eastAsia" w:ascii="宋体" w:hAnsi="宋体" w:eastAsia="宋体" w:cs="宋体"/>
          <w:b w:val="0"/>
          <w:bCs/>
          <w:color w:val="auto"/>
          <w:sz w:val="24"/>
          <w:szCs w:val="24"/>
          <w:highlight w:val="none"/>
        </w:rPr>
        <w:t>三部分组成。</w:t>
      </w:r>
      <w:bookmarkEnd w:id="161"/>
      <w:bookmarkEnd w:id="162"/>
      <w:bookmarkEnd w:id="163"/>
      <w:bookmarkStart w:id="164" w:name="_Toc23514"/>
      <w:bookmarkStart w:id="165" w:name="_Toc23025"/>
      <w:bookmarkStart w:id="166" w:name="_Toc13109"/>
      <w:r>
        <w:rPr>
          <w:rFonts w:hint="eastAsia" w:ascii="宋体" w:hAnsi="宋体" w:eastAsia="宋体" w:cs="宋体"/>
          <w:b w:val="0"/>
          <w:bCs/>
          <w:color w:val="auto"/>
          <w:sz w:val="24"/>
          <w:szCs w:val="24"/>
          <w:highlight w:val="none"/>
        </w:rPr>
        <w:t>备份电子投标文件，按政采云平台项目采购－电子招投标操作指南中上传的电子投标文件格式，以光盘或U盘形式提供。数量为1份。</w:t>
      </w:r>
      <w:bookmarkEnd w:id="164"/>
      <w:bookmarkEnd w:id="165"/>
      <w:bookmarkEnd w:id="166"/>
    </w:p>
    <w:p w14:paraId="0A4C3B95">
      <w:pPr>
        <w:snapToGrid w:val="0"/>
        <w:spacing w:line="480" w:lineRule="exact"/>
        <w:ind w:firstLine="472" w:firstLineChars="196"/>
        <w:jc w:val="left"/>
        <w:rPr>
          <w:rFonts w:hint="eastAsia"/>
          <w:b/>
          <w:bCs/>
          <w:color w:val="auto"/>
          <w:highlight w:val="none"/>
        </w:rPr>
      </w:pPr>
      <w:r>
        <w:rPr>
          <w:rFonts w:hint="eastAsia" w:ascii="宋体" w:hAnsi="宋体" w:cs="宋体"/>
          <w:b/>
          <w:bCs/>
          <w:color w:val="auto"/>
          <w:sz w:val="24"/>
          <w:highlight w:val="none"/>
        </w:rPr>
        <w:t>1.资格审查文件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78D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C8B499">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4952C2A6">
            <w:pPr>
              <w:autoSpaceDE w:val="0"/>
              <w:autoSpaceDN w:val="0"/>
              <w:adjustRightInd w:val="0"/>
              <w:snapToGrid w:val="0"/>
              <w:spacing w:line="430" w:lineRule="atLeast"/>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222E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7E260">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vAlign w:val="top"/>
          </w:tcPr>
          <w:p w14:paraId="5F5B5FAE">
            <w:pPr>
              <w:autoSpaceDE w:val="0"/>
              <w:autoSpaceDN w:val="0"/>
              <w:adjustRightInd w:val="0"/>
              <w:snapToGrid w:val="0"/>
              <w:spacing w:line="430" w:lineRule="atLeast"/>
              <w:rPr>
                <w:rFonts w:hint="eastAsia" w:ascii="宋体" w:hAnsi="宋体" w:cs="Courier New"/>
                <w:color w:val="auto"/>
                <w:kern w:val="0"/>
                <w:sz w:val="22"/>
                <w:szCs w:val="22"/>
                <w:highlight w:val="none"/>
                <w:lang w:val="zh-CN"/>
              </w:rPr>
            </w:pPr>
            <w:r>
              <w:rPr>
                <w:rFonts w:hint="eastAsia" w:ascii="宋体" w:hAnsi="宋体" w:cs="宋体"/>
                <w:sz w:val="20"/>
                <w:szCs w:val="20"/>
              </w:rPr>
              <w:t>投标函</w:t>
            </w:r>
          </w:p>
        </w:tc>
      </w:tr>
      <w:tr w14:paraId="6E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EEA8DD">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vAlign w:val="top"/>
          </w:tcPr>
          <w:p w14:paraId="24ACF7F5">
            <w:pPr>
              <w:autoSpaceDE w:val="0"/>
              <w:autoSpaceDN w:val="0"/>
              <w:adjustRightInd w:val="0"/>
              <w:snapToGrid w:val="0"/>
              <w:spacing w:line="430" w:lineRule="atLeast"/>
              <w:rPr>
                <w:rFonts w:hint="eastAsia" w:ascii="宋体" w:hAnsi="宋体" w:cs="宋体"/>
                <w:color w:val="auto"/>
                <w:kern w:val="2"/>
                <w:sz w:val="22"/>
                <w:szCs w:val="22"/>
                <w:highlight w:val="none"/>
                <w:lang w:val="zh-CN" w:eastAsia="zh-CN" w:bidi="ar-SA"/>
              </w:rPr>
            </w:pPr>
            <w:r>
              <w:rPr>
                <w:rFonts w:hint="eastAsia" w:ascii="宋体" w:hAnsi="宋体" w:cs="宋体"/>
                <w:sz w:val="20"/>
                <w:szCs w:val="20"/>
              </w:rPr>
              <w:t>投标声明书</w:t>
            </w:r>
          </w:p>
        </w:tc>
      </w:tr>
      <w:tr w14:paraId="099F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AD95FE">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vAlign w:val="top"/>
          </w:tcPr>
          <w:p w14:paraId="4DED97DD">
            <w:pPr>
              <w:autoSpaceDE w:val="0"/>
              <w:autoSpaceDN w:val="0"/>
              <w:adjustRightInd w:val="0"/>
              <w:snapToGrid w:val="0"/>
              <w:spacing w:line="430" w:lineRule="atLeast"/>
              <w:rPr>
                <w:rFonts w:hint="eastAsia" w:ascii="宋体" w:hAnsi="宋体" w:cs="Courier New"/>
                <w:color w:val="auto"/>
                <w:kern w:val="0"/>
                <w:sz w:val="22"/>
                <w:szCs w:val="22"/>
                <w:highlight w:val="none"/>
                <w:lang w:val="en-US" w:eastAsia="zh-CN" w:bidi="ar-SA"/>
              </w:rPr>
            </w:pPr>
            <w:r>
              <w:rPr>
                <w:rFonts w:hint="eastAsia" w:ascii="宋体" w:hAnsi="宋体" w:cs="Courier New"/>
                <w:kern w:val="0"/>
                <w:sz w:val="20"/>
                <w:szCs w:val="20"/>
              </w:rPr>
              <w:t>符合参加政府采购活动应当具备的一般条件的承诺函（联合体各方均需提供）</w:t>
            </w:r>
          </w:p>
        </w:tc>
      </w:tr>
      <w:tr w14:paraId="695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10A6A1">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vAlign w:val="top"/>
          </w:tcPr>
          <w:p w14:paraId="512FB617">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Courier New"/>
                <w:kern w:val="0"/>
                <w:sz w:val="20"/>
                <w:szCs w:val="20"/>
              </w:rPr>
              <w:t>政府采购供应商诚信承诺书（若联合体投标，联合体各方均需提供）</w:t>
            </w:r>
          </w:p>
        </w:tc>
      </w:tr>
      <w:tr w14:paraId="3D6F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B6F4530">
            <w:pPr>
              <w:autoSpaceDE w:val="0"/>
              <w:autoSpaceDN w:val="0"/>
              <w:adjustRightInd w:val="0"/>
              <w:snapToGrid w:val="0"/>
              <w:spacing w:line="440" w:lineRule="exac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center"/>
          </w:tcPr>
          <w:p w14:paraId="25DAEB83">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宋体"/>
                <w:kern w:val="0"/>
                <w:sz w:val="20"/>
                <w:szCs w:val="20"/>
              </w:rPr>
              <w:t>无围标串标等负面行为承诺书</w:t>
            </w:r>
            <w:r>
              <w:rPr>
                <w:rFonts w:hint="eastAsia" w:ascii="宋体" w:hAnsi="宋体" w:cs="Courier New"/>
                <w:kern w:val="0"/>
                <w:sz w:val="20"/>
                <w:szCs w:val="20"/>
              </w:rPr>
              <w:t>、</w:t>
            </w:r>
            <w:r>
              <w:rPr>
                <w:rFonts w:hint="eastAsia" w:ascii="宋体" w:hAnsi="宋体" w:cs="宋体"/>
                <w:kern w:val="0"/>
                <w:sz w:val="20"/>
                <w:szCs w:val="20"/>
              </w:rPr>
              <w:t>《供应商市场行为信誉情况承诺书》</w:t>
            </w:r>
            <w:r>
              <w:rPr>
                <w:rFonts w:hint="eastAsia" w:ascii="宋体" w:hAnsi="宋体" w:cs="Courier New"/>
                <w:kern w:val="0"/>
                <w:sz w:val="20"/>
                <w:szCs w:val="20"/>
              </w:rPr>
              <w:t>（若联合体投标，联合体各方均需提供）</w:t>
            </w:r>
          </w:p>
        </w:tc>
      </w:tr>
      <w:tr w14:paraId="6C4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173952">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top"/>
          </w:tcPr>
          <w:p w14:paraId="45FCD748">
            <w:pPr>
              <w:autoSpaceDE w:val="0"/>
              <w:autoSpaceDN w:val="0"/>
              <w:adjustRightInd w:val="0"/>
              <w:snapToGrid w:val="0"/>
              <w:spacing w:line="430" w:lineRule="atLeast"/>
              <w:rPr>
                <w:rFonts w:hint="eastAsia" w:ascii="宋体" w:hAnsi="宋体" w:cs="宋体"/>
                <w:color w:val="auto"/>
                <w:kern w:val="0"/>
                <w:sz w:val="22"/>
                <w:szCs w:val="22"/>
                <w:highlight w:val="none"/>
                <w:lang w:val="en-US" w:eastAsia="zh-CN" w:bidi="ar-SA"/>
              </w:rPr>
            </w:pPr>
            <w:r>
              <w:rPr>
                <w:rFonts w:hint="eastAsia" w:ascii="宋体" w:hAnsi="宋体" w:cs="Courier New"/>
                <w:kern w:val="0"/>
                <w:sz w:val="20"/>
                <w:szCs w:val="20"/>
              </w:rPr>
              <w:t>投标单位情况表</w:t>
            </w:r>
          </w:p>
        </w:tc>
      </w:tr>
      <w:tr w14:paraId="624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D3F881">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vAlign w:val="top"/>
          </w:tcPr>
          <w:p w14:paraId="41CD353D">
            <w:pPr>
              <w:autoSpaceDE w:val="0"/>
              <w:autoSpaceDN w:val="0"/>
              <w:adjustRightInd w:val="0"/>
              <w:snapToGrid w:val="0"/>
              <w:spacing w:line="440" w:lineRule="exact"/>
              <w:rPr>
                <w:rFonts w:hint="eastAsia" w:ascii="宋体" w:hAnsi="宋体" w:cs="宋体"/>
                <w:color w:val="auto"/>
                <w:kern w:val="2"/>
                <w:sz w:val="22"/>
                <w:szCs w:val="22"/>
                <w:highlight w:val="none"/>
                <w:lang w:val="en-US" w:eastAsia="zh-CN" w:bidi="ar-SA"/>
              </w:rPr>
            </w:pPr>
            <w:r>
              <w:rPr>
                <w:rFonts w:hint="eastAsia" w:ascii="宋体" w:hAnsi="宋体" w:cs="Courier New"/>
                <w:kern w:val="0"/>
                <w:sz w:val="20"/>
                <w:szCs w:val="20"/>
              </w:rPr>
              <w:t>投标供应商的营业执照（若联合体投标，联合体各方均需提供，扫描件加盖公章）</w:t>
            </w:r>
          </w:p>
        </w:tc>
      </w:tr>
      <w:tr w14:paraId="2EA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DC0144">
            <w:pPr>
              <w:autoSpaceDE w:val="0"/>
              <w:autoSpaceDN w:val="0"/>
              <w:adjustRightInd w:val="0"/>
              <w:snapToGrid w:val="0"/>
              <w:spacing w:line="430" w:lineRule="atLeast"/>
              <w:jc w:val="center"/>
              <w:rPr>
                <w:rFonts w:hint="eastAsia"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center"/>
          </w:tcPr>
          <w:p w14:paraId="1E9FDA65">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sz w:val="20"/>
                <w:szCs w:val="20"/>
              </w:rPr>
              <w:t>投标供应商“信用中国”(www.creditchina.gov.cn)；“中国政府采购网”（www.ccgp.gov.cn）信用记录查询网页截图（招标公告发布之日至投标截止时间前）</w:t>
            </w:r>
          </w:p>
        </w:tc>
      </w:tr>
      <w:tr w14:paraId="40E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25792F">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vAlign w:val="center"/>
          </w:tcPr>
          <w:p w14:paraId="24E0905A">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宋体"/>
                <w:kern w:val="0"/>
                <w:sz w:val="20"/>
                <w:szCs w:val="20"/>
              </w:rPr>
              <w:t>法定代表人授权书，法定代表人参与投标的需提供法人身份证及法定代表人的身份证扫描件</w:t>
            </w:r>
            <w:r>
              <w:rPr>
                <w:rFonts w:hint="eastAsia" w:ascii="宋体" w:hAnsi="宋体" w:cs="Courier New"/>
                <w:kern w:val="0"/>
                <w:sz w:val="20"/>
                <w:szCs w:val="20"/>
              </w:rPr>
              <w:t>（联合体牵头方提供）</w:t>
            </w:r>
          </w:p>
        </w:tc>
      </w:tr>
      <w:tr w14:paraId="744C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C6B1F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vAlign w:val="top"/>
          </w:tcPr>
          <w:p w14:paraId="326D416F">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kern w:val="0"/>
                <w:sz w:val="20"/>
                <w:szCs w:val="20"/>
              </w:rPr>
              <w:t>联合投标协议书、联合投标授权委托书（若联合体投标，需提供）</w:t>
            </w:r>
          </w:p>
        </w:tc>
      </w:tr>
      <w:tr w14:paraId="3C04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6B5658">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vAlign w:val="top"/>
          </w:tcPr>
          <w:p w14:paraId="2C058956">
            <w:pPr>
              <w:autoSpaceDE w:val="0"/>
              <w:autoSpaceDN w:val="0"/>
              <w:adjustRightInd w:val="0"/>
              <w:snapToGrid w:val="0"/>
              <w:spacing w:line="440" w:lineRule="exact"/>
              <w:rPr>
                <w:rFonts w:hint="eastAsia" w:ascii="宋体" w:hAnsi="宋体" w:eastAsia="宋体" w:cs="Courier New"/>
                <w:color w:val="auto"/>
                <w:kern w:val="0"/>
                <w:sz w:val="22"/>
                <w:szCs w:val="22"/>
                <w:highlight w:val="none"/>
                <w:lang w:val="en-US" w:eastAsia="zh-CN" w:bidi="ar-SA"/>
              </w:rPr>
            </w:pPr>
            <w:r>
              <w:rPr>
                <w:rFonts w:hint="eastAsia" w:ascii="宋体" w:hAnsi="宋体" w:cs="Courier New"/>
                <w:kern w:val="0"/>
                <w:sz w:val="20"/>
                <w:szCs w:val="20"/>
              </w:rPr>
              <w:t>中小企业相关材料（小微企业、监狱企业、残疾人福利性单位）面向中小企业采购时必须在资格审查文件中提供，非面向中小企业采购时在报价文件中提供。</w:t>
            </w:r>
          </w:p>
        </w:tc>
      </w:tr>
      <w:tr w14:paraId="19C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0331E5">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vAlign w:val="top"/>
          </w:tcPr>
          <w:p w14:paraId="7E84D12F">
            <w:pPr>
              <w:autoSpaceDE w:val="0"/>
              <w:autoSpaceDN w:val="0"/>
              <w:adjustRightInd w:val="0"/>
              <w:snapToGrid w:val="0"/>
              <w:spacing w:line="430" w:lineRule="atLeast"/>
              <w:jc w:val="left"/>
              <w:rPr>
                <w:rFonts w:hint="default" w:ascii="宋体" w:hAnsi="宋体" w:cs="宋体"/>
                <w:color w:val="auto"/>
                <w:kern w:val="2"/>
                <w:sz w:val="22"/>
                <w:szCs w:val="22"/>
                <w:highlight w:val="none"/>
                <w:lang w:val="en-US" w:eastAsia="zh-CN" w:bidi="ar-SA"/>
              </w:rPr>
            </w:pPr>
            <w:r>
              <w:rPr>
                <w:rFonts w:hint="eastAsia" w:ascii="宋体" w:hAnsi="宋体" w:cs="宋体"/>
                <w:sz w:val="20"/>
                <w:szCs w:val="20"/>
              </w:rPr>
              <w:t>投标人认为有必要提供的其他文件（格式自拟）</w:t>
            </w:r>
          </w:p>
        </w:tc>
      </w:tr>
    </w:tbl>
    <w:p w14:paraId="4F83C46A">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7B7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BEBF7B6">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序号</w:t>
            </w:r>
          </w:p>
        </w:tc>
        <w:tc>
          <w:tcPr>
            <w:tcW w:w="8388" w:type="dxa"/>
          </w:tcPr>
          <w:p w14:paraId="1E3892CA">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内容</w:t>
            </w:r>
          </w:p>
        </w:tc>
      </w:tr>
      <w:tr w14:paraId="264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BEBFAC">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1</w:t>
            </w:r>
          </w:p>
        </w:tc>
        <w:tc>
          <w:tcPr>
            <w:tcW w:w="8388" w:type="dxa"/>
            <w:vAlign w:val="top"/>
          </w:tcPr>
          <w:p w14:paraId="1DAE61D5">
            <w:pPr>
              <w:autoSpaceDE w:val="0"/>
              <w:autoSpaceDN w:val="0"/>
              <w:adjustRightInd w:val="0"/>
              <w:snapToGrid w:val="0"/>
              <w:spacing w:line="440" w:lineRule="exact"/>
              <w:jc w:val="left"/>
              <w:rPr>
                <w:rFonts w:hint="eastAsia" w:ascii="宋体" w:hAnsi="宋体" w:cs="宋体"/>
                <w:color w:val="auto"/>
                <w:sz w:val="20"/>
                <w:szCs w:val="20"/>
                <w:highlight w:val="none"/>
                <w:lang w:val="zh-CN"/>
              </w:rPr>
            </w:pPr>
            <w:r>
              <w:rPr>
                <w:rFonts w:hint="eastAsia" w:ascii="宋体" w:hAnsi="宋体" w:cs="宋体"/>
                <w:sz w:val="20"/>
                <w:szCs w:val="20"/>
              </w:rPr>
              <w:t>评分响应表（如是联合体投标，由</w:t>
            </w:r>
            <w:r>
              <w:rPr>
                <w:rFonts w:hint="eastAsia" w:ascii="宋体" w:hAnsi="宋体" w:cs="Courier New"/>
                <w:kern w:val="0"/>
                <w:sz w:val="20"/>
                <w:szCs w:val="20"/>
              </w:rPr>
              <w:t>联合体牵头方提供</w:t>
            </w:r>
            <w:r>
              <w:rPr>
                <w:rFonts w:hint="eastAsia" w:ascii="宋体" w:hAnsi="宋体" w:cs="宋体"/>
                <w:sz w:val="20"/>
                <w:szCs w:val="20"/>
              </w:rPr>
              <w:t>）</w:t>
            </w:r>
          </w:p>
        </w:tc>
      </w:tr>
      <w:tr w14:paraId="7F6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C207A7">
            <w:pPr>
              <w:autoSpaceDE w:val="0"/>
              <w:autoSpaceDN w:val="0"/>
              <w:adjustRightInd w:val="0"/>
              <w:snapToGrid w:val="0"/>
              <w:spacing w:line="440" w:lineRule="exact"/>
              <w:jc w:val="center"/>
              <w:rPr>
                <w:rFonts w:hint="eastAsia" w:ascii="宋体" w:hAnsi="宋体" w:cs="Courier New"/>
                <w:color w:val="auto"/>
                <w:kern w:val="0"/>
                <w:sz w:val="20"/>
                <w:szCs w:val="20"/>
                <w:highlight w:val="none"/>
                <w:lang w:val="zh-CN"/>
              </w:rPr>
            </w:pPr>
            <w:r>
              <w:rPr>
                <w:rFonts w:hint="eastAsia" w:ascii="宋体" w:hAnsi="宋体" w:cs="Courier New"/>
                <w:color w:val="auto"/>
                <w:kern w:val="0"/>
                <w:sz w:val="20"/>
                <w:szCs w:val="20"/>
                <w:highlight w:val="none"/>
              </w:rPr>
              <w:t>2</w:t>
            </w:r>
          </w:p>
        </w:tc>
        <w:tc>
          <w:tcPr>
            <w:tcW w:w="8388" w:type="dxa"/>
            <w:vAlign w:val="center"/>
          </w:tcPr>
          <w:p w14:paraId="0AB62942">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sz w:val="20"/>
                <w:szCs w:val="20"/>
              </w:rPr>
              <w:t>投标声明书(如是联合体投标，</w:t>
            </w:r>
            <w:r>
              <w:rPr>
                <w:rFonts w:hint="eastAsia" w:ascii="宋体" w:hAnsi="宋体" w:cs="Courier New"/>
                <w:kern w:val="0"/>
                <w:sz w:val="20"/>
                <w:szCs w:val="20"/>
              </w:rPr>
              <w:t>联合体各方均需提供</w:t>
            </w:r>
            <w:r>
              <w:rPr>
                <w:rFonts w:hint="eastAsia" w:ascii="宋体" w:hAnsi="宋体" w:cs="宋体"/>
                <w:sz w:val="20"/>
                <w:szCs w:val="20"/>
              </w:rPr>
              <w:t>）</w:t>
            </w:r>
          </w:p>
        </w:tc>
      </w:tr>
      <w:tr w14:paraId="200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B76130">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3</w:t>
            </w:r>
          </w:p>
        </w:tc>
        <w:tc>
          <w:tcPr>
            <w:tcW w:w="8388" w:type="dxa"/>
            <w:vAlign w:val="center"/>
          </w:tcPr>
          <w:p w14:paraId="2CC99159">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sz w:val="20"/>
                <w:szCs w:val="20"/>
                <w:lang w:val="zh-CN"/>
              </w:rPr>
              <w:t>货物清单一览表</w:t>
            </w:r>
          </w:p>
        </w:tc>
      </w:tr>
      <w:tr w14:paraId="23E2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1CD214">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4</w:t>
            </w:r>
          </w:p>
        </w:tc>
        <w:tc>
          <w:tcPr>
            <w:tcW w:w="8388" w:type="dxa"/>
            <w:vAlign w:val="center"/>
          </w:tcPr>
          <w:p w14:paraId="2B753AD1">
            <w:pPr>
              <w:autoSpaceDE w:val="0"/>
              <w:autoSpaceDN w:val="0"/>
              <w:adjustRightInd w:val="0"/>
              <w:snapToGrid w:val="0"/>
              <w:spacing w:line="440" w:lineRule="exact"/>
              <w:jc w:val="left"/>
              <w:rPr>
                <w:rFonts w:hint="eastAsia" w:ascii="宋体" w:hAnsi="宋体" w:eastAsia="宋体" w:cs="宋体"/>
                <w:color w:val="auto"/>
                <w:sz w:val="20"/>
                <w:szCs w:val="20"/>
                <w:highlight w:val="none"/>
                <w:lang w:eastAsia="zh-CN"/>
              </w:rPr>
            </w:pPr>
            <w:r>
              <w:rPr>
                <w:rFonts w:hint="eastAsia" w:ascii="宋体" w:hAnsi="宋体" w:cs="宋体"/>
                <w:color w:val="000000"/>
                <w:kern w:val="0"/>
                <w:sz w:val="20"/>
                <w:szCs w:val="20"/>
                <w:lang w:bidi="ar"/>
              </w:rPr>
              <w:t>投标产品的</w:t>
            </w:r>
            <w:r>
              <w:rPr>
                <w:rFonts w:hint="eastAsia" w:ascii="宋体" w:hAnsi="宋体" w:cs="宋体"/>
                <w:sz w:val="20"/>
                <w:szCs w:val="20"/>
              </w:rPr>
              <w:t>产品技术指标偏离表（</w:t>
            </w:r>
            <w:r>
              <w:rPr>
                <w:rFonts w:hint="eastAsia" w:ascii="宋体" w:hAnsi="宋体" w:cs="宋体"/>
                <w:color w:val="000000"/>
                <w:kern w:val="0"/>
                <w:sz w:val="20"/>
                <w:szCs w:val="20"/>
                <w:lang w:bidi="ar"/>
              </w:rPr>
              <w:t>功能、性能及技术指标等</w:t>
            </w:r>
            <w:r>
              <w:rPr>
                <w:rFonts w:hint="eastAsia" w:ascii="宋体" w:hAnsi="宋体" w:cs="宋体"/>
                <w:sz w:val="20"/>
                <w:szCs w:val="20"/>
              </w:rPr>
              <w:t>）</w:t>
            </w:r>
          </w:p>
        </w:tc>
      </w:tr>
      <w:tr w14:paraId="6F0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7F0BAC">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5</w:t>
            </w:r>
          </w:p>
        </w:tc>
        <w:tc>
          <w:tcPr>
            <w:tcW w:w="8388" w:type="dxa"/>
            <w:vAlign w:val="center"/>
          </w:tcPr>
          <w:p w14:paraId="35F75DEC">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FF0000"/>
                <w:sz w:val="20"/>
                <w:szCs w:val="20"/>
              </w:rPr>
              <w:t>评审办法和评分标准中的评分内容（1，2，3，4，5，6......）尽量按序排列</w:t>
            </w:r>
          </w:p>
        </w:tc>
      </w:tr>
      <w:tr w14:paraId="1C8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257426">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6</w:t>
            </w:r>
          </w:p>
        </w:tc>
        <w:tc>
          <w:tcPr>
            <w:tcW w:w="8388" w:type="dxa"/>
            <w:vAlign w:val="top"/>
          </w:tcPr>
          <w:p w14:paraId="31AFE787">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cs="宋体"/>
                <w:sz w:val="20"/>
                <w:szCs w:val="20"/>
              </w:rPr>
              <w:t>根据招标文件要求，其他需说明的资料。(格式自拟）</w:t>
            </w:r>
          </w:p>
          <w:p w14:paraId="13781A43">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b/>
                <w:bCs/>
                <w:sz w:val="20"/>
                <w:szCs w:val="20"/>
              </w:rPr>
              <w:t>特别提醒：招标文件中标“▲”的实质性条款内容，须提供相应资料等，附件中如有格式，按招标文件格式，若未提供则格式自拟。</w:t>
            </w:r>
          </w:p>
        </w:tc>
      </w:tr>
    </w:tbl>
    <w:p w14:paraId="66D4DDD3">
      <w:pPr>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260A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14:paraId="30FF2509">
            <w:pPr>
              <w:autoSpaceDE w:val="0"/>
              <w:autoSpaceDN w:val="0"/>
              <w:adjustRightInd w:val="0"/>
              <w:snapToGrid w:val="0"/>
              <w:spacing w:line="440" w:lineRule="exact"/>
              <w:jc w:val="center"/>
              <w:rPr>
                <w:rFonts w:ascii="宋体" w:hAnsi="宋体" w:cs="宋体"/>
                <w:color w:val="auto"/>
                <w:kern w:val="0"/>
                <w:sz w:val="22"/>
                <w:szCs w:val="22"/>
                <w:highlight w:val="none"/>
                <w:lang w:val="zh-CN"/>
              </w:rPr>
            </w:pPr>
            <w:bookmarkStart w:id="167" w:name="_Toc27491"/>
            <w:bookmarkStart w:id="168" w:name="_Toc16950"/>
            <w:bookmarkStart w:id="169" w:name="_Toc14946"/>
            <w:bookmarkStart w:id="170" w:name="_Toc15007"/>
            <w:bookmarkStart w:id="171" w:name="_Toc11861"/>
            <w:bookmarkStart w:id="172" w:name="_Toc20239"/>
            <w:bookmarkStart w:id="173" w:name="_Toc3284"/>
            <w:bookmarkStart w:id="174" w:name="_Toc31427"/>
            <w:r>
              <w:rPr>
                <w:rFonts w:hint="eastAsia" w:ascii="宋体" w:hAnsi="宋体" w:cs="宋体"/>
                <w:color w:val="auto"/>
                <w:kern w:val="0"/>
                <w:sz w:val="22"/>
                <w:szCs w:val="22"/>
                <w:highlight w:val="none"/>
                <w:lang w:val="zh-CN"/>
              </w:rPr>
              <w:t>序号</w:t>
            </w:r>
          </w:p>
        </w:tc>
        <w:tc>
          <w:tcPr>
            <w:tcW w:w="8432" w:type="dxa"/>
          </w:tcPr>
          <w:p w14:paraId="749827A1">
            <w:pP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r>
              <w:rPr>
                <w:rFonts w:hint="eastAsia" w:ascii="宋体" w:hAnsi="宋体" w:cs="宋体"/>
                <w:b/>
                <w:color w:val="auto"/>
                <w:kern w:val="0"/>
                <w:sz w:val="22"/>
                <w:szCs w:val="22"/>
                <w:highlight w:val="none"/>
                <w:lang w:val="zh-CN"/>
              </w:rPr>
              <w:t>序号</w:t>
            </w: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lang w:val="en-US" w:eastAsia="zh-CN"/>
              </w:rPr>
              <w:t>2</w:t>
            </w:r>
            <w:r>
              <w:rPr>
                <w:rFonts w:hint="eastAsia" w:ascii="宋体" w:hAnsi="宋体" w:cs="宋体"/>
                <w:b/>
                <w:color w:val="auto"/>
                <w:kern w:val="0"/>
                <w:sz w:val="22"/>
                <w:szCs w:val="22"/>
                <w:highlight w:val="none"/>
                <w:lang w:val="zh-CN"/>
              </w:rPr>
              <w:t>项投标供应商必须提供，否则不能通过审查</w:t>
            </w:r>
            <w:r>
              <w:rPr>
                <w:rFonts w:hint="eastAsia" w:ascii="宋体" w:hAnsi="宋体" w:cs="宋体"/>
                <w:b/>
                <w:color w:val="auto"/>
                <w:kern w:val="0"/>
                <w:sz w:val="22"/>
                <w:szCs w:val="22"/>
                <w:highlight w:val="none"/>
              </w:rPr>
              <w:t>的</w:t>
            </w:r>
            <w:r>
              <w:rPr>
                <w:rFonts w:hint="eastAsia" w:ascii="宋体" w:hAnsi="宋体" w:cs="宋体"/>
                <w:b/>
                <w:color w:val="auto"/>
                <w:kern w:val="0"/>
                <w:sz w:val="22"/>
                <w:szCs w:val="22"/>
                <w:highlight w:val="none"/>
                <w:lang w:val="zh-CN"/>
              </w:rPr>
              <w:t>，责任自负。</w:t>
            </w:r>
            <w:r>
              <w:rPr>
                <w:rFonts w:hint="eastAsia" w:ascii="宋体" w:hAnsi="宋体" w:cs="宋体"/>
                <w:color w:val="auto"/>
                <w:kern w:val="0"/>
                <w:sz w:val="22"/>
                <w:szCs w:val="22"/>
                <w:highlight w:val="none"/>
                <w:lang w:val="zh-CN"/>
              </w:rPr>
              <w:t>）</w:t>
            </w:r>
          </w:p>
        </w:tc>
      </w:tr>
      <w:tr w14:paraId="5E17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2B8DE6">
            <w:pPr>
              <w:autoSpaceDE w:val="0"/>
              <w:autoSpaceDN w:val="0"/>
              <w:adjustRightInd w:val="0"/>
              <w:snapToGrid w:val="0"/>
              <w:spacing w:line="44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432" w:type="dxa"/>
          </w:tcPr>
          <w:p w14:paraId="20906311">
            <w:pPr>
              <w:autoSpaceDE w:val="0"/>
              <w:autoSpaceDN w:val="0"/>
              <w:adjustRightInd w:val="0"/>
              <w:spacing w:line="440" w:lineRule="exact"/>
              <w:textAlignment w:val="bottom"/>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投标函（</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592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3BBEA7">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p>
        </w:tc>
        <w:tc>
          <w:tcPr>
            <w:tcW w:w="8432" w:type="dxa"/>
          </w:tcPr>
          <w:p w14:paraId="4781928D">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059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CBD611">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p>
        </w:tc>
        <w:tc>
          <w:tcPr>
            <w:tcW w:w="8432" w:type="dxa"/>
          </w:tcPr>
          <w:p w14:paraId="35F54614">
            <w:pPr>
              <w:autoSpaceDE w:val="0"/>
              <w:autoSpaceDN w:val="0"/>
              <w:adjustRightInd w:val="0"/>
              <w:spacing w:line="440" w:lineRule="exact"/>
              <w:textAlignment w:val="bottom"/>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rPr>
              <w:t>投标分项报价表（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4158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402F2F">
            <w:pPr>
              <w:autoSpaceDE w:val="0"/>
              <w:autoSpaceDN w:val="0"/>
              <w:adjustRightInd w:val="0"/>
              <w:snapToGrid w:val="0"/>
              <w:spacing w:line="430" w:lineRule="atLeas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4</w:t>
            </w:r>
          </w:p>
        </w:tc>
        <w:tc>
          <w:tcPr>
            <w:tcW w:w="8432" w:type="dxa"/>
          </w:tcPr>
          <w:p w14:paraId="7EE83C43">
            <w:pPr>
              <w:autoSpaceDE w:val="0"/>
              <w:autoSpaceDN w:val="0"/>
              <w:adjustRightInd w:val="0"/>
              <w:spacing w:line="430" w:lineRule="atLeast"/>
              <w:textAlignment w:val="bottom"/>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享受价格优惠的相应材料（小微企业、监狱企业、残疾人福利性单位）如有则提供</w:t>
            </w:r>
          </w:p>
        </w:tc>
      </w:tr>
      <w:tr w14:paraId="002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41DF4">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p>
        </w:tc>
        <w:tc>
          <w:tcPr>
            <w:tcW w:w="8432" w:type="dxa"/>
          </w:tcPr>
          <w:p w14:paraId="1C311CBA">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投标人针对报价需要说明的其他文件和资料（格式自拟）</w:t>
            </w:r>
          </w:p>
        </w:tc>
      </w:tr>
    </w:tbl>
    <w:p w14:paraId="52DE25C9">
      <w:pPr>
        <w:pStyle w:val="29"/>
        <w:snapToGrid w:val="0"/>
        <w:spacing w:before="120" w:after="120"/>
        <w:ind w:firstLine="442" w:firstLineChars="200"/>
        <w:jc w:val="left"/>
        <w:rPr>
          <w:rFonts w:hint="eastAsia" w:hAnsi="宋体" w:cs="宋体"/>
          <w:color w:val="auto"/>
          <w:kern w:val="0"/>
          <w:sz w:val="22"/>
          <w:szCs w:val="20"/>
          <w:highlight w:val="none"/>
        </w:rPr>
      </w:pPr>
      <w:r>
        <w:rPr>
          <w:rFonts w:hint="eastAsia" w:hAnsi="宋体" w:cs="宋体"/>
          <w:b/>
          <w:bCs/>
          <w:color w:val="auto"/>
          <w:kern w:val="0"/>
          <w:sz w:val="22"/>
          <w:szCs w:val="20"/>
          <w:highlight w:val="none"/>
        </w:rPr>
        <w:t>注：（1）以上要求提供的内容附件中如有格式，按招标文件格式，若未提供则格式自拟。</w:t>
      </w:r>
    </w:p>
    <w:p w14:paraId="5FC0D042">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（2）填写报价表格时，各项费用应如实填写，如已含在产品价格中，则填“含”，</w:t>
      </w:r>
      <w:r>
        <w:rPr>
          <w:rFonts w:hint="eastAsia" w:hAnsi="宋体" w:cs="宋体"/>
          <w:color w:val="auto"/>
          <w:kern w:val="0"/>
          <w:sz w:val="22"/>
          <w:szCs w:val="20"/>
          <w:highlight w:val="none"/>
          <w:lang w:eastAsia="zh-CN"/>
        </w:rPr>
        <w:t>不允许</w:t>
      </w:r>
      <w:r>
        <w:rPr>
          <w:rFonts w:hint="eastAsia" w:hAnsi="宋体" w:cs="宋体"/>
          <w:color w:val="auto"/>
          <w:kern w:val="0"/>
          <w:sz w:val="22"/>
          <w:szCs w:val="20"/>
          <w:highlight w:val="none"/>
        </w:rPr>
        <w:t>免费</w:t>
      </w:r>
      <w:r>
        <w:rPr>
          <w:rFonts w:hint="eastAsia" w:hAnsi="宋体" w:cs="宋体"/>
          <w:color w:val="auto"/>
          <w:kern w:val="0"/>
          <w:sz w:val="22"/>
          <w:szCs w:val="20"/>
          <w:highlight w:val="none"/>
          <w:lang w:eastAsia="zh-CN"/>
        </w:rPr>
        <w:t>赠送</w:t>
      </w:r>
      <w:r>
        <w:rPr>
          <w:rFonts w:hint="eastAsia" w:hAnsi="宋体" w:cs="宋体"/>
          <w:color w:val="auto"/>
          <w:kern w:val="0"/>
          <w:sz w:val="22"/>
          <w:szCs w:val="20"/>
          <w:highlight w:val="none"/>
        </w:rPr>
        <w:t>，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1919AC9B">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443891DA">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（4）投标商对在合同执行中，除上述费用及招标文件规定的由中标人负责的工作范围以外需要买方协调或提供便利的工作应当在投标文件中说明。</w:t>
      </w:r>
    </w:p>
    <w:p w14:paraId="315D37DA">
      <w:pPr>
        <w:pStyle w:val="29"/>
        <w:snapToGrid w:val="0"/>
        <w:spacing w:before="120" w:after="120" w:line="440" w:lineRule="exact"/>
        <w:ind w:firstLine="442" w:firstLineChars="200"/>
        <w:jc w:val="left"/>
        <w:rPr>
          <w:rFonts w:hint="eastAsia" w:hAnsi="宋体" w:cs="宋体"/>
          <w:b/>
          <w:bCs/>
          <w:color w:val="auto"/>
          <w:highlight w:val="none"/>
        </w:rPr>
      </w:pPr>
      <w:r>
        <w:rPr>
          <w:rFonts w:hint="eastAsia" w:hAnsi="宋体" w:cs="宋体"/>
          <w:b/>
          <w:bCs/>
          <w:color w:val="auto"/>
          <w:kern w:val="0"/>
          <w:sz w:val="22"/>
          <w:szCs w:val="20"/>
          <w:highlight w:val="none"/>
        </w:rPr>
        <w:t>（5）</w:t>
      </w:r>
      <w:r>
        <w:rPr>
          <w:rFonts w:hint="eastAsia" w:hAnsi="宋体"/>
          <w:b/>
          <w:color w:val="auto"/>
          <w:highlight w:val="none"/>
        </w:rPr>
        <w:t>关于本项目投标价格的信息只允许出现在“报价文件”中，不得出现在技术标及商务标中。如提供纸质备份文件的，报价文件须单独密封。</w:t>
      </w:r>
    </w:p>
    <w:p w14:paraId="2EC10FBB">
      <w:pPr>
        <w:snapToGrid w:val="0"/>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（二）投标文件的语言及计量</w:t>
      </w:r>
      <w:bookmarkEnd w:id="167"/>
      <w:bookmarkEnd w:id="168"/>
      <w:bookmarkEnd w:id="169"/>
      <w:bookmarkEnd w:id="170"/>
      <w:bookmarkEnd w:id="171"/>
      <w:bookmarkEnd w:id="172"/>
      <w:bookmarkEnd w:id="173"/>
      <w:bookmarkEnd w:id="174"/>
    </w:p>
    <w:p w14:paraId="04859F27">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A80FA90">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2CB1F56E">
      <w:pPr>
        <w:snapToGrid w:val="0"/>
        <w:spacing w:line="460" w:lineRule="exact"/>
        <w:ind w:firstLine="482" w:firstLineChars="200"/>
        <w:jc w:val="left"/>
        <w:rPr>
          <w:rFonts w:hint="eastAsia" w:ascii="宋体" w:hAnsi="宋体" w:cs="宋体"/>
          <w:b/>
          <w:bCs/>
          <w:color w:val="auto"/>
          <w:sz w:val="24"/>
          <w:highlight w:val="none"/>
        </w:rPr>
      </w:pPr>
      <w:bookmarkStart w:id="175" w:name="_Toc32223"/>
      <w:bookmarkStart w:id="176" w:name="_Toc30164"/>
      <w:bookmarkStart w:id="177" w:name="_Toc24256"/>
      <w:bookmarkStart w:id="178" w:name="_Toc5952"/>
      <w:bookmarkStart w:id="179" w:name="_Toc24316"/>
      <w:bookmarkStart w:id="180" w:name="_Toc15337"/>
      <w:bookmarkStart w:id="181" w:name="_Toc20145"/>
      <w:bookmarkStart w:id="182" w:name="_Toc3387"/>
      <w:r>
        <w:rPr>
          <w:rFonts w:hint="eastAsia" w:ascii="宋体" w:hAnsi="宋体" w:cs="宋体"/>
          <w:b/>
          <w:bCs/>
          <w:color w:val="auto"/>
          <w:sz w:val="24"/>
          <w:highlight w:val="none"/>
        </w:rPr>
        <w:t>（三）投标报价</w:t>
      </w:r>
      <w:bookmarkEnd w:id="175"/>
      <w:bookmarkEnd w:id="176"/>
      <w:bookmarkEnd w:id="177"/>
      <w:bookmarkEnd w:id="178"/>
      <w:bookmarkEnd w:id="179"/>
      <w:bookmarkEnd w:id="180"/>
      <w:bookmarkEnd w:id="181"/>
      <w:bookmarkEnd w:id="182"/>
    </w:p>
    <w:p w14:paraId="3FABD8D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szCs w:val="24"/>
        </w:rPr>
      </w:pPr>
      <w:bookmarkStart w:id="183" w:name="_Toc12502"/>
      <w:bookmarkStart w:id="184" w:name="_Toc28306"/>
      <w:bookmarkStart w:id="185" w:name="_Toc105"/>
      <w:bookmarkStart w:id="186" w:name="_Toc13772"/>
      <w:bookmarkStart w:id="187" w:name="_Toc26142"/>
      <w:bookmarkStart w:id="188" w:name="_Toc26005"/>
      <w:bookmarkStart w:id="189" w:name="_Toc1595"/>
      <w:bookmarkStart w:id="190" w:name="_Toc4546"/>
      <w:r>
        <w:rPr>
          <w:rFonts w:hint="eastAsia" w:ascii="宋体" w:hAnsi="宋体" w:cs="宋体"/>
          <w:sz w:val="24"/>
          <w:szCs w:val="24"/>
        </w:rPr>
        <w:t>1.投标报价应按招标文件中相关附表格式填写。</w:t>
      </w:r>
    </w:p>
    <w:p w14:paraId="4DD2A51E">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rPr>
      </w:pPr>
      <w:r>
        <w:rPr>
          <w:rFonts w:ascii="宋体" w:hAnsi="宋体" w:cs="宋体"/>
          <w:sz w:val="24"/>
        </w:rPr>
        <w:t>▲2.</w:t>
      </w:r>
      <w:r>
        <w:rPr>
          <w:rFonts w:ascii="宋体" w:hAnsi="宋体"/>
          <w:sz w:val="24"/>
          <w:szCs w:val="24"/>
        </w:rPr>
        <w:t xml:space="preserve"> </w:t>
      </w:r>
      <w:r>
        <w:rPr>
          <w:rFonts w:hint="eastAsia" w:ascii="宋体" w:hAnsi="宋体" w:eastAsia="宋体" w:cs="宋体"/>
          <w:sz w:val="24"/>
          <w:highlight w:val="none"/>
        </w:rPr>
        <w:t>本次招标的投标报价</w:t>
      </w:r>
      <w:r>
        <w:rPr>
          <w:rFonts w:hint="eastAsia" w:ascii="宋体" w:hAnsi="宋体" w:eastAsia="宋体" w:cs="宋体"/>
          <w:sz w:val="24"/>
          <w:highlight w:val="cyan"/>
        </w:rPr>
        <w:t>以</w:t>
      </w:r>
      <w:bookmarkStart w:id="421" w:name="_GoBack"/>
      <w:bookmarkEnd w:id="421"/>
      <w:r>
        <w:rPr>
          <w:rFonts w:hint="eastAsia" w:ascii="宋体" w:hAnsi="宋体" w:eastAsia="宋体" w:cs="宋体"/>
          <w:sz w:val="24"/>
          <w:highlight w:val="cyan"/>
          <w:lang w:eastAsia="zh-CN"/>
        </w:rPr>
        <w:t>综合单</w:t>
      </w:r>
      <w:r>
        <w:rPr>
          <w:rFonts w:hint="eastAsia" w:ascii="宋体" w:hAnsi="宋体" w:eastAsia="宋体" w:cs="宋体"/>
          <w:sz w:val="24"/>
          <w:highlight w:val="cyan"/>
        </w:rPr>
        <w:t>价</w:t>
      </w:r>
      <w:r>
        <w:rPr>
          <w:rFonts w:hint="eastAsia" w:ascii="宋体" w:hAnsi="宋体" w:eastAsia="宋体" w:cs="宋体"/>
          <w:sz w:val="24"/>
          <w:highlight w:val="none"/>
        </w:rPr>
        <w:t>方式报价，本项目最高限价</w:t>
      </w:r>
      <w:r>
        <w:rPr>
          <w:rFonts w:hint="eastAsia" w:ascii="宋体" w:hAnsi="宋体" w:eastAsia="宋体" w:cs="宋体"/>
          <w:sz w:val="24"/>
          <w:highlight w:val="none"/>
          <w:lang w:eastAsia="zh-CN"/>
        </w:rPr>
        <w:t>总价</w:t>
      </w:r>
      <w:r>
        <w:rPr>
          <w:rFonts w:hint="eastAsia" w:ascii="宋体" w:hAnsi="宋体" w:eastAsia="宋体" w:cs="宋体"/>
          <w:sz w:val="24"/>
          <w:highlight w:val="none"/>
        </w:rPr>
        <w:t>为人民币</w:t>
      </w:r>
      <w:r>
        <w:rPr>
          <w:rFonts w:hint="eastAsia" w:ascii="宋体" w:hAnsi="宋体" w:eastAsia="宋体" w:cs="宋体"/>
          <w:sz w:val="24"/>
          <w:highlight w:val="none"/>
          <w:lang w:val="en-US" w:eastAsia="zh-CN"/>
        </w:rPr>
        <w:t>140</w:t>
      </w:r>
      <w:r>
        <w:rPr>
          <w:rFonts w:hint="eastAsia" w:ascii="宋体" w:hAnsi="宋体" w:eastAsia="宋体" w:cs="宋体"/>
          <w:sz w:val="24"/>
          <w:highlight w:val="none"/>
        </w:rPr>
        <w:t>万元</w:t>
      </w:r>
      <w:r>
        <w:rPr>
          <w:rFonts w:hint="eastAsia" w:ascii="宋体" w:hAnsi="宋体" w:eastAsia="宋体" w:cs="宋体"/>
          <w:sz w:val="24"/>
          <w:highlight w:val="none"/>
          <w:lang w:eastAsia="zh-CN"/>
        </w:rPr>
        <w:t>，单价为</w:t>
      </w:r>
      <w:r>
        <w:rPr>
          <w:rFonts w:hint="eastAsia" w:ascii="宋体" w:hAnsi="宋体" w:eastAsia="宋体" w:cs="宋体"/>
          <w:sz w:val="24"/>
          <w:highlight w:val="green"/>
          <w:u w:val="single"/>
          <w:lang w:val="en-US" w:eastAsia="zh-CN"/>
        </w:rPr>
        <w:t>疫木铁丝网就地打包处理380元/株(包含铁丝网)</w:t>
      </w:r>
      <w:r>
        <w:rPr>
          <w:rFonts w:hint="eastAsia" w:ascii="宋体" w:hAnsi="宋体" w:eastAsia="宋体" w:cs="宋体"/>
          <w:sz w:val="24"/>
          <w:highlight w:val="none"/>
          <w:lang w:val="en-US" w:eastAsia="zh-CN"/>
        </w:rPr>
        <w:t>。</w:t>
      </w:r>
      <w:r>
        <w:rPr>
          <w:rFonts w:hint="eastAsia" w:ascii="宋体" w:hAnsi="宋体"/>
          <w:color w:val="auto"/>
          <w:sz w:val="24"/>
          <w:szCs w:val="24"/>
          <w:highlight w:val="none"/>
          <w:lang w:eastAsia="zh-CN"/>
        </w:rPr>
        <w:t>投标</w:t>
      </w:r>
      <w:r>
        <w:rPr>
          <w:rFonts w:ascii="宋体" w:hAnsi="宋体"/>
          <w:color w:val="auto"/>
          <w:sz w:val="24"/>
          <w:szCs w:val="24"/>
          <w:highlight w:val="none"/>
        </w:rPr>
        <w:t>报价</w:t>
      </w:r>
      <w:r>
        <w:rPr>
          <w:rFonts w:hint="eastAsia" w:ascii="宋体" w:hAnsi="宋体"/>
          <w:b/>
          <w:bCs/>
          <w:sz w:val="24"/>
        </w:rPr>
        <w:t>应包</w:t>
      </w:r>
      <w:r>
        <w:rPr>
          <w:rFonts w:hint="eastAsia" w:ascii="宋体" w:hAnsi="宋体" w:eastAsia="宋体" w:cs="Times New Roman"/>
          <w:b/>
          <w:bCs/>
          <w:sz w:val="24"/>
        </w:rPr>
        <w:t>括</w:t>
      </w:r>
      <w:r>
        <w:rPr>
          <w:rFonts w:hint="eastAsia" w:ascii="宋体" w:hAnsi="宋体" w:eastAsia="宋体" w:cs="Times New Roman"/>
          <w:b/>
          <w:bCs/>
          <w:sz w:val="24"/>
          <w:lang w:eastAsia="zh-CN"/>
        </w:rPr>
        <w:t>人员工资、福利、各种社会保险、人员食宿与交通、人员培训、专用设备（仪器）及工具、耗材费用、验收相关费用、招标代理服务费、利润及应缴纳的税金、不可预见费等</w:t>
      </w:r>
      <w:r>
        <w:rPr>
          <w:rFonts w:hint="eastAsia" w:ascii="宋体" w:hAnsi="宋体"/>
          <w:sz w:val="24"/>
        </w:rPr>
        <w:t>，如有漏项，视同已包含在其</w:t>
      </w:r>
      <w:r>
        <w:rPr>
          <w:rFonts w:hint="eastAsia" w:ascii="宋体" w:hAnsi="宋体" w:cs="宋体"/>
          <w:sz w:val="24"/>
        </w:rPr>
        <w:t>总项目中，合同总价不作调整。</w:t>
      </w:r>
    </w:p>
    <w:p w14:paraId="37F1AE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▲3.投标文件只允许有一个报价，有选择的或有条件的报价将不予接受。</w:t>
      </w:r>
    </w:p>
    <w:p w14:paraId="5A0C75E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4</w:t>
      </w:r>
      <w:r>
        <w:rPr>
          <w:rFonts w:hint="eastAsia" w:ascii="宋体" w:hAnsi="宋体" w:eastAsia="宋体" w:cs="Times New Roman"/>
          <w:sz w:val="24"/>
          <w:szCs w:val="24"/>
        </w:rPr>
        <w:t>.供应商投标报价超出最高限价的，其投标按无效投标处理。</w:t>
      </w:r>
    </w:p>
    <w:p w14:paraId="1F203F9B">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（四）投标文件的有效期</w:t>
      </w:r>
      <w:bookmarkEnd w:id="183"/>
      <w:bookmarkEnd w:id="184"/>
      <w:bookmarkEnd w:id="185"/>
      <w:bookmarkEnd w:id="186"/>
      <w:bookmarkEnd w:id="187"/>
      <w:bookmarkEnd w:id="188"/>
      <w:bookmarkEnd w:id="189"/>
      <w:bookmarkEnd w:id="190"/>
    </w:p>
    <w:p w14:paraId="30E5D1E3">
      <w:pPr>
        <w:snapToGrid w:val="0"/>
        <w:spacing w:line="480" w:lineRule="exact"/>
        <w:ind w:firstLine="470" w:firstLineChars="196"/>
        <w:jc w:val="left"/>
        <w:rPr>
          <w:rFonts w:hint="eastAsia" w:ascii="宋体" w:hAnsi="宋体"/>
          <w:color w:val="auto"/>
          <w:sz w:val="24"/>
          <w:highlight w:val="none"/>
        </w:rPr>
      </w:pPr>
      <w:bookmarkStart w:id="191" w:name="_Toc3352"/>
      <w:bookmarkStart w:id="192" w:name="_Toc11741"/>
      <w:bookmarkStart w:id="193" w:name="_Toc6910"/>
      <w:bookmarkStart w:id="194" w:name="_Toc2492"/>
      <w:bookmarkStart w:id="195" w:name="_Toc11775"/>
      <w:bookmarkStart w:id="196" w:name="_Toc16094"/>
      <w:bookmarkStart w:id="197" w:name="_Toc20104"/>
      <w:bookmarkStart w:id="198" w:name="_Toc30936"/>
      <w:bookmarkStart w:id="199" w:name="_Toc12000"/>
      <w:bookmarkStart w:id="200" w:name="_Toc20729"/>
      <w:bookmarkStart w:id="201" w:name="_Toc21755"/>
      <w:r>
        <w:rPr>
          <w:rFonts w:hint="eastAsia" w:ascii="宋体" w:hAnsi="宋体"/>
          <w:color w:val="auto"/>
          <w:sz w:val="24"/>
          <w:highlight w:val="none"/>
        </w:rPr>
        <w:t>▲1.自投标截止日起</w:t>
      </w:r>
      <w:r>
        <w:rPr>
          <w:rFonts w:hint="eastAsia" w:ascii="宋体" w:hAnsi="宋体"/>
          <w:color w:val="auto"/>
          <w:sz w:val="24"/>
          <w:highlight w:val="none"/>
          <w:lang w:val="en-US" w:eastAsia="zh-CN"/>
        </w:rPr>
        <w:t>90</w:t>
      </w:r>
      <w:r>
        <w:rPr>
          <w:rFonts w:hint="eastAsia" w:ascii="宋体" w:hAnsi="宋体"/>
          <w:color w:val="auto"/>
          <w:sz w:val="24"/>
          <w:highlight w:val="none"/>
        </w:rPr>
        <w:t>天投标文件应保持有效</w:t>
      </w:r>
      <w:bookmarkEnd w:id="191"/>
      <w:bookmarkEnd w:id="192"/>
      <w:bookmarkEnd w:id="193"/>
      <w:bookmarkEnd w:id="194"/>
      <w:bookmarkEnd w:id="195"/>
      <w:bookmarkEnd w:id="196"/>
      <w:bookmarkEnd w:id="197"/>
      <w:bookmarkEnd w:id="198"/>
      <w:r>
        <w:rPr>
          <w:rFonts w:hint="eastAsia" w:ascii="宋体" w:hAnsi="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bookmarkEnd w:id="199"/>
      <w:bookmarkEnd w:id="200"/>
      <w:bookmarkEnd w:id="201"/>
    </w:p>
    <w:p w14:paraId="48E2B6B9">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2.在特殊情况下，招标人可与投标人协商延长投标书的有效期，这种要求和答复均以书面形式进行。</w:t>
      </w:r>
    </w:p>
    <w:p w14:paraId="5194E035">
      <w:pPr>
        <w:widowControl/>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3.中标人的投标文件自开标之日起至合同履行完毕止均应保持有效。</w:t>
      </w:r>
    </w:p>
    <w:p w14:paraId="1C004DE1">
      <w:pPr>
        <w:widowControl/>
        <w:spacing w:line="460" w:lineRule="exact"/>
        <w:ind w:firstLine="482" w:firstLineChars="200"/>
        <w:jc w:val="left"/>
        <w:rPr>
          <w:rFonts w:hint="eastAsia" w:ascii="宋体" w:hAnsi="宋体"/>
          <w:b/>
          <w:bCs/>
          <w:color w:val="auto"/>
          <w:sz w:val="24"/>
          <w:highlight w:val="none"/>
        </w:rPr>
      </w:pPr>
      <w:bookmarkStart w:id="202" w:name="_Toc23456"/>
      <w:bookmarkStart w:id="203" w:name="_Toc13842"/>
      <w:bookmarkStart w:id="204" w:name="_Toc22132"/>
      <w:bookmarkStart w:id="205" w:name="_Toc2438"/>
      <w:bookmarkStart w:id="206" w:name="_Toc29474"/>
      <w:bookmarkStart w:id="207" w:name="_Toc27608"/>
      <w:bookmarkStart w:id="208" w:name="_Toc14156"/>
      <w:bookmarkStart w:id="209" w:name="_Toc32250"/>
      <w:r>
        <w:rPr>
          <w:rFonts w:hint="eastAsia" w:ascii="宋体" w:hAnsi="宋体"/>
          <w:b/>
          <w:bCs/>
          <w:color w:val="auto"/>
          <w:sz w:val="24"/>
          <w:highlight w:val="none"/>
        </w:rPr>
        <w:t>（五）投标文件的签署和份数</w:t>
      </w:r>
      <w:bookmarkEnd w:id="202"/>
      <w:bookmarkEnd w:id="203"/>
      <w:bookmarkEnd w:id="204"/>
      <w:bookmarkEnd w:id="205"/>
      <w:bookmarkEnd w:id="206"/>
      <w:bookmarkEnd w:id="207"/>
      <w:bookmarkEnd w:id="208"/>
      <w:bookmarkEnd w:id="209"/>
    </w:p>
    <w:p w14:paraId="79381EC8">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1.电子投标文件部分：</w:t>
      </w:r>
    </w:p>
    <w:p w14:paraId="626C46AA">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20CD4167">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0C2877B1">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电子投标文件的备份文件，以U盘形式存储，并单独密封递交。数量为1份。</w:t>
      </w:r>
    </w:p>
    <w:p w14:paraId="50988EE3">
      <w:pPr>
        <w:snapToGrid w:val="0"/>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3.纸质备份投标文件部分：</w:t>
      </w:r>
    </w:p>
    <w:p w14:paraId="729A9F03">
      <w:pPr>
        <w:snapToGrid w:val="0"/>
        <w:spacing w:line="48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纸质备份投标文件：技术商务文件1份、报价文件1份。 </w:t>
      </w:r>
    </w:p>
    <w:p w14:paraId="1041CF06">
      <w:pPr>
        <w:snapToGrid w:val="0"/>
        <w:spacing w:line="480" w:lineRule="exact"/>
        <w:ind w:firstLine="470" w:firstLineChars="196"/>
        <w:jc w:val="left"/>
        <w:rPr>
          <w:color w:val="auto"/>
          <w:highlight w:val="none"/>
        </w:rPr>
      </w:pPr>
      <w:r>
        <w:rPr>
          <w:rFonts w:hint="eastAsia" w:ascii="宋体" w:hAnsi="宋体" w:cs="宋体"/>
          <w:color w:val="auto"/>
          <w:sz w:val="24"/>
          <w:highlight w:val="none"/>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7F181800">
      <w:pPr>
        <w:snapToGrid w:val="0"/>
        <w:spacing w:line="480" w:lineRule="exact"/>
        <w:ind w:firstLine="482" w:firstLineChars="200"/>
        <w:jc w:val="left"/>
        <w:rPr>
          <w:rFonts w:ascii="宋体" w:hAnsi="宋体"/>
          <w:color w:val="auto"/>
          <w:sz w:val="24"/>
          <w:highlight w:val="none"/>
        </w:rPr>
      </w:pPr>
      <w:r>
        <w:rPr>
          <w:rFonts w:hint="eastAsia" w:ascii="宋体" w:hAnsi="宋体"/>
          <w:b/>
          <w:color w:val="auto"/>
          <w:sz w:val="24"/>
          <w:highlight w:val="none"/>
        </w:rPr>
        <w:t>以上所称的备份投标文件（即备份电子投标文件和纸质备份投标文件）的提供与否不做强制性要求，由投标人自行考虑相关利弊因素自主决定。</w:t>
      </w:r>
    </w:p>
    <w:p w14:paraId="1EA1C5E7">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14:paraId="536ABD7C">
      <w:pPr>
        <w:snapToGrid w:val="0"/>
        <w:spacing w:line="480" w:lineRule="exact"/>
        <w:ind w:firstLine="480" w:firstLineChars="200"/>
        <w:rPr>
          <w:rFonts w:ascii="宋体" w:hAnsi="宋体"/>
          <w:bCs/>
          <w:color w:val="auto"/>
          <w:sz w:val="24"/>
          <w:highlight w:val="none"/>
        </w:rPr>
      </w:pPr>
      <w:bookmarkStart w:id="210" w:name="_Toc20991"/>
      <w:bookmarkStart w:id="211" w:name="_Toc11169"/>
      <w:r>
        <w:rPr>
          <w:rFonts w:hint="eastAsia" w:ascii="宋体" w:hAnsi="宋体"/>
          <w:bCs/>
          <w:color w:val="auto"/>
          <w:sz w:val="24"/>
          <w:highlight w:val="none"/>
        </w:rPr>
        <w:t>1.以介质存储的数据电文形式的电子备份投标文件用封袋密封包装。</w:t>
      </w:r>
    </w:p>
    <w:p w14:paraId="793D88D9">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2.纸质备份投标文件，要求按</w:t>
      </w:r>
      <w:r>
        <w:rPr>
          <w:rFonts w:hint="eastAsia" w:ascii="宋体" w:hAnsi="宋体" w:cs="宋体"/>
          <w:b/>
          <w:bCs/>
          <w:color w:val="auto"/>
          <w:sz w:val="24"/>
          <w:highlight w:val="none"/>
        </w:rPr>
        <w:t>技术商务文件和报价文件分</w:t>
      </w:r>
      <w:r>
        <w:rPr>
          <w:rFonts w:hint="eastAsia" w:ascii="宋体" w:hAnsi="宋体"/>
          <w:bCs/>
          <w:color w:val="auto"/>
          <w:sz w:val="24"/>
          <w:highlight w:val="none"/>
        </w:rPr>
        <w:t>别密封包装。</w:t>
      </w:r>
    </w:p>
    <w:p w14:paraId="22A6667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3.投标文件的包封应密封完好，正确标明投标文件名称（电子备份投标文件/技术商务文件/报价文件</w:t>
      </w:r>
      <w:r>
        <w:rPr>
          <w:rFonts w:ascii="宋体" w:hAnsi="宋体"/>
          <w:bCs/>
          <w:color w:val="auto"/>
          <w:sz w:val="24"/>
          <w:highlight w:val="none"/>
        </w:rPr>
        <w:t>）</w:t>
      </w:r>
      <w:r>
        <w:rPr>
          <w:rFonts w:hint="eastAsia" w:ascii="宋体" w:hAnsi="宋体"/>
          <w:bCs/>
          <w:color w:val="auto"/>
          <w:sz w:val="24"/>
          <w:highlight w:val="none"/>
        </w:rPr>
        <w:t>、投标项目名称、项目编号及投标人名称。</w:t>
      </w:r>
      <w:r>
        <w:rPr>
          <w:rFonts w:hint="eastAsia" w:ascii="宋体" w:hAnsi="宋体" w:cs="宋体"/>
          <w:b/>
          <w:bCs/>
          <w:color w:val="auto"/>
          <w:sz w:val="24"/>
          <w:highlight w:val="none"/>
        </w:rPr>
        <w:t>电子投标文件须根据评分标准进行关联定位。</w:t>
      </w:r>
    </w:p>
    <w:p w14:paraId="0FBA5BD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7B2AFD65">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5.纸质投标文件须与电子投标文件保持一致。如有篡改，一经发现，将被列入不良行为。</w:t>
      </w:r>
    </w:p>
    <w:p w14:paraId="54952A0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cs="宋体"/>
          <w:color w:val="auto"/>
          <w:sz w:val="24"/>
          <w:highlight w:val="none"/>
        </w:rPr>
        <w:t>电子投标文件（</w:t>
      </w:r>
      <w:r>
        <w:rPr>
          <w:rFonts w:hint="eastAsia" w:ascii="宋体" w:hAnsi="宋体" w:cs="宋体"/>
          <w:b/>
          <w:bCs/>
          <w:color w:val="auto"/>
          <w:sz w:val="24"/>
          <w:highlight w:val="none"/>
        </w:rPr>
        <w:t>包括技术商务文件和报价文件</w:t>
      </w:r>
      <w:r>
        <w:rPr>
          <w:rFonts w:hint="eastAsia" w:ascii="宋体" w:hAnsi="宋体" w:cs="宋体"/>
          <w:color w:val="auto"/>
          <w:sz w:val="24"/>
          <w:highlight w:val="none"/>
        </w:rPr>
        <w:t>）中招标文件要求加盖公章的部分均采用CA签章。</w:t>
      </w:r>
    </w:p>
    <w:p w14:paraId="28FC48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7.投标文件未按时解密，供应商提供了备份投标文件的，以备份投标文件作为依据，否则视为投标文件撤回。投标文件已按时解密的，备份投标文件自动失效。</w:t>
      </w:r>
    </w:p>
    <w:p w14:paraId="2E7069BF">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8.中标方在领取中标通知书前，须向</w:t>
      </w:r>
      <w:r>
        <w:rPr>
          <w:rFonts w:hint="eastAsia" w:ascii="宋体" w:hAnsi="宋体"/>
          <w:b/>
          <w:color w:val="auto"/>
          <w:sz w:val="24"/>
          <w:highlight w:val="none"/>
          <w:lang w:eastAsia="zh-CN"/>
        </w:rPr>
        <w:t>代理单位</w:t>
      </w:r>
      <w:r>
        <w:rPr>
          <w:rFonts w:hint="eastAsia" w:ascii="宋体" w:hAnsi="宋体"/>
          <w:b/>
          <w:color w:val="auto"/>
          <w:sz w:val="24"/>
          <w:highlight w:val="none"/>
        </w:rPr>
        <w:t>提供纸质投标文件1套，按</w:t>
      </w:r>
      <w:r>
        <w:rPr>
          <w:rFonts w:hint="eastAsia" w:ascii="宋体" w:hAnsi="宋体" w:cs="宋体"/>
          <w:b/>
          <w:color w:val="auto"/>
          <w:sz w:val="24"/>
          <w:highlight w:val="none"/>
        </w:rPr>
        <w:t>技术商务文件和报价文件</w:t>
      </w:r>
      <w:r>
        <w:rPr>
          <w:rFonts w:hint="eastAsia" w:ascii="宋体" w:hAnsi="宋体"/>
          <w:b/>
          <w:color w:val="auto"/>
          <w:sz w:val="24"/>
          <w:highlight w:val="none"/>
        </w:rPr>
        <w:t>分别编制并单独装订成册。（递交或邮寄地址：</w:t>
      </w:r>
      <w:r>
        <w:rPr>
          <w:rFonts w:hint="eastAsia" w:ascii="宋体" w:hAnsi="宋体"/>
          <w:b/>
          <w:color w:val="auto"/>
          <w:sz w:val="24"/>
          <w:highlight w:val="none"/>
          <w:lang w:val="en-US" w:eastAsia="zh-CN"/>
        </w:rPr>
        <w:t>磐安县安文街道北镇街15号二楼</w:t>
      </w:r>
      <w:r>
        <w:rPr>
          <w:rFonts w:hint="eastAsia" w:ascii="宋体" w:hAnsi="宋体"/>
          <w:b/>
          <w:color w:val="auto"/>
          <w:sz w:val="24"/>
          <w:highlight w:val="none"/>
        </w:rPr>
        <w:t>；电话：</w:t>
      </w:r>
      <w:r>
        <w:rPr>
          <w:rFonts w:hint="eastAsia" w:ascii="宋体" w:hAnsi="宋体"/>
          <w:b/>
          <w:color w:val="auto"/>
          <w:sz w:val="24"/>
          <w:highlight w:val="none"/>
          <w:lang w:val="en-US" w:eastAsia="zh-CN"/>
        </w:rPr>
        <w:t>15258906930</w:t>
      </w:r>
      <w:r>
        <w:rPr>
          <w:rFonts w:hint="eastAsia" w:ascii="宋体" w:hAnsi="宋体"/>
          <w:b/>
          <w:color w:val="auto"/>
          <w:sz w:val="24"/>
          <w:highlight w:val="none"/>
        </w:rPr>
        <w:t>）</w:t>
      </w:r>
    </w:p>
    <w:p w14:paraId="1DE67A3D">
      <w:pPr>
        <w:snapToGrid w:val="0"/>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（七）供应商有下列情形之一的，列入失信名单，同时依照《政府采购法》第七十七条及《中华人民共和国政府采购法实施条例》第七十二条规定处罚并追究法律责任。</w:t>
      </w:r>
      <w:bookmarkEnd w:id="210"/>
      <w:bookmarkEnd w:id="211"/>
    </w:p>
    <w:p w14:paraId="2642AEC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rPr>
        <w:t>不同供应商的电子投标(响应）文件上传计算机的网卡MAC地址、CPU序列号和硬盘序列号等硬件信息相同的；</w:t>
      </w:r>
    </w:p>
    <w:p w14:paraId="2BD50DD6">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rPr>
        <w:t>不同供应商的投标(响应）文件由同一电子设备编制、打印加密或者上传；</w:t>
      </w:r>
    </w:p>
    <w:p w14:paraId="3CA56F08">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不同供应商的投标(响应）文件由同一电子设备打印、复印；</w:t>
      </w:r>
    </w:p>
    <w:p w14:paraId="69546A2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不同供应商的投标(响应）文件由同一人送达或者分发，或者不同供应商联系人为同一人或不同联系人的联系电话一致的；</w:t>
      </w:r>
    </w:p>
    <w:p w14:paraId="4FC86CF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不同供应商的投标(响应）文件的内容存在两处以上细节错误一致；</w:t>
      </w:r>
    </w:p>
    <w:p w14:paraId="65F5AD3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不同供应商的法定代表人、委托代理人、项目经理、项目负责人等由同一个单位缴纳社会保险或者领取报酬的；</w:t>
      </w:r>
    </w:p>
    <w:p w14:paraId="02C08219">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不同供应商投标(响应）文件中法定代表人或者负责人签字出自同一人之手；</w:t>
      </w:r>
    </w:p>
    <w:p w14:paraId="42B421E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投标人在投标有效期内撤销投标文件的及其它涉嫌串通的情形。</w:t>
      </w:r>
    </w:p>
    <w:p w14:paraId="188CE886">
      <w:pPr>
        <w:snapToGrid w:val="0"/>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（八）投标无效的情形</w:t>
      </w:r>
    </w:p>
    <w:p w14:paraId="501B3DFD">
      <w:pPr>
        <w:snapToGrid w:val="0"/>
        <w:spacing w:line="480" w:lineRule="exact"/>
        <w:ind w:firstLine="482" w:firstLineChars="200"/>
        <w:rPr>
          <w:rFonts w:hint="eastAsia" w:ascii="宋体" w:hAnsi="宋体"/>
          <w:bCs/>
          <w:color w:val="auto"/>
          <w:sz w:val="24"/>
          <w:highlight w:val="none"/>
        </w:rPr>
      </w:pPr>
      <w:bookmarkStart w:id="212" w:name="_Toc26260"/>
      <w:bookmarkStart w:id="213" w:name="_Toc25820"/>
      <w:bookmarkStart w:id="214" w:name="_Toc1053"/>
      <w:bookmarkStart w:id="215" w:name="_Toc11970"/>
      <w:bookmarkStart w:id="216" w:name="_Toc6623"/>
      <w:bookmarkStart w:id="217" w:name="_Toc13143"/>
      <w:bookmarkStart w:id="218" w:name="_Toc19269"/>
      <w:bookmarkStart w:id="219" w:name="_Toc11776"/>
      <w:bookmarkStart w:id="220" w:name="_Toc28701"/>
      <w:bookmarkStart w:id="221" w:name="_Toc91899903"/>
      <w:r>
        <w:rPr>
          <w:rFonts w:hint="eastAsia" w:ascii="宋体" w:hAnsi="宋体"/>
          <w:b/>
          <w:color w:val="auto"/>
          <w:sz w:val="24"/>
          <w:highlight w:val="none"/>
        </w:rPr>
        <w:t>有下列情况之一的，投标无效</w:t>
      </w:r>
      <w:r>
        <w:rPr>
          <w:rFonts w:hint="eastAsia" w:ascii="宋体" w:hAnsi="宋体"/>
          <w:bCs/>
          <w:color w:val="auto"/>
          <w:sz w:val="24"/>
          <w:highlight w:val="none"/>
        </w:rPr>
        <w:t>：</w:t>
      </w:r>
    </w:p>
    <w:p w14:paraId="23B497D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1.投标人不具备招标文件中规定的资格要求的（投标人未提供有效的资格文件的，视为投标人不具备招标文件中规定的资格要求）；</w:t>
      </w:r>
    </w:p>
    <w:p w14:paraId="26909D8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2.投标文件未按照招标文件要求签署、盖章的；</w:t>
      </w:r>
    </w:p>
    <w:p w14:paraId="3A3A2AD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3.采购人拟采购的产品属于政府强制采购的节能产品品目清单范围的，投标人未按招标文件要求提供国家确定的认证机构出具的、处于有效期之内的节能产品认证证书的；</w:t>
      </w:r>
    </w:p>
    <w:p w14:paraId="3AED259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4.投标文件含有采购人不能接受的附加条件的；</w:t>
      </w:r>
    </w:p>
    <w:p w14:paraId="4D4CBAC5">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5.投标文件中承诺的投标有效期少于招标文件中载明的投标有效期的；</w:t>
      </w:r>
    </w:p>
    <w:p w14:paraId="433544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6.投标文件出现不是唯一的、有选择性投标报价的；</w:t>
      </w:r>
    </w:p>
    <w:p w14:paraId="1471A57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7.投标报价超过招标文件中规定的预算金额或者最高限价的；</w:t>
      </w:r>
    </w:p>
    <w:p w14:paraId="02D01AEC">
      <w:pPr>
        <w:adjustRightInd w:val="0"/>
        <w:snapToGrid w:val="0"/>
        <w:spacing w:line="480" w:lineRule="exact"/>
        <w:ind w:firstLine="480" w:firstLineChars="200"/>
        <w:rPr>
          <w:rFonts w:hint="eastAsia" w:ascii="宋体" w:hAnsi="宋体"/>
          <w:b/>
          <w:color w:val="auto"/>
          <w:sz w:val="24"/>
          <w:highlight w:val="none"/>
        </w:rPr>
      </w:pPr>
      <w:r>
        <w:rPr>
          <w:rFonts w:hint="eastAsia" w:ascii="宋体" w:hAnsi="宋体"/>
          <w:bCs/>
          <w:color w:val="auto"/>
          <w:sz w:val="24"/>
          <w:highlight w:val="none"/>
        </w:rPr>
        <w:t>8.</w:t>
      </w:r>
      <w:r>
        <w:rPr>
          <w:rFonts w:hint="eastAsia" w:ascii="宋体" w:hAnsi="宋体"/>
          <w:b/>
          <w:color w:val="auto"/>
          <w:sz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3BD2FFD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9.投标人对根据修正原则修正后的报价不确认的；</w:t>
      </w:r>
    </w:p>
    <w:p w14:paraId="2C1E7B4F">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10.投标人提供虚假材料投标的；</w:t>
      </w:r>
    </w:p>
    <w:p w14:paraId="6A4078A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11.投标人有恶意串通、妨碍其他投标人的竞争行为、损害采购人或者其他投标人的合法权益情形的；</w:t>
      </w:r>
    </w:p>
    <w:p w14:paraId="6062ED1B">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12.</w:t>
      </w:r>
      <w:r>
        <w:rPr>
          <w:rFonts w:hint="eastAsia" w:ascii="宋体" w:hAnsi="宋体"/>
          <w:b/>
          <w:color w:val="auto"/>
          <w:sz w:val="24"/>
          <w:highlight w:val="none"/>
        </w:rPr>
        <w:t>投标人仅提交备份投标文件，没有在电子交易平台传输递交投标文件的，投标无效；</w:t>
      </w:r>
    </w:p>
    <w:p w14:paraId="04539E3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13.投标文件不满足招标文件的其他实质性要求的；</w:t>
      </w:r>
    </w:p>
    <w:p w14:paraId="407F0E8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14.法律、法规、规章（适用本市的）及省级以上规范性文件（适用本市的）规定的其他无效情形。</w:t>
      </w:r>
    </w:p>
    <w:p w14:paraId="79FE04DC">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废标的情形：</w:t>
      </w:r>
    </w:p>
    <w:p w14:paraId="440709FD">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根据《中华人民共和国政府采购法》第三十六条之规定，在采购中，出现下列情形之一的，应予废标：</w:t>
      </w:r>
    </w:p>
    <w:p w14:paraId="01E6368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1.符合专业条件的供应商或者对招标文件作实质响应的供应商不足3家的；</w:t>
      </w:r>
    </w:p>
    <w:p w14:paraId="40AB2EAA">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14:paraId="46DC03F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14:paraId="6331CDB0">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14:paraId="55C040F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废标后，采购机构应当将废标理由通知所有投标人。</w:t>
      </w:r>
    </w:p>
    <w:p w14:paraId="60F0B5F6">
      <w:pPr>
        <w:pStyle w:val="14"/>
        <w:snapToGrid w:val="0"/>
        <w:spacing w:line="480" w:lineRule="exact"/>
        <w:ind w:firstLine="457" w:firstLineChars="196"/>
        <w:rPr>
          <w:rFonts w:hint="eastAsia" w:hAnsi="宋体" w:cs="宋体"/>
          <w:b/>
          <w:bCs/>
          <w:color w:val="auto"/>
          <w:sz w:val="24"/>
          <w:szCs w:val="24"/>
          <w:highlight w:val="none"/>
        </w:rPr>
      </w:pPr>
      <w:r>
        <w:rPr>
          <w:rFonts w:hint="eastAsia" w:hAnsi="宋体" w:cs="宋体"/>
          <w:b/>
          <w:bCs/>
          <w:color w:val="auto"/>
          <w:sz w:val="24"/>
          <w:szCs w:val="24"/>
          <w:highlight w:val="none"/>
        </w:rPr>
        <w:t>如有下列情形之一的，可中止电子交易活动的情形：</w:t>
      </w:r>
    </w:p>
    <w:p w14:paraId="673A625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rPr>
        <w:t>招标过程中出现以下情形，导致政府采购云平台无法正常运行，或者无法保证电子交易的公平、公正和安全时，采购代理机构将中止电子交易活动：</w:t>
      </w:r>
    </w:p>
    <w:p w14:paraId="3539F2DA">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电子交易平台发生故障而无法登录访问的；</w:t>
      </w:r>
    </w:p>
    <w:p w14:paraId="0EECFBD8">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电子交易平台应用或数据库出现错误，不能进行正常操作的；</w:t>
      </w:r>
    </w:p>
    <w:p w14:paraId="710C8FA3">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电子交易平台发现严重安全漏洞，有潜在泄密危险的；</w:t>
      </w:r>
    </w:p>
    <w:p w14:paraId="767213C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 xml:space="preserve">病毒发作导致不能进行正常操作的； </w:t>
      </w:r>
    </w:p>
    <w:p w14:paraId="0DA66EDA">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其他无法保证电子交易的公平、公正和安全的情况。</w:t>
      </w:r>
    </w:p>
    <w:p w14:paraId="392EB54C">
      <w:pPr>
        <w:pStyle w:val="14"/>
        <w:snapToGrid w:val="0"/>
        <w:spacing w:line="480" w:lineRule="exact"/>
        <w:ind w:firstLine="457" w:firstLineChars="196"/>
        <w:rPr>
          <w:rFonts w:hint="eastAsia"/>
          <w:color w:val="auto"/>
          <w:highlight w:val="none"/>
        </w:rPr>
      </w:pPr>
      <w:r>
        <w:rPr>
          <w:rFonts w:hint="eastAsia" w:hAnsi="宋体" w:cs="宋体"/>
          <w:b/>
          <w:color w:val="auto"/>
          <w:sz w:val="24"/>
          <w:szCs w:val="24"/>
          <w:highlight w:val="none"/>
        </w:rPr>
        <w:t>出现上述规定情形，不影响采购公平、公正性的，采购代理机构可以待上述情形消除后继续组织电子交易活动；影响或可能影响采购公平、公正性的，应当重新组织采购。</w:t>
      </w:r>
    </w:p>
    <w:p w14:paraId="3811827E">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四、开标</w:t>
      </w:r>
      <w:bookmarkEnd w:id="212"/>
      <w:bookmarkEnd w:id="213"/>
      <w:bookmarkEnd w:id="214"/>
      <w:bookmarkEnd w:id="215"/>
      <w:bookmarkEnd w:id="216"/>
      <w:bookmarkEnd w:id="217"/>
      <w:bookmarkEnd w:id="218"/>
      <w:bookmarkEnd w:id="219"/>
      <w:bookmarkEnd w:id="220"/>
    </w:p>
    <w:p w14:paraId="16740454">
      <w:pPr>
        <w:snapToGrid w:val="0"/>
        <w:spacing w:line="48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（一）开标准备</w:t>
      </w:r>
    </w:p>
    <w:p w14:paraId="486E4735">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采购代理机构将在规定的时间和地点进行开标，本项目实行不见面开标，投标人无需前往开标场地，只需在开标时间做好开标准备（如投标文件的解密和投标价格的确认），确保联系方式的畅通。</w:t>
      </w:r>
    </w:p>
    <w:p w14:paraId="4466845C">
      <w:pPr>
        <w:snapToGrid w:val="0"/>
        <w:spacing w:line="46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（二）开标程序</w:t>
      </w:r>
    </w:p>
    <w:p w14:paraId="57642CD2">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1.本项目原则上采用政采云电子招投标系统进行开标及评审，但有下情形之一的，按以下情况处理：</w:t>
      </w:r>
    </w:p>
    <w:p w14:paraId="45428663">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（1）若投标人的电子投标文件在规定时间内无法解密或解密失败，工作人员将开启投标人递交的电子备份投标文件，以完成开标。</w:t>
      </w:r>
    </w:p>
    <w:p w14:paraId="0D68760B">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（2）若投标人的电子投标文件在规定时间内无法解密或解密失败，或者因政采云平台原因无法读取或电子开评标无法正常进行时，工作人员将上传投标人的电子备份投标文件，以完成开标。</w:t>
      </w:r>
    </w:p>
    <w:p w14:paraId="05C81C08">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2.开标及评审程序</w:t>
      </w:r>
    </w:p>
    <w:p w14:paraId="5686DEEF">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（1）投标截止时间后，投标人须登录政采云平台，用“项目采购－开标评标”功能对电子投标文件进行在线解密。在线解密电子投标文件时间为投标截止时间起半个小时内。</w:t>
      </w:r>
    </w:p>
    <w:p w14:paraId="03119448">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（2）由采购人代表对资格审查文件进行评审，评标委员会对商务技术响应文件进行评审；</w:t>
      </w:r>
    </w:p>
    <w:p w14:paraId="422EC77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（3）在系统上公开资格审查和技术商务评审结果；</w:t>
      </w:r>
    </w:p>
    <w:p w14:paraId="0B30FAE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（4）在系统上公开报价开标情况；</w:t>
      </w:r>
    </w:p>
    <w:p w14:paraId="5F68AF9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（5）评标委员会对报价情况进行评审；</w:t>
      </w:r>
    </w:p>
    <w:p w14:paraId="73719F9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（6）在系统上公布评审结果。</w:t>
      </w:r>
    </w:p>
    <w:p w14:paraId="3D0D6ABA">
      <w:pPr>
        <w:snapToGrid w:val="0"/>
        <w:spacing w:line="460" w:lineRule="exact"/>
        <w:ind w:firstLine="480" w:firstLineChars="200"/>
        <w:rPr>
          <w:rFonts w:hint="eastAsia" w:hAnsi="宋体"/>
          <w:b/>
          <w:bCs/>
          <w:color w:val="auto"/>
          <w:sz w:val="24"/>
          <w:highlight w:val="none"/>
        </w:rPr>
      </w:pPr>
      <w:r>
        <w:rPr>
          <w:rFonts w:hint="eastAsia" w:ascii="宋体" w:hAnsi="宋体" w:cs="宋体"/>
          <w:bCs/>
          <w:color w:val="auto"/>
          <w:sz w:val="24"/>
          <w:highlight w:val="none"/>
        </w:rPr>
        <w:t>特别说明：政采云公司如对电子化开标及评审程序有调整的，按调整后的程序操作。</w:t>
      </w:r>
      <w:bookmarkStart w:id="222" w:name="_Toc14743"/>
      <w:bookmarkStart w:id="223" w:name="_Toc6545"/>
      <w:bookmarkStart w:id="224" w:name="_Toc10390"/>
      <w:bookmarkStart w:id="225" w:name="_Toc21636"/>
      <w:bookmarkStart w:id="226" w:name="_Toc23660"/>
    </w:p>
    <w:p w14:paraId="17231DC3">
      <w:pPr>
        <w:adjustRightInd w:val="0"/>
        <w:snapToGrid w:val="0"/>
        <w:spacing w:line="460" w:lineRule="exact"/>
        <w:ind w:firstLine="482" w:firstLineChars="200"/>
        <w:rPr>
          <w:rFonts w:hint="eastAsia" w:hAnsi="宋体"/>
          <w:b/>
          <w:bCs/>
          <w:color w:val="auto"/>
          <w:sz w:val="24"/>
          <w:highlight w:val="none"/>
        </w:rPr>
      </w:pPr>
      <w:r>
        <w:rPr>
          <w:rFonts w:hint="eastAsia" w:hAnsi="宋体"/>
          <w:b/>
          <w:bCs/>
          <w:color w:val="auto"/>
          <w:sz w:val="24"/>
          <w:highlight w:val="none"/>
        </w:rPr>
        <w:t>电子招投标开标及评审程序</w:t>
      </w:r>
      <w:bookmarkEnd w:id="222"/>
      <w:bookmarkEnd w:id="223"/>
      <w:bookmarkEnd w:id="224"/>
      <w:bookmarkEnd w:id="225"/>
      <w:bookmarkEnd w:id="226"/>
    </w:p>
    <w:p w14:paraId="30B5A2A2">
      <w:pPr>
        <w:adjustRightInd w:val="0"/>
        <w:snapToGrid w:val="0"/>
        <w:spacing w:line="460" w:lineRule="exact"/>
        <w:ind w:firstLine="482" w:firstLineChars="200"/>
        <w:rPr>
          <w:rFonts w:hint="eastAsia" w:hAnsi="宋体"/>
          <w:b/>
          <w:bCs/>
          <w:color w:val="auto"/>
          <w:sz w:val="24"/>
          <w:highlight w:val="none"/>
        </w:rPr>
      </w:pPr>
      <w:bookmarkStart w:id="227" w:name="_Toc4002"/>
      <w:bookmarkStart w:id="228" w:name="_Toc29198"/>
      <w:bookmarkStart w:id="229" w:name="_Toc18188"/>
      <w:bookmarkStart w:id="230" w:name="_Toc20711"/>
      <w:bookmarkStart w:id="231" w:name="_Toc19339"/>
      <w:r>
        <w:rPr>
          <w:rFonts w:hint="eastAsia" w:hAnsi="宋体"/>
          <w:b/>
          <w:bCs/>
          <w:color w:val="auto"/>
          <w:sz w:val="24"/>
          <w:highlight w:val="none"/>
        </w:rPr>
        <w:t>1.开标第一阶段</w:t>
      </w:r>
      <w:bookmarkEnd w:id="227"/>
      <w:bookmarkEnd w:id="228"/>
      <w:bookmarkEnd w:id="229"/>
      <w:bookmarkEnd w:id="230"/>
      <w:bookmarkEnd w:id="231"/>
    </w:p>
    <w:p w14:paraId="13B4AC1F">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07BC1D3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（2）开启资格文件、技术商务文件。</w:t>
      </w:r>
    </w:p>
    <w:p w14:paraId="2B104B5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（3）进行资格审查。对通过资格审查的投标人进行符合性审查、技术商务评审；</w:t>
      </w:r>
    </w:p>
    <w:p w14:paraId="67D0F316">
      <w:pPr>
        <w:adjustRightInd w:val="0"/>
        <w:snapToGrid w:val="0"/>
        <w:spacing w:line="460" w:lineRule="exact"/>
        <w:ind w:firstLine="482" w:firstLineChars="200"/>
        <w:rPr>
          <w:rFonts w:hint="eastAsia" w:hAnsi="宋体"/>
          <w:b/>
          <w:bCs/>
          <w:color w:val="auto"/>
          <w:sz w:val="24"/>
          <w:highlight w:val="none"/>
        </w:rPr>
      </w:pPr>
      <w:bookmarkStart w:id="232" w:name="_Toc28938"/>
      <w:bookmarkStart w:id="233" w:name="_Toc13812"/>
      <w:bookmarkStart w:id="234" w:name="_Toc2285"/>
      <w:bookmarkStart w:id="235" w:name="_Toc24502"/>
      <w:bookmarkStart w:id="236" w:name="_Toc27486"/>
      <w:r>
        <w:rPr>
          <w:rFonts w:hint="eastAsia" w:hAnsi="宋体"/>
          <w:b/>
          <w:bCs/>
          <w:color w:val="auto"/>
          <w:sz w:val="24"/>
          <w:highlight w:val="none"/>
        </w:rPr>
        <w:t>2.开标第二阶段</w:t>
      </w:r>
      <w:bookmarkEnd w:id="232"/>
      <w:bookmarkEnd w:id="233"/>
      <w:bookmarkEnd w:id="234"/>
      <w:bookmarkEnd w:id="235"/>
      <w:bookmarkEnd w:id="236"/>
    </w:p>
    <w:p w14:paraId="446D4B0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（1）资格审查、符合性审查、技术商务评审结束后，进入开标第二阶段。</w:t>
      </w:r>
    </w:p>
    <w:p w14:paraId="0A1E63D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（2）通过电子交易平台公布无效供应商名单及导致无效的原因；公布有效供应商的名单及其技术商务得分。</w:t>
      </w:r>
    </w:p>
    <w:p w14:paraId="528B4AE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（3）开启有效供应商的《报价文件》，系统形成开标记录。</w:t>
      </w:r>
    </w:p>
    <w:p w14:paraId="15BE72A9">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（4）价格评审。价格评审结束后，通过电子交易平台公布中标候选供应商名单。</w:t>
      </w:r>
    </w:p>
    <w:p w14:paraId="5E323AEA">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5512D0A0">
      <w:pPr>
        <w:widowControl/>
        <w:spacing w:line="460" w:lineRule="exact"/>
        <w:ind w:firstLine="562" w:firstLineChars="200"/>
        <w:jc w:val="left"/>
        <w:outlineLvl w:val="1"/>
        <w:rPr>
          <w:rFonts w:hint="eastAsia" w:ascii="黑体" w:eastAsia="黑体"/>
          <w:b/>
          <w:bCs/>
          <w:color w:val="auto"/>
          <w:sz w:val="28"/>
          <w:szCs w:val="28"/>
          <w:highlight w:val="none"/>
        </w:rPr>
      </w:pPr>
      <w:bookmarkStart w:id="237" w:name="_Toc6712"/>
      <w:bookmarkStart w:id="238" w:name="_Toc18085"/>
      <w:bookmarkStart w:id="239" w:name="_Toc10900"/>
      <w:bookmarkStart w:id="240" w:name="_Toc21931"/>
      <w:bookmarkStart w:id="241" w:name="_Toc26702"/>
      <w:bookmarkStart w:id="242" w:name="_Toc1416"/>
      <w:bookmarkStart w:id="243" w:name="_Toc8808"/>
      <w:bookmarkStart w:id="244" w:name="_Toc1556"/>
      <w:bookmarkStart w:id="245" w:name="_Toc14300"/>
      <w:bookmarkStart w:id="246" w:name="_Toc22281"/>
      <w:r>
        <w:rPr>
          <w:rFonts w:hint="eastAsia" w:ascii="黑体" w:eastAsia="黑体"/>
          <w:b/>
          <w:bCs/>
          <w:color w:val="auto"/>
          <w:sz w:val="28"/>
          <w:szCs w:val="28"/>
          <w:highlight w:val="none"/>
        </w:rPr>
        <w:t>五、评标</w:t>
      </w:r>
      <w:bookmarkEnd w:id="237"/>
      <w:bookmarkEnd w:id="238"/>
      <w:bookmarkEnd w:id="239"/>
      <w:bookmarkEnd w:id="240"/>
      <w:bookmarkEnd w:id="241"/>
      <w:bookmarkEnd w:id="242"/>
      <w:bookmarkEnd w:id="243"/>
      <w:bookmarkEnd w:id="244"/>
      <w:bookmarkEnd w:id="245"/>
      <w:bookmarkEnd w:id="246"/>
    </w:p>
    <w:p w14:paraId="245757BF">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7" w:name="_Toc19693"/>
      <w:bookmarkStart w:id="248" w:name="_Toc30349"/>
      <w:r>
        <w:rPr>
          <w:rFonts w:hint="eastAsia" w:ascii="宋体" w:hAnsi="宋体" w:cs="宋体"/>
          <w:b/>
          <w:color w:val="auto"/>
          <w:kern w:val="0"/>
          <w:sz w:val="24"/>
          <w:highlight w:val="none"/>
          <w:lang w:bidi="en-US"/>
        </w:rPr>
        <w:t>（一）组建评标委员会</w:t>
      </w:r>
      <w:bookmarkEnd w:id="247"/>
      <w:bookmarkEnd w:id="248"/>
    </w:p>
    <w:p w14:paraId="7942DC11">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本项目评标委员会由政府采购评审专家≧5人单数组成，其中采购人代表不超过评委总数的1/3。</w:t>
      </w:r>
    </w:p>
    <w:p w14:paraId="2870F086">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9" w:name="_Toc9863"/>
      <w:bookmarkStart w:id="250" w:name="_Toc25842"/>
      <w:r>
        <w:rPr>
          <w:rFonts w:hint="eastAsia" w:ascii="宋体" w:hAnsi="宋体" w:cs="宋体"/>
          <w:b/>
          <w:color w:val="auto"/>
          <w:kern w:val="0"/>
          <w:sz w:val="24"/>
          <w:highlight w:val="none"/>
          <w:lang w:bidi="en-US"/>
        </w:rPr>
        <w:t>（二）评标的方式</w:t>
      </w:r>
      <w:bookmarkEnd w:id="249"/>
      <w:bookmarkEnd w:id="250"/>
    </w:p>
    <w:p w14:paraId="4DE23F8E">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本项目采用不公开方式评标，评标的依据为招标文件和投标文件。</w:t>
      </w:r>
    </w:p>
    <w:p w14:paraId="24A98837">
      <w:pPr>
        <w:snapToGrid w:val="0"/>
        <w:spacing w:line="460" w:lineRule="exact"/>
        <w:ind w:firstLine="482" w:firstLineChars="200"/>
        <w:outlineLvl w:val="2"/>
        <w:rPr>
          <w:rFonts w:hint="eastAsia" w:ascii="宋体" w:hAnsi="宋体" w:cs="宋体"/>
          <w:b/>
          <w:bCs/>
          <w:color w:val="auto"/>
          <w:sz w:val="24"/>
          <w:highlight w:val="none"/>
        </w:rPr>
      </w:pPr>
      <w:r>
        <w:rPr>
          <w:rFonts w:hint="eastAsia" w:ascii="宋体" w:hAnsi="宋体" w:cs="宋体"/>
          <w:b/>
          <w:color w:val="auto"/>
          <w:sz w:val="24"/>
          <w:highlight w:val="none"/>
        </w:rPr>
        <w:t>（三）组织</w:t>
      </w:r>
      <w:r>
        <w:rPr>
          <w:rFonts w:hint="eastAsia" w:ascii="宋体" w:hAnsi="宋体" w:cs="宋体"/>
          <w:b/>
          <w:bCs/>
          <w:color w:val="auto"/>
          <w:sz w:val="24"/>
          <w:highlight w:val="none"/>
        </w:rPr>
        <w:t>评标程序</w:t>
      </w:r>
    </w:p>
    <w:p w14:paraId="30CCAC47">
      <w:pPr>
        <w:keepLines/>
        <w:spacing w:line="460" w:lineRule="exact"/>
        <w:ind w:firstLine="480" w:firstLineChars="200"/>
        <w:contextualSpacing/>
        <w:jc w:val="left"/>
        <w:rPr>
          <w:rFonts w:hint="eastAsia" w:ascii="宋体" w:hAnsi="宋体" w:cs="宋体"/>
          <w:color w:val="auto"/>
          <w:sz w:val="24"/>
          <w:highlight w:val="none"/>
        </w:rPr>
      </w:pPr>
      <w:bookmarkStart w:id="251" w:name="_Toc26259"/>
      <w:bookmarkStart w:id="252" w:name="_Toc7123"/>
      <w:r>
        <w:rPr>
          <w:rFonts w:hint="eastAsia" w:ascii="宋体" w:hAnsi="宋体" w:cs="宋体"/>
          <w:color w:val="auto"/>
          <w:sz w:val="24"/>
          <w:highlight w:val="none"/>
        </w:rPr>
        <w:t>1.向各投标</w:t>
      </w:r>
      <w:r>
        <w:rPr>
          <w:rFonts w:hint="eastAsia" w:ascii="宋体" w:hAnsi="宋体"/>
          <w:color w:val="auto"/>
          <w:sz w:val="24"/>
          <w:highlight w:val="none"/>
        </w:rPr>
        <w:t>人</w:t>
      </w:r>
      <w:r>
        <w:rPr>
          <w:rFonts w:hint="eastAsia" w:ascii="宋体" w:hAnsi="宋体" w:cs="宋体"/>
          <w:color w:val="auto"/>
          <w:sz w:val="24"/>
          <w:highlight w:val="none"/>
        </w:rPr>
        <w:t>发出电子加密投标文件【开始解密】通知，由供应商按招标文件规定的时间内自行进行投标文件解密。投标</w:t>
      </w:r>
      <w:r>
        <w:rPr>
          <w:rFonts w:hint="eastAsia" w:ascii="宋体" w:hAnsi="宋体"/>
          <w:color w:val="auto"/>
          <w:sz w:val="24"/>
          <w:highlight w:val="none"/>
        </w:rPr>
        <w:t>人</w:t>
      </w:r>
      <w:r>
        <w:rPr>
          <w:rFonts w:hint="eastAsia" w:ascii="宋体" w:hAnsi="宋体" w:cs="宋体"/>
          <w:color w:val="auto"/>
          <w:sz w:val="24"/>
          <w:highlight w:val="none"/>
        </w:rPr>
        <w:t>在规定的时间内无法完成已递交的“电子加密投标文件”解密的，其投标文件按拒收处理。</w:t>
      </w:r>
      <w:bookmarkEnd w:id="251"/>
      <w:bookmarkEnd w:id="252"/>
    </w:p>
    <w:p w14:paraId="7EF58527">
      <w:pPr>
        <w:keepLines/>
        <w:spacing w:line="460" w:lineRule="exact"/>
        <w:ind w:firstLine="480" w:firstLineChars="200"/>
        <w:contextualSpacing/>
        <w:jc w:val="left"/>
        <w:rPr>
          <w:rFonts w:hint="eastAsia" w:ascii="宋体" w:hAnsi="宋体" w:cs="宋体"/>
          <w:color w:val="auto"/>
          <w:sz w:val="24"/>
          <w:highlight w:val="none"/>
        </w:rPr>
      </w:pPr>
      <w:bookmarkStart w:id="253" w:name="_Toc31218"/>
      <w:bookmarkStart w:id="254" w:name="_Toc26963"/>
      <w:r>
        <w:rPr>
          <w:rFonts w:hint="eastAsia" w:ascii="宋体" w:hAnsi="宋体" w:cs="宋体"/>
          <w:color w:val="auto"/>
          <w:sz w:val="24"/>
          <w:highlight w:val="none"/>
        </w:rPr>
        <w:t>2.投标文件解密结束，开启资格文件，进入资格审查环节，采购人将依法对投标</w:t>
      </w:r>
      <w:r>
        <w:rPr>
          <w:rFonts w:hint="eastAsia" w:ascii="宋体" w:hAnsi="宋体"/>
          <w:color w:val="auto"/>
          <w:sz w:val="24"/>
          <w:highlight w:val="none"/>
        </w:rPr>
        <w:t>人</w:t>
      </w:r>
      <w:r>
        <w:rPr>
          <w:rFonts w:hint="eastAsia" w:ascii="宋体" w:hAnsi="宋体" w:cs="宋体"/>
          <w:color w:val="auto"/>
          <w:sz w:val="24"/>
          <w:highlight w:val="none"/>
        </w:rPr>
        <w:t>的资格进行审查。</w:t>
      </w:r>
      <w:bookmarkEnd w:id="253"/>
      <w:bookmarkEnd w:id="254"/>
    </w:p>
    <w:p w14:paraId="3E6E2E59">
      <w:pPr>
        <w:keepLines/>
        <w:spacing w:line="460" w:lineRule="exact"/>
        <w:ind w:firstLine="480" w:firstLineChars="200"/>
        <w:contextualSpacing/>
        <w:jc w:val="left"/>
        <w:rPr>
          <w:rFonts w:hint="eastAsia" w:ascii="宋体" w:hAnsi="宋体" w:cs="宋体"/>
          <w:color w:val="auto"/>
          <w:sz w:val="24"/>
          <w:highlight w:val="none"/>
        </w:rPr>
      </w:pPr>
      <w:bookmarkStart w:id="255" w:name="_Toc7579"/>
      <w:bookmarkStart w:id="256" w:name="_Toc15105"/>
      <w:r>
        <w:rPr>
          <w:rFonts w:hint="eastAsia" w:ascii="宋体" w:hAnsi="宋体" w:cs="宋体"/>
          <w:color w:val="auto"/>
          <w:sz w:val="24"/>
          <w:highlight w:val="none"/>
        </w:rPr>
        <w:t>3.开启资格审查通过的投标</w:t>
      </w:r>
      <w:r>
        <w:rPr>
          <w:rFonts w:hint="eastAsia" w:ascii="宋体" w:hAnsi="宋体"/>
          <w:color w:val="auto"/>
          <w:sz w:val="24"/>
          <w:highlight w:val="none"/>
        </w:rPr>
        <w:t>人</w:t>
      </w:r>
      <w:r>
        <w:rPr>
          <w:rFonts w:hint="eastAsia" w:ascii="宋体" w:hAnsi="宋体" w:cs="宋体"/>
          <w:color w:val="auto"/>
          <w:sz w:val="24"/>
          <w:highlight w:val="none"/>
        </w:rPr>
        <w:t>的商务技术文件进入符合性审查及商务技术评审。</w:t>
      </w:r>
      <w:bookmarkEnd w:id="255"/>
      <w:bookmarkEnd w:id="256"/>
    </w:p>
    <w:p w14:paraId="4A57A0FF">
      <w:pPr>
        <w:keepLines/>
        <w:spacing w:line="460" w:lineRule="exact"/>
        <w:ind w:firstLine="480" w:firstLineChars="200"/>
        <w:contextualSpacing/>
        <w:jc w:val="left"/>
        <w:rPr>
          <w:rFonts w:hint="eastAsia" w:ascii="宋体" w:hAnsi="宋体" w:cs="宋体"/>
          <w:color w:val="auto"/>
          <w:sz w:val="24"/>
          <w:highlight w:val="none"/>
        </w:rPr>
      </w:pPr>
      <w:bookmarkStart w:id="257" w:name="_Toc25921"/>
      <w:bookmarkStart w:id="258" w:name="_Toc4317"/>
      <w:r>
        <w:rPr>
          <w:rFonts w:hint="eastAsia" w:ascii="宋体" w:hAnsi="宋体" w:cs="宋体"/>
          <w:color w:val="auto"/>
          <w:sz w:val="24"/>
          <w:highlight w:val="none"/>
        </w:rPr>
        <w:t>4.符合性审查、商务技术评审结束后，开启符合性审查、商务技术评审有效投标</w:t>
      </w:r>
      <w:r>
        <w:rPr>
          <w:rFonts w:hint="eastAsia" w:ascii="宋体" w:hAnsi="宋体"/>
          <w:color w:val="auto"/>
          <w:sz w:val="24"/>
          <w:highlight w:val="none"/>
        </w:rPr>
        <w:t>人</w:t>
      </w:r>
      <w:r>
        <w:rPr>
          <w:rFonts w:hint="eastAsia" w:ascii="宋体" w:hAnsi="宋体" w:cs="宋体"/>
          <w:color w:val="auto"/>
          <w:sz w:val="24"/>
          <w:highlight w:val="none"/>
        </w:rPr>
        <w:t>的报价文件。由评标委员会对报价文件的符合性等进行审查核实，对报价进行得分计算。</w:t>
      </w:r>
      <w:bookmarkEnd w:id="257"/>
      <w:bookmarkEnd w:id="258"/>
    </w:p>
    <w:p w14:paraId="0B0A7C44">
      <w:pPr>
        <w:keepLines/>
        <w:spacing w:line="460" w:lineRule="exact"/>
        <w:ind w:firstLine="480" w:firstLineChars="200"/>
        <w:contextualSpacing/>
        <w:jc w:val="left"/>
        <w:rPr>
          <w:rFonts w:hint="eastAsia" w:ascii="宋体" w:hAnsi="宋体" w:cs="宋体"/>
          <w:color w:val="auto"/>
          <w:sz w:val="24"/>
          <w:highlight w:val="none"/>
        </w:rPr>
      </w:pPr>
      <w:bookmarkStart w:id="259" w:name="_Toc4982"/>
      <w:bookmarkStart w:id="260" w:name="_Toc16740"/>
      <w:r>
        <w:rPr>
          <w:rFonts w:hint="eastAsia" w:ascii="宋体" w:hAnsi="宋体" w:cs="宋体"/>
          <w:color w:val="auto"/>
          <w:sz w:val="24"/>
          <w:highlight w:val="none"/>
        </w:rPr>
        <w:t>5.根据各投标供应商综合得分从高到低进行排序，推荐中标候选</w:t>
      </w:r>
      <w:r>
        <w:rPr>
          <w:rFonts w:hint="eastAsia" w:ascii="宋体" w:hAnsi="宋体"/>
          <w:color w:val="auto"/>
          <w:sz w:val="24"/>
          <w:highlight w:val="none"/>
        </w:rPr>
        <w:t>人</w:t>
      </w:r>
      <w:r>
        <w:rPr>
          <w:rFonts w:hint="eastAsia" w:ascii="宋体" w:hAnsi="宋体" w:cs="宋体"/>
          <w:color w:val="auto"/>
          <w:sz w:val="24"/>
          <w:highlight w:val="none"/>
        </w:rPr>
        <w:t>；综合得分最高的供应商推荐为中标</w:t>
      </w:r>
      <w:r>
        <w:rPr>
          <w:rFonts w:hint="eastAsia" w:ascii="宋体" w:hAnsi="宋体"/>
          <w:color w:val="auto"/>
          <w:sz w:val="24"/>
          <w:highlight w:val="none"/>
        </w:rPr>
        <w:t>人</w:t>
      </w:r>
      <w:r>
        <w:rPr>
          <w:rFonts w:hint="eastAsia" w:ascii="宋体" w:hAnsi="宋体" w:cs="宋体"/>
          <w:color w:val="auto"/>
          <w:sz w:val="24"/>
          <w:highlight w:val="none"/>
        </w:rPr>
        <w:t>。</w:t>
      </w:r>
      <w:bookmarkEnd w:id="259"/>
      <w:bookmarkEnd w:id="260"/>
    </w:p>
    <w:p w14:paraId="2ACAA7EF">
      <w:pPr>
        <w:keepLines/>
        <w:spacing w:line="460" w:lineRule="exact"/>
        <w:ind w:firstLine="480" w:firstLineChars="200"/>
        <w:contextualSpacing/>
        <w:jc w:val="left"/>
        <w:rPr>
          <w:rFonts w:hint="eastAsia" w:ascii="宋体" w:hAnsi="宋体" w:cs="宋体"/>
          <w:color w:val="auto"/>
          <w:sz w:val="24"/>
          <w:highlight w:val="none"/>
        </w:rPr>
      </w:pPr>
      <w:bookmarkStart w:id="261" w:name="_Toc18939"/>
      <w:bookmarkStart w:id="262" w:name="_Toc32009"/>
      <w:r>
        <w:rPr>
          <w:rFonts w:hint="eastAsia" w:ascii="宋体" w:hAnsi="宋体" w:cs="宋体"/>
          <w:color w:val="auto"/>
          <w:sz w:val="24"/>
          <w:highlight w:val="none"/>
        </w:rPr>
        <w:t>6.由评标委员会向采购人推荐综合得分第一名的供应商为中标</w:t>
      </w:r>
      <w:r>
        <w:rPr>
          <w:rFonts w:hint="eastAsia" w:ascii="宋体" w:hAnsi="宋体"/>
          <w:color w:val="auto"/>
          <w:sz w:val="24"/>
          <w:highlight w:val="none"/>
        </w:rPr>
        <w:t>人</w:t>
      </w:r>
      <w:r>
        <w:rPr>
          <w:rFonts w:hint="eastAsia" w:ascii="宋体" w:hAnsi="宋体" w:cs="宋体"/>
          <w:color w:val="auto"/>
          <w:sz w:val="24"/>
          <w:highlight w:val="none"/>
        </w:rPr>
        <w:t>，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65B72125">
      <w:pPr>
        <w:keepLines/>
        <w:spacing w:line="460" w:lineRule="exact"/>
        <w:ind w:firstLine="480" w:firstLineChars="200"/>
        <w:contextualSpacing/>
        <w:jc w:val="left"/>
        <w:rPr>
          <w:rFonts w:hint="eastAsia" w:ascii="宋体" w:hAnsi="宋体" w:cs="宋体"/>
          <w:b/>
          <w:color w:val="auto"/>
          <w:kern w:val="0"/>
          <w:sz w:val="24"/>
          <w:highlight w:val="none"/>
          <w:lang w:bidi="en-US"/>
        </w:rPr>
      </w:pPr>
      <w:r>
        <w:rPr>
          <w:rFonts w:hint="eastAsia" w:ascii="宋体" w:hAnsi="宋体" w:cs="宋体"/>
          <w:color w:val="auto"/>
          <w:sz w:val="24"/>
          <w:highlight w:val="none"/>
        </w:rPr>
        <w:t>7.评审结束后，公布采购结果。</w:t>
      </w:r>
      <w:bookmarkEnd w:id="261"/>
      <w:bookmarkEnd w:id="262"/>
    </w:p>
    <w:p w14:paraId="15A31815">
      <w:pPr>
        <w:widowControl/>
        <w:spacing w:line="44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（四）</w:t>
      </w:r>
      <w:r>
        <w:rPr>
          <w:rFonts w:hint="eastAsia" w:ascii="宋体" w:hAnsi="宋体" w:cs="宋体"/>
          <w:b/>
          <w:color w:val="auto"/>
          <w:kern w:val="0"/>
          <w:sz w:val="24"/>
          <w:highlight w:val="none"/>
          <w:lang w:bidi="en-US"/>
        </w:rPr>
        <w:t>评审纪律和要求</w:t>
      </w:r>
    </w:p>
    <w:p w14:paraId="58B2A3D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1.评审专家必须公平、公正评审，遵纪守法，客观、廉洁地履行职责。</w:t>
      </w:r>
    </w:p>
    <w:p w14:paraId="0CF4074D">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2.评审专家在评审开始前，应关闭并上交随身携带的各种通信工具。</w:t>
      </w:r>
    </w:p>
    <w:p w14:paraId="7653886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3.评审专家在评审过程中，未经许可不得中途离开评审现场，不得迟到早退。</w:t>
      </w:r>
    </w:p>
    <w:p w14:paraId="219255F1">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4.评审专家和工作人员不得透露评审过程中的讨论情况和评审结果。</w:t>
      </w:r>
    </w:p>
    <w:p w14:paraId="6A184F9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E29C5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6.采购人、采购代理机构不得向评审委员会的评审专家作倾向性、误导性的解释或者说明。</w:t>
      </w:r>
    </w:p>
    <w:p w14:paraId="5C21C15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41BD30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8.评审专家在评审过程中不得将自己的观点强加给其他评审专家，评审专家应自主发表见解，对评审意见承担个人责任。</w:t>
      </w:r>
    </w:p>
    <w:p w14:paraId="5B20DD0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8D47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0B89FC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11.评审专家应当遵守评审工作纪律，不得泄露评审文件、评审情况和评审中获悉的商业秘密。</w:t>
      </w:r>
    </w:p>
    <w:p w14:paraId="38B6B6D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评审委员会在评审过程中发现投标人有行贿、提供虚假材料或者串通等违法行为的，应当及时向财政部门报告。</w:t>
      </w:r>
    </w:p>
    <w:p w14:paraId="2EA611EC">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12.招标文件内容违反国家有关强制性规定的，评审委员会应当停止评审并向采购代理机构说明情况。</w:t>
      </w:r>
    </w:p>
    <w:p w14:paraId="20092B9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13.评审专家应当配合采购代理机构答复投标人提出的质疑。</w:t>
      </w:r>
    </w:p>
    <w:p w14:paraId="5D02E99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14.评审专家应当配合财政部门的投诉处理工作。</w:t>
      </w:r>
    </w:p>
    <w:p w14:paraId="782A56F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15.评审专家有如下行为之一的，责令改正，给予警告，可以并处一千元以下的罚款：</w:t>
      </w:r>
    </w:p>
    <w:p w14:paraId="5E136F5F">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①明知应当回避而未主动回避的；</w:t>
      </w:r>
    </w:p>
    <w:p w14:paraId="6A6B579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②在得知自己为评审专家身份后至评审结束前时段内私下接触投标人的；</w:t>
      </w:r>
    </w:p>
    <w:p w14:paraId="5F92389A">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③在评审过程中擅离职守，影响评审程序正常进行的；</w:t>
      </w:r>
    </w:p>
    <w:p w14:paraId="5E15334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④在评审过程有明显不合理或者不正当倾向性的；</w:t>
      </w:r>
    </w:p>
    <w:p w14:paraId="2447B0A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⑤未按招标文件规定的评审方法和标准进行评审的。</w:t>
      </w:r>
    </w:p>
    <w:p w14:paraId="193E9DD2">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⑥上述①至⑤行为影响中标结果的，中标结果无效。</w:t>
      </w:r>
    </w:p>
    <w:p w14:paraId="46245456">
      <w:pPr>
        <w:pStyle w:val="528"/>
        <w:spacing w:before="0" w:after="0" w:line="440" w:lineRule="exact"/>
        <w:ind w:firstLine="480" w:firstLineChars="200"/>
        <w:rPr>
          <w:rFonts w:hint="eastAsia"/>
          <w:color w:val="auto"/>
          <w:highlight w:val="none"/>
        </w:rPr>
      </w:pPr>
      <w:r>
        <w:rPr>
          <w:rFonts w:hint="eastAsia" w:ascii="宋体" w:hAnsi="宋体" w:cs="宋体"/>
          <w:color w:val="auto"/>
          <w:highlight w:val="none"/>
        </w:rPr>
        <w:t>16.政府采购评审专家未按照招标文件规定的评审程序、评审方法和评审标准进行独立评审或者泄露评审文件、评审</w:t>
      </w:r>
      <w:r>
        <w:rPr>
          <w:rFonts w:hint="eastAsia"/>
          <w:color w:val="auto"/>
          <w:highlight w:val="none"/>
        </w:rPr>
        <w:t>情况的，由财政部门给予警告，并处2000元以上2万元以下的罚款；影响中标、成交结果的，处2万元以上5万元以下的罚款，禁止其参加政府采购评审活动。</w:t>
      </w:r>
    </w:p>
    <w:p w14:paraId="44A02713">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政府采购评审专家与投标人存在利害关系未回避的，处2万元以上5万元以下的罚款，禁止其参加政府采购评审活动。</w:t>
      </w:r>
    </w:p>
    <w:p w14:paraId="7C42AF14">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40F1A3E">
      <w:pPr>
        <w:pStyle w:val="528"/>
        <w:spacing w:before="0" w:after="0" w:line="440" w:lineRule="exact"/>
        <w:ind w:firstLine="480" w:firstLineChars="200"/>
        <w:rPr>
          <w:rFonts w:hint="eastAsia" w:ascii="宋体" w:hAnsi="宋体"/>
          <w:b/>
          <w:bCs/>
          <w:color w:val="auto"/>
          <w:highlight w:val="none"/>
        </w:rPr>
      </w:pPr>
      <w:r>
        <w:rPr>
          <w:rFonts w:hint="eastAsia"/>
          <w:color w:val="auto"/>
          <w:highlight w:val="none"/>
        </w:rPr>
        <w:t>政府采购评审专家有上述违法行为的，其评审意见无效，不得获取评审费；有违法所得的，没收违法所得；给他人造成损失的，依法承担民事责任。</w:t>
      </w:r>
    </w:p>
    <w:p w14:paraId="248E3857">
      <w:pPr>
        <w:widowControl/>
        <w:spacing w:line="46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（五）澄清问题的形式</w:t>
      </w:r>
    </w:p>
    <w:p w14:paraId="418182AB">
      <w:pPr>
        <w:widowControl/>
        <w:spacing w:line="460" w:lineRule="exact"/>
        <w:ind w:firstLine="480" w:firstLineChars="200"/>
        <w:jc w:val="left"/>
        <w:rPr>
          <w:rFonts w:hint="eastAsia" w:ascii="宋体" w:hAnsi="宋体"/>
          <w:color w:val="auto"/>
          <w:sz w:val="24"/>
          <w:highlight w:val="none"/>
        </w:rPr>
      </w:pPr>
      <w:bookmarkStart w:id="263" w:name="_Toc30178"/>
      <w:bookmarkStart w:id="264" w:name="_Toc32057"/>
      <w:bookmarkStart w:id="265" w:name="_Toc3131"/>
      <w:bookmarkStart w:id="266" w:name="_Toc24183"/>
      <w:bookmarkStart w:id="267" w:name="_Toc12786"/>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3"/>
      <w:bookmarkEnd w:id="264"/>
      <w:bookmarkEnd w:id="265"/>
      <w:bookmarkEnd w:id="266"/>
      <w:bookmarkEnd w:id="267"/>
    </w:p>
    <w:p w14:paraId="573A3CDD">
      <w:pPr>
        <w:keepLines/>
        <w:spacing w:line="460" w:lineRule="exact"/>
        <w:ind w:firstLine="482" w:firstLineChars="200"/>
        <w:contextualSpacing/>
        <w:jc w:val="left"/>
        <w:outlineLvl w:val="2"/>
        <w:rPr>
          <w:rFonts w:ascii="宋体" w:hAnsi="宋体"/>
          <w:b/>
          <w:color w:val="auto"/>
          <w:kern w:val="0"/>
          <w:sz w:val="24"/>
          <w:highlight w:val="none"/>
          <w:lang w:bidi="en-US"/>
        </w:rPr>
      </w:pPr>
      <w:bookmarkStart w:id="268" w:name="_Toc21438"/>
      <w:bookmarkStart w:id="269" w:name="_Toc4098"/>
      <w:r>
        <w:rPr>
          <w:rFonts w:ascii="宋体" w:hAnsi="宋体"/>
          <w:b/>
          <w:color w:val="auto"/>
          <w:kern w:val="0"/>
          <w:sz w:val="24"/>
          <w:highlight w:val="none"/>
          <w:lang w:bidi="en-US"/>
        </w:rPr>
        <w:t>（</w:t>
      </w:r>
      <w:r>
        <w:rPr>
          <w:rFonts w:hint="eastAsia" w:ascii="宋体" w:hAnsi="宋体"/>
          <w:b/>
          <w:color w:val="auto"/>
          <w:kern w:val="0"/>
          <w:sz w:val="24"/>
          <w:highlight w:val="none"/>
          <w:lang w:bidi="en-US"/>
        </w:rPr>
        <w:t>六</w:t>
      </w:r>
      <w:r>
        <w:rPr>
          <w:rFonts w:ascii="宋体" w:hAnsi="宋体"/>
          <w:b/>
          <w:color w:val="auto"/>
          <w:kern w:val="0"/>
          <w:sz w:val="24"/>
          <w:highlight w:val="none"/>
          <w:lang w:bidi="en-US"/>
        </w:rPr>
        <w:t>）错误修正</w:t>
      </w:r>
      <w:bookmarkEnd w:id="268"/>
      <w:bookmarkEnd w:id="269"/>
    </w:p>
    <w:p w14:paraId="1A441E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14:paraId="6D2CCD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14:paraId="4364D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14:paraId="4415F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1DB5BD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187EE8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5.对不同文字文本投标文件的解释发生异议的，以中文文本为准。</w:t>
      </w:r>
      <w:bookmarkStart w:id="270" w:name="_Toc5602"/>
      <w:bookmarkStart w:id="271" w:name="_Toc32392"/>
    </w:p>
    <w:p w14:paraId="3C4651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6.在电子投标系统中显示的金额与投标文件的金额不一致时，以投标文件的金额为准。</w:t>
      </w:r>
    </w:p>
    <w:p w14:paraId="48B8CA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70"/>
      <w:bookmarkEnd w:id="271"/>
      <w:bookmarkStart w:id="272" w:name="_Toc12959"/>
      <w:bookmarkStart w:id="273" w:name="_Toc23938"/>
      <w:bookmarkStart w:id="274" w:name="_Toc29304"/>
      <w:bookmarkStart w:id="275" w:name="_Toc31002"/>
      <w:bookmarkStart w:id="276" w:name="_Toc21770"/>
      <w:bookmarkStart w:id="277" w:name="_Toc23828"/>
      <w:bookmarkStart w:id="278" w:name="_Toc16478"/>
      <w:bookmarkStart w:id="279" w:name="_Toc6194"/>
      <w:bookmarkStart w:id="280" w:name="_Toc8736"/>
      <w:bookmarkStart w:id="281" w:name="_Toc9938"/>
    </w:p>
    <w:p w14:paraId="3ED45CCC">
      <w:pPr>
        <w:snapToGrid w:val="0"/>
        <w:spacing w:line="400" w:lineRule="exact"/>
        <w:ind w:firstLine="482" w:firstLineChars="200"/>
        <w:outlineLvl w:val="2"/>
        <w:rPr>
          <w:rFonts w:hint="eastAsia" w:ascii="宋体" w:hAnsi="宋体"/>
          <w:b/>
          <w:bCs/>
          <w:color w:val="auto"/>
          <w:sz w:val="24"/>
          <w:highlight w:val="none"/>
        </w:rPr>
      </w:pPr>
      <w:r>
        <w:rPr>
          <w:rFonts w:hint="eastAsia" w:ascii="宋体" w:hAnsi="宋体"/>
          <w:b/>
          <w:bCs/>
          <w:color w:val="auto"/>
          <w:sz w:val="24"/>
          <w:highlight w:val="none"/>
        </w:rPr>
        <w:t>（七）评标原则和评标办法</w:t>
      </w:r>
    </w:p>
    <w:p w14:paraId="167289DB">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EF48A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2.评标办法。本项目评标办法是 综合评分法 ，具体评标内容及评分标准等详见《评标办法及评分标准》。</w:t>
      </w:r>
    </w:p>
    <w:p w14:paraId="4D60B11E">
      <w:pPr>
        <w:widowControl/>
        <w:spacing w:line="46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六、采购方式变更</w:t>
      </w:r>
      <w:bookmarkEnd w:id="272"/>
      <w:bookmarkEnd w:id="273"/>
      <w:bookmarkEnd w:id="274"/>
      <w:bookmarkEnd w:id="275"/>
      <w:bookmarkEnd w:id="276"/>
      <w:bookmarkEnd w:id="277"/>
      <w:bookmarkEnd w:id="278"/>
      <w:bookmarkEnd w:id="279"/>
      <w:bookmarkEnd w:id="280"/>
      <w:bookmarkEnd w:id="281"/>
    </w:p>
    <w:p w14:paraId="5353B4F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采购响应截止时间止或评审期间，出现参与采购响应或者对招标文件作出实质性响应的供应商不足3家的情况，原则上应终止采购活动，重新组织采购。</w:t>
      </w:r>
    </w:p>
    <w:p w14:paraId="7491D5D7">
      <w:pPr>
        <w:widowControl/>
        <w:spacing w:line="460" w:lineRule="exact"/>
        <w:ind w:firstLine="562" w:firstLineChars="200"/>
        <w:jc w:val="left"/>
        <w:outlineLvl w:val="1"/>
        <w:rPr>
          <w:rFonts w:hint="eastAsia" w:ascii="黑体" w:eastAsia="黑体"/>
          <w:b/>
          <w:bCs/>
          <w:color w:val="auto"/>
          <w:sz w:val="28"/>
          <w:szCs w:val="28"/>
          <w:highlight w:val="none"/>
        </w:rPr>
      </w:pPr>
      <w:bookmarkStart w:id="282" w:name="_Toc1684"/>
      <w:bookmarkStart w:id="283" w:name="_Toc11850"/>
      <w:bookmarkStart w:id="284" w:name="_Toc1505"/>
      <w:bookmarkStart w:id="285" w:name="_Toc14572"/>
      <w:bookmarkStart w:id="286" w:name="_Toc15643"/>
      <w:bookmarkStart w:id="287" w:name="_Toc23525"/>
      <w:bookmarkStart w:id="288" w:name="_Toc14250"/>
      <w:bookmarkStart w:id="289" w:name="_Toc21419"/>
      <w:bookmarkStart w:id="290" w:name="_Toc27001"/>
      <w:bookmarkStart w:id="291" w:name="_Toc11020"/>
      <w:r>
        <w:rPr>
          <w:rFonts w:hint="eastAsia" w:ascii="黑体" w:eastAsia="黑体"/>
          <w:b/>
          <w:bCs/>
          <w:color w:val="auto"/>
          <w:sz w:val="28"/>
          <w:szCs w:val="28"/>
          <w:highlight w:val="none"/>
        </w:rPr>
        <w:t>七、定标</w:t>
      </w:r>
      <w:bookmarkEnd w:id="282"/>
      <w:bookmarkEnd w:id="283"/>
      <w:bookmarkEnd w:id="284"/>
      <w:bookmarkEnd w:id="285"/>
      <w:bookmarkEnd w:id="286"/>
      <w:bookmarkEnd w:id="287"/>
      <w:bookmarkEnd w:id="288"/>
      <w:bookmarkEnd w:id="289"/>
      <w:bookmarkEnd w:id="290"/>
      <w:bookmarkEnd w:id="291"/>
    </w:p>
    <w:p w14:paraId="631CE0A1">
      <w:pPr>
        <w:snapToGrid w:val="0"/>
        <w:spacing w:line="440" w:lineRule="exact"/>
        <w:ind w:firstLine="482" w:firstLineChars="200"/>
        <w:rPr>
          <w:rStyle w:val="201"/>
          <w:rFonts w:hint="eastAsia" w:ascii="宋体" w:hAnsi="宋体"/>
          <w:b/>
          <w:bCs/>
          <w:color w:val="auto"/>
          <w:sz w:val="24"/>
          <w:highlight w:val="none"/>
        </w:rPr>
      </w:pPr>
      <w:r>
        <w:rPr>
          <w:rStyle w:val="201"/>
          <w:rFonts w:hint="eastAsia" w:ascii="宋体" w:hAnsi="宋体"/>
          <w:b/>
          <w:bCs/>
          <w:color w:val="auto"/>
          <w:sz w:val="24"/>
          <w:highlight w:val="none"/>
        </w:rPr>
        <w:t>（一）采购项目需要落实的政府采购政策</w:t>
      </w:r>
    </w:p>
    <w:p w14:paraId="4C39BDAD">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DADDA8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2.支持绿色发展</w:t>
      </w:r>
    </w:p>
    <w:p w14:paraId="64D1BB9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D4667E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B092E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3.支持创新发展</w:t>
      </w:r>
    </w:p>
    <w:p w14:paraId="6A926A0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3.1 采购人优先采购被认定为首台套产品和“制造精品”的自主创新产品。</w:t>
      </w:r>
    </w:p>
    <w:p w14:paraId="5B9DD6D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F558F">
      <w:pPr>
        <w:spacing w:line="440" w:lineRule="exact"/>
        <w:ind w:firstLine="480" w:firstLineChars="200"/>
        <w:rPr>
          <w:rStyle w:val="201"/>
          <w:rFonts w:ascii="宋体" w:hAnsi="宋体"/>
          <w:b/>
          <w:bCs/>
          <w:color w:val="auto"/>
          <w:sz w:val="24"/>
          <w:highlight w:val="none"/>
        </w:rPr>
      </w:pPr>
      <w:r>
        <w:rPr>
          <w:rFonts w:hint="eastAsia" w:ascii="宋体" w:hAnsi="宋体"/>
          <w:color w:val="auto"/>
          <w:sz w:val="24"/>
          <w:highlight w:val="none"/>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7399298">
      <w:pPr>
        <w:snapToGrid w:val="0"/>
        <w:spacing w:line="460" w:lineRule="exact"/>
        <w:ind w:firstLine="482" w:firstLineChars="200"/>
        <w:rPr>
          <w:rStyle w:val="201"/>
          <w:rFonts w:ascii="宋体" w:hAnsi="宋体"/>
          <w:b/>
          <w:bCs/>
          <w:color w:val="auto"/>
          <w:sz w:val="24"/>
          <w:highlight w:val="none"/>
        </w:rPr>
      </w:pPr>
      <w:r>
        <w:rPr>
          <w:rStyle w:val="201"/>
          <w:rFonts w:ascii="宋体" w:hAnsi="宋体"/>
          <w:b/>
          <w:bCs/>
          <w:color w:val="auto"/>
          <w:sz w:val="24"/>
          <w:highlight w:val="none"/>
        </w:rPr>
        <w:t>（</w:t>
      </w:r>
      <w:r>
        <w:rPr>
          <w:rStyle w:val="201"/>
          <w:rFonts w:hint="eastAsia" w:ascii="宋体" w:hAnsi="宋体"/>
          <w:b/>
          <w:bCs/>
          <w:color w:val="auto"/>
          <w:sz w:val="24"/>
          <w:highlight w:val="none"/>
        </w:rPr>
        <w:t>二</w:t>
      </w:r>
      <w:r>
        <w:rPr>
          <w:rStyle w:val="201"/>
          <w:rFonts w:ascii="宋体" w:hAnsi="宋体"/>
          <w:b/>
          <w:bCs/>
          <w:color w:val="auto"/>
          <w:sz w:val="24"/>
          <w:highlight w:val="none"/>
        </w:rPr>
        <w:t>）</w:t>
      </w:r>
      <w:r>
        <w:rPr>
          <w:rFonts w:hint="eastAsia" w:ascii="宋体" w:hAnsi="宋体"/>
          <w:b/>
          <w:bCs/>
          <w:color w:val="auto"/>
          <w:sz w:val="24"/>
          <w:highlight w:val="none"/>
        </w:rPr>
        <w:t>确定中标人。本项目由采购人（或采购人事先授权评标委员会）确定中标人。</w:t>
      </w:r>
    </w:p>
    <w:p w14:paraId="50DB1344">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2886CDD">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（1）排名第一的候选供应商，因自身原因放弃中标或因不可抗力不能履行合同的；</w:t>
      </w:r>
    </w:p>
    <w:p w14:paraId="01997E1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（2）经质疑，采购人审查确认因排名第一的候选供应商在本次采购活动中存在违法违规行为或其他原因使质疑成立的。</w:t>
      </w:r>
    </w:p>
    <w:p w14:paraId="61477DC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5860898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3.采购人或采购代理机构应当自中标、成交供应商确定之日起2个工作日内，发出中标、成交通知书，并在省级以上人民政府财政部门指定的媒体上公告中标、成交结果。</w:t>
      </w:r>
    </w:p>
    <w:p w14:paraId="574C35C3">
      <w:pPr>
        <w:widowControl/>
        <w:spacing w:line="460" w:lineRule="exact"/>
        <w:ind w:firstLine="562" w:firstLineChars="200"/>
        <w:jc w:val="left"/>
        <w:outlineLvl w:val="1"/>
        <w:rPr>
          <w:rFonts w:hint="eastAsia" w:ascii="黑体" w:eastAsia="黑体"/>
          <w:b/>
          <w:bCs/>
          <w:color w:val="auto"/>
          <w:sz w:val="28"/>
          <w:szCs w:val="28"/>
          <w:highlight w:val="none"/>
        </w:rPr>
      </w:pPr>
      <w:bookmarkStart w:id="292" w:name="_Toc27066"/>
      <w:bookmarkStart w:id="293" w:name="_Toc25532"/>
      <w:bookmarkStart w:id="294" w:name="_Toc14974"/>
      <w:bookmarkStart w:id="295" w:name="_Toc9407"/>
      <w:bookmarkStart w:id="296" w:name="_Toc5811"/>
      <w:bookmarkStart w:id="297" w:name="_Toc5149"/>
      <w:bookmarkStart w:id="298" w:name="_Toc26656"/>
      <w:bookmarkStart w:id="299" w:name="_Toc21600"/>
      <w:bookmarkStart w:id="300" w:name="_Toc2686"/>
      <w:bookmarkStart w:id="301" w:name="_Toc3374"/>
      <w:r>
        <w:rPr>
          <w:rFonts w:hint="eastAsia" w:ascii="黑体" w:eastAsia="黑体"/>
          <w:b/>
          <w:bCs/>
          <w:color w:val="auto"/>
          <w:sz w:val="28"/>
          <w:szCs w:val="28"/>
          <w:highlight w:val="none"/>
        </w:rPr>
        <w:t>八、合同授予</w:t>
      </w:r>
      <w:bookmarkEnd w:id="292"/>
      <w:bookmarkEnd w:id="293"/>
      <w:bookmarkEnd w:id="294"/>
      <w:bookmarkEnd w:id="295"/>
      <w:bookmarkEnd w:id="296"/>
      <w:bookmarkEnd w:id="297"/>
      <w:bookmarkEnd w:id="298"/>
      <w:bookmarkEnd w:id="299"/>
      <w:bookmarkEnd w:id="300"/>
      <w:bookmarkEnd w:id="301"/>
    </w:p>
    <w:p w14:paraId="25E9A2F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合同的签订</w:t>
      </w:r>
    </w:p>
    <w:p w14:paraId="33F9762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1.1除不可抗力等特殊情况外，采购人原则上应当在中标通知书发出之日起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日内，与成交人按照采购文件确定的事项签订政府采购合同，并在签订之日起2个工作日内将政府采购合同在浙江政府采购网上公告。</w:t>
      </w:r>
    </w:p>
    <w:p w14:paraId="25B4BD1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6196D18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1.3如签订合同并生效后，供应商无故拒绝或延期，除按照合同条款处理外，列入不良行为记录一次，并给予通报。</w:t>
      </w:r>
    </w:p>
    <w:p w14:paraId="6D705CB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1.4成交人拒绝与采购人签订合同的，采购人可以按照评审报告推荐的中标或者成交候选人名单排序，确定下一候选人为成交人，也可以重新开展政府采购活动。</w:t>
      </w:r>
    </w:p>
    <w:p w14:paraId="163D8F0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1.5采购合同由采购人与成交人根据采购文件、投标响应文件等内容通过政府采购电子交易平台在线签订，自动备案。</w:t>
      </w:r>
    </w:p>
    <w:p w14:paraId="2F9A011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1.6政府采购货物和服务项目不得收取质量保证金。政府采购工程以及与工程建设有关的货物、服务，采用招标方式采购的，按国家和省有关规定执行。</w:t>
      </w:r>
    </w:p>
    <w:p w14:paraId="608B805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2.履约保证金</w:t>
      </w:r>
    </w:p>
    <w:p w14:paraId="382F8346">
      <w:pPr>
        <w:spacing w:line="440" w:lineRule="exact"/>
        <w:ind w:firstLine="480" w:firstLineChars="200"/>
        <w:rPr>
          <w:rFonts w:hint="eastAsia" w:ascii="宋体" w:hAnsi="宋体" w:cs="宋体"/>
          <w:sz w:val="24"/>
          <w:szCs w:val="18"/>
        </w:rPr>
      </w:pPr>
      <w:r>
        <w:rPr>
          <w:rFonts w:hint="eastAsia" w:ascii="宋体" w:hAnsi="宋体" w:cs="宋体"/>
          <w:sz w:val="24"/>
          <w:szCs w:val="18"/>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104927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88DD8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3.采购人与中标人应当在《中标通知书》发出之日起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日内签订政府采购合同。同时，采购代理机构对合同内容进行审查，如发现与采购结果和投标承诺内容不一致的，应予以纠正。</w:t>
      </w:r>
    </w:p>
    <w:p w14:paraId="5911B5B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4.合同正本一式六份，采购单位与中标人各执两份，</w:t>
      </w:r>
      <w:r>
        <w:rPr>
          <w:rFonts w:hint="eastAsia" w:ascii="宋体" w:hAnsi="宋体"/>
          <w:color w:val="auto"/>
          <w:sz w:val="24"/>
          <w:highlight w:val="none"/>
          <w:lang w:eastAsia="zh-CN"/>
        </w:rPr>
        <w:t>浙江诚远工程咨询有限公司</w:t>
      </w:r>
      <w:r>
        <w:rPr>
          <w:rFonts w:hint="eastAsia" w:ascii="宋体" w:hAnsi="宋体"/>
          <w:color w:val="auto"/>
          <w:sz w:val="24"/>
          <w:highlight w:val="none"/>
        </w:rPr>
        <w:t>、磐安县财政局采购监管科各执一份。</w:t>
      </w:r>
    </w:p>
    <w:p w14:paraId="677262E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5.中标人拖延、拒签合同的，将被取消中标资格。</w:t>
      </w:r>
    </w:p>
    <w:p w14:paraId="63D15F56">
      <w:pPr>
        <w:widowControl/>
        <w:spacing w:line="460" w:lineRule="exact"/>
        <w:ind w:firstLine="562" w:firstLineChars="200"/>
        <w:jc w:val="left"/>
        <w:outlineLvl w:val="1"/>
        <w:rPr>
          <w:rFonts w:hint="eastAsia" w:ascii="黑体" w:eastAsia="黑体"/>
          <w:b/>
          <w:bCs/>
          <w:color w:val="auto"/>
          <w:sz w:val="28"/>
          <w:szCs w:val="28"/>
          <w:highlight w:val="none"/>
        </w:rPr>
      </w:pPr>
      <w:bookmarkStart w:id="302" w:name="_Toc22748"/>
      <w:bookmarkStart w:id="303" w:name="_Toc22294"/>
      <w:bookmarkStart w:id="304" w:name="_Toc21062"/>
      <w:bookmarkStart w:id="305" w:name="_Toc32478"/>
      <w:bookmarkStart w:id="306" w:name="_Toc11661"/>
      <w:bookmarkStart w:id="307" w:name="_Toc9798"/>
      <w:bookmarkStart w:id="308" w:name="_Toc25670"/>
      <w:bookmarkStart w:id="309" w:name="_Toc23229"/>
      <w:bookmarkStart w:id="310" w:name="_Toc20978"/>
      <w:bookmarkStart w:id="311" w:name="_Toc19699"/>
      <w:r>
        <w:rPr>
          <w:rFonts w:hint="eastAsia" w:ascii="黑体" w:eastAsia="黑体"/>
          <w:b/>
          <w:bCs/>
          <w:color w:val="auto"/>
          <w:sz w:val="28"/>
          <w:szCs w:val="28"/>
          <w:highlight w:val="none"/>
        </w:rPr>
        <w:t>九、质疑与投诉</w:t>
      </w:r>
      <w:bookmarkEnd w:id="302"/>
      <w:bookmarkEnd w:id="303"/>
      <w:bookmarkEnd w:id="304"/>
      <w:bookmarkEnd w:id="305"/>
      <w:bookmarkEnd w:id="306"/>
      <w:bookmarkEnd w:id="307"/>
      <w:bookmarkEnd w:id="308"/>
      <w:bookmarkEnd w:id="309"/>
      <w:bookmarkEnd w:id="310"/>
      <w:bookmarkEnd w:id="311"/>
    </w:p>
    <w:p w14:paraId="3FA6ED33">
      <w:pPr>
        <w:pStyle w:val="528"/>
        <w:spacing w:before="0" w:after="0" w:line="460" w:lineRule="exact"/>
        <w:ind w:firstLine="480" w:firstLineChars="200"/>
        <w:rPr>
          <w:rFonts w:hint="eastAsia"/>
          <w:color w:val="auto"/>
          <w:highlight w:val="none"/>
        </w:rPr>
      </w:pPr>
      <w:r>
        <w:rPr>
          <w:rFonts w:hint="eastAsia"/>
          <w:color w:val="auto"/>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21"/>
    </w:p>
    <w:p w14:paraId="69DDDC15">
      <w:pPr>
        <w:pStyle w:val="2"/>
        <w:spacing w:line="360" w:lineRule="auto"/>
        <w:jc w:val="center"/>
        <w:rPr>
          <w:rFonts w:hint="eastAsia" w:ascii="宋体" w:hAnsi="宋体" w:cs="宋体"/>
          <w:b w:val="0"/>
          <w:color w:val="auto"/>
          <w:sz w:val="30"/>
          <w:szCs w:val="30"/>
          <w:highlight w:val="none"/>
        </w:rPr>
      </w:pPr>
      <w:r>
        <w:rPr>
          <w:rFonts w:hint="eastAsia" w:ascii="黑体" w:hAnsi="黑体" w:eastAsia="黑体" w:cs="黑体"/>
          <w:b w:val="0"/>
          <w:color w:val="auto"/>
          <w:sz w:val="30"/>
          <w:szCs w:val="30"/>
          <w:highlight w:val="none"/>
        </w:rPr>
        <w:br w:type="page"/>
      </w:r>
      <w:bookmarkStart w:id="312" w:name="_Toc5992"/>
      <w:bookmarkStart w:id="313" w:name="_Toc11683"/>
      <w:bookmarkStart w:id="314" w:name="_Toc1727"/>
      <w:bookmarkStart w:id="315" w:name="_Toc23902"/>
      <w:r>
        <w:rPr>
          <w:rFonts w:hint="eastAsia"/>
          <w:color w:val="auto"/>
          <w:highlight w:val="none"/>
        </w:rPr>
        <w:t>第四章  评审办法</w:t>
      </w:r>
      <w:bookmarkEnd w:id="312"/>
      <w:bookmarkEnd w:id="313"/>
      <w:r>
        <w:rPr>
          <w:rFonts w:hint="eastAsia"/>
          <w:color w:val="auto"/>
          <w:highlight w:val="none"/>
        </w:rPr>
        <w:t>和评分标准</w:t>
      </w:r>
      <w:bookmarkEnd w:id="314"/>
      <w:bookmarkEnd w:id="315"/>
    </w:p>
    <w:p w14:paraId="06DB54F0">
      <w:pPr>
        <w:spacing w:line="360" w:lineRule="auto"/>
        <w:ind w:right="218" w:rightChars="104"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3FF436">
      <w:pPr>
        <w:spacing w:line="450" w:lineRule="exact"/>
        <w:ind w:right="218" w:rightChars="104" w:firstLine="420"/>
        <w:rPr>
          <w:rFonts w:hint="eastAsia" w:ascii="宋体" w:hAnsi="宋体" w:cs="宋体"/>
          <w:b/>
          <w:bCs/>
          <w:color w:val="auto"/>
          <w:sz w:val="24"/>
          <w:highlight w:val="none"/>
        </w:rPr>
      </w:pPr>
      <w:r>
        <w:rPr>
          <w:rFonts w:hint="eastAsia" w:ascii="宋体" w:hAnsi="宋体" w:cs="宋体"/>
          <w:b/>
          <w:color w:val="auto"/>
          <w:sz w:val="24"/>
          <w:highlight w:val="none"/>
        </w:rPr>
        <w:t>本办法适用于</w:t>
      </w:r>
      <w:r>
        <w:rPr>
          <w:rFonts w:hint="eastAsia" w:ascii="宋体" w:hAnsi="宋体" w:cs="宋体"/>
          <w:b/>
          <w:color w:val="auto"/>
          <w:sz w:val="24"/>
          <w:highlight w:val="none"/>
          <w:lang w:eastAsia="zh-CN"/>
        </w:rPr>
        <w:t>2025年大盘山松材线虫病枯死松树清理服务项目</w:t>
      </w:r>
      <w:r>
        <w:rPr>
          <w:rFonts w:hint="eastAsia" w:ascii="宋体" w:hAnsi="宋体" w:cs="宋体"/>
          <w:b/>
          <w:bCs/>
          <w:color w:val="auto"/>
          <w:sz w:val="24"/>
          <w:highlight w:val="none"/>
        </w:rPr>
        <w:t>公开招标文件</w:t>
      </w:r>
      <w:r>
        <w:rPr>
          <w:rFonts w:hint="eastAsia" w:ascii="宋体" w:hAnsi="宋体" w:cs="宋体"/>
          <w:b/>
          <w:color w:val="auto"/>
          <w:sz w:val="24"/>
          <w:highlight w:val="none"/>
        </w:rPr>
        <w:t>的评</w:t>
      </w:r>
      <w:r>
        <w:rPr>
          <w:rFonts w:hint="eastAsia" w:ascii="宋体" w:hAnsi="宋体" w:cs="宋体"/>
          <w:b/>
          <w:bCs/>
          <w:color w:val="auto"/>
          <w:sz w:val="24"/>
          <w:highlight w:val="none"/>
        </w:rPr>
        <w:t>标。</w:t>
      </w:r>
    </w:p>
    <w:p w14:paraId="77179E9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一、评标</w:t>
      </w:r>
    </w:p>
    <w:p w14:paraId="61B528F5">
      <w:pPr>
        <w:pStyle w:val="29"/>
        <w:spacing w:before="0" w:after="0" w:line="450" w:lineRule="exact"/>
        <w:ind w:firstLine="480" w:firstLineChars="200"/>
        <w:rPr>
          <w:rFonts w:hint="eastAsia" w:hAnsi="宋体" w:cs="宋体"/>
          <w:color w:val="auto"/>
          <w:highlight w:val="none"/>
        </w:rPr>
      </w:pPr>
      <w:r>
        <w:rPr>
          <w:rFonts w:hint="eastAsia" w:hAnsi="宋体" w:cs="宋体"/>
          <w:color w:val="auto"/>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3A1C92B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技术商务分按照评标委员会成员的独立评分结果汇总后的算术平均分计算，计算公式为：</w:t>
      </w:r>
    </w:p>
    <w:p w14:paraId="5351A6B6">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技术商务分=评标委员会所有成员评分合计数/评标委员会组成人员数</w:t>
      </w:r>
    </w:p>
    <w:p w14:paraId="1244DFA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投标人评标综合得分=报价分+技术商务分</w:t>
      </w:r>
    </w:p>
    <w:p w14:paraId="514164F8">
      <w:pPr>
        <w:spacing w:line="45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投标报价超出最高限价的，其投标按无效投标处理。</w:t>
      </w:r>
    </w:p>
    <w:p w14:paraId="67062C1A">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评标细则如下：（技术商务</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分及</w:t>
      </w:r>
      <w:r>
        <w:rPr>
          <w:rFonts w:hint="eastAsia" w:ascii="宋体" w:hAnsi="宋体" w:cs="宋体"/>
          <w:b/>
          <w:color w:val="auto"/>
          <w:kern w:val="0"/>
          <w:sz w:val="24"/>
          <w:highlight w:val="none"/>
        </w:rPr>
        <w:t>价格</w:t>
      </w:r>
      <w:r>
        <w:rPr>
          <w:rFonts w:hint="eastAsia" w:ascii="宋体" w:hAnsi="宋体" w:cs="宋体"/>
          <w:b/>
          <w:color w:val="auto"/>
          <w:sz w:val="24"/>
          <w:highlight w:val="none"/>
        </w:rPr>
        <w:t>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分，共100分）</w:t>
      </w:r>
    </w:p>
    <w:tbl>
      <w:tblPr>
        <w:tblStyle w:val="53"/>
        <w:tblW w:w="100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991"/>
        <w:gridCol w:w="6194"/>
        <w:gridCol w:w="855"/>
        <w:gridCol w:w="1215"/>
      </w:tblGrid>
      <w:tr w14:paraId="22F3A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EFB9B02">
            <w:pPr>
              <w:spacing w:line="440" w:lineRule="exact"/>
              <w:rPr>
                <w:rFonts w:hint="eastAsia" w:ascii="宋体" w:hAnsi="宋体" w:cs="宋体"/>
                <w:b/>
                <w:bCs/>
                <w:szCs w:val="21"/>
              </w:rPr>
            </w:pPr>
            <w:r>
              <w:rPr>
                <w:rFonts w:hint="eastAsia" w:ascii="宋体" w:hAnsi="宋体" w:cs="宋体"/>
                <w:b/>
                <w:bCs/>
                <w:szCs w:val="21"/>
              </w:rPr>
              <w:t>序号</w:t>
            </w: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14:paraId="5C212342">
            <w:pPr>
              <w:spacing w:line="440" w:lineRule="exact"/>
              <w:jc w:val="center"/>
              <w:rPr>
                <w:rFonts w:hint="eastAsia" w:ascii="宋体" w:hAnsi="宋体" w:cs="宋体"/>
                <w:b/>
                <w:bCs/>
                <w:szCs w:val="21"/>
              </w:rPr>
            </w:pPr>
            <w:r>
              <w:rPr>
                <w:rFonts w:hint="eastAsia" w:ascii="宋体" w:hAnsi="宋体" w:cs="宋体"/>
                <w:b/>
                <w:bCs/>
                <w:szCs w:val="21"/>
              </w:rPr>
              <w:t>评分标准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4EA8550">
            <w:pPr>
              <w:spacing w:line="440" w:lineRule="exact"/>
              <w:jc w:val="center"/>
              <w:rPr>
                <w:rFonts w:hint="eastAsia" w:ascii="宋体" w:hAnsi="宋体" w:cs="宋体"/>
                <w:b/>
                <w:bCs/>
                <w:szCs w:val="21"/>
              </w:rPr>
            </w:pPr>
            <w:r>
              <w:rPr>
                <w:rFonts w:hint="eastAsia" w:ascii="宋体" w:hAnsi="宋体" w:cs="宋体"/>
                <w:b/>
                <w:bCs/>
                <w:szCs w:val="21"/>
              </w:rPr>
              <w:t>分值</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84A0C56">
            <w:pPr>
              <w:spacing w:line="440" w:lineRule="exact"/>
              <w:jc w:val="center"/>
              <w:rPr>
                <w:rFonts w:hint="eastAsia" w:ascii="宋体" w:hAnsi="宋体" w:cs="宋体"/>
                <w:b/>
                <w:bCs/>
                <w:szCs w:val="21"/>
              </w:rPr>
            </w:pPr>
            <w:r>
              <w:rPr>
                <w:rFonts w:hint="eastAsia" w:ascii="宋体" w:hAnsi="宋体" w:eastAsia="宋体" w:cs="宋体"/>
                <w:bCs/>
              </w:rPr>
              <w:t>主观分/客观分属性</w:t>
            </w:r>
          </w:p>
        </w:tc>
      </w:tr>
      <w:tr w14:paraId="2165B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2CA22">
            <w:pPr>
              <w:spacing w:line="440" w:lineRule="exact"/>
              <w:jc w:val="center"/>
              <w:rPr>
                <w:rFonts w:hint="eastAsia" w:ascii="宋体" w:hAnsi="宋体" w:cs="宋体"/>
                <w:szCs w:val="21"/>
              </w:rPr>
            </w:pPr>
            <w:r>
              <w:rPr>
                <w:rFonts w:hint="eastAsia" w:ascii="宋体" w:hAnsi="宋体" w:cs="宋体"/>
                <w:szCs w:val="21"/>
              </w:rPr>
              <w:t>1</w:t>
            </w:r>
          </w:p>
        </w:tc>
        <w:tc>
          <w:tcPr>
            <w:tcW w:w="991"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3127D7B5">
            <w:pPr>
              <w:spacing w:line="440" w:lineRule="exact"/>
              <w:jc w:val="center"/>
              <w:rPr>
                <w:rFonts w:hint="eastAsia" w:ascii="宋体" w:hAnsi="宋体" w:cs="宋体"/>
                <w:szCs w:val="21"/>
              </w:rPr>
            </w:pPr>
            <w:r>
              <w:rPr>
                <w:rFonts w:hint="eastAsia" w:ascii="宋体" w:hAnsi="宋体" w:cs="宋体"/>
                <w:szCs w:val="21"/>
              </w:rPr>
              <w:t>项目调研程度</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58D445BB">
            <w:pPr>
              <w:spacing w:line="440" w:lineRule="exact"/>
              <w:rPr>
                <w:rFonts w:ascii="宋体" w:hAnsi="宋体" w:cs="宋体"/>
                <w:szCs w:val="21"/>
              </w:rPr>
            </w:pPr>
            <w:r>
              <w:rPr>
                <w:rFonts w:hint="eastAsia" w:ascii="宋体" w:hAnsi="宋体" w:cs="宋体"/>
                <w:szCs w:val="21"/>
              </w:rPr>
              <w:t>根据供应商对本项目采购范围内环境、枯死松树分布特点等情况的熟悉程度，是否能根据项目特定环境妥善安排相关工作（0-2分）。对本项目区域山林、道路现状，存在问题以及林木</w:t>
            </w:r>
            <w:r>
              <w:rPr>
                <w:rFonts w:hint="eastAsia" w:ascii="宋体" w:hAnsi="宋体" w:cs="宋体"/>
                <w:szCs w:val="21"/>
                <w:lang w:val="en-US" w:eastAsia="zh-CN"/>
              </w:rPr>
              <w:t>砍伐</w:t>
            </w:r>
            <w:r>
              <w:rPr>
                <w:rFonts w:hint="eastAsia" w:ascii="宋体" w:hAnsi="宋体" w:cs="宋体"/>
                <w:szCs w:val="21"/>
              </w:rPr>
              <w:t>重点难点的调查充分情况（0-</w:t>
            </w:r>
            <w:r>
              <w:rPr>
                <w:rFonts w:hint="eastAsia" w:ascii="宋体" w:hAnsi="宋体" w:cs="宋体"/>
                <w:szCs w:val="21"/>
                <w:lang w:val="en-US" w:eastAsia="zh-CN"/>
              </w:rPr>
              <w:t>2</w:t>
            </w:r>
            <w:r>
              <w:rPr>
                <w:rFonts w:hint="eastAsia" w:ascii="宋体" w:hAnsi="宋体" w:cs="宋体"/>
                <w:szCs w:val="21"/>
              </w:rPr>
              <w:t>分），对项目区域是否充分熟悉及能否合理规划情况等（0-</w:t>
            </w:r>
            <w:r>
              <w:rPr>
                <w:rFonts w:hint="eastAsia" w:ascii="宋体" w:hAnsi="宋体" w:cs="宋体"/>
                <w:szCs w:val="21"/>
                <w:lang w:val="en-US" w:eastAsia="zh-CN"/>
              </w:rPr>
              <w:t>2</w:t>
            </w:r>
            <w:r>
              <w:rPr>
                <w:rFonts w:hint="eastAsia" w:ascii="宋体" w:hAnsi="宋体" w:cs="宋体"/>
                <w:szCs w:val="21"/>
              </w:rPr>
              <w:t>分）。根据调研程度的完整性、科学性进行打分。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1118A8">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96C3B8B">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2FC5D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A0A0D">
            <w:pPr>
              <w:spacing w:line="440" w:lineRule="exact"/>
              <w:jc w:val="center"/>
              <w:rPr>
                <w:rFonts w:hint="eastAsia" w:ascii="宋体" w:hAnsi="宋体" w:cs="宋体"/>
                <w:szCs w:val="21"/>
              </w:rPr>
            </w:pPr>
            <w:r>
              <w:rPr>
                <w:rFonts w:hint="eastAsia" w:ascii="宋体" w:hAnsi="宋体" w:cs="宋体"/>
                <w:szCs w:val="21"/>
              </w:rPr>
              <w:t>2</w:t>
            </w:r>
          </w:p>
        </w:tc>
        <w:tc>
          <w:tcPr>
            <w:tcW w:w="991"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5F4C3CC">
            <w:pPr>
              <w:spacing w:line="440" w:lineRule="exact"/>
              <w:jc w:val="center"/>
              <w:rPr>
                <w:rFonts w:hint="eastAsia" w:ascii="宋体" w:hAnsi="宋体" w:cs="宋体"/>
                <w:szCs w:val="21"/>
              </w:rPr>
            </w:pPr>
            <w:r>
              <w:rPr>
                <w:rFonts w:hint="eastAsia" w:ascii="宋体" w:hAnsi="宋体" w:cs="宋体"/>
                <w:szCs w:val="21"/>
              </w:rPr>
              <w:t>项目</w:t>
            </w:r>
          </w:p>
          <w:p w14:paraId="41D0B8D5">
            <w:pPr>
              <w:spacing w:line="440" w:lineRule="exact"/>
              <w:jc w:val="center"/>
              <w:rPr>
                <w:rFonts w:hint="eastAsia" w:ascii="宋体" w:hAnsi="宋体" w:cs="宋体"/>
                <w:szCs w:val="21"/>
              </w:rPr>
            </w:pPr>
            <w:r>
              <w:rPr>
                <w:rFonts w:hint="eastAsia" w:ascii="宋体" w:hAnsi="宋体" w:cs="宋体"/>
                <w:szCs w:val="21"/>
              </w:rPr>
              <w:t xml:space="preserve"> 理解</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7723F84B">
            <w:pPr>
              <w:spacing w:line="440" w:lineRule="exact"/>
              <w:rPr>
                <w:rFonts w:hint="eastAsia" w:ascii="宋体" w:hAnsi="宋体" w:cs="宋体"/>
                <w:szCs w:val="21"/>
              </w:rPr>
            </w:pPr>
            <w:r>
              <w:rPr>
                <w:rFonts w:hint="eastAsia" w:ascii="宋体" w:hAnsi="宋体" w:cs="宋体"/>
                <w:szCs w:val="21"/>
              </w:rPr>
              <w:t>根据投标人对本项目重点、难点等理解情况（0-</w:t>
            </w:r>
            <w:r>
              <w:rPr>
                <w:rFonts w:hint="eastAsia" w:ascii="宋体" w:hAnsi="宋体" w:cs="宋体"/>
                <w:szCs w:val="21"/>
                <w:lang w:val="en-US" w:eastAsia="zh-CN"/>
              </w:rPr>
              <w:t>2</w:t>
            </w:r>
            <w:r>
              <w:rPr>
                <w:rFonts w:hint="eastAsia" w:ascii="宋体" w:hAnsi="宋体" w:cs="宋体"/>
                <w:szCs w:val="21"/>
              </w:rPr>
              <w:t>分）、总体服务思路是否符合项目实际情况（0-</w:t>
            </w:r>
            <w:r>
              <w:rPr>
                <w:rFonts w:hint="eastAsia" w:ascii="宋体" w:hAnsi="宋体" w:cs="宋体"/>
                <w:szCs w:val="21"/>
                <w:lang w:val="en-US" w:eastAsia="zh-CN"/>
              </w:rPr>
              <w:t>2</w:t>
            </w:r>
            <w:r>
              <w:rPr>
                <w:rFonts w:hint="eastAsia" w:ascii="宋体" w:hAnsi="宋体" w:cs="宋体"/>
                <w:szCs w:val="21"/>
              </w:rPr>
              <w:t>分）、对本项目关键性技术问题把握的阐述情况（0-</w:t>
            </w:r>
            <w:r>
              <w:rPr>
                <w:rFonts w:hint="eastAsia" w:ascii="宋体" w:hAnsi="宋体" w:cs="宋体"/>
                <w:szCs w:val="21"/>
                <w:lang w:val="en-US" w:eastAsia="zh-CN"/>
              </w:rPr>
              <w:t>2</w:t>
            </w:r>
            <w:r>
              <w:rPr>
                <w:rFonts w:hint="eastAsia" w:ascii="宋体" w:hAnsi="宋体" w:cs="宋体"/>
                <w:szCs w:val="21"/>
              </w:rPr>
              <w:t>分），根据内容全面合理可行程度进行打分。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5E24F7">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AC7B96E">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766DA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96BF9">
            <w:pPr>
              <w:spacing w:line="440" w:lineRule="exact"/>
              <w:jc w:val="center"/>
              <w:rPr>
                <w:rFonts w:ascii="宋体" w:hAnsi="宋体" w:cs="宋体"/>
                <w:szCs w:val="21"/>
              </w:rPr>
            </w:pPr>
            <w:r>
              <w:rPr>
                <w:rFonts w:hint="eastAsia" w:ascii="宋体" w:hAnsi="宋体" w:cs="宋体"/>
                <w:szCs w:val="21"/>
              </w:rPr>
              <w:t>3</w:t>
            </w:r>
          </w:p>
        </w:tc>
        <w:tc>
          <w:tcPr>
            <w:tcW w:w="991" w:type="dxa"/>
            <w:vMerge w:val="restart"/>
            <w:tcBorders>
              <w:top w:val="single" w:color="000000" w:sz="8" w:space="0"/>
              <w:left w:val="single" w:color="000000" w:sz="8" w:space="0"/>
              <w:right w:val="single" w:color="000000" w:sz="8" w:space="0"/>
            </w:tcBorders>
            <w:shd w:val="clear" w:color="auto" w:fill="FFFFFF"/>
            <w:noWrap w:val="0"/>
            <w:vAlign w:val="center"/>
          </w:tcPr>
          <w:p w14:paraId="6025B96A">
            <w:pPr>
              <w:spacing w:line="440" w:lineRule="exact"/>
              <w:jc w:val="center"/>
              <w:rPr>
                <w:rFonts w:hint="eastAsia" w:ascii="宋体" w:hAnsi="宋体" w:cs="宋体"/>
                <w:szCs w:val="21"/>
                <w:lang w:val="en-US" w:eastAsia="zh-CN"/>
              </w:rPr>
            </w:pPr>
            <w:r>
              <w:rPr>
                <w:rFonts w:hint="eastAsia" w:ascii="宋体" w:hAnsi="宋体" w:cs="宋体"/>
                <w:szCs w:val="21"/>
                <w:lang w:val="en-US" w:eastAsia="zh-CN"/>
              </w:rPr>
              <w:t>处理</w:t>
            </w:r>
          </w:p>
          <w:p w14:paraId="0ADCBA46">
            <w:pPr>
              <w:spacing w:line="440" w:lineRule="exact"/>
              <w:jc w:val="center"/>
              <w:rPr>
                <w:rFonts w:ascii="宋体" w:hAnsi="宋体" w:cs="宋体"/>
                <w:szCs w:val="21"/>
              </w:rPr>
            </w:pPr>
            <w:r>
              <w:rPr>
                <w:rFonts w:hint="eastAsia" w:ascii="宋体" w:hAnsi="宋体" w:cs="宋体"/>
                <w:szCs w:val="21"/>
              </w:rPr>
              <w:t>方案</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7CDF630">
            <w:pPr>
              <w:spacing w:line="440" w:lineRule="exact"/>
              <w:rPr>
                <w:rFonts w:ascii="宋体" w:hAnsi="宋体" w:cs="宋体"/>
                <w:szCs w:val="21"/>
              </w:rPr>
            </w:pPr>
            <w:r>
              <w:rPr>
                <w:rFonts w:hint="eastAsia" w:ascii="宋体" w:hAnsi="宋体" w:cs="宋体"/>
                <w:szCs w:val="21"/>
              </w:rPr>
              <w:t>根据</w:t>
            </w:r>
            <w:r>
              <w:rPr>
                <w:rFonts w:hint="eastAsia" w:ascii="宋体" w:hAnsi="宋体" w:cs="宋体"/>
                <w:szCs w:val="21"/>
                <w:lang w:val="en-US" w:eastAsia="zh-CN"/>
              </w:rPr>
              <w:t>清理</w:t>
            </w:r>
            <w:r>
              <w:rPr>
                <w:rFonts w:hint="eastAsia" w:ascii="宋体" w:hAnsi="宋体" w:cs="宋体"/>
                <w:szCs w:val="21"/>
              </w:rPr>
              <w:t>方案技术措施的可行性、可操作性以及进场开工组织方案、施工路线安排、时间安排方案等情况进行打分，0-</w:t>
            </w:r>
            <w:r>
              <w:rPr>
                <w:rFonts w:hint="eastAsia" w:ascii="宋体" w:hAnsi="宋体" w:cs="宋体"/>
                <w:szCs w:val="21"/>
                <w:lang w:val="en-US" w:eastAsia="zh-CN"/>
              </w:rPr>
              <w:t>3</w:t>
            </w:r>
            <w:r>
              <w:rPr>
                <w:rFonts w:hint="eastAsia" w:ascii="宋体" w:hAnsi="宋体" w:cs="宋体"/>
                <w:szCs w:val="21"/>
              </w:rPr>
              <w:t>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3FB3A78">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61A0E77">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6C2F0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A9E83">
            <w:pPr>
              <w:spacing w:line="440" w:lineRule="exact"/>
              <w:jc w:val="center"/>
              <w:rPr>
                <w:rFonts w:hint="eastAsia" w:ascii="宋体" w:hAnsi="宋体" w:cs="宋体"/>
                <w:szCs w:val="21"/>
              </w:rPr>
            </w:pPr>
            <w:r>
              <w:rPr>
                <w:rFonts w:hint="eastAsia" w:ascii="宋体" w:hAnsi="宋体" w:cs="宋体"/>
                <w:szCs w:val="21"/>
              </w:rPr>
              <w:t>4</w:t>
            </w:r>
          </w:p>
        </w:tc>
        <w:tc>
          <w:tcPr>
            <w:tcW w:w="991" w:type="dxa"/>
            <w:vMerge w:val="continue"/>
            <w:tcBorders>
              <w:left w:val="single" w:color="000000" w:sz="8" w:space="0"/>
              <w:bottom w:val="single" w:color="000000" w:sz="8" w:space="0"/>
              <w:right w:val="single" w:color="000000" w:sz="8" w:space="0"/>
            </w:tcBorders>
            <w:shd w:val="clear" w:color="auto" w:fill="FFFFFF"/>
            <w:noWrap w:val="0"/>
            <w:vAlign w:val="center"/>
          </w:tcPr>
          <w:p w14:paraId="0F7FB1BC">
            <w:pPr>
              <w:spacing w:line="440" w:lineRule="exact"/>
              <w:jc w:val="center"/>
              <w:rPr>
                <w:rFonts w:hint="eastAsia" w:ascii="宋体" w:hAnsi="宋体" w:cs="宋体"/>
                <w:szCs w:val="21"/>
              </w:rPr>
            </w:pP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940E91B">
            <w:pPr>
              <w:spacing w:line="440" w:lineRule="exact"/>
              <w:rPr>
                <w:rFonts w:hint="eastAsia" w:ascii="宋体" w:hAnsi="宋体" w:cs="宋体"/>
                <w:szCs w:val="21"/>
              </w:rPr>
            </w:pPr>
            <w:r>
              <w:rPr>
                <w:rFonts w:hint="eastAsia" w:ascii="宋体" w:hAnsi="宋体" w:cs="宋体"/>
                <w:szCs w:val="21"/>
              </w:rPr>
              <w:t>投标人对集中清理时段任务要求制定针对性方案，根据方案技术手段措施的先进情况（0-2分），集中清理时段砍伐方案的详细程度及概括程度（0-2分），对集中清理时段数量的把控程度（0-1分）进行打分。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ED36AD8">
            <w:pPr>
              <w:spacing w:line="440" w:lineRule="exact"/>
              <w:jc w:val="center"/>
              <w:rPr>
                <w:rFonts w:ascii="宋体" w:hAnsi="宋体" w:cs="宋体"/>
                <w:szCs w:val="21"/>
              </w:rPr>
            </w:pPr>
            <w:r>
              <w:rPr>
                <w:rFonts w:hint="eastAsia" w:ascii="宋体" w:hAnsi="宋体" w:cs="宋体"/>
                <w:szCs w:val="21"/>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2762AD3">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40F5B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758" w:type="dxa"/>
            <w:tcBorders>
              <w:top w:val="single" w:color="auto" w:sz="4" w:space="0"/>
              <w:left w:val="single" w:color="auto" w:sz="4" w:space="0"/>
              <w:right w:val="single" w:color="auto" w:sz="4" w:space="0"/>
            </w:tcBorders>
            <w:shd w:val="clear" w:color="auto" w:fill="auto"/>
            <w:noWrap w:val="0"/>
            <w:vAlign w:val="center"/>
          </w:tcPr>
          <w:p w14:paraId="7A33E270">
            <w:pPr>
              <w:spacing w:line="440" w:lineRule="exact"/>
              <w:jc w:val="center"/>
              <w:rPr>
                <w:rFonts w:ascii="宋体" w:hAnsi="宋体" w:cs="宋体"/>
                <w:szCs w:val="21"/>
              </w:rPr>
            </w:pPr>
            <w:r>
              <w:rPr>
                <w:rFonts w:hint="eastAsia" w:ascii="宋体" w:hAnsi="宋体" w:cs="宋体"/>
                <w:szCs w:val="21"/>
              </w:rPr>
              <w:t>5</w:t>
            </w:r>
          </w:p>
        </w:tc>
        <w:tc>
          <w:tcPr>
            <w:tcW w:w="991" w:type="dxa"/>
            <w:tcBorders>
              <w:top w:val="single" w:color="000000" w:sz="8" w:space="0"/>
              <w:left w:val="single" w:color="000000" w:sz="8" w:space="0"/>
              <w:right w:val="single" w:color="000000" w:sz="8" w:space="0"/>
            </w:tcBorders>
            <w:shd w:val="clear" w:color="auto" w:fill="FFFFFF"/>
            <w:noWrap w:val="0"/>
            <w:vAlign w:val="center"/>
          </w:tcPr>
          <w:p w14:paraId="71B86C00">
            <w:pPr>
              <w:spacing w:line="440" w:lineRule="exact"/>
              <w:jc w:val="center"/>
              <w:rPr>
                <w:rFonts w:ascii="宋体" w:hAnsi="宋体" w:cs="宋体"/>
                <w:szCs w:val="21"/>
              </w:rPr>
            </w:pPr>
            <w:r>
              <w:rPr>
                <w:rFonts w:hint="eastAsia" w:ascii="宋体" w:hAnsi="宋体" w:cs="宋体"/>
                <w:szCs w:val="21"/>
              </w:rPr>
              <w:t>安全保障措施</w:t>
            </w:r>
          </w:p>
        </w:tc>
        <w:tc>
          <w:tcPr>
            <w:tcW w:w="6194" w:type="dxa"/>
            <w:tcBorders>
              <w:top w:val="single" w:color="auto" w:sz="4" w:space="0"/>
              <w:left w:val="single" w:color="auto" w:sz="4" w:space="0"/>
              <w:right w:val="single" w:color="auto" w:sz="4" w:space="0"/>
            </w:tcBorders>
            <w:noWrap w:val="0"/>
            <w:vAlign w:val="center"/>
          </w:tcPr>
          <w:p w14:paraId="166CA56E">
            <w:pPr>
              <w:spacing w:line="440" w:lineRule="exact"/>
              <w:rPr>
                <w:rFonts w:ascii="宋体" w:hAnsi="宋体" w:cs="宋体"/>
                <w:szCs w:val="21"/>
              </w:rPr>
            </w:pPr>
            <w:r>
              <w:rPr>
                <w:rFonts w:hint="eastAsia" w:ascii="宋体" w:hAnsi="宋体" w:cs="宋体"/>
                <w:szCs w:val="21"/>
              </w:rPr>
              <w:t>对项目实施过程中的</w:t>
            </w:r>
            <w:r>
              <w:rPr>
                <w:rFonts w:ascii="宋体" w:hAnsi="宋体" w:cs="宋体"/>
                <w:szCs w:val="21"/>
              </w:rPr>
              <w:t>安全文明生产保证措施：安全文明生产措施编制合理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ascii="宋体" w:hAnsi="宋体" w:cs="宋体"/>
                <w:szCs w:val="21"/>
              </w:rPr>
              <w:t>，危险源及环境因素识别全面</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ascii="宋体" w:hAnsi="宋体" w:cs="宋体"/>
                <w:szCs w:val="21"/>
              </w:rPr>
              <w:t>，对工作过程中可能发生的各种安全问题有深刻的认识和合理的预见</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分）</w:t>
            </w:r>
            <w:r>
              <w:rPr>
                <w:rFonts w:ascii="宋体" w:hAnsi="宋体" w:cs="宋体"/>
                <w:szCs w:val="21"/>
              </w:rPr>
              <w:t>，并有科学、充分的措施的</w:t>
            </w:r>
            <w:r>
              <w:rPr>
                <w:rFonts w:hint="eastAsia" w:ascii="宋体" w:hAnsi="宋体" w:cs="宋体"/>
                <w:szCs w:val="21"/>
              </w:rPr>
              <w:t>进行</w:t>
            </w:r>
            <w:r>
              <w:rPr>
                <w:rFonts w:ascii="宋体" w:hAnsi="宋体" w:cs="宋体"/>
                <w:szCs w:val="21"/>
              </w:rPr>
              <w:t>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EA840D1">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40D72D0">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31999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ADE61">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6C7584">
            <w:pPr>
              <w:spacing w:line="440" w:lineRule="exact"/>
              <w:jc w:val="center"/>
              <w:rPr>
                <w:rFonts w:ascii="宋体" w:hAnsi="宋体" w:cs="宋体"/>
                <w:szCs w:val="21"/>
              </w:rPr>
            </w:pPr>
            <w:r>
              <w:rPr>
                <w:rFonts w:hint="eastAsia" w:ascii="宋体" w:hAnsi="宋体" w:cs="宋体"/>
                <w:szCs w:val="21"/>
              </w:rPr>
              <w:t>管理组织机构</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D62DA18">
            <w:pPr>
              <w:spacing w:line="440" w:lineRule="exact"/>
              <w:rPr>
                <w:rFonts w:ascii="宋体" w:hAnsi="宋体" w:cs="宋体"/>
                <w:szCs w:val="21"/>
              </w:rPr>
            </w:pPr>
            <w:r>
              <w:rPr>
                <w:rFonts w:hint="eastAsia" w:ascii="宋体" w:hAnsi="宋体" w:cs="宋体"/>
                <w:szCs w:val="21"/>
              </w:rPr>
              <w:t>根据投标人提供的项目组织管理机构框架清晰全面程度（0-</w:t>
            </w:r>
            <w:r>
              <w:rPr>
                <w:rFonts w:hint="eastAsia" w:ascii="宋体" w:hAnsi="宋体" w:cs="宋体"/>
                <w:szCs w:val="21"/>
                <w:lang w:val="en-US" w:eastAsia="zh-CN"/>
              </w:rPr>
              <w:t>2</w:t>
            </w:r>
            <w:r>
              <w:rPr>
                <w:rFonts w:hint="eastAsia" w:ascii="宋体" w:hAnsi="宋体" w:cs="宋体"/>
                <w:szCs w:val="21"/>
              </w:rPr>
              <w:t>分），职责分工规划（0-</w:t>
            </w:r>
            <w:r>
              <w:rPr>
                <w:rFonts w:hint="eastAsia" w:ascii="宋体" w:hAnsi="宋体" w:cs="宋体"/>
                <w:szCs w:val="21"/>
                <w:lang w:val="en-US" w:eastAsia="zh-CN"/>
              </w:rPr>
              <w:t>2</w:t>
            </w:r>
            <w:r>
              <w:rPr>
                <w:rFonts w:hint="eastAsia" w:ascii="宋体" w:hAnsi="宋体" w:cs="宋体"/>
                <w:szCs w:val="21"/>
              </w:rPr>
              <w:t>分），监管措施合理（0-</w:t>
            </w:r>
            <w:r>
              <w:rPr>
                <w:rFonts w:hint="eastAsia" w:ascii="宋体" w:hAnsi="宋体" w:cs="宋体"/>
                <w:szCs w:val="21"/>
                <w:lang w:val="en-US" w:eastAsia="zh-CN"/>
              </w:rPr>
              <w:t>2</w:t>
            </w:r>
            <w:r>
              <w:rPr>
                <w:rFonts w:hint="eastAsia" w:ascii="宋体" w:hAnsi="宋体" w:cs="宋体"/>
                <w:szCs w:val="21"/>
              </w:rPr>
              <w:t>分）情况的进行打分。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A04520F">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5875FD5">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4AA5F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46DAB">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C842FB">
            <w:pPr>
              <w:spacing w:line="440" w:lineRule="exact"/>
              <w:jc w:val="center"/>
              <w:rPr>
                <w:rFonts w:hint="eastAsia" w:ascii="宋体" w:hAnsi="宋体" w:cs="宋体"/>
                <w:szCs w:val="21"/>
              </w:rPr>
            </w:pPr>
            <w:r>
              <w:rPr>
                <w:rFonts w:hint="eastAsia" w:ascii="宋体" w:hAnsi="宋体" w:cs="宋体"/>
                <w:szCs w:val="21"/>
              </w:rPr>
              <w:t xml:space="preserve">总体 </w:t>
            </w:r>
          </w:p>
          <w:p w14:paraId="0909362D">
            <w:pPr>
              <w:spacing w:line="440" w:lineRule="exact"/>
              <w:jc w:val="center"/>
              <w:rPr>
                <w:rFonts w:ascii="宋体" w:hAnsi="宋体" w:cs="宋体"/>
                <w:szCs w:val="21"/>
              </w:rPr>
            </w:pPr>
            <w:r>
              <w:rPr>
                <w:rFonts w:hint="eastAsia" w:ascii="宋体" w:hAnsi="宋体" w:cs="宋体"/>
                <w:szCs w:val="21"/>
              </w:rPr>
              <w:t>方案</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C27AE7B">
            <w:pPr>
              <w:spacing w:line="440" w:lineRule="exact"/>
              <w:rPr>
                <w:rFonts w:ascii="宋体" w:hAnsi="宋体" w:cs="宋体"/>
                <w:szCs w:val="21"/>
              </w:rPr>
            </w:pPr>
            <w:r>
              <w:rPr>
                <w:rFonts w:hint="eastAsia" w:ascii="宋体" w:hAnsi="宋体" w:cs="宋体"/>
                <w:szCs w:val="21"/>
              </w:rPr>
              <w:t>根据投标人总体服务方案（包括但不限于组织实施方案的科学性、合理性、规范性和可操作性程度等）进行打分。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F476926">
            <w:pPr>
              <w:spacing w:line="440" w:lineRule="exact"/>
              <w:jc w:val="center"/>
              <w:rPr>
                <w:rFonts w:ascii="宋体" w:hAnsi="宋体" w:cs="宋体"/>
                <w:szCs w:val="21"/>
              </w:rPr>
            </w:pPr>
            <w:r>
              <w:rPr>
                <w:rFonts w:hint="eastAsia" w:ascii="宋体" w:hAnsi="宋体" w:cs="宋体"/>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83EF350">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0179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29DC0F">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55394EF5">
            <w:pPr>
              <w:spacing w:line="440" w:lineRule="exact"/>
              <w:jc w:val="center"/>
              <w:rPr>
                <w:rFonts w:ascii="宋体" w:hAnsi="宋体" w:cs="宋体"/>
                <w:szCs w:val="21"/>
              </w:rPr>
            </w:pPr>
            <w:r>
              <w:rPr>
                <w:rFonts w:hint="eastAsia" w:ascii="宋体" w:hAnsi="宋体" w:cs="宋体"/>
                <w:szCs w:val="21"/>
              </w:rPr>
              <w:t>工期保障措施</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1F17B36C">
            <w:pPr>
              <w:spacing w:line="440" w:lineRule="exact"/>
              <w:rPr>
                <w:rFonts w:hint="eastAsia" w:ascii="宋体" w:hAnsi="宋体" w:cs="宋体"/>
                <w:szCs w:val="21"/>
              </w:rPr>
            </w:pPr>
            <w:r>
              <w:rPr>
                <w:rFonts w:hint="eastAsia" w:ascii="宋体" w:hAnsi="宋体" w:cs="宋体"/>
                <w:szCs w:val="21"/>
              </w:rPr>
              <w:t>根据投标人工作量及进度安排实施方案（包括但不限于各阶段工作量及计划安排内容是否充实、进度是否合理、科学，前期勘探、调查的人员等安排是否合理等）进行打分。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5BD378">
            <w:pPr>
              <w:spacing w:line="440" w:lineRule="exact"/>
              <w:jc w:val="center"/>
              <w:rPr>
                <w:rFonts w:hint="eastAsia" w:ascii="宋体" w:hAnsi="宋体" w:cs="宋体"/>
                <w:szCs w:val="21"/>
              </w:rPr>
            </w:pPr>
            <w:r>
              <w:rPr>
                <w:rFonts w:hint="eastAsia" w:ascii="宋体" w:hAnsi="宋体" w:cs="宋体"/>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BF10EB6">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31DB1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30080662">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C6B7749">
            <w:pPr>
              <w:spacing w:line="440" w:lineRule="exact"/>
              <w:jc w:val="center"/>
              <w:rPr>
                <w:rFonts w:hint="eastAsia" w:ascii="宋体" w:hAnsi="宋体" w:cs="宋体"/>
                <w:szCs w:val="21"/>
              </w:rPr>
            </w:pPr>
            <w:r>
              <w:rPr>
                <w:rFonts w:hint="eastAsia" w:ascii="宋体" w:hAnsi="宋体" w:cs="宋体"/>
                <w:szCs w:val="21"/>
              </w:rPr>
              <w:t xml:space="preserve">质量 </w:t>
            </w:r>
          </w:p>
          <w:p w14:paraId="4EF1B38F">
            <w:pPr>
              <w:spacing w:line="440" w:lineRule="exact"/>
              <w:jc w:val="center"/>
              <w:rPr>
                <w:rFonts w:hint="eastAsia" w:ascii="宋体" w:hAnsi="宋体" w:cs="宋体"/>
                <w:szCs w:val="21"/>
              </w:rPr>
            </w:pPr>
            <w:r>
              <w:rPr>
                <w:rFonts w:hint="eastAsia" w:ascii="宋体" w:hAnsi="宋体" w:cs="宋体"/>
                <w:szCs w:val="21"/>
              </w:rPr>
              <w:t>保障</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86DDA0B">
            <w:pPr>
              <w:spacing w:line="440" w:lineRule="exact"/>
              <w:rPr>
                <w:rFonts w:hint="eastAsia" w:ascii="宋体" w:hAnsi="宋体" w:cs="宋体"/>
                <w:szCs w:val="21"/>
              </w:rPr>
            </w:pPr>
            <w:r>
              <w:rPr>
                <w:rFonts w:hint="eastAsia" w:ascii="宋体" w:hAnsi="宋体" w:cs="宋体"/>
                <w:szCs w:val="21"/>
              </w:rPr>
              <w:t>有明确的质量目标，质量保证措施，并具有详细可行的实施内容；质量监督管理机构是否健全、制度是否完善、服务质量能否符合采购人规定；质量保证措施是否符合项目实际，切实可行等</w:t>
            </w:r>
            <w:r>
              <w:rPr>
                <w:rFonts w:hint="eastAsia" w:ascii="宋体" w:hAnsi="宋体" w:cs="宋体"/>
                <w:kern w:val="0"/>
                <w:szCs w:val="21"/>
              </w:rPr>
              <w:t>情况进行打分</w:t>
            </w:r>
            <w:r>
              <w:rPr>
                <w:rFonts w:hint="eastAsia" w:ascii="宋体" w:hAnsi="宋体" w:cs="宋体"/>
                <w:szCs w:val="21"/>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93394C">
            <w:pPr>
              <w:spacing w:line="440" w:lineRule="exact"/>
              <w:jc w:val="center"/>
              <w:rPr>
                <w:rFonts w:hint="eastAsia" w:ascii="宋体" w:hAnsi="宋体" w:cs="宋体"/>
                <w:szCs w:val="21"/>
              </w:rPr>
            </w:pPr>
            <w:r>
              <w:rPr>
                <w:rFonts w:hint="eastAsia" w:ascii="宋体" w:hAnsi="宋体" w:cs="宋体"/>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A090115">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32B58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7A42FA">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p>
        </w:tc>
        <w:tc>
          <w:tcPr>
            <w:tcW w:w="991" w:type="dxa"/>
            <w:vMerge w:val="restart"/>
            <w:tcBorders>
              <w:top w:val="single" w:color="auto" w:sz="4" w:space="0"/>
              <w:left w:val="single" w:color="auto" w:sz="4" w:space="0"/>
              <w:right w:val="single" w:color="auto" w:sz="4" w:space="0"/>
            </w:tcBorders>
            <w:noWrap w:val="0"/>
            <w:vAlign w:val="center"/>
          </w:tcPr>
          <w:p w14:paraId="751F2E42">
            <w:pPr>
              <w:spacing w:line="440" w:lineRule="exact"/>
              <w:jc w:val="center"/>
              <w:rPr>
                <w:rFonts w:hint="eastAsia" w:ascii="宋体" w:hAnsi="宋体" w:cs="宋体"/>
                <w:szCs w:val="21"/>
              </w:rPr>
            </w:pPr>
            <w:r>
              <w:rPr>
                <w:rFonts w:hint="eastAsia" w:ascii="宋体" w:hAnsi="宋体" w:cs="宋体"/>
                <w:szCs w:val="21"/>
              </w:rPr>
              <w:t>拟投入人员</w:t>
            </w:r>
          </w:p>
        </w:tc>
        <w:tc>
          <w:tcPr>
            <w:tcW w:w="6194" w:type="dxa"/>
            <w:tcBorders>
              <w:top w:val="single" w:color="auto" w:sz="4" w:space="0"/>
              <w:left w:val="single" w:color="auto" w:sz="4" w:space="0"/>
              <w:right w:val="single" w:color="auto" w:sz="4" w:space="0"/>
            </w:tcBorders>
            <w:noWrap w:val="0"/>
            <w:vAlign w:val="center"/>
          </w:tcPr>
          <w:p w14:paraId="419FE3AF">
            <w:pPr>
              <w:rPr>
                <w:rFonts w:ascii="宋体" w:hAnsi="宋体" w:eastAsia="宋体" w:cs="宋体"/>
              </w:rPr>
            </w:pPr>
            <w:r>
              <w:rPr>
                <w:rFonts w:hint="eastAsia" w:ascii="宋体" w:hAnsi="宋体" w:eastAsia="宋体" w:cs="宋体"/>
              </w:rPr>
              <w:t>公司有固定采伐工10人及以上得5分，每少1人扣0.5分，扣完为止。</w:t>
            </w:r>
          </w:p>
          <w:p w14:paraId="3CD05CA8">
            <w:pPr>
              <w:spacing w:line="440" w:lineRule="exact"/>
              <w:rPr>
                <w:rFonts w:hint="eastAsia" w:ascii="宋体" w:hAnsi="宋体" w:cs="宋体"/>
                <w:szCs w:val="21"/>
              </w:rPr>
            </w:pPr>
            <w:r>
              <w:rPr>
                <w:rFonts w:hint="eastAsia" w:ascii="宋体" w:hAnsi="宋体" w:eastAsia="宋体" w:cs="宋体"/>
              </w:rPr>
              <w:t>（须提供雇用采伐工人员名单清册，身份证加盖公章）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5AF10F5">
            <w:pPr>
              <w:pStyle w:val="47"/>
              <w:spacing w:before="0" w:beforeAutospacing="0" w:after="0" w:afterAutospacing="0" w:line="440" w:lineRule="exact"/>
              <w:jc w:val="center"/>
              <w:rPr>
                <w:rFonts w:hint="default" w:eastAsia="宋体" w:cs="宋体"/>
                <w:color w:val="auto"/>
                <w:kern w:val="2"/>
                <w:sz w:val="21"/>
                <w:szCs w:val="21"/>
                <w:lang w:val="en-US" w:eastAsia="zh-CN"/>
              </w:rPr>
            </w:pPr>
            <w:r>
              <w:rPr>
                <w:rFonts w:hint="eastAsia" w:cs="宋体"/>
                <w:color w:val="auto"/>
                <w:kern w:val="2"/>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EFF9343">
            <w:pPr>
              <w:pStyle w:val="47"/>
              <w:spacing w:before="0" w:beforeAutospacing="0" w:after="0" w:afterAutospacing="0" w:line="440" w:lineRule="exact"/>
              <w:jc w:val="center"/>
              <w:rPr>
                <w:rFonts w:hint="eastAsia" w:cs="宋体"/>
                <w:color w:val="auto"/>
                <w:kern w:val="2"/>
                <w:sz w:val="21"/>
                <w:szCs w:val="21"/>
                <w:lang w:val="en-US" w:eastAsia="zh-CN"/>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r w14:paraId="39184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7181C5">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p>
        </w:tc>
        <w:tc>
          <w:tcPr>
            <w:tcW w:w="991" w:type="dxa"/>
            <w:vMerge w:val="continue"/>
            <w:tcBorders>
              <w:left w:val="single" w:color="auto" w:sz="4" w:space="0"/>
              <w:right w:val="single" w:color="auto" w:sz="4" w:space="0"/>
            </w:tcBorders>
            <w:noWrap w:val="0"/>
            <w:vAlign w:val="center"/>
          </w:tcPr>
          <w:p w14:paraId="364CC83C">
            <w:pPr>
              <w:spacing w:line="440" w:lineRule="exact"/>
              <w:jc w:val="center"/>
              <w:rPr>
                <w:rFonts w:hint="eastAsia" w:ascii="宋体" w:hAnsi="宋体" w:cs="宋体"/>
                <w:szCs w:val="21"/>
              </w:rPr>
            </w:pPr>
          </w:p>
        </w:tc>
        <w:tc>
          <w:tcPr>
            <w:tcW w:w="6194" w:type="dxa"/>
            <w:tcBorders>
              <w:top w:val="single" w:color="auto" w:sz="4" w:space="0"/>
              <w:left w:val="single" w:color="auto" w:sz="4" w:space="0"/>
              <w:right w:val="single" w:color="auto" w:sz="4" w:space="0"/>
            </w:tcBorders>
            <w:noWrap w:val="0"/>
            <w:vAlign w:val="center"/>
          </w:tcPr>
          <w:p w14:paraId="2A97FEEE">
            <w:pPr>
              <w:spacing w:line="440" w:lineRule="exact"/>
              <w:rPr>
                <w:rFonts w:hint="eastAsia" w:ascii="宋体" w:hAnsi="宋体" w:cs="宋体"/>
                <w:szCs w:val="21"/>
              </w:rPr>
            </w:pPr>
            <w:r>
              <w:rPr>
                <w:rFonts w:hint="eastAsia" w:ascii="宋体" w:hAnsi="宋体" w:eastAsia="宋体" w:cs="宋体"/>
              </w:rPr>
              <w:t>年龄结构18周岁—60周岁男劳力的，身体健康无疾病且从事伐木施工人员优先，（附雇用采伐工人员名单清册、人员身份证清单）进行打分（0-5分）。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6AEB0D3">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FB613FF">
            <w:pPr>
              <w:spacing w:line="440" w:lineRule="exact"/>
              <w:jc w:val="center"/>
              <w:rPr>
                <w:rFonts w:hint="eastAsia" w:ascii="宋体" w:hAnsi="宋体" w:cs="宋体"/>
                <w:szCs w:val="21"/>
                <w:lang w:val="en-US" w:eastAsia="zh-CN"/>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r w14:paraId="5B0E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jc w:val="center"/>
        </w:trPr>
        <w:tc>
          <w:tcPr>
            <w:tcW w:w="758" w:type="dxa"/>
            <w:tcBorders>
              <w:top w:val="single" w:color="auto" w:sz="4" w:space="0"/>
              <w:left w:val="single" w:color="auto" w:sz="4" w:space="0"/>
              <w:right w:val="single" w:color="auto" w:sz="4" w:space="0"/>
            </w:tcBorders>
            <w:noWrap w:val="0"/>
            <w:vAlign w:val="center"/>
          </w:tcPr>
          <w:p w14:paraId="0500C87D">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991" w:type="dxa"/>
            <w:tcBorders>
              <w:top w:val="single" w:color="auto" w:sz="4" w:space="0"/>
              <w:left w:val="single" w:color="auto" w:sz="4" w:space="0"/>
              <w:right w:val="single" w:color="auto" w:sz="4" w:space="0"/>
            </w:tcBorders>
            <w:noWrap w:val="0"/>
            <w:vAlign w:val="center"/>
          </w:tcPr>
          <w:p w14:paraId="21D9807B">
            <w:pPr>
              <w:spacing w:line="440" w:lineRule="exact"/>
              <w:rPr>
                <w:rFonts w:ascii="宋体" w:hAnsi="宋体" w:cs="宋体"/>
                <w:szCs w:val="21"/>
              </w:rPr>
            </w:pPr>
            <w:r>
              <w:rPr>
                <w:rFonts w:hint="eastAsia" w:ascii="新宋体" w:hAnsi="新宋体" w:eastAsia="新宋体" w:cs="新宋体"/>
                <w:szCs w:val="21"/>
              </w:rPr>
              <w:t>投标人综合情况</w:t>
            </w:r>
          </w:p>
        </w:tc>
        <w:tc>
          <w:tcPr>
            <w:tcW w:w="6194" w:type="dxa"/>
            <w:tcBorders>
              <w:top w:val="single" w:color="auto" w:sz="4" w:space="0"/>
              <w:left w:val="single" w:color="auto" w:sz="4" w:space="0"/>
              <w:right w:val="single" w:color="auto" w:sz="4" w:space="0"/>
            </w:tcBorders>
            <w:noWrap w:val="0"/>
            <w:vAlign w:val="center"/>
          </w:tcPr>
          <w:p w14:paraId="381CD0BC">
            <w:pPr>
              <w:widowControl/>
              <w:snapToGrid w:val="0"/>
              <w:spacing w:line="360" w:lineRule="exact"/>
              <w:jc w:val="left"/>
              <w:textAlignment w:val="baseline"/>
              <w:rPr>
                <w:rFonts w:ascii="宋体" w:hAnsi="宋体" w:cs="宋体"/>
                <w:kern w:val="0"/>
                <w:szCs w:val="21"/>
              </w:rPr>
            </w:pPr>
            <w:r>
              <w:rPr>
                <w:rFonts w:hint="eastAsia" w:ascii="新宋体" w:hAnsi="新宋体" w:eastAsia="新宋体" w:cs="新宋体"/>
                <w:szCs w:val="21"/>
              </w:rPr>
              <w:t>根据投标人提供的①整体经营状况、②技术力量、③服务团队等方面进行综合评分。0-</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tc>
        <w:tc>
          <w:tcPr>
            <w:tcW w:w="855" w:type="dxa"/>
            <w:tcBorders>
              <w:top w:val="single" w:color="auto" w:sz="4" w:space="0"/>
              <w:left w:val="single" w:color="auto" w:sz="4" w:space="0"/>
              <w:right w:val="single" w:color="auto" w:sz="4" w:space="0"/>
            </w:tcBorders>
            <w:noWrap w:val="0"/>
            <w:vAlign w:val="center"/>
          </w:tcPr>
          <w:p w14:paraId="1EB10CD3">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215" w:type="dxa"/>
            <w:tcBorders>
              <w:top w:val="single" w:color="auto" w:sz="4" w:space="0"/>
              <w:left w:val="single" w:color="auto" w:sz="4" w:space="0"/>
              <w:right w:val="single" w:color="auto" w:sz="4" w:space="0"/>
            </w:tcBorders>
            <w:noWrap w:val="0"/>
            <w:vAlign w:val="center"/>
          </w:tcPr>
          <w:p w14:paraId="24B85DA4">
            <w:pPr>
              <w:spacing w:line="440" w:lineRule="exact"/>
              <w:ind w:firstLine="210" w:firstLineChars="100"/>
              <w:jc w:val="both"/>
              <w:rPr>
                <w:rFonts w:hint="eastAsia" w:ascii="宋体" w:hAnsi="宋体" w:cs="宋体"/>
                <w:szCs w:val="21"/>
                <w:lang w:val="en-US" w:eastAsia="zh-CN"/>
              </w:rPr>
            </w:pPr>
            <w:r>
              <w:rPr>
                <w:rFonts w:hint="eastAsia" w:cs="宋体"/>
                <w:kern w:val="0"/>
                <w:lang w:val="en-US" w:bidi="zh-CN"/>
              </w:rPr>
              <w:t>主</w:t>
            </w:r>
            <w:r>
              <w:rPr>
                <w:rFonts w:hint="eastAsia" w:ascii="宋体" w:hAnsi="宋体" w:eastAsia="宋体" w:cs="宋体"/>
                <w:kern w:val="0"/>
                <w:lang w:bidi="zh-CN"/>
              </w:rPr>
              <w:t>观分</w:t>
            </w:r>
          </w:p>
        </w:tc>
      </w:tr>
      <w:tr w14:paraId="78596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vMerge w:val="restart"/>
            <w:tcBorders>
              <w:top w:val="single" w:color="auto" w:sz="4" w:space="0"/>
              <w:left w:val="single" w:color="auto" w:sz="4" w:space="0"/>
              <w:right w:val="single" w:color="auto" w:sz="4" w:space="0"/>
            </w:tcBorders>
            <w:noWrap w:val="0"/>
            <w:vAlign w:val="center"/>
          </w:tcPr>
          <w:p w14:paraId="37A4DE31">
            <w:pPr>
              <w:spacing w:line="440" w:lineRule="exact"/>
              <w:ind w:firstLine="210" w:firstLineChars="100"/>
              <w:jc w:val="both"/>
              <w:rPr>
                <w:rFonts w:hint="eastAsia" w:ascii="宋体" w:hAnsi="宋体" w:eastAsia="宋体" w:cs="宋体"/>
                <w:b/>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991" w:type="dxa"/>
            <w:vMerge w:val="restart"/>
            <w:tcBorders>
              <w:top w:val="single" w:color="auto" w:sz="4" w:space="0"/>
              <w:left w:val="single" w:color="auto" w:sz="4" w:space="0"/>
              <w:right w:val="single" w:color="auto" w:sz="4" w:space="0"/>
            </w:tcBorders>
            <w:noWrap w:val="0"/>
            <w:vAlign w:val="center"/>
          </w:tcPr>
          <w:p w14:paraId="2D4FC308">
            <w:pPr>
              <w:pStyle w:val="47"/>
              <w:adjustRightInd w:val="0"/>
              <w:spacing w:line="440" w:lineRule="exact"/>
              <w:jc w:val="center"/>
              <w:rPr>
                <w:rFonts w:hint="eastAsia" w:cs="宋体"/>
                <w:color w:val="auto"/>
                <w:sz w:val="21"/>
                <w:szCs w:val="21"/>
              </w:rPr>
            </w:pPr>
            <w:r>
              <w:rPr>
                <w:rFonts w:hint="eastAsia" w:cs="宋体"/>
                <w:color w:val="auto"/>
                <w:sz w:val="21"/>
                <w:szCs w:val="21"/>
              </w:rPr>
              <w:t xml:space="preserve">服务 </w:t>
            </w:r>
          </w:p>
          <w:p w14:paraId="11312AE1">
            <w:pPr>
              <w:pStyle w:val="47"/>
              <w:adjustRightInd w:val="0"/>
              <w:spacing w:line="440" w:lineRule="exact"/>
              <w:jc w:val="center"/>
              <w:rPr>
                <w:rFonts w:cs="宋体"/>
                <w:color w:val="auto"/>
                <w:sz w:val="21"/>
                <w:szCs w:val="21"/>
              </w:rPr>
            </w:pPr>
            <w:r>
              <w:rPr>
                <w:rFonts w:hint="eastAsia" w:cs="宋体"/>
                <w:color w:val="auto"/>
                <w:sz w:val="21"/>
                <w:szCs w:val="21"/>
              </w:rPr>
              <w:t>保障</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486859FF">
            <w:pPr>
              <w:spacing w:line="440" w:lineRule="exact"/>
              <w:rPr>
                <w:rFonts w:hint="eastAsia" w:ascii="宋体" w:hAnsi="宋体" w:cs="宋体"/>
                <w:kern w:val="0"/>
                <w:szCs w:val="21"/>
              </w:rPr>
            </w:pPr>
            <w:r>
              <w:rPr>
                <w:rFonts w:hint="eastAsia" w:ascii="宋体" w:hAnsi="宋体" w:cs="宋体"/>
                <w:kern w:val="0"/>
                <w:szCs w:val="21"/>
              </w:rPr>
              <w:t>根据投标人提供针对成交后工作的衔接（0-1分）、人员安排（0-1分）、与采购人各项工作相适应的服务运作流程（0-1分）的具体方案，进行打分。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0D22864">
            <w:pPr>
              <w:pStyle w:val="47"/>
              <w:adjustRightInd w:val="0"/>
              <w:spacing w:line="440" w:lineRule="exact"/>
              <w:jc w:val="center"/>
              <w:rPr>
                <w:rFonts w:cs="宋体"/>
                <w:color w:val="auto"/>
                <w:sz w:val="21"/>
                <w:szCs w:val="21"/>
              </w:rPr>
            </w:pPr>
            <w:r>
              <w:rPr>
                <w:rFonts w:hint="eastAsia" w:cs="宋体"/>
                <w:color w:val="auto"/>
                <w:sz w:val="21"/>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240E98F">
            <w:pPr>
              <w:pStyle w:val="47"/>
              <w:adjustRightInd w:val="0"/>
              <w:spacing w:line="440" w:lineRule="exact"/>
              <w:jc w:val="center"/>
              <w:rPr>
                <w:rFonts w:hint="eastAsia" w:cs="宋体"/>
                <w:color w:val="auto"/>
                <w:sz w:val="21"/>
                <w:szCs w:val="21"/>
              </w:rPr>
            </w:pPr>
            <w:r>
              <w:rPr>
                <w:rFonts w:hint="eastAsia" w:cs="宋体"/>
                <w:kern w:val="0"/>
                <w:lang w:val="en-US" w:bidi="zh-CN"/>
              </w:rPr>
              <w:t>主</w:t>
            </w:r>
            <w:r>
              <w:rPr>
                <w:rFonts w:hint="eastAsia" w:ascii="宋体" w:hAnsi="宋体" w:eastAsia="宋体" w:cs="宋体"/>
                <w:kern w:val="0"/>
                <w:lang w:bidi="zh-CN"/>
              </w:rPr>
              <w:t>观分</w:t>
            </w:r>
          </w:p>
        </w:tc>
      </w:tr>
      <w:tr w14:paraId="7731B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vMerge w:val="continue"/>
            <w:tcBorders>
              <w:left w:val="single" w:color="auto" w:sz="4" w:space="0"/>
              <w:right w:val="single" w:color="auto" w:sz="4" w:space="0"/>
            </w:tcBorders>
            <w:noWrap w:val="0"/>
            <w:vAlign w:val="center"/>
          </w:tcPr>
          <w:p w14:paraId="6D6556FB">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 xml:space="preserve"> </w:t>
            </w:r>
          </w:p>
        </w:tc>
        <w:tc>
          <w:tcPr>
            <w:tcW w:w="991" w:type="dxa"/>
            <w:vMerge w:val="continue"/>
            <w:tcBorders>
              <w:left w:val="single" w:color="auto" w:sz="4" w:space="0"/>
              <w:right w:val="single" w:color="auto" w:sz="4" w:space="0"/>
            </w:tcBorders>
            <w:noWrap w:val="0"/>
            <w:vAlign w:val="center"/>
          </w:tcPr>
          <w:p w14:paraId="7F56F7A8">
            <w:pPr>
              <w:pStyle w:val="47"/>
              <w:adjustRightInd w:val="0"/>
              <w:spacing w:line="440" w:lineRule="exact"/>
              <w:jc w:val="center"/>
              <w:rPr>
                <w:rFonts w:hint="eastAsia" w:cs="宋体"/>
                <w:color w:val="auto"/>
                <w:sz w:val="21"/>
                <w:szCs w:val="21"/>
              </w:rPr>
            </w:pPr>
          </w:p>
        </w:tc>
        <w:tc>
          <w:tcPr>
            <w:tcW w:w="6194" w:type="dxa"/>
            <w:vMerge w:val="restart"/>
            <w:tcBorders>
              <w:top w:val="single" w:color="auto" w:sz="4" w:space="0"/>
              <w:left w:val="single" w:color="auto" w:sz="4" w:space="0"/>
              <w:right w:val="single" w:color="auto" w:sz="4" w:space="0"/>
            </w:tcBorders>
            <w:noWrap w:val="0"/>
            <w:vAlign w:val="center"/>
          </w:tcPr>
          <w:p w14:paraId="122E61E1">
            <w:pPr>
              <w:spacing w:line="440" w:lineRule="exact"/>
              <w:rPr>
                <w:rFonts w:hint="eastAsia" w:ascii="宋体" w:hAnsi="宋体" w:cs="宋体"/>
                <w:szCs w:val="21"/>
              </w:rPr>
            </w:pPr>
            <w:r>
              <w:rPr>
                <w:rFonts w:hint="eastAsia" w:ascii="宋体" w:hAnsi="宋体" w:cs="宋体"/>
                <w:szCs w:val="21"/>
              </w:rPr>
              <w:t>根据投标人针对突发性事件的应急抢险方案（包括应急抢险专业队伍的组织、台风季节、雨雪天气预防、临时任务等），进行打分。</w:t>
            </w:r>
          </w:p>
        </w:tc>
        <w:tc>
          <w:tcPr>
            <w:tcW w:w="855" w:type="dxa"/>
            <w:vMerge w:val="restart"/>
            <w:tcBorders>
              <w:top w:val="single" w:color="auto" w:sz="4" w:space="0"/>
              <w:left w:val="single" w:color="auto" w:sz="4" w:space="0"/>
              <w:right w:val="single" w:color="auto" w:sz="4" w:space="0"/>
            </w:tcBorders>
            <w:noWrap w:val="0"/>
            <w:vAlign w:val="center"/>
          </w:tcPr>
          <w:p w14:paraId="6EA88BC0">
            <w:pPr>
              <w:pStyle w:val="47"/>
              <w:adjustRightInd w:val="0"/>
              <w:spacing w:line="440" w:lineRule="exact"/>
              <w:jc w:val="center"/>
              <w:rPr>
                <w:rFonts w:hint="eastAsia" w:eastAsia="宋体" w:cs="宋体"/>
                <w:color w:val="auto"/>
                <w:sz w:val="21"/>
                <w:szCs w:val="21"/>
                <w:lang w:val="en-US" w:eastAsia="zh-CN"/>
              </w:rPr>
            </w:pPr>
            <w:r>
              <w:rPr>
                <w:rFonts w:hint="eastAsia" w:cs="宋体"/>
                <w:color w:val="auto"/>
                <w:sz w:val="21"/>
                <w:szCs w:val="21"/>
                <w:lang w:val="en-US" w:eastAsia="zh-CN"/>
              </w:rPr>
              <w:t>3</w:t>
            </w:r>
          </w:p>
        </w:tc>
        <w:tc>
          <w:tcPr>
            <w:tcW w:w="1215" w:type="dxa"/>
            <w:tcBorders>
              <w:top w:val="single" w:color="auto" w:sz="4" w:space="0"/>
              <w:left w:val="single" w:color="auto" w:sz="4" w:space="0"/>
              <w:right w:val="single" w:color="auto" w:sz="4" w:space="0"/>
            </w:tcBorders>
            <w:noWrap w:val="0"/>
            <w:vAlign w:val="center"/>
          </w:tcPr>
          <w:p w14:paraId="03EE11EE">
            <w:pPr>
              <w:pStyle w:val="47"/>
              <w:adjustRightInd w:val="0"/>
              <w:spacing w:line="440" w:lineRule="exact"/>
              <w:jc w:val="center"/>
              <w:rPr>
                <w:rFonts w:hint="eastAsia" w:cs="宋体"/>
                <w:color w:val="auto"/>
                <w:sz w:val="21"/>
                <w:szCs w:val="21"/>
                <w:lang w:val="en-US" w:eastAsia="zh-CN"/>
              </w:rPr>
            </w:pPr>
          </w:p>
        </w:tc>
      </w:tr>
      <w:tr w14:paraId="3526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vMerge w:val="continue"/>
            <w:tcBorders>
              <w:left w:val="single" w:color="auto" w:sz="4" w:space="0"/>
              <w:bottom w:val="single" w:color="auto" w:sz="4" w:space="0"/>
              <w:right w:val="single" w:color="auto" w:sz="4" w:space="0"/>
            </w:tcBorders>
            <w:noWrap w:val="0"/>
            <w:vAlign w:val="center"/>
          </w:tcPr>
          <w:p w14:paraId="6CACE060">
            <w:pPr>
              <w:spacing w:line="440" w:lineRule="exact"/>
              <w:jc w:val="center"/>
              <w:rPr>
                <w:rFonts w:hint="eastAsia" w:ascii="宋体" w:hAnsi="宋体" w:eastAsia="宋体" w:cs="宋体"/>
                <w:b/>
                <w:szCs w:val="21"/>
                <w:lang w:val="en-US" w:eastAsia="zh-CN"/>
              </w:rPr>
            </w:pPr>
          </w:p>
        </w:tc>
        <w:tc>
          <w:tcPr>
            <w:tcW w:w="991" w:type="dxa"/>
            <w:vMerge w:val="continue"/>
            <w:tcBorders>
              <w:left w:val="single" w:color="auto" w:sz="4" w:space="0"/>
              <w:right w:val="single" w:color="auto" w:sz="4" w:space="0"/>
            </w:tcBorders>
            <w:noWrap w:val="0"/>
            <w:vAlign w:val="center"/>
          </w:tcPr>
          <w:p w14:paraId="01B085E3">
            <w:pPr>
              <w:pStyle w:val="47"/>
              <w:adjustRightInd w:val="0"/>
              <w:spacing w:line="440" w:lineRule="exact"/>
              <w:jc w:val="center"/>
              <w:rPr>
                <w:rFonts w:hint="eastAsia" w:cs="宋体"/>
                <w:color w:val="auto"/>
                <w:sz w:val="21"/>
                <w:szCs w:val="21"/>
              </w:rPr>
            </w:pPr>
          </w:p>
        </w:tc>
        <w:tc>
          <w:tcPr>
            <w:tcW w:w="6194" w:type="dxa"/>
            <w:vMerge w:val="continue"/>
            <w:tcBorders>
              <w:left w:val="single" w:color="auto" w:sz="4" w:space="0"/>
              <w:bottom w:val="single" w:color="auto" w:sz="4" w:space="0"/>
              <w:right w:val="single" w:color="auto" w:sz="4" w:space="0"/>
            </w:tcBorders>
            <w:noWrap w:val="0"/>
            <w:vAlign w:val="center"/>
          </w:tcPr>
          <w:p w14:paraId="4F4F85CD">
            <w:pPr>
              <w:spacing w:line="440" w:lineRule="exact"/>
              <w:rPr>
                <w:rFonts w:hint="eastAsia" w:ascii="宋体" w:hAnsi="宋体" w:cs="宋体"/>
                <w:szCs w:val="21"/>
              </w:rPr>
            </w:pPr>
          </w:p>
        </w:tc>
        <w:tc>
          <w:tcPr>
            <w:tcW w:w="855" w:type="dxa"/>
            <w:vMerge w:val="continue"/>
            <w:tcBorders>
              <w:left w:val="single" w:color="auto" w:sz="4" w:space="0"/>
              <w:bottom w:val="single" w:color="auto" w:sz="4" w:space="0"/>
              <w:right w:val="single" w:color="auto" w:sz="4" w:space="0"/>
            </w:tcBorders>
            <w:noWrap w:val="0"/>
            <w:vAlign w:val="center"/>
          </w:tcPr>
          <w:p w14:paraId="7FBA0327">
            <w:pPr>
              <w:pStyle w:val="47"/>
              <w:adjustRightInd w:val="0"/>
              <w:spacing w:line="440" w:lineRule="exact"/>
              <w:jc w:val="center"/>
              <w:rPr>
                <w:rFonts w:cs="宋体"/>
                <w:color w:val="auto"/>
                <w:sz w:val="21"/>
                <w:szCs w:val="21"/>
              </w:rPr>
            </w:pPr>
          </w:p>
        </w:tc>
        <w:tc>
          <w:tcPr>
            <w:tcW w:w="1215" w:type="dxa"/>
            <w:tcBorders>
              <w:left w:val="single" w:color="auto" w:sz="4" w:space="0"/>
              <w:bottom w:val="single" w:color="auto" w:sz="4" w:space="0"/>
              <w:right w:val="single" w:color="auto" w:sz="4" w:space="0"/>
            </w:tcBorders>
            <w:noWrap w:val="0"/>
            <w:vAlign w:val="center"/>
          </w:tcPr>
          <w:p w14:paraId="3689F7BF">
            <w:pPr>
              <w:pStyle w:val="47"/>
              <w:adjustRightInd w:val="0"/>
              <w:spacing w:line="440" w:lineRule="exact"/>
              <w:jc w:val="center"/>
              <w:rPr>
                <w:rFonts w:cs="宋体"/>
                <w:color w:val="auto"/>
                <w:sz w:val="21"/>
                <w:szCs w:val="21"/>
              </w:rPr>
            </w:pPr>
            <w:r>
              <w:rPr>
                <w:rFonts w:hint="eastAsia" w:cs="宋体"/>
                <w:kern w:val="0"/>
                <w:lang w:val="en-US" w:bidi="zh-CN"/>
              </w:rPr>
              <w:t>主</w:t>
            </w:r>
            <w:r>
              <w:rPr>
                <w:rFonts w:hint="eastAsia" w:ascii="宋体" w:hAnsi="宋体" w:eastAsia="宋体" w:cs="宋体"/>
                <w:kern w:val="0"/>
                <w:lang w:bidi="zh-CN"/>
              </w:rPr>
              <w:t>观分</w:t>
            </w:r>
          </w:p>
        </w:tc>
      </w:tr>
      <w:tr w14:paraId="5788D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888180">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4</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8D49B53">
            <w:pPr>
              <w:spacing w:line="440" w:lineRule="exact"/>
              <w:jc w:val="center"/>
              <w:rPr>
                <w:rFonts w:hint="eastAsia" w:ascii="宋体" w:hAnsi="宋体" w:cs="宋体"/>
                <w:szCs w:val="21"/>
              </w:rPr>
            </w:pPr>
            <w:r>
              <w:rPr>
                <w:rFonts w:hint="eastAsia" w:ascii="宋体" w:hAnsi="宋体" w:cs="宋体"/>
                <w:kern w:val="0"/>
                <w:szCs w:val="21"/>
              </w:rPr>
              <w:t>意外伤害险</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155EA939">
            <w:pPr>
              <w:jc w:val="left"/>
              <w:rPr>
                <w:rFonts w:ascii="宋体" w:hAnsi="宋体" w:eastAsia="宋体" w:cs="宋体"/>
              </w:rPr>
            </w:pPr>
            <w:r>
              <w:rPr>
                <w:rFonts w:hint="eastAsia" w:ascii="宋体" w:hAnsi="宋体" w:eastAsia="宋体" w:cs="宋体"/>
              </w:rPr>
              <w:t>投标人承诺为所有拟投入本项目的每位工人按本人身份证交纳足额意外伤害险得</w:t>
            </w:r>
            <w:r>
              <w:rPr>
                <w:rFonts w:hint="eastAsia" w:ascii="宋体" w:hAnsi="宋体" w:eastAsia="宋体" w:cs="宋体"/>
                <w:lang w:val="en-US" w:eastAsia="zh-CN"/>
              </w:rPr>
              <w:t>6</w:t>
            </w:r>
            <w:r>
              <w:rPr>
                <w:rFonts w:hint="eastAsia" w:ascii="宋体" w:hAnsi="宋体" w:eastAsia="宋体" w:cs="宋体"/>
              </w:rPr>
              <w:t>分，每少一位扣1分，扣完为止；</w:t>
            </w:r>
          </w:p>
          <w:p w14:paraId="3529988F">
            <w:pPr>
              <w:spacing w:line="440" w:lineRule="exact"/>
              <w:rPr>
                <w:rFonts w:hint="eastAsia" w:ascii="宋体" w:hAnsi="宋体" w:cs="宋体"/>
                <w:kern w:val="0"/>
                <w:szCs w:val="21"/>
              </w:rPr>
            </w:pPr>
            <w:r>
              <w:rPr>
                <w:rFonts w:hint="eastAsia" w:ascii="宋体" w:hAnsi="宋体" w:eastAsia="宋体" w:cs="宋体"/>
              </w:rPr>
              <w:t>（开标时提供购买保险承诺书作为评分标准；中标后，中标人凭为伐木工人购买的保险凭证与采购方签订合同；</w:t>
            </w:r>
            <w:r>
              <w:rPr>
                <w:rFonts w:hint="eastAsia" w:ascii="宋体" w:hAnsi="宋体" w:eastAsia="宋体" w:cs="宋体"/>
                <w:b/>
                <w:bCs/>
              </w:rPr>
              <w:t>如不提供保险凭证的，中标单位资格将被取消</w:t>
            </w:r>
            <w:r>
              <w:rPr>
                <w:rFonts w:hint="eastAsia" w:ascii="宋体" w:hAnsi="宋体" w:eastAsia="宋体" w:cs="宋体"/>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9BCF104">
            <w:pPr>
              <w:pStyle w:val="47"/>
              <w:adjustRightInd w:val="0"/>
              <w:spacing w:line="440" w:lineRule="exact"/>
              <w:jc w:val="center"/>
              <w:rPr>
                <w:rFonts w:hint="eastAsia" w:cs="宋体"/>
                <w:b/>
                <w:color w:val="auto"/>
                <w:sz w:val="21"/>
                <w:szCs w:val="21"/>
              </w:rPr>
            </w:pPr>
            <w:r>
              <w:rPr>
                <w:rFonts w:hint="eastAsia" w:cs="宋体"/>
                <w:color w:val="auto"/>
                <w:kern w:val="2"/>
                <w:sz w:val="21"/>
                <w:szCs w:val="21"/>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F543CDB">
            <w:pPr>
              <w:pStyle w:val="47"/>
              <w:adjustRightInd w:val="0"/>
              <w:spacing w:line="440" w:lineRule="exact"/>
              <w:jc w:val="center"/>
              <w:rPr>
                <w:rFonts w:hint="eastAsia" w:cs="宋体"/>
                <w:color w:val="auto"/>
                <w:kern w:val="2"/>
                <w:sz w:val="21"/>
                <w:szCs w:val="21"/>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r w14:paraId="70A9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256C13D">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03BC3B6">
            <w:pPr>
              <w:spacing w:line="440" w:lineRule="exact"/>
              <w:jc w:val="center"/>
              <w:rPr>
                <w:rFonts w:hint="eastAsia" w:ascii="宋体" w:hAnsi="宋体" w:cs="宋体"/>
                <w:kern w:val="0"/>
                <w:szCs w:val="21"/>
              </w:rPr>
            </w:pPr>
            <w:r>
              <w:rPr>
                <w:rFonts w:hint="eastAsia" w:ascii="宋体" w:hAnsi="宋体" w:cs="宋体"/>
                <w:kern w:val="0"/>
                <w:szCs w:val="21"/>
              </w:rPr>
              <w:t xml:space="preserve">同类 </w:t>
            </w:r>
          </w:p>
          <w:p w14:paraId="45F7D5EE">
            <w:pPr>
              <w:spacing w:line="440" w:lineRule="exact"/>
              <w:jc w:val="center"/>
              <w:rPr>
                <w:rFonts w:hint="eastAsia" w:ascii="宋体" w:hAnsi="宋体" w:cs="宋体"/>
                <w:kern w:val="0"/>
                <w:szCs w:val="21"/>
              </w:rPr>
            </w:pPr>
            <w:r>
              <w:rPr>
                <w:rFonts w:hint="eastAsia" w:ascii="宋体" w:hAnsi="宋体" w:cs="宋体"/>
                <w:kern w:val="0"/>
                <w:szCs w:val="21"/>
              </w:rPr>
              <w:t>业绩</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277A5FE">
            <w:pPr>
              <w:spacing w:line="440" w:lineRule="exact"/>
              <w:rPr>
                <w:rFonts w:hint="eastAsia" w:ascii="宋体" w:hAnsi="宋体" w:cs="宋体"/>
                <w:kern w:val="0"/>
                <w:szCs w:val="21"/>
              </w:rPr>
            </w:pPr>
            <w:r>
              <w:rPr>
                <w:rFonts w:hint="eastAsia" w:ascii="宋体" w:hAnsi="宋体" w:cs="宋体"/>
                <w:kern w:val="0"/>
                <w:szCs w:val="21"/>
              </w:rPr>
              <w:t>投标人自2020年1月以来有同类项目业绩得</w:t>
            </w:r>
            <w:r>
              <w:rPr>
                <w:rFonts w:hint="eastAsia" w:ascii="宋体" w:hAnsi="宋体" w:cs="宋体"/>
                <w:kern w:val="0"/>
                <w:szCs w:val="21"/>
                <w:lang w:val="en-US" w:eastAsia="zh-CN"/>
              </w:rPr>
              <w:t>1</w:t>
            </w:r>
            <w:r>
              <w:rPr>
                <w:rFonts w:hint="eastAsia" w:ascii="宋体" w:hAnsi="宋体" w:cs="宋体"/>
                <w:kern w:val="0"/>
                <w:szCs w:val="21"/>
              </w:rPr>
              <w:t>分。（须提供合同扫描件）</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280F9D7">
            <w:pPr>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6002C5D">
            <w:pPr>
              <w:spacing w:line="440" w:lineRule="exact"/>
              <w:jc w:val="center"/>
              <w:rPr>
                <w:rFonts w:hint="eastAsia" w:ascii="宋体" w:hAnsi="宋体" w:cs="宋体"/>
                <w:kern w:val="0"/>
                <w:szCs w:val="21"/>
                <w:lang w:val="en-US" w:eastAsia="zh-CN"/>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bl>
    <w:p w14:paraId="495DDE94">
      <w:pPr>
        <w:bidi w:val="0"/>
        <w:rPr>
          <w:rFonts w:hint="eastAsia"/>
        </w:rPr>
      </w:pPr>
    </w:p>
    <w:p w14:paraId="3FE1B6B0">
      <w:pPr>
        <w:spacing w:line="450" w:lineRule="exact"/>
        <w:jc w:val="left"/>
        <w:rPr>
          <w:rFonts w:hint="eastAsia" w:ascii="宋体" w:hAnsi="宋体" w:cs="宋体"/>
          <w:b/>
          <w:color w:val="auto"/>
          <w:kern w:val="0"/>
          <w:sz w:val="24"/>
          <w:highlight w:val="none"/>
        </w:rPr>
      </w:pPr>
      <w:r>
        <w:rPr>
          <w:rFonts w:hint="eastAsia" w:ascii="宋体" w:hAnsi="宋体" w:cs="宋体"/>
          <w:b/>
          <w:bCs/>
          <w:color w:val="auto"/>
          <w:sz w:val="24"/>
          <w:highlight w:val="none"/>
        </w:rPr>
        <w:t>注：1.如发现标书中有</w:t>
      </w:r>
      <w:r>
        <w:rPr>
          <w:rFonts w:hint="eastAsia" w:ascii="宋体" w:hAnsi="宋体" w:cs="宋体"/>
          <w:b/>
          <w:color w:val="auto"/>
          <w:kern w:val="0"/>
          <w:sz w:val="24"/>
          <w:highlight w:val="none"/>
        </w:rPr>
        <w:t>虚假响应的，一经采购单位查实，将上报给县政府采购监管部门，建议取消其采购资格。</w:t>
      </w:r>
    </w:p>
    <w:p w14:paraId="49D72E5B">
      <w:pPr>
        <w:spacing w:line="450" w:lineRule="exact"/>
        <w:ind w:firstLine="482" w:firstLineChars="200"/>
        <w:jc w:val="left"/>
        <w:rPr>
          <w:rFonts w:hint="eastAsia"/>
          <w:color w:val="auto"/>
          <w:highlight w:val="none"/>
        </w:rPr>
      </w:pPr>
      <w:r>
        <w:rPr>
          <w:rFonts w:hint="eastAsia" w:ascii="宋体" w:hAnsi="宋体" w:cs="宋体"/>
          <w:b/>
          <w:bCs/>
          <w:color w:val="auto"/>
          <w:sz w:val="24"/>
          <w:highlight w:val="none"/>
        </w:rPr>
        <w:t xml:space="preserve">2.以上评分涉及到证书、证件的均需编入技术商务标中，并加盖单位CA章，并提供彩色扫描件（原文件黑白的除外），否则不得分。 </w:t>
      </w:r>
    </w:p>
    <w:p w14:paraId="2BDC2D7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二、投标报价拆封</w:t>
      </w:r>
    </w:p>
    <w:p w14:paraId="716C0BF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有效投标人确定后，将对有效投标人投标报价进行启封，进入价格评分，报价得分最高</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分。报价超过最高限价的投标无效。投标文件中投标报价不明确的投标无效。</w:t>
      </w:r>
    </w:p>
    <w:p w14:paraId="4EFA57C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三、报价部分（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w:t>
      </w:r>
    </w:p>
    <w:p w14:paraId="3919D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1.评定评审基准价：对有效投标人的最低报价作为评标基准价，其报价为满分。</w:t>
      </w:r>
    </w:p>
    <w:p w14:paraId="1BD9B0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2.报价得分=（评标基准价/投标报价）×</w:t>
      </w:r>
      <w:r>
        <w:rPr>
          <w:rFonts w:hint="eastAsia" w:ascii="宋体" w:hAnsi="宋体" w:cs="宋体"/>
          <w:color w:val="auto"/>
          <w:sz w:val="24"/>
          <w:highlight w:val="none"/>
          <w:lang w:val="en-US" w:eastAsia="zh-CN"/>
        </w:rPr>
        <w:t>30</w:t>
      </w:r>
    </w:p>
    <w:p w14:paraId="19FD7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计算报价得分保留小数2位。</w:t>
      </w:r>
    </w:p>
    <w:p w14:paraId="2E93424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7CA7B1A4">
      <w:pPr>
        <w:pStyle w:val="107"/>
        <w:keepNext w:val="0"/>
        <w:keepLines w:val="0"/>
        <w:pageBreakBefore w:val="0"/>
        <w:kinsoku/>
        <w:wordWrap/>
        <w:overflowPunct/>
        <w:topLinePunct w:val="0"/>
        <w:autoSpaceDE/>
        <w:autoSpaceDN/>
        <w:bidi w:val="0"/>
        <w:adjustRightInd/>
        <w:spacing w:line="360" w:lineRule="auto"/>
        <w:ind w:left="0" w:firstLine="480" w:firstLineChars="200"/>
        <w:textAlignment w:val="auto"/>
        <w:rPr>
          <w:color w:val="auto"/>
          <w:highlight w:val="none"/>
        </w:rPr>
      </w:pPr>
      <w:r>
        <w:rPr>
          <w:rFonts w:hint="eastAsia" w:ascii="宋体" w:hAnsi="宋体" w:cs="宋体"/>
          <w:color w:val="auto"/>
          <w:kern w:val="2"/>
          <w:sz w:val="24"/>
          <w:szCs w:val="24"/>
          <w:highlight w:val="none"/>
        </w:rPr>
        <w:t>4.报价评审优惠按文件相关规定执行。</w:t>
      </w:r>
    </w:p>
    <w:p w14:paraId="6D8AFA5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四、计算总分（满分为100分）</w:t>
      </w:r>
    </w:p>
    <w:p w14:paraId="691806DF">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计算方法：总分 = 技术商务得分+报价得分</w:t>
      </w:r>
    </w:p>
    <w:p w14:paraId="531B9A1C">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五、授予合同</w:t>
      </w:r>
    </w:p>
    <w:p w14:paraId="60DDCB9B">
      <w:pPr>
        <w:spacing w:line="450" w:lineRule="exact"/>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（一）中标结果公示、中标通知书</w:t>
      </w:r>
    </w:p>
    <w:p w14:paraId="0C9C0A5A">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2E7D97D3">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2.《中标通知书》一经发出即发生法律效力，采购人改变中标结果或中标人放弃中标项目的，应当依法承担法律责任。</w:t>
      </w:r>
    </w:p>
    <w:p w14:paraId="5E23876D">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3.《中标通知书》将作为签订合同的依据。</w:t>
      </w:r>
    </w:p>
    <w:p w14:paraId="74E73F7B">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4.发布评标结果公示的媒体为：浙江省政府采购网</w:t>
      </w:r>
    </w:p>
    <w:p w14:paraId="15D49456">
      <w:pPr>
        <w:spacing w:line="450" w:lineRule="exact"/>
        <w:ind w:left="-141" w:leftChars="-67"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（二）签订合同</w:t>
      </w:r>
    </w:p>
    <w:p w14:paraId="3E8E6056">
      <w:pPr>
        <w:spacing w:line="450" w:lineRule="exact"/>
        <w:ind w:firstLine="458" w:firstLineChars="191"/>
        <w:rPr>
          <w:rFonts w:hint="eastAsia" w:ascii="宋体" w:hAnsi="宋体" w:cs="宋体"/>
          <w:color w:val="auto"/>
          <w:sz w:val="24"/>
          <w:highlight w:val="none"/>
        </w:rPr>
      </w:pPr>
      <w:r>
        <w:rPr>
          <w:rFonts w:hint="eastAsia" w:ascii="宋体" w:hAnsi="宋体" w:cs="宋体"/>
          <w:color w:val="auto"/>
          <w:sz w:val="24"/>
          <w:highlight w:val="none"/>
        </w:rPr>
        <w:t>1.中标人自接到《中标通知书》后应在规定的时间内，按指定的地点与采购人签订合同。</w:t>
      </w:r>
    </w:p>
    <w:p w14:paraId="1F88040C">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2.招标文件、中标人的投标文件、评标过程中投标人在询标时作出的承诺及其澄清文件、中标通知书等，均为合同的组成部分。</w:t>
      </w:r>
    </w:p>
    <w:p w14:paraId="5C2EE46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3A847871">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4.采购人和采购代理机构对评标结果不负责解释。</w:t>
      </w:r>
    </w:p>
    <w:p w14:paraId="54A329A2">
      <w:pPr>
        <w:snapToGrid w:val="0"/>
        <w:spacing w:before="50" w:after="50" w:line="276" w:lineRule="auto"/>
        <w:rPr>
          <w:rFonts w:ascii="宋体" w:hAnsi="宋体"/>
          <w:b/>
          <w:color w:val="auto"/>
          <w:sz w:val="24"/>
          <w:highlight w:val="none"/>
        </w:rPr>
      </w:pPr>
    </w:p>
    <w:p w14:paraId="69ED069D">
      <w:pPr>
        <w:pStyle w:val="2"/>
        <w:spacing w:line="360" w:lineRule="auto"/>
        <w:jc w:val="center"/>
        <w:rPr>
          <w:rFonts w:hint="eastAsia" w:ascii="黑体" w:hAnsi="宋体" w:eastAsia="黑体"/>
          <w:bCs w:val="0"/>
          <w:color w:val="auto"/>
          <w:sz w:val="30"/>
          <w:szCs w:val="30"/>
          <w:highlight w:val="none"/>
        </w:rPr>
      </w:pPr>
      <w:r>
        <w:rPr>
          <w:rFonts w:hint="eastAsia" w:ascii="黑体" w:hAnsi="宋体" w:eastAsia="黑体"/>
          <w:color w:val="auto"/>
          <w:sz w:val="30"/>
          <w:szCs w:val="30"/>
          <w:highlight w:val="none"/>
        </w:rPr>
        <w:br w:type="page"/>
      </w:r>
      <w:bookmarkStart w:id="316" w:name="_Toc18751"/>
      <w:bookmarkStart w:id="317" w:name="_Toc9019"/>
      <w:bookmarkStart w:id="318" w:name="_Toc6920"/>
      <w:bookmarkStart w:id="319" w:name="_Toc19042"/>
      <w:bookmarkStart w:id="320" w:name="_Toc22538"/>
      <w:bookmarkStart w:id="321" w:name="_Toc19256"/>
      <w:bookmarkStart w:id="322" w:name="_Toc30214"/>
      <w:bookmarkStart w:id="323" w:name="_Toc8707"/>
      <w:bookmarkStart w:id="324" w:name="_Toc19627"/>
      <w:bookmarkStart w:id="325" w:name="_Toc23240"/>
      <w:bookmarkStart w:id="326" w:name="_Toc32133"/>
      <w:bookmarkStart w:id="327" w:name="_Toc5751"/>
      <w:bookmarkStart w:id="328" w:name="_Toc31404"/>
      <w:bookmarkStart w:id="329" w:name="_Toc32161"/>
      <w:bookmarkStart w:id="330" w:name="_Toc7205"/>
      <w:bookmarkStart w:id="331" w:name="_Toc10104"/>
      <w:bookmarkStart w:id="332" w:name="_Toc25439"/>
      <w:bookmarkStart w:id="333" w:name="_Toc14958"/>
      <w:r>
        <w:rPr>
          <w:rFonts w:hint="eastAsia"/>
          <w:color w:val="auto"/>
          <w:highlight w:val="none"/>
        </w:rPr>
        <w:t>第五章  政府采购政策相关说明</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E17522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eastAsia="黑体"/>
          <w:b/>
          <w:bCs/>
          <w:color w:val="auto"/>
          <w:sz w:val="28"/>
          <w:szCs w:val="28"/>
          <w:highlight w:val="none"/>
        </w:rPr>
      </w:pPr>
      <w:bookmarkStart w:id="334" w:name="_Toc30418"/>
      <w:bookmarkStart w:id="335" w:name="_Toc20757"/>
      <w:bookmarkStart w:id="336" w:name="_Toc17234"/>
      <w:bookmarkStart w:id="337" w:name="_Toc9215"/>
      <w:bookmarkStart w:id="338" w:name="_Toc23523"/>
      <w:bookmarkStart w:id="339" w:name="_Toc19921"/>
      <w:bookmarkStart w:id="340" w:name="_Toc13627"/>
      <w:bookmarkStart w:id="341" w:name="_Toc25133"/>
      <w:bookmarkStart w:id="342" w:name="_Toc5036"/>
      <w:r>
        <w:rPr>
          <w:rFonts w:hint="eastAsia" w:ascii="黑体" w:eastAsia="黑体"/>
          <w:b/>
          <w:bCs/>
          <w:color w:val="auto"/>
          <w:sz w:val="28"/>
          <w:szCs w:val="28"/>
          <w:highlight w:val="none"/>
        </w:rPr>
        <w:t>一、政策优惠说明</w:t>
      </w:r>
      <w:bookmarkEnd w:id="334"/>
      <w:bookmarkEnd w:id="335"/>
      <w:bookmarkEnd w:id="336"/>
      <w:bookmarkEnd w:id="337"/>
      <w:bookmarkEnd w:id="338"/>
      <w:bookmarkEnd w:id="339"/>
    </w:p>
    <w:p w14:paraId="3A3D01DE">
      <w:pPr>
        <w:widowControl/>
        <w:spacing w:line="440" w:lineRule="exact"/>
        <w:ind w:firstLine="480" w:firstLineChars="200"/>
        <w:jc w:val="left"/>
        <w:rPr>
          <w:rFonts w:hint="eastAsia" w:ascii="宋体" w:hAnsi="宋体" w:cs="宋体"/>
          <w:sz w:val="24"/>
        </w:rPr>
      </w:pPr>
      <w:bookmarkStart w:id="343" w:name="_Toc3542"/>
      <w:bookmarkStart w:id="344" w:name="_Toc28014"/>
      <w:bookmarkStart w:id="345" w:name="_Toc6325"/>
      <w:bookmarkStart w:id="346" w:name="_Toc28349"/>
      <w:bookmarkStart w:id="347" w:name="_Toc2987"/>
      <w:bookmarkStart w:id="348" w:name="_Toc27858"/>
      <w:r>
        <w:rPr>
          <w:rFonts w:hint="eastAsia" w:ascii="宋体" w:hAnsi="宋体" w:cs="宋体"/>
          <w:sz w:val="24"/>
        </w:rPr>
        <w:t>根据财库（2020）46号、财库（2022）19号、浙财采监（2022）3号和浙财采监（2022）8号等相关规定，未预留份额专门面向中小企业采购的采购项目，以及预留份额项目中的非预留部分标段，在评审时享受规定的中小企业扶持政策。</w:t>
      </w:r>
    </w:p>
    <w:p w14:paraId="657576F9">
      <w:pPr>
        <w:widowControl/>
        <w:spacing w:line="440" w:lineRule="exact"/>
        <w:ind w:firstLine="482" w:firstLineChars="200"/>
        <w:jc w:val="left"/>
        <w:rPr>
          <w:rFonts w:hint="eastAsia" w:ascii="宋体" w:hAnsi="宋体" w:cs="宋体"/>
          <w:sz w:val="24"/>
        </w:rPr>
      </w:pPr>
      <w:r>
        <w:rPr>
          <w:rFonts w:hint="eastAsia" w:ascii="宋体" w:hAnsi="宋体" w:cs="宋体"/>
          <w:b/>
          <w:bCs/>
          <w:sz w:val="24"/>
        </w:rPr>
        <w:t>货物、服务采购项目，</w:t>
      </w:r>
      <w:r>
        <w:rPr>
          <w:rFonts w:hint="eastAsia" w:ascii="宋体" w:hAnsi="宋体" w:cs="宋体"/>
          <w:sz w:val="24"/>
        </w:rPr>
        <w:t>对小微企业报价给予</w:t>
      </w:r>
      <w:r>
        <w:rPr>
          <w:rFonts w:hint="eastAsia" w:ascii="宋体" w:hAnsi="宋体" w:cs="宋体"/>
          <w:b/>
          <w:bCs/>
          <w:color w:val="FF0000"/>
          <w:sz w:val="24"/>
        </w:rPr>
        <w:t xml:space="preserve">10% </w:t>
      </w:r>
      <w:r>
        <w:rPr>
          <w:rFonts w:hint="eastAsia" w:ascii="宋体" w:hAnsi="宋体" w:cs="宋体"/>
          <w:sz w:val="24"/>
        </w:rPr>
        <w:t>的扣除，用扣除后的价格参加评审。接受大中型企业与</w:t>
      </w:r>
      <w:r>
        <w:rPr>
          <w:rFonts w:hint="eastAsia" w:ascii="宋体" w:hAnsi="宋体" w:cs="宋体"/>
          <w:color w:val="0000FF"/>
          <w:sz w:val="24"/>
        </w:rPr>
        <w:t>小微企业</w:t>
      </w:r>
      <w:r>
        <w:rPr>
          <w:rFonts w:hint="eastAsia" w:ascii="宋体" w:hAnsi="宋体" w:cs="宋体"/>
          <w:sz w:val="24"/>
        </w:rPr>
        <w:t>组成联合体或者允许大中型企业向一家或者多家</w:t>
      </w:r>
      <w:r>
        <w:rPr>
          <w:rFonts w:hint="eastAsia" w:ascii="宋体" w:hAnsi="宋体" w:cs="宋体"/>
          <w:color w:val="0000FF"/>
          <w:sz w:val="24"/>
        </w:rPr>
        <w:t>小微企业</w:t>
      </w:r>
      <w:r>
        <w:rPr>
          <w:rFonts w:hint="eastAsia" w:ascii="宋体" w:hAnsi="宋体" w:cs="宋体"/>
          <w:sz w:val="24"/>
        </w:rPr>
        <w:t>分包的采购项目，对于联合协议或者分包意向协议约定</w:t>
      </w:r>
      <w:r>
        <w:rPr>
          <w:rFonts w:hint="eastAsia" w:ascii="宋体" w:hAnsi="宋体" w:cs="宋体"/>
          <w:color w:val="0000FF"/>
          <w:sz w:val="24"/>
        </w:rPr>
        <w:t>小微企业</w:t>
      </w:r>
      <w:r>
        <w:rPr>
          <w:rFonts w:hint="eastAsia" w:ascii="宋体" w:hAnsi="宋体" w:cs="宋体"/>
          <w:sz w:val="24"/>
        </w:rPr>
        <w:t>的合同份额占到合同总金额 30%以上的，其报价给予</w:t>
      </w:r>
      <w:r>
        <w:rPr>
          <w:rFonts w:hint="eastAsia" w:ascii="宋体" w:hAnsi="宋体" w:cs="宋体"/>
          <w:b/>
          <w:bCs/>
          <w:color w:val="FF0000"/>
          <w:sz w:val="24"/>
        </w:rPr>
        <w:t xml:space="preserve">4% </w:t>
      </w:r>
      <w:r>
        <w:rPr>
          <w:rFonts w:hint="eastAsia" w:ascii="宋体" w:hAnsi="宋体" w:cs="宋体"/>
          <w:sz w:val="24"/>
        </w:rPr>
        <w:t>的扣除，用扣除后的价格参加评审。</w:t>
      </w:r>
    </w:p>
    <w:p w14:paraId="22F38008">
      <w:pPr>
        <w:widowControl/>
        <w:spacing w:line="440" w:lineRule="exact"/>
        <w:ind w:firstLine="482" w:firstLineChars="200"/>
        <w:jc w:val="left"/>
        <w:rPr>
          <w:rFonts w:hint="eastAsia" w:ascii="宋体" w:hAnsi="宋体" w:cs="宋体"/>
          <w:sz w:val="24"/>
        </w:rPr>
      </w:pPr>
      <w:r>
        <w:rPr>
          <w:rFonts w:hint="eastAsia" w:ascii="宋体" w:hAnsi="宋体" w:cs="宋体"/>
          <w:b/>
          <w:bCs/>
          <w:sz w:val="24"/>
        </w:rPr>
        <w:t>政府采购工程项目，</w:t>
      </w:r>
      <w:r>
        <w:rPr>
          <w:rFonts w:hint="eastAsia" w:ascii="宋体" w:hAnsi="宋体" w:cs="宋体"/>
          <w:sz w:val="24"/>
        </w:rPr>
        <w:t>对小微企业报价给予</w:t>
      </w:r>
      <w:r>
        <w:rPr>
          <w:rFonts w:hint="eastAsia" w:ascii="宋体" w:hAnsi="宋体" w:cs="宋体"/>
          <w:b/>
          <w:bCs/>
          <w:color w:val="FF0000"/>
          <w:sz w:val="24"/>
        </w:rPr>
        <w:t xml:space="preserve">5% </w:t>
      </w:r>
      <w:r>
        <w:rPr>
          <w:rFonts w:hint="eastAsia" w:ascii="宋体" w:hAnsi="宋体" w:cs="宋体"/>
          <w:sz w:val="24"/>
        </w:rPr>
        <w:t>的扣除，用扣除后的价格参加评审。接受大中型企业与</w:t>
      </w:r>
      <w:r>
        <w:rPr>
          <w:rFonts w:hint="eastAsia" w:ascii="宋体" w:hAnsi="宋体" w:cs="宋体"/>
          <w:color w:val="0000FF"/>
          <w:sz w:val="24"/>
        </w:rPr>
        <w:t>小微企业</w:t>
      </w:r>
      <w:r>
        <w:rPr>
          <w:rFonts w:hint="eastAsia" w:ascii="宋体" w:hAnsi="宋体" w:cs="宋体"/>
          <w:sz w:val="24"/>
        </w:rPr>
        <w:t>组成联合体或者允许大中型企业向一家或者多家</w:t>
      </w:r>
      <w:r>
        <w:rPr>
          <w:rFonts w:hint="eastAsia" w:ascii="宋体" w:hAnsi="宋体" w:cs="宋体"/>
          <w:color w:val="0000FF"/>
          <w:sz w:val="24"/>
        </w:rPr>
        <w:t>小微企业</w:t>
      </w:r>
      <w:r>
        <w:rPr>
          <w:rFonts w:hint="eastAsia" w:ascii="宋体" w:hAnsi="宋体" w:cs="宋体"/>
          <w:sz w:val="24"/>
        </w:rPr>
        <w:t>分包的采购项目，对于联合协议或者分包意向协议约定</w:t>
      </w:r>
      <w:r>
        <w:rPr>
          <w:rFonts w:hint="eastAsia" w:ascii="宋体" w:hAnsi="宋体" w:cs="宋体"/>
          <w:color w:val="0000FF"/>
          <w:sz w:val="24"/>
        </w:rPr>
        <w:t>小微企业</w:t>
      </w:r>
      <w:r>
        <w:rPr>
          <w:rFonts w:hint="eastAsia" w:ascii="宋体" w:hAnsi="宋体" w:cs="宋体"/>
          <w:sz w:val="24"/>
        </w:rPr>
        <w:t>的合同份额占到合同总金额 30%以上的，其报价给予</w:t>
      </w:r>
      <w:r>
        <w:rPr>
          <w:rFonts w:hint="eastAsia" w:ascii="宋体" w:hAnsi="宋体" w:cs="宋体"/>
          <w:b/>
          <w:bCs/>
          <w:color w:val="FF0000"/>
          <w:sz w:val="24"/>
        </w:rPr>
        <w:t xml:space="preserve">2% </w:t>
      </w:r>
      <w:r>
        <w:rPr>
          <w:rFonts w:hint="eastAsia" w:ascii="宋体" w:hAnsi="宋体" w:cs="宋体"/>
          <w:sz w:val="24"/>
        </w:rPr>
        <w:t>的扣除，用扣除后的价格参加评审。</w:t>
      </w:r>
    </w:p>
    <w:p w14:paraId="542030E3">
      <w:pPr>
        <w:widowControl/>
        <w:spacing w:line="440" w:lineRule="exact"/>
        <w:ind w:firstLine="480" w:firstLineChars="200"/>
        <w:jc w:val="left"/>
        <w:rPr>
          <w:rFonts w:hint="eastAsia" w:ascii="宋体" w:hAnsi="宋体" w:cs="宋体"/>
          <w:color w:val="0000FF"/>
          <w:sz w:val="24"/>
        </w:rPr>
      </w:pPr>
      <w:r>
        <w:rPr>
          <w:rFonts w:hint="eastAsia" w:ascii="宋体" w:hAnsi="宋体" w:cs="宋体"/>
          <w:color w:val="0000FF"/>
          <w:sz w:val="24"/>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14:paraId="10BB6C6B">
      <w:pPr>
        <w:widowControl/>
        <w:spacing w:line="440" w:lineRule="exact"/>
        <w:ind w:firstLine="482" w:firstLineChars="200"/>
        <w:jc w:val="left"/>
        <w:rPr>
          <w:rFonts w:hint="eastAsia" w:ascii="宋体" w:hAnsi="宋体" w:cs="宋体"/>
          <w:sz w:val="24"/>
        </w:rPr>
      </w:pPr>
      <w:r>
        <w:rPr>
          <w:rFonts w:hint="eastAsia" w:ascii="宋体" w:hAnsi="宋体" w:cs="宋体"/>
          <w:b/>
          <w:bCs/>
          <w:color w:val="FF0000"/>
          <w:sz w:val="24"/>
        </w:rPr>
        <w:t>取扣除后的价格作为评审投标报价，此评审投标报价仅在评标时使用。</w:t>
      </w:r>
      <w:r>
        <w:rPr>
          <w:rFonts w:hint="eastAsia" w:ascii="宋体" w:hAnsi="宋体" w:cs="宋体"/>
          <w:sz w:val="24"/>
        </w:rPr>
        <w:t>享受相关中小企业扶持政策的投标人，必须在投标文件中提供《中小企业声明函》。</w:t>
      </w:r>
    </w:p>
    <w:p w14:paraId="1425C82F">
      <w:pPr>
        <w:widowControl/>
        <w:spacing w:line="460" w:lineRule="exact"/>
        <w:ind w:firstLine="562" w:firstLineChars="200"/>
        <w:jc w:val="left"/>
        <w:outlineLvl w:val="1"/>
        <w:rPr>
          <w:rFonts w:hint="eastAsia" w:ascii="黑体" w:eastAsia="黑体"/>
          <w:b/>
          <w:bCs/>
          <w:sz w:val="28"/>
          <w:szCs w:val="28"/>
        </w:rPr>
      </w:pPr>
      <w:r>
        <w:rPr>
          <w:rFonts w:hint="eastAsia" w:ascii="黑体" w:eastAsia="黑体"/>
          <w:b/>
          <w:bCs/>
          <w:sz w:val="28"/>
          <w:szCs w:val="28"/>
        </w:rPr>
        <w:t>二、享受小微企业价格折扣应具备的条件</w:t>
      </w:r>
      <w:bookmarkEnd w:id="343"/>
      <w:bookmarkEnd w:id="344"/>
      <w:bookmarkEnd w:id="345"/>
      <w:bookmarkEnd w:id="346"/>
      <w:bookmarkEnd w:id="347"/>
      <w:bookmarkEnd w:id="348"/>
    </w:p>
    <w:p w14:paraId="17127F81">
      <w:pPr>
        <w:widowControl/>
        <w:spacing w:line="460" w:lineRule="exact"/>
        <w:ind w:firstLine="480" w:firstLineChars="200"/>
        <w:jc w:val="left"/>
        <w:rPr>
          <w:rFonts w:hint="eastAsia" w:ascii="宋体" w:hAnsi="宋体" w:cs="宋体"/>
          <w:sz w:val="24"/>
        </w:rPr>
      </w:pPr>
      <w:r>
        <w:rPr>
          <w:rFonts w:hint="eastAsia" w:ascii="宋体" w:hAnsi="宋体" w:cs="宋体"/>
          <w:sz w:val="24"/>
        </w:rPr>
        <w:t>《政府采购促进中小企业发展管理办法》第四条　在政府采购活动中，供应商提供的货物、工程或者服务符合下列情形的，享受本办法规定的中小企业扶持政策：</w:t>
      </w:r>
    </w:p>
    <w:p w14:paraId="209719CF">
      <w:pPr>
        <w:widowControl/>
        <w:spacing w:line="460" w:lineRule="exact"/>
        <w:ind w:firstLine="480" w:firstLineChars="200"/>
        <w:jc w:val="left"/>
        <w:rPr>
          <w:rFonts w:hint="eastAsia"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14:paraId="4DA354F5">
      <w:pPr>
        <w:widowControl/>
        <w:spacing w:line="460" w:lineRule="exact"/>
        <w:ind w:firstLine="480" w:firstLineChars="200"/>
        <w:jc w:val="left"/>
        <w:rPr>
          <w:rFonts w:hint="eastAsia" w:ascii="宋体" w:hAnsi="宋体" w:cs="宋体"/>
          <w:sz w:val="24"/>
        </w:rPr>
      </w:pPr>
      <w:r>
        <w:rPr>
          <w:rFonts w:hint="eastAsia" w:ascii="宋体" w:hAnsi="宋体" w:cs="宋体"/>
          <w:sz w:val="24"/>
        </w:rPr>
        <w:t>（二）在工程采购项目中，工程由中小企业承建，即工程施工单位为中小企业；</w:t>
      </w:r>
    </w:p>
    <w:p w14:paraId="294A9851">
      <w:pPr>
        <w:widowControl/>
        <w:spacing w:line="460" w:lineRule="exact"/>
        <w:ind w:firstLine="480" w:firstLineChars="200"/>
        <w:jc w:val="left"/>
        <w:rPr>
          <w:rFonts w:hint="eastAsia" w:ascii="宋体" w:hAnsi="宋体" w:cs="宋体"/>
          <w:sz w:val="24"/>
        </w:rPr>
      </w:pPr>
      <w:r>
        <w:rPr>
          <w:rFonts w:hint="eastAsia" w:ascii="宋体" w:hAnsi="宋体" w:cs="宋体"/>
          <w:sz w:val="24"/>
        </w:rPr>
        <w:t>（三）在服务采购项目中，服务由中小企业承接，即提供服务的人员为中小企业依照《中华人民共和国劳动合同法》订立劳动合同的从业人员。</w:t>
      </w:r>
    </w:p>
    <w:p w14:paraId="106B13A5">
      <w:pPr>
        <w:widowControl/>
        <w:spacing w:line="460" w:lineRule="exact"/>
        <w:ind w:firstLine="482" w:firstLineChars="200"/>
        <w:jc w:val="left"/>
        <w:rPr>
          <w:rFonts w:hint="eastAsia" w:ascii="宋体" w:hAnsi="宋体" w:cs="宋体"/>
          <w:b/>
          <w:bCs/>
          <w:color w:val="FF0000"/>
          <w:sz w:val="24"/>
        </w:rPr>
      </w:pPr>
      <w:r>
        <w:rPr>
          <w:rFonts w:hint="eastAsia" w:ascii="宋体" w:hAnsi="宋体" w:cs="宋体"/>
          <w:b/>
          <w:bCs/>
          <w:color w:val="FF0000"/>
          <w:sz w:val="24"/>
        </w:rPr>
        <w:t>在货物采购项目中，供应商提供的货物既有中小企业制造货物，也有大型企业制造货物的，不享受本办法规定的中小企业扶持政策。</w:t>
      </w:r>
    </w:p>
    <w:p w14:paraId="23907020">
      <w:pPr>
        <w:widowControl/>
        <w:spacing w:line="460" w:lineRule="exact"/>
        <w:ind w:firstLine="480" w:firstLineChars="200"/>
        <w:jc w:val="left"/>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3ABF4681">
      <w:pPr>
        <w:widowControl/>
        <w:spacing w:line="460" w:lineRule="exact"/>
        <w:ind w:firstLine="562" w:firstLineChars="200"/>
        <w:jc w:val="left"/>
        <w:outlineLvl w:val="1"/>
        <w:rPr>
          <w:rFonts w:hint="eastAsia" w:ascii="黑体" w:eastAsia="黑体"/>
          <w:b/>
          <w:bCs/>
          <w:sz w:val="28"/>
          <w:szCs w:val="28"/>
        </w:rPr>
      </w:pPr>
      <w:bookmarkStart w:id="349" w:name="_Toc15434"/>
      <w:bookmarkStart w:id="350" w:name="_Toc29759"/>
      <w:bookmarkStart w:id="351" w:name="_Toc31075"/>
      <w:bookmarkStart w:id="352" w:name="_Toc21917"/>
      <w:bookmarkStart w:id="353" w:name="_Toc27379"/>
      <w:bookmarkStart w:id="354" w:name="_Toc14044"/>
      <w:r>
        <w:rPr>
          <w:rFonts w:hint="eastAsia" w:ascii="黑体" w:eastAsia="黑体"/>
          <w:b/>
          <w:bCs/>
          <w:sz w:val="28"/>
          <w:szCs w:val="28"/>
        </w:rPr>
        <w:t>三、采购项目涉及中小企业采购的部分内容</w:t>
      </w:r>
      <w:bookmarkEnd w:id="349"/>
      <w:bookmarkEnd w:id="350"/>
      <w:bookmarkEnd w:id="351"/>
      <w:bookmarkEnd w:id="352"/>
      <w:bookmarkEnd w:id="353"/>
      <w:bookmarkEnd w:id="354"/>
    </w:p>
    <w:p w14:paraId="3479447C">
      <w:pPr>
        <w:widowControl/>
        <w:spacing w:line="460" w:lineRule="exact"/>
        <w:ind w:firstLine="480" w:firstLineChars="200"/>
        <w:jc w:val="left"/>
        <w:rPr>
          <w:rFonts w:hint="eastAsia" w:ascii="宋体" w:hAnsi="宋体" w:cs="宋体"/>
          <w:sz w:val="24"/>
        </w:rPr>
      </w:pPr>
      <w:r>
        <w:rPr>
          <w:rFonts w:hint="eastAsia" w:ascii="宋体" w:hAnsi="宋体" w:cs="宋体"/>
          <w:sz w:val="24"/>
        </w:rPr>
        <w:t>《政府采购促进中小企业发展管理办法》第十二条  采购项目涉及中小企业采购的，采购文件应当明确以下内容：</w:t>
      </w:r>
    </w:p>
    <w:p w14:paraId="1384A521">
      <w:pPr>
        <w:widowControl/>
        <w:spacing w:line="460" w:lineRule="exact"/>
        <w:ind w:firstLine="480" w:firstLineChars="200"/>
        <w:jc w:val="left"/>
        <w:rPr>
          <w:rFonts w:hint="eastAsia" w:ascii="宋体" w:hAnsi="宋体" w:cs="宋体"/>
          <w:sz w:val="24"/>
        </w:rPr>
      </w:pPr>
      <w:r>
        <w:rPr>
          <w:rFonts w:hint="eastAsia" w:ascii="宋体" w:hAnsi="宋体" w:cs="宋体"/>
          <w:sz w:val="24"/>
        </w:rPr>
        <w:t>（一）预留份额的采购项目或者采购包，明确该项目或相关采购包专门面向中小企业采购，以及相关标的及预算金额；</w:t>
      </w:r>
    </w:p>
    <w:p w14:paraId="253BA6BB">
      <w:pPr>
        <w:widowControl/>
        <w:spacing w:line="460" w:lineRule="exact"/>
        <w:ind w:firstLine="480" w:firstLineChars="200"/>
        <w:jc w:val="left"/>
        <w:rPr>
          <w:rFonts w:hint="eastAsia" w:ascii="宋体" w:hAnsi="宋体" w:cs="宋体"/>
          <w:sz w:val="24"/>
        </w:rPr>
      </w:pPr>
      <w:r>
        <w:rPr>
          <w:rFonts w:hint="eastAsia" w:ascii="宋体" w:hAnsi="宋体" w:cs="宋体"/>
          <w:sz w:val="24"/>
        </w:rPr>
        <w:t>（二）要求以联合体形式参加或者合同分包的，明确联合协议或者分包意向协议中中小企业合同金额应当达到的比例，并作为供应商资格条件；</w:t>
      </w:r>
    </w:p>
    <w:p w14:paraId="4BEE7DBC">
      <w:pPr>
        <w:widowControl/>
        <w:spacing w:line="460" w:lineRule="exact"/>
        <w:ind w:firstLine="480" w:firstLineChars="200"/>
        <w:jc w:val="left"/>
        <w:rPr>
          <w:rFonts w:hint="eastAsia" w:ascii="宋体" w:hAnsi="宋体" w:cs="宋体"/>
          <w:sz w:val="24"/>
        </w:rPr>
      </w:pPr>
      <w:r>
        <w:rPr>
          <w:rFonts w:hint="eastAsia" w:ascii="宋体" w:hAnsi="宋体" w:cs="宋体"/>
          <w:sz w:val="24"/>
        </w:rPr>
        <w:t xml:space="preserve">（三）非预留份额的采购项目或者采购包，明确有关价格扣除比例或者价格分加分比例； </w:t>
      </w:r>
    </w:p>
    <w:p w14:paraId="1BFFE643">
      <w:pPr>
        <w:widowControl/>
        <w:spacing w:line="460" w:lineRule="exact"/>
        <w:ind w:firstLine="480" w:firstLineChars="200"/>
        <w:jc w:val="left"/>
        <w:rPr>
          <w:rFonts w:hint="eastAsia" w:ascii="宋体" w:hAnsi="宋体" w:cs="宋体"/>
          <w:sz w:val="24"/>
        </w:rPr>
      </w:pPr>
      <w:r>
        <w:rPr>
          <w:rFonts w:hint="eastAsia" w:ascii="宋体" w:hAnsi="宋体" w:cs="宋体"/>
          <w:sz w:val="24"/>
        </w:rPr>
        <w:t>（四）规定依据本办法规定享受扶持政策获得政府采购合同的，小微企业不得将合同分包给大中型企业，中型企业不得将合同分包给大型企业；</w:t>
      </w:r>
    </w:p>
    <w:p w14:paraId="0901E29F">
      <w:pPr>
        <w:widowControl/>
        <w:spacing w:line="460" w:lineRule="exact"/>
        <w:ind w:firstLine="480" w:firstLineChars="200"/>
        <w:jc w:val="left"/>
        <w:rPr>
          <w:rFonts w:hint="eastAsia" w:ascii="宋体" w:hAnsi="宋体" w:cs="宋体"/>
          <w:sz w:val="24"/>
        </w:rPr>
      </w:pPr>
      <w:r>
        <w:rPr>
          <w:rFonts w:hint="eastAsia" w:ascii="宋体" w:hAnsi="宋体" w:cs="宋体"/>
          <w:sz w:val="24"/>
        </w:rPr>
        <w:t>（五）采购人认为具备相关条件的，明确对中小企业在资金支付期限、预付款比例等方面的优惠措施；</w:t>
      </w:r>
    </w:p>
    <w:p w14:paraId="4C0DFE3E">
      <w:pPr>
        <w:widowControl/>
        <w:spacing w:line="460" w:lineRule="exact"/>
        <w:ind w:firstLine="480" w:firstLineChars="200"/>
        <w:jc w:val="left"/>
        <w:rPr>
          <w:rFonts w:hint="eastAsia" w:ascii="宋体" w:hAnsi="宋体" w:cs="宋体"/>
          <w:sz w:val="24"/>
        </w:rPr>
      </w:pPr>
      <w:r>
        <w:rPr>
          <w:rFonts w:hint="eastAsia" w:ascii="宋体" w:hAnsi="宋体" w:cs="宋体"/>
          <w:sz w:val="24"/>
        </w:rPr>
        <w:t>（六）明确采购标的对应的中小企业划分标准所属行业；</w:t>
      </w:r>
    </w:p>
    <w:p w14:paraId="2A998328">
      <w:pPr>
        <w:widowControl/>
        <w:spacing w:line="460" w:lineRule="exact"/>
        <w:ind w:firstLine="480" w:firstLineChars="200"/>
        <w:jc w:val="left"/>
        <w:rPr>
          <w:rFonts w:hint="eastAsia" w:ascii="宋体" w:hAnsi="宋体" w:cs="宋体"/>
          <w:sz w:val="24"/>
        </w:rPr>
      </w:pPr>
      <w:r>
        <w:rPr>
          <w:rFonts w:hint="eastAsia" w:ascii="宋体" w:hAnsi="宋体" w:cs="宋体"/>
          <w:sz w:val="24"/>
        </w:rPr>
        <w:t>（七）法律法规和省级以上人民政府财政部门规定的其他事项。</w:t>
      </w:r>
    </w:p>
    <w:p w14:paraId="05974630">
      <w:pPr>
        <w:widowControl/>
        <w:spacing w:line="460" w:lineRule="exact"/>
        <w:ind w:firstLine="562" w:firstLineChars="200"/>
        <w:jc w:val="left"/>
        <w:outlineLvl w:val="1"/>
        <w:rPr>
          <w:rFonts w:hint="eastAsia" w:ascii="黑体" w:eastAsia="黑体"/>
          <w:b/>
          <w:bCs/>
          <w:sz w:val="28"/>
          <w:szCs w:val="28"/>
        </w:rPr>
      </w:pPr>
      <w:bookmarkStart w:id="355" w:name="_Toc16467"/>
      <w:bookmarkStart w:id="356" w:name="_Toc13243"/>
      <w:r>
        <w:rPr>
          <w:rFonts w:hint="eastAsia" w:ascii="黑体" w:eastAsia="黑体"/>
          <w:b/>
          <w:bCs/>
          <w:sz w:val="28"/>
          <w:szCs w:val="28"/>
        </w:rPr>
        <w:t>四、投标供应商享受小微企业价格折扣应提供以下材料</w:t>
      </w:r>
      <w:bookmarkEnd w:id="355"/>
      <w:bookmarkEnd w:id="356"/>
    </w:p>
    <w:p w14:paraId="71DB0333">
      <w:pPr>
        <w:widowControl/>
        <w:spacing w:line="460" w:lineRule="exact"/>
        <w:ind w:firstLine="480" w:firstLineChars="200"/>
        <w:jc w:val="left"/>
        <w:rPr>
          <w:rFonts w:hint="eastAsia" w:ascii="宋体" w:hAnsi="宋体" w:cs="宋体"/>
          <w:sz w:val="24"/>
        </w:rPr>
      </w:pPr>
      <w:r>
        <w:rPr>
          <w:rFonts w:hint="eastAsia" w:ascii="宋体" w:hAnsi="宋体" w:cs="宋体"/>
          <w:sz w:val="24"/>
        </w:rPr>
        <w:t>《中小企业声明函》（加盖投标供应商公章，格式见附件）</w:t>
      </w:r>
      <w:r>
        <w:rPr>
          <w:rFonts w:hint="eastAsia" w:ascii="宋体" w:hAnsi="宋体" w:cs="宋体"/>
          <w:b/>
          <w:bCs/>
          <w:sz w:val="24"/>
        </w:rPr>
        <w:t>（放在报价文件中，不提供的不享受价格折扣）</w:t>
      </w:r>
    </w:p>
    <w:p w14:paraId="62F4E649">
      <w:pPr>
        <w:widowControl/>
        <w:spacing w:line="460" w:lineRule="exact"/>
        <w:ind w:firstLine="562" w:firstLineChars="200"/>
        <w:jc w:val="left"/>
        <w:outlineLvl w:val="1"/>
        <w:rPr>
          <w:rFonts w:hint="eastAsia" w:ascii="黑体" w:eastAsia="黑体"/>
          <w:b/>
          <w:bCs/>
          <w:sz w:val="28"/>
          <w:szCs w:val="28"/>
        </w:rPr>
      </w:pPr>
      <w:bookmarkStart w:id="357" w:name="_Toc21336"/>
      <w:bookmarkStart w:id="358" w:name="_Toc21045"/>
      <w:r>
        <w:rPr>
          <w:rFonts w:hint="eastAsia" w:ascii="黑体" w:eastAsia="黑体"/>
          <w:b/>
          <w:bCs/>
          <w:sz w:val="28"/>
          <w:szCs w:val="28"/>
        </w:rPr>
        <w:t>五、享受监狱企业价格折扣应提供以下材料</w:t>
      </w:r>
      <w:bookmarkEnd w:id="357"/>
      <w:bookmarkEnd w:id="358"/>
    </w:p>
    <w:p w14:paraId="0DB1479D">
      <w:pPr>
        <w:widowControl/>
        <w:spacing w:line="460" w:lineRule="exact"/>
        <w:ind w:firstLine="480" w:firstLineChars="200"/>
        <w:jc w:val="left"/>
        <w:rPr>
          <w:rFonts w:hint="eastAsia" w:ascii="宋体" w:hAnsi="宋体" w:cs="宋体"/>
          <w:b/>
          <w:bCs/>
          <w:sz w:val="24"/>
        </w:rPr>
      </w:pPr>
      <w:r>
        <w:rPr>
          <w:rFonts w:hint="eastAsia" w:ascii="宋体" w:hAnsi="宋体" w:cs="宋体"/>
          <w:sz w:val="24"/>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sz w:val="24"/>
        </w:rPr>
        <w:t>（放在报价文件中，不提供的不享受价格折扣）</w:t>
      </w:r>
    </w:p>
    <w:p w14:paraId="71107E78">
      <w:pPr>
        <w:widowControl/>
        <w:spacing w:line="460" w:lineRule="exact"/>
        <w:ind w:firstLine="480" w:firstLineChars="200"/>
        <w:jc w:val="left"/>
        <w:rPr>
          <w:rFonts w:hint="eastAsia" w:ascii="宋体" w:hAnsi="宋体" w:cs="宋体"/>
          <w:sz w:val="24"/>
        </w:rPr>
      </w:pPr>
      <w:r>
        <w:rPr>
          <w:rFonts w:hint="eastAsia" w:ascii="宋体" w:hAnsi="宋体" w:cs="宋体"/>
          <w:sz w:val="24"/>
        </w:rPr>
        <w:t>在政府采购活动中，监狱企业视同小型、微型企业，享受评审中价格扣除政策。</w:t>
      </w:r>
    </w:p>
    <w:p w14:paraId="27FB567C">
      <w:pPr>
        <w:widowControl/>
        <w:spacing w:line="460" w:lineRule="exact"/>
        <w:ind w:firstLine="562" w:firstLineChars="200"/>
        <w:jc w:val="left"/>
        <w:outlineLvl w:val="1"/>
        <w:rPr>
          <w:rFonts w:hint="eastAsia" w:ascii="黑体" w:eastAsia="黑体"/>
          <w:b/>
          <w:bCs/>
          <w:sz w:val="28"/>
          <w:szCs w:val="28"/>
        </w:rPr>
      </w:pPr>
      <w:bookmarkStart w:id="359" w:name="_Toc17973"/>
      <w:bookmarkStart w:id="360" w:name="_Toc10187"/>
      <w:r>
        <w:rPr>
          <w:rFonts w:hint="eastAsia" w:ascii="黑体" w:eastAsia="黑体"/>
          <w:b/>
          <w:bCs/>
          <w:sz w:val="28"/>
          <w:szCs w:val="28"/>
        </w:rPr>
        <w:t>六、享受残疾人福利性单位价格折扣应提供以下材料</w:t>
      </w:r>
      <w:bookmarkEnd w:id="359"/>
      <w:bookmarkEnd w:id="360"/>
    </w:p>
    <w:p w14:paraId="3A1B1130">
      <w:pPr>
        <w:widowControl/>
        <w:spacing w:line="460" w:lineRule="exact"/>
        <w:ind w:firstLine="480" w:firstLineChars="200"/>
        <w:jc w:val="left"/>
        <w:rPr>
          <w:rFonts w:hint="eastAsia" w:ascii="宋体" w:hAnsi="宋体" w:cs="宋体"/>
          <w:b/>
          <w:bCs/>
          <w:sz w:val="24"/>
        </w:rPr>
      </w:pPr>
      <w:r>
        <w:rPr>
          <w:rFonts w:hint="eastAsia" w:ascii="宋体" w:hAnsi="宋体" w:cs="宋体"/>
          <w:sz w:val="24"/>
        </w:rPr>
        <w:t>残疾人福利性单位声明函（加盖投标供应商公章，格式见附件）</w:t>
      </w:r>
      <w:r>
        <w:rPr>
          <w:rFonts w:hint="eastAsia" w:ascii="宋体" w:hAnsi="宋体" w:cs="宋体"/>
          <w:b/>
          <w:bCs/>
          <w:sz w:val="24"/>
        </w:rPr>
        <w:t>（放在报价文件中，不提供的不享受价格折扣）</w:t>
      </w:r>
    </w:p>
    <w:p w14:paraId="28FE2F7A">
      <w:pPr>
        <w:widowControl/>
        <w:spacing w:line="460" w:lineRule="exact"/>
        <w:ind w:firstLine="480" w:firstLineChars="200"/>
        <w:jc w:val="left"/>
        <w:rPr>
          <w:rFonts w:hint="eastAsia" w:ascii="黑体" w:hAnsi="宋体" w:eastAsia="黑体"/>
          <w:sz w:val="30"/>
          <w:szCs w:val="30"/>
        </w:rPr>
      </w:pPr>
      <w:r>
        <w:rPr>
          <w:rFonts w:hint="eastAsia" w:ascii="宋体" w:hAnsi="宋体" w:cs="宋体"/>
          <w:sz w:val="24"/>
        </w:rPr>
        <w:t>在政府采购活动中，残疾人福利性单位视同小型、微型企业，享受评审中价格扣除政策。</w:t>
      </w:r>
    </w:p>
    <w:p w14:paraId="5732D102">
      <w:pPr>
        <w:snapToGrid w:val="0"/>
        <w:spacing w:before="50" w:after="50"/>
        <w:jc w:val="center"/>
        <w:rPr>
          <w:rFonts w:hint="eastAsia" w:ascii="仿宋" w:hAnsi="仿宋" w:eastAsia="仿宋"/>
          <w:b/>
          <w:sz w:val="36"/>
          <w:szCs w:val="36"/>
        </w:rPr>
      </w:pPr>
    </w:p>
    <w:p w14:paraId="08845E80">
      <w:pPr>
        <w:pStyle w:val="49"/>
        <w:rPr>
          <w:rFonts w:hint="eastAsia"/>
        </w:rPr>
      </w:pPr>
    </w:p>
    <w:p w14:paraId="00053565">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中小企业声明函（货物）</w:t>
      </w:r>
    </w:p>
    <w:p w14:paraId="1DAC2E81">
      <w:pPr>
        <w:snapToGrid w:val="0"/>
        <w:spacing w:line="360" w:lineRule="auto"/>
        <w:rPr>
          <w:rFonts w:ascii="仿宋" w:hAnsi="仿宋" w:eastAsia="仿宋"/>
          <w:color w:val="auto"/>
          <w:sz w:val="28"/>
          <w:szCs w:val="28"/>
          <w:highlight w:val="none"/>
        </w:rPr>
      </w:pPr>
    </w:p>
    <w:p w14:paraId="03107C5D">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 xml:space="preserve">采购活动，提供的货物全部由符合政策要求的中小企业制造。相关企业 （含联合体中的中小企业、签订分包意向协议的中小企业） 的具体情况如下： </w:t>
      </w:r>
    </w:p>
    <w:p w14:paraId="3E28E92D">
      <w:pPr>
        <w:numPr>
          <w:ilvl w:val="0"/>
          <w:numId w:val="3"/>
        </w:num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（采购文件中明确的所属行业） 行业</w:t>
      </w:r>
      <w:r>
        <w:rPr>
          <w:rFonts w:hint="eastAsia" w:ascii="宋体" w:hAnsi="宋体" w:eastAsia="宋体" w:cs="宋体"/>
          <w:color w:val="auto"/>
          <w:sz w:val="28"/>
          <w:szCs w:val="28"/>
          <w:highlight w:val="none"/>
        </w:rPr>
        <w:t>；制造商为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vertAlign w:val="superscript"/>
        </w:rPr>
        <w:t xml:space="preserve">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 xml:space="preserve">； </w:t>
      </w:r>
    </w:p>
    <w:p w14:paraId="3D09615E">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 xml:space="preserve"> ，属于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（采购文件中明确的所属行业） </w:t>
      </w:r>
      <w:r>
        <w:rPr>
          <w:rFonts w:hint="eastAsia" w:ascii="宋体" w:hAnsi="宋体" w:eastAsia="宋体" w:cs="宋体"/>
          <w:color w:val="auto"/>
          <w:sz w:val="28"/>
          <w:szCs w:val="28"/>
          <w:highlight w:val="none"/>
        </w:rPr>
        <w:t>行业；制造商为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6F0E6645">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822149A">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以上企业，不属于大企业的分支机构，不存在控股股东为大企业的情形，也不存在与大企业的负责人为同一人的情形。 </w:t>
      </w:r>
    </w:p>
    <w:p w14:paraId="37449598">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00DF3893">
      <w:pPr>
        <w:snapToGrid w:val="0"/>
        <w:spacing w:line="360" w:lineRule="auto"/>
        <w:ind w:left="3640" w:firstLine="560" w:firstLineChars="200"/>
        <w:jc w:val="left"/>
        <w:rPr>
          <w:rFonts w:hint="eastAsia" w:ascii="宋体" w:hAnsi="宋体" w:eastAsia="宋体" w:cs="宋体"/>
          <w:color w:val="auto"/>
          <w:sz w:val="28"/>
          <w:szCs w:val="28"/>
          <w:highlight w:val="none"/>
        </w:rPr>
      </w:pPr>
    </w:p>
    <w:p w14:paraId="4B557C22">
      <w:pPr>
        <w:pStyle w:val="2"/>
        <w:rPr>
          <w:rFonts w:hint="eastAsia" w:ascii="宋体" w:hAnsi="宋体" w:eastAsia="宋体" w:cs="宋体"/>
          <w:color w:val="auto"/>
          <w:sz w:val="28"/>
          <w:szCs w:val="28"/>
          <w:highlight w:val="none"/>
        </w:rPr>
      </w:pPr>
      <w:r>
        <w:rPr>
          <w:rFonts w:hint="eastAsia" w:ascii="宋体" w:hAnsi="宋体" w:cs="宋体"/>
          <w:bCs w:val="0"/>
          <w:color w:val="auto"/>
          <w:sz w:val="24"/>
          <w:highlight w:val="none"/>
          <w:lang w:eastAsia="zh-CN"/>
        </w:rPr>
        <w:t>注：中小企业声明函随结果公告一同公示</w:t>
      </w:r>
    </w:p>
    <w:p w14:paraId="4F3C7240">
      <w:pPr>
        <w:widowControl/>
        <w:adjustRightInd w:val="0"/>
        <w:spacing w:line="480" w:lineRule="exact"/>
        <w:ind w:firstLine="560" w:firstLineChars="200"/>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企业名称（盖章）</w:t>
      </w:r>
      <w:r>
        <w:rPr>
          <w:rFonts w:hint="eastAsia" w:ascii="宋体" w:hAnsi="宋体" w:eastAsia="宋体" w:cs="Times New Roman"/>
          <w:color w:val="auto"/>
          <w:sz w:val="28"/>
          <w:szCs w:val="28"/>
          <w:highlight w:val="none"/>
          <w:lang w:eastAsia="zh-CN"/>
        </w:rPr>
        <w:t>：</w:t>
      </w:r>
    </w:p>
    <w:p w14:paraId="125F3587">
      <w:pPr>
        <w:widowControl/>
        <w:adjustRightInd w:val="0"/>
        <w:spacing w:line="480" w:lineRule="exact"/>
        <w:ind w:firstLine="560" w:firstLineChars="20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日  期：</w:t>
      </w:r>
    </w:p>
    <w:p w14:paraId="3AE00FB1">
      <w:pPr>
        <w:jc w:val="center"/>
        <w:rPr>
          <w:rFonts w:hint="eastAsia"/>
          <w:color w:val="auto"/>
          <w:sz w:val="28"/>
          <w:szCs w:val="28"/>
          <w:highlight w:val="none"/>
        </w:rPr>
      </w:pPr>
    </w:p>
    <w:p w14:paraId="1420022F">
      <w:pPr>
        <w:jc w:val="both"/>
        <w:rPr>
          <w:rFonts w:hint="eastAsia"/>
          <w:color w:val="auto"/>
          <w:sz w:val="28"/>
          <w:szCs w:val="28"/>
          <w:highlight w:val="none"/>
        </w:rPr>
      </w:pPr>
    </w:p>
    <w:p w14:paraId="6BBA5AF1">
      <w:pPr>
        <w:jc w:val="center"/>
        <w:rPr>
          <w:rFonts w:hint="eastAsia"/>
          <w:color w:val="auto"/>
          <w:sz w:val="28"/>
          <w:szCs w:val="28"/>
          <w:highlight w:val="none"/>
        </w:rPr>
        <w:sectPr>
          <w:headerReference r:id="rId8" w:type="default"/>
          <w:footerReference r:id="rId9" w:type="default"/>
          <w:pgSz w:w="11906" w:h="16838"/>
          <w:pgMar w:top="1440" w:right="1106" w:bottom="1440" w:left="1440" w:header="851" w:footer="992" w:gutter="0"/>
          <w:cols w:space="720" w:num="1"/>
          <w:docGrid w:linePitch="312" w:charSpace="0"/>
        </w:sectPr>
      </w:pPr>
    </w:p>
    <w:p w14:paraId="6761A941">
      <w:pPr>
        <w:snapToGrid w:val="0"/>
        <w:spacing w:before="50" w:after="50"/>
        <w:ind w:firstLine="1807" w:firstLineChars="500"/>
        <w:jc w:val="both"/>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中小企业声明函（工程、服务）</w:t>
      </w:r>
    </w:p>
    <w:p w14:paraId="35919761">
      <w:pPr>
        <w:widowControl/>
        <w:adjustRightInd w:val="0"/>
        <w:spacing w:line="360" w:lineRule="auto"/>
        <w:rPr>
          <w:rFonts w:ascii="宋体" w:hAnsi="宋体" w:cs="宋体"/>
          <w:bCs/>
          <w:color w:val="auto"/>
          <w:highlight w:val="none"/>
        </w:rPr>
      </w:pPr>
    </w:p>
    <w:p w14:paraId="756EA77E">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本公司（联合体）郑重声明，根据《政府采购促进中小企业发展管理办法》（财库﹝2020﹞46号）的规定，本公司（联合体）参加</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（单位名称）</w:t>
      </w:r>
      <w:r>
        <w:rPr>
          <w:rFonts w:hint="eastAsia" w:ascii="宋体" w:hAnsi="宋体" w:cs="宋体"/>
          <w:bCs/>
          <w:color w:val="auto"/>
          <w:sz w:val="28"/>
          <w:szCs w:val="28"/>
          <w:highlight w:val="none"/>
        </w:rPr>
        <w:t>的</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（项目名称）</w:t>
      </w:r>
      <w:r>
        <w:rPr>
          <w:rFonts w:hint="eastAsia" w:ascii="宋体" w:hAnsi="宋体" w:cs="宋体"/>
          <w:bCs/>
          <w:color w:val="auto"/>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7B97A3">
      <w:pPr>
        <w:widowControl/>
        <w:numPr>
          <w:ilvl w:val="0"/>
          <w:numId w:val="4"/>
        </w:numPr>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（标的名称）</w:t>
      </w:r>
      <w:r>
        <w:rPr>
          <w:rFonts w:hint="eastAsia" w:ascii="宋体" w:hAnsi="宋体" w:cs="宋体"/>
          <w:bCs/>
          <w:color w:val="auto"/>
          <w:sz w:val="28"/>
          <w:szCs w:val="28"/>
          <w:highlight w:val="none"/>
        </w:rPr>
        <w:t>，属于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rPr>
        <w:t>；承建（承接）企业为</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（企业名称）</w:t>
      </w:r>
      <w:r>
        <w:rPr>
          <w:rFonts w:hint="eastAsia" w:ascii="宋体" w:hAnsi="宋体" w:cs="宋体"/>
          <w:bCs/>
          <w:color w:val="auto"/>
          <w:sz w:val="28"/>
          <w:szCs w:val="28"/>
          <w:highlight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（中型企业、小型企业、微型企业</w:t>
      </w:r>
      <w:r>
        <w:rPr>
          <w:rFonts w:hint="eastAsia" w:ascii="宋体" w:hAnsi="宋体" w:cs="宋体"/>
          <w:bCs/>
          <w:color w:val="auto"/>
          <w:sz w:val="28"/>
          <w:szCs w:val="28"/>
          <w:highlight w:val="none"/>
        </w:rPr>
        <w:t>）；</w:t>
      </w:r>
    </w:p>
    <w:p w14:paraId="55C0CAF0">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w:t>
      </w:r>
      <w:r>
        <w:rPr>
          <w:rFonts w:hint="eastAsia" w:ascii="宋体" w:hAnsi="宋体" w:cs="宋体"/>
          <w:bCs/>
          <w:color w:val="auto"/>
          <w:sz w:val="28"/>
          <w:szCs w:val="28"/>
          <w:highlight w:val="none"/>
          <w:u w:val="none"/>
        </w:rPr>
        <w:t xml:space="preserve"> </w:t>
      </w:r>
      <w:r>
        <w:rPr>
          <w:rFonts w:hint="eastAsia" w:ascii="宋体" w:hAnsi="宋体" w:cs="宋体"/>
          <w:bCs/>
          <w:color w:val="auto"/>
          <w:sz w:val="28"/>
          <w:szCs w:val="28"/>
          <w:highlight w:val="none"/>
          <w:u w:val="single"/>
        </w:rPr>
        <w:t xml:space="preserve">      （标的名称）</w:t>
      </w:r>
      <w:r>
        <w:rPr>
          <w:rFonts w:hint="eastAsia" w:ascii="宋体" w:hAnsi="宋体" w:cs="宋体"/>
          <w:bCs/>
          <w:color w:val="auto"/>
          <w:sz w:val="28"/>
          <w:szCs w:val="28"/>
          <w:highlight w:val="none"/>
          <w:u w:val="none"/>
        </w:rPr>
        <w:t>，属于</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u w:val="none"/>
        </w:rPr>
        <w:t>；承建（承接）企业为</w:t>
      </w:r>
      <w:r>
        <w:rPr>
          <w:rFonts w:hint="eastAsia" w:ascii="宋体" w:hAnsi="宋体" w:cs="宋体"/>
          <w:bCs/>
          <w:color w:val="auto"/>
          <w:sz w:val="28"/>
          <w:szCs w:val="28"/>
          <w:highlight w:val="none"/>
          <w:u w:val="single"/>
        </w:rPr>
        <w:t xml:space="preserve">      （企业名称）</w:t>
      </w:r>
      <w:r>
        <w:rPr>
          <w:rFonts w:hint="eastAsia" w:ascii="宋体" w:hAnsi="宋体" w:cs="宋体"/>
          <w:bCs/>
          <w:color w:val="auto"/>
          <w:sz w:val="28"/>
          <w:szCs w:val="28"/>
          <w:highlight w:val="none"/>
          <w:u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万元，属于</w:t>
      </w:r>
      <w:r>
        <w:rPr>
          <w:rFonts w:hint="eastAsia" w:ascii="宋体" w:hAnsi="宋体" w:cs="宋体"/>
          <w:bCs/>
          <w:color w:val="auto"/>
          <w:sz w:val="28"/>
          <w:szCs w:val="28"/>
          <w:highlight w:val="none"/>
          <w:u w:val="single"/>
        </w:rPr>
        <w:t xml:space="preserve">        （中型企业、小型企业、微型企业）</w:t>
      </w:r>
      <w:r>
        <w:rPr>
          <w:rFonts w:hint="eastAsia" w:ascii="宋体" w:hAnsi="宋体" w:cs="宋体"/>
          <w:bCs/>
          <w:color w:val="auto"/>
          <w:sz w:val="28"/>
          <w:szCs w:val="28"/>
          <w:highlight w:val="none"/>
          <w:u w:val="none"/>
        </w:rPr>
        <w:t>；</w:t>
      </w:r>
    </w:p>
    <w:p w14:paraId="30EFEB3B">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w:t>
      </w:r>
    </w:p>
    <w:p w14:paraId="35753DF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以上企业，不属于大企业的分支机构，不存在控股股东为大企业的情形，也不存在与大企业的负责人为同一人的情形。</w:t>
      </w:r>
    </w:p>
    <w:p w14:paraId="2C8BE9E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本企业对上述声明内容的真实性负责。如有虚假，将依法承担相应责任。</w:t>
      </w:r>
    </w:p>
    <w:p w14:paraId="65AEEDC5">
      <w:pPr>
        <w:pStyle w:val="2"/>
        <w:rPr>
          <w:rFonts w:hint="eastAsia" w:ascii="宋体" w:hAnsi="宋体" w:cs="宋体"/>
          <w:bCs w:val="0"/>
          <w:color w:val="auto"/>
          <w:sz w:val="24"/>
          <w:highlight w:val="none"/>
          <w:lang w:eastAsia="zh-CN"/>
        </w:rPr>
      </w:pPr>
    </w:p>
    <w:p w14:paraId="76B8F8FB">
      <w:pPr>
        <w:pStyle w:val="2"/>
        <w:rPr>
          <w:rFonts w:hint="eastAsia" w:eastAsia="宋体"/>
          <w:color w:val="auto"/>
          <w:highlight w:val="none"/>
          <w:lang w:val="en-US" w:eastAsia="zh-CN"/>
        </w:rPr>
      </w:pPr>
      <w:r>
        <w:rPr>
          <w:rFonts w:hint="eastAsia" w:ascii="宋体" w:hAnsi="宋体" w:cs="宋体"/>
          <w:bCs w:val="0"/>
          <w:color w:val="auto"/>
          <w:sz w:val="24"/>
          <w:highlight w:val="none"/>
          <w:lang w:eastAsia="zh-CN"/>
        </w:rPr>
        <w:t>注：中小企业声明函随结果公告一同公示</w:t>
      </w:r>
    </w:p>
    <w:p w14:paraId="62096DAA">
      <w:pPr>
        <w:pStyle w:val="2"/>
        <w:rPr>
          <w:rFonts w:ascii="宋体" w:hAnsi="宋体" w:cs="宋体"/>
          <w:bCs w:val="0"/>
          <w:color w:val="auto"/>
          <w:sz w:val="24"/>
          <w:highlight w:val="none"/>
        </w:rPr>
      </w:pPr>
    </w:p>
    <w:p w14:paraId="4B4A4041">
      <w:pPr>
        <w:rPr>
          <w:color w:val="auto"/>
          <w:highlight w:val="none"/>
        </w:rPr>
      </w:pPr>
    </w:p>
    <w:p w14:paraId="1D5235A6">
      <w:pPr>
        <w:widowControl/>
        <w:adjustRightInd w:val="0"/>
        <w:spacing w:line="480" w:lineRule="exact"/>
        <w:ind w:firstLine="560" w:firstLineChars="20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企业名称（盖章）</w:t>
      </w:r>
      <w:r>
        <w:rPr>
          <w:rFonts w:hint="eastAsia" w:ascii="宋体" w:hAnsi="宋体"/>
          <w:color w:val="auto"/>
          <w:sz w:val="28"/>
          <w:szCs w:val="28"/>
          <w:highlight w:val="none"/>
          <w:lang w:eastAsia="zh-CN"/>
        </w:rPr>
        <w:t>：</w:t>
      </w:r>
    </w:p>
    <w:p w14:paraId="5E5705FD">
      <w:pPr>
        <w:widowControl/>
        <w:adjustRightInd w:val="0"/>
        <w:spacing w:line="480" w:lineRule="exact"/>
        <w:ind w:firstLine="560" w:firstLineChars="200"/>
        <w:jc w:val="center"/>
        <w:rPr>
          <w:rFonts w:ascii="宋体" w:hAnsi="宋体" w:cs="宋体"/>
          <w:bCs/>
          <w:color w:val="auto"/>
          <w:sz w:val="28"/>
          <w:szCs w:val="28"/>
          <w:highlight w:val="none"/>
        </w:rPr>
      </w:pPr>
      <w:r>
        <w:rPr>
          <w:rFonts w:hint="eastAsia" w:ascii="宋体" w:hAnsi="宋体" w:cs="宋体"/>
          <w:bCs/>
          <w:color w:val="auto"/>
          <w:sz w:val="28"/>
          <w:szCs w:val="28"/>
          <w:highlight w:val="none"/>
        </w:rPr>
        <w:t>日    期：</w:t>
      </w:r>
    </w:p>
    <w:p w14:paraId="5ED089DE">
      <w:pPr>
        <w:adjustRightInd w:val="0"/>
        <w:spacing w:line="400" w:lineRule="exact"/>
        <w:rPr>
          <w:rFonts w:hint="eastAsia" w:ascii="宋体" w:hAnsi="宋体" w:cs="宋体"/>
          <w:b/>
          <w:bCs/>
          <w:color w:val="auto"/>
          <w:sz w:val="24"/>
          <w:highlight w:val="none"/>
        </w:rPr>
        <w:sectPr>
          <w:pgSz w:w="11906" w:h="16838"/>
          <w:pgMar w:top="1440" w:right="1106" w:bottom="1440" w:left="1440" w:header="851" w:footer="992" w:gutter="0"/>
          <w:cols w:space="720" w:num="1"/>
          <w:docGrid w:linePitch="312" w:charSpace="0"/>
        </w:sectPr>
      </w:pPr>
    </w:p>
    <w:p w14:paraId="6FD10BDF">
      <w:pPr>
        <w:adjustRightInd w:val="0"/>
        <w:spacing w:line="400" w:lineRule="exact"/>
        <w:jc w:val="center"/>
        <w:rPr>
          <w:rFonts w:hint="eastAsia"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rPr>
        <w:t>中小企业声明函</w:t>
      </w:r>
      <w:r>
        <w:rPr>
          <w:rFonts w:hint="eastAsia" w:ascii="仿宋" w:hAnsi="仿宋" w:eastAsia="仿宋" w:cs="Times New Roman"/>
          <w:b/>
          <w:color w:val="auto"/>
          <w:sz w:val="36"/>
          <w:szCs w:val="36"/>
          <w:highlight w:val="none"/>
          <w:lang w:eastAsia="zh-CN"/>
        </w:rPr>
        <w:t>填表说明</w:t>
      </w:r>
    </w:p>
    <w:p w14:paraId="249DAD06">
      <w:pPr>
        <w:adjustRightInd w:val="0"/>
        <w:spacing w:line="400" w:lineRule="exact"/>
        <w:rPr>
          <w:rFonts w:hint="eastAsia" w:ascii="宋体" w:hAnsi="宋体" w:cs="宋体"/>
          <w:b/>
          <w:bCs/>
          <w:color w:val="auto"/>
          <w:sz w:val="24"/>
          <w:highlight w:val="none"/>
        </w:rPr>
      </w:pPr>
    </w:p>
    <w:p w14:paraId="68C5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1.中小企业声明函由投标人提供，投标人向制造商或承建（承接）企业咨询相关数据。</w:t>
      </w:r>
    </w:p>
    <w:p w14:paraId="24A381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2.投标人应当按照前附表明确的项目属性选择相对应的中小企业声明函格式进行声明。</w:t>
      </w:r>
      <w:r>
        <w:rPr>
          <w:rFonts w:hint="eastAsia" w:ascii="宋体" w:hAnsi="宋体" w:eastAsia="宋体" w:cs="宋体"/>
          <w:color w:val="auto"/>
          <w:sz w:val="28"/>
          <w:szCs w:val="28"/>
          <w:highlight w:val="none"/>
        </w:rPr>
        <w:t>声明函应按上述内容及格式填写，不得修改。</w:t>
      </w:r>
    </w:p>
    <w:p w14:paraId="323BBA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单位名称和项目名称</w:t>
      </w:r>
      <w:r>
        <w:rPr>
          <w:rFonts w:hint="eastAsia" w:ascii="宋体" w:hAnsi="宋体" w:eastAsia="宋体" w:cs="宋体"/>
          <w:color w:val="auto"/>
          <w:sz w:val="28"/>
          <w:szCs w:val="28"/>
          <w:highlight w:val="none"/>
          <w:lang w:val="en-US" w:eastAsia="zh-CN"/>
        </w:rPr>
        <w:t>根据首页政府采购招标文件确认表填写采购单位名称和招标项目名称。</w:t>
      </w:r>
    </w:p>
    <w:p w14:paraId="0CC2E4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标的名称</w:t>
      </w:r>
      <w:r>
        <w:rPr>
          <w:rFonts w:hint="eastAsia" w:ascii="宋体" w:hAnsi="宋体" w:eastAsia="宋体" w:cs="宋体"/>
          <w:color w:val="auto"/>
          <w:sz w:val="28"/>
          <w:szCs w:val="28"/>
          <w:highlight w:val="none"/>
          <w:lang w:val="en-US" w:eastAsia="zh-CN"/>
        </w:rPr>
        <w:t>应填写第二章中具体的采购的货物或服务名称，应按采购的具体货物或服务逐项罗列，</w:t>
      </w:r>
      <w:r>
        <w:rPr>
          <w:rFonts w:hint="eastAsia" w:ascii="宋体" w:hAnsi="宋体" w:eastAsia="宋体" w:cs="宋体"/>
          <w:b/>
          <w:bCs/>
          <w:color w:val="auto"/>
          <w:sz w:val="28"/>
          <w:szCs w:val="28"/>
          <w:highlight w:val="none"/>
          <w:lang w:val="en-US" w:eastAsia="zh-CN"/>
        </w:rPr>
        <w:t>仅以项目名称代替所有采购标的名称的，评审小组</w:t>
      </w:r>
      <w:r>
        <w:rPr>
          <w:rFonts w:hint="eastAsia" w:ascii="宋体" w:hAnsi="宋体" w:cs="宋体"/>
          <w:b/>
          <w:bCs/>
          <w:color w:val="auto"/>
          <w:sz w:val="28"/>
          <w:szCs w:val="28"/>
          <w:highlight w:val="none"/>
          <w:lang w:val="en-US" w:eastAsia="zh-CN"/>
        </w:rPr>
        <w:t>可</w:t>
      </w:r>
      <w:r>
        <w:rPr>
          <w:rFonts w:hint="eastAsia" w:ascii="宋体" w:hAnsi="宋体" w:eastAsia="宋体" w:cs="宋体"/>
          <w:b/>
          <w:bCs/>
          <w:color w:val="auto"/>
          <w:sz w:val="28"/>
          <w:szCs w:val="28"/>
          <w:highlight w:val="none"/>
          <w:lang w:val="en-US" w:eastAsia="zh-CN"/>
        </w:rPr>
        <w:t>不予认可其声明。</w:t>
      </w:r>
    </w:p>
    <w:p w14:paraId="6B8D40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采购文件中明确的所属行业</w:t>
      </w:r>
      <w:r>
        <w:rPr>
          <w:rFonts w:hint="eastAsia" w:ascii="宋体" w:hAnsi="宋体" w:eastAsia="宋体" w:cs="宋体"/>
          <w:color w:val="auto"/>
          <w:sz w:val="28"/>
          <w:szCs w:val="28"/>
          <w:highlight w:val="none"/>
          <w:lang w:val="en-US" w:eastAsia="zh-CN"/>
        </w:rPr>
        <w:t>根据第二章中采购的具体货物或服务逐项列明的所属行业填写。</w:t>
      </w:r>
    </w:p>
    <w:p w14:paraId="1D0CF9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企业名称</w:t>
      </w:r>
      <w:r>
        <w:rPr>
          <w:rFonts w:hint="eastAsia" w:ascii="宋体" w:hAnsi="宋体" w:eastAsia="宋体" w:cs="宋体"/>
          <w:color w:val="auto"/>
          <w:sz w:val="28"/>
          <w:szCs w:val="28"/>
          <w:highlight w:val="none"/>
          <w:lang w:val="en-US" w:eastAsia="zh-CN"/>
        </w:rPr>
        <w:t>处填写制造商或承建（承接）企业名称。</w:t>
      </w:r>
    </w:p>
    <w:p w14:paraId="04C317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b/>
          <w:bCs/>
          <w:color w:val="auto"/>
          <w:sz w:val="28"/>
          <w:szCs w:val="28"/>
          <w:highlight w:val="none"/>
        </w:rPr>
        <w:t>从业人员、营业收入、资产总额</w:t>
      </w:r>
      <w:r>
        <w:rPr>
          <w:rFonts w:hint="eastAsia" w:ascii="宋体" w:hAnsi="宋体" w:eastAsia="宋体" w:cs="宋体"/>
          <w:color w:val="auto"/>
          <w:sz w:val="28"/>
          <w:szCs w:val="28"/>
          <w:highlight w:val="none"/>
        </w:rPr>
        <w:t>填报制造商或承建（承接）企业上一年度数据，无上一年度数据的新成立企业可不填报。</w:t>
      </w:r>
    </w:p>
    <w:p w14:paraId="35D858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7.根据实际情况，在</w:t>
      </w:r>
      <w:r>
        <w:rPr>
          <w:rFonts w:hint="eastAsia" w:ascii="宋体" w:hAnsi="宋体" w:eastAsia="宋体" w:cs="宋体"/>
          <w:color w:val="auto"/>
          <w:sz w:val="28"/>
          <w:szCs w:val="28"/>
          <w:highlight w:val="none"/>
        </w:rPr>
        <w:t>中型企业、小型企业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微型企业</w:t>
      </w:r>
      <w:r>
        <w:rPr>
          <w:rFonts w:hint="eastAsia" w:ascii="宋体" w:hAnsi="宋体" w:eastAsia="宋体" w:cs="宋体"/>
          <w:color w:val="auto"/>
          <w:sz w:val="28"/>
          <w:szCs w:val="28"/>
          <w:highlight w:val="none"/>
          <w:lang w:val="en-US" w:eastAsia="zh-CN"/>
        </w:rPr>
        <w:t>三中企业类型中三选一。</w:t>
      </w:r>
    </w:p>
    <w:p w14:paraId="5B6D35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以联合体形式参加政府采购活动，联合体各方均为中小企业的，联合体视同中小企业。其中，联合体各方均为小微企业的，联合体视同小微企业。</w:t>
      </w:r>
    </w:p>
    <w:p w14:paraId="73AC75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1B35AED3">
      <w:pPr>
        <w:adjustRightInd w:val="0"/>
        <w:spacing w:line="400" w:lineRule="exact"/>
        <w:rPr>
          <w:rFonts w:ascii="宋体" w:hAnsi="宋体" w:cs="宋体"/>
          <w:bCs/>
          <w:color w:val="auto"/>
          <w:szCs w:val="22"/>
          <w:highlight w:val="none"/>
        </w:rPr>
      </w:pPr>
      <w:r>
        <w:rPr>
          <w:rFonts w:hint="eastAsia" w:ascii="宋体" w:hAnsi="宋体"/>
          <w:b/>
          <w:color w:val="auto"/>
          <w:highlight w:val="none"/>
        </w:rPr>
        <w:br w:type="page"/>
      </w:r>
      <w:r>
        <w:rPr>
          <w:rFonts w:hint="eastAsia" w:ascii="宋体" w:hAnsi="宋体" w:cs="宋体"/>
          <w:bCs/>
          <w:color w:val="auto"/>
          <w:szCs w:val="22"/>
          <w:highlight w:val="none"/>
        </w:rPr>
        <w:t>附件：根据《中小企业划型标准规定的通知》（工信部联企业〔2011〕300号）规定</w:t>
      </w:r>
    </w:p>
    <w:tbl>
      <w:tblPr>
        <w:tblStyle w:val="5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61155900">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0AE2C74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7291C0B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5B95E25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1E12D15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42A15EA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7CA4B50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微型企业标准</w:t>
            </w:r>
          </w:p>
        </w:tc>
      </w:tr>
      <w:tr w14:paraId="0C7CF74E">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70C41E">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8F68708">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农、林、牧、渔业</w:t>
            </w:r>
          </w:p>
        </w:tc>
        <w:tc>
          <w:tcPr>
            <w:tcW w:w="1329" w:type="dxa"/>
            <w:tcBorders>
              <w:left w:val="single" w:color="000000" w:sz="4" w:space="0"/>
              <w:bottom w:val="single" w:color="000000" w:sz="4" w:space="0"/>
              <w:right w:val="single" w:color="000000" w:sz="4" w:space="0"/>
            </w:tcBorders>
            <w:vAlign w:val="center"/>
          </w:tcPr>
          <w:p w14:paraId="5836ECD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45F20131">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86C0EFE">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05054FE4">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3A249FA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50万元以下</w:t>
            </w:r>
          </w:p>
        </w:tc>
      </w:tr>
      <w:tr w14:paraId="6AE092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F84A82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74E0376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w:t>
            </w:r>
          </w:p>
        </w:tc>
        <w:tc>
          <w:tcPr>
            <w:tcW w:w="1329" w:type="dxa"/>
            <w:tcBorders>
              <w:left w:val="single" w:color="000000" w:sz="4" w:space="0"/>
              <w:bottom w:val="single" w:color="000000" w:sz="4" w:space="0"/>
              <w:right w:val="single" w:color="000000" w:sz="4" w:space="0"/>
            </w:tcBorders>
            <w:vAlign w:val="center"/>
          </w:tcPr>
          <w:p w14:paraId="6D79069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617F5C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F18170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2215D26F">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336FE3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AD2C4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从业人员20人以下或营业收入300万元以下</w:t>
            </w:r>
          </w:p>
        </w:tc>
      </w:tr>
      <w:tr w14:paraId="7740BF6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B5A60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6D99092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建筑业</w:t>
            </w:r>
          </w:p>
        </w:tc>
        <w:tc>
          <w:tcPr>
            <w:tcW w:w="1329" w:type="dxa"/>
            <w:tcBorders>
              <w:left w:val="single" w:color="000000" w:sz="4" w:space="0"/>
              <w:bottom w:val="single" w:color="000000" w:sz="4" w:space="0"/>
              <w:right w:val="single" w:color="000000" w:sz="4" w:space="0"/>
            </w:tcBorders>
            <w:vAlign w:val="center"/>
          </w:tcPr>
          <w:p w14:paraId="05B3EE0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DC334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7E294C1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0BDD76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40108A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962874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营业收入300万元以下或资产总额300万元以下的</w:t>
            </w:r>
          </w:p>
        </w:tc>
      </w:tr>
      <w:tr w14:paraId="18384BB2">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CC299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5789B56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批发业</w:t>
            </w:r>
          </w:p>
        </w:tc>
        <w:tc>
          <w:tcPr>
            <w:tcW w:w="1329" w:type="dxa"/>
            <w:tcBorders>
              <w:left w:val="single" w:color="000000" w:sz="4" w:space="0"/>
              <w:bottom w:val="single" w:color="000000" w:sz="4" w:space="0"/>
              <w:right w:val="single" w:color="000000" w:sz="4" w:space="0"/>
            </w:tcBorders>
            <w:vAlign w:val="center"/>
          </w:tcPr>
          <w:p w14:paraId="469DCE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0C78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B7AEB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BEA7C4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FC0B32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F5F5F0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从业人员5人以下或营业收入1000万元以下的</w:t>
            </w:r>
          </w:p>
        </w:tc>
      </w:tr>
      <w:tr w14:paraId="660173BA">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10AD7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28E8CDD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零售业</w:t>
            </w:r>
          </w:p>
        </w:tc>
        <w:tc>
          <w:tcPr>
            <w:tcW w:w="1329" w:type="dxa"/>
            <w:tcBorders>
              <w:left w:val="single" w:color="000000" w:sz="4" w:space="0"/>
              <w:bottom w:val="single" w:color="000000" w:sz="4" w:space="0"/>
              <w:right w:val="single" w:color="000000" w:sz="4" w:space="0"/>
            </w:tcBorders>
            <w:vAlign w:val="center"/>
          </w:tcPr>
          <w:p w14:paraId="7500688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0DAD22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807432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3BDFA1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698C77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A74FD4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0ED08216">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0EEBCB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D10B7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交通运输业</w:t>
            </w:r>
          </w:p>
        </w:tc>
        <w:tc>
          <w:tcPr>
            <w:tcW w:w="1329" w:type="dxa"/>
            <w:tcBorders>
              <w:left w:val="single" w:color="000000" w:sz="4" w:space="0"/>
              <w:bottom w:val="single" w:color="000000" w:sz="4" w:space="0"/>
              <w:right w:val="single" w:color="000000" w:sz="4" w:space="0"/>
            </w:tcBorders>
            <w:vAlign w:val="center"/>
          </w:tcPr>
          <w:p w14:paraId="6A2D175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2A1700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DE24A1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8060A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78984B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DDD45D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从业人员20人以下或营业收入200万元以下的</w:t>
            </w:r>
          </w:p>
        </w:tc>
      </w:tr>
      <w:tr w14:paraId="1EEBD1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1A035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474CDA3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仓储业</w:t>
            </w:r>
          </w:p>
        </w:tc>
        <w:tc>
          <w:tcPr>
            <w:tcW w:w="1329" w:type="dxa"/>
            <w:tcBorders>
              <w:left w:val="single" w:color="000000" w:sz="4" w:space="0"/>
              <w:bottom w:val="single" w:color="000000" w:sz="4" w:space="0"/>
              <w:right w:val="single" w:color="000000" w:sz="4" w:space="0"/>
            </w:tcBorders>
            <w:vAlign w:val="center"/>
          </w:tcPr>
          <w:p w14:paraId="6997D13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E4C556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95E8B0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EB0B84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71F108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8A60C3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3307F9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1EA094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D1E4B0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邮政业</w:t>
            </w:r>
          </w:p>
        </w:tc>
        <w:tc>
          <w:tcPr>
            <w:tcW w:w="1329" w:type="dxa"/>
            <w:tcBorders>
              <w:left w:val="single" w:color="000000" w:sz="4" w:space="0"/>
              <w:bottom w:val="single" w:color="000000" w:sz="4" w:space="0"/>
              <w:right w:val="single" w:color="000000" w:sz="4" w:space="0"/>
            </w:tcBorders>
            <w:vAlign w:val="center"/>
          </w:tcPr>
          <w:p w14:paraId="6EACBB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82B5D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E2F2A3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E14B9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165FA6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618616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BEAD7E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50489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3732E85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住宿业</w:t>
            </w:r>
          </w:p>
        </w:tc>
        <w:tc>
          <w:tcPr>
            <w:tcW w:w="1329" w:type="dxa"/>
            <w:tcBorders>
              <w:left w:val="single" w:color="000000" w:sz="4" w:space="0"/>
              <w:bottom w:val="single" w:color="000000" w:sz="4" w:space="0"/>
              <w:right w:val="single" w:color="000000" w:sz="4" w:space="0"/>
            </w:tcBorders>
            <w:vAlign w:val="center"/>
          </w:tcPr>
          <w:p w14:paraId="15A7498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726D37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412D20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C6DFD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4B8682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EC4807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54FA48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66170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0AF3467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餐饮业</w:t>
            </w:r>
          </w:p>
        </w:tc>
        <w:tc>
          <w:tcPr>
            <w:tcW w:w="1329" w:type="dxa"/>
            <w:tcBorders>
              <w:left w:val="single" w:color="000000" w:sz="4" w:space="0"/>
              <w:bottom w:val="single" w:color="000000" w:sz="4" w:space="0"/>
              <w:right w:val="single" w:color="000000" w:sz="4" w:space="0"/>
            </w:tcBorders>
            <w:vAlign w:val="center"/>
          </w:tcPr>
          <w:p w14:paraId="3F6F175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38D3270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6FBDF1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E03FF6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EF28FF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EDEB60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77DCBF6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87B16E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490D0C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信息传输业</w:t>
            </w:r>
          </w:p>
        </w:tc>
        <w:tc>
          <w:tcPr>
            <w:tcW w:w="1329" w:type="dxa"/>
            <w:tcBorders>
              <w:left w:val="single" w:color="000000" w:sz="4" w:space="0"/>
              <w:bottom w:val="single" w:color="000000" w:sz="4" w:space="0"/>
              <w:right w:val="single" w:color="000000" w:sz="4" w:space="0"/>
            </w:tcBorders>
            <w:vAlign w:val="center"/>
          </w:tcPr>
          <w:p w14:paraId="6D84ED9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D303D3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97BBC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8B80C3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BD5373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AAF60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4A2A8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43ABFB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24401EC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软件和信息技术服务业</w:t>
            </w:r>
          </w:p>
        </w:tc>
        <w:tc>
          <w:tcPr>
            <w:tcW w:w="1329" w:type="dxa"/>
            <w:tcBorders>
              <w:left w:val="single" w:color="000000" w:sz="4" w:space="0"/>
              <w:bottom w:val="single" w:color="000000" w:sz="4" w:space="0"/>
              <w:right w:val="single" w:color="000000" w:sz="4" w:space="0"/>
            </w:tcBorders>
            <w:vAlign w:val="center"/>
          </w:tcPr>
          <w:p w14:paraId="4E7B8E3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7F08467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D8CC0E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2C252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81F51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E4F26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从业人员10人以下或营业收入50万元以下的</w:t>
            </w:r>
          </w:p>
        </w:tc>
      </w:tr>
      <w:tr w14:paraId="43E1163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9F15F1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74D10B3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房地产开发经营</w:t>
            </w:r>
          </w:p>
        </w:tc>
        <w:tc>
          <w:tcPr>
            <w:tcW w:w="1329" w:type="dxa"/>
            <w:tcBorders>
              <w:left w:val="single" w:color="000000" w:sz="4" w:space="0"/>
              <w:bottom w:val="single" w:color="000000" w:sz="4" w:space="0"/>
              <w:right w:val="single" w:color="000000" w:sz="4" w:space="0"/>
            </w:tcBorders>
            <w:vAlign w:val="center"/>
          </w:tcPr>
          <w:p w14:paraId="1D586CE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B47BD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1984D41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E7EA01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5EE9B5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C0E9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营业收入100万元以下或资产总额2000万元以下的</w:t>
            </w:r>
          </w:p>
        </w:tc>
      </w:tr>
      <w:tr w14:paraId="1BA0CA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B50204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B8713F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物业管理</w:t>
            </w:r>
          </w:p>
        </w:tc>
        <w:tc>
          <w:tcPr>
            <w:tcW w:w="1329" w:type="dxa"/>
            <w:tcBorders>
              <w:left w:val="single" w:color="000000" w:sz="4" w:space="0"/>
              <w:bottom w:val="single" w:color="000000" w:sz="4" w:space="0"/>
              <w:right w:val="single" w:color="000000" w:sz="4" w:space="0"/>
            </w:tcBorders>
            <w:vAlign w:val="center"/>
          </w:tcPr>
          <w:p w14:paraId="194B4F2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97F324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2DDD38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5BFEA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AD7F3B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94D87B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从业人员100人以下或营业收入500万元以下的</w:t>
            </w:r>
          </w:p>
        </w:tc>
      </w:tr>
      <w:tr w14:paraId="68262A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3D209C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6497594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租赁和商务服务业</w:t>
            </w:r>
          </w:p>
        </w:tc>
        <w:tc>
          <w:tcPr>
            <w:tcW w:w="1329" w:type="dxa"/>
            <w:tcBorders>
              <w:left w:val="single" w:color="000000" w:sz="4" w:space="0"/>
              <w:bottom w:val="single" w:color="000000" w:sz="4" w:space="0"/>
              <w:right w:val="single" w:color="000000" w:sz="4" w:space="0"/>
            </w:tcBorders>
            <w:vAlign w:val="center"/>
          </w:tcPr>
          <w:p w14:paraId="7E4E1DC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4FB32E6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6FC0662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2113A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463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BAEB3D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从业人员10人以下或资产总额100万元以下的</w:t>
            </w:r>
          </w:p>
        </w:tc>
      </w:tr>
      <w:tr w14:paraId="313B74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C83465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4EEB4FF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其他未列明行业</w:t>
            </w:r>
          </w:p>
        </w:tc>
        <w:tc>
          <w:tcPr>
            <w:tcW w:w="1329" w:type="dxa"/>
            <w:tcBorders>
              <w:left w:val="single" w:color="000000" w:sz="4" w:space="0"/>
              <w:bottom w:val="single" w:color="000000" w:sz="4" w:space="0"/>
              <w:right w:val="single" w:color="000000" w:sz="4" w:space="0"/>
            </w:tcBorders>
            <w:vAlign w:val="center"/>
          </w:tcPr>
          <w:p w14:paraId="078C98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tc>
        <w:tc>
          <w:tcPr>
            <w:tcW w:w="1755" w:type="dxa"/>
            <w:tcBorders>
              <w:left w:val="single" w:color="000000" w:sz="4" w:space="0"/>
              <w:bottom w:val="single" w:color="000000" w:sz="4" w:space="0"/>
              <w:right w:val="single" w:color="000000" w:sz="4" w:space="0"/>
            </w:tcBorders>
            <w:vAlign w:val="center"/>
          </w:tcPr>
          <w:p w14:paraId="688D16C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9C8D1A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A22D3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A95617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从业人员10人以下的</w:t>
            </w:r>
          </w:p>
        </w:tc>
      </w:tr>
    </w:tbl>
    <w:p w14:paraId="26C3EDEA">
      <w:pPr>
        <w:rPr>
          <w:rFonts w:hint="eastAsia" w:ascii="宋体" w:hAnsi="宋体"/>
          <w:b/>
          <w:color w:val="auto"/>
          <w:highlight w:val="none"/>
        </w:rPr>
      </w:pPr>
    </w:p>
    <w:p w14:paraId="32EEF4A1">
      <w:pPr>
        <w:pStyle w:val="2"/>
        <w:spacing w:line="360" w:lineRule="auto"/>
        <w:jc w:val="center"/>
        <w:rPr>
          <w:rFonts w:ascii="黑体" w:hAnsi="宋体" w:eastAsia="黑体"/>
          <w:color w:val="auto"/>
          <w:sz w:val="30"/>
          <w:szCs w:val="30"/>
          <w:highlight w:val="none"/>
        </w:rPr>
      </w:pPr>
      <w:r>
        <w:rPr>
          <w:rFonts w:hint="eastAsia" w:ascii="黑体" w:eastAsia="黑体"/>
          <w:color w:val="auto"/>
          <w:sz w:val="30"/>
          <w:szCs w:val="30"/>
          <w:highlight w:val="none"/>
        </w:rPr>
        <w:br w:type="page"/>
      </w:r>
      <w:bookmarkEnd w:id="340"/>
      <w:bookmarkEnd w:id="341"/>
      <w:bookmarkEnd w:id="342"/>
      <w:bookmarkStart w:id="361" w:name="_Toc17300"/>
      <w:bookmarkStart w:id="362" w:name="_Toc16359"/>
      <w:bookmarkStart w:id="363" w:name="_Toc2059"/>
      <w:bookmarkStart w:id="364" w:name="_Toc12357"/>
      <w:r>
        <w:rPr>
          <w:rFonts w:hint="eastAsia"/>
          <w:color w:val="auto"/>
          <w:highlight w:val="none"/>
        </w:rPr>
        <w:t>第六章  拟签订合同主要条款</w:t>
      </w:r>
      <w:bookmarkEnd w:id="361"/>
      <w:bookmarkEnd w:id="362"/>
      <w:bookmarkEnd w:id="363"/>
      <w:bookmarkEnd w:id="364"/>
    </w:p>
    <w:p w14:paraId="3777549B">
      <w:pPr>
        <w:adjustRightInd w:val="0"/>
        <w:snapToGrid w:val="0"/>
        <w:spacing w:line="500" w:lineRule="exact"/>
        <w:ind w:firstLine="482" w:firstLineChars="200"/>
        <w:rPr>
          <w:rFonts w:hint="eastAsia" w:ascii="宋体" w:hAnsi="宋体"/>
          <w:b/>
          <w:sz w:val="24"/>
        </w:rPr>
      </w:pPr>
      <w:r>
        <w:rPr>
          <w:rFonts w:hint="eastAsia" w:ascii="宋体" w:hAnsi="宋体"/>
          <w:b/>
          <w:sz w:val="24"/>
        </w:rPr>
        <w:t>（格式样本仅供参考，在不改变实质性需要的前提下自行修改）</w:t>
      </w:r>
    </w:p>
    <w:p w14:paraId="72BE27A4">
      <w:pPr>
        <w:adjustRightInd w:val="0"/>
        <w:snapToGrid w:val="0"/>
        <w:spacing w:line="500" w:lineRule="exact"/>
        <w:ind w:firstLine="480" w:firstLineChars="200"/>
        <w:rPr>
          <w:rFonts w:hint="eastAsia"/>
          <w:sz w:val="24"/>
          <w:lang w:val="zh-CN"/>
        </w:rPr>
      </w:pPr>
      <w:r>
        <w:rPr>
          <w:rFonts w:hint="eastAsia"/>
          <w:sz w:val="24"/>
          <w:lang w:val="zh-CN"/>
        </w:rPr>
        <w:t>需方：</w:t>
      </w:r>
      <w:r>
        <w:rPr>
          <w:rFonts w:hint="eastAsia" w:ascii="微软雅黑" w:hAnsi="微软雅黑" w:eastAsia="微软雅黑" w:cs="微软雅黑"/>
          <w:color w:val="000000"/>
          <w:sz w:val="24"/>
          <w:lang w:eastAsia="zh-CN"/>
        </w:rPr>
        <w:t>大盘山国家级自然保护区管理局</w:t>
      </w:r>
      <w:r>
        <w:rPr>
          <w:rFonts w:hint="eastAsia"/>
          <w:sz w:val="24"/>
          <w:lang w:val="zh-CN"/>
        </w:rPr>
        <w:t xml:space="preserve">  （以下简称甲方）</w:t>
      </w:r>
    </w:p>
    <w:p w14:paraId="3ECD1A42">
      <w:pPr>
        <w:adjustRightInd w:val="0"/>
        <w:snapToGrid w:val="0"/>
        <w:spacing w:line="500" w:lineRule="exact"/>
        <w:ind w:firstLine="480" w:firstLineChars="200"/>
        <w:rPr>
          <w:rFonts w:hint="eastAsia"/>
          <w:sz w:val="24"/>
          <w:lang w:val="zh-CN"/>
        </w:rPr>
      </w:pPr>
      <w:r>
        <w:rPr>
          <w:rFonts w:hint="eastAsia"/>
          <w:sz w:val="24"/>
          <w:lang w:val="zh-CN"/>
        </w:rPr>
        <w:t xml:space="preserve">供方：        </w:t>
      </w:r>
      <w:r>
        <w:rPr>
          <w:rFonts w:hint="eastAsia"/>
          <w:sz w:val="24"/>
        </w:rPr>
        <w:t xml:space="preserve">                       </w:t>
      </w:r>
      <w:r>
        <w:rPr>
          <w:rFonts w:hint="eastAsia"/>
          <w:sz w:val="24"/>
          <w:lang w:val="zh-CN"/>
        </w:rPr>
        <w:t>（以下简称乙方）</w:t>
      </w:r>
    </w:p>
    <w:p w14:paraId="7CFC1C34">
      <w:pPr>
        <w:pStyle w:val="545"/>
        <w:spacing w:line="480" w:lineRule="exact"/>
        <w:jc w:val="both"/>
        <w:rPr>
          <w:rFonts w:hint="eastAsia"/>
        </w:rPr>
      </w:pPr>
      <w:r>
        <w:rPr>
          <w:rFonts w:hint="eastAsia"/>
          <w:color w:val="auto"/>
          <w:sz w:val="21"/>
          <w:szCs w:val="21"/>
        </w:rPr>
        <w:t>为有效开展松材线虫病防治工作</w:t>
      </w:r>
      <w:r>
        <w:rPr>
          <w:rFonts w:hint="eastAsia"/>
          <w:color w:val="auto"/>
          <w:sz w:val="21"/>
          <w:szCs w:val="21"/>
          <w:lang w:eastAsia="zh-CN"/>
        </w:rPr>
        <w:t>，</w:t>
      </w:r>
      <w:r>
        <w:rPr>
          <w:rFonts w:hint="eastAsia"/>
          <w:color w:val="auto"/>
          <w:sz w:val="21"/>
          <w:szCs w:val="21"/>
        </w:rPr>
        <w:t>根据《中华人民共和国</w:t>
      </w:r>
      <w:r>
        <w:rPr>
          <w:rFonts w:hint="eastAsia"/>
          <w:color w:val="auto"/>
          <w:sz w:val="21"/>
          <w:szCs w:val="21"/>
          <w:lang w:eastAsia="zh-CN"/>
        </w:rPr>
        <w:t>民法典</w:t>
      </w:r>
      <w:r>
        <w:rPr>
          <w:rFonts w:hint="eastAsia"/>
          <w:color w:val="auto"/>
          <w:sz w:val="21"/>
          <w:szCs w:val="21"/>
        </w:rPr>
        <w:t>》</w:t>
      </w:r>
      <w:r>
        <w:rPr>
          <w:rFonts w:hint="eastAsia"/>
          <w:color w:val="auto"/>
          <w:sz w:val="21"/>
          <w:szCs w:val="21"/>
          <w:lang w:val="en-US" w:eastAsia="zh-CN"/>
        </w:rPr>
        <w:t>《松材线虫病疫区和疫木管理办法》（林生发〔2018〕117 号）、《松材线虫病生态灾害督办追责办法》（林生发〔2019〕55 号）、《国家林业和草原局关于科学防控松材线虫病疫情的指导意见》（林生发〔2021〕30号）、《松材线虫病防治技术方案（2022 年版）》（林生发〔2022〕94 号）、《浙江省松材线虫病防治条例》《浙江省林业局关于印发&lt;浙江省松材线虫病疫情防控五年攻坚行动计划（2021—2025 年）&gt;的通知》（浙林绿〔2021〕77号）、《磐安县2024-2025年度松材线虫病防控实施方案》等有关法律法规和文件规定</w:t>
      </w:r>
      <w:r>
        <w:rPr>
          <w:rFonts w:hint="eastAsia"/>
          <w:color w:val="auto"/>
          <w:sz w:val="21"/>
          <w:szCs w:val="21"/>
        </w:rPr>
        <w:t>，双方秉持自愿平等、公平守信原则，就松材线虫病枯死树除治工程施工有关事项协商一致，订立本合同，具体内容如下：</w:t>
      </w:r>
    </w:p>
    <w:p w14:paraId="700EC837">
      <w:pPr>
        <w:numPr>
          <w:ilvl w:val="0"/>
          <w:numId w:val="5"/>
        </w:numPr>
        <w:adjustRightInd w:val="0"/>
        <w:snapToGrid w:val="0"/>
        <w:spacing w:line="500" w:lineRule="exact"/>
        <w:ind w:firstLine="480" w:firstLineChars="200"/>
        <w:rPr>
          <w:rFonts w:hint="eastAsia" w:ascii="宋体" w:hAnsi="宋体"/>
          <w:color w:val="000000"/>
          <w:sz w:val="26"/>
          <w:lang w:val="en-US" w:eastAsia="zh-CN"/>
        </w:rPr>
      </w:pPr>
      <w:r>
        <w:rPr>
          <w:rFonts w:hint="eastAsia"/>
          <w:sz w:val="24"/>
        </w:rPr>
        <w:t>服务内容</w:t>
      </w:r>
    </w:p>
    <w:p w14:paraId="49B0FEF5">
      <w:pPr>
        <w:numPr>
          <w:ilvl w:val="0"/>
          <w:numId w:val="0"/>
        </w:numPr>
        <w:adjustRightInd w:val="0"/>
        <w:snapToGrid w:val="0"/>
        <w:spacing w:line="500" w:lineRule="exact"/>
        <w:ind w:firstLine="720" w:firstLineChars="300"/>
        <w:rPr>
          <w:rFonts w:hint="eastAsia" w:ascii="宋体" w:hAnsi="宋体"/>
          <w:color w:val="000000"/>
          <w:sz w:val="26"/>
          <w:lang w:val="en-US" w:eastAsia="zh-CN"/>
        </w:rPr>
      </w:pPr>
      <w:r>
        <w:rPr>
          <w:rFonts w:hint="eastAsia"/>
          <w:sz w:val="24"/>
          <w:lang w:val="en-US" w:eastAsia="zh-CN"/>
        </w:rPr>
        <w:t>1.</w:t>
      </w:r>
      <w:r>
        <w:rPr>
          <w:rFonts w:hint="eastAsia" w:ascii="宋体" w:hAnsi="宋体"/>
          <w:color w:val="000000"/>
          <w:sz w:val="26"/>
          <w:lang w:val="en-US" w:eastAsia="zh-CN"/>
        </w:rPr>
        <w:t>作业范围：根据2025年大盘山松材线虫病枯死松树清理服务项目调查，招标内容为业主要求所有范围的病枯死松树进行清理。</w:t>
      </w:r>
    </w:p>
    <w:p w14:paraId="46CCAE1B">
      <w:pPr>
        <w:numPr>
          <w:ilvl w:val="0"/>
          <w:numId w:val="0"/>
        </w:numPr>
        <w:wordWrap w:val="0"/>
        <w:spacing w:before="99" w:after="0" w:line="336" w:lineRule="auto"/>
        <w:ind w:left="740" w:leftChars="0" w:right="300" w:rightChars="0"/>
        <w:jc w:val="both"/>
        <w:rPr>
          <w:sz w:val="24"/>
          <w:szCs w:val="24"/>
        </w:rPr>
      </w:pPr>
      <w:r>
        <w:rPr>
          <w:rFonts w:hint="eastAsia" w:ascii="宋体" w:hAnsi="宋体"/>
          <w:color w:val="000000"/>
          <w:sz w:val="24"/>
          <w:szCs w:val="24"/>
          <w:lang w:val="en-US" w:eastAsia="zh-CN"/>
        </w:rPr>
        <w:t>2.清理要求：</w:t>
      </w:r>
      <w:r>
        <w:rPr>
          <w:rFonts w:hint="eastAsia" w:ascii="宋体" w:hAnsi="宋体" w:eastAsia="宋体"/>
          <w:color w:val="000000"/>
          <w:sz w:val="24"/>
          <w:szCs w:val="24"/>
        </w:rPr>
        <w:t>严格执行《松材线虫病防治技术方案（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w:t>
      </w:r>
    </w:p>
    <w:p w14:paraId="0DFCB943">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伐桩处理：对疫木伐除后，按松材线虫病防治技术方案（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年版）》相关规定处理，伐桩上坡度面最高处的高度不得超过</w:t>
      </w:r>
      <w:r>
        <w:rPr>
          <w:rFonts w:hint="eastAsia" w:ascii="Calibri" w:hAnsi="Calibri" w:eastAsia="Calibri"/>
          <w:color w:val="000000"/>
          <w:sz w:val="24"/>
          <w:szCs w:val="24"/>
        </w:rPr>
        <w:t>5cm</w:t>
      </w:r>
      <w:r>
        <w:rPr>
          <w:rFonts w:hint="eastAsia" w:ascii="宋体" w:hAnsi="宋体" w:eastAsia="宋体"/>
          <w:color w:val="000000"/>
          <w:sz w:val="24"/>
          <w:szCs w:val="24"/>
        </w:rPr>
        <w:t>。伐桩采用塑料薄膜覆盖，四周用土压实。</w:t>
      </w:r>
    </w:p>
    <w:p w14:paraId="03B4DFEC">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FF0000"/>
          <w:sz w:val="24"/>
          <w:szCs w:val="24"/>
          <w:lang w:eastAsia="zh-CN"/>
        </w:rPr>
      </w:pP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．枝桠处理：除治山场范围内，清理收集所有直径大于</w:t>
      </w:r>
      <w:r>
        <w:rPr>
          <w:rFonts w:hint="eastAsia" w:ascii="Calibri" w:hAnsi="Calibri" w:eastAsia="Calibri"/>
          <w:color w:val="000000"/>
          <w:sz w:val="24"/>
          <w:szCs w:val="24"/>
        </w:rPr>
        <w:t>1cm</w:t>
      </w:r>
      <w:r>
        <w:rPr>
          <w:rFonts w:hint="eastAsia" w:ascii="宋体" w:hAnsi="宋体" w:eastAsia="宋体"/>
          <w:color w:val="000000"/>
          <w:sz w:val="24"/>
          <w:szCs w:val="24"/>
        </w:rPr>
        <w:t>的死亡（病死、其他原因致死）的松树枝桠，</w:t>
      </w:r>
      <w:r>
        <w:rPr>
          <w:rFonts w:hint="eastAsia" w:ascii="宋体" w:hAnsi="宋体" w:eastAsia="宋体"/>
          <w:color w:val="FF0000"/>
          <w:sz w:val="24"/>
          <w:szCs w:val="24"/>
        </w:rPr>
        <w:t>随疫木主干</w:t>
      </w:r>
      <w:r>
        <w:rPr>
          <w:rFonts w:hint="eastAsia" w:ascii="宋体" w:hAnsi="宋体" w:eastAsia="宋体" w:cs="宋体"/>
          <w:i w:val="0"/>
          <w:iCs w:val="0"/>
          <w:caps w:val="0"/>
          <w:color w:val="FF0000"/>
          <w:spacing w:val="0"/>
          <w:sz w:val="24"/>
          <w:szCs w:val="24"/>
        </w:rPr>
        <w:t>使用</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丝直径≥0.12毫米，网目数≥8目的锻压</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丝网罩包裹疫木</w:t>
      </w:r>
      <w:r>
        <w:rPr>
          <w:rFonts w:hint="eastAsia" w:ascii="宋体" w:hAnsi="宋体" w:cs="宋体"/>
          <w:i w:val="0"/>
          <w:iCs w:val="0"/>
          <w:caps w:val="0"/>
          <w:color w:val="FF0000"/>
          <w:spacing w:val="0"/>
          <w:sz w:val="24"/>
          <w:szCs w:val="24"/>
          <w:lang w:eastAsia="zh-CN"/>
        </w:rPr>
        <w:t>，</w:t>
      </w:r>
      <w:r>
        <w:rPr>
          <w:rFonts w:hint="eastAsia" w:ascii="宋体" w:hAnsi="宋体" w:eastAsia="宋体" w:cs="宋体"/>
          <w:i w:val="0"/>
          <w:iCs w:val="0"/>
          <w:caps w:val="0"/>
          <w:color w:val="FF0000"/>
          <w:spacing w:val="0"/>
          <w:sz w:val="24"/>
          <w:szCs w:val="24"/>
        </w:rPr>
        <w:t>并进行锁边</w:t>
      </w:r>
      <w:r>
        <w:rPr>
          <w:rFonts w:hint="eastAsia" w:ascii="宋体" w:hAnsi="宋体" w:eastAsia="宋体"/>
          <w:color w:val="FF0000"/>
          <w:sz w:val="24"/>
          <w:szCs w:val="24"/>
        </w:rPr>
        <w:t>就地封存</w:t>
      </w:r>
      <w:r>
        <w:rPr>
          <w:rFonts w:hint="eastAsia" w:ascii="宋体" w:hAnsi="宋体" w:cs="宋体"/>
          <w:i w:val="0"/>
          <w:iCs w:val="0"/>
          <w:caps w:val="0"/>
          <w:color w:val="FF0000"/>
          <w:spacing w:val="0"/>
          <w:sz w:val="24"/>
          <w:szCs w:val="24"/>
          <w:lang w:eastAsia="zh-CN"/>
        </w:rPr>
        <w:t>。</w:t>
      </w:r>
    </w:p>
    <w:p w14:paraId="22F9093E">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FF0000"/>
          <w:sz w:val="24"/>
          <w:szCs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．疫木处理：</w:t>
      </w:r>
      <w:r>
        <w:rPr>
          <w:rFonts w:hint="eastAsia" w:ascii="宋体" w:hAnsi="宋体" w:eastAsia="宋体"/>
          <w:color w:val="FF0000"/>
          <w:sz w:val="24"/>
          <w:szCs w:val="24"/>
        </w:rPr>
        <w:t>伐除的松木连同直径大于</w:t>
      </w:r>
      <w:r>
        <w:rPr>
          <w:rFonts w:hint="eastAsia" w:ascii="Calibri" w:hAnsi="Calibri" w:eastAsia="Calibri"/>
          <w:color w:val="FF0000"/>
          <w:sz w:val="24"/>
          <w:szCs w:val="24"/>
        </w:rPr>
        <w:t>1cm</w:t>
      </w:r>
      <w:r>
        <w:rPr>
          <w:rFonts w:hint="eastAsia" w:ascii="宋体" w:hAnsi="宋体" w:eastAsia="宋体"/>
          <w:color w:val="FF0000"/>
          <w:sz w:val="24"/>
          <w:szCs w:val="24"/>
        </w:rPr>
        <w:t>的枝桠全部用</w:t>
      </w:r>
      <w:r>
        <w:rPr>
          <w:rFonts w:hint="eastAsia" w:ascii="宋体" w:hAnsi="宋体" w:eastAsia="宋体" w:cs="宋体"/>
          <w:i w:val="0"/>
          <w:iCs w:val="0"/>
          <w:caps w:val="0"/>
          <w:color w:val="FF0000"/>
          <w:spacing w:val="0"/>
          <w:sz w:val="24"/>
          <w:szCs w:val="24"/>
        </w:rPr>
        <w:t>使用</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丝直径≥0.12毫米，网目数≥8目的锻压</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丝网罩包裹疫木</w:t>
      </w:r>
      <w:r>
        <w:rPr>
          <w:rFonts w:hint="eastAsia" w:ascii="宋体" w:hAnsi="宋体" w:cs="宋体"/>
          <w:i w:val="0"/>
          <w:iCs w:val="0"/>
          <w:caps w:val="0"/>
          <w:color w:val="FF0000"/>
          <w:spacing w:val="0"/>
          <w:sz w:val="24"/>
          <w:szCs w:val="24"/>
          <w:lang w:eastAsia="zh-CN"/>
        </w:rPr>
        <w:t>，</w:t>
      </w:r>
      <w:r>
        <w:rPr>
          <w:rFonts w:hint="eastAsia" w:ascii="宋体" w:hAnsi="宋体" w:eastAsia="宋体" w:cs="宋体"/>
          <w:i w:val="0"/>
          <w:iCs w:val="0"/>
          <w:caps w:val="0"/>
          <w:color w:val="FF0000"/>
          <w:spacing w:val="0"/>
          <w:sz w:val="24"/>
          <w:szCs w:val="24"/>
        </w:rPr>
        <w:t>并进行锁边</w:t>
      </w:r>
      <w:r>
        <w:rPr>
          <w:rFonts w:hint="eastAsia" w:ascii="宋体" w:hAnsi="宋体" w:eastAsia="宋体"/>
          <w:color w:val="FF0000"/>
          <w:sz w:val="24"/>
          <w:szCs w:val="24"/>
        </w:rPr>
        <w:t>就地封存。</w:t>
      </w:r>
    </w:p>
    <w:p w14:paraId="5DC9BB63">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9"/>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其他：采伐过程中，严禁砍伐活立木。</w:t>
      </w:r>
    </w:p>
    <w:p w14:paraId="51EB2007">
      <w:pPr>
        <w:keepNext w:val="0"/>
        <w:keepLines w:val="0"/>
        <w:pageBreakBefore w:val="0"/>
        <w:widowControl w:val="0"/>
        <w:kinsoku/>
        <w:wordWrap w:val="0"/>
        <w:overflowPunct/>
        <w:topLinePunct w:val="0"/>
        <w:autoSpaceDE/>
        <w:autoSpaceDN/>
        <w:bidi w:val="0"/>
        <w:adjustRightInd/>
        <w:snapToGrid/>
        <w:spacing w:before="0" w:after="0" w:line="380" w:lineRule="exact"/>
        <w:ind w:firstLine="720"/>
        <w:jc w:val="both"/>
        <w:textAlignment w:val="auto"/>
        <w:rPr>
          <w:rFonts w:hint="eastAsia" w:ascii="宋体" w:hAnsi="宋体"/>
          <w:color w:val="000000"/>
          <w:sz w:val="26"/>
          <w:lang w:val="en-US" w:eastAsia="zh-CN"/>
        </w:rPr>
      </w:pPr>
      <w:r>
        <w:rPr>
          <w:rFonts w:hint="eastAsia" w:ascii="宋体" w:hAnsi="宋体" w:eastAsia="宋体"/>
          <w:b/>
          <w:color w:val="000000"/>
          <w:sz w:val="26"/>
          <w:lang w:val="en-US" w:eastAsia="zh-CN"/>
        </w:rPr>
        <w:t>3.</w:t>
      </w:r>
      <w:r>
        <w:rPr>
          <w:rFonts w:hint="eastAsia" w:ascii="宋体" w:hAnsi="宋体" w:eastAsia="宋体"/>
          <w:b/>
          <w:color w:val="000000"/>
          <w:sz w:val="26"/>
        </w:rPr>
        <w:t>工作要求</w:t>
      </w:r>
    </w:p>
    <w:p w14:paraId="6B5A0849">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(1）．乙方必须根据甲方制定的松材线虫病除治和疫木清理方案开展清理作业，不得突破批准的采伐限额指标，也不得遗漏枯死松树。</w:t>
      </w:r>
    </w:p>
    <w:p w14:paraId="456B722E">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(2）．乙方施工质量严格执行“510清干净“标准，伐桩低于5厘米，直径1厘米以上枝桠全部采用钢丝网打包封存，山上不得遗留除治对象。</w:t>
      </w:r>
    </w:p>
    <w:p w14:paraId="6AB8B06B">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default" w:ascii="宋体" w:hAnsi="宋体"/>
          <w:color w:val="000000"/>
          <w:sz w:val="26"/>
          <w:lang w:val="en-US" w:eastAsia="zh-CN"/>
        </w:rPr>
      </w:pPr>
      <w:r>
        <w:rPr>
          <w:rFonts w:hint="eastAsia" w:ascii="宋体" w:hAnsi="宋体"/>
          <w:color w:val="000000"/>
          <w:sz w:val="26"/>
          <w:lang w:val="en-US" w:eastAsia="zh-CN"/>
        </w:rPr>
        <w:t>(3）．乙方必须确保足额的除治人员，配备足够的除治器械，及时足额缴纳除治人员的保险，做好安全生产管理。若发生安全事故，由乙方自行承担。</w:t>
      </w:r>
    </w:p>
    <w:p w14:paraId="52085D9E">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(4）．乙方要积极配合甲方开展质量抽查和验收，抽查发现的质量问题要求在3日内完成整改。如故意拖延不及时整改，甲方可委托其他清理单位整改，整改费用由乙方承担。</w:t>
      </w:r>
    </w:p>
    <w:p w14:paraId="2168639B">
      <w:pPr>
        <w:keepNext w:val="0"/>
        <w:keepLines w:val="0"/>
        <w:pageBreakBefore w:val="0"/>
        <w:widowControl/>
        <w:kinsoku/>
        <w:overflowPunct/>
        <w:topLinePunct w:val="0"/>
        <w:autoSpaceDE/>
        <w:autoSpaceDN/>
        <w:bidi w:val="0"/>
        <w:adjustRightInd/>
        <w:snapToGrid/>
        <w:spacing w:line="380" w:lineRule="exact"/>
        <w:ind w:firstLine="480" w:firstLineChars="200"/>
        <w:jc w:val="left"/>
        <w:textAlignment w:val="auto"/>
        <w:rPr>
          <w:rFonts w:hint="eastAsia"/>
          <w:sz w:val="24"/>
        </w:rPr>
      </w:pPr>
      <w:r>
        <w:rPr>
          <w:rFonts w:hint="eastAsia"/>
          <w:sz w:val="24"/>
          <w:lang w:val="en-US" w:eastAsia="zh-CN"/>
        </w:rPr>
        <w:t>3</w:t>
      </w:r>
      <w:r>
        <w:rPr>
          <w:rFonts w:hint="eastAsia"/>
          <w:sz w:val="24"/>
        </w:rPr>
        <w:t>.清理时间：根据松材线虫病疫情发生的特点，</w:t>
      </w:r>
      <w:r>
        <w:rPr>
          <w:rFonts w:hint="eastAsia" w:ascii="微软雅黑" w:hAnsi="微软雅黑" w:eastAsia="微软雅黑" w:cs="微软雅黑"/>
          <w:sz w:val="24"/>
        </w:rPr>
        <w:t> </w:t>
      </w:r>
      <w:r>
        <w:rPr>
          <w:rFonts w:hint="eastAsia"/>
          <w:sz w:val="24"/>
        </w:rPr>
        <w:t>在2025年12月30日前全面完成枯死松树清理工作（其中</w:t>
      </w:r>
      <w:r>
        <w:rPr>
          <w:rFonts w:hint="eastAsia" w:ascii="宋体" w:hAnsi="宋体" w:cs="宋体"/>
          <w:sz w:val="24"/>
        </w:rPr>
        <w:t>公路主干线、</w:t>
      </w:r>
      <w:r>
        <w:rPr>
          <w:rFonts w:hint="eastAsia" w:ascii="宋体" w:hAnsi="宋体" w:cs="宋体"/>
          <w:sz w:val="24"/>
          <w:lang w:val="en-US" w:eastAsia="zh-CN"/>
        </w:rPr>
        <w:t>村庄</w:t>
      </w:r>
      <w:r>
        <w:rPr>
          <w:rFonts w:hint="eastAsia" w:ascii="宋体" w:hAnsi="宋体" w:cs="宋体"/>
          <w:sz w:val="24"/>
        </w:rPr>
        <w:t>周边、大规模成片地块必须在2025年5月30日前完成</w:t>
      </w:r>
      <w:r>
        <w:rPr>
          <w:rFonts w:hint="eastAsia" w:ascii="宋体" w:hAnsi="宋体" w:cs="宋体"/>
          <w:sz w:val="24"/>
          <w:lang w:val="en-US" w:eastAsia="zh-CN"/>
        </w:rPr>
        <w:t>除治</w:t>
      </w:r>
      <w:r>
        <w:rPr>
          <w:rFonts w:hint="eastAsia"/>
          <w:sz w:val="24"/>
        </w:rPr>
        <w:t>），遇不可抗拒的特殊情况，另行协商。中标单位施工方案需报</w:t>
      </w:r>
      <w:r>
        <w:rPr>
          <w:rFonts w:hint="eastAsia"/>
          <w:sz w:val="24"/>
          <w:lang w:val="en-US" w:eastAsia="zh-CN"/>
        </w:rPr>
        <w:t>大盘山管理局</w:t>
      </w:r>
      <w:r>
        <w:rPr>
          <w:rFonts w:hint="eastAsia"/>
          <w:sz w:val="24"/>
        </w:rPr>
        <w:t>审核同意后方可实施，要按照“先难后易、先重点后一般、先紧后宽”的要求，合理安排，保证清理进度。</w:t>
      </w:r>
    </w:p>
    <w:p w14:paraId="0CAB161F">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ascii="宋体" w:hAnsi="宋体" w:eastAsia="宋体"/>
          <w:color w:val="000000"/>
          <w:sz w:val="24"/>
          <w:szCs w:val="24"/>
          <w:lang w:eastAsia="zh-CN"/>
        </w:rPr>
      </w:pPr>
      <w:r>
        <w:rPr>
          <w:rFonts w:hint="eastAsia" w:eastAsia="宋体"/>
          <w:sz w:val="24"/>
          <w:szCs w:val="24"/>
          <w:lang w:val="en-US" w:eastAsia="zh-CN"/>
        </w:rPr>
        <w:t>4</w:t>
      </w:r>
      <w:r>
        <w:rPr>
          <w:rFonts w:hint="eastAsia" w:ascii="宋体" w:hAnsi="宋体" w:eastAsia="宋体"/>
          <w:color w:val="000000"/>
          <w:sz w:val="24"/>
          <w:szCs w:val="24"/>
        </w:rPr>
        <w:t>除治对象：集中除治阶段，松材线虫病疫情小班及其周边松林的中死亡（病死、其他原因致死）松树，除治其主干、枝桠和伐桩；即现即清阶段，松材线虫病疫情小班及其周边松林中零星发生的死亡（病死、其他原因致死）松树，在</w:t>
      </w:r>
      <w:r>
        <w:rPr>
          <w:rFonts w:hint="eastAsia" w:ascii="Calibri" w:hAnsi="Calibri" w:eastAsia="Calibri"/>
          <w:color w:val="000000"/>
          <w:sz w:val="24"/>
          <w:szCs w:val="24"/>
        </w:rPr>
        <w:t>3</w:t>
      </w:r>
      <w:r>
        <w:rPr>
          <w:rFonts w:hint="eastAsia" w:ascii="宋体" w:hAnsi="宋体" w:eastAsia="宋体"/>
          <w:color w:val="000000"/>
          <w:sz w:val="24"/>
          <w:szCs w:val="24"/>
        </w:rPr>
        <w:t>日内完成除治</w:t>
      </w:r>
      <w:r>
        <w:rPr>
          <w:rFonts w:hint="eastAsia" w:ascii="宋体" w:hAnsi="宋体" w:eastAsia="宋体"/>
          <w:color w:val="000000"/>
          <w:sz w:val="24"/>
          <w:szCs w:val="24"/>
          <w:lang w:eastAsia="zh-CN"/>
        </w:rPr>
        <w:t>。</w:t>
      </w:r>
    </w:p>
    <w:p w14:paraId="2BC9D244">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sz w:val="24"/>
        </w:rPr>
      </w:pPr>
      <w:r>
        <w:rPr>
          <w:rFonts w:hint="eastAsia"/>
          <w:sz w:val="24"/>
          <w:lang w:val="en-US" w:eastAsia="zh-CN"/>
        </w:rPr>
        <w:t>5.</w:t>
      </w:r>
      <w:r>
        <w:rPr>
          <w:rFonts w:hint="eastAsia"/>
          <w:sz w:val="24"/>
        </w:rPr>
        <w:t>人员配置要求</w:t>
      </w:r>
    </w:p>
    <w:p w14:paraId="427DAB50">
      <w:pPr>
        <w:widowControl/>
        <w:spacing w:line="400" w:lineRule="exact"/>
        <w:ind w:firstLine="480" w:firstLineChars="200"/>
        <w:jc w:val="left"/>
        <w:rPr>
          <w:rFonts w:hint="eastAsia"/>
          <w:sz w:val="24"/>
        </w:rPr>
      </w:pPr>
      <w:r>
        <w:rPr>
          <w:rFonts w:hint="eastAsia"/>
          <w:sz w:val="24"/>
        </w:rPr>
        <w:t>中标单位在清理队伍人员配置中，不得少于2支专业组，每支队伍人员不得少于15人正常作业，并要指定2名以上专人负责监督清理质量。采购单位定期检查中标单位施工进度和施工质量，若发现中标单位清理人员少、班组人员搭配不合理、进度缓慢等问题，采购单位责令限期整改，情节严重的可予以罚款或者采购单位可自行增加施工班组加快施工进度。</w:t>
      </w:r>
    </w:p>
    <w:p w14:paraId="23D1CE53">
      <w:pPr>
        <w:adjustRightInd w:val="0"/>
        <w:snapToGrid w:val="0"/>
        <w:spacing w:line="500" w:lineRule="exact"/>
        <w:ind w:firstLine="482" w:firstLineChars="200"/>
        <w:rPr>
          <w:rFonts w:hint="eastAsia"/>
          <w:b/>
          <w:bCs/>
          <w:sz w:val="24"/>
        </w:rPr>
      </w:pPr>
      <w:r>
        <w:rPr>
          <w:rFonts w:hint="eastAsia"/>
          <w:b/>
          <w:bCs/>
          <w:sz w:val="24"/>
        </w:rPr>
        <w:t xml:space="preserve">二、合同金额    </w:t>
      </w:r>
    </w:p>
    <w:tbl>
      <w:tblPr>
        <w:tblStyle w:val="5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562"/>
        <w:gridCol w:w="3551"/>
        <w:gridCol w:w="2701"/>
      </w:tblGrid>
      <w:tr w14:paraId="3FF0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85" w:type="pct"/>
            <w:noWrap w:val="0"/>
            <w:vAlign w:val="center"/>
          </w:tcPr>
          <w:p w14:paraId="63BF01F1">
            <w:pPr>
              <w:adjustRightInd w:val="0"/>
              <w:snapToGrid w:val="0"/>
              <w:spacing w:line="500" w:lineRule="exact"/>
              <w:rPr>
                <w:sz w:val="24"/>
                <w:szCs w:val="24"/>
              </w:rPr>
            </w:pPr>
            <w:r>
              <w:rPr>
                <w:rFonts w:hint="eastAsia"/>
                <w:sz w:val="24"/>
                <w:szCs w:val="24"/>
              </w:rPr>
              <w:t>序号</w:t>
            </w:r>
          </w:p>
        </w:tc>
        <w:tc>
          <w:tcPr>
            <w:tcW w:w="1342" w:type="pct"/>
            <w:noWrap w:val="0"/>
            <w:vAlign w:val="center"/>
          </w:tcPr>
          <w:p w14:paraId="4C32CF33">
            <w:pPr>
              <w:adjustRightInd w:val="0"/>
              <w:snapToGrid w:val="0"/>
              <w:spacing w:line="500" w:lineRule="exact"/>
              <w:ind w:firstLine="480" w:firstLineChars="200"/>
              <w:rPr>
                <w:rFonts w:hint="eastAsia"/>
                <w:sz w:val="24"/>
                <w:szCs w:val="24"/>
              </w:rPr>
            </w:pPr>
            <w:r>
              <w:rPr>
                <w:rFonts w:hint="eastAsia"/>
                <w:sz w:val="24"/>
                <w:szCs w:val="24"/>
              </w:rPr>
              <w:t>项目名称</w:t>
            </w:r>
          </w:p>
        </w:tc>
        <w:tc>
          <w:tcPr>
            <w:tcW w:w="1858" w:type="pct"/>
            <w:noWrap w:val="0"/>
            <w:vAlign w:val="center"/>
          </w:tcPr>
          <w:p w14:paraId="59FC34BF">
            <w:pPr>
              <w:adjustRightInd w:val="0"/>
              <w:snapToGrid w:val="0"/>
              <w:spacing w:line="500" w:lineRule="exact"/>
              <w:ind w:firstLine="960" w:firstLineChars="400"/>
              <w:rPr>
                <w:rFonts w:hint="default" w:eastAsia="宋体"/>
                <w:sz w:val="24"/>
                <w:szCs w:val="24"/>
                <w:lang w:val="en-US" w:eastAsia="zh-CN"/>
              </w:rPr>
            </w:pPr>
            <w:r>
              <w:rPr>
                <w:rFonts w:hint="eastAsia" w:ascii="宋体" w:hAnsi="宋体" w:eastAsia="宋体"/>
                <w:color w:val="000000"/>
                <w:sz w:val="24"/>
                <w:szCs w:val="24"/>
              </w:rPr>
              <w:t>元／株</w:t>
            </w:r>
            <w:r>
              <w:rPr>
                <w:rFonts w:hint="eastAsia" w:ascii="宋体" w:hAnsi="宋体"/>
                <w:color w:val="000000"/>
                <w:sz w:val="24"/>
                <w:szCs w:val="24"/>
                <w:lang w:val="en-US" w:eastAsia="zh-CN"/>
              </w:rPr>
              <w:t>(包含铁丝网)</w:t>
            </w:r>
          </w:p>
        </w:tc>
        <w:tc>
          <w:tcPr>
            <w:tcW w:w="1414" w:type="pct"/>
            <w:noWrap w:val="0"/>
            <w:vAlign w:val="center"/>
          </w:tcPr>
          <w:p w14:paraId="52F144A9">
            <w:pPr>
              <w:adjustRightInd w:val="0"/>
              <w:snapToGrid w:val="0"/>
              <w:spacing w:line="500" w:lineRule="exact"/>
              <w:rPr>
                <w:rFonts w:hint="eastAsia"/>
                <w:sz w:val="24"/>
                <w:szCs w:val="24"/>
              </w:rPr>
            </w:pPr>
            <w:r>
              <w:rPr>
                <w:rFonts w:hint="eastAsia" w:ascii="宋体" w:hAnsi="宋体" w:eastAsia="宋体"/>
                <w:color w:val="000000"/>
                <w:sz w:val="24"/>
                <w:szCs w:val="24"/>
              </w:rPr>
              <w:t>采用</w:t>
            </w:r>
            <w:r>
              <w:rPr>
                <w:rFonts w:hint="eastAsia" w:ascii="宋体" w:hAnsi="宋体"/>
                <w:color w:val="000000"/>
                <w:sz w:val="24"/>
                <w:szCs w:val="24"/>
                <w:lang w:val="en-US" w:eastAsia="zh-CN"/>
              </w:rPr>
              <w:t>铁</w:t>
            </w:r>
            <w:r>
              <w:rPr>
                <w:rFonts w:hint="eastAsia" w:ascii="宋体" w:hAnsi="宋体" w:eastAsia="宋体"/>
                <w:color w:val="000000"/>
                <w:sz w:val="24"/>
                <w:szCs w:val="24"/>
              </w:rPr>
              <w:t>丝网封锁处理</w:t>
            </w:r>
          </w:p>
        </w:tc>
      </w:tr>
      <w:tr w14:paraId="169A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85" w:type="pct"/>
            <w:noWrap w:val="0"/>
            <w:vAlign w:val="center"/>
          </w:tcPr>
          <w:p w14:paraId="4B971CD2">
            <w:pPr>
              <w:adjustRightInd w:val="0"/>
              <w:snapToGrid w:val="0"/>
              <w:spacing w:line="500" w:lineRule="exact"/>
              <w:ind w:firstLine="480" w:firstLineChars="200"/>
              <w:rPr>
                <w:sz w:val="24"/>
                <w:szCs w:val="24"/>
              </w:rPr>
            </w:pPr>
            <w:r>
              <w:rPr>
                <w:rFonts w:hint="eastAsia"/>
                <w:sz w:val="24"/>
                <w:szCs w:val="24"/>
              </w:rPr>
              <w:t>1</w:t>
            </w:r>
          </w:p>
        </w:tc>
        <w:tc>
          <w:tcPr>
            <w:tcW w:w="1342" w:type="pct"/>
            <w:noWrap w:val="0"/>
            <w:vAlign w:val="center"/>
          </w:tcPr>
          <w:p w14:paraId="72D4176D">
            <w:pPr>
              <w:adjustRightInd w:val="0"/>
              <w:snapToGrid w:val="0"/>
              <w:spacing w:line="500" w:lineRule="exact"/>
              <w:rPr>
                <w:rFonts w:hint="eastAsia"/>
                <w:sz w:val="24"/>
                <w:szCs w:val="24"/>
              </w:rPr>
            </w:pPr>
            <w:r>
              <w:rPr>
                <w:rFonts w:hint="eastAsia" w:ascii="宋体" w:hAnsi="宋体" w:cs="宋体"/>
                <w:color w:val="auto"/>
                <w:sz w:val="24"/>
                <w:szCs w:val="24"/>
                <w:highlight w:val="none"/>
                <w:lang w:eastAsia="zh-CN"/>
              </w:rPr>
              <w:t>2025年大盘山松材线虫病枯死松树清理服务项目</w:t>
            </w:r>
          </w:p>
        </w:tc>
        <w:tc>
          <w:tcPr>
            <w:tcW w:w="1858" w:type="pct"/>
            <w:noWrap w:val="0"/>
            <w:vAlign w:val="center"/>
          </w:tcPr>
          <w:p w14:paraId="413FE27F">
            <w:pPr>
              <w:adjustRightInd w:val="0"/>
              <w:snapToGrid w:val="0"/>
              <w:spacing w:line="500" w:lineRule="exact"/>
              <w:ind w:firstLine="480" w:firstLineChars="200"/>
              <w:rPr>
                <w:rFonts w:hint="eastAsia"/>
                <w:sz w:val="24"/>
                <w:szCs w:val="24"/>
              </w:rPr>
            </w:pPr>
            <w:r>
              <w:rPr>
                <w:rFonts w:hint="eastAsia"/>
                <w:sz w:val="24"/>
                <w:szCs w:val="24"/>
              </w:rPr>
              <w:t xml:space="preserve">       </w:t>
            </w:r>
            <w:r>
              <w:rPr>
                <w:rFonts w:hint="eastAsia"/>
                <w:sz w:val="24"/>
                <w:szCs w:val="24"/>
                <w:lang w:val="en-US" w:eastAsia="zh-CN"/>
              </w:rPr>
              <w:t>按实结算</w:t>
            </w:r>
          </w:p>
        </w:tc>
        <w:tc>
          <w:tcPr>
            <w:tcW w:w="1414" w:type="pct"/>
            <w:noWrap w:val="0"/>
            <w:vAlign w:val="center"/>
          </w:tcPr>
          <w:p w14:paraId="71D8FD80">
            <w:pPr>
              <w:adjustRightInd w:val="0"/>
              <w:snapToGrid w:val="0"/>
              <w:spacing w:line="500" w:lineRule="exact"/>
              <w:rPr>
                <w:rFonts w:hint="eastAsia"/>
                <w:sz w:val="24"/>
                <w:szCs w:val="24"/>
              </w:rPr>
            </w:pPr>
          </w:p>
        </w:tc>
      </w:tr>
    </w:tbl>
    <w:p w14:paraId="08E18BE2">
      <w:pPr>
        <w:adjustRightInd w:val="0"/>
        <w:snapToGrid w:val="0"/>
        <w:spacing w:line="500" w:lineRule="exact"/>
        <w:ind w:firstLine="480" w:firstLineChars="200"/>
        <w:rPr>
          <w:rFonts w:hint="eastAsia"/>
          <w:color w:val="292929"/>
          <w:sz w:val="24"/>
          <w:lang w:val="zh-CN"/>
        </w:rPr>
      </w:pPr>
      <w:r>
        <w:rPr>
          <w:rFonts w:hint="eastAsia"/>
          <w:sz w:val="24"/>
        </w:rPr>
        <w:t>注：合同价格包含完成项目范围工作任务所发生的一切费用，包括枯死松树</w:t>
      </w:r>
      <w:r>
        <w:rPr>
          <w:rFonts w:hint="eastAsia" w:ascii="宋体" w:hAnsi="宋体" w:eastAsia="宋体"/>
          <w:color w:val="000000"/>
          <w:sz w:val="26"/>
        </w:rPr>
        <w:t>疫木就地打包处理</w:t>
      </w:r>
      <w:r>
        <w:rPr>
          <w:rFonts w:hint="eastAsia"/>
          <w:sz w:val="24"/>
        </w:rPr>
        <w:t>、伐桩处理以及松枝清理费、招标代理费、人员工资、机械材料、利润、税金、测量、勘察、保险（施工人员一律参加工伤保险）等完成合同所需的一切本身和不可或缺的所有工作开支、政策性文件规定及合同包含的所有风险、责任等各项全部费用。</w:t>
      </w:r>
      <w:r>
        <w:rPr>
          <w:rFonts w:hint="eastAsia"/>
          <w:sz w:val="24"/>
          <w:lang w:val="zh-CN"/>
        </w:rPr>
        <w:t>如有漏项，视为已包含在其它项目中。</w:t>
      </w:r>
    </w:p>
    <w:p w14:paraId="437417DE">
      <w:pPr>
        <w:adjustRightInd w:val="0"/>
        <w:snapToGrid w:val="0"/>
        <w:spacing w:line="500" w:lineRule="exact"/>
        <w:ind w:firstLine="482" w:firstLineChars="200"/>
        <w:rPr>
          <w:rFonts w:hint="eastAsia"/>
          <w:b/>
          <w:bCs/>
          <w:sz w:val="24"/>
        </w:rPr>
      </w:pPr>
      <w:r>
        <w:rPr>
          <w:rFonts w:hint="eastAsia"/>
          <w:b/>
          <w:bCs/>
          <w:sz w:val="24"/>
        </w:rPr>
        <w:t>三、履约保证金</w:t>
      </w:r>
    </w:p>
    <w:p w14:paraId="1DF12DA2">
      <w:pPr>
        <w:wordWrap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本项目履约保证金按合同金额的1%收取（可以以支票、汇票、本票或者金融机构、担保机构出具的保函等非现金形式提交），在合同签订时向甲方交纳。履约保证金自提交之日起至项目最终验收合格后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个工作日无息退还。</w:t>
      </w:r>
    </w:p>
    <w:p w14:paraId="06B1B018">
      <w:pPr>
        <w:adjustRightInd w:val="0"/>
        <w:snapToGrid w:val="0"/>
        <w:spacing w:line="500" w:lineRule="exact"/>
        <w:ind w:firstLine="482" w:firstLineChars="200"/>
        <w:rPr>
          <w:rFonts w:hint="eastAsia"/>
          <w:color w:val="auto"/>
          <w:sz w:val="24"/>
        </w:rPr>
      </w:pPr>
      <w:r>
        <w:rPr>
          <w:rFonts w:hint="eastAsia"/>
          <w:b/>
          <w:bCs/>
          <w:color w:val="000000"/>
          <w:sz w:val="24"/>
        </w:rPr>
        <w:t>四、1.履行时间</w:t>
      </w:r>
      <w:r>
        <w:rPr>
          <w:rFonts w:hint="eastAsia"/>
          <w:color w:val="000000"/>
          <w:sz w:val="24"/>
        </w:rPr>
        <w:t>：</w:t>
      </w:r>
      <w:r>
        <w:rPr>
          <w:rFonts w:hint="eastAsia"/>
          <w:color w:val="auto"/>
          <w:sz w:val="24"/>
        </w:rPr>
        <w:t>2025年12月30日前全面完成枯死松树清理工作（其中</w:t>
      </w:r>
      <w:r>
        <w:rPr>
          <w:rFonts w:hint="eastAsia" w:ascii="宋体" w:hAnsi="宋体" w:cs="宋体"/>
          <w:color w:val="auto"/>
          <w:sz w:val="24"/>
        </w:rPr>
        <w:t>公路主干线、</w:t>
      </w:r>
      <w:r>
        <w:rPr>
          <w:rFonts w:hint="eastAsia" w:ascii="宋体" w:hAnsi="宋体" w:cs="宋体"/>
          <w:color w:val="auto"/>
          <w:sz w:val="24"/>
          <w:lang w:val="en-US" w:eastAsia="zh-CN"/>
        </w:rPr>
        <w:t>村庄</w:t>
      </w:r>
      <w:r>
        <w:rPr>
          <w:rFonts w:hint="eastAsia" w:ascii="宋体" w:hAnsi="宋体" w:cs="宋体"/>
          <w:color w:val="auto"/>
          <w:sz w:val="24"/>
        </w:rPr>
        <w:t>周边、大规模成片地块必须在2025年5月30日前完成</w:t>
      </w:r>
      <w:r>
        <w:rPr>
          <w:rFonts w:hint="eastAsia" w:ascii="宋体" w:hAnsi="宋体" w:cs="宋体"/>
          <w:color w:val="auto"/>
          <w:sz w:val="24"/>
          <w:lang w:val="en-US" w:eastAsia="zh-CN"/>
        </w:rPr>
        <w:t>除治</w:t>
      </w:r>
      <w:r>
        <w:rPr>
          <w:rFonts w:hint="eastAsia"/>
          <w:color w:val="auto"/>
          <w:sz w:val="24"/>
        </w:rPr>
        <w:t>），遇不可抗拒的特殊情况，另行协商。</w:t>
      </w:r>
    </w:p>
    <w:p w14:paraId="43D0CCBA">
      <w:pPr>
        <w:adjustRightInd w:val="0"/>
        <w:snapToGrid w:val="0"/>
        <w:spacing w:line="500" w:lineRule="exact"/>
        <w:ind w:firstLine="480" w:firstLineChars="200"/>
        <w:rPr>
          <w:rFonts w:hint="eastAsia"/>
          <w:sz w:val="24"/>
        </w:rPr>
      </w:pPr>
      <w:r>
        <w:rPr>
          <w:rFonts w:hint="eastAsia"/>
          <w:sz w:val="24"/>
        </w:rPr>
        <w:t xml:space="preserve"> 2.履行方式：直接服务。</w:t>
      </w:r>
    </w:p>
    <w:p w14:paraId="63BD1AAD">
      <w:pPr>
        <w:adjustRightInd w:val="0"/>
        <w:snapToGrid w:val="0"/>
        <w:spacing w:line="500" w:lineRule="exact"/>
        <w:ind w:firstLine="480" w:firstLineChars="200"/>
        <w:rPr>
          <w:rFonts w:hint="eastAsia"/>
          <w:sz w:val="24"/>
        </w:rPr>
      </w:pPr>
      <w:r>
        <w:rPr>
          <w:rFonts w:hint="eastAsia"/>
          <w:sz w:val="24"/>
        </w:rPr>
        <w:t xml:space="preserve"> 3.履行地点：见除治范围。</w:t>
      </w:r>
    </w:p>
    <w:p w14:paraId="6F7DB235">
      <w:pPr>
        <w:adjustRightInd w:val="0"/>
        <w:snapToGrid w:val="0"/>
        <w:spacing w:line="500" w:lineRule="exact"/>
        <w:ind w:firstLine="482" w:firstLineChars="200"/>
        <w:rPr>
          <w:rFonts w:hint="eastAsia"/>
          <w:b/>
          <w:bCs/>
          <w:sz w:val="24"/>
        </w:rPr>
      </w:pPr>
      <w:r>
        <w:rPr>
          <w:rFonts w:hint="eastAsia"/>
          <w:b/>
          <w:bCs/>
          <w:sz w:val="24"/>
        </w:rPr>
        <w:t>五、转包或分包</w:t>
      </w:r>
    </w:p>
    <w:p w14:paraId="0C733F71">
      <w:pPr>
        <w:adjustRightInd w:val="0"/>
        <w:snapToGrid w:val="0"/>
        <w:spacing w:line="500" w:lineRule="exact"/>
        <w:ind w:firstLine="480" w:firstLineChars="200"/>
        <w:rPr>
          <w:rFonts w:hint="eastAsia"/>
          <w:sz w:val="24"/>
        </w:rPr>
      </w:pPr>
      <w:r>
        <w:rPr>
          <w:rFonts w:hint="eastAsia"/>
          <w:sz w:val="24"/>
        </w:rPr>
        <w:t>1.本合同范围的服务，应由乙方直接</w:t>
      </w:r>
      <w:r>
        <w:rPr>
          <w:rFonts w:hint="eastAsia"/>
          <w:sz w:val="24"/>
          <w:lang w:val="en-US" w:eastAsia="zh-CN"/>
        </w:rPr>
        <w:t>服务</w:t>
      </w:r>
      <w:r>
        <w:rPr>
          <w:rFonts w:hint="eastAsia"/>
          <w:sz w:val="24"/>
        </w:rPr>
        <w:t>，不得转</w:t>
      </w:r>
      <w:r>
        <w:rPr>
          <w:rFonts w:hint="eastAsia"/>
          <w:sz w:val="24"/>
          <w:lang w:val="en-US" w:eastAsia="zh-CN"/>
        </w:rPr>
        <w:t>包</w:t>
      </w:r>
      <w:r>
        <w:rPr>
          <w:rFonts w:hint="eastAsia"/>
          <w:sz w:val="24"/>
        </w:rPr>
        <w:t>他人</w:t>
      </w:r>
      <w:r>
        <w:rPr>
          <w:rFonts w:hint="eastAsia"/>
          <w:sz w:val="24"/>
          <w:lang w:val="en-US" w:eastAsia="zh-CN"/>
        </w:rPr>
        <w:t>服务</w:t>
      </w:r>
      <w:r>
        <w:rPr>
          <w:rFonts w:hint="eastAsia"/>
          <w:sz w:val="24"/>
        </w:rPr>
        <w:t>；</w:t>
      </w:r>
    </w:p>
    <w:p w14:paraId="1F57CD77">
      <w:pPr>
        <w:adjustRightInd w:val="0"/>
        <w:snapToGrid w:val="0"/>
        <w:spacing w:line="500" w:lineRule="exact"/>
        <w:ind w:firstLine="480" w:firstLineChars="200"/>
        <w:rPr>
          <w:rFonts w:hint="eastAsia"/>
          <w:sz w:val="24"/>
        </w:rPr>
      </w:pPr>
      <w:r>
        <w:rPr>
          <w:rFonts w:hint="eastAsia"/>
          <w:sz w:val="24"/>
        </w:rPr>
        <w:t>2.除非得到甲方的书面同意，乙方不得将本合同范围的服务全部或部分分包给他人供应；</w:t>
      </w:r>
    </w:p>
    <w:p w14:paraId="4C9315A8">
      <w:pPr>
        <w:adjustRightInd w:val="0"/>
        <w:snapToGrid w:val="0"/>
        <w:spacing w:line="500" w:lineRule="exact"/>
        <w:ind w:firstLine="480" w:firstLineChars="200"/>
        <w:rPr>
          <w:rFonts w:hint="eastAsia"/>
          <w:sz w:val="24"/>
        </w:rPr>
      </w:pPr>
      <w:r>
        <w:rPr>
          <w:rFonts w:hint="eastAsia"/>
          <w:sz w:val="24"/>
        </w:rPr>
        <w:t>3.如有转</w:t>
      </w:r>
      <w:r>
        <w:rPr>
          <w:rFonts w:hint="eastAsia"/>
          <w:sz w:val="24"/>
          <w:lang w:val="en-US" w:eastAsia="zh-CN"/>
        </w:rPr>
        <w:t>包</w:t>
      </w:r>
      <w:r>
        <w:rPr>
          <w:rFonts w:hint="eastAsia"/>
          <w:sz w:val="24"/>
        </w:rPr>
        <w:t>和未经甲方同意的分包行为，甲方有权解除合同，没收履约保证金并追究乙方的违约责任。</w:t>
      </w:r>
    </w:p>
    <w:p w14:paraId="464293EE">
      <w:pPr>
        <w:numPr>
          <w:ilvl w:val="0"/>
          <w:numId w:val="6"/>
        </w:numPr>
        <w:adjustRightInd w:val="0"/>
        <w:snapToGrid w:val="0"/>
        <w:spacing w:line="500" w:lineRule="exact"/>
        <w:rPr>
          <w:rFonts w:hint="eastAsia"/>
          <w:sz w:val="24"/>
        </w:rPr>
      </w:pPr>
      <w:r>
        <w:rPr>
          <w:rFonts w:hint="eastAsia"/>
          <w:b/>
          <w:bCs/>
          <w:sz w:val="24"/>
        </w:rPr>
        <w:t>付款方式：</w:t>
      </w:r>
    </w:p>
    <w:p w14:paraId="4C51B2EB">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bCs w:val="0"/>
          <w:color w:val="000000" w:themeColor="text1"/>
          <w:sz w:val="24"/>
          <w:szCs w:val="24"/>
          <w14:textFill>
            <w14:solidFill>
              <w14:schemeClr w14:val="tx1"/>
            </w14:solidFill>
          </w14:textFill>
        </w:rPr>
        <w:t>合同生效以及具备实施条件后 7 个工作日内，供应商出具预付款保函和履约保证金保函后 (可在政采云平台购买)</w:t>
      </w:r>
      <w:r>
        <w:rPr>
          <w:rFonts w:hint="eastAsia" w:ascii="宋体" w:hAnsi="宋体" w:cs="宋体"/>
          <w:bCs w:val="0"/>
          <w:color w:val="000000" w:themeColor="text1"/>
          <w:sz w:val="24"/>
          <w:szCs w:val="24"/>
          <w:lang w:eastAsia="zh-CN"/>
          <w14:textFill>
            <w14:solidFill>
              <w14:schemeClr w14:val="tx1"/>
            </w14:solidFill>
          </w14:textFill>
        </w:rPr>
        <w:t>，</w:t>
      </w:r>
      <w:r>
        <w:rPr>
          <w:rFonts w:hint="eastAsia" w:ascii="宋体" w:hAnsi="宋体" w:eastAsia="宋体" w:cs="宋体"/>
          <w:bCs w:val="0"/>
          <w:color w:val="000000" w:themeColor="text1"/>
          <w:sz w:val="24"/>
          <w:szCs w:val="24"/>
          <w14:textFill>
            <w14:solidFill>
              <w14:schemeClr w14:val="tx1"/>
            </w14:solidFill>
          </w14:textFill>
        </w:rPr>
        <w:t>采购人向中标人支付</w:t>
      </w:r>
      <w:r>
        <w:rPr>
          <w:rFonts w:hint="eastAsia" w:ascii="宋体" w:hAnsi="宋体" w:cs="宋体"/>
          <w:bCs w:val="0"/>
          <w:color w:val="000000" w:themeColor="text1"/>
          <w:sz w:val="24"/>
          <w:szCs w:val="24"/>
          <w:lang w:val="en-US" w:eastAsia="zh-CN"/>
          <w14:textFill>
            <w14:solidFill>
              <w14:schemeClr w14:val="tx1"/>
            </w14:solidFill>
          </w14:textFill>
        </w:rPr>
        <w:t>3</w:t>
      </w:r>
      <w:r>
        <w:rPr>
          <w:rFonts w:hint="eastAsia" w:ascii="宋体" w:hAnsi="宋体" w:eastAsia="宋体" w:cs="宋体"/>
          <w:bCs w:val="0"/>
          <w:color w:val="000000" w:themeColor="text1"/>
          <w:sz w:val="24"/>
          <w:szCs w:val="24"/>
          <w14:textFill>
            <w14:solidFill>
              <w14:schemeClr w14:val="tx1"/>
            </w14:solidFill>
          </w14:textFill>
        </w:rPr>
        <w:t>0%合同款</w:t>
      </w:r>
      <w:r>
        <w:rPr>
          <w:rFonts w:hint="eastAsia" w:ascii="宋体" w:hAnsi="宋体" w:eastAsia="宋体" w:cs="宋体"/>
          <w:bCs/>
          <w:color w:val="000000" w:themeColor="text1"/>
          <w:sz w:val="24"/>
          <w:szCs w:val="24"/>
          <w14:textFill>
            <w14:solidFill>
              <w14:schemeClr w14:val="tx1"/>
            </w14:solidFill>
          </w14:textFill>
        </w:rPr>
        <w:t>。</w:t>
      </w:r>
    </w:p>
    <w:p w14:paraId="7F60BB48">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为支持和促进中小企业发展，进一步发挥政府采购政策功能，浙江省财政厅出台浙财采监 (2020) 3 号文件，企业若有购买保险/保函或者融资意向，可登录政采云平台融资服务 (https://jinrong.zcygov.cn/) ，查看相应融资政策文件及各相关服务方案，咨询热线 400-903-9583。</w:t>
      </w:r>
    </w:p>
    <w:p w14:paraId="3EFF617D">
      <w:pPr>
        <w:widowControl/>
        <w:numPr>
          <w:ilvl w:val="0"/>
          <w:numId w:val="0"/>
        </w:numPr>
        <w:spacing w:line="40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项目余款待相关部门验收通过，财政资金补助到位后按实支付。</w:t>
      </w:r>
    </w:p>
    <w:p w14:paraId="30363052">
      <w:pPr>
        <w:widowControl/>
        <w:numPr>
          <w:ilvl w:val="0"/>
          <w:numId w:val="0"/>
        </w:numPr>
        <w:spacing w:line="400" w:lineRule="exact"/>
        <w:ind w:firstLine="480" w:firstLineChars="200"/>
        <w:jc w:val="left"/>
        <w:rPr>
          <w:rFonts w:hint="eastAsia"/>
          <w:color w:val="000000" w:themeColor="text1"/>
          <w:sz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结算时中标人应提供相应额度的税务发票。</w:t>
      </w:r>
    </w:p>
    <w:p w14:paraId="6B7ACE91">
      <w:pPr>
        <w:keepNext w:val="0"/>
        <w:keepLines w:val="0"/>
        <w:pageBreakBefore w:val="0"/>
        <w:widowControl w:val="0"/>
        <w:kinsoku/>
        <w:overflowPunct/>
        <w:topLinePunct w:val="0"/>
        <w:autoSpaceDE/>
        <w:autoSpaceDN/>
        <w:bidi w:val="0"/>
        <w:adjustRightInd w:val="0"/>
        <w:snapToGrid w:val="0"/>
        <w:spacing w:line="38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结算方式</w:t>
      </w:r>
    </w:p>
    <w:p w14:paraId="73DECE92">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结算价＝</w:t>
      </w:r>
      <w:r>
        <w:rPr>
          <w:rFonts w:hint="eastAsia" w:ascii="宋体" w:hAnsi="宋体" w:cs="宋体"/>
          <w:sz w:val="24"/>
          <w:szCs w:val="24"/>
          <w:lang w:val="en-US" w:eastAsia="zh-CN"/>
        </w:rPr>
        <w:t>中标</w:t>
      </w:r>
      <w:r>
        <w:rPr>
          <w:rFonts w:hint="eastAsia" w:ascii="宋体" w:hAnsi="宋体" w:eastAsia="宋体" w:cs="宋体"/>
          <w:sz w:val="24"/>
          <w:szCs w:val="24"/>
        </w:rPr>
        <w:t>单价（元／</w:t>
      </w:r>
      <w:r>
        <w:rPr>
          <w:rFonts w:hint="eastAsia" w:ascii="宋体" w:hAnsi="宋体" w:cs="宋体"/>
          <w:sz w:val="24"/>
          <w:szCs w:val="24"/>
          <w:lang w:val="en-US" w:eastAsia="zh-CN"/>
        </w:rPr>
        <w:t>株</w:t>
      </w:r>
      <w:r>
        <w:rPr>
          <w:rFonts w:hint="eastAsia" w:ascii="宋体" w:hAnsi="宋体" w:eastAsia="宋体" w:cs="宋体"/>
          <w:sz w:val="24"/>
          <w:szCs w:val="24"/>
        </w:rPr>
        <w:t>）×实际清理的病死松树</w:t>
      </w:r>
      <w:r>
        <w:rPr>
          <w:rFonts w:hint="eastAsia" w:ascii="宋体" w:hAnsi="宋体" w:cs="宋体"/>
          <w:sz w:val="24"/>
          <w:szCs w:val="24"/>
          <w:lang w:val="en-US" w:eastAsia="zh-CN"/>
        </w:rPr>
        <w:t>(株）</w:t>
      </w:r>
      <w:r>
        <w:rPr>
          <w:rFonts w:hint="eastAsia" w:ascii="宋体" w:hAnsi="宋体" w:eastAsia="宋体" w:cs="宋体"/>
          <w:sz w:val="24"/>
          <w:szCs w:val="24"/>
        </w:rPr>
        <w:t>。</w:t>
      </w:r>
    </w:p>
    <w:p w14:paraId="15872A8C">
      <w:pPr>
        <w:keepNext w:val="0"/>
        <w:keepLines w:val="0"/>
        <w:pageBreakBefore w:val="0"/>
        <w:widowControl w:val="0"/>
        <w:kinsoku/>
        <w:wordWrap w:val="0"/>
        <w:overflowPunct/>
        <w:topLinePunct w:val="0"/>
        <w:autoSpaceDE/>
        <w:autoSpaceDN/>
        <w:bidi w:val="0"/>
        <w:snapToGrid w:val="0"/>
        <w:spacing w:line="380" w:lineRule="exact"/>
        <w:ind w:firstLine="480" w:firstLineChars="200"/>
        <w:textAlignment w:val="auto"/>
        <w:rPr>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须优先用于支付农民工工资。</w:t>
      </w:r>
    </w:p>
    <w:p w14:paraId="0CF5340D">
      <w:pPr>
        <w:adjustRightInd w:val="0"/>
        <w:snapToGrid w:val="0"/>
        <w:spacing w:line="500" w:lineRule="exact"/>
        <w:ind w:firstLine="482" w:firstLineChars="200"/>
        <w:rPr>
          <w:rFonts w:hint="eastAsia"/>
          <w:sz w:val="24"/>
        </w:rPr>
      </w:pPr>
      <w:r>
        <w:rPr>
          <w:rFonts w:hint="eastAsia"/>
          <w:b/>
          <w:bCs/>
          <w:sz w:val="24"/>
          <w:lang w:val="en-US" w:eastAsia="zh-CN"/>
        </w:rPr>
        <w:t>八</w:t>
      </w:r>
      <w:r>
        <w:rPr>
          <w:rFonts w:hint="eastAsia"/>
          <w:b/>
          <w:bCs/>
          <w:sz w:val="24"/>
        </w:rPr>
        <w:t>、违约责任</w:t>
      </w:r>
    </w:p>
    <w:p w14:paraId="06C88AE3">
      <w:pPr>
        <w:adjustRightInd w:val="0"/>
        <w:snapToGrid w:val="0"/>
        <w:spacing w:line="500" w:lineRule="exact"/>
        <w:ind w:firstLine="480" w:firstLineChars="200"/>
        <w:rPr>
          <w:rFonts w:hint="eastAsia"/>
          <w:sz w:val="24"/>
        </w:rPr>
      </w:pPr>
      <w:r>
        <w:rPr>
          <w:rFonts w:hint="eastAsia"/>
          <w:sz w:val="24"/>
        </w:rPr>
        <w:t>1.甲方无正当理由拒收接受服务的，甲方向乙方偿付合同款项百分之五作为违约金。</w:t>
      </w:r>
    </w:p>
    <w:p w14:paraId="326E6C86">
      <w:pPr>
        <w:adjustRightInd w:val="0"/>
        <w:snapToGrid w:val="0"/>
        <w:spacing w:line="500" w:lineRule="exact"/>
        <w:ind w:firstLine="480" w:firstLineChars="200"/>
        <w:rPr>
          <w:rFonts w:hint="eastAsia"/>
          <w:sz w:val="24"/>
        </w:rPr>
      </w:pPr>
      <w:r>
        <w:rPr>
          <w:rFonts w:hint="eastAsia"/>
          <w:sz w:val="24"/>
        </w:rPr>
        <w:t>2.甲方无故逾期验收和办理款项支付手续的,甲方应按逾期付款总额每日万分之五向乙方支付违约金。</w:t>
      </w:r>
    </w:p>
    <w:p w14:paraId="423E40C9">
      <w:pPr>
        <w:adjustRightInd w:val="0"/>
        <w:snapToGrid w:val="0"/>
        <w:spacing w:line="500" w:lineRule="exact"/>
        <w:ind w:firstLine="480" w:firstLineChars="200"/>
        <w:rPr>
          <w:rFonts w:hint="eastAsia"/>
          <w:sz w:val="24"/>
        </w:rPr>
      </w:pPr>
      <w:r>
        <w:rPr>
          <w:rFonts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甲方造成原因除外）。</w:t>
      </w:r>
    </w:p>
    <w:p w14:paraId="0C0E7A9F">
      <w:pPr>
        <w:adjustRightInd w:val="0"/>
        <w:snapToGrid w:val="0"/>
        <w:spacing w:line="500" w:lineRule="exact"/>
        <w:ind w:firstLine="482" w:firstLineChars="200"/>
        <w:rPr>
          <w:rFonts w:hint="eastAsia"/>
          <w:b/>
          <w:bCs/>
          <w:sz w:val="24"/>
        </w:rPr>
      </w:pPr>
      <w:r>
        <w:rPr>
          <w:rFonts w:hint="eastAsia"/>
          <w:b/>
          <w:bCs/>
          <w:sz w:val="24"/>
          <w:lang w:val="en-US" w:eastAsia="zh-CN"/>
        </w:rPr>
        <w:t>九</w:t>
      </w:r>
      <w:r>
        <w:rPr>
          <w:rFonts w:hint="eastAsia"/>
          <w:b/>
          <w:bCs/>
          <w:sz w:val="24"/>
        </w:rPr>
        <w:t>、税费</w:t>
      </w:r>
    </w:p>
    <w:p w14:paraId="41520ADF">
      <w:pPr>
        <w:adjustRightInd w:val="0"/>
        <w:snapToGrid w:val="0"/>
        <w:spacing w:line="500" w:lineRule="exact"/>
        <w:ind w:firstLine="480" w:firstLineChars="200"/>
        <w:rPr>
          <w:rFonts w:hint="eastAsia"/>
          <w:sz w:val="24"/>
        </w:rPr>
      </w:pPr>
      <w:r>
        <w:rPr>
          <w:rFonts w:hint="eastAsia"/>
          <w:sz w:val="24"/>
        </w:rPr>
        <w:t>本合同执行中相关的一切税费均由乙方负担。</w:t>
      </w:r>
    </w:p>
    <w:p w14:paraId="542E0DC2">
      <w:pPr>
        <w:adjustRightInd w:val="0"/>
        <w:snapToGrid w:val="0"/>
        <w:spacing w:line="500" w:lineRule="exact"/>
        <w:ind w:firstLine="482" w:firstLineChars="200"/>
        <w:rPr>
          <w:rFonts w:hint="eastAsia"/>
          <w:b/>
          <w:bCs/>
          <w:sz w:val="24"/>
        </w:rPr>
      </w:pPr>
      <w:r>
        <w:rPr>
          <w:rFonts w:hint="eastAsia"/>
          <w:b/>
          <w:bCs/>
          <w:sz w:val="24"/>
        </w:rPr>
        <w:t>十、监督验收</w:t>
      </w:r>
    </w:p>
    <w:p w14:paraId="38DB6D8C">
      <w:pPr>
        <w:adjustRightInd w:val="0"/>
        <w:snapToGrid w:val="0"/>
        <w:spacing w:line="500" w:lineRule="exact"/>
        <w:ind w:firstLine="480" w:firstLineChars="200"/>
        <w:rPr>
          <w:rFonts w:hint="eastAsia"/>
          <w:sz w:val="24"/>
        </w:rPr>
      </w:pPr>
      <w:r>
        <w:rPr>
          <w:rFonts w:hint="eastAsia"/>
          <w:sz w:val="24"/>
        </w:rPr>
        <w:t>接受县林业局、</w:t>
      </w:r>
      <w:r>
        <w:rPr>
          <w:rFonts w:hint="eastAsia"/>
          <w:sz w:val="24"/>
          <w:lang w:val="en-US" w:eastAsia="zh-CN"/>
        </w:rPr>
        <w:t>大盘山管理局</w:t>
      </w:r>
      <w:r>
        <w:rPr>
          <w:rFonts w:hint="eastAsia"/>
          <w:sz w:val="24"/>
        </w:rPr>
        <w:t>、村监督检查，落实质量问题整改，做好清理“回头看”。要按合同要求组织开展自查验收，实地抽查不少于</w:t>
      </w:r>
      <w:r>
        <w:rPr>
          <w:rFonts w:hint="eastAsia"/>
          <w:sz w:val="24"/>
          <w:lang w:val="en-US" w:eastAsia="zh-CN"/>
        </w:rPr>
        <w:t>8</w:t>
      </w:r>
      <w:r>
        <w:rPr>
          <w:rFonts w:hint="eastAsia"/>
          <w:sz w:val="24"/>
        </w:rPr>
        <w:t>处清理山场（点），检查路线从山脚至山顶，清理质量不达标或有零星漏清枯死松树的，要责令清理单位返工清理，并每处扣款500元；对成片未清理的，依据枯死松树量每处扣款1000-3000元；对发现砍伐活松木或其他林木的，每发现一处扣款1000元。县</w:t>
      </w:r>
      <w:r>
        <w:rPr>
          <w:rFonts w:hint="eastAsia"/>
          <w:sz w:val="24"/>
          <w:lang w:val="en-US" w:eastAsia="zh-CN"/>
        </w:rPr>
        <w:t>资规</w:t>
      </w:r>
      <w:r>
        <w:rPr>
          <w:rFonts w:hint="eastAsia"/>
          <w:sz w:val="24"/>
        </w:rPr>
        <w:t>局委托第三方机构对各乡镇（街道）的自查验收情况进行抽样核查，抽查不少于</w:t>
      </w:r>
      <w:r>
        <w:rPr>
          <w:rFonts w:hint="eastAsia"/>
          <w:sz w:val="24"/>
          <w:lang w:val="en-US" w:eastAsia="zh-CN"/>
        </w:rPr>
        <w:t>8</w:t>
      </w:r>
      <w:r>
        <w:rPr>
          <w:rFonts w:hint="eastAsia"/>
          <w:sz w:val="24"/>
        </w:rPr>
        <w:t>处清理山场（点），具体核验办法按上级标准验收。</w:t>
      </w:r>
    </w:p>
    <w:p w14:paraId="550174C7">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一</w:t>
      </w:r>
      <w:r>
        <w:rPr>
          <w:rFonts w:hint="eastAsia"/>
          <w:b/>
          <w:bCs/>
          <w:sz w:val="24"/>
        </w:rPr>
        <w:t>、安全责任</w:t>
      </w:r>
    </w:p>
    <w:p w14:paraId="0405CB82">
      <w:pPr>
        <w:adjustRightInd w:val="0"/>
        <w:snapToGrid w:val="0"/>
        <w:spacing w:line="500" w:lineRule="exact"/>
        <w:ind w:firstLine="480" w:firstLineChars="200"/>
        <w:rPr>
          <w:rFonts w:hint="eastAsia"/>
          <w:sz w:val="24"/>
        </w:rPr>
      </w:pPr>
      <w:r>
        <w:rPr>
          <w:rFonts w:hint="eastAsia"/>
          <w:sz w:val="24"/>
        </w:rPr>
        <w:t>清理（中标）单位对清理工作的安全负全责，必须落实清理作业人员的意外伤害保险，出现安全问题（包括对第三方造成的安全伤害）均与</w:t>
      </w:r>
      <w:r>
        <w:rPr>
          <w:rFonts w:hint="eastAsia"/>
          <w:sz w:val="24"/>
          <w:lang w:val="en-US" w:eastAsia="zh-CN"/>
        </w:rPr>
        <w:t>大盘山管理局、</w:t>
      </w:r>
      <w:r>
        <w:rPr>
          <w:rFonts w:hint="eastAsia"/>
          <w:sz w:val="24"/>
        </w:rPr>
        <w:t>县</w:t>
      </w:r>
      <w:r>
        <w:rPr>
          <w:rFonts w:hint="eastAsia"/>
          <w:sz w:val="24"/>
          <w:lang w:val="en-US" w:eastAsia="zh-CN"/>
        </w:rPr>
        <w:t>资规</w:t>
      </w:r>
      <w:r>
        <w:rPr>
          <w:rFonts w:hint="eastAsia"/>
          <w:sz w:val="24"/>
        </w:rPr>
        <w:t>局、乡镇、村无关。</w:t>
      </w:r>
    </w:p>
    <w:p w14:paraId="71EE5C3F">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二</w:t>
      </w:r>
      <w:r>
        <w:rPr>
          <w:rFonts w:hint="eastAsia"/>
          <w:b/>
          <w:bCs/>
          <w:sz w:val="24"/>
        </w:rPr>
        <w:t>、不可抗力事件处理</w:t>
      </w:r>
    </w:p>
    <w:p w14:paraId="7861E43B">
      <w:pPr>
        <w:adjustRightInd w:val="0"/>
        <w:snapToGrid w:val="0"/>
        <w:spacing w:line="500" w:lineRule="exact"/>
        <w:ind w:firstLine="480" w:firstLineChars="200"/>
        <w:rPr>
          <w:rFonts w:hint="eastAsia"/>
          <w:sz w:val="24"/>
        </w:rPr>
      </w:pPr>
      <w:r>
        <w:rPr>
          <w:rFonts w:hint="eastAsia"/>
          <w:sz w:val="24"/>
        </w:rPr>
        <w:t>1.在合同有效期内，任何一方因不可抗力事件导致不能履行合同，则合同履行期可延长，其延长期与不可抗力影响期相同。</w:t>
      </w:r>
    </w:p>
    <w:p w14:paraId="40270A17">
      <w:pPr>
        <w:adjustRightInd w:val="0"/>
        <w:snapToGrid w:val="0"/>
        <w:spacing w:line="500" w:lineRule="exact"/>
        <w:ind w:firstLine="480" w:firstLineChars="200"/>
        <w:rPr>
          <w:rFonts w:hint="eastAsia"/>
          <w:sz w:val="24"/>
        </w:rPr>
      </w:pPr>
      <w:r>
        <w:rPr>
          <w:rFonts w:hint="eastAsia"/>
          <w:sz w:val="24"/>
        </w:rPr>
        <w:t>2.不可抗力事件发生后，应立即通知对方，并寄送有关权威机构出具的证明。</w:t>
      </w:r>
    </w:p>
    <w:p w14:paraId="37DE47AD">
      <w:pPr>
        <w:adjustRightInd w:val="0"/>
        <w:snapToGrid w:val="0"/>
        <w:spacing w:line="500" w:lineRule="exact"/>
        <w:ind w:firstLine="480" w:firstLineChars="200"/>
        <w:rPr>
          <w:rFonts w:hint="eastAsia"/>
          <w:sz w:val="24"/>
        </w:rPr>
      </w:pPr>
      <w:r>
        <w:rPr>
          <w:rFonts w:hint="eastAsia"/>
          <w:sz w:val="24"/>
        </w:rPr>
        <w:t>3.不可抗力事件延续120天以上，双方应通过友好协商，确定是否继续履行合同。</w:t>
      </w:r>
    </w:p>
    <w:p w14:paraId="49EFC254">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三</w:t>
      </w:r>
      <w:r>
        <w:rPr>
          <w:rFonts w:hint="eastAsia"/>
          <w:b/>
          <w:bCs/>
          <w:sz w:val="24"/>
        </w:rPr>
        <w:t>、</w:t>
      </w:r>
      <w:r>
        <w:rPr>
          <w:rFonts w:hint="eastAsia" w:ascii="宋体" w:hAnsi="宋体" w:cs="宋体"/>
          <w:b/>
          <w:bCs/>
          <w:color w:val="auto"/>
          <w:sz w:val="24"/>
        </w:rPr>
        <w:t>争议解决</w:t>
      </w:r>
    </w:p>
    <w:p w14:paraId="0FEF70B1">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双方在履行合同中所发生的一切争议，应通过协商解决。如协商不成，任何一方均可向</w:t>
      </w:r>
      <w:r>
        <w:rPr>
          <w:rFonts w:hint="eastAsia" w:ascii="宋体" w:hAnsi="宋体" w:cs="宋体"/>
          <w:color w:val="auto"/>
          <w:sz w:val="24"/>
          <w:u w:val="single"/>
        </w:rPr>
        <w:t>磐安县人民法院</w:t>
      </w:r>
      <w:r>
        <w:rPr>
          <w:rFonts w:hint="eastAsia" w:ascii="宋体" w:hAnsi="宋体" w:cs="宋体"/>
          <w:color w:val="auto"/>
          <w:sz w:val="24"/>
        </w:rPr>
        <w:t>起诉。</w:t>
      </w:r>
      <w:r>
        <w:rPr>
          <w:rFonts w:hint="eastAsia" w:ascii="宋体" w:hAnsi="宋体" w:cs="宋体"/>
          <w:color w:val="auto"/>
          <w:sz w:val="24"/>
          <w:lang w:eastAsia="zh-CN"/>
        </w:rPr>
        <w:t>乙方违约导致甲方诉讼的，诉讼费、律师费、财产保全保险费等均由乙方承担。</w:t>
      </w:r>
    </w:p>
    <w:p w14:paraId="7F8B5AC5">
      <w:pPr>
        <w:adjustRightInd w:val="0"/>
        <w:snapToGrid w:val="0"/>
        <w:spacing w:line="500" w:lineRule="exact"/>
        <w:ind w:firstLine="482" w:firstLineChars="200"/>
        <w:rPr>
          <w:rFonts w:hint="eastAsia"/>
          <w:b/>
          <w:bCs/>
          <w:sz w:val="24"/>
          <w:lang w:val="zh-CN"/>
        </w:rPr>
      </w:pPr>
      <w:r>
        <w:rPr>
          <w:rFonts w:hint="eastAsia"/>
          <w:b/>
          <w:bCs/>
          <w:sz w:val="24"/>
          <w:lang w:val="zh-CN"/>
        </w:rPr>
        <w:t>十</w:t>
      </w:r>
      <w:r>
        <w:rPr>
          <w:rFonts w:hint="eastAsia"/>
          <w:b/>
          <w:bCs/>
          <w:sz w:val="24"/>
          <w:lang w:val="en-US" w:eastAsia="zh-CN"/>
        </w:rPr>
        <w:t>四</w:t>
      </w:r>
      <w:r>
        <w:rPr>
          <w:rFonts w:hint="eastAsia"/>
          <w:b/>
          <w:bCs/>
          <w:sz w:val="24"/>
          <w:lang w:val="zh-CN"/>
        </w:rPr>
        <w:t>、合同生效及其它</w:t>
      </w:r>
    </w:p>
    <w:p w14:paraId="7EC15B83">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1.合同经</w:t>
      </w:r>
      <w:r>
        <w:rPr>
          <w:rFonts w:hint="eastAsia" w:ascii="宋体" w:hAnsi="宋体" w:cs="宋体"/>
          <w:color w:val="auto"/>
          <w:sz w:val="24"/>
          <w:lang w:eastAsia="zh-CN"/>
        </w:rPr>
        <w:t>双方法定代表人或授权委托人签字</w:t>
      </w:r>
      <w:r>
        <w:rPr>
          <w:rFonts w:hint="eastAsia" w:ascii="宋体" w:hAnsi="宋体" w:cs="宋体"/>
          <w:color w:val="auto"/>
          <w:sz w:val="24"/>
        </w:rPr>
        <w:t>并加盖单位公章后生效。</w:t>
      </w:r>
    </w:p>
    <w:p w14:paraId="3102327E">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2.合同执行中涉及采购资金和采购内容修改或补充的，须双方经财政部门审批，并签订书面补充协议，经报政府采购监督管理部门备案后，方可作为主合同不可分割的一部分。</w:t>
      </w:r>
    </w:p>
    <w:p w14:paraId="759BC7DC">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3.招标文件、投标文件与本合同具有同等法律效力。</w:t>
      </w:r>
    </w:p>
    <w:p w14:paraId="475AE478">
      <w:pPr>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4.</w:t>
      </w:r>
      <w:r>
        <w:rPr>
          <w:rFonts w:hint="eastAsia" w:ascii="宋体" w:hAnsi="宋体" w:cs="宋体"/>
          <w:b/>
          <w:bCs/>
          <w:color w:val="auto"/>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907CD90">
      <w:pPr>
        <w:spacing w:line="440" w:lineRule="exact"/>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乙方人员在履行合同过程中发生人身、财产安全事故的，责任均由乙方承担。</w:t>
      </w:r>
    </w:p>
    <w:p w14:paraId="2BE0BC6B">
      <w:pPr>
        <w:adjustRightInd w:val="0"/>
        <w:snapToGrid w:val="0"/>
        <w:spacing w:line="500" w:lineRule="exact"/>
        <w:ind w:firstLine="480" w:firstLineChars="200"/>
        <w:rPr>
          <w:rFonts w:hint="eastAsia"/>
          <w:sz w:val="24"/>
          <w:lang w:val="zh-CN"/>
        </w:rPr>
      </w:pPr>
      <w:r>
        <w:rPr>
          <w:rFonts w:hint="eastAsia"/>
          <w:sz w:val="24"/>
          <w:lang w:val="en-US" w:eastAsia="zh-CN"/>
        </w:rPr>
        <w:t>6</w:t>
      </w:r>
      <w:r>
        <w:rPr>
          <w:rFonts w:hint="eastAsia"/>
          <w:sz w:val="24"/>
          <w:lang w:val="zh-CN"/>
        </w:rPr>
        <w:t>.</w:t>
      </w:r>
      <w:r>
        <w:rPr>
          <w:rFonts w:hint="eastAsia" w:ascii="宋体" w:hAnsi="宋体" w:cs="宋体"/>
          <w:color w:val="auto"/>
          <w:sz w:val="24"/>
        </w:rPr>
        <w:t>本合同未尽事宜，遵照《中华人民共和国民法典》有关条文执行</w:t>
      </w:r>
      <w:r>
        <w:rPr>
          <w:rFonts w:hint="eastAsia"/>
          <w:sz w:val="24"/>
          <w:lang w:val="zh-CN"/>
        </w:rPr>
        <w:t>。</w:t>
      </w:r>
    </w:p>
    <w:p w14:paraId="6B3B1643">
      <w:pPr>
        <w:widowControl/>
        <w:spacing w:line="440" w:lineRule="exact"/>
        <w:ind w:firstLine="480" w:firstLineChars="200"/>
        <w:jc w:val="left"/>
        <w:rPr>
          <w:rFonts w:ascii="宋体" w:hAnsi="宋体"/>
          <w:b/>
          <w:sz w:val="24"/>
        </w:rPr>
      </w:pPr>
      <w:r>
        <w:rPr>
          <w:rFonts w:hint="eastAsia"/>
          <w:sz w:val="24"/>
          <w:lang w:val="en-US" w:eastAsia="zh-CN"/>
        </w:rPr>
        <w:t>7</w:t>
      </w:r>
      <w:r>
        <w:rPr>
          <w:rFonts w:hint="eastAsia"/>
          <w:sz w:val="24"/>
          <w:lang w:val="zh-CN"/>
        </w:rPr>
        <w:t>.本</w:t>
      </w:r>
      <w:r>
        <w:rPr>
          <w:rFonts w:hint="eastAsia" w:ascii="宋体" w:hAnsi="宋体" w:cs="宋体"/>
          <w:color w:val="auto"/>
          <w:sz w:val="24"/>
        </w:rPr>
        <w:t>本合同正本一式六份，甲乙双方各执两份，</w:t>
      </w:r>
      <w:r>
        <w:rPr>
          <w:rFonts w:hint="eastAsia" w:ascii="宋体" w:hAnsi="宋体" w:cs="宋体"/>
          <w:color w:val="auto"/>
          <w:sz w:val="24"/>
          <w:lang w:val="en-US" w:eastAsia="zh-CN"/>
        </w:rPr>
        <w:t>浙江诚远工程咨询有限公司</w:t>
      </w:r>
      <w:r>
        <w:rPr>
          <w:rFonts w:hint="eastAsia" w:ascii="宋体" w:hAnsi="宋体" w:cs="宋体"/>
          <w:color w:val="auto"/>
          <w:sz w:val="24"/>
        </w:rPr>
        <w:t>、磐安县财政局采购监管科各执一份，具有同等法律效力</w:t>
      </w:r>
      <w:r>
        <w:rPr>
          <w:rFonts w:hint="eastAsia"/>
          <w:sz w:val="24"/>
          <w:lang w:val="zh-CN"/>
        </w:rPr>
        <w:t>。</w:t>
      </w:r>
    </w:p>
    <w:tbl>
      <w:tblPr>
        <w:tblStyle w:val="53"/>
        <w:tblW w:w="9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6"/>
        <w:gridCol w:w="4613"/>
      </w:tblGrid>
      <w:tr w14:paraId="3D805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1" w:hRule="atLeast"/>
          <w:jc w:val="center"/>
        </w:trPr>
        <w:tc>
          <w:tcPr>
            <w:tcW w:w="4626" w:type="dxa"/>
            <w:tcBorders>
              <w:top w:val="single" w:color="auto" w:sz="4" w:space="0"/>
              <w:left w:val="single" w:color="auto" w:sz="4" w:space="0"/>
              <w:bottom w:val="single" w:color="auto" w:sz="4" w:space="0"/>
              <w:right w:val="single" w:color="auto" w:sz="4" w:space="0"/>
            </w:tcBorders>
            <w:noWrap w:val="0"/>
            <w:vAlign w:val="top"/>
          </w:tcPr>
          <w:p w14:paraId="12D09BD7">
            <w:pPr>
              <w:spacing w:line="440" w:lineRule="exact"/>
              <w:ind w:right="-105" w:rightChars="-50"/>
              <w:jc w:val="center"/>
              <w:rPr>
                <w:rFonts w:hint="eastAsia" w:ascii="宋体" w:hAnsi="宋体" w:cs="宋体"/>
                <w:b/>
                <w:bCs/>
                <w:sz w:val="24"/>
              </w:rPr>
            </w:pPr>
            <w:r>
              <w:rPr>
                <w:rFonts w:hint="eastAsia" w:ascii="宋体" w:hAnsi="宋体" w:cs="宋体"/>
                <w:b/>
                <w:bCs/>
                <w:sz w:val="24"/>
              </w:rPr>
              <w:t>甲  方</w:t>
            </w:r>
          </w:p>
          <w:p w14:paraId="57FE4804">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7BCAD19F">
            <w:pPr>
              <w:spacing w:line="440" w:lineRule="exact"/>
              <w:ind w:left="-171" w:right="-105" w:rightChars="-50" w:firstLine="163" w:firstLineChars="68"/>
              <w:rPr>
                <w:rFonts w:hint="eastAsia" w:ascii="宋体" w:hAnsi="宋体" w:cs="宋体"/>
                <w:sz w:val="24"/>
              </w:rPr>
            </w:pPr>
            <w:r>
              <w:rPr>
                <w:rFonts w:hint="eastAsia" w:ascii="宋体" w:hAnsi="宋体" w:cs="宋体"/>
                <w:sz w:val="24"/>
              </w:rPr>
              <w:t>单位地址：</w:t>
            </w:r>
            <w:r>
              <w:rPr>
                <w:rFonts w:hint="eastAsia" w:ascii="宋体" w:hAnsi="宋体"/>
                <w:b/>
                <w:bCs/>
                <w:sz w:val="24"/>
              </w:rPr>
              <w:t xml:space="preserve"> </w:t>
            </w:r>
          </w:p>
          <w:p w14:paraId="2E90D702">
            <w:pPr>
              <w:spacing w:line="440" w:lineRule="exact"/>
              <w:ind w:left="-170" w:right="-105" w:rightChars="-50" w:firstLine="163" w:firstLineChars="68"/>
              <w:rPr>
                <w:rFonts w:hint="eastAsia" w:ascii="Times New Roman" w:hAnsi="宋体" w:cs="宋体"/>
                <w:sz w:val="24"/>
                <w:szCs w:val="24"/>
              </w:rPr>
            </w:pPr>
            <w:r>
              <w:rPr>
                <w:rFonts w:hint="eastAsia" w:ascii="宋体" w:hAnsi="宋体" w:cs="宋体"/>
                <w:sz w:val="24"/>
              </w:rPr>
              <w:t>法定代表人或委托代理人（签字）：</w:t>
            </w:r>
          </w:p>
          <w:p w14:paraId="2665477A">
            <w:pPr>
              <w:spacing w:line="440" w:lineRule="exact"/>
              <w:ind w:left="-170" w:right="-105" w:rightChars="-50" w:firstLine="163" w:firstLineChars="68"/>
              <w:rPr>
                <w:rFonts w:hint="eastAsia" w:ascii="宋体" w:hAnsi="宋体" w:cs="宋体"/>
                <w:sz w:val="24"/>
              </w:rPr>
            </w:pPr>
            <w:r>
              <w:rPr>
                <w:rFonts w:hint="eastAsia" w:ascii="宋体" w:hAnsi="宋体" w:cs="宋体"/>
                <w:sz w:val="24"/>
              </w:rPr>
              <w:t>电 话：</w:t>
            </w:r>
          </w:p>
          <w:p w14:paraId="5F4418F0">
            <w:pPr>
              <w:spacing w:line="440" w:lineRule="exact"/>
              <w:ind w:left="-170" w:right="-105" w:rightChars="-50" w:firstLine="163" w:firstLineChars="68"/>
              <w:rPr>
                <w:rFonts w:hint="eastAsia" w:ascii="宋体" w:hAnsi="宋体" w:cs="宋体"/>
                <w:sz w:val="24"/>
              </w:rPr>
            </w:pPr>
            <w:r>
              <w:rPr>
                <w:rFonts w:hint="eastAsia" w:ascii="宋体" w:hAnsi="宋体" w:cs="宋体"/>
                <w:sz w:val="24"/>
              </w:rPr>
              <w:t>开户银行：</w:t>
            </w:r>
          </w:p>
          <w:p w14:paraId="6A242E9B">
            <w:pPr>
              <w:spacing w:line="440" w:lineRule="exact"/>
              <w:ind w:left="-170" w:right="-105" w:rightChars="-50" w:firstLine="163" w:firstLineChars="68"/>
              <w:rPr>
                <w:rFonts w:hint="eastAsia" w:ascii="宋体" w:hAnsi="宋体" w:cs="宋体"/>
                <w:sz w:val="24"/>
              </w:rPr>
            </w:pPr>
            <w:r>
              <w:rPr>
                <w:rFonts w:hint="eastAsia" w:ascii="宋体" w:hAnsi="宋体" w:cs="宋体"/>
                <w:sz w:val="24"/>
              </w:rPr>
              <w:t>账 号：</w:t>
            </w:r>
          </w:p>
          <w:p w14:paraId="533C589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 </w:t>
            </w:r>
          </w:p>
        </w:tc>
        <w:tc>
          <w:tcPr>
            <w:tcW w:w="4613" w:type="dxa"/>
            <w:tcBorders>
              <w:top w:val="single" w:color="auto" w:sz="4" w:space="0"/>
              <w:left w:val="single" w:color="auto" w:sz="4" w:space="0"/>
              <w:bottom w:val="single" w:color="auto" w:sz="4" w:space="0"/>
              <w:right w:val="single" w:color="auto" w:sz="4" w:space="0"/>
            </w:tcBorders>
            <w:noWrap w:val="0"/>
            <w:vAlign w:val="top"/>
          </w:tcPr>
          <w:p w14:paraId="7E9D540D">
            <w:pPr>
              <w:spacing w:line="440" w:lineRule="exact"/>
              <w:ind w:right="-105" w:rightChars="-50"/>
              <w:jc w:val="center"/>
              <w:rPr>
                <w:rFonts w:hint="eastAsia" w:ascii="宋体" w:hAnsi="宋体" w:cs="宋体"/>
                <w:b/>
                <w:bCs/>
                <w:sz w:val="24"/>
              </w:rPr>
            </w:pPr>
            <w:r>
              <w:rPr>
                <w:rFonts w:hint="eastAsia" w:ascii="宋体" w:hAnsi="宋体" w:cs="宋体"/>
                <w:b/>
                <w:bCs/>
                <w:sz w:val="24"/>
              </w:rPr>
              <w:t>乙  方</w:t>
            </w:r>
          </w:p>
          <w:p w14:paraId="27142326">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5D74736D">
            <w:pPr>
              <w:spacing w:line="440" w:lineRule="exact"/>
              <w:ind w:left="-11" w:right="-105" w:rightChars="-50" w:firstLine="3"/>
              <w:rPr>
                <w:rFonts w:hint="eastAsia" w:ascii="宋体" w:hAnsi="宋体" w:cs="宋体"/>
                <w:b/>
                <w:bCs/>
                <w:sz w:val="24"/>
              </w:rPr>
            </w:pPr>
            <w:r>
              <w:rPr>
                <w:rFonts w:hint="eastAsia" w:ascii="宋体" w:hAnsi="宋体" w:cs="宋体"/>
                <w:sz w:val="24"/>
              </w:rPr>
              <w:t>单位地址：</w:t>
            </w:r>
            <w:r>
              <w:rPr>
                <w:rFonts w:hint="eastAsia" w:ascii="宋体" w:hAnsi="宋体" w:cs="宋体"/>
                <w:b/>
                <w:bCs/>
                <w:sz w:val="24"/>
              </w:rPr>
              <w:t xml:space="preserve"> </w:t>
            </w:r>
          </w:p>
          <w:p w14:paraId="4A89DC16">
            <w:pPr>
              <w:spacing w:line="440" w:lineRule="exact"/>
              <w:ind w:left="-170" w:right="-105" w:rightChars="-50" w:firstLine="163" w:firstLineChars="68"/>
              <w:rPr>
                <w:rFonts w:hint="eastAsia" w:ascii="Times New Roman" w:hAnsi="宋体" w:cs="宋体"/>
                <w:sz w:val="24"/>
                <w:szCs w:val="24"/>
              </w:rPr>
            </w:pPr>
            <w:r>
              <w:rPr>
                <w:rFonts w:hint="eastAsia" w:ascii="宋体" w:hAnsi="宋体" w:cs="宋体"/>
                <w:sz w:val="24"/>
              </w:rPr>
              <w:t>法定代表人或委托代理人（签字）：</w:t>
            </w:r>
          </w:p>
          <w:p w14:paraId="457FDD7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电 话： </w:t>
            </w:r>
          </w:p>
          <w:p w14:paraId="4F883DF0">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开户银行： </w:t>
            </w:r>
          </w:p>
          <w:p w14:paraId="21187CBA">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账 号： </w:t>
            </w:r>
          </w:p>
          <w:p w14:paraId="31192ED9">
            <w:pPr>
              <w:spacing w:line="440" w:lineRule="exact"/>
              <w:ind w:left="-170" w:right="-105" w:rightChars="-50" w:firstLine="146" w:firstLineChars="61"/>
              <w:rPr>
                <w:rFonts w:hint="eastAsia" w:ascii="宋体" w:hAnsi="宋体" w:cs="宋体"/>
                <w:sz w:val="24"/>
              </w:rPr>
            </w:pPr>
            <w:r>
              <w:rPr>
                <w:rFonts w:hint="eastAsia" w:ascii="宋体" w:hAnsi="宋体" w:cs="宋体"/>
                <w:sz w:val="24"/>
              </w:rPr>
              <w:t xml:space="preserve"> </w:t>
            </w:r>
          </w:p>
        </w:tc>
      </w:tr>
    </w:tbl>
    <w:p w14:paraId="15574590">
      <w:pPr>
        <w:spacing w:line="400" w:lineRule="exact"/>
        <w:ind w:firstLine="240" w:firstLineChars="100"/>
        <w:rPr>
          <w:rFonts w:hint="eastAsia" w:ascii="宋体" w:hAnsi="宋体" w:cs="宋体"/>
          <w:sz w:val="24"/>
        </w:rPr>
      </w:pPr>
    </w:p>
    <w:p w14:paraId="6B3BBBC2">
      <w:pPr>
        <w:spacing w:line="400" w:lineRule="exact"/>
        <w:ind w:firstLine="240" w:firstLineChars="100"/>
        <w:rPr>
          <w:rFonts w:hint="eastAsia" w:ascii="宋体" w:hAnsi="宋体" w:cs="宋体"/>
          <w:sz w:val="24"/>
        </w:rPr>
      </w:pPr>
      <w:r>
        <w:rPr>
          <w:rFonts w:hint="eastAsia" w:ascii="宋体" w:hAnsi="宋体" w:cs="宋体"/>
          <w:sz w:val="24"/>
        </w:rPr>
        <w:t xml:space="preserve">签约时间：               </w:t>
      </w:r>
      <w:r>
        <w:rPr>
          <w:rFonts w:hint="eastAsia" w:ascii="宋体" w:hAnsi="宋体" w:cs="宋体"/>
          <w:sz w:val="24"/>
          <w:lang w:val="en-US" w:eastAsia="zh-CN"/>
        </w:rPr>
        <w:t xml:space="preserve">            </w:t>
      </w:r>
      <w:r>
        <w:rPr>
          <w:rFonts w:hint="eastAsia" w:ascii="宋体" w:hAnsi="宋体" w:cs="宋体"/>
          <w:sz w:val="24"/>
        </w:rPr>
        <w:t xml:space="preserve">   签约地点：</w:t>
      </w:r>
    </w:p>
    <w:p w14:paraId="3F227257">
      <w:pPr>
        <w:spacing w:line="240" w:lineRule="auto"/>
        <w:ind w:firstLine="0" w:firstLineChars="0"/>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lang w:eastAsia="zh-CN"/>
        </w:rPr>
        <w:br w:type="page"/>
      </w:r>
    </w:p>
    <w:p w14:paraId="19383C78">
      <w:pPr>
        <w:pStyle w:val="2"/>
        <w:spacing w:line="360" w:lineRule="auto"/>
        <w:jc w:val="center"/>
        <w:rPr>
          <w:rFonts w:ascii="宋体" w:hAnsi="宋体"/>
          <w:b w:val="0"/>
          <w:color w:val="auto"/>
          <w:sz w:val="24"/>
          <w:highlight w:val="none"/>
        </w:rPr>
      </w:pPr>
      <w:bookmarkStart w:id="365" w:name="_Toc27150"/>
      <w:bookmarkStart w:id="366" w:name="_Toc10817"/>
      <w:bookmarkStart w:id="367" w:name="_Toc10096"/>
      <w:bookmarkStart w:id="368" w:name="_Toc31833"/>
      <w:bookmarkStart w:id="369" w:name="_Toc23075"/>
      <w:bookmarkStart w:id="370" w:name="_Toc21393"/>
      <w:bookmarkStart w:id="371" w:name="_Toc26731"/>
      <w:bookmarkStart w:id="372" w:name="_Toc23553"/>
      <w:bookmarkStart w:id="373" w:name="_Toc1096"/>
      <w:bookmarkStart w:id="374" w:name="_Toc31227"/>
      <w:bookmarkStart w:id="375" w:name="_Toc29138"/>
      <w:bookmarkStart w:id="376" w:name="_Toc26624"/>
      <w:bookmarkStart w:id="377" w:name="_Toc27913"/>
      <w:bookmarkStart w:id="378" w:name="_Toc29343"/>
      <w:bookmarkStart w:id="379" w:name="_Toc24124"/>
      <w:bookmarkStart w:id="380" w:name="_Toc22229"/>
      <w:bookmarkStart w:id="381" w:name="_Toc2043"/>
      <w:bookmarkStart w:id="382" w:name="_Toc21549"/>
      <w:r>
        <w:rPr>
          <w:rFonts w:hint="eastAsia"/>
          <w:color w:val="auto"/>
          <w:highlight w:val="none"/>
        </w:rPr>
        <w:t>第七章  投标文件格式</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3" w:name="_Toc3737"/>
    </w:p>
    <w:p w14:paraId="7F6D4906">
      <w:pPr>
        <w:rPr>
          <w:rFonts w:hint="eastAsia" w:ascii="宋体" w:hAnsi="宋体" w:cs="宋体"/>
          <w:color w:val="auto"/>
          <w:sz w:val="24"/>
          <w:szCs w:val="24"/>
          <w:highlight w:val="none"/>
        </w:rPr>
      </w:pPr>
      <w:bookmarkStart w:id="384" w:name="_Toc7840"/>
      <w:bookmarkStart w:id="385" w:name="_Toc17813"/>
      <w:bookmarkStart w:id="386" w:name="_Toc27837"/>
      <w:r>
        <w:rPr>
          <w:rFonts w:hint="eastAsia" w:ascii="宋体" w:hAnsi="宋体" w:cs="宋体"/>
          <w:color w:val="auto"/>
          <w:sz w:val="24"/>
          <w:szCs w:val="24"/>
          <w:highlight w:val="none"/>
        </w:rPr>
        <w:t>附件1：所有投标文件的外包装封面格式</w:t>
      </w:r>
      <w:bookmarkEnd w:id="383"/>
      <w:bookmarkEnd w:id="384"/>
      <w:bookmarkEnd w:id="385"/>
      <w:bookmarkEnd w:id="386"/>
    </w:p>
    <w:p w14:paraId="066287B3">
      <w:pPr>
        <w:snapToGrid w:val="0"/>
        <w:spacing w:before="120" w:beforeLines="50" w:after="50" w:line="276" w:lineRule="auto"/>
        <w:jc w:val="center"/>
        <w:rPr>
          <w:rFonts w:hint="eastAsia" w:ascii="宋体" w:hAnsi="宋体" w:cs="宋体"/>
          <w:bCs/>
          <w:color w:val="auto"/>
          <w:sz w:val="30"/>
          <w:szCs w:val="30"/>
          <w:highlight w:val="none"/>
        </w:rPr>
      </w:pPr>
    </w:p>
    <w:p w14:paraId="592066F7">
      <w:pPr>
        <w:snapToGrid w:val="0"/>
        <w:spacing w:before="120" w:beforeLines="50" w:after="50" w:line="276" w:lineRule="auto"/>
        <w:jc w:val="center"/>
        <w:rPr>
          <w:rFonts w:hint="eastAsia" w:ascii="宋体" w:hAnsi="宋体" w:cs="宋体"/>
          <w:bCs/>
          <w:color w:val="auto"/>
          <w:sz w:val="30"/>
          <w:szCs w:val="30"/>
          <w:highlight w:val="none"/>
        </w:rPr>
      </w:pPr>
    </w:p>
    <w:p w14:paraId="400BB2D3">
      <w:pPr>
        <w:snapToGrid w:val="0"/>
        <w:spacing w:before="120" w:beforeLines="50" w:after="50" w:line="276" w:lineRule="auto"/>
        <w:jc w:val="center"/>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2025年大盘山松材线虫病枯死松树清理服务项目</w:t>
      </w:r>
    </w:p>
    <w:p w14:paraId="49B58240">
      <w:pPr>
        <w:snapToGrid w:val="0"/>
        <w:spacing w:before="120" w:beforeLines="50" w:after="50" w:line="276" w:lineRule="auto"/>
        <w:jc w:val="center"/>
        <w:rPr>
          <w:rFonts w:ascii="宋体" w:hAnsi="宋体"/>
          <w:bCs/>
          <w:color w:val="auto"/>
          <w:sz w:val="24"/>
          <w:szCs w:val="20"/>
          <w:highlight w:val="none"/>
        </w:rPr>
      </w:pPr>
      <w:r>
        <w:rPr>
          <w:rFonts w:hint="eastAsia" w:ascii="宋体" w:hAnsi="宋体"/>
          <w:bCs/>
          <w:color w:val="auto"/>
          <w:sz w:val="24"/>
          <w:highlight w:val="none"/>
        </w:rPr>
        <w:t>投标文件</w:t>
      </w:r>
    </w:p>
    <w:p w14:paraId="4A5EA352">
      <w:pPr>
        <w:snapToGrid w:val="0"/>
        <w:spacing w:before="120" w:beforeLines="50" w:after="50" w:line="276" w:lineRule="auto"/>
        <w:rPr>
          <w:rFonts w:ascii="宋体" w:hAnsi="宋体"/>
          <w:bCs/>
          <w:color w:val="auto"/>
          <w:sz w:val="24"/>
          <w:szCs w:val="20"/>
          <w:highlight w:val="none"/>
        </w:rPr>
      </w:pPr>
    </w:p>
    <w:p w14:paraId="5C5638F7">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321E81A2">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0756AC0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投标文件名称：资格审查文件/技术商务文件/报价文件/电子备份文件......</w:t>
      </w:r>
    </w:p>
    <w:p w14:paraId="472BE479">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4808745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12873936">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在年月日时分之前不得启封</w:t>
      </w:r>
    </w:p>
    <w:p w14:paraId="1B15A12F">
      <w:pPr>
        <w:snapToGrid w:val="0"/>
        <w:spacing w:before="120" w:beforeLines="50" w:after="50" w:line="276" w:lineRule="auto"/>
        <w:ind w:firstLine="4080" w:firstLineChars="1700"/>
        <w:rPr>
          <w:rFonts w:ascii="宋体" w:hAnsi="宋体"/>
          <w:bCs/>
          <w:color w:val="auto"/>
          <w:sz w:val="24"/>
          <w:szCs w:val="20"/>
          <w:highlight w:val="none"/>
        </w:rPr>
      </w:pPr>
    </w:p>
    <w:p w14:paraId="747E5AE6">
      <w:pPr>
        <w:snapToGrid w:val="0"/>
        <w:spacing w:before="120" w:beforeLines="50" w:after="50" w:line="276" w:lineRule="auto"/>
        <w:ind w:firstLine="645"/>
        <w:jc w:val="center"/>
        <w:rPr>
          <w:rFonts w:hint="eastAsia" w:ascii="宋体" w:hAnsi="宋体"/>
          <w:bCs/>
          <w:color w:val="auto"/>
          <w:sz w:val="24"/>
          <w:highlight w:val="none"/>
        </w:rPr>
      </w:pPr>
      <w:r>
        <w:rPr>
          <w:rFonts w:hint="eastAsia" w:ascii="宋体" w:hAnsi="宋体"/>
          <w:bCs/>
          <w:color w:val="auto"/>
          <w:sz w:val="24"/>
          <w:highlight w:val="none"/>
        </w:rPr>
        <w:t>年   月    日</w:t>
      </w:r>
    </w:p>
    <w:p w14:paraId="53DAA7A0">
      <w:pPr>
        <w:snapToGrid w:val="0"/>
        <w:spacing w:before="120" w:beforeLines="50" w:after="50" w:line="276" w:lineRule="auto"/>
        <w:outlineLvl w:val="1"/>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bookmarkStart w:id="387" w:name="_Toc16464"/>
      <w:bookmarkStart w:id="388" w:name="_Toc9790"/>
      <w:bookmarkStart w:id="389" w:name="_Toc2787"/>
      <w:bookmarkStart w:id="390" w:name="_Toc10176"/>
    </w:p>
    <w:p w14:paraId="05580850">
      <w:pPr>
        <w:rPr>
          <w:rFonts w:hint="eastAsia" w:ascii="宋体" w:hAnsi="宋体" w:cs="宋体"/>
          <w:color w:val="auto"/>
          <w:sz w:val="28"/>
          <w:szCs w:val="28"/>
          <w:highlight w:val="none"/>
        </w:rPr>
      </w:pPr>
      <w:r>
        <w:rPr>
          <w:rFonts w:hint="eastAsia" w:ascii="宋体" w:hAnsi="宋体" w:cs="宋体"/>
          <w:color w:val="auto"/>
          <w:sz w:val="28"/>
          <w:szCs w:val="28"/>
          <w:highlight w:val="none"/>
        </w:rPr>
        <w:t>附件2：所有投标文件封面格式</w:t>
      </w:r>
      <w:bookmarkEnd w:id="387"/>
      <w:bookmarkEnd w:id="388"/>
      <w:bookmarkEnd w:id="389"/>
      <w:bookmarkEnd w:id="390"/>
    </w:p>
    <w:p w14:paraId="74A98531">
      <w:pPr>
        <w:snapToGrid w:val="0"/>
        <w:spacing w:before="120" w:beforeLines="50" w:after="50" w:line="276"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52F20FC7">
      <w:pPr>
        <w:snapToGrid w:val="0"/>
        <w:spacing w:before="120" w:beforeLines="50" w:after="50" w:line="276" w:lineRule="auto"/>
        <w:jc w:val="center"/>
        <w:outlineLvl w:val="1"/>
        <w:rPr>
          <w:rFonts w:hint="eastAsia" w:ascii="宋体" w:hAnsi="宋体" w:cs="宋体"/>
          <w:bCs/>
          <w:color w:val="auto"/>
          <w:sz w:val="30"/>
          <w:szCs w:val="30"/>
          <w:highlight w:val="none"/>
        </w:rPr>
      </w:pPr>
    </w:p>
    <w:p w14:paraId="659D4E77">
      <w:pPr>
        <w:snapToGrid w:val="0"/>
        <w:spacing w:before="120" w:beforeLines="50" w:after="50" w:line="276" w:lineRule="auto"/>
        <w:jc w:val="center"/>
        <w:outlineLvl w:val="1"/>
        <w:rPr>
          <w:rFonts w:hint="eastAsia" w:ascii="宋体" w:hAnsi="宋体" w:cs="宋体"/>
          <w:bCs/>
          <w:color w:val="auto"/>
          <w:sz w:val="30"/>
          <w:szCs w:val="30"/>
          <w:highlight w:val="none"/>
        </w:rPr>
      </w:pPr>
    </w:p>
    <w:p w14:paraId="520C9044">
      <w:pPr>
        <w:snapToGrid w:val="0"/>
        <w:spacing w:before="120" w:beforeLines="50" w:after="50" w:line="276" w:lineRule="auto"/>
        <w:jc w:val="center"/>
        <w:outlineLvl w:val="1"/>
        <w:rPr>
          <w:rFonts w:hint="eastAsia" w:ascii="宋体" w:hAnsi="宋体" w:cs="宋体"/>
          <w:b/>
          <w:color w:val="auto"/>
          <w:sz w:val="24"/>
          <w:highlight w:val="none"/>
        </w:rPr>
      </w:pPr>
      <w:r>
        <w:rPr>
          <w:rFonts w:hint="eastAsia" w:ascii="宋体" w:hAnsi="宋体" w:cs="宋体"/>
          <w:bCs/>
          <w:color w:val="auto"/>
          <w:sz w:val="30"/>
          <w:szCs w:val="30"/>
          <w:highlight w:val="none"/>
        </w:rPr>
        <w:t xml:space="preserve">                  </w:t>
      </w:r>
      <w:r>
        <w:rPr>
          <w:rFonts w:hint="eastAsia" w:ascii="宋体" w:hAnsi="宋体" w:cs="宋体"/>
          <w:b/>
          <w:color w:val="auto"/>
          <w:sz w:val="24"/>
          <w:highlight w:val="none"/>
        </w:rPr>
        <w:t xml:space="preserve"> 正本/副本</w:t>
      </w:r>
    </w:p>
    <w:p w14:paraId="7E7BB56A">
      <w:pPr>
        <w:snapToGrid w:val="0"/>
        <w:spacing w:before="120" w:beforeLines="50" w:after="50" w:line="276" w:lineRule="auto"/>
        <w:ind w:firstLine="2503" w:firstLineChars="1043"/>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2025年大盘山松材线虫病枯死松树清理服务项目</w:t>
      </w:r>
    </w:p>
    <w:p w14:paraId="0AADDA55">
      <w:pPr>
        <w:snapToGrid w:val="0"/>
        <w:spacing w:before="120" w:beforeLines="50" w:after="50" w:line="276"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资格审查文件/技术商务文件/报价文件/电子备份文件......</w:t>
      </w:r>
    </w:p>
    <w:p w14:paraId="288C21A1">
      <w:pPr>
        <w:snapToGrid w:val="0"/>
        <w:spacing w:before="120" w:beforeLines="50" w:after="50" w:line="276" w:lineRule="auto"/>
        <w:rPr>
          <w:rFonts w:ascii="宋体" w:hAnsi="宋体"/>
          <w:bCs/>
          <w:color w:val="auto"/>
          <w:sz w:val="24"/>
          <w:highlight w:val="none"/>
        </w:rPr>
      </w:pPr>
    </w:p>
    <w:p w14:paraId="4B933A18">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7EE7259F">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7FFE9DEB">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5D44A1F3">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68A797E2">
      <w:pPr>
        <w:snapToGrid w:val="0"/>
        <w:spacing w:before="120" w:beforeLines="50" w:after="50" w:line="276" w:lineRule="auto"/>
        <w:ind w:firstLine="4080" w:firstLineChars="1700"/>
        <w:rPr>
          <w:rFonts w:ascii="宋体" w:hAnsi="宋体"/>
          <w:color w:val="auto"/>
          <w:sz w:val="24"/>
          <w:szCs w:val="20"/>
          <w:highlight w:val="none"/>
        </w:rPr>
      </w:pPr>
    </w:p>
    <w:p w14:paraId="3F8709AA">
      <w:pPr>
        <w:snapToGrid w:val="0"/>
        <w:spacing w:before="120" w:beforeLines="50" w:after="50" w:line="276" w:lineRule="auto"/>
        <w:ind w:firstLine="645"/>
        <w:jc w:val="center"/>
        <w:rPr>
          <w:rFonts w:ascii="宋体" w:hAnsi="宋体"/>
          <w:color w:val="auto"/>
          <w:sz w:val="24"/>
          <w:highlight w:val="none"/>
        </w:rPr>
      </w:pPr>
      <w:r>
        <w:rPr>
          <w:rFonts w:hint="eastAsia" w:ascii="宋体" w:hAnsi="宋体"/>
          <w:color w:val="auto"/>
          <w:sz w:val="24"/>
          <w:highlight w:val="none"/>
        </w:rPr>
        <w:t>年   月    日</w:t>
      </w:r>
    </w:p>
    <w:p w14:paraId="300CAF79">
      <w:pPr>
        <w:snapToGrid w:val="0"/>
        <w:spacing w:line="360" w:lineRule="exact"/>
        <w:jc w:val="left"/>
        <w:rPr>
          <w:rFonts w:ascii="宋体" w:hAnsi="宋体"/>
          <w:color w:val="auto"/>
          <w:sz w:val="24"/>
          <w:highlight w:val="none"/>
        </w:rPr>
      </w:pPr>
    </w:p>
    <w:p w14:paraId="556AC5D8">
      <w:pPr>
        <w:pStyle w:val="107"/>
        <w:rPr>
          <w:color w:val="auto"/>
          <w:highlight w:val="none"/>
        </w:rPr>
      </w:pPr>
    </w:p>
    <w:p w14:paraId="447778A0">
      <w:pPr>
        <w:snapToGrid w:val="0"/>
        <w:spacing w:line="276" w:lineRule="auto"/>
        <w:jc w:val="left"/>
        <w:rPr>
          <w:rFonts w:ascii="宋体" w:hAnsi="宋体"/>
          <w:color w:val="auto"/>
          <w:sz w:val="24"/>
          <w:highlight w:val="none"/>
        </w:rPr>
      </w:pPr>
    </w:p>
    <w:p w14:paraId="101982CA">
      <w:pPr>
        <w:snapToGrid w:val="0"/>
        <w:spacing w:before="120" w:beforeLines="50" w:after="50"/>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ABEF78C">
      <w:pPr>
        <w:rPr>
          <w:rFonts w:hint="eastAsia" w:ascii="宋体" w:hAnsi="宋体"/>
          <w:b/>
          <w:color w:val="auto"/>
          <w:sz w:val="24"/>
          <w:highlight w:val="none"/>
        </w:rPr>
      </w:pPr>
      <w:r>
        <w:rPr>
          <w:rFonts w:hint="eastAsia" w:ascii="宋体" w:hAnsi="宋体" w:cs="宋体"/>
          <w:color w:val="auto"/>
          <w:sz w:val="28"/>
          <w:szCs w:val="28"/>
          <w:highlight w:val="none"/>
        </w:rPr>
        <w:t>附件3：政府采购供应商诚信承诺书</w:t>
      </w:r>
    </w:p>
    <w:p w14:paraId="1B32F976">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政府采购供应商诚信承诺书</w:t>
      </w:r>
    </w:p>
    <w:p w14:paraId="6E3E6DCB">
      <w:pPr>
        <w:widowControl/>
        <w:spacing w:before="100" w:beforeAutospacing="1" w:after="190"/>
        <w:jc w:val="left"/>
        <w:rPr>
          <w:rFonts w:ascii="Arial" w:hAnsi="Arial" w:cs="Arial"/>
          <w:b/>
          <w:color w:val="auto"/>
          <w:kern w:val="0"/>
          <w:sz w:val="24"/>
          <w:highlight w:val="none"/>
        </w:rPr>
      </w:pPr>
      <w:r>
        <w:rPr>
          <w:rFonts w:hint="eastAsia" w:ascii="Arial" w:hAnsi="Arial" w:cs="Arial"/>
          <w:b/>
          <w:color w:val="auto"/>
          <w:kern w:val="0"/>
          <w:sz w:val="24"/>
          <w:highlight w:val="none"/>
          <w:lang w:eastAsia="zh-CN"/>
        </w:rPr>
        <w:t>浙江诚远工程咨询有限公司</w:t>
      </w:r>
      <w:r>
        <w:rPr>
          <w:rFonts w:ascii="Arial" w:hAnsi="Arial" w:cs="Arial"/>
          <w:b/>
          <w:color w:val="auto"/>
          <w:kern w:val="0"/>
          <w:sz w:val="24"/>
          <w:highlight w:val="none"/>
        </w:rPr>
        <w:t>：</w:t>
      </w:r>
    </w:p>
    <w:p w14:paraId="75D7FEFD">
      <w:pPr>
        <w:spacing w:line="40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公司</w:t>
      </w:r>
      <w:r>
        <w:rPr>
          <w:color w:val="auto"/>
          <w:kern w:val="0"/>
          <w:sz w:val="24"/>
          <w:highlight w:val="none"/>
        </w:rPr>
        <w:t>组织的</w:t>
      </w:r>
      <w:r>
        <w:rPr>
          <w:rFonts w:hint="eastAsia"/>
          <w:color w:val="auto"/>
          <w:kern w:val="0"/>
          <w:sz w:val="24"/>
          <w:highlight w:val="none"/>
          <w:u w:val="single"/>
        </w:rPr>
        <w:t xml:space="preserve">        </w:t>
      </w:r>
      <w:r>
        <w:rPr>
          <w:rFonts w:hint="eastAsia"/>
          <w:color w:val="auto"/>
          <w:kern w:val="0"/>
          <w:sz w:val="24"/>
          <w:highlight w:val="none"/>
          <w:u w:val="single"/>
          <w:lang w:val="en-US" w:eastAsia="zh-CN"/>
        </w:rPr>
        <w:t xml:space="preserve">       </w:t>
      </w:r>
      <w:r>
        <w:rPr>
          <w:rFonts w:hint="eastAsia"/>
          <w:color w:val="auto"/>
          <w:kern w:val="0"/>
          <w:sz w:val="24"/>
          <w:highlight w:val="none"/>
          <w:u w:val="single"/>
        </w:rPr>
        <w:t xml:space="preserve">    </w:t>
      </w:r>
      <w:r>
        <w:rPr>
          <w:bCs/>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543D420">
      <w:pPr>
        <w:spacing w:line="400" w:lineRule="exact"/>
        <w:ind w:firstLine="480" w:firstLineChars="200"/>
        <w:rPr>
          <w:color w:val="auto"/>
          <w:sz w:val="24"/>
          <w:highlight w:val="none"/>
        </w:rPr>
      </w:pPr>
      <w:r>
        <w:rPr>
          <w:color w:val="auto"/>
          <w:sz w:val="24"/>
          <w:highlight w:val="none"/>
        </w:rPr>
        <w:t>（一）提供虚假材料谋取中标的；</w:t>
      </w:r>
    </w:p>
    <w:p w14:paraId="78A0BD31">
      <w:pPr>
        <w:spacing w:line="40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w:instrText>
      </w:r>
      <w:r>
        <w:rPr>
          <w:color w:val="auto"/>
          <w:sz w:val="24"/>
          <w:highlight w:val="none"/>
        </w:rPr>
        <w:fldChar w:fldCharType="separate"/>
      </w:r>
      <w:r>
        <w:rPr>
          <w:color w:val="auto"/>
          <w:sz w:val="24"/>
          <w:highlight w:val="none"/>
        </w:rPr>
        <w:t>其他</w:t>
      </w:r>
      <w:r>
        <w:rPr>
          <w:color w:val="auto"/>
          <w:sz w:val="24"/>
          <w:highlight w:val="none"/>
        </w:rPr>
        <w:fldChar w:fldCharType="end"/>
      </w:r>
      <w:r>
        <w:rPr>
          <w:color w:val="auto"/>
          <w:sz w:val="24"/>
          <w:highlight w:val="none"/>
        </w:rPr>
        <w:t>供应商的；</w:t>
      </w:r>
    </w:p>
    <w:p w14:paraId="0958CDB2">
      <w:pPr>
        <w:spacing w:line="400" w:lineRule="exact"/>
        <w:ind w:firstLine="480" w:firstLineChars="200"/>
        <w:rPr>
          <w:color w:val="auto"/>
          <w:sz w:val="24"/>
          <w:highlight w:val="none"/>
        </w:rPr>
      </w:pPr>
      <w:r>
        <w:rPr>
          <w:color w:val="auto"/>
          <w:sz w:val="24"/>
          <w:highlight w:val="none"/>
        </w:rPr>
        <w:t>（三）与招标采购单位、其他投标人恶意串通的；</w:t>
      </w:r>
    </w:p>
    <w:p w14:paraId="544E81E9">
      <w:pPr>
        <w:spacing w:line="400" w:lineRule="exact"/>
        <w:ind w:firstLine="480" w:firstLineChars="200"/>
        <w:rPr>
          <w:color w:val="auto"/>
          <w:sz w:val="24"/>
          <w:highlight w:val="none"/>
        </w:rPr>
      </w:pPr>
      <w:r>
        <w:rPr>
          <w:color w:val="auto"/>
          <w:sz w:val="24"/>
          <w:highlight w:val="none"/>
        </w:rPr>
        <w:t>（四）向招标采购单位行贿或提供其他不正当利益的；</w:t>
      </w:r>
    </w:p>
    <w:p w14:paraId="7D1CFC8B">
      <w:pPr>
        <w:spacing w:line="40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672FB02D">
      <w:pPr>
        <w:spacing w:line="400" w:lineRule="exact"/>
        <w:ind w:firstLine="480" w:firstLineChars="200"/>
        <w:rPr>
          <w:color w:val="auto"/>
          <w:sz w:val="24"/>
          <w:highlight w:val="none"/>
        </w:rPr>
      </w:pPr>
      <w:r>
        <w:rPr>
          <w:color w:val="auto"/>
          <w:sz w:val="24"/>
          <w:highlight w:val="none"/>
        </w:rPr>
        <w:t>（六）开标后擅自撤销投标，影响招标继续进行的；</w:t>
      </w:r>
    </w:p>
    <w:p w14:paraId="5350AF47">
      <w:pPr>
        <w:spacing w:line="400" w:lineRule="exact"/>
        <w:ind w:firstLine="480" w:firstLineChars="200"/>
        <w:rPr>
          <w:color w:val="auto"/>
          <w:sz w:val="24"/>
          <w:highlight w:val="none"/>
        </w:rPr>
      </w:pPr>
      <w:r>
        <w:rPr>
          <w:color w:val="auto"/>
          <w:sz w:val="24"/>
          <w:highlight w:val="none"/>
        </w:rPr>
        <w:t>（七）中标后无正当理由，在规定时间内不与采购单位签订合同的；</w:t>
      </w:r>
    </w:p>
    <w:p w14:paraId="0FF495FC">
      <w:pPr>
        <w:spacing w:line="400" w:lineRule="exact"/>
        <w:ind w:firstLine="480" w:firstLineChars="200"/>
        <w:rPr>
          <w:color w:val="auto"/>
          <w:sz w:val="24"/>
          <w:highlight w:val="none"/>
        </w:rPr>
      </w:pPr>
      <w:r>
        <w:rPr>
          <w:color w:val="auto"/>
          <w:sz w:val="24"/>
          <w:highlight w:val="none"/>
        </w:rPr>
        <w:t>（八）将中标项目转让给他人或非法分包他人的；</w:t>
      </w:r>
    </w:p>
    <w:p w14:paraId="50D47BD5">
      <w:pPr>
        <w:spacing w:line="400" w:lineRule="exact"/>
        <w:ind w:firstLine="480" w:firstLineChars="200"/>
        <w:rPr>
          <w:color w:val="auto"/>
          <w:sz w:val="24"/>
          <w:highlight w:val="none"/>
        </w:rPr>
      </w:pPr>
      <w:r>
        <w:rPr>
          <w:color w:val="auto"/>
          <w:sz w:val="24"/>
          <w:highlight w:val="none"/>
        </w:rPr>
        <w:t>（九）无正当理由，拒绝履行合同义务的；</w:t>
      </w:r>
    </w:p>
    <w:p w14:paraId="279E1557">
      <w:pPr>
        <w:spacing w:line="400" w:lineRule="exact"/>
        <w:ind w:firstLine="480" w:firstLineChars="200"/>
        <w:rPr>
          <w:color w:val="auto"/>
          <w:sz w:val="24"/>
          <w:highlight w:val="none"/>
        </w:rPr>
      </w:pPr>
      <w:r>
        <w:rPr>
          <w:color w:val="auto"/>
          <w:sz w:val="24"/>
          <w:highlight w:val="none"/>
        </w:rPr>
        <w:t>（十）无正当理由放弃中标（成交）项目的；</w:t>
      </w:r>
    </w:p>
    <w:p w14:paraId="5172E408">
      <w:pPr>
        <w:spacing w:line="400" w:lineRule="exact"/>
        <w:ind w:firstLine="480" w:firstLineChars="20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DAE4956">
      <w:pPr>
        <w:spacing w:line="40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2D9035D3">
      <w:pPr>
        <w:spacing w:line="40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717503AE">
      <w:pPr>
        <w:spacing w:line="400" w:lineRule="exact"/>
        <w:ind w:firstLine="480" w:firstLineChars="200"/>
        <w:rPr>
          <w:color w:val="auto"/>
          <w:sz w:val="24"/>
          <w:highlight w:val="none"/>
        </w:rPr>
      </w:pPr>
      <w:r>
        <w:rPr>
          <w:color w:val="auto"/>
          <w:sz w:val="24"/>
          <w:highlight w:val="none"/>
        </w:rPr>
        <w:t>（十四）开标后对招标文件的相关内容再进行质疑的；</w:t>
      </w:r>
    </w:p>
    <w:p w14:paraId="25BC9AC8">
      <w:pPr>
        <w:spacing w:line="40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0E1A75ED">
      <w:pPr>
        <w:spacing w:line="400" w:lineRule="exact"/>
        <w:ind w:firstLine="480" w:firstLineChars="200"/>
        <w:rPr>
          <w:color w:val="auto"/>
          <w:sz w:val="24"/>
          <w:highlight w:val="none"/>
        </w:rPr>
      </w:pPr>
      <w:r>
        <w:rPr>
          <w:color w:val="auto"/>
          <w:sz w:val="24"/>
          <w:highlight w:val="none"/>
        </w:rPr>
        <w:t>（十六）拒绝有关部门监督检查或者提供虚假情况的；</w:t>
      </w:r>
    </w:p>
    <w:p w14:paraId="2060E2B1">
      <w:pPr>
        <w:spacing w:line="400" w:lineRule="exact"/>
        <w:ind w:firstLine="480" w:firstLineChars="200"/>
        <w:rPr>
          <w:color w:val="auto"/>
          <w:sz w:val="24"/>
          <w:highlight w:val="none"/>
        </w:rPr>
      </w:pPr>
      <w:r>
        <w:rPr>
          <w:color w:val="auto"/>
          <w:sz w:val="24"/>
          <w:highlight w:val="none"/>
        </w:rPr>
        <w:t>（十七）财政、监察部门认定的其他不诚信行为。</w:t>
      </w:r>
    </w:p>
    <w:p w14:paraId="3C072828">
      <w:pPr>
        <w:spacing w:line="400" w:lineRule="exact"/>
        <w:ind w:firstLine="480" w:firstLineChars="200"/>
        <w:rPr>
          <w:color w:val="auto"/>
          <w:sz w:val="24"/>
          <w:highlight w:val="none"/>
        </w:rPr>
      </w:pPr>
      <w:r>
        <w:rPr>
          <w:rFonts w:hint="eastAsia"/>
          <w:color w:val="auto"/>
          <w:sz w:val="24"/>
          <w:highlight w:val="none"/>
        </w:rPr>
        <w:t>（十八）招标文件规定的其他不诚信行为。</w:t>
      </w:r>
    </w:p>
    <w:p w14:paraId="418727F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C914E44">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1F2AFC5">
      <w:pPr>
        <w:snapToGrid w:val="0"/>
        <w:spacing w:before="120" w:line="360" w:lineRule="auto"/>
        <w:rPr>
          <w:rFonts w:hAnsi="宋体" w:cs="宋体"/>
          <w:color w:val="auto"/>
          <w:szCs w:val="21"/>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F6C9D6A">
      <w:pPr>
        <w:snapToGrid w:val="0"/>
        <w:spacing w:before="50" w:after="120" w:afterLines="50" w:line="276" w:lineRule="auto"/>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31EF2B2B">
      <w:pPr>
        <w:rPr>
          <w:rFonts w:hint="eastAsia" w:ascii="宋体" w:hAnsi="宋体" w:cs="宋体"/>
          <w:color w:val="auto"/>
          <w:sz w:val="28"/>
          <w:szCs w:val="28"/>
          <w:highlight w:val="none"/>
        </w:rPr>
      </w:pPr>
      <w:r>
        <w:rPr>
          <w:rFonts w:hint="eastAsia" w:ascii="宋体" w:hAnsi="宋体" w:cs="宋体"/>
          <w:color w:val="auto"/>
          <w:sz w:val="28"/>
          <w:szCs w:val="28"/>
          <w:highlight w:val="none"/>
        </w:rPr>
        <w:t>附件4：无围标串标等负面行为承诺书</w:t>
      </w:r>
    </w:p>
    <w:p w14:paraId="6EDFDD05">
      <w:pPr>
        <w:autoSpaceDE w:val="0"/>
        <w:autoSpaceDN w:val="0"/>
        <w:adjustRightInd w:val="0"/>
        <w:spacing w:line="360" w:lineRule="auto"/>
        <w:rPr>
          <w:rFonts w:ascii="黑体" w:hAnsi="黑体" w:eastAsia="黑体"/>
          <w:b/>
          <w:color w:val="auto"/>
          <w:sz w:val="36"/>
          <w:highlight w:val="none"/>
        </w:rPr>
      </w:pPr>
    </w:p>
    <w:p w14:paraId="5043C3B9">
      <w:pPr>
        <w:autoSpaceDE w:val="0"/>
        <w:autoSpaceDN w:val="0"/>
        <w:adjustRightInd w:val="0"/>
        <w:spacing w:line="360" w:lineRule="auto"/>
        <w:jc w:val="center"/>
        <w:rPr>
          <w:rFonts w:ascii="黑体" w:hAnsi="黑体" w:eastAsia="黑体"/>
          <w:b/>
          <w:color w:val="auto"/>
          <w:sz w:val="36"/>
          <w:highlight w:val="none"/>
        </w:rPr>
      </w:pPr>
      <w:r>
        <w:rPr>
          <w:rFonts w:hint="eastAsia" w:ascii="黑体" w:hAnsi="黑体" w:eastAsia="黑体"/>
          <w:b/>
          <w:color w:val="auto"/>
          <w:sz w:val="36"/>
          <w:highlight w:val="none"/>
        </w:rPr>
        <w:t>无围标串标等负面行为承诺书</w:t>
      </w:r>
    </w:p>
    <w:p w14:paraId="52587522">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本人作为经授权的投标人（或供应商、竞拍人等，下同）代表，清楚知晓我单位参与本项目投标（交易，下同），现对以下事项作出郑重承诺并签名：</w:t>
      </w:r>
    </w:p>
    <w:p w14:paraId="52BC0FC8">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一、我单位和本人遵循公开、公平、公正、诚实守信的原则，所提供的一切材料均真实、有效、合法，依法依规参与本项目投标。</w:t>
      </w:r>
    </w:p>
    <w:p w14:paraId="1A5EFB56">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二、我单位和本人在本项目招标投标活动中，拒绝参与围标串标，决不损害其他投标人、招标人（或采购人、拍卖人等，下同）的合法权益。</w:t>
      </w:r>
    </w:p>
    <w:p w14:paraId="691AF36E">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三、我单位如被查实在本项目公共资源交易活动中存在围标串标等行为，本人作为违法行为直接责任人员，将承担被执行失信惩戒并被依法追究相关责任的后果。</w:t>
      </w:r>
    </w:p>
    <w:p w14:paraId="557B81B1">
      <w:pPr>
        <w:spacing w:line="560" w:lineRule="exact"/>
        <w:ind w:firstLine="480"/>
        <w:rPr>
          <w:rFonts w:ascii="宋体" w:hAnsi="宋体" w:cs="宋体"/>
          <w:color w:val="auto"/>
          <w:sz w:val="24"/>
          <w:highlight w:val="none"/>
        </w:rPr>
      </w:pPr>
    </w:p>
    <w:p w14:paraId="4208D700">
      <w:pPr>
        <w:spacing w:line="560" w:lineRule="exact"/>
        <w:ind w:firstLine="480"/>
        <w:rPr>
          <w:rFonts w:ascii="宋体" w:hAnsi="宋体" w:cs="宋体"/>
          <w:color w:val="auto"/>
          <w:sz w:val="24"/>
          <w:highlight w:val="none"/>
        </w:rPr>
      </w:pPr>
    </w:p>
    <w:p w14:paraId="33801B1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6BE37AD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291891C">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869649A">
      <w:pPr>
        <w:snapToGrid w:val="0"/>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B61BC80">
      <w:pPr>
        <w:rPr>
          <w:rFonts w:hint="eastAsia" w:ascii="宋体" w:hAnsi="宋体" w:cs="宋体"/>
          <w:color w:val="auto"/>
          <w:sz w:val="28"/>
          <w:szCs w:val="28"/>
          <w:highlight w:val="none"/>
        </w:rPr>
      </w:pPr>
      <w:r>
        <w:rPr>
          <w:rFonts w:hint="eastAsia" w:ascii="宋体" w:hAnsi="宋体" w:cs="宋体"/>
          <w:color w:val="auto"/>
          <w:sz w:val="28"/>
          <w:szCs w:val="28"/>
          <w:highlight w:val="none"/>
        </w:rPr>
        <w:t>附件5：《供应商市场行为信誉情况承诺书》：</w:t>
      </w:r>
    </w:p>
    <w:p w14:paraId="3B76B59D">
      <w:pPr>
        <w:jc w:val="center"/>
        <w:rPr>
          <w:rFonts w:ascii="黑体" w:hAnsi="宋体" w:eastAsia="黑体"/>
          <w:b/>
          <w:bCs/>
          <w:color w:val="auto"/>
          <w:kern w:val="0"/>
          <w:sz w:val="32"/>
          <w:szCs w:val="32"/>
          <w:highlight w:val="none"/>
        </w:rPr>
      </w:pPr>
      <w:r>
        <w:rPr>
          <w:rFonts w:hint="eastAsia" w:ascii="黑体" w:hAnsi="宋体" w:eastAsia="黑体"/>
          <w:b/>
          <w:bCs/>
          <w:color w:val="auto"/>
          <w:kern w:val="0"/>
          <w:sz w:val="32"/>
          <w:szCs w:val="32"/>
          <w:highlight w:val="none"/>
        </w:rPr>
        <w:t>供应商市场行为信誉情况承诺书（申明书）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63AD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3880F689">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r>
              <w:rPr>
                <w:color w:val="auto"/>
                <w:highlight w:val="none"/>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5155EC3C">
            <w:pPr>
              <w:spacing w:line="260" w:lineRule="exact"/>
              <w:rPr>
                <w:rFonts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648C7306">
            <w:pPr>
              <w:spacing w:before="100" w:beforeAutospacing="1" w:after="100" w:afterAutospacing="1" w:line="260" w:lineRule="exact"/>
              <w:jc w:val="center"/>
              <w:rPr>
                <w:color w:val="auto"/>
                <w:highlight w:val="none"/>
              </w:rPr>
            </w:pPr>
            <w:r>
              <w:rPr>
                <w:rFonts w:hint="eastAsia"/>
                <w:color w:val="auto"/>
                <w:highlight w:val="none"/>
              </w:rPr>
              <w:t>企业资质等级</w:t>
            </w:r>
          </w:p>
          <w:p w14:paraId="07D6613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（如</w:t>
            </w:r>
            <w:r>
              <w:rPr>
                <w:color w:val="auto"/>
                <w:highlight w:val="none"/>
              </w:rPr>
              <w:t xml:space="preserve"> </w:t>
            </w:r>
            <w:r>
              <w:rPr>
                <w:rFonts w:hint="eastAsia"/>
                <w:color w:val="auto"/>
                <w:highlight w:val="none"/>
              </w:rPr>
              <w:t>有）</w:t>
            </w:r>
            <w:r>
              <w:rPr>
                <w:color w:val="auto"/>
                <w:highlight w:val="none"/>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50F08074">
            <w:pPr>
              <w:spacing w:line="260" w:lineRule="exact"/>
              <w:rPr>
                <w:rFonts w:ascii="宋体" w:hAnsi="宋体"/>
                <w:color w:val="auto"/>
                <w:sz w:val="18"/>
                <w:szCs w:val="18"/>
                <w:highlight w:val="none"/>
              </w:rPr>
            </w:pPr>
          </w:p>
        </w:tc>
      </w:tr>
      <w:tr w14:paraId="5A22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5F47102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企</w:t>
            </w:r>
            <w:r>
              <w:rPr>
                <w:color w:val="auto"/>
                <w:highlight w:val="none"/>
              </w:rPr>
              <w:t xml:space="preserve"> </w:t>
            </w:r>
            <w:r>
              <w:rPr>
                <w:rFonts w:hint="eastAsia"/>
                <w:color w:val="auto"/>
                <w:highlight w:val="none"/>
              </w:rPr>
              <w:t>业</w:t>
            </w:r>
            <w:r>
              <w:rPr>
                <w:color w:val="auto"/>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0F64FC37">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0784DA57">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1F0E0FAF">
            <w:pPr>
              <w:spacing w:line="260" w:lineRule="exact"/>
              <w:rPr>
                <w:rFonts w:ascii="宋体" w:hAnsi="宋体"/>
                <w:color w:val="auto"/>
                <w:sz w:val="18"/>
                <w:szCs w:val="18"/>
                <w:highlight w:val="none"/>
              </w:rPr>
            </w:pPr>
          </w:p>
        </w:tc>
      </w:tr>
      <w:tr w14:paraId="5C3C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45C8CB8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拟投（竞）标项目名称</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6DEFC73">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4D0AD842">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拟投标项目负责人姓名及资质</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tcPr>
          <w:p w14:paraId="027967C4">
            <w:pPr>
              <w:spacing w:line="260" w:lineRule="exact"/>
              <w:rPr>
                <w:rFonts w:ascii="宋体" w:hAnsi="宋体"/>
                <w:color w:val="auto"/>
                <w:sz w:val="18"/>
                <w:szCs w:val="18"/>
                <w:highlight w:val="none"/>
              </w:rPr>
            </w:pPr>
          </w:p>
        </w:tc>
      </w:tr>
      <w:tr w14:paraId="1707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70339E34">
            <w:pPr>
              <w:spacing w:before="100" w:beforeAutospacing="1" w:after="100" w:afterAutospacing="1" w:line="260" w:lineRule="exact"/>
              <w:jc w:val="center"/>
              <w:rPr>
                <w:color w:val="auto"/>
                <w:sz w:val="24"/>
                <w:highlight w:val="none"/>
              </w:rPr>
            </w:pPr>
            <w:r>
              <w:rPr>
                <w:rFonts w:hint="eastAsia"/>
                <w:color w:val="auto"/>
                <w:highlight w:val="none"/>
              </w:rPr>
              <w:t>供应商</w:t>
            </w:r>
          </w:p>
          <w:p w14:paraId="729CC700">
            <w:pPr>
              <w:spacing w:before="100" w:beforeAutospacing="1" w:after="100" w:afterAutospacing="1" w:line="260" w:lineRule="exact"/>
              <w:jc w:val="center"/>
              <w:rPr>
                <w:color w:val="auto"/>
                <w:sz w:val="24"/>
                <w:highlight w:val="none"/>
              </w:rPr>
            </w:pPr>
            <w:r>
              <w:rPr>
                <w:rFonts w:hint="eastAsia"/>
                <w:color w:val="auto"/>
                <w:highlight w:val="none"/>
              </w:rPr>
              <w:t>市场</w:t>
            </w:r>
          </w:p>
          <w:p w14:paraId="3FC83882">
            <w:pPr>
              <w:spacing w:before="100" w:beforeAutospacing="1" w:after="100" w:afterAutospacing="1" w:line="260" w:lineRule="exact"/>
              <w:jc w:val="center"/>
              <w:rPr>
                <w:color w:val="auto"/>
                <w:sz w:val="24"/>
                <w:highlight w:val="none"/>
              </w:rPr>
            </w:pPr>
            <w:r>
              <w:rPr>
                <w:rFonts w:hint="eastAsia"/>
                <w:color w:val="auto"/>
                <w:highlight w:val="none"/>
              </w:rPr>
              <w:t>行为</w:t>
            </w:r>
          </w:p>
          <w:p w14:paraId="2F2A3E61">
            <w:pPr>
              <w:spacing w:before="100" w:beforeAutospacing="1" w:after="100" w:afterAutospacing="1" w:line="260" w:lineRule="exact"/>
              <w:jc w:val="center"/>
              <w:rPr>
                <w:color w:val="auto"/>
                <w:sz w:val="24"/>
                <w:highlight w:val="none"/>
              </w:rPr>
            </w:pPr>
            <w:r>
              <w:rPr>
                <w:rFonts w:hint="eastAsia"/>
                <w:color w:val="auto"/>
                <w:highlight w:val="none"/>
              </w:rPr>
              <w:t>信用</w:t>
            </w:r>
          </w:p>
          <w:p w14:paraId="7E414630">
            <w:pP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BF5EBDD">
            <w:pP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32889594">
            <w:pPr>
              <w:spacing w:line="260" w:lineRule="exact"/>
              <w:jc w:val="center"/>
              <w:rPr>
                <w:rFonts w:ascii="宋体" w:hAnsi="宋体"/>
                <w:color w:val="auto"/>
                <w:sz w:val="18"/>
                <w:szCs w:val="18"/>
                <w:highlight w:val="none"/>
              </w:rPr>
            </w:pPr>
          </w:p>
        </w:tc>
      </w:tr>
      <w:tr w14:paraId="1D3C3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E5C758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420AAD10">
            <w:pP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3372A0F2">
            <w:pPr>
              <w:spacing w:line="260" w:lineRule="exact"/>
              <w:rPr>
                <w:rFonts w:ascii="宋体" w:hAnsi="宋体"/>
                <w:color w:val="auto"/>
                <w:sz w:val="18"/>
                <w:szCs w:val="18"/>
                <w:highlight w:val="none"/>
              </w:rPr>
            </w:pPr>
          </w:p>
        </w:tc>
      </w:tr>
      <w:tr w14:paraId="51D8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5A0B2AC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3FC476DC">
            <w:pPr>
              <w:spacing w:before="100" w:beforeAutospacing="1" w:after="100" w:afterAutospacing="1" w:line="260" w:lineRule="exact"/>
              <w:rPr>
                <w:rFonts w:hint="eastAsia"/>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0743F0B3">
            <w:pPr>
              <w:spacing w:line="260" w:lineRule="exact"/>
              <w:rPr>
                <w:rFonts w:ascii="宋体" w:hAnsi="宋体"/>
                <w:color w:val="auto"/>
                <w:sz w:val="18"/>
                <w:szCs w:val="18"/>
                <w:highlight w:val="none"/>
              </w:rPr>
            </w:pPr>
          </w:p>
        </w:tc>
      </w:tr>
      <w:tr w14:paraId="0EDAF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F205CDB">
            <w:pPr>
              <w:widowControl/>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0543B661">
            <w:pPr>
              <w:spacing w:before="100" w:beforeAutospacing="1" w:after="100" w:afterAutospacing="1" w:line="260" w:lineRule="exact"/>
              <w:rPr>
                <w:rFonts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2524264B">
            <w:pPr>
              <w:spacing w:line="260" w:lineRule="exact"/>
              <w:rPr>
                <w:rFonts w:ascii="宋体" w:hAnsi="宋体"/>
                <w:color w:val="auto"/>
                <w:sz w:val="18"/>
                <w:szCs w:val="18"/>
                <w:highlight w:val="none"/>
              </w:rPr>
            </w:pPr>
          </w:p>
        </w:tc>
      </w:tr>
      <w:tr w14:paraId="2858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52DEAA7">
            <w:pPr>
              <w:widowControl/>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3F47ACAB">
            <w:pP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3A987CCC">
            <w:pPr>
              <w:spacing w:line="260" w:lineRule="exact"/>
              <w:rPr>
                <w:rFonts w:ascii="宋体" w:hAnsi="宋体"/>
                <w:color w:val="auto"/>
                <w:sz w:val="18"/>
                <w:szCs w:val="18"/>
                <w:highlight w:val="none"/>
              </w:rPr>
            </w:pPr>
          </w:p>
        </w:tc>
      </w:tr>
      <w:tr w14:paraId="1A361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6433615D">
            <w:pPr>
              <w:spacing w:before="100" w:beforeAutospacing="1" w:after="100" w:afterAutospacing="1" w:line="260" w:lineRule="exact"/>
              <w:jc w:val="center"/>
              <w:rPr>
                <w:color w:val="auto"/>
                <w:highlight w:val="none"/>
              </w:rPr>
            </w:pPr>
            <w:r>
              <w:rPr>
                <w:rFonts w:hint="eastAsia"/>
                <w:color w:val="auto"/>
                <w:highlight w:val="none"/>
              </w:rPr>
              <w:t>投标供应商</w:t>
            </w:r>
          </w:p>
          <w:p w14:paraId="62198815">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声</w:t>
            </w:r>
            <w:r>
              <w:rPr>
                <w:color w:val="auto"/>
                <w:highlight w:val="none"/>
              </w:rPr>
              <w:t xml:space="preserve"> </w:t>
            </w:r>
            <w:r>
              <w:rPr>
                <w:rFonts w:hint="eastAsia"/>
                <w:color w:val="auto"/>
                <w:highlight w:val="none"/>
              </w:rPr>
              <w:t>明</w:t>
            </w:r>
            <w:r>
              <w:rPr>
                <w:color w:val="auto"/>
                <w:highlight w:val="none"/>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616A7D09">
            <w:pPr>
              <w:pStyle w:val="14"/>
              <w:spacing w:line="260" w:lineRule="exact"/>
              <w:ind w:left="420" w:firstLine="337"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214ED649">
            <w:pPr>
              <w:spacing w:before="100" w:beforeAutospacing="1" w:after="100" w:afterAutospacing="1" w:line="260" w:lineRule="exact"/>
              <w:jc w:val="center"/>
              <w:rPr>
                <w:color w:val="auto"/>
                <w:sz w:val="24"/>
                <w:highlight w:val="none"/>
              </w:rPr>
            </w:pPr>
            <w:r>
              <w:rPr>
                <w:rFonts w:hint="eastAsia"/>
                <w:color w:val="auto"/>
                <w:highlight w:val="none"/>
              </w:rPr>
              <w:t>法定代表人签名：</w:t>
            </w:r>
            <w:r>
              <w:rPr>
                <w:rFonts w:hint="eastAsia"/>
                <w:color w:val="auto"/>
                <w:highlight w:val="none"/>
                <w:u w:val="single"/>
              </w:rPr>
              <w:t xml:space="preserve">            </w:t>
            </w:r>
            <w:r>
              <w:rPr>
                <w:color w:val="auto"/>
                <w:highlight w:val="none"/>
              </w:rPr>
              <w:t xml:space="preserve"> </w:t>
            </w:r>
          </w:p>
          <w:p w14:paraId="2BFE08EB">
            <w:pPr>
              <w:spacing w:before="100" w:beforeAutospacing="1" w:after="100" w:afterAutospacing="1" w:line="260" w:lineRule="exact"/>
              <w:jc w:val="center"/>
              <w:rPr>
                <w:color w:val="auto"/>
                <w:sz w:val="24"/>
                <w:highlight w:val="none"/>
              </w:rPr>
            </w:pPr>
            <w:r>
              <w:rPr>
                <w:color w:val="auto"/>
                <w:highlight w:val="none"/>
              </w:rPr>
              <w:t>(</w:t>
            </w:r>
            <w:r>
              <w:rPr>
                <w:rFonts w:hint="eastAsia"/>
                <w:color w:val="auto"/>
                <w:highlight w:val="none"/>
              </w:rPr>
              <w:t>电子签章）</w:t>
            </w:r>
            <w:r>
              <w:rPr>
                <w:color w:val="auto"/>
                <w:highlight w:val="none"/>
              </w:rPr>
              <w:t xml:space="preserve"> </w:t>
            </w:r>
          </w:p>
          <w:p w14:paraId="54B03AE7">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r>
              <w:rPr>
                <w:color w:val="auto"/>
                <w:highlight w:val="none"/>
              </w:rPr>
              <w:t xml:space="preserve"> </w:t>
            </w:r>
          </w:p>
        </w:tc>
      </w:tr>
    </w:tbl>
    <w:p w14:paraId="365CFBB1">
      <w:pPr>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5D286B9E">
      <w:pPr>
        <w:ind w:firstLine="420" w:firstLineChars="200"/>
        <w:rPr>
          <w:rFonts w:hint="eastAsia"/>
          <w:color w:val="auto"/>
          <w:highlight w:val="none"/>
        </w:rPr>
      </w:pPr>
      <w:r>
        <w:rPr>
          <w:rFonts w:hint="eastAsia"/>
          <w:color w:val="auto"/>
          <w:highlight w:val="none"/>
        </w:rPr>
        <w:t>2.本表格由供应商自己填写，若无表中所列情况，则在相应栏中写“无”，若有，须按具体次数分别说明（包括处罚时间、事由、处罚主体等）；</w:t>
      </w:r>
    </w:p>
    <w:p w14:paraId="0C58807A">
      <w:pPr>
        <w:snapToGrid w:val="0"/>
        <w:spacing w:before="50" w:after="120" w:afterLines="50" w:line="276" w:lineRule="auto"/>
        <w:jc w:val="left"/>
        <w:rPr>
          <w:rFonts w:hint="eastAsia" w:ascii="宋体" w:hAnsi="宋体"/>
          <w:b/>
          <w:color w:val="auto"/>
          <w:sz w:val="24"/>
          <w:highlight w:val="none"/>
        </w:rPr>
      </w:pPr>
    </w:p>
    <w:p w14:paraId="068C6E84">
      <w:pPr>
        <w:snapToGrid w:val="0"/>
        <w:spacing w:before="50" w:after="120" w:afterLines="50" w:line="276" w:lineRule="auto"/>
        <w:jc w:val="left"/>
        <w:rPr>
          <w:rFonts w:hint="eastAsia" w:ascii="宋体" w:hAnsi="宋体"/>
          <w:b/>
          <w:color w:val="auto"/>
          <w:sz w:val="24"/>
          <w:highlight w:val="none"/>
        </w:rPr>
      </w:pPr>
    </w:p>
    <w:p w14:paraId="26C23225">
      <w:pPr>
        <w:snapToGrid w:val="0"/>
        <w:spacing w:before="50" w:after="120" w:afterLines="50" w:line="276" w:lineRule="auto"/>
        <w:jc w:val="left"/>
        <w:rPr>
          <w:rFonts w:hint="eastAsia" w:ascii="宋体" w:hAnsi="宋体"/>
          <w:b/>
          <w:color w:val="auto"/>
          <w:sz w:val="24"/>
          <w:highlight w:val="none"/>
        </w:rPr>
      </w:pPr>
    </w:p>
    <w:p w14:paraId="46C83CDD">
      <w:pPr>
        <w:rPr>
          <w:rFonts w:hint="eastAsia" w:ascii="宋体" w:hAnsi="宋体" w:cs="宋体"/>
          <w:color w:val="auto"/>
          <w:sz w:val="28"/>
          <w:szCs w:val="28"/>
          <w:highlight w:val="none"/>
        </w:rPr>
      </w:pPr>
      <w:r>
        <w:rPr>
          <w:rFonts w:hint="eastAsia" w:ascii="宋体" w:hAnsi="宋体" w:cs="宋体"/>
          <w:color w:val="auto"/>
          <w:sz w:val="28"/>
          <w:szCs w:val="28"/>
          <w:highlight w:val="none"/>
        </w:rPr>
        <w:t>附件6：投标单位情况表：</w:t>
      </w:r>
    </w:p>
    <w:p w14:paraId="57C51C0C">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投标单位情况表</w:t>
      </w:r>
    </w:p>
    <w:p w14:paraId="2F7F75F0">
      <w:pPr>
        <w:pStyle w:val="29"/>
        <w:spacing w:before="120" w:after="120" w:line="276" w:lineRule="auto"/>
        <w:rPr>
          <w:rFonts w:ascii="Times New Roman" w:hAnsi="Times New Roman"/>
          <w:color w:val="auto"/>
          <w:highlight w:val="none"/>
        </w:rPr>
      </w:pPr>
      <w:r>
        <w:rPr>
          <w:rFonts w:hint="eastAsia" w:ascii="Times New Roman" w:hAnsi="Times New Roman"/>
          <w:color w:val="auto"/>
          <w:highlight w:val="none"/>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126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73025FB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单位名称</w:t>
            </w:r>
          </w:p>
        </w:tc>
        <w:tc>
          <w:tcPr>
            <w:tcW w:w="3385" w:type="dxa"/>
            <w:vAlign w:val="center"/>
          </w:tcPr>
          <w:p w14:paraId="356BA1B0">
            <w:pPr>
              <w:widowControl/>
              <w:spacing w:line="276" w:lineRule="auto"/>
              <w:jc w:val="center"/>
              <w:rPr>
                <w:rFonts w:ascii="宋体" w:hAnsi="宋体"/>
                <w:color w:val="auto"/>
                <w:szCs w:val="21"/>
                <w:highlight w:val="none"/>
              </w:rPr>
            </w:pPr>
          </w:p>
        </w:tc>
        <w:tc>
          <w:tcPr>
            <w:tcW w:w="1418" w:type="dxa"/>
            <w:gridSpan w:val="2"/>
            <w:vAlign w:val="center"/>
          </w:tcPr>
          <w:p w14:paraId="24CC5AF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电话</w:t>
            </w:r>
          </w:p>
        </w:tc>
        <w:tc>
          <w:tcPr>
            <w:tcW w:w="2627" w:type="dxa"/>
            <w:vAlign w:val="center"/>
          </w:tcPr>
          <w:p w14:paraId="562468C6">
            <w:pPr>
              <w:pStyle w:val="29"/>
              <w:spacing w:before="120" w:after="120" w:line="276" w:lineRule="auto"/>
              <w:jc w:val="center"/>
              <w:rPr>
                <w:rFonts w:hAnsi="宋体"/>
                <w:color w:val="auto"/>
                <w:sz w:val="21"/>
                <w:szCs w:val="21"/>
                <w:highlight w:val="none"/>
              </w:rPr>
            </w:pPr>
          </w:p>
        </w:tc>
      </w:tr>
      <w:tr w14:paraId="360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4DF4796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地址</w:t>
            </w:r>
          </w:p>
        </w:tc>
        <w:tc>
          <w:tcPr>
            <w:tcW w:w="3385" w:type="dxa"/>
            <w:vAlign w:val="center"/>
          </w:tcPr>
          <w:p w14:paraId="76C8DFBE">
            <w:pPr>
              <w:pStyle w:val="29"/>
              <w:spacing w:before="120" w:after="120" w:line="276" w:lineRule="auto"/>
              <w:jc w:val="center"/>
              <w:rPr>
                <w:rFonts w:hAnsi="宋体"/>
                <w:color w:val="auto"/>
                <w:sz w:val="21"/>
                <w:szCs w:val="21"/>
                <w:highlight w:val="none"/>
              </w:rPr>
            </w:pPr>
          </w:p>
        </w:tc>
        <w:tc>
          <w:tcPr>
            <w:tcW w:w="1418" w:type="dxa"/>
            <w:gridSpan w:val="2"/>
            <w:vAlign w:val="center"/>
          </w:tcPr>
          <w:p w14:paraId="6158C8A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传真</w:t>
            </w:r>
          </w:p>
        </w:tc>
        <w:tc>
          <w:tcPr>
            <w:tcW w:w="2627" w:type="dxa"/>
            <w:vAlign w:val="center"/>
          </w:tcPr>
          <w:p w14:paraId="318517DF">
            <w:pPr>
              <w:pStyle w:val="29"/>
              <w:spacing w:before="120" w:after="120" w:line="276" w:lineRule="auto"/>
              <w:jc w:val="center"/>
              <w:rPr>
                <w:rFonts w:hAnsi="宋体"/>
                <w:color w:val="auto"/>
                <w:sz w:val="21"/>
                <w:szCs w:val="21"/>
                <w:highlight w:val="none"/>
              </w:rPr>
            </w:pPr>
          </w:p>
        </w:tc>
      </w:tr>
      <w:tr w14:paraId="6E5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5752D72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主管部门</w:t>
            </w:r>
          </w:p>
        </w:tc>
        <w:tc>
          <w:tcPr>
            <w:tcW w:w="3385" w:type="dxa"/>
            <w:vAlign w:val="center"/>
          </w:tcPr>
          <w:p w14:paraId="6DE7DCC4">
            <w:pPr>
              <w:pStyle w:val="29"/>
              <w:spacing w:before="120" w:after="120" w:line="276" w:lineRule="auto"/>
              <w:jc w:val="center"/>
              <w:rPr>
                <w:rFonts w:hAnsi="宋体"/>
                <w:color w:val="auto"/>
                <w:sz w:val="21"/>
                <w:szCs w:val="21"/>
                <w:highlight w:val="none"/>
              </w:rPr>
            </w:pPr>
          </w:p>
        </w:tc>
        <w:tc>
          <w:tcPr>
            <w:tcW w:w="1418" w:type="dxa"/>
            <w:gridSpan w:val="2"/>
            <w:vAlign w:val="center"/>
          </w:tcPr>
          <w:p w14:paraId="238F2ED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企业性质</w:t>
            </w:r>
          </w:p>
        </w:tc>
        <w:tc>
          <w:tcPr>
            <w:tcW w:w="2627" w:type="dxa"/>
            <w:vAlign w:val="center"/>
          </w:tcPr>
          <w:p w14:paraId="368E7D2F">
            <w:pPr>
              <w:pStyle w:val="29"/>
              <w:spacing w:before="120" w:after="120" w:line="276" w:lineRule="auto"/>
              <w:jc w:val="center"/>
              <w:rPr>
                <w:rFonts w:hAnsi="宋体"/>
                <w:color w:val="auto"/>
                <w:sz w:val="21"/>
                <w:szCs w:val="21"/>
                <w:highlight w:val="none"/>
              </w:rPr>
            </w:pPr>
          </w:p>
        </w:tc>
      </w:tr>
      <w:tr w14:paraId="102A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129DE299">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企业法人</w:t>
            </w:r>
          </w:p>
        </w:tc>
        <w:tc>
          <w:tcPr>
            <w:tcW w:w="3385" w:type="dxa"/>
            <w:vAlign w:val="center"/>
          </w:tcPr>
          <w:p w14:paraId="05D32396">
            <w:pPr>
              <w:pStyle w:val="29"/>
              <w:spacing w:before="120" w:after="120" w:line="276" w:lineRule="auto"/>
              <w:jc w:val="center"/>
              <w:rPr>
                <w:rFonts w:hAnsi="宋体"/>
                <w:color w:val="auto"/>
                <w:sz w:val="21"/>
                <w:szCs w:val="21"/>
                <w:highlight w:val="none"/>
              </w:rPr>
            </w:pPr>
          </w:p>
        </w:tc>
        <w:tc>
          <w:tcPr>
            <w:tcW w:w="1418" w:type="dxa"/>
            <w:gridSpan w:val="2"/>
            <w:vAlign w:val="center"/>
          </w:tcPr>
          <w:p w14:paraId="53598B2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资质等级</w:t>
            </w:r>
          </w:p>
        </w:tc>
        <w:tc>
          <w:tcPr>
            <w:tcW w:w="2627" w:type="dxa"/>
            <w:vAlign w:val="center"/>
          </w:tcPr>
          <w:p w14:paraId="2B3573FD">
            <w:pPr>
              <w:pStyle w:val="29"/>
              <w:spacing w:before="120" w:after="120" w:line="276" w:lineRule="auto"/>
              <w:jc w:val="center"/>
              <w:rPr>
                <w:rFonts w:hAnsi="宋体"/>
                <w:color w:val="auto"/>
                <w:sz w:val="21"/>
                <w:szCs w:val="21"/>
                <w:highlight w:val="none"/>
              </w:rPr>
            </w:pPr>
          </w:p>
        </w:tc>
      </w:tr>
      <w:tr w14:paraId="01AD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6AD33C53">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授权代表</w:t>
            </w:r>
          </w:p>
        </w:tc>
        <w:tc>
          <w:tcPr>
            <w:tcW w:w="3385" w:type="dxa"/>
            <w:vAlign w:val="center"/>
          </w:tcPr>
          <w:p w14:paraId="11AB7715">
            <w:pPr>
              <w:pStyle w:val="29"/>
              <w:spacing w:before="120" w:after="120" w:line="276" w:lineRule="auto"/>
              <w:jc w:val="center"/>
              <w:rPr>
                <w:rFonts w:hAnsi="宋体"/>
                <w:color w:val="auto"/>
                <w:sz w:val="21"/>
                <w:szCs w:val="21"/>
                <w:highlight w:val="none"/>
              </w:rPr>
            </w:pPr>
          </w:p>
        </w:tc>
        <w:tc>
          <w:tcPr>
            <w:tcW w:w="1418" w:type="dxa"/>
            <w:gridSpan w:val="2"/>
            <w:vAlign w:val="center"/>
          </w:tcPr>
          <w:p w14:paraId="6923136F">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职务</w:t>
            </w:r>
          </w:p>
        </w:tc>
        <w:tc>
          <w:tcPr>
            <w:tcW w:w="2627" w:type="dxa"/>
            <w:vAlign w:val="center"/>
          </w:tcPr>
          <w:p w14:paraId="13F570EF">
            <w:pPr>
              <w:pStyle w:val="29"/>
              <w:spacing w:before="120" w:after="120" w:line="276" w:lineRule="auto"/>
              <w:jc w:val="center"/>
              <w:rPr>
                <w:rFonts w:hAnsi="宋体"/>
                <w:color w:val="auto"/>
                <w:sz w:val="21"/>
                <w:szCs w:val="21"/>
                <w:highlight w:val="none"/>
              </w:rPr>
            </w:pPr>
          </w:p>
        </w:tc>
      </w:tr>
      <w:tr w14:paraId="052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6F0E9479">
            <w:pPr>
              <w:pStyle w:val="29"/>
              <w:spacing w:before="120" w:after="120" w:line="276" w:lineRule="auto"/>
              <w:ind w:firstLine="630" w:firstLineChars="300"/>
              <w:jc w:val="center"/>
              <w:rPr>
                <w:rFonts w:hAnsi="宋体"/>
                <w:color w:val="auto"/>
                <w:sz w:val="21"/>
                <w:szCs w:val="21"/>
                <w:highlight w:val="none"/>
              </w:rPr>
            </w:pPr>
          </w:p>
          <w:p w14:paraId="435296D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w:t>
            </w:r>
          </w:p>
          <w:p w14:paraId="2EF5AAB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概况</w:t>
            </w:r>
          </w:p>
          <w:p w14:paraId="0A5CC4A2">
            <w:pPr>
              <w:pStyle w:val="29"/>
              <w:spacing w:before="120" w:after="120" w:line="276" w:lineRule="auto"/>
              <w:ind w:firstLine="630" w:firstLineChars="300"/>
              <w:jc w:val="center"/>
              <w:rPr>
                <w:rFonts w:hAnsi="宋体"/>
                <w:color w:val="auto"/>
                <w:sz w:val="21"/>
                <w:szCs w:val="21"/>
                <w:highlight w:val="none"/>
              </w:rPr>
            </w:pPr>
          </w:p>
          <w:p w14:paraId="64481EE7">
            <w:pPr>
              <w:pStyle w:val="29"/>
              <w:spacing w:before="120" w:after="120" w:line="276" w:lineRule="auto"/>
              <w:ind w:firstLine="630" w:firstLineChars="300"/>
              <w:jc w:val="center"/>
              <w:rPr>
                <w:rFonts w:hAnsi="宋体"/>
                <w:color w:val="auto"/>
                <w:sz w:val="21"/>
                <w:szCs w:val="21"/>
                <w:highlight w:val="none"/>
              </w:rPr>
            </w:pPr>
          </w:p>
          <w:p w14:paraId="0CB2ACCC">
            <w:pPr>
              <w:pStyle w:val="29"/>
              <w:spacing w:before="120" w:after="120" w:line="276" w:lineRule="auto"/>
              <w:ind w:firstLine="630" w:firstLineChars="300"/>
              <w:jc w:val="center"/>
              <w:rPr>
                <w:rFonts w:hAnsi="宋体"/>
                <w:color w:val="auto"/>
                <w:sz w:val="21"/>
                <w:szCs w:val="21"/>
                <w:highlight w:val="none"/>
              </w:rPr>
            </w:pPr>
          </w:p>
          <w:p w14:paraId="0BE51C0B">
            <w:pPr>
              <w:pStyle w:val="29"/>
              <w:spacing w:before="120" w:after="120" w:line="276" w:lineRule="auto"/>
              <w:ind w:firstLine="630" w:firstLineChars="300"/>
              <w:jc w:val="center"/>
              <w:rPr>
                <w:rFonts w:hAnsi="宋体"/>
                <w:color w:val="auto"/>
                <w:sz w:val="21"/>
                <w:szCs w:val="21"/>
                <w:highlight w:val="none"/>
              </w:rPr>
            </w:pPr>
          </w:p>
        </w:tc>
        <w:tc>
          <w:tcPr>
            <w:tcW w:w="1300" w:type="dxa"/>
            <w:vMerge w:val="restart"/>
            <w:vAlign w:val="center"/>
          </w:tcPr>
          <w:p w14:paraId="6C89FF9B">
            <w:pPr>
              <w:spacing w:line="276" w:lineRule="auto"/>
              <w:jc w:val="center"/>
              <w:rPr>
                <w:rFonts w:ascii="宋体" w:hAnsi="宋体"/>
                <w:color w:val="auto"/>
                <w:szCs w:val="21"/>
                <w:highlight w:val="none"/>
              </w:rPr>
            </w:pPr>
            <w:r>
              <w:rPr>
                <w:rFonts w:hint="eastAsia" w:ascii="宋体" w:hAnsi="宋体"/>
                <w:color w:val="auto"/>
                <w:szCs w:val="21"/>
                <w:highlight w:val="none"/>
              </w:rPr>
              <w:t>职工总数</w:t>
            </w:r>
          </w:p>
        </w:tc>
        <w:tc>
          <w:tcPr>
            <w:tcW w:w="3385" w:type="dxa"/>
            <w:vAlign w:val="center"/>
          </w:tcPr>
          <w:p w14:paraId="614E53D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员工：           人</w:t>
            </w:r>
          </w:p>
        </w:tc>
        <w:tc>
          <w:tcPr>
            <w:tcW w:w="4045" w:type="dxa"/>
            <w:gridSpan w:val="3"/>
            <w:vAlign w:val="center"/>
          </w:tcPr>
          <w:p w14:paraId="49DCE8D2">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技术工人：          人</w:t>
            </w:r>
          </w:p>
        </w:tc>
      </w:tr>
      <w:tr w14:paraId="17C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1772CB2D">
            <w:pPr>
              <w:pStyle w:val="29"/>
              <w:spacing w:before="120" w:after="120" w:line="276" w:lineRule="auto"/>
              <w:ind w:firstLine="630" w:firstLineChars="300"/>
              <w:jc w:val="center"/>
              <w:rPr>
                <w:rFonts w:hAnsi="宋体"/>
                <w:color w:val="auto"/>
                <w:sz w:val="21"/>
                <w:szCs w:val="21"/>
                <w:highlight w:val="none"/>
              </w:rPr>
            </w:pPr>
          </w:p>
        </w:tc>
        <w:tc>
          <w:tcPr>
            <w:tcW w:w="1300" w:type="dxa"/>
            <w:vMerge w:val="continue"/>
            <w:vAlign w:val="center"/>
          </w:tcPr>
          <w:p w14:paraId="056B7F38">
            <w:pPr>
              <w:widowControl/>
              <w:spacing w:line="276" w:lineRule="auto"/>
              <w:jc w:val="center"/>
              <w:rPr>
                <w:rFonts w:ascii="宋体" w:hAnsi="宋体"/>
                <w:color w:val="auto"/>
                <w:szCs w:val="21"/>
                <w:highlight w:val="none"/>
              </w:rPr>
            </w:pPr>
          </w:p>
        </w:tc>
        <w:tc>
          <w:tcPr>
            <w:tcW w:w="3385" w:type="dxa"/>
            <w:vAlign w:val="center"/>
          </w:tcPr>
          <w:p w14:paraId="6C50C14A">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高级技师：       人</w:t>
            </w:r>
          </w:p>
        </w:tc>
        <w:tc>
          <w:tcPr>
            <w:tcW w:w="4045" w:type="dxa"/>
            <w:gridSpan w:val="3"/>
            <w:vAlign w:val="center"/>
          </w:tcPr>
          <w:p w14:paraId="0339963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工程师：            人</w:t>
            </w:r>
          </w:p>
        </w:tc>
      </w:tr>
      <w:tr w14:paraId="0EAB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575E9BCE">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16E5235C">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流动资金</w:t>
            </w:r>
          </w:p>
        </w:tc>
        <w:tc>
          <w:tcPr>
            <w:tcW w:w="3385" w:type="dxa"/>
            <w:vAlign w:val="center"/>
          </w:tcPr>
          <w:p w14:paraId="74468EB8">
            <w:pPr>
              <w:pStyle w:val="29"/>
              <w:spacing w:before="120" w:after="120" w:line="276" w:lineRule="auto"/>
              <w:jc w:val="center"/>
              <w:rPr>
                <w:rFonts w:hAnsi="宋体"/>
                <w:color w:val="auto"/>
                <w:sz w:val="21"/>
                <w:szCs w:val="21"/>
                <w:highlight w:val="none"/>
              </w:rPr>
            </w:pPr>
          </w:p>
        </w:tc>
        <w:tc>
          <w:tcPr>
            <w:tcW w:w="1260" w:type="dxa"/>
            <w:vAlign w:val="center"/>
          </w:tcPr>
          <w:p w14:paraId="725A7CB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营业面积</w:t>
            </w:r>
          </w:p>
        </w:tc>
        <w:tc>
          <w:tcPr>
            <w:tcW w:w="2785" w:type="dxa"/>
            <w:gridSpan w:val="2"/>
            <w:vAlign w:val="center"/>
          </w:tcPr>
          <w:p w14:paraId="753D0DD5">
            <w:pPr>
              <w:pStyle w:val="29"/>
              <w:spacing w:before="120" w:after="120" w:line="276" w:lineRule="auto"/>
              <w:jc w:val="center"/>
              <w:rPr>
                <w:rFonts w:hAnsi="宋体"/>
                <w:color w:val="auto"/>
                <w:sz w:val="21"/>
                <w:szCs w:val="21"/>
                <w:highlight w:val="none"/>
              </w:rPr>
            </w:pPr>
          </w:p>
        </w:tc>
      </w:tr>
      <w:tr w14:paraId="49E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3A4A1D71">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05CC21A2">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固定资金</w:t>
            </w:r>
          </w:p>
        </w:tc>
        <w:tc>
          <w:tcPr>
            <w:tcW w:w="3385" w:type="dxa"/>
            <w:vAlign w:val="center"/>
          </w:tcPr>
          <w:p w14:paraId="67472C4F">
            <w:pPr>
              <w:widowControl/>
              <w:spacing w:line="276" w:lineRule="auto"/>
              <w:jc w:val="center"/>
              <w:rPr>
                <w:rFonts w:ascii="宋体" w:hAnsi="宋体"/>
                <w:color w:val="auto"/>
                <w:szCs w:val="21"/>
                <w:highlight w:val="none"/>
              </w:rPr>
            </w:pPr>
          </w:p>
        </w:tc>
        <w:tc>
          <w:tcPr>
            <w:tcW w:w="1260" w:type="dxa"/>
            <w:vAlign w:val="center"/>
          </w:tcPr>
          <w:p w14:paraId="1B8A9E5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维修网点</w:t>
            </w:r>
          </w:p>
        </w:tc>
        <w:tc>
          <w:tcPr>
            <w:tcW w:w="2785" w:type="dxa"/>
            <w:gridSpan w:val="2"/>
            <w:vAlign w:val="center"/>
          </w:tcPr>
          <w:p w14:paraId="3E450091">
            <w:pPr>
              <w:widowControl/>
              <w:spacing w:line="276" w:lineRule="auto"/>
              <w:jc w:val="center"/>
              <w:rPr>
                <w:rFonts w:ascii="宋体" w:hAnsi="宋体"/>
                <w:color w:val="auto"/>
                <w:szCs w:val="21"/>
                <w:highlight w:val="none"/>
              </w:rPr>
            </w:pPr>
          </w:p>
        </w:tc>
      </w:tr>
      <w:tr w14:paraId="642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02EB9BC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单位简历</w:t>
            </w:r>
          </w:p>
        </w:tc>
        <w:tc>
          <w:tcPr>
            <w:tcW w:w="8730" w:type="dxa"/>
            <w:gridSpan w:val="5"/>
          </w:tcPr>
          <w:p w14:paraId="444C6B69">
            <w:pPr>
              <w:spacing w:line="276" w:lineRule="auto"/>
              <w:jc w:val="left"/>
              <w:rPr>
                <w:rFonts w:ascii="宋体" w:hAnsi="宋体"/>
                <w:color w:val="auto"/>
                <w:szCs w:val="21"/>
                <w:highlight w:val="none"/>
              </w:rPr>
            </w:pPr>
          </w:p>
        </w:tc>
      </w:tr>
      <w:tr w14:paraId="776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0D13817D">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优势及特长</w:t>
            </w:r>
          </w:p>
        </w:tc>
        <w:tc>
          <w:tcPr>
            <w:tcW w:w="8730" w:type="dxa"/>
            <w:gridSpan w:val="5"/>
          </w:tcPr>
          <w:p w14:paraId="226FEDEC">
            <w:pPr>
              <w:spacing w:line="276" w:lineRule="auto"/>
              <w:jc w:val="left"/>
              <w:rPr>
                <w:rFonts w:ascii="宋体" w:hAnsi="宋体"/>
                <w:color w:val="auto"/>
                <w:szCs w:val="21"/>
                <w:highlight w:val="none"/>
              </w:rPr>
            </w:pPr>
          </w:p>
        </w:tc>
      </w:tr>
    </w:tbl>
    <w:p w14:paraId="02C85151">
      <w:pPr>
        <w:snapToGrid w:val="0"/>
        <w:spacing w:before="50" w:after="120" w:afterLines="50" w:line="276" w:lineRule="auto"/>
        <w:jc w:val="left"/>
        <w:rPr>
          <w:rFonts w:ascii="宋体" w:hAnsi="宋体"/>
          <w:b/>
          <w:color w:val="auto"/>
          <w:sz w:val="24"/>
          <w:highlight w:val="none"/>
        </w:rPr>
      </w:pPr>
    </w:p>
    <w:p w14:paraId="72E1B5C0">
      <w:pPr>
        <w:snapToGrid w:val="0"/>
        <w:spacing w:before="50" w:after="120" w:afterLines="50" w:line="276" w:lineRule="auto"/>
        <w:jc w:val="left"/>
        <w:rPr>
          <w:rFonts w:hint="eastAsia" w:ascii="宋体" w:hAnsi="宋体"/>
          <w:b/>
          <w:color w:val="auto"/>
          <w:sz w:val="24"/>
          <w:highlight w:val="none"/>
        </w:rPr>
      </w:pPr>
    </w:p>
    <w:p w14:paraId="18A8703A">
      <w:pPr>
        <w:rPr>
          <w:rFonts w:ascii="宋体" w:hAnsi="宋体"/>
          <w:b/>
          <w:color w:val="auto"/>
          <w:sz w:val="24"/>
          <w:highlight w:val="none"/>
        </w:rPr>
      </w:pPr>
      <w:r>
        <w:rPr>
          <w:rFonts w:hint="eastAsia" w:ascii="宋体" w:hAnsi="宋体"/>
          <w:b/>
          <w:color w:val="auto"/>
          <w:sz w:val="24"/>
          <w:highlight w:val="none"/>
        </w:rPr>
        <w:br w:type="page"/>
      </w:r>
      <w:bookmarkStart w:id="391" w:name="_Toc8679"/>
      <w:r>
        <w:rPr>
          <w:rFonts w:hint="eastAsia" w:ascii="宋体" w:hAnsi="宋体" w:cs="宋体"/>
          <w:color w:val="auto"/>
          <w:sz w:val="28"/>
          <w:szCs w:val="28"/>
          <w:highlight w:val="none"/>
        </w:rPr>
        <w:t>附件7：法定代表人授权委托书格式</w:t>
      </w:r>
      <w:bookmarkEnd w:id="391"/>
    </w:p>
    <w:p w14:paraId="2F44D900">
      <w:pPr>
        <w:snapToGrid w:val="0"/>
        <w:spacing w:before="120" w:beforeLines="50" w:after="50" w:line="276" w:lineRule="auto"/>
        <w:jc w:val="center"/>
        <w:rPr>
          <w:rFonts w:ascii="宋体" w:hAnsi="宋体"/>
          <w:color w:val="auto"/>
          <w:sz w:val="30"/>
          <w:szCs w:val="20"/>
          <w:highlight w:val="none"/>
        </w:rPr>
      </w:pPr>
    </w:p>
    <w:p w14:paraId="40E365B0">
      <w:pPr>
        <w:snapToGrid w:val="0"/>
        <w:spacing w:before="120" w:beforeLines="50" w:after="50" w:line="276"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2BFB5E03">
      <w:pPr>
        <w:snapToGrid w:val="0"/>
        <w:spacing w:line="360" w:lineRule="auto"/>
        <w:rPr>
          <w:rFonts w:ascii="宋体" w:hAnsi="宋体"/>
          <w:bCs/>
          <w:color w:val="auto"/>
          <w:sz w:val="24"/>
          <w:highlight w:val="none"/>
        </w:rPr>
      </w:pPr>
    </w:p>
    <w:p w14:paraId="322D7C7E">
      <w:pPr>
        <w:snapToGrid w:val="0"/>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（招标采购单位名称）：</w:t>
      </w:r>
    </w:p>
    <w:p w14:paraId="0A95B5F0">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6FEC0FCE">
      <w:pPr>
        <w:snapToGrid w:val="0"/>
        <w:spacing w:line="360" w:lineRule="auto"/>
        <w:rPr>
          <w:rFonts w:ascii="宋体" w:hAnsi="宋体"/>
          <w:color w:val="auto"/>
          <w:sz w:val="24"/>
          <w:highlight w:val="none"/>
        </w:rPr>
      </w:pPr>
      <w:r>
        <w:rPr>
          <w:rFonts w:hint="eastAsia" w:ascii="宋体" w:hAnsi="宋体"/>
          <w:color w:val="auto"/>
          <w:sz w:val="24"/>
          <w:highlight w:val="none"/>
        </w:rPr>
        <w:t>我方对被授权人的签名事项负全部责任。</w:t>
      </w:r>
    </w:p>
    <w:p w14:paraId="459DEBB3">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9CF65E3">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8944407">
      <w:pPr>
        <w:snapToGrid w:val="0"/>
        <w:spacing w:line="360" w:lineRule="auto"/>
        <w:rPr>
          <w:rFonts w:ascii="宋体" w:hAnsi="宋体"/>
          <w:color w:val="auto"/>
          <w:sz w:val="24"/>
          <w:highlight w:val="none"/>
        </w:rPr>
      </w:pPr>
    </w:p>
    <w:p w14:paraId="4AD9686A">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被授权人签名：                          法定代表人签名：</w:t>
      </w:r>
    </w:p>
    <w:p w14:paraId="2BD0CB57">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职务：                          职务：</w:t>
      </w:r>
    </w:p>
    <w:p w14:paraId="543F5F08">
      <w:pPr>
        <w:snapToGrid w:val="0"/>
        <w:spacing w:line="360" w:lineRule="auto"/>
        <w:rPr>
          <w:rFonts w:hint="eastAsia" w:ascii="宋体" w:hAnsi="宋体"/>
          <w:color w:val="auto"/>
          <w:sz w:val="24"/>
          <w:highlight w:val="none"/>
        </w:rPr>
      </w:pPr>
    </w:p>
    <w:p w14:paraId="01B6903D">
      <w:pPr>
        <w:snapToGrid w:val="0"/>
        <w:spacing w:line="360" w:lineRule="auto"/>
        <w:rPr>
          <w:rFonts w:ascii="宋体" w:hAnsi="宋体"/>
          <w:color w:val="auto"/>
          <w:sz w:val="24"/>
          <w:highlight w:val="none"/>
        </w:rPr>
      </w:pPr>
      <w:r>
        <w:rPr>
          <w:rFonts w:hint="eastAsia" w:ascii="宋体" w:hAnsi="宋体"/>
          <w:color w:val="auto"/>
          <w:sz w:val="24"/>
          <w:highlight w:val="none"/>
        </w:rPr>
        <w:t>被授权人身份证扫描件：</w:t>
      </w:r>
    </w:p>
    <w:p w14:paraId="65C87387">
      <w:pPr>
        <w:snapToGrid w:val="0"/>
        <w:spacing w:line="360" w:lineRule="auto"/>
        <w:rPr>
          <w:rFonts w:ascii="宋体" w:hAnsi="宋体"/>
          <w:color w:val="auto"/>
          <w:sz w:val="24"/>
          <w:highlight w:val="none"/>
        </w:rPr>
      </w:pPr>
    </w:p>
    <w:p w14:paraId="031C5651">
      <w:pPr>
        <w:snapToGrid w:val="0"/>
        <w:rPr>
          <w:rFonts w:ascii="宋体" w:hAnsi="宋体"/>
          <w:color w:val="auto"/>
          <w:sz w:val="24"/>
          <w:highlight w:val="none"/>
        </w:rPr>
      </w:pPr>
    </w:p>
    <w:p w14:paraId="4B5241CB">
      <w:pPr>
        <w:snapToGrid w:val="0"/>
        <w:rPr>
          <w:rFonts w:ascii="宋体" w:hAnsi="宋体"/>
          <w:color w:val="auto"/>
          <w:sz w:val="24"/>
          <w:highlight w:val="none"/>
        </w:rPr>
      </w:pPr>
    </w:p>
    <w:p w14:paraId="27E3B769">
      <w:pPr>
        <w:pStyle w:val="34"/>
        <w:rPr>
          <w:color w:val="auto"/>
          <w:sz w:val="24"/>
          <w:highlight w:val="none"/>
        </w:rPr>
      </w:pPr>
    </w:p>
    <w:p w14:paraId="6097AD5C">
      <w:pPr>
        <w:pStyle w:val="34"/>
        <w:rPr>
          <w:color w:val="auto"/>
          <w:sz w:val="24"/>
          <w:highlight w:val="none"/>
        </w:rPr>
      </w:pPr>
    </w:p>
    <w:p w14:paraId="4921C565">
      <w:pPr>
        <w:pStyle w:val="34"/>
        <w:rPr>
          <w:color w:val="auto"/>
          <w:sz w:val="24"/>
          <w:highlight w:val="none"/>
        </w:rPr>
      </w:pPr>
    </w:p>
    <w:p w14:paraId="5681813A">
      <w:pPr>
        <w:snapToGrid w:val="0"/>
        <w:spacing w:line="360" w:lineRule="auto"/>
        <w:rPr>
          <w:rFonts w:ascii="宋体" w:hAnsi="宋体"/>
          <w:color w:val="auto"/>
          <w:sz w:val="24"/>
          <w:highlight w:val="none"/>
        </w:rPr>
      </w:pPr>
    </w:p>
    <w:p w14:paraId="71C5B93E">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投标人电子签章：</w:t>
      </w:r>
    </w:p>
    <w:p w14:paraId="58530AFC">
      <w:pPr>
        <w:pStyle w:val="22"/>
        <w:rPr>
          <w:color w:val="auto"/>
          <w:highlight w:val="none"/>
        </w:rPr>
      </w:pPr>
    </w:p>
    <w:p w14:paraId="1B20588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34122FB4">
      <w:pPr>
        <w:snapToGrid w:val="0"/>
        <w:spacing w:line="360" w:lineRule="auto"/>
        <w:rPr>
          <w:rFonts w:ascii="宋体" w:hAnsi="宋体"/>
          <w:bCs/>
          <w:color w:val="auto"/>
          <w:sz w:val="24"/>
          <w:highlight w:val="none"/>
        </w:rPr>
      </w:pPr>
    </w:p>
    <w:p w14:paraId="5946EBE2">
      <w:pPr>
        <w:snapToGrid w:val="0"/>
        <w:spacing w:before="50" w:after="120" w:afterLines="50" w:line="276" w:lineRule="auto"/>
        <w:jc w:val="left"/>
        <w:rPr>
          <w:rFonts w:hint="eastAsia" w:ascii="宋体" w:hAnsi="宋体"/>
          <w:b/>
          <w:color w:val="auto"/>
          <w:sz w:val="24"/>
          <w:highlight w:val="none"/>
        </w:rPr>
      </w:pPr>
    </w:p>
    <w:p w14:paraId="4254D324">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br w:type="page"/>
      </w:r>
      <w:bookmarkStart w:id="392" w:name="_Toc11297"/>
      <w:r>
        <w:rPr>
          <w:rFonts w:hint="eastAsia" w:ascii="宋体" w:hAnsi="宋体" w:cs="宋体"/>
          <w:color w:val="auto"/>
          <w:sz w:val="28"/>
          <w:szCs w:val="28"/>
          <w:highlight w:val="none"/>
        </w:rPr>
        <w:t>附件8：法人身份证相关材料</w:t>
      </w:r>
      <w:bookmarkEnd w:id="392"/>
    </w:p>
    <w:p w14:paraId="34343815">
      <w:pPr>
        <w:spacing w:line="400" w:lineRule="exact"/>
        <w:ind w:firstLine="482" w:firstLineChars="200"/>
        <w:rPr>
          <w:rFonts w:hint="eastAsia" w:ascii="宋体" w:hAnsi="宋体"/>
          <w:b/>
          <w:color w:val="auto"/>
          <w:sz w:val="24"/>
          <w:highlight w:val="none"/>
        </w:rPr>
      </w:pPr>
    </w:p>
    <w:p w14:paraId="5C496600">
      <w:pPr>
        <w:spacing w:line="400" w:lineRule="exact"/>
        <w:ind w:firstLine="482" w:firstLineChars="200"/>
        <w:jc w:val="center"/>
        <w:rPr>
          <w:rFonts w:ascii="宋体" w:hAnsi="宋体"/>
          <w:b/>
          <w:color w:val="auto"/>
          <w:sz w:val="24"/>
          <w:highlight w:val="none"/>
        </w:rPr>
      </w:pPr>
      <w:r>
        <w:rPr>
          <w:rFonts w:hint="eastAsia" w:ascii="宋体" w:hAnsi="宋体"/>
          <w:b/>
          <w:color w:val="auto"/>
          <w:sz w:val="24"/>
          <w:highlight w:val="none"/>
        </w:rPr>
        <w:t>法人身份证相关材料</w:t>
      </w:r>
    </w:p>
    <w:p w14:paraId="11E66B27">
      <w:pPr>
        <w:spacing w:line="400" w:lineRule="exact"/>
        <w:ind w:firstLine="480" w:firstLineChars="200"/>
        <w:rPr>
          <w:rFonts w:hint="eastAsia" w:ascii="宋体" w:hAnsi="宋体" w:cs="宋体"/>
          <w:color w:val="auto"/>
          <w:sz w:val="24"/>
          <w:highlight w:val="none"/>
        </w:rPr>
      </w:pPr>
    </w:p>
    <w:p w14:paraId="39EF3BB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733247A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p>
    <w:p w14:paraId="6832EB17">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6CEBCE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1494B3B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p>
    <w:p w14:paraId="50E51D9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    性别：     年龄：      职务：</w:t>
      </w:r>
    </w:p>
    <w:p w14:paraId="5B46D3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的法定代表人／负责人。</w:t>
      </w:r>
    </w:p>
    <w:p w14:paraId="6441E0F2">
      <w:pPr>
        <w:spacing w:line="400" w:lineRule="exact"/>
        <w:ind w:firstLine="480" w:firstLineChars="200"/>
        <w:rPr>
          <w:rFonts w:ascii="宋体" w:hAnsi="宋体" w:cs="宋体"/>
          <w:color w:val="auto"/>
          <w:sz w:val="24"/>
          <w:highlight w:val="none"/>
        </w:rPr>
      </w:pPr>
    </w:p>
    <w:p w14:paraId="1581A6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79BA10">
      <w:pPr>
        <w:spacing w:line="400" w:lineRule="exact"/>
        <w:rPr>
          <w:rFonts w:ascii="宋体" w:hAnsi="宋体" w:cs="宋体"/>
          <w:color w:val="auto"/>
          <w:sz w:val="24"/>
          <w:highlight w:val="none"/>
        </w:rPr>
      </w:pPr>
    </w:p>
    <w:p w14:paraId="29222308">
      <w:pPr>
        <w:spacing w:line="400" w:lineRule="exact"/>
        <w:rPr>
          <w:rFonts w:ascii="宋体" w:hAnsi="宋体" w:cs="宋体"/>
          <w:color w:val="auto"/>
          <w:sz w:val="24"/>
          <w:highlight w:val="none"/>
        </w:rPr>
      </w:pPr>
    </w:p>
    <w:p w14:paraId="4EC05F33">
      <w:pPr>
        <w:spacing w:line="400" w:lineRule="exact"/>
        <w:ind w:firstLine="3360" w:firstLineChars="1400"/>
        <w:rPr>
          <w:rFonts w:ascii="宋体" w:hAnsi="宋体" w:cs="宋体"/>
          <w:color w:val="auto"/>
          <w:sz w:val="24"/>
          <w:highlight w:val="none"/>
          <w:u w:val="singl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(盖章）      </w:t>
      </w:r>
    </w:p>
    <w:p w14:paraId="4F37B55C">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日  期：   年   月   日</w:t>
      </w:r>
    </w:p>
    <w:p w14:paraId="2809F47B">
      <w:pPr>
        <w:snapToGrid w:val="0"/>
        <w:spacing w:line="400" w:lineRule="exact"/>
        <w:rPr>
          <w:rFonts w:ascii="宋体" w:hAnsi="宋体"/>
          <w:color w:val="auto"/>
          <w:sz w:val="24"/>
          <w:highlight w:val="none"/>
        </w:rPr>
      </w:pPr>
    </w:p>
    <w:p w14:paraId="2ED4338D">
      <w:pPr>
        <w:rPr>
          <w:color w:val="auto"/>
          <w:sz w:val="24"/>
          <w:highlight w:val="none"/>
        </w:rPr>
      </w:pPr>
    </w:p>
    <w:p w14:paraId="78112EEE">
      <w:pPr>
        <w:snapToGrid w:val="0"/>
        <w:spacing w:before="120" w:beforeLines="50" w:after="50"/>
        <w:jc w:val="left"/>
        <w:rPr>
          <w:rFonts w:hAnsi="宋体" w:cs="宋体"/>
          <w:color w:val="auto"/>
          <w:sz w:val="24"/>
          <w:highlight w:val="none"/>
        </w:rPr>
      </w:pPr>
      <w:r>
        <w:rPr>
          <w:rFonts w:hint="eastAsia" w:hAnsi="宋体"/>
          <w:b/>
          <w:color w:val="auto"/>
          <w:sz w:val="24"/>
          <w:highlight w:val="none"/>
          <w:lang w:val="zh-CN"/>
        </w:rPr>
        <w:t>法定代表人身份证扫描件</w:t>
      </w:r>
    </w:p>
    <w:p w14:paraId="3CF05451">
      <w:pPr>
        <w:snapToGrid w:val="0"/>
        <w:spacing w:before="120" w:beforeLines="50" w:after="50"/>
        <w:jc w:val="left"/>
        <w:rPr>
          <w:rFonts w:hAnsi="宋体" w:cs="宋体"/>
          <w:color w:val="auto"/>
          <w:sz w:val="24"/>
          <w:highlight w:val="none"/>
        </w:rPr>
      </w:pPr>
    </w:p>
    <w:tbl>
      <w:tblPr>
        <w:tblStyle w:val="53"/>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14:paraId="4BE19C20">
        <w:tblPrEx>
          <w:tblCellMar>
            <w:top w:w="0" w:type="dxa"/>
            <w:left w:w="108" w:type="dxa"/>
            <w:bottom w:w="0" w:type="dxa"/>
            <w:right w:w="108" w:type="dxa"/>
          </w:tblCellMar>
        </w:tblPrEx>
        <w:trPr>
          <w:trHeight w:val="2359" w:hRule="atLeast"/>
        </w:trPr>
        <w:tc>
          <w:tcPr>
            <w:tcW w:w="3917" w:type="dxa"/>
            <w:vAlign w:val="center"/>
          </w:tcPr>
          <w:p w14:paraId="2C5BE909">
            <w:pPr>
              <w:snapToGrid w:val="0"/>
              <w:spacing w:before="120" w:beforeLines="50" w:after="50" w:line="200" w:lineRule="exact"/>
              <w:jc w:val="center"/>
              <w:rPr>
                <w:rFonts w:hAnsi="宋体" w:cs="宋体"/>
                <w:color w:val="auto"/>
                <w:sz w:val="24"/>
                <w:highlight w:val="none"/>
              </w:rPr>
            </w:pPr>
            <w:r>
              <w:rPr>
                <w:rFonts w:hint="eastAsia" w:hAnsi="宋体" w:cs="宋体"/>
                <w:color w:val="auto"/>
                <w:sz w:val="24"/>
                <w:highlight w:val="none"/>
              </w:rPr>
              <w:t>国徽面粘贴处</w:t>
            </w:r>
          </w:p>
        </w:tc>
      </w:tr>
    </w:tbl>
    <w:p w14:paraId="6FB5ECDA">
      <w:pPr>
        <w:rPr>
          <w:vanish/>
          <w:color w:val="auto"/>
          <w:sz w:val="24"/>
          <w:highlight w:val="none"/>
        </w:rPr>
      </w:pPr>
    </w:p>
    <w:tbl>
      <w:tblPr>
        <w:tblStyle w:val="5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02707942">
        <w:tblPrEx>
          <w:tblCellMar>
            <w:top w:w="0" w:type="dxa"/>
            <w:left w:w="108" w:type="dxa"/>
            <w:bottom w:w="0" w:type="dxa"/>
            <w:right w:w="108" w:type="dxa"/>
          </w:tblCellMar>
        </w:tblPrEx>
        <w:trPr>
          <w:trHeight w:val="2359" w:hRule="atLeast"/>
        </w:trPr>
        <w:tc>
          <w:tcPr>
            <w:tcW w:w="3917" w:type="dxa"/>
            <w:vAlign w:val="center"/>
          </w:tcPr>
          <w:p w14:paraId="76E9D421">
            <w:pPr>
              <w:snapToGrid w:val="0"/>
              <w:spacing w:before="120" w:beforeLines="50" w:after="50"/>
              <w:jc w:val="center"/>
              <w:rPr>
                <w:rFonts w:hAnsi="宋体" w:cs="宋体"/>
                <w:color w:val="auto"/>
                <w:sz w:val="24"/>
                <w:highlight w:val="none"/>
              </w:rPr>
            </w:pPr>
            <w:r>
              <w:rPr>
                <w:rFonts w:hint="eastAsia" w:hAnsi="宋体"/>
                <w:color w:val="auto"/>
                <w:sz w:val="24"/>
                <w:highlight w:val="none"/>
              </w:rPr>
              <w:t>个人信息面粘贴处</w:t>
            </w:r>
          </w:p>
        </w:tc>
      </w:tr>
    </w:tbl>
    <w:p w14:paraId="2FD1FC7F">
      <w:pPr>
        <w:snapToGrid w:val="0"/>
        <w:spacing w:before="50" w:after="120" w:afterLines="50" w:line="276" w:lineRule="auto"/>
        <w:jc w:val="left"/>
        <w:rPr>
          <w:rFonts w:hint="eastAsia" w:ascii="宋体" w:hAnsi="宋体"/>
          <w:b/>
          <w:color w:val="auto"/>
          <w:sz w:val="24"/>
          <w:highlight w:val="none"/>
        </w:rPr>
      </w:pPr>
      <w:bookmarkStart w:id="393" w:name="_Toc16897"/>
    </w:p>
    <w:p w14:paraId="0E79F676">
      <w:pPr>
        <w:pStyle w:val="47"/>
        <w:adjustRightInd w:val="0"/>
        <w:snapToGrid w:val="0"/>
        <w:spacing w:beforeAutospacing="0" w:afterAutospacing="0" w:line="360" w:lineRule="auto"/>
        <w:rPr>
          <w:rFonts w:hint="eastAsia"/>
          <w:b/>
          <w:color w:val="auto"/>
          <w:highlight w:val="none"/>
        </w:rPr>
      </w:pPr>
      <w:r>
        <w:rPr>
          <w:rFonts w:hint="eastAsia"/>
          <w:b/>
          <w:color w:val="auto"/>
          <w:highlight w:val="none"/>
        </w:rPr>
        <w:br w:type="page"/>
      </w:r>
      <w:r>
        <w:rPr>
          <w:rFonts w:hint="eastAsia" w:cs="宋体"/>
          <w:color w:val="auto"/>
          <w:kern w:val="2"/>
          <w:sz w:val="28"/>
          <w:szCs w:val="28"/>
          <w:highlight w:val="none"/>
        </w:rPr>
        <w:t>附件9</w:t>
      </w:r>
    </w:p>
    <w:p w14:paraId="5893FDEC">
      <w:pPr>
        <w:pStyle w:val="47"/>
        <w:adjustRightInd w:val="0"/>
        <w:snapToGrid w:val="0"/>
        <w:spacing w:beforeAutospacing="0" w:afterAutospacing="0" w:line="360" w:lineRule="auto"/>
        <w:ind w:left="419"/>
        <w:rPr>
          <w:rFonts w:hint="eastAsia"/>
          <w:b/>
          <w:color w:val="auto"/>
          <w:highlight w:val="none"/>
        </w:rPr>
      </w:pPr>
    </w:p>
    <w:p w14:paraId="2DC71E9F">
      <w:pPr>
        <w:pStyle w:val="47"/>
        <w:adjustRightInd w:val="0"/>
        <w:snapToGrid w:val="0"/>
        <w:spacing w:beforeAutospacing="0" w:afterAutospacing="0" w:line="360" w:lineRule="auto"/>
        <w:ind w:left="419"/>
        <w:jc w:val="center"/>
        <w:rPr>
          <w:rFonts w:hint="eastAsia" w:ascii="黑体" w:hAnsi="黑体" w:eastAsia="黑体" w:cs="黑体"/>
          <w:color w:val="auto"/>
          <w:sz w:val="27"/>
          <w:szCs w:val="27"/>
          <w:highlight w:val="none"/>
        </w:rPr>
      </w:pPr>
      <w:r>
        <w:rPr>
          <w:rFonts w:hint="eastAsia" w:ascii="黑体" w:hAnsi="黑体" w:eastAsia="黑体" w:cs="黑体"/>
          <w:b/>
          <w:bCs/>
          <w:color w:val="auto"/>
          <w:sz w:val="27"/>
          <w:szCs w:val="27"/>
          <w:highlight w:val="none"/>
        </w:rPr>
        <w:t>符合参加政府采购活动应当具备的一般条件的承诺函</w:t>
      </w:r>
    </w:p>
    <w:p w14:paraId="4AD6041A">
      <w:pPr>
        <w:tabs>
          <w:tab w:val="left" w:pos="0"/>
        </w:tabs>
        <w:snapToGrid w:val="0"/>
        <w:spacing w:line="360" w:lineRule="auto"/>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（采购人）、（采购代理机构）：</w:t>
      </w:r>
    </w:p>
    <w:p w14:paraId="7B322C62">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我方参与</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rPr>
        <w:t>项目【项目编号：</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lang w:val="en-US" w:eastAsia="zh-CN"/>
        </w:rPr>
        <w:t xml:space="preserve"> </w:t>
      </w:r>
      <w:r>
        <w:rPr>
          <w:rFonts w:hint="eastAsia" w:ascii="仿宋" w:hAnsi="仿宋" w:eastAsia="仿宋" w:cs="Helvetica"/>
          <w:color w:val="auto"/>
          <w:kern w:val="0"/>
          <w:sz w:val="24"/>
          <w:highlight w:val="none"/>
        </w:rPr>
        <w:t>】政府采购活动，郑重承诺：</w:t>
      </w:r>
    </w:p>
    <w:p w14:paraId="78149440">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（一）具备《中华人民共和国政府采购法》第二十二条第一款规定的条件：</w:t>
      </w:r>
    </w:p>
    <w:p w14:paraId="6C9E72E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1.具有独立承担民事责任的能力；</w:t>
      </w:r>
    </w:p>
    <w:p w14:paraId="755361D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2.具有良好的商业信誉和健全的财务会计制度； </w:t>
      </w:r>
    </w:p>
    <w:p w14:paraId="7D5ADB4A">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3.具有履行合同所必需的设备和专业技术能力；</w:t>
      </w:r>
    </w:p>
    <w:p w14:paraId="466512D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4.有依法缴纳税收和社会保障资金的良好记录；</w:t>
      </w:r>
    </w:p>
    <w:p w14:paraId="1211DD46">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5.参加政府采购活动前三年内，在经营活动中没有重大违法记录；</w:t>
      </w:r>
    </w:p>
    <w:p w14:paraId="6F81BA7E">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6.具有法律、行政法规规定的其他条件。</w:t>
      </w:r>
    </w:p>
    <w:p w14:paraId="21E4AB8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14:paraId="4157344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（三）不存在以下情况：</w:t>
      </w:r>
    </w:p>
    <w:p w14:paraId="1C7B5FA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1.单位负责人为同一人或者存在直接控股、管理关系的不同供应商参加同一合同项下的政府采购活动的；</w:t>
      </w:r>
    </w:p>
    <w:p w14:paraId="29DFC95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2.为采购项目提供整体设计、规范编制或者项目管理、监理、检测等服务后再参加该采购项目的其他采购活动的。</w:t>
      </w:r>
    </w:p>
    <w:p w14:paraId="0A71DA89">
      <w:pPr>
        <w:tabs>
          <w:tab w:val="left" w:pos="0"/>
        </w:tabs>
        <w:snapToGrid w:val="0"/>
        <w:spacing w:line="360" w:lineRule="auto"/>
        <w:ind w:firstLine="480"/>
        <w:rPr>
          <w:rFonts w:hint="eastAsia" w:ascii="仿宋" w:hAnsi="仿宋" w:eastAsia="仿宋" w:cs="Helvetica"/>
          <w:color w:val="auto"/>
          <w:kern w:val="0"/>
          <w:sz w:val="24"/>
          <w:highlight w:val="none"/>
        </w:rPr>
      </w:pPr>
    </w:p>
    <w:p w14:paraId="61049C7B">
      <w:pPr>
        <w:tabs>
          <w:tab w:val="left" w:pos="0"/>
        </w:tabs>
        <w:snapToGrid w:val="0"/>
        <w:spacing w:line="360" w:lineRule="auto"/>
        <w:ind w:firstLine="480"/>
        <w:rPr>
          <w:rFonts w:hint="eastAsia" w:ascii="仿宋" w:hAnsi="仿宋" w:eastAsia="仿宋" w:cs="Helvetica"/>
          <w:color w:val="auto"/>
          <w:kern w:val="0"/>
          <w:sz w:val="24"/>
          <w:highlight w:val="none"/>
        </w:rPr>
      </w:pPr>
    </w:p>
    <w:p w14:paraId="6095C4E0">
      <w:pPr>
        <w:tabs>
          <w:tab w:val="left" w:pos="0"/>
        </w:tabs>
        <w:snapToGrid w:val="0"/>
        <w:spacing w:line="360" w:lineRule="auto"/>
        <w:ind w:firstLine="480"/>
        <w:rPr>
          <w:rFonts w:hint="eastAsia" w:ascii="仿宋" w:hAnsi="仿宋" w:eastAsia="仿宋" w:cs="Helvetica"/>
          <w:color w:val="auto"/>
          <w:kern w:val="0"/>
          <w:sz w:val="24"/>
          <w:highlight w:val="none"/>
        </w:rPr>
      </w:pPr>
    </w:p>
    <w:p w14:paraId="2D89999B">
      <w:pPr>
        <w:tabs>
          <w:tab w:val="left" w:pos="0"/>
        </w:tabs>
        <w:snapToGrid w:val="0"/>
        <w:spacing w:line="360" w:lineRule="auto"/>
        <w:ind w:firstLine="480"/>
        <w:rPr>
          <w:rFonts w:hint="eastAsia" w:ascii="仿宋" w:hAnsi="仿宋" w:eastAsia="仿宋" w:cs="Helvetica"/>
          <w:color w:val="auto"/>
          <w:kern w:val="0"/>
          <w:sz w:val="24"/>
          <w:highlight w:val="none"/>
        </w:rPr>
      </w:pPr>
    </w:p>
    <w:p w14:paraId="08F66DE4">
      <w:pPr>
        <w:tabs>
          <w:tab w:val="left" w:pos="0"/>
        </w:tabs>
        <w:snapToGrid w:val="0"/>
        <w:spacing w:line="360" w:lineRule="auto"/>
        <w:ind w:firstLine="5040" w:firstLineChars="21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投标人名称(电子签名）：</w:t>
      </w:r>
    </w:p>
    <w:p w14:paraId="7CD6007F">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                                       日期：  年  月   日</w:t>
      </w:r>
    </w:p>
    <w:p w14:paraId="144F1535">
      <w:pPr>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s="宋体"/>
          <w:color w:val="auto"/>
          <w:sz w:val="28"/>
          <w:szCs w:val="28"/>
          <w:highlight w:val="none"/>
        </w:rPr>
        <w:t>附件10:联合投标</w:t>
      </w:r>
      <w:r>
        <w:rPr>
          <w:rFonts w:hint="eastAsia" w:ascii="宋体" w:hAnsi="宋体" w:cs="宋体"/>
          <w:color w:val="auto"/>
          <w:sz w:val="28"/>
          <w:szCs w:val="28"/>
          <w:highlight w:val="none"/>
          <w:lang w:eastAsia="zh-CN"/>
        </w:rPr>
        <w:t>相关文件格式</w:t>
      </w:r>
      <w:r>
        <w:rPr>
          <w:rFonts w:hint="eastAsia" w:ascii="宋体" w:hAnsi="宋体" w:cs="宋体"/>
          <w:color w:val="auto"/>
          <w:sz w:val="28"/>
          <w:szCs w:val="28"/>
          <w:highlight w:val="none"/>
        </w:rPr>
        <w:t>（本表允许联合体投标时适用）</w:t>
      </w:r>
    </w:p>
    <w:p w14:paraId="0C5A56BE">
      <w:pPr>
        <w:snapToGrid w:val="0"/>
        <w:spacing w:line="460" w:lineRule="atLeast"/>
        <w:ind w:firstLine="538" w:firstLineChars="200"/>
        <w:jc w:val="center"/>
        <w:rPr>
          <w:rFonts w:ascii="宋体" w:hAnsi="宋体"/>
          <w:color w:val="auto"/>
          <w:spacing w:val="14"/>
          <w:kern w:val="24"/>
          <w:sz w:val="24"/>
          <w:highlight w:val="none"/>
        </w:rPr>
      </w:pPr>
      <w:r>
        <w:rPr>
          <w:rFonts w:ascii="宋体" w:hAnsi="宋体"/>
          <w:b/>
          <w:bCs/>
          <w:color w:val="auto"/>
          <w:spacing w:val="14"/>
          <w:kern w:val="24"/>
          <w:sz w:val="24"/>
          <w:highlight w:val="none"/>
        </w:rPr>
        <w:t>联合投标协议书</w:t>
      </w:r>
    </w:p>
    <w:p w14:paraId="5C520C7A">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甲方：</w:t>
      </w:r>
    </w:p>
    <w:p w14:paraId="47DFA8B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乙方：</w:t>
      </w:r>
    </w:p>
    <w:p w14:paraId="0E58608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（如果有的话，可按甲、乙、丙、丁…序列增加）</w:t>
      </w:r>
    </w:p>
    <w:p w14:paraId="12DAD90D">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各方经协商，就响应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组织实施的编号为</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号的招标活动联合进行投标之事宜，达成如下协议：</w:t>
      </w:r>
    </w:p>
    <w:p w14:paraId="63F7508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一、各方一致决定，以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 xml:space="preserve"> 为主办人进行投标，并按照招标文件的规定分别提交资格文件。</w:t>
      </w:r>
    </w:p>
    <w:p w14:paraId="59EBB513">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二、在本次投标过程中，主办人的</w:t>
      </w:r>
      <w:r>
        <w:rPr>
          <w:rFonts w:ascii="宋体" w:hAnsi="宋体"/>
          <w:color w:val="auto"/>
          <w:spacing w:val="14"/>
          <w:kern w:val="24"/>
          <w:sz w:val="24"/>
          <w:highlight w:val="none"/>
          <w:u w:val="single"/>
        </w:rPr>
        <w:t>法定代表人或授权代理人</w:t>
      </w:r>
      <w:r>
        <w:rPr>
          <w:rFonts w:ascii="宋体" w:hAnsi="宋体"/>
          <w:color w:val="auto"/>
          <w:spacing w:val="14"/>
          <w:kern w:val="24"/>
          <w:sz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A50D4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三、联合投标其余各方保证对主办人为响应本次招标而提供的产品和服务提供全部质量保证及售后服务支持。</w:t>
      </w:r>
    </w:p>
    <w:p w14:paraId="6034031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四、本次联合投标中，</w:t>
      </w:r>
    </w:p>
    <w:p w14:paraId="3C5031A2">
      <w:pPr>
        <w:snapToGrid w:val="0"/>
        <w:spacing w:line="460" w:lineRule="atLeast"/>
        <w:ind w:firstLine="1072" w:firstLineChars="400"/>
        <w:rPr>
          <w:rFonts w:ascii="宋体" w:hAnsi="宋体"/>
          <w:color w:val="auto"/>
          <w:spacing w:val="14"/>
          <w:sz w:val="24"/>
          <w:highlight w:val="none"/>
        </w:rPr>
      </w:pPr>
      <w:r>
        <w:rPr>
          <w:rFonts w:ascii="宋体" w:hAnsi="宋体"/>
          <w:color w:val="auto"/>
          <w:spacing w:val="14"/>
          <w:kern w:val="24"/>
          <w:sz w:val="24"/>
          <w:highlight w:val="none"/>
        </w:rPr>
        <w:t>甲方承担的工作和义务为</w:t>
      </w:r>
      <w:r>
        <w:rPr>
          <w:rFonts w:hint="eastAsia" w:ascii="宋体" w:hAnsi="宋体"/>
          <w:color w:val="auto"/>
          <w:spacing w:val="14"/>
          <w:kern w:val="24"/>
          <w:sz w:val="24"/>
          <w:highlight w:val="none"/>
        </w:rPr>
        <w:t>：</w:t>
      </w:r>
    </w:p>
    <w:p w14:paraId="33C0C3F1">
      <w:pPr>
        <w:snapToGrid w:val="0"/>
        <w:spacing w:line="460" w:lineRule="atLeast"/>
        <w:ind w:firstLine="536" w:firstLineChars="200"/>
        <w:rPr>
          <w:rFonts w:ascii="宋体" w:hAnsi="宋体"/>
          <w:color w:val="auto"/>
          <w:spacing w:val="14"/>
          <w:sz w:val="24"/>
          <w:highlight w:val="none"/>
        </w:rPr>
      </w:pPr>
      <w:r>
        <w:rPr>
          <w:rFonts w:ascii="宋体" w:hAnsi="宋体"/>
          <w:color w:val="auto"/>
          <w:spacing w:val="14"/>
          <w:kern w:val="24"/>
          <w:sz w:val="24"/>
          <w:highlight w:val="none"/>
        </w:rPr>
        <w:t xml:space="preserve">   乙方承担的工作和义务为：</w:t>
      </w:r>
    </w:p>
    <w:p w14:paraId="7F02ACAF">
      <w:pPr>
        <w:snapToGrid w:val="0"/>
        <w:spacing w:line="460" w:lineRule="atLeast"/>
        <w:ind w:firstLine="538" w:firstLineChars="200"/>
        <w:rPr>
          <w:rFonts w:ascii="宋体" w:hAnsi="宋体"/>
          <w:b/>
          <w:bCs/>
          <w:color w:val="auto"/>
          <w:spacing w:val="14"/>
          <w:sz w:val="24"/>
          <w:highlight w:val="none"/>
        </w:rPr>
      </w:pP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方为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企业（此处填中型、小型、微型），预计本次承当的合同金额为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w:t>
      </w:r>
    </w:p>
    <w:p w14:paraId="4EB34D4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五、有关本次联合投标的其他事宜：</w:t>
      </w:r>
    </w:p>
    <w:p w14:paraId="0853729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六、本协议提交招标方后，联合投标各方不得以任何形式对上述实质内容进行修改或撤销。</w:t>
      </w:r>
    </w:p>
    <w:p w14:paraId="17386DA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七、本协议</w:t>
      </w:r>
      <w:r>
        <w:rPr>
          <w:rFonts w:hint="eastAsia" w:ascii="宋体" w:hAnsi="宋体"/>
          <w:color w:val="auto"/>
          <w:spacing w:val="14"/>
          <w:kern w:val="24"/>
          <w:sz w:val="24"/>
          <w:highlight w:val="none"/>
        </w:rPr>
        <w:t>一式四份</w:t>
      </w:r>
      <w:r>
        <w:rPr>
          <w:rFonts w:ascii="宋体" w:hAnsi="宋体"/>
          <w:color w:val="auto"/>
          <w:spacing w:val="14"/>
          <w:kern w:val="24"/>
          <w:sz w:val="24"/>
          <w:highlight w:val="none"/>
        </w:rPr>
        <w:t>，签约各方各持一份，交政府采购管理部门及招标机构各一份。</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7878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7B72F15E">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甲方单位：          （公章）</w:t>
            </w:r>
          </w:p>
          <w:p w14:paraId="21C393B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4662FD35">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c>
          <w:tcPr>
            <w:tcW w:w="4260" w:type="dxa"/>
            <w:tcBorders>
              <w:top w:val="nil"/>
              <w:left w:val="nil"/>
              <w:bottom w:val="nil"/>
              <w:right w:val="nil"/>
            </w:tcBorders>
            <w:vAlign w:val="center"/>
          </w:tcPr>
          <w:p w14:paraId="006EC74B">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乙方单位：           （公章）</w:t>
            </w:r>
          </w:p>
          <w:p w14:paraId="13B5DEC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6E7C8E3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r>
    </w:tbl>
    <w:p w14:paraId="228485E8">
      <w:pPr>
        <w:pStyle w:val="13"/>
        <w:overflowPunct w:val="0"/>
        <w:spacing w:line="460" w:lineRule="exact"/>
        <w:jc w:val="left"/>
        <w:rPr>
          <w:rFonts w:hint="default" w:ascii="宋体" w:hAnsi="宋体" w:eastAsia="宋体" w:cs="宋体"/>
          <w:color w:val="auto"/>
          <w:sz w:val="28"/>
          <w:szCs w:val="28"/>
          <w:highlight w:val="none"/>
          <w:lang w:val="en-US" w:eastAsia="zh-CN"/>
        </w:rPr>
      </w:pPr>
      <w:bookmarkStart w:id="394" w:name="_Toc25790"/>
      <w:bookmarkStart w:id="395" w:name="_Toc6151"/>
      <w:bookmarkStart w:id="396" w:name="_Toc19072"/>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11:</w:t>
      </w:r>
    </w:p>
    <w:p w14:paraId="150F86EC">
      <w:pPr>
        <w:pStyle w:val="13"/>
        <w:overflowPunct w:val="0"/>
        <w:spacing w:line="460" w:lineRule="exact"/>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联合投标授权委托书</w:t>
      </w:r>
    </w:p>
    <w:p w14:paraId="0BEB6D9F">
      <w:pPr>
        <w:pStyle w:val="13"/>
        <w:overflowPunct w:val="0"/>
        <w:spacing w:line="460" w:lineRule="exact"/>
        <w:rPr>
          <w:rFonts w:ascii="仿宋" w:hAnsi="仿宋" w:eastAsia="仿宋"/>
          <w:color w:val="auto"/>
          <w:sz w:val="30"/>
          <w:szCs w:val="30"/>
          <w:highlight w:val="none"/>
        </w:rPr>
      </w:pPr>
    </w:p>
    <w:p w14:paraId="71F02C28">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14:paraId="2047A8DA">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14:paraId="226636C8">
      <w:pPr>
        <w:pStyle w:val="13"/>
        <w:overflowPunct w:val="0"/>
        <w:spacing w:line="460" w:lineRule="exact"/>
        <w:rPr>
          <w:rFonts w:ascii="仿宋" w:hAnsi="仿宋" w:eastAsia="仿宋"/>
          <w:color w:val="auto"/>
          <w:sz w:val="30"/>
          <w:szCs w:val="30"/>
          <w:highlight w:val="none"/>
        </w:rPr>
      </w:pPr>
    </w:p>
    <w:p w14:paraId="3B44B837">
      <w:pPr>
        <w:pStyle w:val="13"/>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14:paraId="2661D4DA">
      <w:pPr>
        <w:pStyle w:val="13"/>
        <w:overflowPunct w:val="0"/>
        <w:spacing w:line="460" w:lineRule="exact"/>
        <w:ind w:firstLine="600" w:firstLineChars="200"/>
        <w:rPr>
          <w:rFonts w:ascii="仿宋" w:hAnsi="仿宋" w:eastAsia="仿宋"/>
          <w:color w:val="auto"/>
          <w:sz w:val="30"/>
          <w:szCs w:val="30"/>
          <w:highlight w:val="none"/>
        </w:rPr>
      </w:pPr>
    </w:p>
    <w:p w14:paraId="5EDB4047">
      <w:pPr>
        <w:pStyle w:val="13"/>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2D0D6AE0">
      <w:pPr>
        <w:pStyle w:val="13"/>
        <w:overflowPunct w:val="0"/>
        <w:spacing w:line="460" w:lineRule="exact"/>
        <w:rPr>
          <w:rFonts w:ascii="仿宋" w:hAnsi="仿宋" w:eastAsia="仿宋"/>
          <w:color w:val="auto"/>
          <w:sz w:val="30"/>
          <w:szCs w:val="30"/>
          <w:highlight w:val="none"/>
        </w:rPr>
      </w:pPr>
    </w:p>
    <w:p w14:paraId="1184B4BF">
      <w:pPr>
        <w:pStyle w:val="13"/>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14:paraId="55F1360B">
      <w:pPr>
        <w:pStyle w:val="13"/>
        <w:overflowPunct w:val="0"/>
        <w:spacing w:line="460" w:lineRule="exact"/>
        <w:ind w:firstLine="570" w:firstLineChars="190"/>
        <w:rPr>
          <w:rFonts w:ascii="仿宋" w:hAnsi="仿宋" w:eastAsia="仿宋"/>
          <w:color w:val="auto"/>
          <w:sz w:val="30"/>
          <w:szCs w:val="30"/>
          <w:highlight w:val="none"/>
        </w:rPr>
      </w:pPr>
    </w:p>
    <w:p w14:paraId="29F60645">
      <w:pPr>
        <w:pStyle w:val="13"/>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6455EA45">
      <w:pPr>
        <w:tabs>
          <w:tab w:val="left" w:pos="606"/>
        </w:tabs>
        <w:spacing w:line="460" w:lineRule="exact"/>
        <w:rPr>
          <w:rFonts w:ascii="仿宋" w:hAnsi="仿宋" w:eastAsia="仿宋"/>
          <w:color w:val="auto"/>
          <w:spacing w:val="20"/>
          <w:sz w:val="30"/>
          <w:szCs w:val="30"/>
          <w:highlight w:val="none"/>
        </w:rPr>
      </w:pPr>
    </w:p>
    <w:p w14:paraId="7F6499B1">
      <w:pPr>
        <w:tabs>
          <w:tab w:val="left" w:pos="606"/>
        </w:tabs>
        <w:spacing w:line="460" w:lineRule="exact"/>
        <w:rPr>
          <w:rFonts w:ascii="仿宋" w:hAnsi="仿宋" w:eastAsia="仿宋"/>
          <w:color w:val="auto"/>
          <w:spacing w:val="20"/>
          <w:sz w:val="30"/>
          <w:szCs w:val="30"/>
          <w:highlight w:val="none"/>
        </w:rPr>
      </w:pPr>
    </w:p>
    <w:tbl>
      <w:tblPr>
        <w:tblStyle w:val="53"/>
        <w:tblW w:w="8530" w:type="dxa"/>
        <w:jc w:val="center"/>
        <w:tblLayout w:type="fixed"/>
        <w:tblCellMar>
          <w:top w:w="0" w:type="dxa"/>
          <w:left w:w="108" w:type="dxa"/>
          <w:bottom w:w="0" w:type="dxa"/>
          <w:right w:w="108" w:type="dxa"/>
        </w:tblCellMar>
      </w:tblPr>
      <w:tblGrid>
        <w:gridCol w:w="4265"/>
        <w:gridCol w:w="4265"/>
      </w:tblGrid>
      <w:tr w14:paraId="0CE24EFD">
        <w:tblPrEx>
          <w:tblCellMar>
            <w:top w:w="0" w:type="dxa"/>
            <w:left w:w="108" w:type="dxa"/>
            <w:bottom w:w="0" w:type="dxa"/>
            <w:right w:w="108" w:type="dxa"/>
          </w:tblCellMar>
        </w:tblPrEx>
        <w:trPr>
          <w:trHeight w:val="1635" w:hRule="atLeast"/>
          <w:jc w:val="center"/>
        </w:trPr>
        <w:tc>
          <w:tcPr>
            <w:tcW w:w="4264" w:type="dxa"/>
          </w:tcPr>
          <w:p w14:paraId="01F98CAB">
            <w:pPr>
              <w:pStyle w:val="13"/>
              <w:overflowPunct w:val="0"/>
              <w:spacing w:line="460" w:lineRule="exact"/>
              <w:ind w:firstLine="0"/>
              <w:rPr>
                <w:rFonts w:ascii="仿宋" w:hAnsi="仿宋" w:eastAsia="仿宋"/>
                <w:color w:val="auto"/>
                <w:sz w:val="30"/>
                <w:szCs w:val="30"/>
                <w:highlight w:val="none"/>
              </w:rPr>
            </w:pPr>
          </w:p>
          <w:p w14:paraId="68AECEC7">
            <w:pPr>
              <w:pStyle w:val="13"/>
              <w:overflowPunct w:val="0"/>
              <w:spacing w:line="460" w:lineRule="exact"/>
              <w:ind w:firstLine="0"/>
              <w:rPr>
                <w:rFonts w:ascii="仿宋" w:hAnsi="仿宋" w:eastAsia="仿宋"/>
                <w:color w:val="auto"/>
                <w:sz w:val="30"/>
                <w:szCs w:val="30"/>
                <w:highlight w:val="none"/>
              </w:rPr>
            </w:pPr>
          </w:p>
          <w:p w14:paraId="1E28A17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7339ABC7">
            <w:pPr>
              <w:pStyle w:val="13"/>
              <w:overflowPunct w:val="0"/>
              <w:spacing w:line="460" w:lineRule="exact"/>
              <w:ind w:firstLine="0"/>
              <w:rPr>
                <w:rFonts w:ascii="仿宋" w:hAnsi="仿宋" w:eastAsia="仿宋"/>
                <w:color w:val="auto"/>
                <w:sz w:val="30"/>
                <w:szCs w:val="30"/>
                <w:highlight w:val="none"/>
              </w:rPr>
            </w:pPr>
          </w:p>
          <w:p w14:paraId="643FCB35">
            <w:pPr>
              <w:pStyle w:val="13"/>
              <w:overflowPunct w:val="0"/>
              <w:spacing w:line="460" w:lineRule="exact"/>
              <w:ind w:firstLine="0"/>
              <w:rPr>
                <w:rFonts w:ascii="仿宋" w:hAnsi="仿宋" w:eastAsia="仿宋"/>
                <w:color w:val="auto"/>
                <w:sz w:val="30"/>
                <w:szCs w:val="30"/>
                <w:highlight w:val="none"/>
              </w:rPr>
            </w:pPr>
          </w:p>
          <w:p w14:paraId="4363F5E3">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1984B55D">
            <w:pPr>
              <w:pStyle w:val="13"/>
              <w:overflowPunct w:val="0"/>
              <w:spacing w:line="460" w:lineRule="exact"/>
              <w:ind w:firstLine="0"/>
              <w:rPr>
                <w:rFonts w:ascii="仿宋" w:hAnsi="仿宋" w:eastAsia="仿宋"/>
                <w:color w:val="auto"/>
                <w:sz w:val="30"/>
                <w:szCs w:val="30"/>
                <w:highlight w:val="none"/>
              </w:rPr>
            </w:pPr>
          </w:p>
          <w:p w14:paraId="598533E3">
            <w:pPr>
              <w:pStyle w:val="13"/>
              <w:overflowPunct w:val="0"/>
              <w:spacing w:line="460" w:lineRule="exact"/>
              <w:ind w:firstLine="0"/>
              <w:rPr>
                <w:rFonts w:ascii="仿宋" w:hAnsi="仿宋" w:eastAsia="仿宋"/>
                <w:color w:val="auto"/>
                <w:sz w:val="30"/>
                <w:szCs w:val="30"/>
                <w:highlight w:val="none"/>
              </w:rPr>
            </w:pPr>
          </w:p>
          <w:p w14:paraId="41D8C205">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14:paraId="5E14D2D5">
            <w:pPr>
              <w:pStyle w:val="13"/>
              <w:overflowPunct w:val="0"/>
              <w:spacing w:line="460" w:lineRule="exact"/>
              <w:ind w:firstLine="0"/>
              <w:rPr>
                <w:rFonts w:ascii="仿宋" w:hAnsi="仿宋" w:eastAsia="仿宋"/>
                <w:color w:val="auto"/>
                <w:sz w:val="30"/>
                <w:szCs w:val="30"/>
                <w:highlight w:val="none"/>
              </w:rPr>
            </w:pPr>
          </w:p>
          <w:p w14:paraId="56527B23">
            <w:pPr>
              <w:pStyle w:val="13"/>
              <w:overflowPunct w:val="0"/>
              <w:spacing w:line="460" w:lineRule="exact"/>
              <w:ind w:firstLine="0"/>
              <w:rPr>
                <w:rFonts w:ascii="仿宋" w:hAnsi="仿宋" w:eastAsia="仿宋"/>
                <w:color w:val="auto"/>
                <w:sz w:val="30"/>
                <w:szCs w:val="30"/>
                <w:highlight w:val="none"/>
              </w:rPr>
            </w:pPr>
          </w:p>
          <w:p w14:paraId="16C5722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5735F38A">
            <w:pPr>
              <w:pStyle w:val="13"/>
              <w:overflowPunct w:val="0"/>
              <w:spacing w:line="460" w:lineRule="exact"/>
              <w:ind w:firstLine="0"/>
              <w:rPr>
                <w:rFonts w:ascii="仿宋" w:hAnsi="仿宋" w:eastAsia="仿宋"/>
                <w:color w:val="auto"/>
                <w:sz w:val="30"/>
                <w:szCs w:val="30"/>
                <w:highlight w:val="none"/>
              </w:rPr>
            </w:pPr>
          </w:p>
          <w:p w14:paraId="6CBCD652">
            <w:pPr>
              <w:pStyle w:val="13"/>
              <w:overflowPunct w:val="0"/>
              <w:spacing w:line="460" w:lineRule="exact"/>
              <w:ind w:firstLine="0"/>
              <w:rPr>
                <w:rFonts w:ascii="仿宋" w:hAnsi="仿宋" w:eastAsia="仿宋"/>
                <w:color w:val="auto"/>
                <w:sz w:val="30"/>
                <w:szCs w:val="30"/>
                <w:highlight w:val="none"/>
              </w:rPr>
            </w:pPr>
          </w:p>
          <w:p w14:paraId="1C07C11E">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524A2FE9">
            <w:pPr>
              <w:pStyle w:val="13"/>
              <w:overflowPunct w:val="0"/>
              <w:spacing w:line="460" w:lineRule="exact"/>
              <w:ind w:firstLine="0"/>
              <w:rPr>
                <w:rFonts w:ascii="仿宋" w:hAnsi="仿宋" w:eastAsia="仿宋"/>
                <w:color w:val="auto"/>
                <w:sz w:val="30"/>
                <w:szCs w:val="30"/>
                <w:highlight w:val="none"/>
              </w:rPr>
            </w:pPr>
          </w:p>
          <w:p w14:paraId="55F61753">
            <w:pPr>
              <w:pStyle w:val="13"/>
              <w:overflowPunct w:val="0"/>
              <w:spacing w:line="460" w:lineRule="exact"/>
              <w:ind w:firstLine="0"/>
              <w:rPr>
                <w:rFonts w:ascii="仿宋" w:hAnsi="仿宋" w:eastAsia="仿宋"/>
                <w:color w:val="auto"/>
                <w:sz w:val="30"/>
                <w:szCs w:val="30"/>
                <w:highlight w:val="none"/>
              </w:rPr>
            </w:pPr>
          </w:p>
          <w:p w14:paraId="0C4C8F8C">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14:paraId="2C0F5274">
      <w:pPr>
        <w:snapToGrid w:val="0"/>
        <w:spacing w:before="50" w:after="120" w:afterLines="50" w:line="276" w:lineRule="auto"/>
        <w:jc w:val="left"/>
        <w:rPr>
          <w:rFonts w:hint="eastAsia" w:ascii="宋体" w:hAnsi="宋体"/>
          <w:b/>
          <w:color w:val="auto"/>
          <w:sz w:val="24"/>
          <w:highlight w:val="none"/>
        </w:rPr>
      </w:pPr>
    </w:p>
    <w:p w14:paraId="4E16FCCE">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7BAAAFDE">
      <w:pPr>
        <w:snapToGrid w:val="0"/>
        <w:spacing w:line="400" w:lineRule="exact"/>
        <w:jc w:val="left"/>
        <w:rPr>
          <w:rFonts w:ascii="宋体" w:hAnsi="宋体"/>
          <w:color w:val="auto"/>
          <w:sz w:val="24"/>
          <w:highlight w:val="none"/>
        </w:rPr>
      </w:pPr>
      <w:bookmarkStart w:id="397" w:name="_Toc7510"/>
      <w:r>
        <w:rPr>
          <w:rFonts w:hint="eastAsia" w:ascii="宋体" w:hAnsi="宋体" w:cs="宋体"/>
          <w:color w:val="auto"/>
          <w:sz w:val="28"/>
          <w:szCs w:val="28"/>
          <w:highlight w:val="none"/>
        </w:rPr>
        <w:t>附件12</w:t>
      </w:r>
      <w:bookmarkEnd w:id="397"/>
    </w:p>
    <w:p w14:paraId="7F7FDF75">
      <w:pPr>
        <w:jc w:val="center"/>
        <w:rPr>
          <w:rFonts w:hint="eastAsia" w:ascii="黑体" w:hAnsi="宋体" w:eastAsia="黑体"/>
          <w:b/>
          <w:bCs/>
          <w:color w:val="auto"/>
          <w:kern w:val="0"/>
          <w:sz w:val="32"/>
          <w:szCs w:val="32"/>
          <w:highlight w:val="none"/>
          <w:lang w:val="zh-CN"/>
        </w:rPr>
      </w:pPr>
      <w:bookmarkStart w:id="398" w:name="_Toc1258"/>
      <w:bookmarkStart w:id="399" w:name="_Toc2674"/>
      <w:bookmarkStart w:id="400" w:name="_Toc16470"/>
      <w:bookmarkStart w:id="401" w:name="_Toc9710"/>
      <w:r>
        <w:rPr>
          <w:rFonts w:hint="eastAsia" w:ascii="黑体" w:hAnsi="宋体" w:eastAsia="黑体"/>
          <w:b/>
          <w:bCs/>
          <w:color w:val="auto"/>
          <w:kern w:val="0"/>
          <w:sz w:val="32"/>
          <w:szCs w:val="32"/>
          <w:highlight w:val="none"/>
          <w:lang w:val="zh-CN"/>
        </w:rPr>
        <w:t>残疾人福利性单位声明函</w:t>
      </w:r>
      <w:bookmarkEnd w:id="398"/>
      <w:bookmarkEnd w:id="399"/>
      <w:bookmarkEnd w:id="400"/>
      <w:bookmarkEnd w:id="401"/>
    </w:p>
    <w:p w14:paraId="167617B2">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FDE62A3">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B90B814">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单位名称（盖章）：</w:t>
      </w:r>
    </w:p>
    <w:p w14:paraId="4118162D">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60F65FB7">
      <w:pPr>
        <w:spacing w:line="400" w:lineRule="exact"/>
        <w:rPr>
          <w:rFonts w:hint="eastAsia" w:ascii="宋体" w:hAnsi="宋体" w:cs="宋体"/>
          <w:b/>
          <w:bCs/>
          <w:color w:val="auto"/>
          <w:szCs w:val="21"/>
          <w:highlight w:val="none"/>
        </w:rPr>
      </w:pPr>
      <w:bookmarkStart w:id="402" w:name="_Toc15107"/>
      <w:bookmarkStart w:id="403" w:name="_Toc22028"/>
      <w:bookmarkStart w:id="404" w:name="_Toc12139"/>
      <w:bookmarkStart w:id="405" w:name="_Toc27597"/>
      <w:r>
        <w:rPr>
          <w:rFonts w:hint="eastAsia" w:ascii="宋体" w:hAnsi="宋体" w:cs="宋体"/>
          <w:b/>
          <w:bCs/>
          <w:color w:val="auto"/>
          <w:szCs w:val="21"/>
          <w:highlight w:val="none"/>
        </w:rPr>
        <w:t>说明：1.声明函应按上述内容及格式填写，不得修改。</w:t>
      </w:r>
      <w:bookmarkEnd w:id="402"/>
      <w:bookmarkEnd w:id="403"/>
      <w:bookmarkEnd w:id="404"/>
      <w:bookmarkEnd w:id="405"/>
    </w:p>
    <w:p w14:paraId="62D6716E">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w:t>
      </w:r>
      <w:r>
        <w:rPr>
          <w:rFonts w:hint="eastAsia" w:ascii="宋体" w:hAnsi="宋体" w:cs="宋体"/>
          <w:bCs/>
          <w:color w:val="auto"/>
          <w:szCs w:val="21"/>
          <w:highlight w:val="none"/>
        </w:rPr>
        <w:t>残疾人福利性单位参与政府采购活动的，提供《残疾人福利性单位声明函》相关材料的，视为小微企业，报价分计算时对投标报价给予相应的扣除。</w:t>
      </w:r>
      <w:r>
        <w:rPr>
          <w:rFonts w:hint="eastAsia" w:ascii="宋体" w:hAnsi="宋体" w:cs="宋体"/>
          <w:b/>
          <w:color w:val="auto"/>
          <w:szCs w:val="21"/>
          <w:highlight w:val="none"/>
          <w:u w:val="single"/>
        </w:rPr>
        <w:t>如中标，《残疾人福利性单位声明函》将随中标结果公告一同公告</w:t>
      </w:r>
      <w:r>
        <w:rPr>
          <w:rFonts w:hint="eastAsia" w:ascii="宋体" w:hAnsi="宋体" w:cs="宋体"/>
          <w:b/>
          <w:color w:val="auto"/>
          <w:szCs w:val="21"/>
          <w:highlight w:val="none"/>
        </w:rPr>
        <w:t>。</w:t>
      </w:r>
    </w:p>
    <w:p w14:paraId="7AF32CD2">
      <w:pPr>
        <w:spacing w:line="400" w:lineRule="exact"/>
        <w:rPr>
          <w:rFonts w:hint="eastAsia" w:ascii="宋体" w:hAnsi="宋体" w:cs="宋体"/>
          <w:b/>
          <w:bCs/>
          <w:color w:val="auto"/>
          <w:szCs w:val="21"/>
          <w:highlight w:val="none"/>
        </w:rPr>
      </w:pPr>
      <w:r>
        <w:rPr>
          <w:rFonts w:hint="eastAsia" w:ascii="宋体" w:hAnsi="宋体" w:cs="宋体"/>
          <w:b/>
          <w:color w:val="auto"/>
          <w:szCs w:val="21"/>
          <w:highlight w:val="none"/>
        </w:rPr>
        <w:t xml:space="preserve">      3.享</w:t>
      </w:r>
      <w:r>
        <w:rPr>
          <w:rFonts w:hint="eastAsia" w:ascii="宋体" w:hAnsi="宋体" w:cs="宋体"/>
          <w:b/>
          <w:bCs/>
          <w:color w:val="auto"/>
          <w:szCs w:val="21"/>
          <w:highlight w:val="none"/>
        </w:rPr>
        <w:t>受政府采购支持政策的残疾人福利性单位应当同时满足以下条件：</w:t>
      </w:r>
    </w:p>
    <w:p w14:paraId="4D7616F4">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（一）安置的残疾人占本单位在职职工人数的比例不低于25%（含25%），并且安置的残疾人人数不少于10人（含10人）；</w:t>
      </w:r>
    </w:p>
    <w:p w14:paraId="24E93675">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（二）依法与安置的每位残疾人签订了一年以上（含一年）的劳动合同或服务协议；</w:t>
      </w:r>
    </w:p>
    <w:p w14:paraId="27113B31">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（三）为安置的每位残疾人按月足额缴纳了基本养老保险、基本医疗保险、失业保险、工伤保险和生育保险等社会保险费；</w:t>
      </w:r>
    </w:p>
    <w:p w14:paraId="54DF50A9">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（四）通过银行等金融机构向安置的每位残疾人，按月支付了不低于单位所在区县适用的经省级人民政府批准的月最低工资标准的工资；</w:t>
      </w:r>
    </w:p>
    <w:p w14:paraId="4DC5BDE7">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75E68DB">
      <w:pPr>
        <w:widowControl/>
        <w:adjustRightIn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D084F4">
      <w:pPr>
        <w:snapToGrid w:val="0"/>
        <w:spacing w:line="400" w:lineRule="exact"/>
        <w:jc w:val="left"/>
        <w:rPr>
          <w:rFonts w:ascii="宋体" w:hAnsi="宋体"/>
          <w:color w:val="auto"/>
          <w:sz w:val="24"/>
          <w:highlight w:val="none"/>
        </w:rPr>
      </w:pPr>
    </w:p>
    <w:p w14:paraId="0AE35C7A">
      <w:pPr>
        <w:snapToGrid w:val="0"/>
        <w:spacing w:line="400" w:lineRule="exact"/>
        <w:jc w:val="left"/>
        <w:rPr>
          <w:rFonts w:ascii="宋体" w:hAnsi="宋体"/>
          <w:color w:val="auto"/>
          <w:sz w:val="24"/>
          <w:highlight w:val="none"/>
        </w:rPr>
      </w:pPr>
      <w:r>
        <w:rPr>
          <w:rFonts w:ascii="宋体" w:hAnsi="宋体"/>
          <w:color w:val="auto"/>
          <w:szCs w:val="21"/>
          <w:highlight w:val="none"/>
        </w:rPr>
        <w:br w:type="page"/>
      </w:r>
      <w:bookmarkStart w:id="406" w:name="_Toc25467"/>
      <w:r>
        <w:rPr>
          <w:rFonts w:hint="eastAsia" w:ascii="宋体" w:hAnsi="宋体" w:cs="宋体"/>
          <w:color w:val="auto"/>
          <w:sz w:val="28"/>
          <w:szCs w:val="28"/>
          <w:highlight w:val="none"/>
        </w:rPr>
        <w:t>附件13</w:t>
      </w:r>
      <w:bookmarkEnd w:id="406"/>
    </w:p>
    <w:p w14:paraId="6A40530F">
      <w:pPr>
        <w:snapToGrid w:val="0"/>
        <w:spacing w:line="600" w:lineRule="exact"/>
        <w:jc w:val="left"/>
        <w:rPr>
          <w:rFonts w:ascii="宋体" w:hAnsi="宋体"/>
          <w:color w:val="auto"/>
          <w:sz w:val="24"/>
          <w:highlight w:val="none"/>
        </w:rPr>
      </w:pPr>
      <w:r>
        <w:rPr>
          <w:rFonts w:hint="eastAsia" w:ascii="宋体" w:hAnsi="宋体"/>
          <w:color w:val="auto"/>
          <w:sz w:val="24"/>
          <w:highlight w:val="none"/>
        </w:rPr>
        <w:t>省级以上监狱管理局、戒毒管理局（含新疆生产建设兵团）出具的属于监狱企业的有效文件。</w:t>
      </w:r>
    </w:p>
    <w:bookmarkEnd w:id="393"/>
    <w:bookmarkEnd w:id="394"/>
    <w:bookmarkEnd w:id="395"/>
    <w:bookmarkEnd w:id="396"/>
    <w:p w14:paraId="294098B4">
      <w:pPr>
        <w:snapToGrid w:val="0"/>
        <w:spacing w:before="50" w:after="120" w:afterLines="50" w:line="276" w:lineRule="auto"/>
        <w:jc w:val="left"/>
        <w:rPr>
          <w:rFonts w:ascii="宋体" w:hAnsi="宋体"/>
          <w:b/>
          <w:color w:val="auto"/>
          <w:sz w:val="24"/>
          <w:highlight w:val="none"/>
        </w:rPr>
      </w:pPr>
      <w:r>
        <w:rPr>
          <w:rFonts w:hint="eastAsia" w:ascii="宋体" w:hAnsi="宋体"/>
          <w:b/>
          <w:color w:val="auto"/>
          <w:sz w:val="24"/>
          <w:highlight w:val="none"/>
        </w:rPr>
        <w:br w:type="page"/>
      </w:r>
      <w:bookmarkStart w:id="407" w:name="_Toc10093"/>
      <w:r>
        <w:rPr>
          <w:rFonts w:hint="eastAsia" w:ascii="宋体" w:hAnsi="宋体" w:cs="宋体"/>
          <w:color w:val="auto"/>
          <w:sz w:val="28"/>
          <w:szCs w:val="28"/>
          <w:highlight w:val="none"/>
        </w:rPr>
        <w:t>附件14:评分响应表格式</w:t>
      </w:r>
      <w:bookmarkEnd w:id="407"/>
    </w:p>
    <w:p w14:paraId="006C102F">
      <w:pPr>
        <w:snapToGrid w:val="0"/>
        <w:spacing w:before="120" w:beforeLines="50" w:after="50" w:line="276" w:lineRule="auto"/>
        <w:rPr>
          <w:rFonts w:ascii="宋体" w:hAnsi="宋体"/>
          <w:b/>
          <w:color w:val="auto"/>
          <w:sz w:val="24"/>
          <w:highlight w:val="none"/>
        </w:rPr>
      </w:pPr>
    </w:p>
    <w:p w14:paraId="28F66501">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评分响应表</w:t>
      </w:r>
    </w:p>
    <w:p w14:paraId="3E596B7C">
      <w:pPr>
        <w:snapToGrid w:val="0"/>
        <w:spacing w:before="50" w:after="50" w:line="276" w:lineRule="auto"/>
        <w:rPr>
          <w:rFonts w:ascii="宋体" w:hAnsi="宋体"/>
          <w:b/>
          <w:color w:val="auto"/>
          <w:sz w:val="24"/>
          <w:highlight w:val="none"/>
        </w:rPr>
      </w:pPr>
    </w:p>
    <w:p w14:paraId="24AAB1BF">
      <w:pPr>
        <w:snapToGrid w:val="0"/>
        <w:spacing w:before="50" w:after="50" w:line="276"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33F7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1F4ED8">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3328934E">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71A879D9">
            <w:pPr>
              <w:pStyle w:val="43"/>
              <w:spacing w:line="276" w:lineRule="auto"/>
              <w:ind w:firstLine="442"/>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6DE88825">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26098073">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页码</w:t>
            </w:r>
          </w:p>
        </w:tc>
      </w:tr>
      <w:tr w14:paraId="14E6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E58FC67">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14:paraId="56143253">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7B1FEDFF">
            <w:pPr>
              <w:spacing w:line="276" w:lineRule="auto"/>
              <w:rPr>
                <w:rFonts w:ascii="宋体" w:hAnsi="宋体"/>
                <w:color w:val="auto"/>
                <w:sz w:val="22"/>
                <w:szCs w:val="22"/>
                <w:highlight w:val="none"/>
              </w:rPr>
            </w:pPr>
          </w:p>
        </w:tc>
        <w:tc>
          <w:tcPr>
            <w:tcW w:w="1218" w:type="dxa"/>
            <w:tcBorders>
              <w:top w:val="single" w:color="auto" w:sz="4" w:space="0"/>
              <w:left w:val="single" w:color="auto" w:sz="4" w:space="0"/>
              <w:right w:val="single" w:color="auto" w:sz="4" w:space="0"/>
            </w:tcBorders>
            <w:vAlign w:val="center"/>
          </w:tcPr>
          <w:p w14:paraId="3AE6B585">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689429D2">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详见第几页</w:t>
            </w:r>
          </w:p>
        </w:tc>
      </w:tr>
      <w:tr w14:paraId="2B16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5409FE8">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2</w:t>
            </w:r>
          </w:p>
        </w:tc>
        <w:tc>
          <w:tcPr>
            <w:tcW w:w="1390" w:type="dxa"/>
            <w:tcBorders>
              <w:top w:val="single" w:color="auto" w:sz="4" w:space="0"/>
              <w:left w:val="single" w:color="auto" w:sz="4" w:space="0"/>
              <w:bottom w:val="single" w:color="auto" w:sz="4" w:space="0"/>
              <w:right w:val="single" w:color="auto" w:sz="4" w:space="0"/>
            </w:tcBorders>
            <w:vAlign w:val="center"/>
          </w:tcPr>
          <w:p w14:paraId="26B3AFAD">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1FA3C574">
            <w:pPr>
              <w:widowControl/>
              <w:spacing w:line="276" w:lineRule="auto"/>
              <w:rPr>
                <w:rFonts w:ascii="宋体" w:hAnsi="宋体" w:cs="宋体"/>
                <w:color w:val="auto"/>
                <w:kern w:val="0"/>
                <w:sz w:val="22"/>
                <w:szCs w:val="22"/>
                <w:highlight w:val="none"/>
              </w:rPr>
            </w:pPr>
          </w:p>
        </w:tc>
        <w:tc>
          <w:tcPr>
            <w:tcW w:w="1218" w:type="dxa"/>
            <w:tcBorders>
              <w:top w:val="single" w:color="auto" w:sz="4" w:space="0"/>
              <w:left w:val="single" w:color="auto" w:sz="4" w:space="0"/>
              <w:right w:val="single" w:color="auto" w:sz="4" w:space="0"/>
            </w:tcBorders>
            <w:vAlign w:val="center"/>
          </w:tcPr>
          <w:p w14:paraId="5FD82C39">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166BB051">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w:t>
            </w:r>
          </w:p>
        </w:tc>
      </w:tr>
      <w:tr w14:paraId="15905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831012D">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2545ED9C">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07D1AF5B">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38F88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8CDC41A">
            <w:pPr>
              <w:spacing w:line="276" w:lineRule="auto"/>
              <w:jc w:val="center"/>
              <w:rPr>
                <w:rFonts w:ascii="宋体" w:hAnsi="宋体"/>
                <w:bCs/>
                <w:color w:val="auto"/>
                <w:sz w:val="22"/>
                <w:szCs w:val="22"/>
                <w:highlight w:val="none"/>
              </w:rPr>
            </w:pPr>
          </w:p>
        </w:tc>
      </w:tr>
      <w:tr w14:paraId="203F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7B4B255">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4DE261A4">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15F34E4A">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40B1A9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7F2D776">
            <w:pPr>
              <w:spacing w:line="276" w:lineRule="auto"/>
              <w:jc w:val="center"/>
              <w:rPr>
                <w:rFonts w:ascii="宋体" w:hAnsi="宋体"/>
                <w:bCs/>
                <w:color w:val="auto"/>
                <w:sz w:val="22"/>
                <w:szCs w:val="22"/>
                <w:highlight w:val="none"/>
              </w:rPr>
            </w:pPr>
          </w:p>
        </w:tc>
      </w:tr>
      <w:tr w14:paraId="0329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77A60366">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w:t>
            </w:r>
          </w:p>
        </w:tc>
        <w:tc>
          <w:tcPr>
            <w:tcW w:w="1390" w:type="dxa"/>
            <w:tcBorders>
              <w:left w:val="single" w:color="auto" w:sz="4" w:space="0"/>
              <w:bottom w:val="single" w:color="auto" w:sz="4" w:space="0"/>
              <w:right w:val="single" w:color="auto" w:sz="4" w:space="0"/>
            </w:tcBorders>
            <w:vAlign w:val="center"/>
          </w:tcPr>
          <w:p w14:paraId="37D2EE7F">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7F743250">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69775F4">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54EE9F80">
            <w:pPr>
              <w:spacing w:line="276" w:lineRule="auto"/>
              <w:jc w:val="center"/>
              <w:rPr>
                <w:rFonts w:ascii="宋体" w:hAnsi="宋体"/>
                <w:bCs/>
                <w:color w:val="auto"/>
                <w:sz w:val="22"/>
                <w:szCs w:val="22"/>
                <w:highlight w:val="none"/>
              </w:rPr>
            </w:pPr>
          </w:p>
        </w:tc>
      </w:tr>
    </w:tbl>
    <w:p w14:paraId="7FC7C1CE">
      <w:pPr>
        <w:snapToGrid w:val="0"/>
        <w:spacing w:before="50" w:after="50" w:line="400" w:lineRule="exact"/>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注：1.投标单位根据所投标项的评分表内容，按此格式提供评分响应表，每本技术商务文件一份，置于技术商务文件第1页。</w:t>
      </w:r>
    </w:p>
    <w:p w14:paraId="643DAA4D">
      <w:pPr>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2.投标人在标注页码时，应如实准确地标注“详见哪一页”，因投标人页码标注错误，导致专家误评、漏评的风险由投标人承担。</w:t>
      </w:r>
    </w:p>
    <w:p w14:paraId="3B387C34">
      <w:pPr>
        <w:snapToGrid w:val="0"/>
        <w:spacing w:before="50" w:after="120" w:afterLines="50" w:line="276" w:lineRule="auto"/>
        <w:jc w:val="left"/>
        <w:rPr>
          <w:rFonts w:ascii="宋体" w:hAnsi="宋体"/>
          <w:b/>
          <w:color w:val="auto"/>
          <w:sz w:val="24"/>
          <w:szCs w:val="20"/>
          <w:highlight w:val="none"/>
        </w:rPr>
      </w:pPr>
      <w:r>
        <w:rPr>
          <w:rFonts w:hint="eastAsia" w:ascii="宋体" w:hAnsi="宋体"/>
          <w:b/>
          <w:color w:val="auto"/>
          <w:sz w:val="24"/>
          <w:highlight w:val="none"/>
        </w:rPr>
        <w:br w:type="page"/>
      </w:r>
      <w:bookmarkStart w:id="408" w:name="_Toc11621"/>
      <w:r>
        <w:rPr>
          <w:rFonts w:hint="eastAsia" w:ascii="宋体" w:hAnsi="宋体" w:cs="宋体"/>
          <w:color w:val="auto"/>
          <w:sz w:val="28"/>
          <w:szCs w:val="28"/>
          <w:highlight w:val="none"/>
        </w:rPr>
        <w:t>附件15:投标声明书格式</w:t>
      </w:r>
      <w:bookmarkEnd w:id="408"/>
    </w:p>
    <w:p w14:paraId="0C03F916">
      <w:pPr>
        <w:snapToGrid w:val="0"/>
        <w:spacing w:before="120" w:beforeLines="50" w:after="50" w:line="400" w:lineRule="exact"/>
        <w:jc w:val="center"/>
        <w:rPr>
          <w:rFonts w:hint="eastAsia" w:ascii="宋体" w:hAnsi="宋体" w:cs="宋体"/>
          <w:color w:val="auto"/>
          <w:sz w:val="24"/>
          <w:highlight w:val="none"/>
        </w:rPr>
      </w:pPr>
      <w:r>
        <w:rPr>
          <w:rFonts w:hint="eastAsia" w:ascii="宋体" w:hAnsi="宋体"/>
          <w:b/>
          <w:color w:val="auto"/>
          <w:sz w:val="24"/>
          <w:highlight w:val="none"/>
        </w:rPr>
        <w:t>投标声明书</w:t>
      </w:r>
    </w:p>
    <w:p w14:paraId="1937283B">
      <w:pPr>
        <w:snapToGrid w:val="0"/>
        <w:spacing w:before="120" w:beforeLines="50" w:after="50" w:line="400" w:lineRule="exact"/>
        <w:rPr>
          <w:rFonts w:hint="eastAsia" w:ascii="宋体" w:hAnsi="宋体" w:cs="宋体"/>
          <w:color w:val="auto"/>
          <w:sz w:val="24"/>
          <w:highlight w:val="none"/>
        </w:rPr>
      </w:pPr>
    </w:p>
    <w:p w14:paraId="64BCB41D">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致（采购人）：</w:t>
      </w:r>
    </w:p>
    <w:p w14:paraId="14A1FD6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065BA">
      <w:pPr>
        <w:snapToGri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14:paraId="05FA7C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31819A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F05C04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；该型号产品我方有现货可供，并已于</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月生产完工或向</w:t>
      </w:r>
      <w:r>
        <w:rPr>
          <w:rFonts w:hint="eastAsia" w:ascii="宋体" w:hAnsi="宋体" w:cs="宋体"/>
          <w:color w:val="auto"/>
          <w:sz w:val="24"/>
          <w:highlight w:val="none"/>
          <w:u w:val="single"/>
        </w:rPr>
        <w:t>　　/</w:t>
      </w:r>
      <w:r>
        <w:rPr>
          <w:rFonts w:hint="eastAsia" w:ascii="宋体" w:hAnsi="宋体" w:cs="宋体"/>
          <w:color w:val="auto"/>
          <w:sz w:val="24"/>
          <w:highlight w:val="none"/>
        </w:rPr>
        <w:t>（原厂商名称）购进［</w:t>
      </w:r>
      <w:r>
        <w:rPr>
          <w:rFonts w:hint="eastAsia" w:ascii="宋体" w:hAnsi="宋体" w:cs="宋体"/>
          <w:bCs/>
          <w:color w:val="auto"/>
          <w:sz w:val="24"/>
          <w:highlight w:val="none"/>
        </w:rPr>
        <w:t>或</w:t>
      </w:r>
      <w:r>
        <w:rPr>
          <w:rFonts w:hint="eastAsia" w:ascii="宋体" w:hAnsi="宋体" w:cs="宋体"/>
          <w:color w:val="auto"/>
          <w:sz w:val="24"/>
          <w:highlight w:val="none"/>
        </w:rPr>
        <w:t>需在中标后向</w:t>
      </w:r>
      <w:r>
        <w:rPr>
          <w:rFonts w:hint="eastAsia" w:ascii="宋体" w:hAnsi="宋体" w:cs="宋体"/>
          <w:color w:val="auto"/>
          <w:sz w:val="24"/>
          <w:highlight w:val="none"/>
          <w:u w:val="single"/>
        </w:rPr>
        <w:t>/</w:t>
      </w:r>
      <w:r>
        <w:rPr>
          <w:rFonts w:hint="eastAsia" w:ascii="宋体" w:hAnsi="宋体" w:cs="宋体"/>
          <w:color w:val="auto"/>
          <w:sz w:val="24"/>
          <w:highlight w:val="none"/>
        </w:rPr>
        <w:t>订购］。</w:t>
      </w:r>
    </w:p>
    <w:p w14:paraId="09AF77F0">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4.我方及由本人担任法定代表人的其他机构最近三年内被通报或者被处罚的违法行为有：（若有，请如实填写；若无，请做出“参加政府采购活动前三年内，在经营活动中没有重大违法记录”的承诺）</w:t>
      </w:r>
    </w:p>
    <w:p w14:paraId="6B3C8BDA">
      <w:pPr>
        <w:snapToGrid w:val="0"/>
        <w:spacing w:line="4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14:paraId="087CC9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989D4C2">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F8492E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6B724D5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92536C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5E9D6E5F">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0AE0DBB2">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7283F79">
      <w:pPr>
        <w:tabs>
          <w:tab w:val="left" w:pos="1418"/>
        </w:tabs>
        <w:snapToGrid w:val="0"/>
        <w:spacing w:line="400" w:lineRule="exact"/>
        <w:jc w:val="left"/>
        <w:rPr>
          <w:rFonts w:ascii="宋体" w:hAnsi="宋体"/>
          <w:b/>
          <w:color w:val="auto"/>
          <w:spacing w:val="20"/>
          <w:sz w:val="24"/>
          <w:highlight w:val="none"/>
        </w:rPr>
      </w:pPr>
    </w:p>
    <w:p w14:paraId="70FAA1EB">
      <w:pPr>
        <w:rPr>
          <w:rFonts w:hint="eastAsia" w:ascii="宋体" w:hAnsi="宋体"/>
          <w:b/>
          <w:color w:val="auto"/>
          <w:sz w:val="24"/>
          <w:highlight w:val="none"/>
        </w:rPr>
      </w:pPr>
    </w:p>
    <w:p w14:paraId="5F4542B4">
      <w:pPr>
        <w:tabs>
          <w:tab w:val="left" w:pos="1418"/>
        </w:tabs>
        <w:snapToGrid w:val="0"/>
        <w:spacing w:line="400" w:lineRule="exact"/>
        <w:jc w:val="left"/>
        <w:rPr>
          <w:rFonts w:ascii="宋体" w:hAnsi="宋体"/>
          <w:b/>
          <w:color w:val="auto"/>
          <w:spacing w:val="20"/>
          <w:sz w:val="24"/>
          <w:highlight w:val="none"/>
        </w:rPr>
      </w:pPr>
    </w:p>
    <w:p w14:paraId="0197A919">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2B8A255C">
      <w:pPr>
        <w:rPr>
          <w:rFonts w:hint="eastAsia" w:ascii="宋体" w:hAnsi="宋体" w:cs="宋体"/>
          <w:color w:val="auto"/>
          <w:sz w:val="28"/>
          <w:szCs w:val="28"/>
          <w:highlight w:val="none"/>
        </w:rPr>
      </w:pPr>
      <w:r>
        <w:rPr>
          <w:rFonts w:hint="eastAsia" w:ascii="宋体" w:hAnsi="宋体" w:cs="宋体"/>
          <w:color w:val="auto"/>
          <w:sz w:val="28"/>
          <w:szCs w:val="28"/>
          <w:highlight w:val="none"/>
        </w:rPr>
        <w:t>附件16:产品技术指标响应情况</w:t>
      </w:r>
    </w:p>
    <w:p w14:paraId="280B8F16">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技术指标偏离表</w:t>
      </w:r>
    </w:p>
    <w:p w14:paraId="0659900B">
      <w:pPr>
        <w:spacing w:line="500" w:lineRule="exact"/>
        <w:jc w:val="center"/>
        <w:rPr>
          <w:rFonts w:hint="eastAsia" w:ascii="宋体" w:hAnsi="宋体" w:cs="宋体"/>
          <w:b/>
          <w:bCs/>
          <w:color w:val="auto"/>
          <w:sz w:val="28"/>
          <w:szCs w:val="28"/>
          <w:highlight w:val="none"/>
        </w:rPr>
      </w:pPr>
    </w:p>
    <w:p w14:paraId="6D359147">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14:paraId="5FAA0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14:paraId="432E34BD">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151" w:type="dxa"/>
            <w:tcBorders>
              <w:right w:val="single" w:color="auto" w:sz="4" w:space="0"/>
            </w:tcBorders>
            <w:vAlign w:val="center"/>
          </w:tcPr>
          <w:p w14:paraId="6640D2CC">
            <w:pPr>
              <w:snapToGrid w:val="0"/>
              <w:jc w:val="center"/>
              <w:rPr>
                <w:rFonts w:hint="eastAsia" w:ascii="宋体" w:hAnsi="宋体" w:cs="宋体"/>
                <w:color w:val="auto"/>
                <w:highlight w:val="none"/>
              </w:rPr>
            </w:pPr>
            <w:r>
              <w:rPr>
                <w:rFonts w:hint="eastAsia" w:ascii="宋体" w:hAnsi="宋体" w:cs="宋体"/>
                <w:color w:val="auto"/>
                <w:highlight w:val="none"/>
              </w:rPr>
              <w:t>设备名称</w:t>
            </w:r>
          </w:p>
        </w:tc>
        <w:tc>
          <w:tcPr>
            <w:tcW w:w="2531" w:type="dxa"/>
            <w:tcBorders>
              <w:left w:val="single" w:color="auto" w:sz="4" w:space="0"/>
            </w:tcBorders>
            <w:vAlign w:val="center"/>
          </w:tcPr>
          <w:p w14:paraId="0A262143">
            <w:pPr>
              <w:snapToGrid w:val="0"/>
              <w:jc w:val="center"/>
              <w:rPr>
                <w:rFonts w:hint="eastAsia" w:ascii="宋体" w:hAnsi="宋体" w:cs="宋体"/>
                <w:color w:val="auto"/>
                <w:highlight w:val="none"/>
              </w:rPr>
            </w:pPr>
            <w:r>
              <w:rPr>
                <w:rFonts w:hint="eastAsia" w:ascii="宋体" w:hAnsi="宋体" w:cs="宋体"/>
                <w:color w:val="auto"/>
                <w:highlight w:val="none"/>
              </w:rPr>
              <w:t>采购需求技术规格要求</w:t>
            </w:r>
          </w:p>
        </w:tc>
        <w:tc>
          <w:tcPr>
            <w:tcW w:w="2811" w:type="dxa"/>
            <w:vAlign w:val="center"/>
          </w:tcPr>
          <w:p w14:paraId="17C87340">
            <w:pPr>
              <w:snapToGrid w:val="0"/>
              <w:jc w:val="center"/>
              <w:rPr>
                <w:rFonts w:hint="eastAsia" w:ascii="宋体" w:hAnsi="宋体" w:cs="宋体"/>
                <w:color w:val="auto"/>
                <w:highlight w:val="none"/>
              </w:rPr>
            </w:pPr>
            <w:r>
              <w:rPr>
                <w:rFonts w:hint="eastAsia" w:ascii="宋体" w:hAnsi="宋体" w:cs="宋体"/>
                <w:color w:val="auto"/>
                <w:highlight w:val="none"/>
              </w:rPr>
              <w:t>响应文件响应内容</w:t>
            </w:r>
          </w:p>
        </w:tc>
        <w:tc>
          <w:tcPr>
            <w:tcW w:w="1964" w:type="dxa"/>
            <w:vAlign w:val="center"/>
          </w:tcPr>
          <w:p w14:paraId="7C96EBD9">
            <w:pPr>
              <w:snapToGrid w:val="0"/>
              <w:jc w:val="center"/>
              <w:rPr>
                <w:rFonts w:hint="eastAsia" w:ascii="宋体" w:hAnsi="宋体" w:cs="宋体"/>
                <w:color w:val="auto"/>
                <w:highlight w:val="none"/>
              </w:rPr>
            </w:pPr>
            <w:r>
              <w:rPr>
                <w:rFonts w:hint="eastAsia" w:ascii="宋体" w:hAnsi="宋体" w:cs="宋体"/>
                <w:color w:val="auto"/>
                <w:highlight w:val="none"/>
              </w:rPr>
              <w:t>偏离情况</w:t>
            </w:r>
          </w:p>
        </w:tc>
      </w:tr>
      <w:tr w14:paraId="6F675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F98F534">
            <w:pPr>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151" w:type="dxa"/>
            <w:tcBorders>
              <w:right w:val="single" w:color="auto" w:sz="4" w:space="0"/>
            </w:tcBorders>
            <w:vAlign w:val="center"/>
          </w:tcPr>
          <w:p w14:paraId="21B67BFA">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3AD1898">
            <w:pPr>
              <w:snapToGrid w:val="0"/>
              <w:jc w:val="center"/>
              <w:rPr>
                <w:rFonts w:hint="eastAsia" w:ascii="宋体" w:hAnsi="宋体" w:cs="宋体"/>
                <w:color w:val="auto"/>
                <w:highlight w:val="none"/>
              </w:rPr>
            </w:pPr>
          </w:p>
        </w:tc>
        <w:tc>
          <w:tcPr>
            <w:tcW w:w="2811" w:type="dxa"/>
            <w:vAlign w:val="center"/>
          </w:tcPr>
          <w:p w14:paraId="4737482E">
            <w:pPr>
              <w:snapToGrid w:val="0"/>
              <w:jc w:val="center"/>
              <w:rPr>
                <w:rFonts w:hint="eastAsia" w:ascii="宋体" w:hAnsi="宋体" w:cs="宋体"/>
                <w:color w:val="auto"/>
                <w:highlight w:val="none"/>
              </w:rPr>
            </w:pPr>
          </w:p>
        </w:tc>
        <w:tc>
          <w:tcPr>
            <w:tcW w:w="1964" w:type="dxa"/>
            <w:vAlign w:val="center"/>
          </w:tcPr>
          <w:p w14:paraId="0C03DB29">
            <w:pPr>
              <w:snapToGrid w:val="0"/>
              <w:jc w:val="center"/>
              <w:rPr>
                <w:rFonts w:hint="eastAsia" w:ascii="宋体" w:hAnsi="宋体" w:cs="宋体"/>
                <w:color w:val="auto"/>
                <w:highlight w:val="none"/>
              </w:rPr>
            </w:pPr>
          </w:p>
        </w:tc>
      </w:tr>
      <w:tr w14:paraId="77BD6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66BBB3C">
            <w:pPr>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151" w:type="dxa"/>
            <w:tcBorders>
              <w:right w:val="single" w:color="auto" w:sz="4" w:space="0"/>
            </w:tcBorders>
            <w:vAlign w:val="center"/>
          </w:tcPr>
          <w:p w14:paraId="7C560443">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6373DE55">
            <w:pPr>
              <w:snapToGrid w:val="0"/>
              <w:jc w:val="center"/>
              <w:rPr>
                <w:rFonts w:hint="eastAsia" w:ascii="宋体" w:hAnsi="宋体" w:cs="宋体"/>
                <w:color w:val="auto"/>
                <w:highlight w:val="none"/>
              </w:rPr>
            </w:pPr>
          </w:p>
        </w:tc>
        <w:tc>
          <w:tcPr>
            <w:tcW w:w="2811" w:type="dxa"/>
            <w:vAlign w:val="center"/>
          </w:tcPr>
          <w:p w14:paraId="0A88940B">
            <w:pPr>
              <w:snapToGrid w:val="0"/>
              <w:jc w:val="center"/>
              <w:rPr>
                <w:rFonts w:hint="eastAsia" w:ascii="宋体" w:hAnsi="宋体" w:cs="宋体"/>
                <w:color w:val="auto"/>
                <w:highlight w:val="none"/>
              </w:rPr>
            </w:pPr>
          </w:p>
        </w:tc>
        <w:tc>
          <w:tcPr>
            <w:tcW w:w="1964" w:type="dxa"/>
            <w:vAlign w:val="center"/>
          </w:tcPr>
          <w:p w14:paraId="70C0B859">
            <w:pPr>
              <w:snapToGrid w:val="0"/>
              <w:jc w:val="center"/>
              <w:rPr>
                <w:rFonts w:hint="eastAsia" w:ascii="宋体" w:hAnsi="宋体" w:cs="宋体"/>
                <w:color w:val="auto"/>
                <w:highlight w:val="none"/>
              </w:rPr>
            </w:pPr>
          </w:p>
        </w:tc>
      </w:tr>
      <w:tr w14:paraId="53C6C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9C2D391">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151" w:type="dxa"/>
            <w:tcBorders>
              <w:right w:val="single" w:color="auto" w:sz="4" w:space="0"/>
            </w:tcBorders>
            <w:vAlign w:val="center"/>
          </w:tcPr>
          <w:p w14:paraId="5B026660">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09E229BF">
            <w:pPr>
              <w:snapToGrid w:val="0"/>
              <w:jc w:val="center"/>
              <w:rPr>
                <w:rFonts w:hint="eastAsia" w:ascii="宋体" w:hAnsi="宋体" w:cs="宋体"/>
                <w:color w:val="auto"/>
                <w:highlight w:val="none"/>
              </w:rPr>
            </w:pPr>
          </w:p>
        </w:tc>
        <w:tc>
          <w:tcPr>
            <w:tcW w:w="2811" w:type="dxa"/>
            <w:vAlign w:val="center"/>
          </w:tcPr>
          <w:p w14:paraId="5F90F47A">
            <w:pPr>
              <w:snapToGrid w:val="0"/>
              <w:jc w:val="center"/>
              <w:rPr>
                <w:rFonts w:hint="eastAsia" w:ascii="宋体" w:hAnsi="宋体" w:cs="宋体"/>
                <w:color w:val="auto"/>
                <w:highlight w:val="none"/>
              </w:rPr>
            </w:pPr>
          </w:p>
        </w:tc>
        <w:tc>
          <w:tcPr>
            <w:tcW w:w="1964" w:type="dxa"/>
            <w:vAlign w:val="center"/>
          </w:tcPr>
          <w:p w14:paraId="0E58C361">
            <w:pPr>
              <w:snapToGrid w:val="0"/>
              <w:jc w:val="center"/>
              <w:rPr>
                <w:rFonts w:hint="eastAsia" w:ascii="宋体" w:hAnsi="宋体" w:cs="宋体"/>
                <w:color w:val="auto"/>
                <w:highlight w:val="none"/>
              </w:rPr>
            </w:pPr>
          </w:p>
        </w:tc>
      </w:tr>
      <w:tr w14:paraId="0779C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AB23047">
            <w:pPr>
              <w:snapToGrid w:val="0"/>
              <w:jc w:val="center"/>
              <w:rPr>
                <w:rFonts w:hint="eastAsia" w:ascii="宋体" w:hAnsi="宋体" w:cs="宋体"/>
                <w:color w:val="auto"/>
                <w:highlight w:val="none"/>
              </w:rPr>
            </w:pPr>
            <w:r>
              <w:rPr>
                <w:rFonts w:hint="eastAsia" w:ascii="宋体" w:hAnsi="宋体" w:cs="宋体"/>
                <w:color w:val="auto"/>
                <w:highlight w:val="none"/>
              </w:rPr>
              <w:t>4</w:t>
            </w:r>
          </w:p>
        </w:tc>
        <w:tc>
          <w:tcPr>
            <w:tcW w:w="1151" w:type="dxa"/>
            <w:tcBorders>
              <w:right w:val="single" w:color="auto" w:sz="4" w:space="0"/>
            </w:tcBorders>
            <w:vAlign w:val="center"/>
          </w:tcPr>
          <w:p w14:paraId="6A76F4E7">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904BE90">
            <w:pPr>
              <w:snapToGrid w:val="0"/>
              <w:jc w:val="center"/>
              <w:rPr>
                <w:rFonts w:hint="eastAsia" w:ascii="宋体" w:hAnsi="宋体" w:cs="宋体"/>
                <w:color w:val="auto"/>
                <w:highlight w:val="none"/>
              </w:rPr>
            </w:pPr>
          </w:p>
        </w:tc>
        <w:tc>
          <w:tcPr>
            <w:tcW w:w="2811" w:type="dxa"/>
            <w:vAlign w:val="center"/>
          </w:tcPr>
          <w:p w14:paraId="52FE1C7E">
            <w:pPr>
              <w:snapToGrid w:val="0"/>
              <w:jc w:val="center"/>
              <w:rPr>
                <w:rFonts w:hint="eastAsia" w:ascii="宋体" w:hAnsi="宋体" w:cs="宋体"/>
                <w:color w:val="auto"/>
                <w:highlight w:val="none"/>
              </w:rPr>
            </w:pPr>
          </w:p>
        </w:tc>
        <w:tc>
          <w:tcPr>
            <w:tcW w:w="1964" w:type="dxa"/>
            <w:vAlign w:val="center"/>
          </w:tcPr>
          <w:p w14:paraId="584940B2">
            <w:pPr>
              <w:snapToGrid w:val="0"/>
              <w:jc w:val="center"/>
              <w:rPr>
                <w:rFonts w:hint="eastAsia" w:ascii="宋体" w:hAnsi="宋体" w:cs="宋体"/>
                <w:color w:val="auto"/>
                <w:highlight w:val="none"/>
              </w:rPr>
            </w:pPr>
          </w:p>
        </w:tc>
      </w:tr>
      <w:tr w14:paraId="3FDD4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DA54050">
            <w:pPr>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151" w:type="dxa"/>
            <w:tcBorders>
              <w:right w:val="single" w:color="auto" w:sz="4" w:space="0"/>
            </w:tcBorders>
            <w:vAlign w:val="center"/>
          </w:tcPr>
          <w:p w14:paraId="3C5507F4">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79540CE5">
            <w:pPr>
              <w:snapToGrid w:val="0"/>
              <w:jc w:val="center"/>
              <w:rPr>
                <w:rFonts w:hint="eastAsia" w:ascii="宋体" w:hAnsi="宋体" w:cs="宋体"/>
                <w:color w:val="auto"/>
                <w:highlight w:val="none"/>
              </w:rPr>
            </w:pPr>
          </w:p>
        </w:tc>
        <w:tc>
          <w:tcPr>
            <w:tcW w:w="2811" w:type="dxa"/>
            <w:vAlign w:val="center"/>
          </w:tcPr>
          <w:p w14:paraId="32518CB6">
            <w:pPr>
              <w:snapToGrid w:val="0"/>
              <w:jc w:val="center"/>
              <w:rPr>
                <w:rFonts w:hint="eastAsia" w:ascii="宋体" w:hAnsi="宋体" w:cs="宋体"/>
                <w:color w:val="auto"/>
                <w:highlight w:val="none"/>
              </w:rPr>
            </w:pPr>
          </w:p>
        </w:tc>
        <w:tc>
          <w:tcPr>
            <w:tcW w:w="1964" w:type="dxa"/>
            <w:vAlign w:val="center"/>
          </w:tcPr>
          <w:p w14:paraId="49A18244">
            <w:pPr>
              <w:snapToGrid w:val="0"/>
              <w:jc w:val="center"/>
              <w:rPr>
                <w:rFonts w:hint="eastAsia" w:ascii="宋体" w:hAnsi="宋体" w:cs="宋体"/>
                <w:color w:val="auto"/>
                <w:highlight w:val="none"/>
              </w:rPr>
            </w:pPr>
          </w:p>
        </w:tc>
      </w:tr>
      <w:tr w14:paraId="1D333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795C588B">
            <w:pPr>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151" w:type="dxa"/>
            <w:vAlign w:val="center"/>
          </w:tcPr>
          <w:p w14:paraId="16251742">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57F2F7A5">
            <w:pPr>
              <w:snapToGrid w:val="0"/>
              <w:jc w:val="center"/>
              <w:rPr>
                <w:rFonts w:hint="eastAsia" w:ascii="宋体" w:hAnsi="宋体" w:cs="宋体"/>
                <w:color w:val="auto"/>
                <w:highlight w:val="none"/>
              </w:rPr>
            </w:pPr>
          </w:p>
        </w:tc>
        <w:tc>
          <w:tcPr>
            <w:tcW w:w="2811" w:type="dxa"/>
            <w:tcBorders>
              <w:left w:val="single" w:color="auto" w:sz="4" w:space="0"/>
            </w:tcBorders>
            <w:vAlign w:val="center"/>
          </w:tcPr>
          <w:p w14:paraId="05F17AC4">
            <w:pPr>
              <w:snapToGrid w:val="0"/>
              <w:jc w:val="center"/>
              <w:rPr>
                <w:rFonts w:hint="eastAsia" w:ascii="宋体" w:hAnsi="宋体" w:cs="宋体"/>
                <w:color w:val="auto"/>
                <w:highlight w:val="none"/>
              </w:rPr>
            </w:pPr>
          </w:p>
        </w:tc>
        <w:tc>
          <w:tcPr>
            <w:tcW w:w="1964" w:type="dxa"/>
            <w:vAlign w:val="center"/>
          </w:tcPr>
          <w:p w14:paraId="4E713320">
            <w:pPr>
              <w:snapToGrid w:val="0"/>
              <w:jc w:val="center"/>
              <w:rPr>
                <w:rFonts w:hint="eastAsia" w:ascii="宋体" w:hAnsi="宋体" w:cs="宋体"/>
                <w:color w:val="auto"/>
                <w:highlight w:val="none"/>
              </w:rPr>
            </w:pPr>
          </w:p>
        </w:tc>
      </w:tr>
      <w:tr w14:paraId="50DBC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22D534A9">
            <w:pPr>
              <w:snapToGrid w:val="0"/>
              <w:jc w:val="center"/>
              <w:rPr>
                <w:rFonts w:hint="eastAsia" w:ascii="宋体" w:hAnsi="宋体" w:cs="宋体"/>
                <w:color w:val="auto"/>
                <w:highlight w:val="none"/>
              </w:rPr>
            </w:pPr>
            <w:r>
              <w:rPr>
                <w:rFonts w:hint="eastAsia" w:ascii="宋体" w:hAnsi="宋体" w:cs="宋体"/>
                <w:color w:val="auto"/>
                <w:highlight w:val="none"/>
              </w:rPr>
              <w:t>7</w:t>
            </w:r>
          </w:p>
        </w:tc>
        <w:tc>
          <w:tcPr>
            <w:tcW w:w="1151" w:type="dxa"/>
            <w:vAlign w:val="center"/>
          </w:tcPr>
          <w:p w14:paraId="12F608E1">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0FAFEA79">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58C87977">
            <w:pPr>
              <w:snapToGrid w:val="0"/>
              <w:jc w:val="center"/>
              <w:rPr>
                <w:rFonts w:hint="eastAsia" w:ascii="宋体" w:hAnsi="宋体" w:cs="宋体"/>
                <w:b/>
                <w:color w:val="auto"/>
                <w:highlight w:val="none"/>
              </w:rPr>
            </w:pPr>
          </w:p>
        </w:tc>
        <w:tc>
          <w:tcPr>
            <w:tcW w:w="1964" w:type="dxa"/>
            <w:vAlign w:val="center"/>
          </w:tcPr>
          <w:p w14:paraId="2F765E05">
            <w:pPr>
              <w:snapToGrid w:val="0"/>
              <w:jc w:val="center"/>
              <w:rPr>
                <w:rFonts w:hint="eastAsia" w:ascii="宋体" w:hAnsi="宋体" w:cs="宋体"/>
                <w:color w:val="auto"/>
                <w:highlight w:val="none"/>
              </w:rPr>
            </w:pPr>
          </w:p>
        </w:tc>
      </w:tr>
      <w:tr w14:paraId="13553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138B950">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151" w:type="dxa"/>
            <w:vAlign w:val="center"/>
          </w:tcPr>
          <w:p w14:paraId="157A66E5">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75F3C16C">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0C197869">
            <w:pPr>
              <w:snapToGrid w:val="0"/>
              <w:jc w:val="center"/>
              <w:rPr>
                <w:rFonts w:hint="eastAsia" w:ascii="宋体" w:hAnsi="宋体" w:cs="宋体"/>
                <w:b/>
                <w:color w:val="auto"/>
                <w:highlight w:val="none"/>
              </w:rPr>
            </w:pPr>
          </w:p>
        </w:tc>
        <w:tc>
          <w:tcPr>
            <w:tcW w:w="1964" w:type="dxa"/>
            <w:vAlign w:val="center"/>
          </w:tcPr>
          <w:p w14:paraId="14C0828B">
            <w:pPr>
              <w:snapToGrid w:val="0"/>
              <w:jc w:val="center"/>
              <w:rPr>
                <w:rFonts w:hint="eastAsia" w:ascii="宋体" w:hAnsi="宋体" w:cs="宋体"/>
                <w:color w:val="auto"/>
                <w:highlight w:val="none"/>
              </w:rPr>
            </w:pPr>
          </w:p>
        </w:tc>
      </w:tr>
      <w:tr w14:paraId="020D4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14:paraId="7EDBC601">
            <w:pPr>
              <w:snapToGrid w:val="0"/>
              <w:jc w:val="center"/>
              <w:rPr>
                <w:rFonts w:hint="eastAsia" w:ascii="宋体" w:hAnsi="宋体" w:cs="宋体"/>
                <w:color w:val="auto"/>
                <w:highlight w:val="none"/>
              </w:rPr>
            </w:pPr>
            <w:r>
              <w:rPr>
                <w:rFonts w:hint="eastAsia" w:ascii="宋体" w:hAnsi="宋体" w:cs="宋体"/>
                <w:color w:val="auto"/>
                <w:highlight w:val="none"/>
              </w:rPr>
              <w:t>……</w:t>
            </w:r>
          </w:p>
        </w:tc>
        <w:tc>
          <w:tcPr>
            <w:tcW w:w="1151" w:type="dxa"/>
            <w:vAlign w:val="center"/>
          </w:tcPr>
          <w:p w14:paraId="7E3E83E0">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28665DBB">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7F094E19">
            <w:pPr>
              <w:snapToGrid w:val="0"/>
              <w:jc w:val="center"/>
              <w:rPr>
                <w:rFonts w:hint="eastAsia" w:ascii="宋体" w:hAnsi="宋体" w:cs="宋体"/>
                <w:b/>
                <w:color w:val="auto"/>
                <w:highlight w:val="none"/>
              </w:rPr>
            </w:pPr>
          </w:p>
        </w:tc>
        <w:tc>
          <w:tcPr>
            <w:tcW w:w="1964" w:type="dxa"/>
            <w:vAlign w:val="center"/>
          </w:tcPr>
          <w:p w14:paraId="64135F15">
            <w:pPr>
              <w:snapToGrid w:val="0"/>
              <w:jc w:val="center"/>
              <w:rPr>
                <w:rFonts w:hint="eastAsia" w:ascii="宋体" w:hAnsi="宋体" w:cs="宋体"/>
                <w:color w:val="auto"/>
                <w:highlight w:val="none"/>
              </w:rPr>
            </w:pPr>
          </w:p>
        </w:tc>
      </w:tr>
    </w:tbl>
    <w:p w14:paraId="727A31DC">
      <w:pPr>
        <w:pStyle w:val="29"/>
        <w:spacing w:before="120" w:after="120" w:line="440" w:lineRule="exact"/>
        <w:jc w:val="left"/>
        <w:rPr>
          <w:rFonts w:hint="eastAsia" w:hAnsi="宋体" w:cs="宋体"/>
          <w:b/>
          <w:bCs/>
          <w:color w:val="auto"/>
          <w:szCs w:val="21"/>
          <w:highlight w:val="none"/>
        </w:rPr>
      </w:pPr>
      <w:r>
        <w:rPr>
          <w:rFonts w:hint="eastAsia" w:hAnsi="宋体" w:cs="宋体"/>
          <w:b/>
          <w:bCs/>
          <w:color w:val="auto"/>
          <w:szCs w:val="21"/>
          <w:highlight w:val="none"/>
        </w:rPr>
        <w:t>说明：</w:t>
      </w:r>
    </w:p>
    <w:p w14:paraId="03E2E260">
      <w:pPr>
        <w:pStyle w:val="29"/>
        <w:spacing w:before="120" w:after="120" w:line="440" w:lineRule="exact"/>
        <w:ind w:firstLine="480" w:firstLineChars="200"/>
        <w:jc w:val="left"/>
        <w:rPr>
          <w:rFonts w:hint="eastAsia" w:hAnsi="宋体" w:cs="宋体"/>
          <w:color w:val="auto"/>
          <w:szCs w:val="21"/>
          <w:highlight w:val="none"/>
        </w:rPr>
      </w:pPr>
      <w:r>
        <w:rPr>
          <w:rFonts w:hint="eastAsia" w:hAnsi="宋体" w:cs="宋体"/>
          <w:color w:val="auto"/>
          <w:szCs w:val="21"/>
          <w:highlight w:val="none"/>
        </w:rPr>
        <w:t>1.供应商应对采购需求的各项技术指标要求逐一做出明确响应，并在“偏离情况”栏注明“正偏离”“负偏离”或“无偏离”。行数不够可按原格式扩展。</w:t>
      </w:r>
    </w:p>
    <w:p w14:paraId="3914BBEE">
      <w:pPr>
        <w:pStyle w:val="29"/>
        <w:spacing w:before="120" w:after="120" w:line="440" w:lineRule="exact"/>
        <w:ind w:firstLine="470" w:firstLineChars="196"/>
        <w:rPr>
          <w:rFonts w:hint="eastAsia" w:hAnsi="宋体" w:cs="宋体"/>
          <w:color w:val="auto"/>
          <w:szCs w:val="21"/>
          <w:highlight w:val="none"/>
        </w:rPr>
      </w:pPr>
      <w:r>
        <w:rPr>
          <w:rFonts w:hint="eastAsia" w:hAnsi="宋体" w:cs="宋体"/>
          <w:color w:val="auto"/>
          <w:szCs w:val="21"/>
          <w:highlight w:val="none"/>
        </w:rPr>
        <w:t>2.供应商未按要求填写、标注偏离情况的，视为完全响应采购文件各采购需求。若成交后提供的服务（货物）不满足采购需求的，将认定为提供虚假材料、谋取中标（成交）。采购人有权单方面解除合同并追究其违约责任。</w:t>
      </w:r>
    </w:p>
    <w:p w14:paraId="1B3AF21C">
      <w:pPr>
        <w:pStyle w:val="29"/>
        <w:spacing w:before="120" w:after="120" w:line="540" w:lineRule="exact"/>
        <w:jc w:val="left"/>
        <w:rPr>
          <w:rFonts w:hint="eastAsia" w:ascii="仿宋_GB2312" w:hAnsi="宋体"/>
          <w:color w:val="auto"/>
          <w:highlight w:val="none"/>
        </w:rPr>
      </w:pPr>
      <w:r>
        <w:rPr>
          <w:rFonts w:hint="eastAsia" w:ascii="仿宋_GB2312" w:hAnsi="宋体"/>
          <w:color w:val="auto"/>
          <w:highlight w:val="none"/>
        </w:rPr>
        <w:t xml:space="preserve"> </w:t>
      </w:r>
    </w:p>
    <w:p w14:paraId="38F4E06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3F9FFA6">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5F20A8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793BC0F">
      <w:pPr>
        <w:spacing w:line="500" w:lineRule="exact"/>
        <w:rPr>
          <w:rFonts w:hint="eastAsia" w:ascii="宋体" w:hAnsi="宋体" w:cs="宋体"/>
          <w:color w:val="auto"/>
          <w:sz w:val="24"/>
          <w:highlight w:val="none"/>
        </w:rPr>
      </w:pPr>
    </w:p>
    <w:p w14:paraId="760325E0">
      <w:pPr>
        <w:spacing w:line="500" w:lineRule="exact"/>
        <w:rPr>
          <w:rFonts w:hint="eastAsia" w:ascii="宋体" w:hAnsi="宋体" w:cs="宋体"/>
          <w:color w:val="auto"/>
          <w:sz w:val="24"/>
          <w:highlight w:val="none"/>
        </w:rPr>
      </w:pPr>
    </w:p>
    <w:p w14:paraId="37F97D05">
      <w:pPr>
        <w:rPr>
          <w:rFonts w:hint="eastAsia" w:ascii="宋体" w:hAnsi="宋体" w:cs="宋体"/>
          <w:color w:val="auto"/>
          <w:sz w:val="28"/>
          <w:szCs w:val="28"/>
          <w:highlight w:val="none"/>
        </w:rPr>
      </w:pPr>
      <w:r>
        <w:rPr>
          <w:rFonts w:hint="eastAsia" w:ascii="宋体" w:hAnsi="宋体" w:cs="宋体"/>
          <w:color w:val="auto"/>
          <w:sz w:val="28"/>
          <w:szCs w:val="28"/>
          <w:highlight w:val="none"/>
        </w:rPr>
        <w:t>附件17:类似业绩</w:t>
      </w:r>
    </w:p>
    <w:p w14:paraId="0BB7CB3D">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同类项目业绩汇总表</w:t>
      </w:r>
    </w:p>
    <w:tbl>
      <w:tblPr>
        <w:tblStyle w:val="5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4F4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079C7290">
            <w:pPr>
              <w:spacing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53" w:type="dxa"/>
            <w:vAlign w:val="center"/>
          </w:tcPr>
          <w:p w14:paraId="706CC24E">
            <w:pPr>
              <w:spacing w:line="276" w:lineRule="auto"/>
              <w:jc w:val="center"/>
              <w:rPr>
                <w:rFonts w:ascii="宋体" w:hAnsi="宋体"/>
                <w:color w:val="auto"/>
                <w:sz w:val="24"/>
                <w:highlight w:val="none"/>
              </w:rPr>
            </w:pPr>
            <w:r>
              <w:rPr>
                <w:rFonts w:hint="eastAsia" w:ascii="宋体" w:hAnsi="宋体"/>
                <w:color w:val="auto"/>
                <w:sz w:val="24"/>
                <w:highlight w:val="none"/>
              </w:rPr>
              <w:t>项目规模</w:t>
            </w:r>
          </w:p>
        </w:tc>
        <w:tc>
          <w:tcPr>
            <w:tcW w:w="1207" w:type="dxa"/>
            <w:vAlign w:val="center"/>
          </w:tcPr>
          <w:p w14:paraId="4CE58AB7">
            <w:pPr>
              <w:spacing w:line="276" w:lineRule="auto"/>
              <w:jc w:val="center"/>
              <w:rPr>
                <w:rFonts w:ascii="宋体" w:hAnsi="宋体"/>
                <w:color w:val="auto"/>
                <w:sz w:val="24"/>
                <w:highlight w:val="none"/>
              </w:rPr>
            </w:pPr>
            <w:r>
              <w:rPr>
                <w:rFonts w:hint="eastAsia" w:ascii="宋体" w:hAnsi="宋体"/>
                <w:color w:val="auto"/>
                <w:sz w:val="24"/>
                <w:highlight w:val="none"/>
              </w:rPr>
              <w:t>合同金额</w:t>
            </w:r>
          </w:p>
        </w:tc>
        <w:tc>
          <w:tcPr>
            <w:tcW w:w="1660" w:type="dxa"/>
            <w:vAlign w:val="center"/>
          </w:tcPr>
          <w:p w14:paraId="6174E908">
            <w:pPr>
              <w:spacing w:line="276" w:lineRule="auto"/>
              <w:jc w:val="center"/>
              <w:rPr>
                <w:rFonts w:ascii="宋体" w:hAnsi="宋体"/>
                <w:color w:val="auto"/>
                <w:sz w:val="24"/>
                <w:highlight w:val="none"/>
              </w:rPr>
            </w:pPr>
            <w:r>
              <w:rPr>
                <w:rFonts w:hint="eastAsia" w:ascii="宋体" w:hAnsi="宋体"/>
                <w:color w:val="auto"/>
                <w:sz w:val="24"/>
                <w:highlight w:val="none"/>
              </w:rPr>
              <w:t>项目建设单位</w:t>
            </w:r>
          </w:p>
        </w:tc>
        <w:tc>
          <w:tcPr>
            <w:tcW w:w="2208" w:type="dxa"/>
            <w:vAlign w:val="center"/>
          </w:tcPr>
          <w:p w14:paraId="71739BBF">
            <w:pPr>
              <w:spacing w:line="276" w:lineRule="auto"/>
              <w:jc w:val="center"/>
              <w:rPr>
                <w:rFonts w:ascii="宋体" w:hAnsi="宋体"/>
                <w:color w:val="auto"/>
                <w:sz w:val="24"/>
                <w:highlight w:val="none"/>
              </w:rPr>
            </w:pPr>
            <w:r>
              <w:rPr>
                <w:rFonts w:hint="eastAsia" w:ascii="宋体" w:hAnsi="宋体"/>
                <w:color w:val="auto"/>
                <w:sz w:val="24"/>
                <w:highlight w:val="none"/>
              </w:rPr>
              <w:t>项目单位联系人及联系电话</w:t>
            </w:r>
          </w:p>
        </w:tc>
        <w:tc>
          <w:tcPr>
            <w:tcW w:w="1452" w:type="dxa"/>
            <w:vAlign w:val="center"/>
          </w:tcPr>
          <w:p w14:paraId="40A814BE">
            <w:pPr>
              <w:spacing w:line="276" w:lineRule="auto"/>
              <w:jc w:val="center"/>
              <w:rPr>
                <w:rFonts w:hint="eastAsia" w:ascii="宋体" w:hAnsi="宋体"/>
                <w:color w:val="auto"/>
                <w:sz w:val="24"/>
                <w:highlight w:val="none"/>
              </w:rPr>
            </w:pPr>
            <w:r>
              <w:rPr>
                <w:rFonts w:hint="eastAsia" w:ascii="宋体" w:hAnsi="宋体"/>
                <w:color w:val="auto"/>
                <w:sz w:val="24"/>
                <w:highlight w:val="none"/>
              </w:rPr>
              <w:t>签订日期</w:t>
            </w:r>
          </w:p>
        </w:tc>
      </w:tr>
      <w:tr w14:paraId="667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4B9245">
            <w:pPr>
              <w:spacing w:line="276" w:lineRule="auto"/>
              <w:rPr>
                <w:rFonts w:ascii="宋体" w:hAnsi="宋体"/>
                <w:color w:val="auto"/>
                <w:sz w:val="24"/>
                <w:highlight w:val="none"/>
              </w:rPr>
            </w:pPr>
          </w:p>
        </w:tc>
        <w:tc>
          <w:tcPr>
            <w:tcW w:w="1453" w:type="dxa"/>
            <w:vAlign w:val="center"/>
          </w:tcPr>
          <w:p w14:paraId="3B80DF93">
            <w:pPr>
              <w:spacing w:line="276" w:lineRule="auto"/>
              <w:rPr>
                <w:rFonts w:ascii="宋体" w:hAnsi="宋体"/>
                <w:color w:val="auto"/>
                <w:sz w:val="24"/>
                <w:highlight w:val="none"/>
              </w:rPr>
            </w:pPr>
          </w:p>
        </w:tc>
        <w:tc>
          <w:tcPr>
            <w:tcW w:w="1207" w:type="dxa"/>
            <w:vAlign w:val="center"/>
          </w:tcPr>
          <w:p w14:paraId="55876978">
            <w:pPr>
              <w:spacing w:line="276" w:lineRule="auto"/>
              <w:rPr>
                <w:rFonts w:ascii="宋体" w:hAnsi="宋体"/>
                <w:color w:val="auto"/>
                <w:sz w:val="24"/>
                <w:highlight w:val="none"/>
              </w:rPr>
            </w:pPr>
          </w:p>
        </w:tc>
        <w:tc>
          <w:tcPr>
            <w:tcW w:w="1660" w:type="dxa"/>
          </w:tcPr>
          <w:p w14:paraId="2FD765B6">
            <w:pPr>
              <w:spacing w:line="276" w:lineRule="auto"/>
              <w:rPr>
                <w:rFonts w:ascii="宋体" w:hAnsi="宋体"/>
                <w:color w:val="auto"/>
                <w:sz w:val="24"/>
                <w:highlight w:val="none"/>
              </w:rPr>
            </w:pPr>
          </w:p>
        </w:tc>
        <w:tc>
          <w:tcPr>
            <w:tcW w:w="2208" w:type="dxa"/>
          </w:tcPr>
          <w:p w14:paraId="6F1CE8F1">
            <w:pPr>
              <w:spacing w:line="276" w:lineRule="auto"/>
              <w:rPr>
                <w:rFonts w:ascii="宋体" w:hAnsi="宋体"/>
                <w:color w:val="auto"/>
                <w:sz w:val="24"/>
                <w:highlight w:val="none"/>
              </w:rPr>
            </w:pPr>
          </w:p>
        </w:tc>
        <w:tc>
          <w:tcPr>
            <w:tcW w:w="1452" w:type="dxa"/>
            <w:vAlign w:val="center"/>
          </w:tcPr>
          <w:p w14:paraId="5EF1E1F9">
            <w:pPr>
              <w:spacing w:line="276" w:lineRule="auto"/>
              <w:rPr>
                <w:rFonts w:ascii="宋体" w:hAnsi="宋体"/>
                <w:color w:val="auto"/>
                <w:sz w:val="24"/>
                <w:highlight w:val="none"/>
              </w:rPr>
            </w:pPr>
          </w:p>
        </w:tc>
      </w:tr>
      <w:tr w14:paraId="0BA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6C3B022A">
            <w:pPr>
              <w:spacing w:line="276" w:lineRule="auto"/>
              <w:rPr>
                <w:rFonts w:ascii="宋体" w:hAnsi="宋体"/>
                <w:color w:val="auto"/>
                <w:sz w:val="24"/>
                <w:highlight w:val="none"/>
              </w:rPr>
            </w:pPr>
          </w:p>
        </w:tc>
        <w:tc>
          <w:tcPr>
            <w:tcW w:w="1453" w:type="dxa"/>
            <w:vAlign w:val="center"/>
          </w:tcPr>
          <w:p w14:paraId="1A21EC45">
            <w:pPr>
              <w:spacing w:line="276" w:lineRule="auto"/>
              <w:rPr>
                <w:rFonts w:ascii="宋体" w:hAnsi="宋体"/>
                <w:color w:val="auto"/>
                <w:sz w:val="24"/>
                <w:highlight w:val="none"/>
              </w:rPr>
            </w:pPr>
          </w:p>
        </w:tc>
        <w:tc>
          <w:tcPr>
            <w:tcW w:w="1207" w:type="dxa"/>
            <w:vAlign w:val="center"/>
          </w:tcPr>
          <w:p w14:paraId="72024F8D">
            <w:pPr>
              <w:spacing w:line="276" w:lineRule="auto"/>
              <w:rPr>
                <w:rFonts w:ascii="宋体" w:hAnsi="宋体"/>
                <w:color w:val="auto"/>
                <w:sz w:val="24"/>
                <w:highlight w:val="none"/>
              </w:rPr>
            </w:pPr>
          </w:p>
        </w:tc>
        <w:tc>
          <w:tcPr>
            <w:tcW w:w="1660" w:type="dxa"/>
          </w:tcPr>
          <w:p w14:paraId="5C62D29F">
            <w:pPr>
              <w:spacing w:line="276" w:lineRule="auto"/>
              <w:rPr>
                <w:rFonts w:ascii="宋体" w:hAnsi="宋体"/>
                <w:color w:val="auto"/>
                <w:sz w:val="24"/>
                <w:highlight w:val="none"/>
              </w:rPr>
            </w:pPr>
          </w:p>
        </w:tc>
        <w:tc>
          <w:tcPr>
            <w:tcW w:w="2208" w:type="dxa"/>
          </w:tcPr>
          <w:p w14:paraId="4975990A">
            <w:pPr>
              <w:spacing w:line="276" w:lineRule="auto"/>
              <w:rPr>
                <w:rFonts w:ascii="宋体" w:hAnsi="宋体"/>
                <w:color w:val="auto"/>
                <w:sz w:val="24"/>
                <w:highlight w:val="none"/>
              </w:rPr>
            </w:pPr>
          </w:p>
        </w:tc>
        <w:tc>
          <w:tcPr>
            <w:tcW w:w="1452" w:type="dxa"/>
            <w:vAlign w:val="center"/>
          </w:tcPr>
          <w:p w14:paraId="1F7F0650">
            <w:pPr>
              <w:spacing w:line="276" w:lineRule="auto"/>
              <w:rPr>
                <w:rFonts w:ascii="宋体" w:hAnsi="宋体"/>
                <w:color w:val="auto"/>
                <w:sz w:val="24"/>
                <w:highlight w:val="none"/>
              </w:rPr>
            </w:pPr>
          </w:p>
        </w:tc>
      </w:tr>
      <w:tr w14:paraId="7B77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4B332B0">
            <w:pPr>
              <w:spacing w:line="276" w:lineRule="auto"/>
              <w:rPr>
                <w:rFonts w:ascii="宋体" w:hAnsi="宋体"/>
                <w:color w:val="auto"/>
                <w:sz w:val="24"/>
                <w:highlight w:val="none"/>
              </w:rPr>
            </w:pPr>
          </w:p>
        </w:tc>
        <w:tc>
          <w:tcPr>
            <w:tcW w:w="1453" w:type="dxa"/>
            <w:vAlign w:val="center"/>
          </w:tcPr>
          <w:p w14:paraId="1A89055C">
            <w:pPr>
              <w:spacing w:line="276" w:lineRule="auto"/>
              <w:rPr>
                <w:rFonts w:ascii="宋体" w:hAnsi="宋体"/>
                <w:color w:val="auto"/>
                <w:sz w:val="24"/>
                <w:highlight w:val="none"/>
              </w:rPr>
            </w:pPr>
          </w:p>
        </w:tc>
        <w:tc>
          <w:tcPr>
            <w:tcW w:w="1207" w:type="dxa"/>
            <w:vAlign w:val="center"/>
          </w:tcPr>
          <w:p w14:paraId="09E2DA8A">
            <w:pPr>
              <w:spacing w:line="276" w:lineRule="auto"/>
              <w:rPr>
                <w:rFonts w:ascii="宋体" w:hAnsi="宋体"/>
                <w:color w:val="auto"/>
                <w:sz w:val="24"/>
                <w:highlight w:val="none"/>
              </w:rPr>
            </w:pPr>
          </w:p>
        </w:tc>
        <w:tc>
          <w:tcPr>
            <w:tcW w:w="1660" w:type="dxa"/>
          </w:tcPr>
          <w:p w14:paraId="1FEEE7A3">
            <w:pPr>
              <w:spacing w:line="276" w:lineRule="auto"/>
              <w:rPr>
                <w:rFonts w:ascii="宋体" w:hAnsi="宋体"/>
                <w:color w:val="auto"/>
                <w:sz w:val="24"/>
                <w:highlight w:val="none"/>
              </w:rPr>
            </w:pPr>
          </w:p>
        </w:tc>
        <w:tc>
          <w:tcPr>
            <w:tcW w:w="2208" w:type="dxa"/>
          </w:tcPr>
          <w:p w14:paraId="13FD64C7">
            <w:pPr>
              <w:spacing w:line="276" w:lineRule="auto"/>
              <w:rPr>
                <w:rFonts w:ascii="宋体" w:hAnsi="宋体"/>
                <w:color w:val="auto"/>
                <w:sz w:val="24"/>
                <w:highlight w:val="none"/>
              </w:rPr>
            </w:pPr>
          </w:p>
        </w:tc>
        <w:tc>
          <w:tcPr>
            <w:tcW w:w="1452" w:type="dxa"/>
            <w:vAlign w:val="center"/>
          </w:tcPr>
          <w:p w14:paraId="1D96CE79">
            <w:pPr>
              <w:spacing w:line="276" w:lineRule="auto"/>
              <w:rPr>
                <w:rFonts w:ascii="宋体" w:hAnsi="宋体"/>
                <w:color w:val="auto"/>
                <w:sz w:val="24"/>
                <w:highlight w:val="none"/>
              </w:rPr>
            </w:pPr>
          </w:p>
        </w:tc>
      </w:tr>
      <w:tr w14:paraId="2FC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A609117">
            <w:pPr>
              <w:spacing w:line="276" w:lineRule="auto"/>
              <w:rPr>
                <w:rFonts w:ascii="宋体" w:hAnsi="宋体"/>
                <w:color w:val="auto"/>
                <w:sz w:val="24"/>
                <w:highlight w:val="none"/>
              </w:rPr>
            </w:pPr>
          </w:p>
        </w:tc>
        <w:tc>
          <w:tcPr>
            <w:tcW w:w="1453" w:type="dxa"/>
            <w:vAlign w:val="center"/>
          </w:tcPr>
          <w:p w14:paraId="362F5613">
            <w:pPr>
              <w:spacing w:line="276" w:lineRule="auto"/>
              <w:rPr>
                <w:rFonts w:ascii="宋体" w:hAnsi="宋体"/>
                <w:color w:val="auto"/>
                <w:sz w:val="24"/>
                <w:highlight w:val="none"/>
              </w:rPr>
            </w:pPr>
          </w:p>
        </w:tc>
        <w:tc>
          <w:tcPr>
            <w:tcW w:w="1207" w:type="dxa"/>
            <w:vAlign w:val="center"/>
          </w:tcPr>
          <w:p w14:paraId="726446AC">
            <w:pPr>
              <w:spacing w:line="276" w:lineRule="auto"/>
              <w:rPr>
                <w:rFonts w:ascii="宋体" w:hAnsi="宋体"/>
                <w:color w:val="auto"/>
                <w:sz w:val="24"/>
                <w:highlight w:val="none"/>
              </w:rPr>
            </w:pPr>
          </w:p>
        </w:tc>
        <w:tc>
          <w:tcPr>
            <w:tcW w:w="1660" w:type="dxa"/>
          </w:tcPr>
          <w:p w14:paraId="27F8A14A">
            <w:pPr>
              <w:spacing w:line="276" w:lineRule="auto"/>
              <w:rPr>
                <w:rFonts w:ascii="宋体" w:hAnsi="宋体"/>
                <w:color w:val="auto"/>
                <w:sz w:val="24"/>
                <w:highlight w:val="none"/>
              </w:rPr>
            </w:pPr>
          </w:p>
        </w:tc>
        <w:tc>
          <w:tcPr>
            <w:tcW w:w="2208" w:type="dxa"/>
          </w:tcPr>
          <w:p w14:paraId="64462E8F">
            <w:pPr>
              <w:spacing w:line="276" w:lineRule="auto"/>
              <w:rPr>
                <w:rFonts w:ascii="宋体" w:hAnsi="宋体"/>
                <w:color w:val="auto"/>
                <w:sz w:val="24"/>
                <w:highlight w:val="none"/>
              </w:rPr>
            </w:pPr>
          </w:p>
        </w:tc>
        <w:tc>
          <w:tcPr>
            <w:tcW w:w="1452" w:type="dxa"/>
            <w:vAlign w:val="center"/>
          </w:tcPr>
          <w:p w14:paraId="6133F978">
            <w:pPr>
              <w:spacing w:line="276" w:lineRule="auto"/>
              <w:rPr>
                <w:rFonts w:ascii="宋体" w:hAnsi="宋体"/>
                <w:color w:val="auto"/>
                <w:sz w:val="24"/>
                <w:highlight w:val="none"/>
              </w:rPr>
            </w:pPr>
          </w:p>
        </w:tc>
      </w:tr>
      <w:tr w14:paraId="00A1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0298932B">
            <w:pPr>
              <w:spacing w:line="276" w:lineRule="auto"/>
              <w:rPr>
                <w:rFonts w:ascii="宋体" w:hAnsi="宋体"/>
                <w:color w:val="auto"/>
                <w:sz w:val="24"/>
                <w:highlight w:val="none"/>
              </w:rPr>
            </w:pPr>
          </w:p>
        </w:tc>
        <w:tc>
          <w:tcPr>
            <w:tcW w:w="1453" w:type="dxa"/>
            <w:vAlign w:val="center"/>
          </w:tcPr>
          <w:p w14:paraId="112E7AEA">
            <w:pPr>
              <w:spacing w:line="276" w:lineRule="auto"/>
              <w:rPr>
                <w:rFonts w:ascii="宋体" w:hAnsi="宋体"/>
                <w:color w:val="auto"/>
                <w:sz w:val="24"/>
                <w:highlight w:val="none"/>
              </w:rPr>
            </w:pPr>
          </w:p>
        </w:tc>
        <w:tc>
          <w:tcPr>
            <w:tcW w:w="1207" w:type="dxa"/>
            <w:vAlign w:val="center"/>
          </w:tcPr>
          <w:p w14:paraId="25C7EEF9">
            <w:pPr>
              <w:spacing w:line="276" w:lineRule="auto"/>
              <w:rPr>
                <w:rFonts w:ascii="宋体" w:hAnsi="宋体"/>
                <w:color w:val="auto"/>
                <w:sz w:val="24"/>
                <w:highlight w:val="none"/>
              </w:rPr>
            </w:pPr>
          </w:p>
        </w:tc>
        <w:tc>
          <w:tcPr>
            <w:tcW w:w="1660" w:type="dxa"/>
          </w:tcPr>
          <w:p w14:paraId="7BFE074B">
            <w:pPr>
              <w:spacing w:line="276" w:lineRule="auto"/>
              <w:rPr>
                <w:rFonts w:ascii="宋体" w:hAnsi="宋体"/>
                <w:color w:val="auto"/>
                <w:sz w:val="24"/>
                <w:highlight w:val="none"/>
              </w:rPr>
            </w:pPr>
          </w:p>
        </w:tc>
        <w:tc>
          <w:tcPr>
            <w:tcW w:w="2208" w:type="dxa"/>
          </w:tcPr>
          <w:p w14:paraId="3035AED1">
            <w:pPr>
              <w:spacing w:line="276" w:lineRule="auto"/>
              <w:rPr>
                <w:rFonts w:ascii="宋体" w:hAnsi="宋体"/>
                <w:color w:val="auto"/>
                <w:sz w:val="24"/>
                <w:highlight w:val="none"/>
              </w:rPr>
            </w:pPr>
          </w:p>
        </w:tc>
        <w:tc>
          <w:tcPr>
            <w:tcW w:w="1452" w:type="dxa"/>
            <w:vAlign w:val="center"/>
          </w:tcPr>
          <w:p w14:paraId="0E7ECE8D">
            <w:pPr>
              <w:spacing w:line="276" w:lineRule="auto"/>
              <w:rPr>
                <w:rFonts w:ascii="宋体" w:hAnsi="宋体"/>
                <w:color w:val="auto"/>
                <w:sz w:val="24"/>
                <w:highlight w:val="none"/>
              </w:rPr>
            </w:pPr>
          </w:p>
        </w:tc>
      </w:tr>
      <w:tr w14:paraId="519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3B28240">
            <w:pPr>
              <w:spacing w:line="276" w:lineRule="auto"/>
              <w:rPr>
                <w:rFonts w:ascii="宋体" w:hAnsi="宋体"/>
                <w:color w:val="auto"/>
                <w:sz w:val="24"/>
                <w:highlight w:val="none"/>
              </w:rPr>
            </w:pPr>
          </w:p>
        </w:tc>
        <w:tc>
          <w:tcPr>
            <w:tcW w:w="1453" w:type="dxa"/>
            <w:vAlign w:val="center"/>
          </w:tcPr>
          <w:p w14:paraId="75526FA9">
            <w:pPr>
              <w:spacing w:line="276" w:lineRule="auto"/>
              <w:rPr>
                <w:rFonts w:ascii="宋体" w:hAnsi="宋体"/>
                <w:color w:val="auto"/>
                <w:sz w:val="24"/>
                <w:highlight w:val="none"/>
              </w:rPr>
            </w:pPr>
          </w:p>
        </w:tc>
        <w:tc>
          <w:tcPr>
            <w:tcW w:w="1207" w:type="dxa"/>
            <w:vAlign w:val="center"/>
          </w:tcPr>
          <w:p w14:paraId="7629A3C6">
            <w:pPr>
              <w:spacing w:line="276" w:lineRule="auto"/>
              <w:rPr>
                <w:rFonts w:ascii="宋体" w:hAnsi="宋体"/>
                <w:color w:val="auto"/>
                <w:sz w:val="24"/>
                <w:highlight w:val="none"/>
              </w:rPr>
            </w:pPr>
          </w:p>
        </w:tc>
        <w:tc>
          <w:tcPr>
            <w:tcW w:w="1660" w:type="dxa"/>
          </w:tcPr>
          <w:p w14:paraId="77206B75">
            <w:pPr>
              <w:spacing w:line="276" w:lineRule="auto"/>
              <w:rPr>
                <w:rFonts w:ascii="宋体" w:hAnsi="宋体"/>
                <w:color w:val="auto"/>
                <w:sz w:val="24"/>
                <w:highlight w:val="none"/>
              </w:rPr>
            </w:pPr>
          </w:p>
        </w:tc>
        <w:tc>
          <w:tcPr>
            <w:tcW w:w="2208" w:type="dxa"/>
          </w:tcPr>
          <w:p w14:paraId="2818E834">
            <w:pPr>
              <w:spacing w:line="276" w:lineRule="auto"/>
              <w:rPr>
                <w:rFonts w:ascii="宋体" w:hAnsi="宋体"/>
                <w:color w:val="auto"/>
                <w:sz w:val="24"/>
                <w:highlight w:val="none"/>
              </w:rPr>
            </w:pPr>
          </w:p>
        </w:tc>
        <w:tc>
          <w:tcPr>
            <w:tcW w:w="1452" w:type="dxa"/>
            <w:vAlign w:val="center"/>
          </w:tcPr>
          <w:p w14:paraId="1B42FEF9">
            <w:pPr>
              <w:spacing w:line="276" w:lineRule="auto"/>
              <w:rPr>
                <w:rFonts w:ascii="宋体" w:hAnsi="宋体"/>
                <w:color w:val="auto"/>
                <w:sz w:val="24"/>
                <w:highlight w:val="none"/>
              </w:rPr>
            </w:pPr>
          </w:p>
        </w:tc>
      </w:tr>
      <w:tr w14:paraId="2304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CBCC99">
            <w:pPr>
              <w:spacing w:line="276" w:lineRule="auto"/>
              <w:rPr>
                <w:rFonts w:ascii="宋体" w:hAnsi="宋体"/>
                <w:color w:val="auto"/>
                <w:sz w:val="24"/>
                <w:highlight w:val="none"/>
              </w:rPr>
            </w:pPr>
          </w:p>
        </w:tc>
        <w:tc>
          <w:tcPr>
            <w:tcW w:w="1453" w:type="dxa"/>
            <w:vAlign w:val="center"/>
          </w:tcPr>
          <w:p w14:paraId="3D1A6DBD">
            <w:pPr>
              <w:spacing w:line="276" w:lineRule="auto"/>
              <w:rPr>
                <w:rFonts w:ascii="宋体" w:hAnsi="宋体"/>
                <w:color w:val="auto"/>
                <w:sz w:val="24"/>
                <w:highlight w:val="none"/>
              </w:rPr>
            </w:pPr>
          </w:p>
        </w:tc>
        <w:tc>
          <w:tcPr>
            <w:tcW w:w="1207" w:type="dxa"/>
            <w:vAlign w:val="center"/>
          </w:tcPr>
          <w:p w14:paraId="3266C978">
            <w:pPr>
              <w:spacing w:line="276" w:lineRule="auto"/>
              <w:rPr>
                <w:rFonts w:ascii="宋体" w:hAnsi="宋体"/>
                <w:color w:val="auto"/>
                <w:sz w:val="24"/>
                <w:highlight w:val="none"/>
              </w:rPr>
            </w:pPr>
          </w:p>
        </w:tc>
        <w:tc>
          <w:tcPr>
            <w:tcW w:w="1660" w:type="dxa"/>
          </w:tcPr>
          <w:p w14:paraId="58A0D43B">
            <w:pPr>
              <w:spacing w:line="276" w:lineRule="auto"/>
              <w:rPr>
                <w:rFonts w:ascii="宋体" w:hAnsi="宋体"/>
                <w:color w:val="auto"/>
                <w:sz w:val="24"/>
                <w:highlight w:val="none"/>
              </w:rPr>
            </w:pPr>
          </w:p>
        </w:tc>
        <w:tc>
          <w:tcPr>
            <w:tcW w:w="2208" w:type="dxa"/>
          </w:tcPr>
          <w:p w14:paraId="2AB2DA4F">
            <w:pPr>
              <w:spacing w:line="276" w:lineRule="auto"/>
              <w:rPr>
                <w:rFonts w:ascii="宋体" w:hAnsi="宋体"/>
                <w:color w:val="auto"/>
                <w:sz w:val="24"/>
                <w:highlight w:val="none"/>
              </w:rPr>
            </w:pPr>
          </w:p>
        </w:tc>
        <w:tc>
          <w:tcPr>
            <w:tcW w:w="1452" w:type="dxa"/>
            <w:vAlign w:val="center"/>
          </w:tcPr>
          <w:p w14:paraId="1FE4240A">
            <w:pPr>
              <w:spacing w:line="276" w:lineRule="auto"/>
              <w:rPr>
                <w:rFonts w:ascii="宋体" w:hAnsi="宋体"/>
                <w:color w:val="auto"/>
                <w:sz w:val="24"/>
                <w:highlight w:val="none"/>
              </w:rPr>
            </w:pPr>
          </w:p>
        </w:tc>
      </w:tr>
      <w:tr w14:paraId="5A4D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75B32A3C">
            <w:pPr>
              <w:spacing w:line="276" w:lineRule="auto"/>
              <w:rPr>
                <w:rFonts w:ascii="宋体" w:hAnsi="宋体"/>
                <w:color w:val="auto"/>
                <w:sz w:val="24"/>
                <w:highlight w:val="none"/>
              </w:rPr>
            </w:pPr>
          </w:p>
        </w:tc>
        <w:tc>
          <w:tcPr>
            <w:tcW w:w="1453" w:type="dxa"/>
            <w:vAlign w:val="center"/>
          </w:tcPr>
          <w:p w14:paraId="72E1F364">
            <w:pPr>
              <w:spacing w:line="276" w:lineRule="auto"/>
              <w:rPr>
                <w:rFonts w:ascii="宋体" w:hAnsi="宋体"/>
                <w:color w:val="auto"/>
                <w:sz w:val="24"/>
                <w:highlight w:val="none"/>
              </w:rPr>
            </w:pPr>
          </w:p>
        </w:tc>
        <w:tc>
          <w:tcPr>
            <w:tcW w:w="1207" w:type="dxa"/>
            <w:vAlign w:val="center"/>
          </w:tcPr>
          <w:p w14:paraId="55F13315">
            <w:pPr>
              <w:spacing w:line="276" w:lineRule="auto"/>
              <w:rPr>
                <w:rFonts w:ascii="宋体" w:hAnsi="宋体"/>
                <w:color w:val="auto"/>
                <w:sz w:val="24"/>
                <w:highlight w:val="none"/>
              </w:rPr>
            </w:pPr>
          </w:p>
        </w:tc>
        <w:tc>
          <w:tcPr>
            <w:tcW w:w="1660" w:type="dxa"/>
          </w:tcPr>
          <w:p w14:paraId="31A67E9E">
            <w:pPr>
              <w:spacing w:line="276" w:lineRule="auto"/>
              <w:rPr>
                <w:rFonts w:ascii="宋体" w:hAnsi="宋体"/>
                <w:color w:val="auto"/>
                <w:sz w:val="24"/>
                <w:highlight w:val="none"/>
              </w:rPr>
            </w:pPr>
          </w:p>
        </w:tc>
        <w:tc>
          <w:tcPr>
            <w:tcW w:w="2208" w:type="dxa"/>
          </w:tcPr>
          <w:p w14:paraId="186C6471">
            <w:pPr>
              <w:spacing w:line="276" w:lineRule="auto"/>
              <w:rPr>
                <w:rFonts w:ascii="宋体" w:hAnsi="宋体"/>
                <w:color w:val="auto"/>
                <w:sz w:val="24"/>
                <w:highlight w:val="none"/>
              </w:rPr>
            </w:pPr>
          </w:p>
        </w:tc>
        <w:tc>
          <w:tcPr>
            <w:tcW w:w="1452" w:type="dxa"/>
            <w:vAlign w:val="center"/>
          </w:tcPr>
          <w:p w14:paraId="3B111052">
            <w:pPr>
              <w:spacing w:line="276" w:lineRule="auto"/>
              <w:rPr>
                <w:rFonts w:ascii="宋体" w:hAnsi="宋体"/>
                <w:color w:val="auto"/>
                <w:sz w:val="24"/>
                <w:highlight w:val="none"/>
              </w:rPr>
            </w:pPr>
          </w:p>
        </w:tc>
      </w:tr>
      <w:tr w14:paraId="1251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84F0F3A">
            <w:pPr>
              <w:spacing w:line="276" w:lineRule="auto"/>
              <w:rPr>
                <w:rFonts w:ascii="宋体" w:hAnsi="宋体"/>
                <w:color w:val="auto"/>
                <w:sz w:val="24"/>
                <w:highlight w:val="none"/>
              </w:rPr>
            </w:pPr>
          </w:p>
        </w:tc>
        <w:tc>
          <w:tcPr>
            <w:tcW w:w="1453" w:type="dxa"/>
            <w:vAlign w:val="center"/>
          </w:tcPr>
          <w:p w14:paraId="119C6050">
            <w:pPr>
              <w:spacing w:line="276" w:lineRule="auto"/>
              <w:rPr>
                <w:rFonts w:ascii="宋体" w:hAnsi="宋体"/>
                <w:color w:val="auto"/>
                <w:sz w:val="24"/>
                <w:highlight w:val="none"/>
              </w:rPr>
            </w:pPr>
          </w:p>
        </w:tc>
        <w:tc>
          <w:tcPr>
            <w:tcW w:w="1207" w:type="dxa"/>
            <w:vAlign w:val="center"/>
          </w:tcPr>
          <w:p w14:paraId="3C56A4DA">
            <w:pPr>
              <w:spacing w:line="276" w:lineRule="auto"/>
              <w:rPr>
                <w:rFonts w:ascii="宋体" w:hAnsi="宋体"/>
                <w:color w:val="auto"/>
                <w:sz w:val="24"/>
                <w:highlight w:val="none"/>
              </w:rPr>
            </w:pPr>
          </w:p>
        </w:tc>
        <w:tc>
          <w:tcPr>
            <w:tcW w:w="1660" w:type="dxa"/>
          </w:tcPr>
          <w:p w14:paraId="738D674F">
            <w:pPr>
              <w:spacing w:line="276" w:lineRule="auto"/>
              <w:rPr>
                <w:rFonts w:ascii="宋体" w:hAnsi="宋体"/>
                <w:color w:val="auto"/>
                <w:sz w:val="24"/>
                <w:highlight w:val="none"/>
              </w:rPr>
            </w:pPr>
          </w:p>
        </w:tc>
        <w:tc>
          <w:tcPr>
            <w:tcW w:w="2208" w:type="dxa"/>
          </w:tcPr>
          <w:p w14:paraId="3FE81865">
            <w:pPr>
              <w:spacing w:line="276" w:lineRule="auto"/>
              <w:rPr>
                <w:rFonts w:ascii="宋体" w:hAnsi="宋体"/>
                <w:color w:val="auto"/>
                <w:sz w:val="24"/>
                <w:highlight w:val="none"/>
              </w:rPr>
            </w:pPr>
          </w:p>
        </w:tc>
        <w:tc>
          <w:tcPr>
            <w:tcW w:w="1452" w:type="dxa"/>
            <w:vAlign w:val="center"/>
          </w:tcPr>
          <w:p w14:paraId="6A796D59">
            <w:pPr>
              <w:spacing w:line="276" w:lineRule="auto"/>
              <w:rPr>
                <w:rFonts w:ascii="宋体" w:hAnsi="宋体"/>
                <w:color w:val="auto"/>
                <w:sz w:val="24"/>
                <w:highlight w:val="none"/>
              </w:rPr>
            </w:pPr>
          </w:p>
        </w:tc>
      </w:tr>
      <w:tr w14:paraId="1D0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7521418">
            <w:pPr>
              <w:spacing w:line="276" w:lineRule="auto"/>
              <w:rPr>
                <w:rFonts w:ascii="宋体" w:hAnsi="宋体"/>
                <w:color w:val="auto"/>
                <w:sz w:val="24"/>
                <w:highlight w:val="none"/>
              </w:rPr>
            </w:pPr>
          </w:p>
        </w:tc>
        <w:tc>
          <w:tcPr>
            <w:tcW w:w="1453" w:type="dxa"/>
            <w:vAlign w:val="center"/>
          </w:tcPr>
          <w:p w14:paraId="335DB646">
            <w:pPr>
              <w:spacing w:line="276" w:lineRule="auto"/>
              <w:rPr>
                <w:rFonts w:ascii="宋体" w:hAnsi="宋体"/>
                <w:color w:val="auto"/>
                <w:sz w:val="24"/>
                <w:highlight w:val="none"/>
              </w:rPr>
            </w:pPr>
          </w:p>
        </w:tc>
        <w:tc>
          <w:tcPr>
            <w:tcW w:w="1207" w:type="dxa"/>
            <w:vAlign w:val="center"/>
          </w:tcPr>
          <w:p w14:paraId="4ECDB06F">
            <w:pPr>
              <w:spacing w:line="276" w:lineRule="auto"/>
              <w:rPr>
                <w:rFonts w:ascii="宋体" w:hAnsi="宋体"/>
                <w:color w:val="auto"/>
                <w:sz w:val="24"/>
                <w:highlight w:val="none"/>
              </w:rPr>
            </w:pPr>
          </w:p>
        </w:tc>
        <w:tc>
          <w:tcPr>
            <w:tcW w:w="1660" w:type="dxa"/>
          </w:tcPr>
          <w:p w14:paraId="5B554DD4">
            <w:pPr>
              <w:spacing w:line="276" w:lineRule="auto"/>
              <w:rPr>
                <w:rFonts w:ascii="宋体" w:hAnsi="宋体"/>
                <w:color w:val="auto"/>
                <w:sz w:val="24"/>
                <w:highlight w:val="none"/>
              </w:rPr>
            </w:pPr>
          </w:p>
        </w:tc>
        <w:tc>
          <w:tcPr>
            <w:tcW w:w="2208" w:type="dxa"/>
          </w:tcPr>
          <w:p w14:paraId="0751C924">
            <w:pPr>
              <w:spacing w:line="276" w:lineRule="auto"/>
              <w:rPr>
                <w:rFonts w:ascii="宋体" w:hAnsi="宋体"/>
                <w:color w:val="auto"/>
                <w:sz w:val="24"/>
                <w:highlight w:val="none"/>
              </w:rPr>
            </w:pPr>
          </w:p>
        </w:tc>
        <w:tc>
          <w:tcPr>
            <w:tcW w:w="1452" w:type="dxa"/>
            <w:vAlign w:val="center"/>
          </w:tcPr>
          <w:p w14:paraId="3AEA52E8">
            <w:pPr>
              <w:spacing w:line="276" w:lineRule="auto"/>
              <w:rPr>
                <w:rFonts w:ascii="宋体" w:hAnsi="宋体"/>
                <w:color w:val="auto"/>
                <w:sz w:val="24"/>
                <w:highlight w:val="none"/>
              </w:rPr>
            </w:pPr>
          </w:p>
        </w:tc>
      </w:tr>
    </w:tbl>
    <w:p w14:paraId="7122FD45">
      <w:pPr>
        <w:pStyle w:val="323"/>
        <w:spacing w:before="120" w:after="120" w:line="276" w:lineRule="auto"/>
        <w:rPr>
          <w:rFonts w:ascii="仿宋_GB2312" w:hAnsi="宋体"/>
          <w:color w:val="auto"/>
          <w:highlight w:val="none"/>
        </w:rPr>
      </w:pPr>
    </w:p>
    <w:p w14:paraId="1EA8114A">
      <w:pPr>
        <w:pStyle w:val="323"/>
        <w:spacing w:before="120" w:after="120" w:line="276" w:lineRule="auto"/>
        <w:ind w:left="430" w:leftChars="205" w:firstLine="4320" w:firstLineChars="1800"/>
        <w:rPr>
          <w:rFonts w:hint="eastAsia" w:ascii="仿宋_GB2312" w:hAnsi="宋体"/>
          <w:color w:val="auto"/>
          <w:highlight w:val="none"/>
        </w:rPr>
      </w:pPr>
      <w:r>
        <w:rPr>
          <w:rFonts w:hint="eastAsia" w:ascii="仿宋_GB2312" w:hAnsi="宋体"/>
          <w:color w:val="auto"/>
          <w:highlight w:val="none"/>
        </w:rPr>
        <w:t xml:space="preserve">  </w:t>
      </w:r>
    </w:p>
    <w:p w14:paraId="389BC775">
      <w:pPr>
        <w:pStyle w:val="323"/>
        <w:spacing w:before="120" w:after="120" w:line="276" w:lineRule="auto"/>
        <w:rPr>
          <w:rFonts w:ascii="仿宋_GB2312" w:hAnsi="宋体"/>
          <w:color w:val="auto"/>
          <w:highlight w:val="none"/>
        </w:rPr>
      </w:pPr>
      <w:r>
        <w:rPr>
          <w:rFonts w:hint="eastAsia" w:ascii="仿宋_GB2312" w:hAnsi="宋体"/>
          <w:color w:val="auto"/>
          <w:highlight w:val="none"/>
        </w:rPr>
        <w:t>注：</w:t>
      </w:r>
      <w:r>
        <w:rPr>
          <w:rFonts w:hint="eastAsia" w:ascii="宋体" w:hAnsi="宋体" w:cs="宋体"/>
          <w:color w:val="auto"/>
          <w:highlight w:val="none"/>
        </w:rPr>
        <w:t>提供合同扫描件、网上中标公示页截图及网址连接并加盖公章。</w:t>
      </w:r>
    </w:p>
    <w:p w14:paraId="116E8AAA">
      <w:pPr>
        <w:pStyle w:val="323"/>
        <w:spacing w:before="120" w:after="120" w:line="276" w:lineRule="auto"/>
        <w:ind w:left="430" w:leftChars="205" w:firstLine="4320" w:firstLineChars="1800"/>
        <w:rPr>
          <w:rFonts w:hint="eastAsia" w:ascii="仿宋_GB2312" w:hAnsi="宋体"/>
          <w:color w:val="auto"/>
          <w:highlight w:val="none"/>
        </w:rPr>
      </w:pPr>
    </w:p>
    <w:p w14:paraId="052CC358">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15B852FC">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E1C4419">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4101458">
      <w:pPr>
        <w:rPr>
          <w:rFonts w:hint="eastAsia" w:ascii="宋体" w:hAnsi="宋体" w:cs="宋体"/>
          <w:color w:val="auto"/>
          <w:sz w:val="24"/>
          <w:highlight w:val="none"/>
        </w:rPr>
      </w:pPr>
    </w:p>
    <w:p w14:paraId="622D9818">
      <w:pPr>
        <w:rPr>
          <w:rFonts w:hint="eastAsia" w:ascii="宋体" w:hAnsi="宋体" w:cs="宋体"/>
          <w:color w:val="auto"/>
          <w:sz w:val="24"/>
          <w:highlight w:val="none"/>
        </w:rPr>
      </w:pPr>
    </w:p>
    <w:p w14:paraId="410998A9">
      <w:pPr>
        <w:rPr>
          <w:rFonts w:hint="eastAsia" w:ascii="宋体" w:hAnsi="宋体" w:cs="宋体"/>
          <w:color w:val="auto"/>
          <w:sz w:val="24"/>
          <w:highlight w:val="none"/>
        </w:rPr>
      </w:pPr>
    </w:p>
    <w:p w14:paraId="491A84FB">
      <w:pPr>
        <w:rPr>
          <w:rFonts w:hint="eastAsia" w:ascii="宋体" w:hAnsi="宋体" w:cs="宋体"/>
          <w:color w:val="auto"/>
          <w:sz w:val="24"/>
          <w:highlight w:val="none"/>
        </w:rPr>
      </w:pPr>
    </w:p>
    <w:p w14:paraId="4FDD786C">
      <w:pPr>
        <w:rPr>
          <w:rFonts w:hint="eastAsia" w:ascii="宋体" w:hAnsi="宋体" w:cs="宋体"/>
          <w:color w:val="auto"/>
          <w:sz w:val="24"/>
          <w:highlight w:val="none"/>
        </w:rPr>
      </w:pPr>
    </w:p>
    <w:p w14:paraId="6C074E22">
      <w:pPr>
        <w:rPr>
          <w:rFonts w:ascii="宋体" w:hAnsi="宋体" w:cs="宋体"/>
          <w:color w:val="auto"/>
          <w:sz w:val="28"/>
          <w:szCs w:val="28"/>
          <w:highlight w:val="none"/>
        </w:rPr>
      </w:pPr>
      <w:r>
        <w:rPr>
          <w:rFonts w:hint="eastAsia" w:ascii="宋体" w:hAnsi="宋体" w:cs="宋体"/>
          <w:color w:val="auto"/>
          <w:sz w:val="28"/>
          <w:szCs w:val="28"/>
          <w:highlight w:val="none"/>
        </w:rPr>
        <w:t>附件18</w:t>
      </w:r>
    </w:p>
    <w:p w14:paraId="1E57B6D2">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项目经理情况表</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D48028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588A044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0B20F8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75B71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6D3F9B3E">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2E95EE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1E1701EC">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23308C6">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2AE0ECE5">
            <w:pPr>
              <w:spacing w:line="360" w:lineRule="exact"/>
              <w:jc w:val="center"/>
              <w:rPr>
                <w:rFonts w:hint="eastAsia" w:ascii="新宋体" w:hAnsi="新宋体" w:eastAsia="新宋体" w:cs="新宋体"/>
                <w:color w:val="auto"/>
                <w:sz w:val="22"/>
                <w:szCs w:val="22"/>
                <w:highlight w:val="none"/>
              </w:rPr>
            </w:pPr>
          </w:p>
        </w:tc>
      </w:tr>
      <w:tr w14:paraId="1341C7B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C757E7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4B8B4414">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6AC0F6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2D9FBA98">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3B8B41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0D1DEC7D">
            <w:pPr>
              <w:spacing w:line="360" w:lineRule="exact"/>
              <w:jc w:val="center"/>
              <w:rPr>
                <w:rFonts w:hint="eastAsia" w:ascii="新宋体" w:hAnsi="新宋体" w:eastAsia="新宋体" w:cs="新宋体"/>
                <w:color w:val="auto"/>
                <w:sz w:val="22"/>
                <w:szCs w:val="22"/>
                <w:highlight w:val="none"/>
              </w:rPr>
            </w:pPr>
          </w:p>
        </w:tc>
      </w:tr>
      <w:tr w14:paraId="0BB23C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6B95CE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0349EDC6">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1E77CA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304064A9">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8D66C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1FC5E76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14:paraId="7EAB7BE0">
            <w:pPr>
              <w:spacing w:line="360" w:lineRule="exact"/>
              <w:jc w:val="center"/>
              <w:rPr>
                <w:rFonts w:hint="eastAsia" w:ascii="新宋体" w:hAnsi="新宋体" w:eastAsia="新宋体" w:cs="新宋体"/>
                <w:color w:val="auto"/>
                <w:sz w:val="22"/>
                <w:szCs w:val="22"/>
                <w:highlight w:val="none"/>
              </w:rPr>
            </w:pPr>
          </w:p>
        </w:tc>
      </w:tr>
      <w:tr w14:paraId="1734F6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BF3AB5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3E3D9C0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BC1A28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2395940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43ECAE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F5EE32F">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04B6319">
            <w:pPr>
              <w:spacing w:line="360" w:lineRule="exact"/>
              <w:rPr>
                <w:rFonts w:hint="eastAsia" w:ascii="新宋体" w:hAnsi="新宋体" w:eastAsia="新宋体" w:cs="新宋体"/>
                <w:color w:val="auto"/>
                <w:sz w:val="22"/>
                <w:szCs w:val="22"/>
                <w:highlight w:val="none"/>
              </w:rPr>
            </w:pPr>
          </w:p>
        </w:tc>
      </w:tr>
      <w:tr w14:paraId="35982C4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3C5E29C">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2BA8A6F0">
            <w:pPr>
              <w:spacing w:line="360" w:lineRule="exact"/>
              <w:rPr>
                <w:rFonts w:hint="eastAsia" w:ascii="新宋体" w:hAnsi="新宋体" w:eastAsia="新宋体" w:cs="新宋体"/>
                <w:color w:val="auto"/>
                <w:sz w:val="22"/>
                <w:szCs w:val="22"/>
                <w:highlight w:val="none"/>
              </w:rPr>
            </w:pPr>
          </w:p>
        </w:tc>
      </w:tr>
      <w:tr w14:paraId="246EBC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DC067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3、项目经理业绩</w:t>
            </w:r>
          </w:p>
        </w:tc>
      </w:tr>
      <w:tr w14:paraId="28B5FD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686B7D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1E40497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637493D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0F6D331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2A0F1D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D8221D6">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256CA4D1">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1907F56">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36A7054F">
            <w:pPr>
              <w:spacing w:line="360" w:lineRule="exact"/>
              <w:rPr>
                <w:rFonts w:hint="eastAsia" w:ascii="新宋体" w:hAnsi="新宋体" w:eastAsia="新宋体" w:cs="新宋体"/>
                <w:color w:val="auto"/>
                <w:sz w:val="22"/>
                <w:szCs w:val="22"/>
                <w:highlight w:val="none"/>
              </w:rPr>
            </w:pPr>
          </w:p>
        </w:tc>
      </w:tr>
      <w:tr w14:paraId="59AC04E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1BD5A2A">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42D7B110">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6FB646D">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EA2F4B6">
            <w:pPr>
              <w:spacing w:line="360" w:lineRule="exact"/>
              <w:rPr>
                <w:rFonts w:hint="eastAsia" w:ascii="新宋体" w:hAnsi="新宋体" w:eastAsia="新宋体" w:cs="新宋体"/>
                <w:color w:val="auto"/>
                <w:sz w:val="22"/>
                <w:szCs w:val="22"/>
                <w:highlight w:val="none"/>
              </w:rPr>
            </w:pPr>
          </w:p>
        </w:tc>
      </w:tr>
      <w:tr w14:paraId="0E74B1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C468BBD">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515C3E89">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4CE072EA">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2DB4D6E">
            <w:pPr>
              <w:spacing w:line="360" w:lineRule="exact"/>
              <w:rPr>
                <w:rFonts w:hint="eastAsia" w:ascii="新宋体" w:hAnsi="新宋体" w:eastAsia="新宋体" w:cs="新宋体"/>
                <w:color w:val="auto"/>
                <w:sz w:val="22"/>
                <w:szCs w:val="22"/>
                <w:highlight w:val="none"/>
              </w:rPr>
            </w:pPr>
          </w:p>
        </w:tc>
      </w:tr>
      <w:tr w14:paraId="52212DF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66A73784">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0E605F65">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14F68C3F">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1C61571D">
            <w:pPr>
              <w:spacing w:line="360" w:lineRule="exact"/>
              <w:rPr>
                <w:rFonts w:hint="eastAsia" w:ascii="新宋体" w:hAnsi="新宋体" w:eastAsia="新宋体" w:cs="新宋体"/>
                <w:color w:val="auto"/>
                <w:sz w:val="22"/>
                <w:szCs w:val="22"/>
                <w:highlight w:val="none"/>
              </w:rPr>
            </w:pPr>
          </w:p>
        </w:tc>
      </w:tr>
    </w:tbl>
    <w:p w14:paraId="0C34966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注：1.此表所列人员如需更换，须经采购人同意。</w:t>
      </w:r>
    </w:p>
    <w:p w14:paraId="7EBFBE9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2794A3E1">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BC817AA">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DCE5CE1">
      <w:pPr>
        <w:snapToGrid w:val="0"/>
        <w:spacing w:before="120" w:line="360" w:lineRule="auto"/>
        <w:rPr>
          <w:rFonts w:hAnsi="宋体"/>
          <w:b/>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r>
        <w:rPr>
          <w:rFonts w:hAnsi="宋体"/>
          <w:color w:val="auto"/>
          <w:highlight w:val="none"/>
        </w:rPr>
        <w:br w:type="page"/>
      </w:r>
      <w:r>
        <w:rPr>
          <w:rFonts w:hint="eastAsia" w:ascii="宋体" w:hAnsi="宋体" w:cs="宋体"/>
          <w:color w:val="auto"/>
          <w:sz w:val="28"/>
          <w:szCs w:val="28"/>
          <w:highlight w:val="none"/>
        </w:rPr>
        <w:t xml:space="preserve">附件19:项目组成员   </w:t>
      </w:r>
      <w:r>
        <w:rPr>
          <w:rFonts w:hint="eastAsia" w:hAnsi="宋体"/>
          <w:b/>
          <w:color w:val="auto"/>
          <w:highlight w:val="none"/>
        </w:rPr>
        <w:t xml:space="preserve">                </w:t>
      </w:r>
    </w:p>
    <w:p w14:paraId="4C07A84A">
      <w:pPr>
        <w:pStyle w:val="29"/>
        <w:spacing w:before="120" w:after="120" w:line="360" w:lineRule="auto"/>
        <w:ind w:right="-48" w:rightChars="-23"/>
        <w:jc w:val="center"/>
        <w:rPr>
          <w:rFonts w:hAnsi="宋体"/>
          <w:b/>
          <w:color w:val="auto"/>
          <w:highlight w:val="none"/>
        </w:rPr>
      </w:pPr>
      <w:r>
        <w:rPr>
          <w:rFonts w:hint="eastAsia" w:hAnsi="宋体"/>
          <w:b/>
          <w:color w:val="auto"/>
          <w:highlight w:val="none"/>
        </w:rPr>
        <w:t>项目组成员情况表</w:t>
      </w:r>
    </w:p>
    <w:p w14:paraId="73DA0AE3">
      <w:pPr>
        <w:spacing w:line="0" w:lineRule="atLeast"/>
        <w:rPr>
          <w:rFonts w:ascii="宋体" w:hAnsi="宋体"/>
          <w:color w:val="auto"/>
          <w:sz w:val="24"/>
          <w:highlight w:val="none"/>
        </w:rPr>
      </w:pPr>
      <w:r>
        <w:rPr>
          <w:rFonts w:hint="eastAsia" w:ascii="宋体" w:hAnsi="宋体"/>
          <w:color w:val="auto"/>
          <w:sz w:val="24"/>
          <w:highlight w:val="none"/>
        </w:rPr>
        <w:t>项目名称：                                            招标编号：</w:t>
      </w:r>
    </w:p>
    <w:p w14:paraId="05182F70">
      <w:pPr>
        <w:spacing w:line="0" w:lineRule="atLeast"/>
        <w:rPr>
          <w:rFonts w:ascii="宋体" w:hAnsi="宋体"/>
          <w:color w:val="auto"/>
          <w:sz w:val="24"/>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20FE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060832D">
            <w:pPr>
              <w:spacing w:line="0" w:lineRule="atLeast"/>
              <w:jc w:val="center"/>
              <w:rPr>
                <w:rFonts w:ascii="宋体" w:hAnsi="宋体"/>
                <w:color w:val="auto"/>
                <w:sz w:val="24"/>
                <w:highlight w:val="none"/>
              </w:rPr>
            </w:pPr>
            <w:r>
              <w:rPr>
                <w:rFonts w:hint="eastAsia" w:ascii="宋体" w:hAnsi="宋体"/>
                <w:color w:val="auto"/>
                <w:sz w:val="24"/>
                <w:highlight w:val="none"/>
              </w:rPr>
              <w:t>序号</w:t>
            </w:r>
          </w:p>
        </w:tc>
        <w:tc>
          <w:tcPr>
            <w:tcW w:w="1126" w:type="dxa"/>
            <w:vAlign w:val="center"/>
          </w:tcPr>
          <w:p w14:paraId="311943F5">
            <w:pPr>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992" w:type="dxa"/>
            <w:vAlign w:val="center"/>
          </w:tcPr>
          <w:p w14:paraId="68ADFC7C">
            <w:pPr>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993" w:type="dxa"/>
            <w:vAlign w:val="center"/>
          </w:tcPr>
          <w:p w14:paraId="5D875D90">
            <w:pPr>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661" w:type="dxa"/>
            <w:vAlign w:val="center"/>
          </w:tcPr>
          <w:p w14:paraId="10DE1B6D">
            <w:pPr>
              <w:spacing w:line="0" w:lineRule="atLeast"/>
              <w:jc w:val="center"/>
              <w:rPr>
                <w:rFonts w:ascii="宋体" w:hAnsi="宋体"/>
                <w:color w:val="auto"/>
                <w:sz w:val="24"/>
                <w:highlight w:val="none"/>
              </w:rPr>
            </w:pPr>
            <w:r>
              <w:rPr>
                <w:rFonts w:hint="eastAsia" w:ascii="宋体" w:hAnsi="宋体"/>
                <w:color w:val="auto"/>
                <w:sz w:val="24"/>
                <w:highlight w:val="none"/>
              </w:rPr>
              <w:t>资格证书</w:t>
            </w:r>
          </w:p>
        </w:tc>
        <w:tc>
          <w:tcPr>
            <w:tcW w:w="1950" w:type="dxa"/>
            <w:vAlign w:val="center"/>
          </w:tcPr>
          <w:p w14:paraId="3B9ADDB0">
            <w:pPr>
              <w:spacing w:line="0" w:lineRule="atLeast"/>
              <w:jc w:val="center"/>
              <w:rPr>
                <w:rFonts w:ascii="宋体" w:hAnsi="宋体"/>
                <w:color w:val="auto"/>
                <w:sz w:val="24"/>
                <w:highlight w:val="none"/>
              </w:rPr>
            </w:pPr>
            <w:r>
              <w:rPr>
                <w:rFonts w:hint="eastAsia" w:ascii="宋体" w:hAnsi="宋体"/>
                <w:color w:val="auto"/>
                <w:sz w:val="24"/>
                <w:highlight w:val="none"/>
              </w:rPr>
              <w:t>经验及承担过的相关服务的项目</w:t>
            </w:r>
          </w:p>
        </w:tc>
        <w:tc>
          <w:tcPr>
            <w:tcW w:w="2055" w:type="dxa"/>
            <w:vAlign w:val="center"/>
          </w:tcPr>
          <w:p w14:paraId="53153A4B">
            <w:pPr>
              <w:spacing w:line="0" w:lineRule="atLeast"/>
              <w:jc w:val="center"/>
              <w:rPr>
                <w:rFonts w:ascii="宋体" w:hAnsi="宋体"/>
                <w:color w:val="auto"/>
                <w:sz w:val="24"/>
                <w:highlight w:val="none"/>
              </w:rPr>
            </w:pPr>
            <w:r>
              <w:rPr>
                <w:rFonts w:hint="eastAsia" w:ascii="宋体" w:hAnsi="宋体"/>
                <w:color w:val="auto"/>
                <w:sz w:val="24"/>
                <w:highlight w:val="none"/>
              </w:rPr>
              <w:t>拟担工作岗位</w:t>
            </w:r>
          </w:p>
        </w:tc>
      </w:tr>
      <w:tr w14:paraId="09D6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7F6563">
            <w:pPr>
              <w:rPr>
                <w:rFonts w:ascii="宋体" w:hAnsi="宋体"/>
                <w:color w:val="auto"/>
                <w:kern w:val="0"/>
                <w:sz w:val="24"/>
                <w:highlight w:val="none"/>
              </w:rPr>
            </w:pPr>
          </w:p>
          <w:p w14:paraId="4FF8F06C">
            <w:pPr>
              <w:rPr>
                <w:rFonts w:ascii="宋体" w:hAnsi="宋体"/>
                <w:color w:val="auto"/>
                <w:kern w:val="0"/>
                <w:sz w:val="24"/>
                <w:highlight w:val="none"/>
              </w:rPr>
            </w:pPr>
          </w:p>
        </w:tc>
        <w:tc>
          <w:tcPr>
            <w:tcW w:w="1126" w:type="dxa"/>
            <w:vAlign w:val="center"/>
          </w:tcPr>
          <w:p w14:paraId="7A6EE631">
            <w:pPr>
              <w:rPr>
                <w:rFonts w:ascii="宋体" w:hAnsi="宋体"/>
                <w:color w:val="auto"/>
                <w:kern w:val="0"/>
                <w:sz w:val="24"/>
                <w:highlight w:val="none"/>
              </w:rPr>
            </w:pPr>
          </w:p>
        </w:tc>
        <w:tc>
          <w:tcPr>
            <w:tcW w:w="992" w:type="dxa"/>
            <w:vAlign w:val="center"/>
          </w:tcPr>
          <w:p w14:paraId="05919FFE">
            <w:pPr>
              <w:rPr>
                <w:rFonts w:ascii="宋体" w:hAnsi="宋体"/>
                <w:color w:val="auto"/>
                <w:kern w:val="0"/>
                <w:sz w:val="24"/>
                <w:highlight w:val="none"/>
              </w:rPr>
            </w:pPr>
          </w:p>
        </w:tc>
        <w:tc>
          <w:tcPr>
            <w:tcW w:w="993" w:type="dxa"/>
            <w:vAlign w:val="center"/>
          </w:tcPr>
          <w:p w14:paraId="24C009C5">
            <w:pPr>
              <w:rPr>
                <w:rFonts w:ascii="宋体" w:hAnsi="宋体"/>
                <w:color w:val="auto"/>
                <w:kern w:val="0"/>
                <w:sz w:val="24"/>
                <w:highlight w:val="none"/>
              </w:rPr>
            </w:pPr>
          </w:p>
        </w:tc>
        <w:tc>
          <w:tcPr>
            <w:tcW w:w="1661" w:type="dxa"/>
            <w:vAlign w:val="center"/>
          </w:tcPr>
          <w:p w14:paraId="29E27EB1">
            <w:pPr>
              <w:rPr>
                <w:rFonts w:ascii="宋体" w:hAnsi="宋体"/>
                <w:color w:val="auto"/>
                <w:kern w:val="0"/>
                <w:sz w:val="24"/>
                <w:highlight w:val="none"/>
              </w:rPr>
            </w:pPr>
          </w:p>
        </w:tc>
        <w:tc>
          <w:tcPr>
            <w:tcW w:w="1950" w:type="dxa"/>
            <w:vAlign w:val="center"/>
          </w:tcPr>
          <w:p w14:paraId="2512835E">
            <w:pPr>
              <w:rPr>
                <w:rFonts w:ascii="宋体" w:hAnsi="宋体"/>
                <w:color w:val="auto"/>
                <w:kern w:val="0"/>
                <w:sz w:val="24"/>
                <w:highlight w:val="none"/>
              </w:rPr>
            </w:pPr>
          </w:p>
        </w:tc>
        <w:tc>
          <w:tcPr>
            <w:tcW w:w="2055" w:type="dxa"/>
            <w:vAlign w:val="center"/>
          </w:tcPr>
          <w:p w14:paraId="33513F43">
            <w:pPr>
              <w:rPr>
                <w:rFonts w:ascii="宋体" w:hAnsi="宋体"/>
                <w:color w:val="auto"/>
                <w:kern w:val="0"/>
                <w:sz w:val="24"/>
                <w:highlight w:val="none"/>
              </w:rPr>
            </w:pPr>
          </w:p>
        </w:tc>
      </w:tr>
      <w:tr w14:paraId="31AF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10C6D83">
            <w:pPr>
              <w:rPr>
                <w:rFonts w:ascii="宋体" w:hAnsi="宋体"/>
                <w:color w:val="auto"/>
                <w:kern w:val="0"/>
                <w:sz w:val="24"/>
                <w:highlight w:val="none"/>
              </w:rPr>
            </w:pPr>
          </w:p>
          <w:p w14:paraId="3210591F">
            <w:pPr>
              <w:rPr>
                <w:rFonts w:ascii="宋体" w:hAnsi="宋体"/>
                <w:color w:val="auto"/>
                <w:kern w:val="0"/>
                <w:sz w:val="24"/>
                <w:highlight w:val="none"/>
              </w:rPr>
            </w:pPr>
          </w:p>
        </w:tc>
        <w:tc>
          <w:tcPr>
            <w:tcW w:w="1126" w:type="dxa"/>
            <w:vAlign w:val="center"/>
          </w:tcPr>
          <w:p w14:paraId="670AD4D4">
            <w:pPr>
              <w:rPr>
                <w:rFonts w:ascii="宋体" w:hAnsi="宋体"/>
                <w:color w:val="auto"/>
                <w:kern w:val="0"/>
                <w:sz w:val="24"/>
                <w:highlight w:val="none"/>
              </w:rPr>
            </w:pPr>
          </w:p>
        </w:tc>
        <w:tc>
          <w:tcPr>
            <w:tcW w:w="992" w:type="dxa"/>
            <w:vAlign w:val="center"/>
          </w:tcPr>
          <w:p w14:paraId="03F73AC1">
            <w:pPr>
              <w:rPr>
                <w:rFonts w:ascii="宋体" w:hAnsi="宋体"/>
                <w:color w:val="auto"/>
                <w:kern w:val="0"/>
                <w:sz w:val="24"/>
                <w:highlight w:val="none"/>
              </w:rPr>
            </w:pPr>
          </w:p>
        </w:tc>
        <w:tc>
          <w:tcPr>
            <w:tcW w:w="993" w:type="dxa"/>
            <w:vAlign w:val="center"/>
          </w:tcPr>
          <w:p w14:paraId="0DC19200">
            <w:pPr>
              <w:rPr>
                <w:rFonts w:ascii="宋体" w:hAnsi="宋体"/>
                <w:color w:val="auto"/>
                <w:kern w:val="0"/>
                <w:sz w:val="24"/>
                <w:highlight w:val="none"/>
              </w:rPr>
            </w:pPr>
          </w:p>
        </w:tc>
        <w:tc>
          <w:tcPr>
            <w:tcW w:w="1661" w:type="dxa"/>
            <w:vAlign w:val="center"/>
          </w:tcPr>
          <w:p w14:paraId="05B36EF9">
            <w:pPr>
              <w:rPr>
                <w:rFonts w:ascii="宋体" w:hAnsi="宋体"/>
                <w:color w:val="auto"/>
                <w:kern w:val="0"/>
                <w:sz w:val="24"/>
                <w:highlight w:val="none"/>
              </w:rPr>
            </w:pPr>
          </w:p>
        </w:tc>
        <w:tc>
          <w:tcPr>
            <w:tcW w:w="1950" w:type="dxa"/>
            <w:vAlign w:val="center"/>
          </w:tcPr>
          <w:p w14:paraId="5605DF26">
            <w:pPr>
              <w:rPr>
                <w:rFonts w:ascii="宋体" w:hAnsi="宋体"/>
                <w:color w:val="auto"/>
                <w:kern w:val="0"/>
                <w:sz w:val="24"/>
                <w:highlight w:val="none"/>
              </w:rPr>
            </w:pPr>
          </w:p>
        </w:tc>
        <w:tc>
          <w:tcPr>
            <w:tcW w:w="2055" w:type="dxa"/>
            <w:vAlign w:val="center"/>
          </w:tcPr>
          <w:p w14:paraId="557ABC61">
            <w:pPr>
              <w:rPr>
                <w:rFonts w:ascii="宋体" w:hAnsi="宋体"/>
                <w:color w:val="auto"/>
                <w:kern w:val="0"/>
                <w:sz w:val="24"/>
                <w:highlight w:val="none"/>
              </w:rPr>
            </w:pPr>
          </w:p>
        </w:tc>
      </w:tr>
      <w:tr w14:paraId="131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31A23EC">
            <w:pPr>
              <w:rPr>
                <w:rFonts w:ascii="宋体" w:hAnsi="宋体"/>
                <w:color w:val="auto"/>
                <w:kern w:val="0"/>
                <w:sz w:val="24"/>
                <w:highlight w:val="none"/>
              </w:rPr>
            </w:pPr>
          </w:p>
          <w:p w14:paraId="2CE84C36">
            <w:pPr>
              <w:rPr>
                <w:rFonts w:ascii="宋体" w:hAnsi="宋体"/>
                <w:color w:val="auto"/>
                <w:kern w:val="0"/>
                <w:sz w:val="24"/>
                <w:highlight w:val="none"/>
              </w:rPr>
            </w:pPr>
          </w:p>
        </w:tc>
        <w:tc>
          <w:tcPr>
            <w:tcW w:w="1126" w:type="dxa"/>
            <w:vAlign w:val="center"/>
          </w:tcPr>
          <w:p w14:paraId="3170EF82">
            <w:pPr>
              <w:rPr>
                <w:rFonts w:ascii="宋体" w:hAnsi="宋体"/>
                <w:color w:val="auto"/>
                <w:kern w:val="0"/>
                <w:sz w:val="24"/>
                <w:highlight w:val="none"/>
              </w:rPr>
            </w:pPr>
          </w:p>
        </w:tc>
        <w:tc>
          <w:tcPr>
            <w:tcW w:w="992" w:type="dxa"/>
            <w:vAlign w:val="center"/>
          </w:tcPr>
          <w:p w14:paraId="089FD1D4">
            <w:pPr>
              <w:rPr>
                <w:rFonts w:ascii="宋体" w:hAnsi="宋体"/>
                <w:color w:val="auto"/>
                <w:kern w:val="0"/>
                <w:sz w:val="24"/>
                <w:highlight w:val="none"/>
              </w:rPr>
            </w:pPr>
          </w:p>
        </w:tc>
        <w:tc>
          <w:tcPr>
            <w:tcW w:w="993" w:type="dxa"/>
            <w:vAlign w:val="center"/>
          </w:tcPr>
          <w:p w14:paraId="1474288C">
            <w:pPr>
              <w:rPr>
                <w:rFonts w:ascii="宋体" w:hAnsi="宋体"/>
                <w:color w:val="auto"/>
                <w:kern w:val="0"/>
                <w:sz w:val="24"/>
                <w:highlight w:val="none"/>
              </w:rPr>
            </w:pPr>
          </w:p>
        </w:tc>
        <w:tc>
          <w:tcPr>
            <w:tcW w:w="1661" w:type="dxa"/>
            <w:vAlign w:val="center"/>
          </w:tcPr>
          <w:p w14:paraId="44B70B04">
            <w:pPr>
              <w:rPr>
                <w:rFonts w:ascii="宋体" w:hAnsi="宋体"/>
                <w:color w:val="auto"/>
                <w:kern w:val="0"/>
                <w:sz w:val="24"/>
                <w:highlight w:val="none"/>
              </w:rPr>
            </w:pPr>
          </w:p>
        </w:tc>
        <w:tc>
          <w:tcPr>
            <w:tcW w:w="1950" w:type="dxa"/>
            <w:vAlign w:val="center"/>
          </w:tcPr>
          <w:p w14:paraId="523BA30D">
            <w:pPr>
              <w:rPr>
                <w:rFonts w:ascii="宋体" w:hAnsi="宋体"/>
                <w:color w:val="auto"/>
                <w:kern w:val="0"/>
                <w:sz w:val="24"/>
                <w:highlight w:val="none"/>
              </w:rPr>
            </w:pPr>
          </w:p>
        </w:tc>
        <w:tc>
          <w:tcPr>
            <w:tcW w:w="2055" w:type="dxa"/>
            <w:vAlign w:val="center"/>
          </w:tcPr>
          <w:p w14:paraId="00D6B7AC">
            <w:pPr>
              <w:rPr>
                <w:rFonts w:ascii="宋体" w:hAnsi="宋体"/>
                <w:color w:val="auto"/>
                <w:kern w:val="0"/>
                <w:sz w:val="24"/>
                <w:highlight w:val="none"/>
              </w:rPr>
            </w:pPr>
          </w:p>
        </w:tc>
      </w:tr>
      <w:tr w14:paraId="0A0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234AA7">
            <w:pPr>
              <w:rPr>
                <w:rFonts w:ascii="宋体" w:hAnsi="宋体"/>
                <w:color w:val="auto"/>
                <w:kern w:val="0"/>
                <w:sz w:val="24"/>
                <w:highlight w:val="none"/>
              </w:rPr>
            </w:pPr>
          </w:p>
          <w:p w14:paraId="2C9B08A5">
            <w:pPr>
              <w:rPr>
                <w:rFonts w:ascii="宋体" w:hAnsi="宋体"/>
                <w:color w:val="auto"/>
                <w:kern w:val="0"/>
                <w:sz w:val="24"/>
                <w:highlight w:val="none"/>
              </w:rPr>
            </w:pPr>
          </w:p>
        </w:tc>
        <w:tc>
          <w:tcPr>
            <w:tcW w:w="1126" w:type="dxa"/>
            <w:vAlign w:val="center"/>
          </w:tcPr>
          <w:p w14:paraId="5624A00C">
            <w:pPr>
              <w:rPr>
                <w:rFonts w:ascii="宋体" w:hAnsi="宋体"/>
                <w:color w:val="auto"/>
                <w:kern w:val="0"/>
                <w:sz w:val="24"/>
                <w:highlight w:val="none"/>
              </w:rPr>
            </w:pPr>
          </w:p>
        </w:tc>
        <w:tc>
          <w:tcPr>
            <w:tcW w:w="992" w:type="dxa"/>
            <w:vAlign w:val="center"/>
          </w:tcPr>
          <w:p w14:paraId="4CEB0F77">
            <w:pPr>
              <w:rPr>
                <w:rFonts w:ascii="宋体" w:hAnsi="宋体"/>
                <w:color w:val="auto"/>
                <w:kern w:val="0"/>
                <w:sz w:val="24"/>
                <w:highlight w:val="none"/>
              </w:rPr>
            </w:pPr>
          </w:p>
        </w:tc>
        <w:tc>
          <w:tcPr>
            <w:tcW w:w="993" w:type="dxa"/>
            <w:vAlign w:val="center"/>
          </w:tcPr>
          <w:p w14:paraId="7EA011F7">
            <w:pPr>
              <w:rPr>
                <w:rFonts w:ascii="宋体" w:hAnsi="宋体"/>
                <w:color w:val="auto"/>
                <w:kern w:val="0"/>
                <w:sz w:val="24"/>
                <w:highlight w:val="none"/>
              </w:rPr>
            </w:pPr>
          </w:p>
        </w:tc>
        <w:tc>
          <w:tcPr>
            <w:tcW w:w="1661" w:type="dxa"/>
            <w:vAlign w:val="center"/>
          </w:tcPr>
          <w:p w14:paraId="41A986F7">
            <w:pPr>
              <w:rPr>
                <w:rFonts w:ascii="宋体" w:hAnsi="宋体"/>
                <w:color w:val="auto"/>
                <w:kern w:val="0"/>
                <w:sz w:val="24"/>
                <w:highlight w:val="none"/>
              </w:rPr>
            </w:pPr>
          </w:p>
        </w:tc>
        <w:tc>
          <w:tcPr>
            <w:tcW w:w="1950" w:type="dxa"/>
            <w:vAlign w:val="center"/>
          </w:tcPr>
          <w:p w14:paraId="4AC5D9A7">
            <w:pPr>
              <w:rPr>
                <w:rFonts w:ascii="宋体" w:hAnsi="宋体"/>
                <w:color w:val="auto"/>
                <w:kern w:val="0"/>
                <w:sz w:val="24"/>
                <w:highlight w:val="none"/>
              </w:rPr>
            </w:pPr>
          </w:p>
        </w:tc>
        <w:tc>
          <w:tcPr>
            <w:tcW w:w="2055" w:type="dxa"/>
            <w:vAlign w:val="center"/>
          </w:tcPr>
          <w:p w14:paraId="6E13307F">
            <w:pPr>
              <w:rPr>
                <w:rFonts w:ascii="宋体" w:hAnsi="宋体"/>
                <w:color w:val="auto"/>
                <w:kern w:val="0"/>
                <w:sz w:val="24"/>
                <w:highlight w:val="none"/>
              </w:rPr>
            </w:pPr>
          </w:p>
        </w:tc>
      </w:tr>
      <w:tr w14:paraId="2FDF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35CBD128">
            <w:pPr>
              <w:rPr>
                <w:rFonts w:ascii="宋体" w:hAnsi="宋体"/>
                <w:color w:val="auto"/>
                <w:kern w:val="0"/>
                <w:sz w:val="24"/>
                <w:highlight w:val="none"/>
              </w:rPr>
            </w:pPr>
          </w:p>
          <w:p w14:paraId="14028360">
            <w:pPr>
              <w:rPr>
                <w:rFonts w:ascii="宋体" w:hAnsi="宋体"/>
                <w:color w:val="auto"/>
                <w:kern w:val="0"/>
                <w:sz w:val="24"/>
                <w:highlight w:val="none"/>
              </w:rPr>
            </w:pPr>
          </w:p>
        </w:tc>
        <w:tc>
          <w:tcPr>
            <w:tcW w:w="1126" w:type="dxa"/>
            <w:vAlign w:val="center"/>
          </w:tcPr>
          <w:p w14:paraId="526E89A6">
            <w:pPr>
              <w:rPr>
                <w:rFonts w:ascii="宋体" w:hAnsi="宋体"/>
                <w:color w:val="auto"/>
                <w:kern w:val="0"/>
                <w:sz w:val="24"/>
                <w:highlight w:val="none"/>
              </w:rPr>
            </w:pPr>
          </w:p>
        </w:tc>
        <w:tc>
          <w:tcPr>
            <w:tcW w:w="992" w:type="dxa"/>
            <w:vAlign w:val="center"/>
          </w:tcPr>
          <w:p w14:paraId="26361854">
            <w:pPr>
              <w:rPr>
                <w:rFonts w:ascii="宋体" w:hAnsi="宋体"/>
                <w:color w:val="auto"/>
                <w:kern w:val="0"/>
                <w:sz w:val="24"/>
                <w:highlight w:val="none"/>
              </w:rPr>
            </w:pPr>
          </w:p>
        </w:tc>
        <w:tc>
          <w:tcPr>
            <w:tcW w:w="993" w:type="dxa"/>
            <w:vAlign w:val="center"/>
          </w:tcPr>
          <w:p w14:paraId="284837B5">
            <w:pPr>
              <w:rPr>
                <w:rFonts w:ascii="宋体" w:hAnsi="宋体"/>
                <w:color w:val="auto"/>
                <w:kern w:val="0"/>
                <w:sz w:val="24"/>
                <w:highlight w:val="none"/>
              </w:rPr>
            </w:pPr>
          </w:p>
        </w:tc>
        <w:tc>
          <w:tcPr>
            <w:tcW w:w="1661" w:type="dxa"/>
            <w:vAlign w:val="center"/>
          </w:tcPr>
          <w:p w14:paraId="10C2674D">
            <w:pPr>
              <w:rPr>
                <w:rFonts w:ascii="宋体" w:hAnsi="宋体"/>
                <w:color w:val="auto"/>
                <w:kern w:val="0"/>
                <w:sz w:val="24"/>
                <w:highlight w:val="none"/>
              </w:rPr>
            </w:pPr>
          </w:p>
        </w:tc>
        <w:tc>
          <w:tcPr>
            <w:tcW w:w="1950" w:type="dxa"/>
            <w:vAlign w:val="center"/>
          </w:tcPr>
          <w:p w14:paraId="420CDB61">
            <w:pPr>
              <w:rPr>
                <w:rFonts w:ascii="宋体" w:hAnsi="宋体"/>
                <w:color w:val="auto"/>
                <w:kern w:val="0"/>
                <w:sz w:val="24"/>
                <w:highlight w:val="none"/>
              </w:rPr>
            </w:pPr>
          </w:p>
        </w:tc>
        <w:tc>
          <w:tcPr>
            <w:tcW w:w="2055" w:type="dxa"/>
            <w:vAlign w:val="center"/>
          </w:tcPr>
          <w:p w14:paraId="7D61881E">
            <w:pPr>
              <w:rPr>
                <w:rFonts w:ascii="宋体" w:hAnsi="宋体"/>
                <w:color w:val="auto"/>
                <w:kern w:val="0"/>
                <w:sz w:val="24"/>
                <w:highlight w:val="none"/>
              </w:rPr>
            </w:pPr>
          </w:p>
        </w:tc>
      </w:tr>
      <w:tr w14:paraId="7F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C237190">
            <w:pPr>
              <w:rPr>
                <w:rFonts w:ascii="宋体" w:hAnsi="宋体"/>
                <w:color w:val="auto"/>
                <w:kern w:val="0"/>
                <w:sz w:val="24"/>
                <w:highlight w:val="none"/>
              </w:rPr>
            </w:pPr>
          </w:p>
          <w:p w14:paraId="5BDBC39A">
            <w:pPr>
              <w:rPr>
                <w:rFonts w:ascii="宋体" w:hAnsi="宋体"/>
                <w:color w:val="auto"/>
                <w:kern w:val="0"/>
                <w:sz w:val="24"/>
                <w:highlight w:val="none"/>
              </w:rPr>
            </w:pPr>
          </w:p>
        </w:tc>
        <w:tc>
          <w:tcPr>
            <w:tcW w:w="1126" w:type="dxa"/>
            <w:vAlign w:val="center"/>
          </w:tcPr>
          <w:p w14:paraId="725BB23F">
            <w:pPr>
              <w:rPr>
                <w:rFonts w:ascii="宋体" w:hAnsi="宋体"/>
                <w:color w:val="auto"/>
                <w:kern w:val="0"/>
                <w:sz w:val="24"/>
                <w:highlight w:val="none"/>
              </w:rPr>
            </w:pPr>
          </w:p>
        </w:tc>
        <w:tc>
          <w:tcPr>
            <w:tcW w:w="992" w:type="dxa"/>
            <w:vAlign w:val="center"/>
          </w:tcPr>
          <w:p w14:paraId="150A1562">
            <w:pPr>
              <w:rPr>
                <w:rFonts w:ascii="宋体" w:hAnsi="宋体"/>
                <w:color w:val="auto"/>
                <w:kern w:val="0"/>
                <w:sz w:val="24"/>
                <w:highlight w:val="none"/>
              </w:rPr>
            </w:pPr>
          </w:p>
        </w:tc>
        <w:tc>
          <w:tcPr>
            <w:tcW w:w="993" w:type="dxa"/>
            <w:vAlign w:val="center"/>
          </w:tcPr>
          <w:p w14:paraId="122F03EB">
            <w:pPr>
              <w:rPr>
                <w:rFonts w:ascii="宋体" w:hAnsi="宋体"/>
                <w:color w:val="auto"/>
                <w:kern w:val="0"/>
                <w:sz w:val="24"/>
                <w:highlight w:val="none"/>
              </w:rPr>
            </w:pPr>
          </w:p>
        </w:tc>
        <w:tc>
          <w:tcPr>
            <w:tcW w:w="1661" w:type="dxa"/>
            <w:vAlign w:val="center"/>
          </w:tcPr>
          <w:p w14:paraId="29F93888">
            <w:pPr>
              <w:rPr>
                <w:rFonts w:ascii="宋体" w:hAnsi="宋体"/>
                <w:color w:val="auto"/>
                <w:kern w:val="0"/>
                <w:sz w:val="24"/>
                <w:highlight w:val="none"/>
              </w:rPr>
            </w:pPr>
          </w:p>
        </w:tc>
        <w:tc>
          <w:tcPr>
            <w:tcW w:w="1950" w:type="dxa"/>
            <w:vAlign w:val="center"/>
          </w:tcPr>
          <w:p w14:paraId="520F8B5C">
            <w:pPr>
              <w:rPr>
                <w:rFonts w:ascii="宋体" w:hAnsi="宋体"/>
                <w:color w:val="auto"/>
                <w:kern w:val="0"/>
                <w:sz w:val="24"/>
                <w:highlight w:val="none"/>
              </w:rPr>
            </w:pPr>
          </w:p>
        </w:tc>
        <w:tc>
          <w:tcPr>
            <w:tcW w:w="2055" w:type="dxa"/>
            <w:vAlign w:val="center"/>
          </w:tcPr>
          <w:p w14:paraId="4AD9E89B">
            <w:pPr>
              <w:rPr>
                <w:rFonts w:ascii="宋体" w:hAnsi="宋体"/>
                <w:color w:val="auto"/>
                <w:kern w:val="0"/>
                <w:sz w:val="24"/>
                <w:highlight w:val="none"/>
              </w:rPr>
            </w:pPr>
          </w:p>
        </w:tc>
      </w:tr>
    </w:tbl>
    <w:p w14:paraId="374CC79C">
      <w:pPr>
        <w:rPr>
          <w:rFonts w:ascii="宋体" w:hAnsi="宋体"/>
          <w:color w:val="auto"/>
          <w:kern w:val="0"/>
          <w:sz w:val="24"/>
          <w:highlight w:val="none"/>
        </w:rPr>
      </w:pPr>
    </w:p>
    <w:p w14:paraId="6CB2299B">
      <w:pPr>
        <w:spacing w:line="360" w:lineRule="auto"/>
        <w:rPr>
          <w:rFonts w:ascii="宋体" w:hAnsi="宋体"/>
          <w:b/>
          <w:color w:val="auto"/>
          <w:sz w:val="24"/>
          <w:highlight w:val="none"/>
        </w:rPr>
      </w:pPr>
      <w:r>
        <w:rPr>
          <w:rFonts w:hint="eastAsia" w:ascii="宋体" w:hAnsi="宋体"/>
          <w:b/>
          <w:color w:val="auto"/>
          <w:sz w:val="24"/>
          <w:highlight w:val="none"/>
        </w:rPr>
        <w:t>注：1.此表可以根据人数进行增减调整。</w:t>
      </w:r>
    </w:p>
    <w:p w14:paraId="504C37EF">
      <w:pPr>
        <w:snapToGrid w:val="0"/>
        <w:spacing w:line="360" w:lineRule="auto"/>
        <w:ind w:firstLine="480" w:firstLineChars="200"/>
        <w:rPr>
          <w:rFonts w:ascii="宋体" w:hAnsi="宋体"/>
          <w:color w:val="auto"/>
          <w:sz w:val="24"/>
          <w:highlight w:val="none"/>
        </w:rPr>
      </w:pPr>
      <w:r>
        <w:rPr>
          <w:rFonts w:hint="eastAsia" w:ascii="新宋体" w:hAnsi="新宋体" w:eastAsia="新宋体" w:cs="新宋体"/>
          <w:color w:val="auto"/>
          <w:sz w:val="24"/>
          <w:highlight w:val="none"/>
        </w:rPr>
        <w:t>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D51EDF3">
      <w:pPr>
        <w:snapToGrid w:val="0"/>
        <w:rPr>
          <w:rFonts w:ascii="宋体" w:hAnsi="宋体"/>
          <w:color w:val="auto"/>
          <w:sz w:val="24"/>
          <w:highlight w:val="none"/>
        </w:rPr>
      </w:pPr>
    </w:p>
    <w:p w14:paraId="75DE2592">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F54A04E">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9579DFE">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30FF90E">
      <w:pPr>
        <w:snapToGrid w:val="0"/>
        <w:spacing w:before="50" w:after="120" w:afterLines="50"/>
        <w:jc w:val="left"/>
        <w:rPr>
          <w:rFonts w:ascii="宋体" w:hAnsi="宋体"/>
          <w:b/>
          <w:color w:val="auto"/>
          <w:sz w:val="24"/>
          <w:highlight w:val="none"/>
        </w:rPr>
      </w:pPr>
    </w:p>
    <w:p w14:paraId="60DD0AAD">
      <w:pPr>
        <w:snapToGrid w:val="0"/>
        <w:spacing w:before="50" w:after="120" w:afterLines="50"/>
        <w:jc w:val="left"/>
        <w:rPr>
          <w:rFonts w:ascii="宋体" w:hAnsi="宋体"/>
          <w:b/>
          <w:color w:val="auto"/>
          <w:sz w:val="24"/>
          <w:highlight w:val="none"/>
        </w:rPr>
      </w:pPr>
    </w:p>
    <w:p w14:paraId="4B66B6D9">
      <w:pPr>
        <w:snapToGrid w:val="0"/>
        <w:spacing w:before="50" w:after="120" w:afterLines="50"/>
        <w:jc w:val="left"/>
        <w:rPr>
          <w:rFonts w:ascii="宋体" w:hAnsi="宋体"/>
          <w:b/>
          <w:color w:val="auto"/>
          <w:sz w:val="24"/>
          <w:highlight w:val="none"/>
        </w:rPr>
      </w:pPr>
    </w:p>
    <w:p w14:paraId="1015A1F1">
      <w:pPr>
        <w:snapToGrid w:val="0"/>
        <w:spacing w:before="50" w:after="120" w:afterLines="50"/>
        <w:jc w:val="left"/>
        <w:rPr>
          <w:rFonts w:ascii="宋体" w:hAnsi="宋体"/>
          <w:b/>
          <w:color w:val="auto"/>
          <w:sz w:val="24"/>
          <w:highlight w:val="none"/>
        </w:rPr>
      </w:pPr>
    </w:p>
    <w:p w14:paraId="1E39A367">
      <w:pPr>
        <w:snapToGrid w:val="0"/>
        <w:spacing w:before="50" w:after="120" w:afterLines="50"/>
        <w:jc w:val="left"/>
        <w:rPr>
          <w:rFonts w:ascii="宋体" w:hAnsi="宋体"/>
          <w:b/>
          <w:color w:val="auto"/>
          <w:sz w:val="24"/>
          <w:highlight w:val="none"/>
        </w:rPr>
      </w:pPr>
    </w:p>
    <w:p w14:paraId="140D53F2">
      <w:pPr>
        <w:snapToGrid w:val="0"/>
        <w:spacing w:before="50" w:after="120" w:afterLines="50"/>
        <w:jc w:val="left"/>
        <w:rPr>
          <w:rFonts w:ascii="宋体" w:hAnsi="宋体"/>
          <w:b/>
          <w:color w:val="auto"/>
          <w:sz w:val="24"/>
          <w:highlight w:val="none"/>
        </w:rPr>
      </w:pPr>
    </w:p>
    <w:p w14:paraId="4EC22005">
      <w:pPr>
        <w:snapToGrid w:val="0"/>
        <w:spacing w:before="50" w:after="120" w:afterLines="50"/>
        <w:jc w:val="left"/>
        <w:rPr>
          <w:rFonts w:ascii="宋体" w:hAnsi="宋体"/>
          <w:b/>
          <w:color w:val="auto"/>
          <w:sz w:val="24"/>
          <w:highlight w:val="none"/>
        </w:rPr>
      </w:pPr>
    </w:p>
    <w:p w14:paraId="570236A8">
      <w:pPr>
        <w:snapToGrid w:val="0"/>
        <w:spacing w:before="50" w:after="120" w:afterLines="50"/>
        <w:jc w:val="left"/>
        <w:rPr>
          <w:rFonts w:ascii="宋体" w:hAnsi="宋体"/>
          <w:b/>
          <w:color w:val="auto"/>
          <w:sz w:val="24"/>
          <w:highlight w:val="none"/>
        </w:rPr>
      </w:pPr>
    </w:p>
    <w:p w14:paraId="3D77712A">
      <w:pPr>
        <w:snapToGrid w:val="0"/>
        <w:spacing w:before="50" w:after="120" w:afterLines="50"/>
        <w:jc w:val="left"/>
        <w:rPr>
          <w:rFonts w:ascii="宋体" w:hAnsi="宋体"/>
          <w:b/>
          <w:color w:val="auto"/>
          <w:sz w:val="24"/>
          <w:highlight w:val="none"/>
        </w:rPr>
      </w:pPr>
    </w:p>
    <w:p w14:paraId="79AC3BD2">
      <w:pPr>
        <w:snapToGrid w:val="0"/>
        <w:spacing w:before="120" w:beforeLines="50" w:after="50"/>
        <w:rPr>
          <w:rFonts w:ascii="宋体" w:hAnsi="宋体"/>
          <w:b/>
          <w:color w:val="auto"/>
          <w:sz w:val="24"/>
          <w:highlight w:val="none"/>
        </w:rPr>
      </w:pPr>
      <w:r>
        <w:rPr>
          <w:rFonts w:hint="eastAsia" w:ascii="宋体" w:hAnsi="宋体"/>
          <w:b/>
          <w:color w:val="auto"/>
          <w:sz w:val="24"/>
          <w:highlight w:val="none"/>
        </w:rPr>
        <w:br w:type="page"/>
      </w:r>
      <w:bookmarkStart w:id="409" w:name="_Toc10049"/>
      <w:r>
        <w:rPr>
          <w:rFonts w:hint="eastAsia" w:ascii="宋体" w:hAnsi="宋体" w:cs="宋体"/>
          <w:color w:val="auto"/>
          <w:sz w:val="28"/>
          <w:szCs w:val="28"/>
          <w:highlight w:val="none"/>
        </w:rPr>
        <w:t>附件20</w:t>
      </w:r>
      <w:bookmarkEnd w:id="409"/>
    </w:p>
    <w:p w14:paraId="125E056D">
      <w:pPr>
        <w:snapToGrid w:val="0"/>
        <w:spacing w:before="120" w:beforeLines="50" w:after="50"/>
        <w:jc w:val="center"/>
        <w:rPr>
          <w:rFonts w:hint="eastAsia" w:ascii="宋体" w:hAnsi="宋体"/>
          <w:b/>
          <w:color w:val="auto"/>
          <w:sz w:val="24"/>
          <w:highlight w:val="none"/>
        </w:rPr>
      </w:pPr>
    </w:p>
    <w:p w14:paraId="496116A7">
      <w:pPr>
        <w:pStyle w:val="13"/>
        <w:spacing w:line="360" w:lineRule="auto"/>
        <w:ind w:firstLine="0"/>
        <w:jc w:val="center"/>
        <w:rPr>
          <w:rFonts w:hint="eastAsia" w:ascii="仿宋_GB2312" w:hAnsi="仿宋_GB2312" w:eastAsia="仿宋_GB2312" w:cs="仿宋_GB2312"/>
          <w:b/>
          <w:color w:val="auto"/>
          <w:sz w:val="32"/>
          <w:szCs w:val="32"/>
          <w:highlight w:val="none"/>
        </w:rPr>
      </w:pPr>
      <w:bookmarkStart w:id="410" w:name="_Toc21200"/>
      <w:r>
        <w:rPr>
          <w:rFonts w:hint="eastAsia" w:ascii="仿宋_GB2312" w:hAnsi="仿宋_GB2312" w:eastAsia="仿宋_GB2312" w:cs="仿宋_GB2312"/>
          <w:b/>
          <w:color w:val="auto"/>
          <w:sz w:val="32"/>
          <w:szCs w:val="32"/>
          <w:highlight w:val="none"/>
        </w:rPr>
        <w:t>投标函</w:t>
      </w:r>
      <w:bookmarkEnd w:id="410"/>
    </w:p>
    <w:p w14:paraId="49FE26F9">
      <w:pPr>
        <w:pStyle w:val="384"/>
        <w:tabs>
          <w:tab w:val="left" w:pos="0"/>
        </w:tabs>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kern w:val="2"/>
          <w:sz w:val="24"/>
          <w:szCs w:val="24"/>
          <w:highlight w:val="none"/>
          <w:u w:val="single"/>
        </w:rPr>
        <w:t>（采购人名称）</w:t>
      </w:r>
      <w:r>
        <w:rPr>
          <w:rFonts w:hint="eastAsia" w:hAnsi="宋体" w:cs="宋体"/>
          <w:color w:val="auto"/>
          <w:sz w:val="24"/>
          <w:highlight w:val="none"/>
        </w:rPr>
        <w:t>：</w:t>
      </w:r>
    </w:p>
    <w:p w14:paraId="2B871D0C">
      <w:pPr>
        <w:pStyle w:val="384"/>
        <w:tabs>
          <w:tab w:val="left" w:pos="0"/>
        </w:tabs>
        <w:spacing w:line="48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根据贵方</w:t>
      </w:r>
      <w:r>
        <w:rPr>
          <w:rFonts w:hint="eastAsia" w:hAnsi="宋体" w:cs="宋体"/>
          <w:color w:val="auto"/>
          <w:kern w:val="2"/>
          <w:sz w:val="24"/>
          <w:szCs w:val="24"/>
          <w:highlight w:val="none"/>
          <w:u w:val="single"/>
        </w:rPr>
        <w:t>（项目名称）（项目编号）（标项）</w:t>
      </w:r>
      <w:r>
        <w:rPr>
          <w:rFonts w:hint="eastAsia" w:hAnsi="宋体" w:cs="宋体"/>
          <w:color w:val="auto"/>
          <w:sz w:val="24"/>
          <w:szCs w:val="21"/>
          <w:highlight w:val="none"/>
          <w:u w:val="single"/>
        </w:rPr>
        <w:t xml:space="preserve"> </w:t>
      </w:r>
      <w:r>
        <w:rPr>
          <w:rFonts w:hint="eastAsia" w:hAnsi="宋体" w:cs="宋体"/>
          <w:color w:val="auto"/>
          <w:kern w:val="2"/>
          <w:sz w:val="24"/>
          <w:szCs w:val="24"/>
          <w:highlight w:val="none"/>
        </w:rPr>
        <w:t>的招标文件要求，正式授权下述签字人（</w:t>
      </w:r>
      <w:r>
        <w:rPr>
          <w:rFonts w:hint="eastAsia" w:hAnsi="宋体" w:cs="宋体"/>
          <w:color w:val="auto"/>
          <w:kern w:val="2"/>
          <w:sz w:val="24"/>
          <w:szCs w:val="24"/>
          <w:highlight w:val="none"/>
          <w:u w:val="single"/>
        </w:rPr>
        <w:t>姓名和职务）</w:t>
      </w:r>
      <w:r>
        <w:rPr>
          <w:rFonts w:hint="eastAsia" w:hAnsi="宋体" w:cs="宋体"/>
          <w:color w:val="auto"/>
          <w:kern w:val="2"/>
          <w:sz w:val="24"/>
          <w:szCs w:val="24"/>
          <w:highlight w:val="none"/>
        </w:rPr>
        <w:t>全权代表投标人（</w:t>
      </w:r>
      <w:r>
        <w:rPr>
          <w:rFonts w:hint="eastAsia" w:hAnsi="宋体" w:cs="宋体"/>
          <w:color w:val="auto"/>
          <w:kern w:val="2"/>
          <w:sz w:val="24"/>
          <w:szCs w:val="24"/>
          <w:highlight w:val="none"/>
          <w:u w:val="single"/>
        </w:rPr>
        <w:t>投标人全称</w:t>
      </w:r>
      <w:r>
        <w:rPr>
          <w:rFonts w:hint="eastAsia" w:hAnsi="宋体" w:cs="宋体"/>
          <w:color w:val="auto"/>
          <w:kern w:val="2"/>
          <w:sz w:val="24"/>
          <w:szCs w:val="24"/>
          <w:highlight w:val="none"/>
        </w:rPr>
        <w:t>）参加贵方组织的有关招标活动，并提交下述文件：</w:t>
      </w:r>
    </w:p>
    <w:p w14:paraId="74D07DD6">
      <w:pPr>
        <w:pStyle w:val="384"/>
        <w:tabs>
          <w:tab w:val="left" w:pos="0"/>
        </w:tabs>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1"/>
          <w:highlight w:val="none"/>
        </w:rPr>
        <w:t>政府采购云系统提交电子加密投标文件</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29EFA447">
      <w:pPr>
        <w:pStyle w:val="384"/>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4"/>
          <w:highlight w:val="none"/>
        </w:rPr>
        <w:t>提交备份电子投标文件（打包压缩加密）</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4DFAAC94">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据此函我方就本次投标有关事项郑重承诺如下：</w:t>
      </w:r>
    </w:p>
    <w:p w14:paraId="0E31DDE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05586FA">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2.我方承诺已经具备《中华人民共和国政府采购法》《中华人民共和国政府采购法实施条例》中规定的参加政府采购活动的投标人应当具备的条件，并真实提供相关材料。</w:t>
      </w:r>
    </w:p>
    <w:p w14:paraId="6049740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3.如果我方中标，将派出</w:t>
      </w:r>
      <w:r>
        <w:rPr>
          <w:rFonts w:hint="eastAsia" w:ascii="宋体" w:hAnsi="宋体" w:cs="宋体"/>
          <w:color w:val="auto"/>
          <w:sz w:val="24"/>
          <w:highlight w:val="none"/>
          <w:u w:val="single"/>
        </w:rPr>
        <w:t>（姓名及身份证号码）</w:t>
      </w:r>
      <w:r>
        <w:rPr>
          <w:rFonts w:hint="eastAsia" w:ascii="宋体" w:hAnsi="宋体" w:cs="宋体"/>
          <w:color w:val="auto"/>
          <w:sz w:val="24"/>
          <w:szCs w:val="21"/>
          <w:highlight w:val="none"/>
          <w:u w:val="single"/>
        </w:rPr>
        <w:t>，</w:t>
      </w:r>
      <w:r>
        <w:rPr>
          <w:rFonts w:hint="eastAsia" w:ascii="宋体" w:hAnsi="宋体" w:cs="宋体"/>
          <w:color w:val="auto"/>
          <w:sz w:val="24"/>
          <w:highlight w:val="none"/>
        </w:rPr>
        <w:t>作为本项目与采购单位联系的项目实施负责人，联系手机号码：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。在项目实施过程中，并承诺项目实施负责人不更换，若确需要更换的，书面征得采购人同意后才准予更换。</w:t>
      </w:r>
    </w:p>
    <w:p w14:paraId="3A2C2C9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4.我方的投标有效期自在开标日起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天内有效。如果在开标后规定的投标有效期内撤回投标，贵方可按相关规定处理我方。</w:t>
      </w:r>
    </w:p>
    <w:p w14:paraId="6872CA9C">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5.我方在投标之前已经与贵方进行了充分的沟通，完全理解并接受招标文件的各项规定和要求，对招标文件的合理性、合法性不再有异议。</w:t>
      </w:r>
    </w:p>
    <w:p w14:paraId="16F3EAF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我方愿意向贵方提供真实完整的任何与该项投标有关的数据、情况和技术资料。若贵方需要，我方愿意提供我方作出的一切承诺的相关材料。</w:t>
      </w:r>
    </w:p>
    <w:p w14:paraId="3993BB0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3A478E8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7.我方不是采购人的附属机构，并未为本项目提供整体设计、规范编制或者项目管理、监理、监测等服务。</w:t>
      </w:r>
    </w:p>
    <w:p w14:paraId="1A9B64B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B30E7D">
      <w:pPr>
        <w:spacing w:line="480" w:lineRule="exact"/>
        <w:ind w:firstLine="480"/>
        <w:rPr>
          <w:rFonts w:hint="eastAsia" w:ascii="宋体" w:hAnsi="宋体" w:cs="宋体"/>
          <w:color w:val="auto"/>
          <w:sz w:val="24"/>
          <w:highlight w:val="none"/>
        </w:rPr>
      </w:pPr>
      <w:bookmarkStart w:id="411" w:name="_Toc3948"/>
      <w:r>
        <w:rPr>
          <w:rFonts w:hint="eastAsia" w:ascii="宋体" w:hAnsi="宋体" w:cs="宋体"/>
          <w:color w:val="auto"/>
          <w:sz w:val="24"/>
          <w:highlight w:val="none"/>
        </w:rPr>
        <w:t>（一）提供虚假材料谋取中标、中标的；</w:t>
      </w:r>
      <w:bookmarkEnd w:id="411"/>
    </w:p>
    <w:p w14:paraId="287943F6">
      <w:pPr>
        <w:spacing w:line="480" w:lineRule="exact"/>
        <w:ind w:firstLine="480"/>
        <w:rPr>
          <w:rFonts w:hint="eastAsia" w:ascii="宋体" w:hAnsi="宋体" w:cs="宋体"/>
          <w:color w:val="auto"/>
          <w:sz w:val="24"/>
          <w:highlight w:val="none"/>
        </w:rPr>
      </w:pPr>
      <w:bookmarkStart w:id="412" w:name="_Toc15281"/>
      <w:r>
        <w:rPr>
          <w:rFonts w:hint="eastAsia" w:ascii="宋体" w:hAnsi="宋体" w:cs="宋体"/>
          <w:color w:val="auto"/>
          <w:sz w:val="24"/>
          <w:highlight w:val="none"/>
        </w:rPr>
        <w:t>（二）采取不正当手段诋毁、排挤其他投标人的；</w:t>
      </w:r>
      <w:bookmarkEnd w:id="412"/>
    </w:p>
    <w:p w14:paraId="3C54909D">
      <w:pPr>
        <w:spacing w:line="480" w:lineRule="exact"/>
        <w:ind w:firstLine="480"/>
        <w:rPr>
          <w:rFonts w:hint="eastAsia" w:ascii="宋体" w:hAnsi="宋体" w:cs="宋体"/>
          <w:color w:val="auto"/>
          <w:sz w:val="24"/>
          <w:highlight w:val="none"/>
        </w:rPr>
      </w:pPr>
      <w:bookmarkStart w:id="413" w:name="_Toc28866"/>
      <w:r>
        <w:rPr>
          <w:rFonts w:hint="eastAsia" w:ascii="宋体" w:hAnsi="宋体" w:cs="宋体"/>
          <w:color w:val="auto"/>
          <w:sz w:val="24"/>
          <w:highlight w:val="none"/>
        </w:rPr>
        <w:t>（三）与采购人、其他投标人或者采购代理机构恶意串通的；</w:t>
      </w:r>
      <w:bookmarkEnd w:id="413"/>
    </w:p>
    <w:p w14:paraId="66C98793">
      <w:pPr>
        <w:spacing w:line="480" w:lineRule="exact"/>
        <w:ind w:firstLine="480"/>
        <w:rPr>
          <w:rFonts w:hint="eastAsia" w:ascii="宋体" w:hAnsi="宋体" w:cs="宋体"/>
          <w:color w:val="auto"/>
          <w:sz w:val="24"/>
          <w:highlight w:val="none"/>
        </w:rPr>
      </w:pPr>
      <w:bookmarkStart w:id="414" w:name="_Toc17244"/>
      <w:r>
        <w:rPr>
          <w:rFonts w:hint="eastAsia" w:ascii="宋体" w:hAnsi="宋体" w:cs="宋体"/>
          <w:color w:val="auto"/>
          <w:sz w:val="24"/>
          <w:highlight w:val="none"/>
        </w:rPr>
        <w:t>（四）向采购人、采购代理机构行贿或者提供其他不正当利益的；</w:t>
      </w:r>
      <w:bookmarkEnd w:id="414"/>
    </w:p>
    <w:p w14:paraId="3F41FD99">
      <w:pPr>
        <w:spacing w:line="480" w:lineRule="exact"/>
        <w:ind w:firstLine="480"/>
        <w:rPr>
          <w:rFonts w:hint="eastAsia" w:ascii="宋体" w:hAnsi="宋体" w:cs="宋体"/>
          <w:color w:val="auto"/>
          <w:sz w:val="24"/>
          <w:highlight w:val="none"/>
        </w:rPr>
      </w:pPr>
      <w:bookmarkStart w:id="415" w:name="_Toc22488"/>
      <w:r>
        <w:rPr>
          <w:rFonts w:hint="eastAsia" w:ascii="宋体" w:hAnsi="宋体" w:cs="宋体"/>
          <w:color w:val="auto"/>
          <w:sz w:val="24"/>
          <w:highlight w:val="none"/>
        </w:rPr>
        <w:t>（五）在招标采购过程中与采购人进行协商谈判的；</w:t>
      </w:r>
      <w:bookmarkEnd w:id="415"/>
    </w:p>
    <w:p w14:paraId="1FA4DA85">
      <w:pPr>
        <w:spacing w:line="480" w:lineRule="exact"/>
        <w:ind w:firstLine="480"/>
        <w:rPr>
          <w:rFonts w:hint="eastAsia" w:ascii="宋体" w:hAnsi="宋体" w:cs="宋体"/>
          <w:color w:val="auto"/>
          <w:sz w:val="24"/>
          <w:highlight w:val="none"/>
        </w:rPr>
      </w:pPr>
      <w:bookmarkStart w:id="416" w:name="_Toc4216"/>
      <w:r>
        <w:rPr>
          <w:rFonts w:hint="eastAsia" w:ascii="宋体" w:hAnsi="宋体" w:cs="宋体"/>
          <w:color w:val="auto"/>
          <w:sz w:val="24"/>
          <w:highlight w:val="none"/>
        </w:rPr>
        <w:t>（六）拒绝有关部门监督检查或提供虚假情况的。</w:t>
      </w:r>
      <w:bookmarkEnd w:id="416"/>
    </w:p>
    <w:p w14:paraId="352BCB58">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9.如中标，本投标文件至本项目合同履行完毕止均保持有效，我方将按招标文件及政府采购法律、法规的规定履行合同责任和义务。</w:t>
      </w:r>
    </w:p>
    <w:p w14:paraId="201084C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10.以上事项如有虚假或隐瞒，我方愿意承担一切不利后果，并不再寻求任何旨在减轻或免除法律责任。</w:t>
      </w:r>
    </w:p>
    <w:p w14:paraId="2A719BD0">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与本次投标有关的一切正式往来信函请寄：</w:t>
      </w:r>
    </w:p>
    <w:p w14:paraId="1A757493">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339C8E01">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传真：           </w:t>
      </w:r>
    </w:p>
    <w:p w14:paraId="1DBC91A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kern w:val="0"/>
          <w:sz w:val="24"/>
          <w:highlight w:val="none"/>
          <w:lang w:val="zh-CN"/>
        </w:rPr>
        <w:t>(电子签名）</w:t>
      </w:r>
      <w:r>
        <w:rPr>
          <w:rFonts w:hint="eastAsia" w:ascii="宋体" w:hAnsi="宋体" w:cs="宋体"/>
          <w:color w:val="auto"/>
          <w:sz w:val="24"/>
          <w:highlight w:val="none"/>
        </w:rPr>
        <w:t xml:space="preserve">：                </w:t>
      </w:r>
    </w:p>
    <w:p w14:paraId="3BDD50C9">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5A1A8C64">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8"/>
          <w:szCs w:val="28"/>
          <w:highlight w:val="none"/>
        </w:rPr>
        <w:t>附件21</w:t>
      </w:r>
    </w:p>
    <w:p w14:paraId="1D2CE0F2">
      <w:pPr>
        <w:jc w:val="center"/>
        <w:rPr>
          <w:rFonts w:hint="eastAsia" w:ascii="黑体" w:hAnsi="宋体" w:eastAsia="黑体"/>
          <w:b/>
          <w:bCs/>
          <w:kern w:val="0"/>
          <w:sz w:val="32"/>
          <w:szCs w:val="32"/>
          <w:lang w:val="zh-CN"/>
        </w:rPr>
      </w:pPr>
      <w:bookmarkStart w:id="417" w:name="_Toc2411"/>
      <w:bookmarkStart w:id="418" w:name="_Toc25044"/>
      <w:bookmarkStart w:id="419" w:name="_Toc5493"/>
      <w:bookmarkStart w:id="420" w:name="_Toc18821"/>
      <w:r>
        <w:rPr>
          <w:rFonts w:hint="eastAsia" w:ascii="黑体" w:hAnsi="宋体" w:eastAsia="黑体"/>
          <w:b/>
          <w:bCs/>
          <w:kern w:val="0"/>
          <w:sz w:val="32"/>
          <w:szCs w:val="32"/>
          <w:lang w:val="zh-CN"/>
        </w:rPr>
        <w:t>开标一览表</w:t>
      </w:r>
    </w:p>
    <w:p w14:paraId="57F9D0EF">
      <w:pPr>
        <w:jc w:val="center"/>
        <w:rPr>
          <w:sz w:val="24"/>
        </w:rPr>
      </w:pPr>
      <w:r>
        <w:rPr>
          <w:rFonts w:hint="eastAsia" w:ascii="宋体" w:hAnsi="宋体" w:cs="宋体"/>
          <w:sz w:val="24"/>
        </w:rPr>
        <w:t xml:space="preserve"> 标项一:  </w:t>
      </w:r>
      <w:r>
        <w:rPr>
          <w:rFonts w:hint="eastAsia"/>
          <w:sz w:val="24"/>
        </w:rPr>
        <w:t xml:space="preserve">                                          单位：人民币（元）</w:t>
      </w:r>
    </w:p>
    <w:tbl>
      <w:tblPr>
        <w:tblStyle w:val="5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1831"/>
        <w:gridCol w:w="4868"/>
      </w:tblGrid>
      <w:tr w14:paraId="5EAE5A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249" w:type="dxa"/>
            <w:noWrap w:val="0"/>
            <w:vAlign w:val="center"/>
          </w:tcPr>
          <w:p w14:paraId="3F239EA3">
            <w:pPr>
              <w:adjustRightInd w:val="0"/>
              <w:snapToGrid w:val="0"/>
              <w:spacing w:line="312" w:lineRule="auto"/>
              <w:ind w:firstLine="480" w:firstLineChars="200"/>
              <w:rPr>
                <w:rFonts w:hint="eastAsia"/>
                <w:sz w:val="24"/>
              </w:rPr>
            </w:pPr>
            <w:r>
              <w:rPr>
                <w:rFonts w:hint="eastAsia"/>
                <w:sz w:val="24"/>
                <w:lang w:val="zh-CN"/>
              </w:rPr>
              <w:t>项目</w:t>
            </w:r>
            <w:r>
              <w:rPr>
                <w:rFonts w:hint="eastAsia"/>
                <w:sz w:val="24"/>
              </w:rPr>
              <w:t>名称</w:t>
            </w:r>
          </w:p>
        </w:tc>
        <w:tc>
          <w:tcPr>
            <w:tcW w:w="1831" w:type="dxa"/>
            <w:noWrap w:val="0"/>
            <w:vAlign w:val="center"/>
          </w:tcPr>
          <w:p w14:paraId="6F50D9D1">
            <w:pPr>
              <w:adjustRightInd w:val="0"/>
              <w:snapToGrid w:val="0"/>
              <w:spacing w:line="312" w:lineRule="auto"/>
              <w:jc w:val="center"/>
              <w:rPr>
                <w:rFonts w:hint="eastAsia"/>
                <w:sz w:val="24"/>
                <w:lang w:val="zh-CN"/>
              </w:rPr>
            </w:pPr>
            <w:r>
              <w:rPr>
                <w:rFonts w:hint="eastAsia"/>
                <w:sz w:val="24"/>
                <w:lang w:val="zh-CN"/>
              </w:rPr>
              <w:t>数量（</w:t>
            </w:r>
            <w:r>
              <w:rPr>
                <w:rFonts w:hint="eastAsia"/>
                <w:sz w:val="24"/>
                <w:lang w:val="en-US" w:eastAsia="zh-CN"/>
              </w:rPr>
              <w:t>株</w:t>
            </w:r>
            <w:r>
              <w:rPr>
                <w:rFonts w:hint="eastAsia"/>
                <w:sz w:val="24"/>
                <w:lang w:val="zh-CN"/>
              </w:rPr>
              <w:t>）</w:t>
            </w:r>
          </w:p>
        </w:tc>
        <w:tc>
          <w:tcPr>
            <w:tcW w:w="4868" w:type="dxa"/>
            <w:noWrap w:val="0"/>
            <w:vAlign w:val="center"/>
          </w:tcPr>
          <w:p w14:paraId="728CF771">
            <w:pPr>
              <w:adjustRightInd w:val="0"/>
              <w:snapToGrid w:val="0"/>
              <w:spacing w:line="312" w:lineRule="auto"/>
              <w:jc w:val="center"/>
              <w:rPr>
                <w:rFonts w:hint="eastAsia"/>
                <w:lang w:val="zh-CN"/>
              </w:rPr>
            </w:pPr>
            <w:r>
              <w:rPr>
                <w:rFonts w:hint="eastAsia"/>
                <w:sz w:val="24"/>
              </w:rPr>
              <w:t>单价:（元/吨）</w:t>
            </w:r>
          </w:p>
        </w:tc>
      </w:tr>
      <w:tr w14:paraId="61B92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3249" w:type="dxa"/>
            <w:noWrap w:val="0"/>
            <w:vAlign w:val="center"/>
          </w:tcPr>
          <w:p w14:paraId="5A17CB46">
            <w:pPr>
              <w:pStyle w:val="29"/>
              <w:snapToGrid w:val="0"/>
              <w:spacing w:before="120" w:after="120" w:line="360" w:lineRule="auto"/>
              <w:jc w:val="left"/>
              <w:rPr>
                <w:rFonts w:hAnsi="宋体"/>
                <w:b/>
                <w:bCs/>
                <w:color w:val="000000"/>
              </w:rPr>
            </w:pPr>
            <w:r>
              <w:rPr>
                <w:rFonts w:hint="eastAsia" w:hAnsi="宋体" w:cs="宋体"/>
                <w:kern w:val="0"/>
                <w:lang w:eastAsia="zh-CN" w:bidi="ar"/>
              </w:rPr>
              <w:t>2025年大盘山松材线虫病枯死松树清理服务项目</w:t>
            </w:r>
          </w:p>
        </w:tc>
        <w:tc>
          <w:tcPr>
            <w:tcW w:w="1831" w:type="dxa"/>
            <w:noWrap w:val="0"/>
            <w:vAlign w:val="center"/>
          </w:tcPr>
          <w:p w14:paraId="6CA41BDB">
            <w:pPr>
              <w:adjustRightInd w:val="0"/>
              <w:snapToGrid w:val="0"/>
              <w:spacing w:line="312" w:lineRule="auto"/>
              <w:jc w:val="center"/>
              <w:rPr>
                <w:rFonts w:hint="default" w:eastAsia="宋体"/>
                <w:sz w:val="24"/>
                <w:lang w:val="en-US" w:eastAsia="zh-CN"/>
              </w:rPr>
            </w:pPr>
            <w:r>
              <w:rPr>
                <w:rFonts w:hint="eastAsia" w:asciiTheme="minorEastAsia" w:hAnsiTheme="minorEastAsia" w:eastAsiaTheme="minorEastAsia" w:cstheme="minorEastAsia"/>
                <w:i w:val="0"/>
                <w:iCs w:val="0"/>
                <w:caps w:val="0"/>
                <w:spacing w:val="0"/>
                <w:sz w:val="24"/>
                <w:szCs w:val="24"/>
                <w:shd w:val="clear" w:color="auto" w:fill="FFFFFF"/>
              </w:rPr>
              <w:t>最终以中标单价乘以实际</w:t>
            </w:r>
            <w:r>
              <w:rPr>
                <w:rFonts w:hint="eastAsia" w:asciiTheme="minorEastAsia" w:hAnsiTheme="minorEastAsia" w:eastAsiaTheme="minorEastAsia" w:cstheme="minorEastAsia"/>
                <w:i w:val="0"/>
                <w:iCs w:val="0"/>
                <w:caps w:val="0"/>
                <w:spacing w:val="0"/>
                <w:sz w:val="24"/>
                <w:szCs w:val="24"/>
                <w:shd w:val="clear" w:color="auto" w:fill="FFFFFF"/>
                <w:lang w:val="en-US" w:eastAsia="zh-CN"/>
              </w:rPr>
              <w:t>株</w:t>
            </w:r>
            <w:r>
              <w:rPr>
                <w:rFonts w:hint="eastAsia" w:asciiTheme="minorEastAsia" w:hAnsiTheme="minorEastAsia" w:eastAsiaTheme="minorEastAsia" w:cstheme="minorEastAsia"/>
                <w:i w:val="0"/>
                <w:iCs w:val="0"/>
                <w:caps w:val="0"/>
                <w:spacing w:val="0"/>
                <w:sz w:val="24"/>
                <w:szCs w:val="24"/>
                <w:shd w:val="clear" w:color="auto" w:fill="FFFFFF"/>
              </w:rPr>
              <w:t>数结算</w:t>
            </w:r>
          </w:p>
        </w:tc>
        <w:tc>
          <w:tcPr>
            <w:tcW w:w="4868" w:type="dxa"/>
            <w:noWrap w:val="0"/>
            <w:vAlign w:val="center"/>
          </w:tcPr>
          <w:p w14:paraId="02C93379">
            <w:pPr>
              <w:adjustRightInd w:val="0"/>
              <w:snapToGrid w:val="0"/>
              <w:spacing w:line="312" w:lineRule="auto"/>
              <w:jc w:val="left"/>
              <w:rPr>
                <w:rFonts w:hint="eastAsia" w:eastAsia="宋体"/>
                <w:sz w:val="24"/>
                <w:lang w:eastAsia="zh-CN"/>
              </w:rPr>
            </w:pPr>
            <w:r>
              <w:rPr>
                <w:rFonts w:hint="eastAsia"/>
                <w:sz w:val="24"/>
                <w:lang w:val="zh-CN"/>
              </w:rPr>
              <w:t>人民币大写：</w:t>
            </w:r>
            <w:r>
              <w:rPr>
                <w:rFonts w:hint="eastAsia"/>
                <w:sz w:val="24"/>
                <w:u w:val="single"/>
                <w:lang w:val="zh-CN"/>
              </w:rPr>
              <w:t xml:space="preserve">               </w:t>
            </w:r>
            <w:r>
              <w:rPr>
                <w:rFonts w:hint="eastAsia"/>
                <w:sz w:val="24"/>
                <w:lang w:val="zh-CN"/>
              </w:rPr>
              <w:t>元</w:t>
            </w:r>
            <w:r>
              <w:rPr>
                <w:rFonts w:hint="eastAsia"/>
                <w:sz w:val="24"/>
              </w:rPr>
              <w:t>/</w:t>
            </w:r>
            <w:r>
              <w:rPr>
                <w:rFonts w:hint="eastAsia"/>
                <w:sz w:val="24"/>
                <w:lang w:val="en-US" w:eastAsia="zh-CN"/>
              </w:rPr>
              <w:t>株</w:t>
            </w:r>
          </w:p>
          <w:p w14:paraId="0304A4BB">
            <w:pPr>
              <w:adjustRightInd w:val="0"/>
              <w:snapToGrid w:val="0"/>
              <w:spacing w:line="312" w:lineRule="auto"/>
              <w:jc w:val="left"/>
              <w:rPr>
                <w:rFonts w:hint="eastAsia" w:eastAsia="宋体"/>
                <w:sz w:val="24"/>
                <w:u w:val="single"/>
                <w:lang w:eastAsia="zh-CN"/>
              </w:rPr>
            </w:pPr>
            <w:r>
              <w:rPr>
                <w:rFonts w:hint="eastAsia"/>
                <w:sz w:val="24"/>
              </w:rPr>
              <w:t>小写：</w:t>
            </w:r>
            <w:r>
              <w:rPr>
                <w:rFonts w:hint="eastAsia"/>
                <w:sz w:val="24"/>
                <w:u w:val="single"/>
              </w:rPr>
              <w:t xml:space="preserve">                     </w:t>
            </w:r>
            <w:r>
              <w:rPr>
                <w:rFonts w:hint="eastAsia"/>
                <w:sz w:val="24"/>
              </w:rPr>
              <w:t>元/</w:t>
            </w:r>
            <w:r>
              <w:rPr>
                <w:rFonts w:hint="eastAsia"/>
                <w:sz w:val="24"/>
                <w:lang w:val="en-US" w:eastAsia="zh-CN"/>
              </w:rPr>
              <w:t>株</w:t>
            </w:r>
          </w:p>
        </w:tc>
      </w:tr>
    </w:tbl>
    <w:p w14:paraId="77C8E5A0">
      <w:pPr>
        <w:widowControl/>
        <w:spacing w:line="400" w:lineRule="exact"/>
        <w:jc w:val="left"/>
        <w:rPr>
          <w:rFonts w:hint="eastAsia" w:cs="宋体"/>
          <w:sz w:val="21"/>
          <w:szCs w:val="21"/>
        </w:rPr>
      </w:pPr>
      <w:r>
        <w:rPr>
          <w:rFonts w:hint="eastAsia" w:ascii="宋体" w:hAnsi="宋体" w:cs="宋体"/>
          <w:sz w:val="21"/>
          <w:szCs w:val="21"/>
        </w:rPr>
        <w:t>注：</w:t>
      </w:r>
      <w:r>
        <w:rPr>
          <w:rFonts w:hint="eastAsia" w:ascii="宋体" w:hAnsi="宋体" w:cs="宋体"/>
          <w:sz w:val="21"/>
          <w:szCs w:val="21"/>
          <w:lang w:val="zh-CN"/>
        </w:rPr>
        <w:t>1、</w:t>
      </w:r>
      <w:r>
        <w:rPr>
          <w:rFonts w:hint="eastAsia" w:ascii="宋体" w:hAnsi="宋体" w:cs="宋体"/>
          <w:sz w:val="21"/>
          <w:szCs w:val="21"/>
        </w:rPr>
        <w:t>报价应</w:t>
      </w:r>
      <w:r>
        <w:rPr>
          <w:rFonts w:hint="eastAsia" w:cs="宋体"/>
          <w:sz w:val="21"/>
          <w:szCs w:val="21"/>
        </w:rPr>
        <w:t>包括自疫木采伐整个清理过程所发生的一切费用，包括枯死松树采伐、</w:t>
      </w:r>
      <w:r>
        <w:rPr>
          <w:rFonts w:hint="eastAsia" w:cs="宋体"/>
          <w:sz w:val="21"/>
          <w:szCs w:val="21"/>
          <w:lang w:val="en-US" w:eastAsia="zh-CN"/>
        </w:rPr>
        <w:t>铁</w:t>
      </w:r>
      <w:r>
        <w:rPr>
          <w:rFonts w:hint="eastAsia" w:ascii="宋体" w:hAnsi="宋体" w:eastAsia="宋体"/>
          <w:color w:val="000000"/>
          <w:sz w:val="21"/>
          <w:szCs w:val="21"/>
        </w:rPr>
        <w:t>丝网</w:t>
      </w:r>
      <w:r>
        <w:rPr>
          <w:rFonts w:hint="eastAsia" w:ascii="宋体" w:hAnsi="宋体"/>
          <w:color w:val="000000"/>
          <w:sz w:val="21"/>
          <w:szCs w:val="21"/>
          <w:lang w:eastAsia="zh-CN"/>
        </w:rPr>
        <w:t>、</w:t>
      </w:r>
      <w:r>
        <w:rPr>
          <w:rFonts w:hint="eastAsia" w:cs="宋体"/>
          <w:sz w:val="21"/>
          <w:szCs w:val="21"/>
          <w:lang w:val="en-US" w:eastAsia="zh-CN"/>
        </w:rPr>
        <w:t>铁</w:t>
      </w:r>
      <w:r>
        <w:rPr>
          <w:rFonts w:hint="eastAsia" w:ascii="宋体" w:hAnsi="宋体" w:eastAsia="宋体"/>
          <w:color w:val="000000"/>
          <w:sz w:val="21"/>
          <w:szCs w:val="21"/>
        </w:rPr>
        <w:t>丝网封锁处理</w:t>
      </w:r>
      <w:r>
        <w:rPr>
          <w:rFonts w:hint="eastAsia" w:ascii="宋体" w:hAnsi="宋体" w:eastAsia="宋体"/>
          <w:color w:val="000000"/>
          <w:sz w:val="21"/>
          <w:szCs w:val="21"/>
          <w:lang w:eastAsia="zh-CN"/>
        </w:rPr>
        <w:t>、</w:t>
      </w:r>
      <w:r>
        <w:rPr>
          <w:rFonts w:hint="eastAsia" w:cs="宋体"/>
          <w:sz w:val="21"/>
          <w:szCs w:val="21"/>
        </w:rPr>
        <w:t>造材、伐桩处理、枝桠处理、</w:t>
      </w:r>
      <w:r>
        <w:rPr>
          <w:rFonts w:hint="eastAsia" w:cs="宋体"/>
          <w:sz w:val="21"/>
          <w:szCs w:val="21"/>
          <w:lang w:val="en-US" w:eastAsia="zh-CN"/>
        </w:rPr>
        <w:t>招标代理费、</w:t>
      </w:r>
      <w:r>
        <w:rPr>
          <w:rFonts w:hint="eastAsia" w:cs="宋体"/>
          <w:sz w:val="21"/>
          <w:szCs w:val="21"/>
        </w:rPr>
        <w:t>人工搬运、运输、安全（保险）、税收及源头监管费、人员工资、机械材料、利润、税金、测量、勘察、保险（施工人员一律参加工伤保险）等完成合同所需的一切本身和不可或缺的所有工作开支、政策性文件规定及合同包含的所有风险、责任等各项全部费用。如有漏项，视为已包含在其它项目中。</w:t>
      </w:r>
    </w:p>
    <w:p w14:paraId="415C6FE2">
      <w:pPr>
        <w:widowControl/>
        <w:numPr>
          <w:ilvl w:val="0"/>
          <w:numId w:val="4"/>
        </w:numPr>
        <w:spacing w:line="400" w:lineRule="exact"/>
        <w:ind w:left="0" w:leftChars="0" w:firstLine="420" w:firstLineChars="200"/>
        <w:jc w:val="left"/>
        <w:rPr>
          <w:rFonts w:hint="eastAsia" w:ascii="宋体" w:hAnsi="宋体" w:eastAsia="宋体" w:cs="宋体"/>
        </w:rPr>
      </w:pPr>
      <w:r>
        <w:rPr>
          <w:rFonts w:hint="eastAsia" w:ascii="宋体" w:hAnsi="宋体" w:eastAsia="宋体" w:cs="宋体"/>
        </w:rPr>
        <w:t>报价一经涂改，应在涂改处加盖单位公章或由法定代表人或授权委托人签字或盖章，否则其报价文件不进入评审。</w:t>
      </w:r>
    </w:p>
    <w:p w14:paraId="5DE7250D">
      <w:pPr>
        <w:widowControl/>
        <w:numPr>
          <w:ilvl w:val="0"/>
          <w:numId w:val="0"/>
        </w:numPr>
        <w:spacing w:line="400" w:lineRule="exact"/>
        <w:ind w:leftChars="200"/>
        <w:jc w:val="left"/>
        <w:rPr>
          <w:rFonts w:hint="eastAsia" w:ascii="宋体" w:hAnsi="宋体" w:cs="宋体"/>
          <w:lang w:val="zh-CN"/>
        </w:rPr>
      </w:pPr>
      <w:r>
        <w:rPr>
          <w:rFonts w:hint="eastAsia" w:ascii="宋体" w:hAnsi="宋体" w:cs="宋体"/>
        </w:rPr>
        <w:t>▲</w:t>
      </w:r>
      <w:r>
        <w:rPr>
          <w:rFonts w:hint="eastAsia" w:ascii="宋体" w:hAnsi="宋体" w:cs="宋体"/>
          <w:lang w:val="en-US" w:eastAsia="zh-CN"/>
        </w:rPr>
        <w:t>3</w:t>
      </w:r>
      <w:r>
        <w:rPr>
          <w:rFonts w:hint="eastAsia" w:ascii="宋体" w:hAnsi="宋体" w:cs="宋体"/>
          <w:lang w:val="zh-CN"/>
        </w:rPr>
        <w:t>、报价不得超过限价。</w:t>
      </w:r>
    </w:p>
    <w:p w14:paraId="436431E6">
      <w:pPr>
        <w:pStyle w:val="535"/>
        <w:snapToGrid w:val="0"/>
        <w:spacing w:before="120" w:line="360" w:lineRule="auto"/>
        <w:rPr>
          <w:rFonts w:hint="eastAsia" w:ascii="宋体" w:hAnsi="宋体" w:cs="宋体"/>
          <w:color w:val="000000"/>
          <w:szCs w:val="24"/>
        </w:rPr>
      </w:pPr>
    </w:p>
    <w:p w14:paraId="7C23EBD1">
      <w:pPr>
        <w:pStyle w:val="535"/>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14:paraId="458910A5">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14:paraId="6E1D2B4F">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14:paraId="45A77A70">
      <w:pPr>
        <w:snapToGrid w:val="0"/>
        <w:spacing w:line="400" w:lineRule="exact"/>
        <w:jc w:val="left"/>
        <w:rPr>
          <w:rFonts w:hint="eastAsia" w:ascii="宋体" w:hAnsi="宋体"/>
          <w:sz w:val="24"/>
        </w:rPr>
      </w:pPr>
    </w:p>
    <w:p w14:paraId="46201834">
      <w:pPr>
        <w:snapToGrid w:val="0"/>
        <w:spacing w:line="400" w:lineRule="exact"/>
        <w:jc w:val="left"/>
        <w:rPr>
          <w:rFonts w:hint="eastAsia" w:ascii="宋体" w:hAnsi="宋体"/>
          <w:sz w:val="24"/>
        </w:rPr>
      </w:pPr>
    </w:p>
    <w:p w14:paraId="2037F6B2">
      <w:pPr>
        <w:snapToGrid w:val="0"/>
        <w:spacing w:line="400" w:lineRule="exact"/>
        <w:jc w:val="left"/>
        <w:rPr>
          <w:rFonts w:hint="eastAsia" w:ascii="宋体" w:hAnsi="宋体"/>
          <w:sz w:val="24"/>
        </w:rPr>
      </w:pPr>
    </w:p>
    <w:p w14:paraId="753B6FA4">
      <w:pPr>
        <w:snapToGrid w:val="0"/>
        <w:spacing w:line="400" w:lineRule="exact"/>
        <w:jc w:val="left"/>
        <w:rPr>
          <w:rFonts w:hint="eastAsia" w:ascii="宋体" w:hAnsi="宋体"/>
          <w:sz w:val="24"/>
        </w:rPr>
      </w:pPr>
    </w:p>
    <w:p w14:paraId="10528D69">
      <w:pPr>
        <w:snapToGrid w:val="0"/>
        <w:spacing w:line="400" w:lineRule="exact"/>
        <w:jc w:val="left"/>
        <w:rPr>
          <w:rFonts w:hint="eastAsia" w:ascii="宋体" w:hAnsi="宋体"/>
          <w:sz w:val="24"/>
        </w:rPr>
      </w:pPr>
    </w:p>
    <w:p w14:paraId="2C1C04DB">
      <w:pPr>
        <w:snapToGrid w:val="0"/>
        <w:spacing w:line="400" w:lineRule="exact"/>
        <w:jc w:val="left"/>
        <w:rPr>
          <w:rFonts w:hint="eastAsia" w:ascii="宋体" w:hAnsi="宋体"/>
          <w:sz w:val="24"/>
        </w:rPr>
      </w:pPr>
    </w:p>
    <w:p w14:paraId="0404519E">
      <w:pPr>
        <w:snapToGrid w:val="0"/>
        <w:spacing w:line="400" w:lineRule="exact"/>
        <w:jc w:val="left"/>
        <w:rPr>
          <w:rFonts w:hint="eastAsia" w:ascii="宋体" w:hAnsi="宋体"/>
          <w:sz w:val="24"/>
        </w:rPr>
      </w:pPr>
    </w:p>
    <w:bookmarkEnd w:id="417"/>
    <w:bookmarkEnd w:id="418"/>
    <w:bookmarkEnd w:id="419"/>
    <w:bookmarkEnd w:id="420"/>
    <w:p w14:paraId="2A44D948">
      <w:pPr>
        <w:pStyle w:val="22"/>
        <w:rPr>
          <w:color w:val="auto"/>
          <w:highlight w:val="none"/>
        </w:rPr>
      </w:pPr>
    </w:p>
    <w:p w14:paraId="3A35978D">
      <w:pPr>
        <w:pStyle w:val="25"/>
        <w:framePr w:hSpace="180" w:wrap="around" w:vAnchor="text" w:hAnchor="text" w:y="1"/>
        <w:rPr>
          <w:color w:val="auto"/>
          <w:highlight w:val="none"/>
        </w:rPr>
      </w:pPr>
    </w:p>
    <w:p w14:paraId="031D88C9">
      <w:pPr>
        <w:pStyle w:val="25"/>
        <w:framePr w:hSpace="180" w:wrap="around" w:vAnchor="text" w:hAnchor="text" w:y="1"/>
        <w:rPr>
          <w:color w:val="auto"/>
          <w:highlight w:val="none"/>
        </w:rPr>
      </w:pPr>
    </w:p>
    <w:p w14:paraId="4E253764">
      <w:pPr>
        <w:pStyle w:val="34"/>
        <w:rPr>
          <w:color w:val="auto"/>
          <w:highlight w:val="none"/>
        </w:rPr>
      </w:pPr>
    </w:p>
    <w:p w14:paraId="7D43DF0B">
      <w:pPr>
        <w:pStyle w:val="2"/>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附件23</w:t>
      </w:r>
    </w:p>
    <w:p w14:paraId="386C5BC6">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916AA28">
      <w:pPr>
        <w:pStyle w:val="52"/>
        <w:spacing w:line="400" w:lineRule="exact"/>
        <w:rPr>
          <w:color w:val="auto"/>
          <w:highlight w:val="none"/>
        </w:rPr>
      </w:pPr>
    </w:p>
    <w:p w14:paraId="574642B8">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14:paraId="6B006B5B">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14:paraId="4E818BE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14:paraId="45B8F26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14:paraId="1416737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14:paraId="7B863064">
      <w:pPr>
        <w:snapToGrid w:val="0"/>
        <w:spacing w:line="3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14:paraId="6CD98018">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39D47316">
      <w:pPr>
        <w:snapToGrid w:val="0"/>
        <w:spacing w:line="360" w:lineRule="exact"/>
        <w:ind w:left="84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14:paraId="4DBA54F8">
      <w:pPr>
        <w:snapToGrid w:val="0"/>
        <w:spacing w:line="36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5A376C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14:paraId="5EA18986">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097326C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14:paraId="04A36FEA">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5F2C48E9">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14:paraId="08EBEB45">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A791684">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14:paraId="4C292362">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D3FACE7">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14:paraId="50A04AD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5964E44F">
      <w:pPr>
        <w:snapToGrid w:val="0"/>
        <w:spacing w:line="360" w:lineRule="exact"/>
        <w:ind w:firstLine="840" w:firstLineChars="300"/>
        <w:rPr>
          <w:rFonts w:ascii="仿宋" w:hAnsi="仿宋" w:eastAsia="仿宋"/>
          <w:color w:val="auto"/>
          <w:sz w:val="28"/>
          <w:szCs w:val="28"/>
          <w:highlight w:val="none"/>
          <w:lang w:val="zh-CN"/>
        </w:rPr>
      </w:pPr>
    </w:p>
    <w:p w14:paraId="07A8A010">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18245D4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14:paraId="721613D1">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sectPr>
      <w:pgSz w:w="11906" w:h="16838"/>
      <w:pgMar w:top="1440" w:right="110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47BE">
    <w:pPr>
      <w:pStyle w:val="34"/>
      <w:ind w:right="720" w:firstLine="180" w:firstLineChars="100"/>
      <w:jc w:val="right"/>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0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AiffGAQAAigMAAA4AAABkcnMvZTJvRG9jLnhtbK1TzW7bMAy+D9g7&#10;CLovdtJhy4I4RYGgw4BhK9DuARRZjgXoD6QSOy+wvcFOu+y+58pzjJLtdOguPfQikyL9kd9Han3d&#10;W8OOClB7V/H5rORMOelr7fYV//Zw+2bJGUbhamG8UxU/KeTXm9ev1l1YqYVvvakVMAJxuOpCxdsY&#10;w6ooULbKCpz5oBwFGw9WRHJhX9QgOkK3pliU5bui81AH8FIh0u12CPIREZ4D6JtGS7X18mCViwMq&#10;KCMiUcJWB+Sb3G3TKBm/Ng2qyEzFiWnMJxUhe5fOYrMWqz2I0Go5tiCe08ITTlZoR0UvUFsRBTuA&#10;/g/KagkefRNn0ttiIJIVIRbz8ok2960IKnMhqTFcRMeXg5VfjnfAdF3xt+WH95w5YWnm558/zr/+&#10;nH9/Z/Py6iqJ1AVcUe59uIPRQzIT474Bm77EhfVZ2NNFWNVHJulyvlwslyVpLik2OYRTPP4eAONH&#10;5S1LRsWBJpcFFcfPGIfUKSVVMy6dzt9qY4ZouilSm0NjyYr9rh+73fn6REQ7mnTFHS02Z+aTIyHT&#10;UkwGTMZuMg4B9L7NW5PqYbg5RKqZG0oVBtixMI0oUxrXKe3Av37OenxC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8CJ98YBAACKAwAADgAAAAAAAAABACAAAAAfAQAAZHJzL2Uyb0RvYy54&#10;bWxQSwUGAAAAAAYABgBZAQAAVwUAAAAA&#10;">
              <v:fill on="f" focussize="0,0"/>
              <v:stroke on="f"/>
              <v:imagedata o:title=""/>
              <o:lock v:ext="edit" aspectratio="f"/>
              <v:textbox inset="0mm,0mm,0mm,0mm" style="mso-fit-shape-to-text:t;">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rect>
          </w:pict>
        </mc:Fallback>
      </mc:AlternateContent>
    </w:r>
  </w:p>
  <w:p w14:paraId="6FC9F568">
    <w:pPr>
      <w:pStyle w:val="34"/>
      <w:tabs>
        <w:tab w:val="left" w:pos="5361"/>
      </w:tabs>
      <w:ind w:right="720" w:firstLine="18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20B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368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5693">
    <w:pPr>
      <w:pStyle w:val="3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7031">
    <w:pPr>
      <w:pStyle w:val="486"/>
      <w:jc w:val="center"/>
      <w:rPr>
        <w:rFonts w:hint="eastAsia" w:ascii="宋体" w:hAnsi="宋体" w:cs="宋体"/>
        <w:bCs/>
        <w:color w:val="000000"/>
        <w:sz w:val="21"/>
        <w:szCs w:val="21"/>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6F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DE5B">
    <w:pPr>
      <w:pStyle w:val="36"/>
      <w:rPr>
        <w:rFonts w:hint="defaul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nothing"/>
      <w:lvlText w:val="（%1）"/>
      <w:lvlJc w:val="left"/>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6"/>
    <w:multiLevelType w:val="singleLevel"/>
    <w:tmpl w:val="00000006"/>
    <w:lvl w:ilvl="0" w:tentative="0">
      <w:start w:val="1"/>
      <w:numFmt w:val="decimal"/>
      <w:suff w:val="space"/>
      <w:lvlText w:val="%1."/>
      <w:lvlJc w:val="left"/>
    </w:lvl>
  </w:abstractNum>
  <w:abstractNum w:abstractNumId="3">
    <w:nsid w:val="0A410586"/>
    <w:multiLevelType w:val="multilevel"/>
    <w:tmpl w:val="0A410586"/>
    <w:lvl w:ilvl="0" w:tentative="0">
      <w:start w:val="6"/>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27FD3CCB"/>
    <w:multiLevelType w:val="singleLevel"/>
    <w:tmpl w:val="27FD3CCB"/>
    <w:lvl w:ilvl="0" w:tentative="0">
      <w:start w:val="1"/>
      <w:numFmt w:val="chineseCounting"/>
      <w:suff w:val="nothing"/>
      <w:lvlText w:val="%1、"/>
      <w:lvlJc w:val="left"/>
      <w:rPr>
        <w:rFonts w:hint="eastAsia"/>
      </w:rPr>
    </w:lvl>
  </w:abstractNum>
  <w:abstractNum w:abstractNumId="5">
    <w:nsid w:val="5FA9D380"/>
    <w:multiLevelType w:val="singleLevel"/>
    <w:tmpl w:val="5FA9D380"/>
    <w:lvl w:ilvl="0" w:tentative="0">
      <w:start w:val="2"/>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2Q5MjRlNmExOTdkMDM4MzhjZTM2Mjc0OGM4MTEifQ=="/>
  </w:docVars>
  <w:rsids>
    <w:rsidRoot w:val="00000000"/>
    <w:rsid w:val="00CD79DA"/>
    <w:rsid w:val="019E6FCD"/>
    <w:rsid w:val="0206487F"/>
    <w:rsid w:val="026F7CDB"/>
    <w:rsid w:val="02877927"/>
    <w:rsid w:val="02E21402"/>
    <w:rsid w:val="033C2BF5"/>
    <w:rsid w:val="036D1000"/>
    <w:rsid w:val="03876D6B"/>
    <w:rsid w:val="03B169AD"/>
    <w:rsid w:val="04B81E61"/>
    <w:rsid w:val="04C063D7"/>
    <w:rsid w:val="059A1C9A"/>
    <w:rsid w:val="063607F1"/>
    <w:rsid w:val="06A85EF1"/>
    <w:rsid w:val="06C65CA6"/>
    <w:rsid w:val="076E27BD"/>
    <w:rsid w:val="07861947"/>
    <w:rsid w:val="082066F6"/>
    <w:rsid w:val="08A20D04"/>
    <w:rsid w:val="08BA0844"/>
    <w:rsid w:val="09A27CC9"/>
    <w:rsid w:val="0A8562FB"/>
    <w:rsid w:val="0AB12DC0"/>
    <w:rsid w:val="0B01794E"/>
    <w:rsid w:val="0BA123A9"/>
    <w:rsid w:val="0C4242BA"/>
    <w:rsid w:val="0C454D2B"/>
    <w:rsid w:val="0CD52951"/>
    <w:rsid w:val="0D222794"/>
    <w:rsid w:val="0D535FDB"/>
    <w:rsid w:val="0D782A7C"/>
    <w:rsid w:val="0E9C32EC"/>
    <w:rsid w:val="0F2729AB"/>
    <w:rsid w:val="10CA5E49"/>
    <w:rsid w:val="10FB5F8D"/>
    <w:rsid w:val="119721BC"/>
    <w:rsid w:val="122907E8"/>
    <w:rsid w:val="12477B58"/>
    <w:rsid w:val="136E0A24"/>
    <w:rsid w:val="14030ED7"/>
    <w:rsid w:val="15CE48D2"/>
    <w:rsid w:val="164D3B25"/>
    <w:rsid w:val="16D5357F"/>
    <w:rsid w:val="17944956"/>
    <w:rsid w:val="17E22640"/>
    <w:rsid w:val="186B5368"/>
    <w:rsid w:val="18CB59F9"/>
    <w:rsid w:val="18F15622"/>
    <w:rsid w:val="19DE635C"/>
    <w:rsid w:val="1A8446CF"/>
    <w:rsid w:val="1AB23A71"/>
    <w:rsid w:val="1B366512"/>
    <w:rsid w:val="1BD619E1"/>
    <w:rsid w:val="1BF63988"/>
    <w:rsid w:val="1C5439F9"/>
    <w:rsid w:val="1C6B2C5D"/>
    <w:rsid w:val="1D356676"/>
    <w:rsid w:val="1D774496"/>
    <w:rsid w:val="1D861831"/>
    <w:rsid w:val="1DBC4C07"/>
    <w:rsid w:val="1DDE149F"/>
    <w:rsid w:val="1E780762"/>
    <w:rsid w:val="1E96186E"/>
    <w:rsid w:val="1EEA0C04"/>
    <w:rsid w:val="1F6D2C39"/>
    <w:rsid w:val="1F941EB0"/>
    <w:rsid w:val="204E7715"/>
    <w:rsid w:val="207161E8"/>
    <w:rsid w:val="21932099"/>
    <w:rsid w:val="22444DB2"/>
    <w:rsid w:val="226B2757"/>
    <w:rsid w:val="23333F99"/>
    <w:rsid w:val="234436D4"/>
    <w:rsid w:val="23700025"/>
    <w:rsid w:val="238851DD"/>
    <w:rsid w:val="23B960C2"/>
    <w:rsid w:val="241252F3"/>
    <w:rsid w:val="246062EC"/>
    <w:rsid w:val="2665501F"/>
    <w:rsid w:val="2668060D"/>
    <w:rsid w:val="278F3A45"/>
    <w:rsid w:val="27AD45EA"/>
    <w:rsid w:val="27AD630B"/>
    <w:rsid w:val="27CB1630"/>
    <w:rsid w:val="27F30558"/>
    <w:rsid w:val="288F1DF5"/>
    <w:rsid w:val="2A1B7AD6"/>
    <w:rsid w:val="2ABB2A2D"/>
    <w:rsid w:val="2AE14A48"/>
    <w:rsid w:val="2B9C061A"/>
    <w:rsid w:val="2BAE5078"/>
    <w:rsid w:val="2BCF440F"/>
    <w:rsid w:val="2C152D41"/>
    <w:rsid w:val="2C506C46"/>
    <w:rsid w:val="2D554664"/>
    <w:rsid w:val="2DAF58C5"/>
    <w:rsid w:val="2DE86C88"/>
    <w:rsid w:val="2E5C6AA9"/>
    <w:rsid w:val="2F555D00"/>
    <w:rsid w:val="2F87059A"/>
    <w:rsid w:val="30FC727B"/>
    <w:rsid w:val="31046251"/>
    <w:rsid w:val="317B30D3"/>
    <w:rsid w:val="32E26284"/>
    <w:rsid w:val="33215423"/>
    <w:rsid w:val="336D5E60"/>
    <w:rsid w:val="33A01380"/>
    <w:rsid w:val="34370261"/>
    <w:rsid w:val="37C254A8"/>
    <w:rsid w:val="37F232A7"/>
    <w:rsid w:val="37F60FE9"/>
    <w:rsid w:val="3A0D2E9E"/>
    <w:rsid w:val="3A6920B9"/>
    <w:rsid w:val="3B605478"/>
    <w:rsid w:val="3BAE5149"/>
    <w:rsid w:val="3BFA6BCE"/>
    <w:rsid w:val="3C543CC3"/>
    <w:rsid w:val="3CB86A97"/>
    <w:rsid w:val="3CE1703B"/>
    <w:rsid w:val="3D5567B2"/>
    <w:rsid w:val="3D71524B"/>
    <w:rsid w:val="3D9928EF"/>
    <w:rsid w:val="3D9D01F3"/>
    <w:rsid w:val="3EBE1EF8"/>
    <w:rsid w:val="3F340315"/>
    <w:rsid w:val="3F991294"/>
    <w:rsid w:val="3F9D3432"/>
    <w:rsid w:val="3FCB17B4"/>
    <w:rsid w:val="3FFB4CC3"/>
    <w:rsid w:val="416E7EEE"/>
    <w:rsid w:val="42240501"/>
    <w:rsid w:val="423B0C04"/>
    <w:rsid w:val="425A6618"/>
    <w:rsid w:val="427B20EB"/>
    <w:rsid w:val="42A50B4A"/>
    <w:rsid w:val="42C21566"/>
    <w:rsid w:val="441647C1"/>
    <w:rsid w:val="46153EA2"/>
    <w:rsid w:val="465B1773"/>
    <w:rsid w:val="467B3BBD"/>
    <w:rsid w:val="46A558F2"/>
    <w:rsid w:val="4797765C"/>
    <w:rsid w:val="486317FC"/>
    <w:rsid w:val="48BD520B"/>
    <w:rsid w:val="48E56510"/>
    <w:rsid w:val="48EA0686"/>
    <w:rsid w:val="495F348C"/>
    <w:rsid w:val="4A38723F"/>
    <w:rsid w:val="4AD83CE4"/>
    <w:rsid w:val="4B047FAD"/>
    <w:rsid w:val="4C2511A1"/>
    <w:rsid w:val="4CD635C1"/>
    <w:rsid w:val="4D0A301F"/>
    <w:rsid w:val="4DE62AF9"/>
    <w:rsid w:val="4F3B1580"/>
    <w:rsid w:val="4FB5482F"/>
    <w:rsid w:val="519B61D1"/>
    <w:rsid w:val="52F145DB"/>
    <w:rsid w:val="52F15C61"/>
    <w:rsid w:val="53110BF4"/>
    <w:rsid w:val="533729FE"/>
    <w:rsid w:val="53B7107D"/>
    <w:rsid w:val="53F83504"/>
    <w:rsid w:val="541642DC"/>
    <w:rsid w:val="541E108B"/>
    <w:rsid w:val="546C1BCE"/>
    <w:rsid w:val="55D80A52"/>
    <w:rsid w:val="56091A90"/>
    <w:rsid w:val="560B2AF7"/>
    <w:rsid w:val="56373A45"/>
    <w:rsid w:val="56BA5B45"/>
    <w:rsid w:val="56EB3C0A"/>
    <w:rsid w:val="57213857"/>
    <w:rsid w:val="573F7FA4"/>
    <w:rsid w:val="574A6576"/>
    <w:rsid w:val="57E948DE"/>
    <w:rsid w:val="58DD7FD9"/>
    <w:rsid w:val="592F3F03"/>
    <w:rsid w:val="5960163C"/>
    <w:rsid w:val="59EA1BD8"/>
    <w:rsid w:val="5A2748B5"/>
    <w:rsid w:val="5A4100FB"/>
    <w:rsid w:val="5A4C3533"/>
    <w:rsid w:val="5A5862B4"/>
    <w:rsid w:val="5C0668B1"/>
    <w:rsid w:val="5CC627E1"/>
    <w:rsid w:val="5DD6AD61"/>
    <w:rsid w:val="5F056BF5"/>
    <w:rsid w:val="5F221E14"/>
    <w:rsid w:val="5F797390"/>
    <w:rsid w:val="5FB762F8"/>
    <w:rsid w:val="60C74E35"/>
    <w:rsid w:val="60D2083E"/>
    <w:rsid w:val="627B1D3B"/>
    <w:rsid w:val="62960B4F"/>
    <w:rsid w:val="630C3F05"/>
    <w:rsid w:val="63975814"/>
    <w:rsid w:val="63D75D2B"/>
    <w:rsid w:val="64AF84C6"/>
    <w:rsid w:val="64CA18A3"/>
    <w:rsid w:val="65631607"/>
    <w:rsid w:val="661441C0"/>
    <w:rsid w:val="661B79AA"/>
    <w:rsid w:val="661D0A7E"/>
    <w:rsid w:val="669435F8"/>
    <w:rsid w:val="66A15D14"/>
    <w:rsid w:val="66AA7FB2"/>
    <w:rsid w:val="6880545C"/>
    <w:rsid w:val="68A475DE"/>
    <w:rsid w:val="68D27528"/>
    <w:rsid w:val="68F93D66"/>
    <w:rsid w:val="693C608F"/>
    <w:rsid w:val="69AD3625"/>
    <w:rsid w:val="69ED37FE"/>
    <w:rsid w:val="6A471681"/>
    <w:rsid w:val="6BD35031"/>
    <w:rsid w:val="6C383807"/>
    <w:rsid w:val="6C60689B"/>
    <w:rsid w:val="6E0D0ADD"/>
    <w:rsid w:val="705160B5"/>
    <w:rsid w:val="70734EFA"/>
    <w:rsid w:val="70823CC9"/>
    <w:rsid w:val="7095763D"/>
    <w:rsid w:val="70E14F12"/>
    <w:rsid w:val="71334131"/>
    <w:rsid w:val="72DD0C5B"/>
    <w:rsid w:val="73590816"/>
    <w:rsid w:val="74956184"/>
    <w:rsid w:val="759727BC"/>
    <w:rsid w:val="761E4C8C"/>
    <w:rsid w:val="77E914E1"/>
    <w:rsid w:val="78153E6C"/>
    <w:rsid w:val="784952C1"/>
    <w:rsid w:val="78727B97"/>
    <w:rsid w:val="787E5EB6"/>
    <w:rsid w:val="795F14E6"/>
    <w:rsid w:val="79667075"/>
    <w:rsid w:val="798E1D1D"/>
    <w:rsid w:val="79C72B3E"/>
    <w:rsid w:val="7A55108A"/>
    <w:rsid w:val="7A70182E"/>
    <w:rsid w:val="7AF729C0"/>
    <w:rsid w:val="7B09761E"/>
    <w:rsid w:val="7B7315D6"/>
    <w:rsid w:val="7BAA5C96"/>
    <w:rsid w:val="7C4162F3"/>
    <w:rsid w:val="7CAB490D"/>
    <w:rsid w:val="7CD66AFD"/>
    <w:rsid w:val="7CF72A56"/>
    <w:rsid w:val="7D1E7437"/>
    <w:rsid w:val="7D334BEC"/>
    <w:rsid w:val="7D8C7EAD"/>
    <w:rsid w:val="7DF6183F"/>
    <w:rsid w:val="7E9E2E0E"/>
    <w:rsid w:val="7F113BA9"/>
    <w:rsid w:val="B1FF9501"/>
    <w:rsid w:val="ECEE1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00"/>
    <w:qFormat/>
    <w:uiPriority w:val="0"/>
    <w:pPr>
      <w:keepNext/>
      <w:keepLines/>
      <w:spacing w:before="260" w:after="260" w:line="413" w:lineRule="auto"/>
      <w:outlineLvl w:val="1"/>
    </w:pPr>
    <w:rPr>
      <w:b/>
      <w:bCs/>
      <w:kern w:val="44"/>
      <w:sz w:val="44"/>
      <w:szCs w:val="44"/>
    </w:rPr>
  </w:style>
  <w:style w:type="paragraph" w:styleId="4">
    <w:name w:val="heading 3"/>
    <w:basedOn w:val="1"/>
    <w:next w:val="1"/>
    <w:link w:val="7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2" w:lineRule="auto"/>
      <w:outlineLvl w:val="4"/>
    </w:pPr>
    <w:rPr>
      <w:b/>
      <w:bCs/>
      <w:sz w:val="28"/>
      <w:szCs w:val="28"/>
    </w:rPr>
  </w:style>
  <w:style w:type="paragraph" w:styleId="7">
    <w:name w:val="heading 6"/>
    <w:basedOn w:val="1"/>
    <w:next w:val="1"/>
    <w:link w:val="79"/>
    <w:qFormat/>
    <w:uiPriority w:val="0"/>
    <w:pPr>
      <w:keepNext/>
      <w:keepLines/>
      <w:spacing w:before="240" w:after="64" w:line="317" w:lineRule="auto"/>
      <w:outlineLvl w:val="5"/>
    </w:pPr>
    <w:rPr>
      <w:rFonts w:ascii="Arial" w:hAnsi="Arial" w:eastAsia="黑体"/>
      <w:b/>
      <w:bCs/>
      <w:sz w:val="24"/>
      <w:szCs w:val="20"/>
    </w:rPr>
  </w:style>
  <w:style w:type="paragraph" w:styleId="8">
    <w:name w:val="heading 7"/>
    <w:basedOn w:val="1"/>
    <w:next w:val="1"/>
    <w:link w:val="80"/>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qFormat/>
    <w:uiPriority w:val="0"/>
  </w:style>
  <w:style w:type="table" w:default="1" w:styleId="53">
    <w:name w:val="Normal Table"/>
    <w:qFormat/>
    <w:uiPriority w:val="99"/>
    <w:tblPr>
      <w:tblCellMar>
        <w:top w:w="0" w:type="dxa"/>
        <w:left w:w="108" w:type="dxa"/>
        <w:bottom w:w="0" w:type="dxa"/>
        <w:right w:w="108" w:type="dxa"/>
      </w:tblCellMar>
    </w:tblPr>
  </w:style>
  <w:style w:type="paragraph" w:styleId="11">
    <w:name w:val="Note Heading"/>
    <w:basedOn w:val="1"/>
    <w:next w:val="1"/>
    <w:link w:val="83"/>
    <w:qFormat/>
    <w:uiPriority w:val="0"/>
    <w:pPr>
      <w:jc w:val="center"/>
    </w:pPr>
    <w:rPr>
      <w:rFonts w:ascii="DFKai-SB" w:hAnsi="DFKai-SB" w:eastAsia="DFKai-SB"/>
      <w:kern w:val="0"/>
      <w:sz w:val="20"/>
      <w:szCs w:val="20"/>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4"/>
    <w:link w:val="84"/>
    <w:qFormat/>
    <w:uiPriority w:val="0"/>
    <w:pPr>
      <w:ind w:firstLine="420"/>
    </w:pPr>
    <w:rPr>
      <w:szCs w:val="20"/>
    </w:rPr>
  </w:style>
  <w:style w:type="paragraph" w:styleId="14">
    <w:name w:val="Body Text Indent"/>
    <w:basedOn w:val="1"/>
    <w:next w:val="1"/>
    <w:link w:val="88"/>
    <w:qFormat/>
    <w:uiPriority w:val="0"/>
    <w:pPr>
      <w:spacing w:line="200" w:lineRule="exact"/>
      <w:ind w:firstLine="301"/>
    </w:pPr>
    <w:rPr>
      <w:rFonts w:ascii="宋体" w:hAnsi="Courier New"/>
      <w:spacing w:val="-4"/>
      <w:sz w:val="18"/>
      <w:szCs w:val="20"/>
    </w:rPr>
  </w:style>
  <w:style w:type="paragraph" w:styleId="15">
    <w:name w:val="caption"/>
    <w:basedOn w:val="1"/>
    <w:next w:val="1"/>
    <w:link w:val="85"/>
    <w:qFormat/>
    <w:uiPriority w:val="0"/>
    <w:pPr>
      <w:spacing w:before="152" w:after="160"/>
    </w:pPr>
    <w:rPr>
      <w:rFonts w:ascii="Arial" w:hAnsi="Arial" w:eastAsia="黑体"/>
      <w:sz w:val="20"/>
      <w:szCs w:val="20"/>
    </w:rPr>
  </w:style>
  <w:style w:type="paragraph" w:styleId="16">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link w:val="86"/>
    <w:qFormat/>
    <w:uiPriority w:val="0"/>
    <w:pPr>
      <w:shd w:val="clear" w:color="auto" w:fill="000080"/>
    </w:pPr>
    <w:rPr>
      <w:shd w:val="clear" w:color="auto" w:fill="000080"/>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0"/>
    <w:pPr>
      <w:jc w:val="left"/>
    </w:pPr>
  </w:style>
  <w:style w:type="paragraph" w:styleId="20">
    <w:name w:val="Salutation"/>
    <w:basedOn w:val="1"/>
    <w:next w:val="1"/>
    <w:qFormat/>
    <w:uiPriority w:val="0"/>
    <w:rPr>
      <w:sz w:val="24"/>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3"/>
    <w:qFormat/>
    <w:uiPriority w:val="0"/>
    <w:pPr>
      <w:spacing w:after="120"/>
    </w:pPr>
    <w:rPr>
      <w:rFonts w:ascii="宋体" w:hAnsi="宋体"/>
      <w:kern w:val="0"/>
      <w:sz w:val="24"/>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ind w:left="113" w:right="113"/>
      <w:jc w:val="center"/>
    </w:pPr>
    <w:rPr>
      <w:sz w:val="18"/>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HTML Address"/>
    <w:basedOn w:val="1"/>
    <w:qFormat/>
    <w:uiPriority w:val="0"/>
    <w:rPr>
      <w:rFonts w:ascii="宋体" w:hAnsi="宋体"/>
      <w:i/>
      <w:iCs/>
      <w:kern w:val="0"/>
      <w:sz w:val="20"/>
    </w:rPr>
  </w:style>
  <w:style w:type="paragraph" w:styleId="28">
    <w:name w:val="toc 3"/>
    <w:basedOn w:val="1"/>
    <w:next w:val="1"/>
    <w:qFormat/>
    <w:uiPriority w:val="0"/>
    <w:pPr>
      <w:ind w:left="420"/>
      <w:jc w:val="left"/>
    </w:pPr>
    <w:rPr>
      <w:iCs/>
      <w:sz w:val="20"/>
      <w:szCs w:val="20"/>
    </w:rPr>
  </w:style>
  <w:style w:type="paragraph" w:styleId="29">
    <w:name w:val="Plain Text"/>
    <w:basedOn w:val="1"/>
    <w:next w:val="1"/>
    <w:link w:val="89"/>
    <w:qFormat/>
    <w:uiPriority w:val="0"/>
    <w:pPr>
      <w:spacing w:before="156" w:beforeLines="50" w:after="156" w:afterLines="50" w:line="400" w:lineRule="exact"/>
    </w:pPr>
    <w:rPr>
      <w:rFonts w:ascii="宋体" w:hAnsi="Courier New"/>
      <w:sz w:val="24"/>
    </w:rPr>
  </w:style>
  <w:style w:type="paragraph" w:styleId="30">
    <w:name w:val="Date"/>
    <w:basedOn w:val="1"/>
    <w:next w:val="1"/>
    <w:link w:val="90"/>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endnote text"/>
    <w:basedOn w:val="1"/>
    <w:qFormat/>
    <w:uiPriority w:val="0"/>
    <w:pPr>
      <w:snapToGrid w:val="0"/>
      <w:spacing w:after="156" w:afterLines="50"/>
      <w:jc w:val="left"/>
    </w:pPr>
    <w:rPr>
      <w:rFonts w:ascii="宋体"/>
      <w:snapToGrid w:val="0"/>
      <w:kern w:val="0"/>
      <w:szCs w:val="20"/>
    </w:rPr>
  </w:style>
  <w:style w:type="paragraph" w:styleId="33">
    <w:name w:val="Balloon Text"/>
    <w:basedOn w:val="1"/>
    <w:link w:val="91"/>
    <w:qFormat/>
    <w:uiPriority w:val="0"/>
    <w:rPr>
      <w:sz w:val="18"/>
      <w:szCs w:val="18"/>
    </w:rPr>
  </w:style>
  <w:style w:type="paragraph" w:styleId="34">
    <w:name w:val="footer"/>
    <w:basedOn w:val="1"/>
    <w:qFormat/>
    <w:uiPriority w:val="0"/>
    <w:pPr>
      <w:tabs>
        <w:tab w:val="center" w:pos="4153"/>
        <w:tab w:val="right" w:pos="8306"/>
      </w:tabs>
      <w:snapToGrid w:val="0"/>
      <w:jc w:val="left"/>
    </w:pPr>
    <w:rPr>
      <w:rFonts w:ascii="宋体" w:hAnsi="宋体" w:eastAsia="宋体" w:cs="Times New Roman"/>
      <w:sz w:val="18"/>
      <w:szCs w:val="20"/>
    </w:rPr>
  </w:style>
  <w:style w:type="paragraph" w:styleId="35">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rFonts w:ascii="宋体" w:hAnsi="宋体"/>
      <w:kern w:val="0"/>
      <w:sz w:val="18"/>
      <w:szCs w:val="20"/>
    </w:rPr>
  </w:style>
  <w:style w:type="paragraph" w:styleId="37">
    <w:name w:val="toc 1"/>
    <w:basedOn w:val="1"/>
    <w:next w:val="1"/>
    <w:qFormat/>
    <w:uiPriority w:val="0"/>
  </w:style>
  <w:style w:type="paragraph" w:styleId="38">
    <w:name w:val="toc 4"/>
    <w:basedOn w:val="1"/>
    <w:next w:val="1"/>
    <w:qFormat/>
    <w:uiPriority w:val="39"/>
    <w:pPr>
      <w:ind w:left="840"/>
    </w:pPr>
  </w:style>
  <w:style w:type="paragraph" w:styleId="39">
    <w:name w:val="Subtitle"/>
    <w:basedOn w:val="1"/>
    <w:qFormat/>
    <w:uiPriority w:val="0"/>
    <w:pPr>
      <w:spacing w:after="156" w:afterLines="50"/>
      <w:jc w:val="center"/>
    </w:pPr>
    <w:rPr>
      <w:rFonts w:ascii="宋体"/>
      <w:i/>
      <w:snapToGrid w:val="0"/>
      <w:kern w:val="0"/>
      <w:sz w:val="36"/>
      <w:szCs w:val="20"/>
      <w:lang w:val="en-AU"/>
    </w:rPr>
  </w:style>
  <w:style w:type="paragraph" w:styleId="40">
    <w:name w:val="List"/>
    <w:basedOn w:val="1"/>
    <w:next w:val="1"/>
    <w:qFormat/>
    <w:uiPriority w:val="0"/>
    <w:pPr>
      <w:ind w:left="200" w:hanging="200" w:hangingChars="200"/>
    </w:pPr>
    <w:rPr>
      <w:sz w:val="28"/>
    </w:rPr>
  </w:style>
  <w:style w:type="paragraph" w:styleId="41">
    <w:name w:val="footnote text"/>
    <w:basedOn w:val="1"/>
    <w:qFormat/>
    <w:uiPriority w:val="0"/>
    <w:pPr>
      <w:snapToGrid w:val="0"/>
      <w:jc w:val="left"/>
    </w:pPr>
    <w:rPr>
      <w:rFonts w:ascii="宋体" w:hAnsi="宋体"/>
      <w:kern w:val="0"/>
      <w:sz w:val="18"/>
      <w:szCs w:val="18"/>
    </w:rPr>
  </w:style>
  <w:style w:type="paragraph" w:styleId="42">
    <w:name w:val="toc 6"/>
    <w:basedOn w:val="1"/>
    <w:next w:val="1"/>
    <w:qFormat/>
    <w:uiPriority w:val="0"/>
    <w:pPr>
      <w:ind w:left="1050"/>
      <w:jc w:val="left"/>
    </w:pPr>
    <w:rPr>
      <w:rFonts w:ascii="Calibri" w:hAnsi="Calibri" w:cs="Calibri"/>
      <w:sz w:val="18"/>
      <w:szCs w:val="18"/>
    </w:rPr>
  </w:style>
  <w:style w:type="paragraph" w:styleId="43">
    <w:name w:val="Body Text Indent 3"/>
    <w:basedOn w:val="1"/>
    <w:link w:val="93"/>
    <w:qFormat/>
    <w:uiPriority w:val="0"/>
    <w:pPr>
      <w:snapToGrid w:val="0"/>
      <w:ind w:firstLine="480" w:firstLineChars="200"/>
      <w:jc w:val="left"/>
    </w:pPr>
    <w:rPr>
      <w:rFonts w:ascii="仿宋_GB2312" w:hAnsi="宋体" w:eastAsia="仿宋_GB2312"/>
      <w:color w:val="000000"/>
      <w:sz w:val="24"/>
    </w:rPr>
  </w:style>
  <w:style w:type="paragraph" w:styleId="44">
    <w:name w:val="toc 2"/>
    <w:basedOn w:val="1"/>
    <w:next w:val="1"/>
    <w:qFormat/>
    <w:uiPriority w:val="0"/>
    <w:pPr>
      <w:ind w:left="210"/>
      <w:jc w:val="left"/>
    </w:pPr>
    <w:rPr>
      <w:smallCaps/>
      <w:sz w:val="20"/>
      <w:szCs w:val="20"/>
    </w:rPr>
  </w:style>
  <w:style w:type="paragraph" w:styleId="4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link w:val="94"/>
    <w:qFormat/>
    <w:uiPriority w:val="0"/>
    <w:rPr>
      <w:rFonts w:ascii="Courier New" w:hAnsi="Courier New"/>
      <w:sz w:val="20"/>
      <w:szCs w:val="20"/>
    </w:rPr>
  </w:style>
  <w:style w:type="paragraph" w:styleId="47">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qFormat/>
    <w:uiPriority w:val="0"/>
    <w:pPr>
      <w:adjustRightInd w:val="0"/>
      <w:spacing w:line="360" w:lineRule="atLeast"/>
      <w:jc w:val="center"/>
      <w:textAlignment w:val="baseline"/>
    </w:pPr>
    <w:rPr>
      <w:rFonts w:ascii="Arial" w:hAnsi="Arial"/>
      <w:szCs w:val="21"/>
    </w:rPr>
  </w:style>
  <w:style w:type="paragraph" w:styleId="49">
    <w:name w:val="Title"/>
    <w:basedOn w:val="1"/>
    <w:next w:val="1"/>
    <w:link w:val="95"/>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9"/>
    <w:next w:val="19"/>
    <w:link w:val="96"/>
    <w:qFormat/>
    <w:uiPriority w:val="0"/>
    <w:rPr>
      <w:b/>
      <w:bCs/>
    </w:rPr>
  </w:style>
  <w:style w:type="paragraph" w:styleId="51">
    <w:name w:val="Body Text First Indent"/>
    <w:basedOn w:val="22"/>
    <w:next w:val="1"/>
    <w:qFormat/>
    <w:uiPriority w:val="0"/>
    <w:pPr>
      <w:ind w:firstLine="420"/>
    </w:pPr>
    <w:rPr>
      <w:rFonts w:hAnsi="Calibri" w:cs="Times New Roman"/>
      <w:snapToGrid/>
      <w:szCs w:val="20"/>
    </w:rPr>
  </w:style>
  <w:style w:type="paragraph" w:styleId="52">
    <w:name w:val="Body Text First Indent 2"/>
    <w:basedOn w:val="14"/>
    <w:next w:val="1"/>
    <w:link w:val="98"/>
    <w:qFormat/>
    <w:uiPriority w:val="0"/>
    <w:pPr>
      <w:spacing w:after="120" w:line="240" w:lineRule="auto"/>
      <w:ind w:left="420" w:leftChars="200" w:firstLine="420" w:firstLineChars="200"/>
    </w:pPr>
    <w:rPr>
      <w:rFonts w:ascii="Calibri" w:hAnsi="Calibri"/>
      <w:sz w:val="21"/>
      <w:szCs w:val="2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333333"/>
      <w:u w:val="none"/>
    </w:rPr>
  </w:style>
  <w:style w:type="character" w:styleId="65">
    <w:name w:val="HTML Code"/>
    <w:qFormat/>
    <w:uiPriority w:val="0"/>
    <w:rPr>
      <w:rFonts w:ascii="Courier New" w:hAnsi="Courier New"/>
      <w:sz w:val="20"/>
      <w:szCs w:val="20"/>
    </w:rPr>
  </w:style>
  <w:style w:type="character" w:styleId="66">
    <w:name w:val="annotation reference"/>
    <w:qFormat/>
    <w:uiPriority w:val="0"/>
    <w:rPr>
      <w:sz w:val="21"/>
      <w:szCs w:val="21"/>
    </w:rPr>
  </w:style>
  <w:style w:type="character" w:styleId="67">
    <w:name w:val="HTML Cite"/>
    <w:qFormat/>
    <w:uiPriority w:val="0"/>
    <w:rPr>
      <w:i/>
      <w:iCs/>
    </w:rPr>
  </w:style>
  <w:style w:type="character" w:styleId="68">
    <w:name w:val="HTML Keyboard"/>
    <w:qFormat/>
    <w:uiPriority w:val="0"/>
    <w:rPr>
      <w:rFonts w:ascii="Courier New" w:hAnsi="Courier New"/>
      <w:sz w:val="20"/>
      <w:szCs w:val="20"/>
    </w:rPr>
  </w:style>
  <w:style w:type="character" w:styleId="69">
    <w:name w:val="HTML Sample"/>
    <w:qFormat/>
    <w:uiPriority w:val="0"/>
    <w:rPr>
      <w:rFonts w:ascii="Courier New" w:hAnsi="Courier New"/>
    </w:rPr>
  </w:style>
  <w:style w:type="paragraph" w:customStyle="1" w:styleId="7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2">
    <w:name w:val="Body Text First Indent1"/>
    <w:basedOn w:val="1"/>
    <w:next w:val="1"/>
    <w:qFormat/>
    <w:uiPriority w:val="0"/>
    <w:pPr>
      <w:spacing w:line="360" w:lineRule="auto"/>
      <w:ind w:firstLine="200" w:firstLineChars="200"/>
      <w:jc w:val="left"/>
    </w:pPr>
    <w:rPr>
      <w:bCs/>
      <w:sz w:val="24"/>
    </w:rPr>
  </w:style>
  <w:style w:type="character" w:customStyle="1" w:styleId="73">
    <w:name w:val="正文文本 字符"/>
    <w:link w:val="22"/>
    <w:qFormat/>
    <w:uiPriority w:val="0"/>
    <w:rPr>
      <w:rFonts w:ascii="宋体" w:hAnsi="宋体" w:eastAsia="宋体" w:cs="Times New Roman"/>
      <w:sz w:val="24"/>
      <w:szCs w:val="24"/>
    </w:rPr>
  </w:style>
  <w:style w:type="character" w:customStyle="1" w:styleId="74">
    <w:name w:val="标题 1 字符"/>
    <w:link w:val="2"/>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
    <w:link w:val="3"/>
    <w:qFormat/>
    <w:uiPriority w:val="0"/>
    <w:rPr>
      <w:rFonts w:ascii="Arial" w:hAnsi="Arial" w:eastAsia="黑体"/>
      <w:b/>
      <w:bCs/>
      <w:kern w:val="2"/>
      <w:sz w:val="32"/>
      <w:szCs w:val="32"/>
      <w:lang w:val="en-US" w:eastAsia="zh-CN" w:bidi="ar-SA"/>
    </w:rPr>
  </w:style>
  <w:style w:type="character" w:customStyle="1" w:styleId="76">
    <w:name w:val="标题 3 字符"/>
    <w:link w:val="4"/>
    <w:qFormat/>
    <w:uiPriority w:val="0"/>
    <w:rPr>
      <w:rFonts w:ascii="宋体" w:hAnsi="宋体" w:eastAsia="宋体" w:cs="Times New Roman"/>
      <w:b/>
      <w:sz w:val="24"/>
      <w:u w:val="none"/>
      <w:lang w:val="en-US" w:eastAsia="zh-CN" w:bidi="ar-SA"/>
    </w:rPr>
  </w:style>
  <w:style w:type="character" w:customStyle="1" w:styleId="77">
    <w:name w:val="标题 4 字符"/>
    <w:link w:val="5"/>
    <w:qFormat/>
    <w:uiPriority w:val="0"/>
    <w:rPr>
      <w:rFonts w:ascii="Arial" w:hAnsi="Arial" w:eastAsia="黑体"/>
      <w:b/>
      <w:bCs/>
      <w:kern w:val="2"/>
      <w:sz w:val="28"/>
      <w:szCs w:val="28"/>
      <w:lang w:val="en-US" w:eastAsia="zh-CN" w:bidi="ar-SA"/>
    </w:rPr>
  </w:style>
  <w:style w:type="character" w:customStyle="1" w:styleId="78">
    <w:name w:val="标题 5 字符"/>
    <w:link w:val="6"/>
    <w:qFormat/>
    <w:uiPriority w:val="0"/>
    <w:rPr>
      <w:rFonts w:eastAsia="宋体"/>
      <w:b/>
      <w:bCs/>
      <w:kern w:val="2"/>
      <w:sz w:val="28"/>
      <w:szCs w:val="28"/>
      <w:lang w:val="en-US" w:eastAsia="zh-CN" w:bidi="ar-SA"/>
    </w:rPr>
  </w:style>
  <w:style w:type="character" w:customStyle="1" w:styleId="79">
    <w:name w:val="标题 6 字符"/>
    <w:link w:val="7"/>
    <w:qFormat/>
    <w:uiPriority w:val="0"/>
    <w:rPr>
      <w:rFonts w:ascii="Arial" w:hAnsi="Arial" w:eastAsia="黑体"/>
      <w:b/>
      <w:bCs/>
      <w:kern w:val="2"/>
      <w:sz w:val="24"/>
      <w:lang w:val="en-US" w:eastAsia="zh-CN" w:bidi="ar-SA"/>
    </w:rPr>
  </w:style>
  <w:style w:type="character" w:customStyle="1" w:styleId="80">
    <w:name w:val="标题 7 字符"/>
    <w:link w:val="8"/>
    <w:qFormat/>
    <w:uiPriority w:val="0"/>
    <w:rPr>
      <w:rFonts w:ascii="宋体" w:eastAsia="仿宋_GB2312"/>
      <w:b/>
      <w:sz w:val="24"/>
    </w:rPr>
  </w:style>
  <w:style w:type="character" w:customStyle="1" w:styleId="81">
    <w:name w:val="标题 8 字符"/>
    <w:link w:val="9"/>
    <w:qFormat/>
    <w:uiPriority w:val="0"/>
    <w:rPr>
      <w:rFonts w:ascii="Arial" w:hAnsi="Arial" w:eastAsia="黑体"/>
      <w:sz w:val="24"/>
    </w:rPr>
  </w:style>
  <w:style w:type="character" w:customStyle="1" w:styleId="82">
    <w:name w:val="标题 9 字符"/>
    <w:link w:val="10"/>
    <w:qFormat/>
    <w:uiPriority w:val="0"/>
    <w:rPr>
      <w:rFonts w:ascii="Arial" w:hAnsi="Arial" w:eastAsia="黑体"/>
      <w:sz w:val="28"/>
    </w:rPr>
  </w:style>
  <w:style w:type="character" w:customStyle="1" w:styleId="83">
    <w:name w:val="注释标题 字符"/>
    <w:link w:val="11"/>
    <w:qFormat/>
    <w:uiPriority w:val="0"/>
    <w:rPr>
      <w:rFonts w:ascii="DFKai-SB" w:hAnsi="DFKai-SB" w:eastAsia="DFKai-SB"/>
      <w:lang w:bidi="ar-SA"/>
    </w:rPr>
  </w:style>
  <w:style w:type="character" w:customStyle="1" w:styleId="84">
    <w:name w:val="正文缩进 字符"/>
    <w:link w:val="13"/>
    <w:qFormat/>
    <w:uiPriority w:val="0"/>
    <w:rPr>
      <w:rFonts w:eastAsia="宋体"/>
      <w:kern w:val="2"/>
      <w:sz w:val="21"/>
      <w:lang w:val="en-US" w:eastAsia="zh-CN" w:bidi="ar-SA"/>
    </w:rPr>
  </w:style>
  <w:style w:type="character" w:customStyle="1" w:styleId="85">
    <w:name w:val="题注 字符"/>
    <w:link w:val="15"/>
    <w:qFormat/>
    <w:uiPriority w:val="0"/>
    <w:rPr>
      <w:rFonts w:ascii="Arial" w:hAnsi="Arial" w:eastAsia="黑体" w:cs="Arial"/>
      <w:kern w:val="2"/>
    </w:rPr>
  </w:style>
  <w:style w:type="character" w:customStyle="1" w:styleId="86">
    <w:name w:val="文档结构图 字符"/>
    <w:link w:val="17"/>
    <w:qFormat/>
    <w:uiPriority w:val="0"/>
    <w:rPr>
      <w:kern w:val="2"/>
      <w:sz w:val="21"/>
      <w:szCs w:val="24"/>
      <w:shd w:val="clear" w:color="auto" w:fill="000080"/>
    </w:rPr>
  </w:style>
  <w:style w:type="character" w:customStyle="1" w:styleId="87">
    <w:name w:val="批注文字 字符"/>
    <w:link w:val="19"/>
    <w:qFormat/>
    <w:uiPriority w:val="0"/>
    <w:rPr>
      <w:rFonts w:eastAsia="宋体"/>
      <w:kern w:val="2"/>
      <w:sz w:val="21"/>
      <w:szCs w:val="24"/>
      <w:lang w:val="en-US" w:eastAsia="zh-CN" w:bidi="ar-SA"/>
    </w:rPr>
  </w:style>
  <w:style w:type="character" w:customStyle="1" w:styleId="88">
    <w:name w:val="正文文本缩进 字符"/>
    <w:link w:val="14"/>
    <w:qFormat/>
    <w:uiPriority w:val="0"/>
    <w:rPr>
      <w:rFonts w:ascii="宋体" w:hAnsi="Courier New" w:eastAsia="宋体"/>
      <w:spacing w:val="-4"/>
      <w:kern w:val="2"/>
      <w:sz w:val="18"/>
      <w:lang w:val="en-US" w:eastAsia="zh-CN" w:bidi="ar-SA"/>
    </w:rPr>
  </w:style>
  <w:style w:type="character" w:customStyle="1" w:styleId="89">
    <w:name w:val="纯文本 字符"/>
    <w:link w:val="29"/>
    <w:qFormat/>
    <w:uiPriority w:val="0"/>
    <w:rPr>
      <w:rFonts w:ascii="宋体" w:hAnsi="Courier New" w:eastAsia="宋体"/>
      <w:kern w:val="2"/>
      <w:sz w:val="24"/>
      <w:szCs w:val="24"/>
      <w:lang w:val="en-US" w:eastAsia="zh-CN" w:bidi="ar-SA"/>
    </w:rPr>
  </w:style>
  <w:style w:type="character" w:customStyle="1" w:styleId="90">
    <w:name w:val="日期 字符"/>
    <w:link w:val="30"/>
    <w:qFormat/>
    <w:uiPriority w:val="0"/>
    <w:rPr>
      <w:rFonts w:eastAsia="楷体_GB2312"/>
      <w:kern w:val="2"/>
      <w:sz w:val="32"/>
    </w:rPr>
  </w:style>
  <w:style w:type="character" w:customStyle="1" w:styleId="91">
    <w:name w:val="批注框文本 字符"/>
    <w:link w:val="33"/>
    <w:qFormat/>
    <w:uiPriority w:val="0"/>
    <w:rPr>
      <w:kern w:val="2"/>
      <w:sz w:val="18"/>
      <w:szCs w:val="18"/>
    </w:rPr>
  </w:style>
  <w:style w:type="character" w:customStyle="1" w:styleId="92">
    <w:name w:val="页眉 字符"/>
    <w:link w:val="36"/>
    <w:qFormat/>
    <w:uiPriority w:val="0"/>
    <w:rPr>
      <w:rFonts w:ascii="宋体" w:hAnsi="宋体" w:eastAsia="宋体" w:cs="Times New Roman"/>
      <w:sz w:val="18"/>
      <w:szCs w:val="20"/>
    </w:rPr>
  </w:style>
  <w:style w:type="character" w:customStyle="1" w:styleId="93">
    <w:name w:val="正文文本缩进 3 字符"/>
    <w:link w:val="43"/>
    <w:qFormat/>
    <w:uiPriority w:val="0"/>
    <w:rPr>
      <w:rFonts w:ascii="仿宋_GB2312" w:hAnsi="宋体" w:eastAsia="仿宋_GB2312"/>
      <w:color w:val="000000"/>
      <w:kern w:val="2"/>
      <w:sz w:val="24"/>
      <w:szCs w:val="24"/>
      <w:lang w:val="en-US" w:eastAsia="zh-CN" w:bidi="ar-SA"/>
    </w:rPr>
  </w:style>
  <w:style w:type="character" w:customStyle="1" w:styleId="94">
    <w:name w:val="HTML 预设格式 字符"/>
    <w:link w:val="46"/>
    <w:qFormat/>
    <w:uiPriority w:val="0"/>
    <w:rPr>
      <w:rFonts w:ascii="Courier New" w:hAnsi="Courier New" w:cs="Courier New"/>
      <w:kern w:val="2"/>
    </w:rPr>
  </w:style>
  <w:style w:type="character" w:customStyle="1" w:styleId="95">
    <w:name w:val="标题 字符"/>
    <w:link w:val="49"/>
    <w:qFormat/>
    <w:uiPriority w:val="0"/>
    <w:rPr>
      <w:rFonts w:eastAsia="宋体"/>
      <w:b/>
      <w:sz w:val="24"/>
      <w:lang w:val="en-GB" w:eastAsia="zh-CN" w:bidi="ar-SA"/>
    </w:rPr>
  </w:style>
  <w:style w:type="character" w:customStyle="1" w:styleId="96">
    <w:name w:val="批注主题 字符"/>
    <w:link w:val="50"/>
    <w:qFormat/>
    <w:uiPriority w:val="0"/>
    <w:rPr>
      <w:rFonts w:eastAsia="宋体"/>
      <w:b/>
      <w:bCs/>
      <w:kern w:val="2"/>
      <w:sz w:val="21"/>
      <w:szCs w:val="24"/>
      <w:lang w:val="en-US" w:eastAsia="zh-CN" w:bidi="ar-SA"/>
    </w:rPr>
  </w:style>
  <w:style w:type="character" w:customStyle="1" w:styleId="97">
    <w:name w:val="正文文本首行缩进 字符"/>
    <w:qFormat/>
    <w:uiPriority w:val="0"/>
    <w:rPr>
      <w:rFonts w:ascii="宋体" w:hAnsi="宋体" w:eastAsia="宋体" w:cs="Times New Roman"/>
      <w:bCs/>
      <w:kern w:val="2"/>
      <w:sz w:val="24"/>
      <w:szCs w:val="24"/>
      <w:lang w:val="en-US" w:eastAsia="zh-CN" w:bidi="ar-SA"/>
    </w:rPr>
  </w:style>
  <w:style w:type="character" w:customStyle="1" w:styleId="98">
    <w:name w:val="正文文本首行缩进 2 字符"/>
    <w:link w:val="52"/>
    <w:qFormat/>
    <w:uiPriority w:val="0"/>
    <w:rPr>
      <w:rFonts w:ascii="Calibri" w:hAnsi="Calibri" w:eastAsia="宋体"/>
      <w:spacing w:val="-4"/>
      <w:kern w:val="2"/>
      <w:sz w:val="21"/>
      <w:szCs w:val="22"/>
      <w:lang w:val="en-US" w:eastAsia="zh-CN" w:bidi="ar-SA"/>
    </w:rPr>
  </w:style>
  <w:style w:type="character" w:customStyle="1" w:styleId="99">
    <w:name w:val="标题 1 Char"/>
    <w:link w:val="2"/>
    <w:qFormat/>
    <w:uiPriority w:val="9"/>
    <w:rPr>
      <w:b/>
      <w:bCs/>
      <w:kern w:val="44"/>
      <w:sz w:val="44"/>
      <w:szCs w:val="44"/>
    </w:rPr>
  </w:style>
  <w:style w:type="character" w:customStyle="1" w:styleId="100">
    <w:name w:val="标题 2 字符"/>
    <w:link w:val="3"/>
    <w:qFormat/>
    <w:uiPriority w:val="0"/>
    <w:rPr>
      <w:b/>
      <w:bCs/>
      <w:kern w:val="44"/>
      <w:sz w:val="44"/>
      <w:szCs w:val="44"/>
    </w:rPr>
  </w:style>
  <w:style w:type="paragraph" w:styleId="101">
    <w:name w:val="List Paragraph"/>
    <w:basedOn w:val="1"/>
    <w:link w:val="102"/>
    <w:qFormat/>
    <w:uiPriority w:val="0"/>
    <w:pPr>
      <w:ind w:firstLine="420" w:firstLineChars="200"/>
    </w:pPr>
  </w:style>
  <w:style w:type="character" w:customStyle="1" w:styleId="102">
    <w:name w:val="列表段落 字符"/>
    <w:link w:val="101"/>
    <w:qFormat/>
    <w:uiPriority w:val="0"/>
    <w:rPr>
      <w:rFonts w:eastAsia="宋体"/>
      <w:kern w:val="2"/>
      <w:sz w:val="21"/>
      <w:szCs w:val="24"/>
      <w:lang w:val="en-US" w:eastAsia="zh-CN" w:bidi="ar-SA"/>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4">
    <w:name w:val="Body Text First Indent 2_8e46f345-1b7b-4616-b3eb-043bf4b0bb15"/>
    <w:basedOn w:val="105"/>
    <w:qFormat/>
    <w:uiPriority w:val="0"/>
    <w:pPr>
      <w:spacing w:after="120" w:line="240" w:lineRule="auto"/>
      <w:ind w:left="420" w:leftChars="200" w:firstLine="420"/>
    </w:pPr>
    <w:rPr>
      <w:rFonts w:cs="宋体"/>
      <w:sz w:val="21"/>
      <w:szCs w:val="21"/>
    </w:rPr>
  </w:style>
  <w:style w:type="paragraph" w:customStyle="1" w:styleId="105">
    <w:name w:val="Body Text Indent_4b70765f-8401-42c6-8eb6-5ffee982d488"/>
    <w:basedOn w:val="1"/>
    <w:qFormat/>
    <w:uiPriority w:val="0"/>
    <w:pPr>
      <w:spacing w:line="200" w:lineRule="exact"/>
      <w:ind w:firstLine="301"/>
    </w:pPr>
    <w:rPr>
      <w:rFonts w:ascii="宋体" w:hAnsi="Courier New"/>
      <w:spacing w:val="-4"/>
      <w:sz w:val="18"/>
      <w:szCs w:val="20"/>
    </w:rPr>
  </w:style>
  <w:style w:type="paragraph" w:customStyle="1" w:styleId="10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font312"/>
    <w:qFormat/>
    <w:uiPriority w:val="0"/>
    <w:rPr>
      <w:rFonts w:hint="eastAsia" w:ascii="宋体" w:hAnsi="宋体" w:eastAsia="宋体" w:cs="宋体"/>
      <w:color w:val="000000"/>
      <w:sz w:val="20"/>
      <w:szCs w:val="20"/>
      <w:u w:val="none"/>
    </w:rPr>
  </w:style>
  <w:style w:type="character" w:customStyle="1" w:styleId="109">
    <w:name w:val="17"/>
    <w:qFormat/>
    <w:uiPriority w:val="0"/>
    <w:rPr>
      <w:rFonts w:hint="default" w:ascii="Arial" w:hAnsi="Arial" w:cs="Arial"/>
      <w:color w:val="000000"/>
      <w:sz w:val="18"/>
      <w:szCs w:val="18"/>
    </w:rPr>
  </w:style>
  <w:style w:type="character" w:customStyle="1" w:styleId="110">
    <w:name w:val="font161"/>
    <w:qFormat/>
    <w:uiPriority w:val="0"/>
    <w:rPr>
      <w:rFonts w:hint="eastAsia" w:ascii="宋体" w:hAnsi="宋体" w:eastAsia="宋体" w:cs="宋体"/>
      <w:color w:val="000000"/>
      <w:sz w:val="18"/>
      <w:szCs w:val="18"/>
      <w:u w:val="none"/>
    </w:rPr>
  </w:style>
  <w:style w:type="character" w:customStyle="1" w:styleId="111">
    <w:name w:val="font412"/>
    <w:qFormat/>
    <w:uiPriority w:val="0"/>
    <w:rPr>
      <w:rFonts w:hint="default" w:ascii="Arial" w:hAnsi="Arial" w:cs="Arial"/>
      <w:color w:val="000000"/>
      <w:sz w:val="18"/>
      <w:szCs w:val="18"/>
      <w:u w:val="none"/>
    </w:rPr>
  </w:style>
  <w:style w:type="character" w:customStyle="1" w:styleId="112">
    <w:name w:val="font212"/>
    <w:qFormat/>
    <w:uiPriority w:val="0"/>
    <w:rPr>
      <w:rFonts w:hint="eastAsia" w:ascii="宋体" w:hAnsi="宋体" w:eastAsia="宋体" w:cs="宋体"/>
      <w:color w:val="000000"/>
      <w:sz w:val="20"/>
      <w:szCs w:val="20"/>
      <w:u w:val="none"/>
    </w:rPr>
  </w:style>
  <w:style w:type="character" w:customStyle="1" w:styleId="113">
    <w:name w:val="font251"/>
    <w:qFormat/>
    <w:uiPriority w:val="0"/>
    <w:rPr>
      <w:rFonts w:hint="default" w:ascii="Arial" w:hAnsi="Arial" w:cs="Arial"/>
      <w:color w:val="000000"/>
      <w:sz w:val="20"/>
      <w:szCs w:val="20"/>
      <w:u w:val="none"/>
    </w:rPr>
  </w:style>
  <w:style w:type="character" w:customStyle="1" w:styleId="114">
    <w:name w:val="apple-converted-space"/>
    <w:qFormat/>
    <w:uiPriority w:val="0"/>
  </w:style>
  <w:style w:type="character" w:customStyle="1" w:styleId="115">
    <w:name w:val="tw4winMark"/>
    <w:qFormat/>
    <w:uiPriority w:val="0"/>
    <w:rPr>
      <w:rFonts w:ascii="Courier New" w:hAnsi="Courier New"/>
      <w:vanish/>
      <w:color w:val="800080"/>
      <w:vertAlign w:val="subscript"/>
    </w:rPr>
  </w:style>
  <w:style w:type="character" w:customStyle="1" w:styleId="116">
    <w:name w:val="para"/>
    <w:qFormat/>
    <w:uiPriority w:val="0"/>
  </w:style>
  <w:style w:type="character" w:customStyle="1" w:styleId="117">
    <w:name w:val="Char Char13"/>
    <w:qFormat/>
    <w:uiPriority w:val="0"/>
    <w:rPr>
      <w:rFonts w:ascii="宋体" w:hAnsi="宋体" w:eastAsia="宋体" w:cs="Times New Roman"/>
      <w:szCs w:val="24"/>
      <w:shd w:val="clear" w:color="auto" w:fill="000080"/>
    </w:rPr>
  </w:style>
  <w:style w:type="character" w:customStyle="1" w:styleId="118">
    <w:name w:val="页脚 Char Char"/>
    <w:qFormat/>
    <w:uiPriority w:val="0"/>
    <w:rPr>
      <w:rFonts w:ascii="宋体" w:hAnsi="宋体" w:eastAsia="宋体" w:cs="Times New Roman"/>
      <w:sz w:val="18"/>
      <w:szCs w:val="20"/>
    </w:rPr>
  </w:style>
  <w:style w:type="character" w:customStyle="1" w:styleId="119">
    <w:name w:val="五级条标题 Char Char"/>
    <w:link w:val="120"/>
    <w:qFormat/>
    <w:uiPriority w:val="0"/>
    <w:rPr>
      <w:lang w:val="en-US" w:eastAsia="zh-CN" w:bidi="ar-SA"/>
    </w:rPr>
  </w:style>
  <w:style w:type="paragraph" w:customStyle="1" w:styleId="120">
    <w:name w:val="五级条标题"/>
    <w:basedOn w:val="121"/>
    <w:next w:val="1"/>
    <w:link w:val="119"/>
    <w:qFormat/>
    <w:uiPriority w:val="0"/>
    <w:pPr>
      <w:tabs>
        <w:tab w:val="left" w:pos="420"/>
      </w:tabs>
      <w:ind w:left="420" w:hanging="420"/>
      <w:outlineLvl w:val="6"/>
    </w:pPr>
  </w:style>
  <w:style w:type="paragraph" w:customStyle="1" w:styleId="121">
    <w:name w:val="四级条标题"/>
    <w:basedOn w:val="122"/>
    <w:next w:val="1"/>
    <w:link w:val="128"/>
    <w:qFormat/>
    <w:uiPriority w:val="0"/>
    <w:pPr>
      <w:ind w:left="420"/>
      <w:outlineLvl w:val="5"/>
    </w:pPr>
  </w:style>
  <w:style w:type="paragraph" w:customStyle="1" w:styleId="122">
    <w:name w:val="三级条标题"/>
    <w:basedOn w:val="123"/>
    <w:next w:val="1"/>
    <w:link w:val="127"/>
    <w:qFormat/>
    <w:uiPriority w:val="0"/>
    <w:pPr>
      <w:ind w:left="420"/>
      <w:outlineLvl w:val="4"/>
    </w:pPr>
    <w:rPr>
      <w:rFonts w:ascii="Times New Roman" w:eastAsia="宋体"/>
      <w:sz w:val="20"/>
    </w:rPr>
  </w:style>
  <w:style w:type="paragraph" w:customStyle="1" w:styleId="123">
    <w:name w:val="二级条标题"/>
    <w:basedOn w:val="124"/>
    <w:next w:val="1"/>
    <w:qFormat/>
    <w:uiPriority w:val="0"/>
    <w:pPr>
      <w:ind w:left="420"/>
      <w:outlineLvl w:val="3"/>
    </w:pPr>
    <w:rPr>
      <w:lang w:val="en-US" w:eastAsia="zh-CN" w:bidi="ar-SA"/>
    </w:rPr>
  </w:style>
  <w:style w:type="paragraph" w:customStyle="1" w:styleId="124">
    <w:name w:val="一级条标题"/>
    <w:basedOn w:val="125"/>
    <w:next w:val="1"/>
    <w:qFormat/>
    <w:uiPriority w:val="0"/>
    <w:pPr>
      <w:ind w:left="420"/>
      <w:outlineLvl w:val="2"/>
    </w:pPr>
  </w:style>
  <w:style w:type="paragraph" w:customStyle="1" w:styleId="125">
    <w:name w:val="章标题"/>
    <w:next w:val="1"/>
    <w:link w:val="126"/>
    <w:qFormat/>
    <w:uiPriority w:val="0"/>
    <w:pPr>
      <w:spacing w:before="156" w:beforeLines="50" w:after="156" w:afterLines="50" w:line="400" w:lineRule="exact"/>
      <w:jc w:val="both"/>
      <w:outlineLvl w:val="1"/>
    </w:pPr>
    <w:rPr>
      <w:rFonts w:ascii="黑体" w:hAnsi="Times New Roman" w:eastAsia="黑体" w:cs="Times New Roman"/>
      <w:sz w:val="21"/>
      <w:lang w:val="en-US" w:eastAsia="zh-CN" w:bidi="ar-SA"/>
    </w:rPr>
  </w:style>
  <w:style w:type="character" w:customStyle="1" w:styleId="126">
    <w:name w:val="章标题 Char Char Char Char Char"/>
    <w:link w:val="125"/>
    <w:qFormat/>
    <w:uiPriority w:val="0"/>
    <w:rPr>
      <w:rFonts w:ascii="黑体" w:eastAsia="黑体"/>
      <w:sz w:val="21"/>
      <w:lang w:val="en-US" w:eastAsia="zh-CN" w:bidi="ar-SA"/>
    </w:rPr>
  </w:style>
  <w:style w:type="character" w:customStyle="1" w:styleId="127">
    <w:name w:val="三级条标题 Char Char"/>
    <w:link w:val="122"/>
    <w:qFormat/>
    <w:uiPriority w:val="0"/>
    <w:rPr>
      <w:lang w:val="en-US" w:eastAsia="zh-CN" w:bidi="ar-SA"/>
    </w:rPr>
  </w:style>
  <w:style w:type="character" w:customStyle="1" w:styleId="128">
    <w:name w:val="四级条标题 Char Char"/>
    <w:link w:val="121"/>
    <w:qFormat/>
    <w:uiPriority w:val="0"/>
    <w:rPr>
      <w:lang w:val="en-US" w:eastAsia="zh-CN" w:bidi="ar-SA"/>
    </w:rPr>
  </w:style>
  <w:style w:type="character" w:customStyle="1" w:styleId="129">
    <w:name w:val="样式 小四"/>
    <w:qFormat/>
    <w:uiPriority w:val="0"/>
    <w:rPr>
      <w:sz w:val="21"/>
    </w:rPr>
  </w:style>
  <w:style w:type="character" w:customStyle="1" w:styleId="130">
    <w:name w:val="一级条标题 Char Char Char Char"/>
    <w:qFormat/>
    <w:uiPriority w:val="0"/>
    <w:rPr>
      <w:lang w:val="en-US" w:eastAsia="zh-CN" w:bidi="ar-SA"/>
    </w:rPr>
  </w:style>
  <w:style w:type="character" w:customStyle="1" w:styleId="131">
    <w:name w:val="H1 Char1"/>
    <w:qFormat/>
    <w:uiPriority w:val="0"/>
    <w:rPr>
      <w:rFonts w:eastAsia="宋体"/>
      <w:b/>
      <w:bCs/>
      <w:kern w:val="44"/>
      <w:sz w:val="44"/>
      <w:szCs w:val="44"/>
      <w:lang w:bidi="ar-SA"/>
    </w:rPr>
  </w:style>
  <w:style w:type="character" w:customStyle="1" w:styleId="132">
    <w:name w:val="t91"/>
    <w:qFormat/>
    <w:uiPriority w:val="0"/>
  </w:style>
  <w:style w:type="character" w:customStyle="1" w:styleId="133">
    <w:name w:val="Char Char27"/>
    <w:qFormat/>
    <w:uiPriority w:val="0"/>
    <w:rPr>
      <w:rFonts w:ascii="宋体" w:hAnsi="宋体" w:eastAsia="黑体"/>
      <w:b/>
      <w:kern w:val="44"/>
      <w:sz w:val="36"/>
    </w:rPr>
  </w:style>
  <w:style w:type="character" w:customStyle="1" w:styleId="134">
    <w:name w:val="正文小标题 Char Char"/>
    <w:qFormat/>
    <w:uiPriority w:val="0"/>
    <w:rPr>
      <w:rFonts w:ascii="楷体_GB2312" w:eastAsia="楷体_GB2312"/>
      <w:kern w:val="2"/>
      <w:sz w:val="32"/>
      <w:lang w:bidi="ar-SA"/>
    </w:rPr>
  </w:style>
  <w:style w:type="character" w:customStyle="1" w:styleId="135">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Char Char8"/>
    <w:qFormat/>
    <w:uiPriority w:val="0"/>
    <w:rPr>
      <w:rFonts w:ascii="宋体" w:hAnsi="宋体"/>
      <w:kern w:val="2"/>
      <w:sz w:val="18"/>
    </w:rPr>
  </w:style>
  <w:style w:type="character" w:customStyle="1" w:styleId="138">
    <w:name w:val="huide001"/>
    <w:qFormat/>
    <w:uiPriority w:val="0"/>
    <w:rPr>
      <w:rFonts w:hint="default" w:ascii="Arial" w:hAnsi="Arial" w:cs="Arial"/>
      <w:color w:val="666666"/>
      <w:sz w:val="18"/>
      <w:szCs w:val="18"/>
    </w:rPr>
  </w:style>
  <w:style w:type="character" w:customStyle="1" w:styleId="139">
    <w:name w:val="A C"/>
    <w:qFormat/>
    <w:uiPriority w:val="0"/>
    <w:rPr>
      <w:rFonts w:ascii="仿宋_GB2312"/>
      <w:bCs/>
      <w:iCs/>
      <w:sz w:val="24"/>
    </w:rPr>
  </w:style>
  <w:style w:type="character" w:customStyle="1" w:styleId="140">
    <w:name w:val="point_normal1"/>
    <w:qFormat/>
    <w:uiPriority w:val="0"/>
    <w:rPr>
      <w:rFonts w:hint="default" w:ascii="Arial" w:hAnsi="Arial" w:cs="Arial"/>
      <w:sz w:val="18"/>
      <w:szCs w:val="18"/>
    </w:rPr>
  </w:style>
  <w:style w:type="character" w:customStyle="1" w:styleId="141">
    <w:name w:val="个人撰写风格"/>
    <w:qFormat/>
    <w:uiPriority w:val="0"/>
    <w:rPr>
      <w:rFonts w:ascii="Arial" w:hAnsi="Arial" w:eastAsia="宋体" w:cs="Arial"/>
      <w:color w:val="auto"/>
      <w:sz w:val="20"/>
    </w:rPr>
  </w:style>
  <w:style w:type="character" w:customStyle="1" w:styleId="142">
    <w:name w:val="_Style 141"/>
    <w:qFormat/>
    <w:uiPriority w:val="0"/>
    <w:rPr>
      <w:color w:val="605E5C"/>
      <w:shd w:val="clear" w:color="auto" w:fill="E1DFDD"/>
    </w:rPr>
  </w:style>
  <w:style w:type="character" w:customStyle="1" w:styleId="143">
    <w:name w:val="正文缩进2字符 Char Char"/>
    <w:link w:val="144"/>
    <w:qFormat/>
    <w:uiPriority w:val="0"/>
    <w:rPr>
      <w:rFonts w:eastAsia="宋体"/>
      <w:kern w:val="2"/>
      <w:sz w:val="24"/>
      <w:szCs w:val="24"/>
      <w:lang w:bidi="ar-SA"/>
    </w:rPr>
  </w:style>
  <w:style w:type="paragraph" w:customStyle="1" w:styleId="144">
    <w:name w:val="正文缩进2字符"/>
    <w:basedOn w:val="1"/>
    <w:link w:val="143"/>
    <w:qFormat/>
    <w:uiPriority w:val="0"/>
    <w:pPr>
      <w:spacing w:line="360" w:lineRule="auto"/>
      <w:ind w:firstLine="480" w:firstLineChars="200"/>
    </w:pPr>
    <w:rPr>
      <w:sz w:val="24"/>
    </w:rPr>
  </w:style>
  <w:style w:type="character" w:customStyle="1" w:styleId="145">
    <w:name w:val="Normal Indent Char"/>
    <w:qFormat/>
    <w:uiPriority w:val="0"/>
    <w:rPr>
      <w:rFonts w:ascii="Calibri" w:hAnsi="Calibri" w:eastAsia="宋体"/>
      <w:kern w:val="0"/>
      <w:sz w:val="20"/>
    </w:rPr>
  </w:style>
  <w:style w:type="character" w:customStyle="1" w:styleId="146">
    <w:name w:val="unnamed24"/>
    <w:qFormat/>
    <w:uiPriority w:val="0"/>
  </w:style>
  <w:style w:type="character" w:customStyle="1" w:styleId="147">
    <w:name w:val="fontblank12"/>
    <w:qFormat/>
    <w:uiPriority w:val="0"/>
  </w:style>
  <w:style w:type="character" w:customStyle="1" w:styleId="148">
    <w:name w:val="Char Char15"/>
    <w:qFormat/>
    <w:uiPriority w:val="0"/>
    <w:rPr>
      <w:rFonts w:ascii="宋体" w:hAnsi="Courier New" w:eastAsia="宋体" w:cs="Times New Roman"/>
      <w:sz w:val="28"/>
      <w:szCs w:val="20"/>
    </w:rPr>
  </w:style>
  <w:style w:type="character" w:customStyle="1" w:styleId="149">
    <w:name w:val="正文文本 Char1"/>
    <w:qFormat/>
    <w:uiPriority w:val="0"/>
    <w:rPr>
      <w:rFonts w:ascii="Times New Roman" w:hAnsi="Times New Roman" w:eastAsia="宋体" w:cs="Times New Roman"/>
      <w:szCs w:val="24"/>
    </w:rPr>
  </w:style>
  <w:style w:type="character" w:customStyle="1" w:styleId="150">
    <w:name w:val="Char Char18"/>
    <w:qFormat/>
    <w:uiPriority w:val="0"/>
    <w:rPr>
      <w:rFonts w:ascii="宋体" w:hAnsi="宋体"/>
      <w:kern w:val="2"/>
      <w:sz w:val="18"/>
    </w:rPr>
  </w:style>
  <w:style w:type="character" w:customStyle="1" w:styleId="151">
    <w:name w:val="标题 3 Char2"/>
    <w:qFormat/>
    <w:uiPriority w:val="0"/>
    <w:rPr>
      <w:rFonts w:ascii="宋体" w:eastAsia="宋体"/>
      <w:b/>
      <w:sz w:val="24"/>
      <w:u w:val="single"/>
      <w:lang w:val="en-US" w:eastAsia="zh-CN" w:bidi="ar-SA"/>
    </w:rPr>
  </w:style>
  <w:style w:type="character" w:customStyle="1" w:styleId="152">
    <w:name w:val="Char Char9"/>
    <w:qFormat/>
    <w:uiPriority w:val="0"/>
    <w:rPr>
      <w:rFonts w:ascii="宋体" w:hAnsi="宋体" w:eastAsia="宋体" w:cs="Times New Roman"/>
      <w:sz w:val="28"/>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b titlename wangputoptitle"/>
    <w:qFormat/>
    <w:uiPriority w:val="0"/>
  </w:style>
  <w:style w:type="character" w:customStyle="1" w:styleId="155">
    <w:name w:val="font71"/>
    <w:qFormat/>
    <w:uiPriority w:val="0"/>
    <w:rPr>
      <w:rFonts w:hint="default" w:ascii="Calibri" w:hAnsi="Calibri" w:cs="Calibri"/>
      <w:color w:val="000000"/>
      <w:sz w:val="18"/>
      <w:szCs w:val="18"/>
      <w:u w:val="none"/>
    </w:rPr>
  </w:style>
  <w:style w:type="character" w:customStyle="1" w:styleId="156">
    <w:name w:val="font31"/>
    <w:basedOn w:val="55"/>
    <w:qFormat/>
    <w:uiPriority w:val="0"/>
    <w:rPr>
      <w:rFonts w:hint="eastAsia" w:ascii="宋体" w:hAnsi="宋体" w:eastAsia="宋体" w:cs="宋体"/>
      <w:color w:val="000000"/>
      <w:sz w:val="21"/>
      <w:szCs w:val="21"/>
      <w:u w:val="none"/>
    </w:rPr>
  </w:style>
  <w:style w:type="character" w:customStyle="1" w:styleId="157">
    <w:name w:val="tw4winJump"/>
    <w:qFormat/>
    <w:uiPriority w:val="0"/>
    <w:rPr>
      <w:rFonts w:ascii="Courier New" w:hAnsi="Courier New"/>
      <w:color w:val="008080"/>
    </w:rPr>
  </w:style>
  <w:style w:type="character" w:customStyle="1" w:styleId="158">
    <w:name w:val="specinfo"/>
    <w:qFormat/>
    <w:uiPriority w:val="0"/>
  </w:style>
  <w:style w:type="character" w:customStyle="1" w:styleId="159">
    <w:name w:val="Char Char17"/>
    <w:qFormat/>
    <w:uiPriority w:val="0"/>
    <w:rPr>
      <w:rFonts w:ascii="宋体" w:hAnsi="宋体" w:eastAsia="宋体" w:cs="Times New Roman"/>
      <w:szCs w:val="20"/>
    </w:rPr>
  </w:style>
  <w:style w:type="character" w:customStyle="1" w:styleId="160">
    <w:name w:val="Char Char11"/>
    <w:qFormat/>
    <w:uiPriority w:val="0"/>
    <w:rPr>
      <w:rFonts w:ascii="宋体" w:hAnsi="宋体" w:eastAsia="宋体" w:cs="Times New Roman"/>
      <w:sz w:val="28"/>
      <w:szCs w:val="20"/>
    </w:rPr>
  </w:style>
  <w:style w:type="character" w:customStyle="1" w:styleId="161">
    <w:name w:val="style60"/>
    <w:qFormat/>
    <w:uiPriority w:val="0"/>
  </w:style>
  <w:style w:type="character" w:customStyle="1" w:styleId="162">
    <w:name w:val="Char Char26"/>
    <w:qFormat/>
    <w:uiPriority w:val="0"/>
    <w:rPr>
      <w:rFonts w:ascii="CG Times" w:hAnsi="CG Times"/>
      <w:b/>
      <w:kern w:val="2"/>
      <w:sz w:val="30"/>
    </w:rPr>
  </w:style>
  <w:style w:type="character" w:customStyle="1" w:styleId="163">
    <w:name w:val="正文（缩进） Char Char"/>
    <w:link w:val="164"/>
    <w:qFormat/>
    <w:uiPriority w:val="0"/>
    <w:rPr>
      <w:sz w:val="24"/>
      <w:szCs w:val="24"/>
    </w:rPr>
  </w:style>
  <w:style w:type="paragraph" w:customStyle="1" w:styleId="164">
    <w:name w:val="正文（缩进）"/>
    <w:basedOn w:val="1"/>
    <w:link w:val="163"/>
    <w:qFormat/>
    <w:uiPriority w:val="0"/>
    <w:pPr>
      <w:spacing w:before="156" w:beforeLines="50" w:after="156" w:afterLines="50" w:line="360" w:lineRule="auto"/>
      <w:ind w:firstLine="480" w:firstLineChars="200"/>
    </w:pPr>
    <w:rPr>
      <w:kern w:val="0"/>
      <w:sz w:val="24"/>
    </w:rPr>
  </w:style>
  <w:style w:type="character" w:customStyle="1" w:styleId="165">
    <w:name w:val="arial1"/>
    <w:qFormat/>
    <w:uiPriority w:val="0"/>
    <w:rPr>
      <w:rFonts w:hint="default" w:ascii="Arial" w:hAnsi="Arial" w:cs="Arial"/>
    </w:rPr>
  </w:style>
  <w:style w:type="character" w:customStyle="1" w:styleId="166">
    <w:name w:val="unnamed31"/>
    <w:qFormat/>
    <w:uiPriority w:val="0"/>
    <w:rPr>
      <w:sz w:val="30"/>
      <w:szCs w:val="30"/>
    </w:rPr>
  </w:style>
  <w:style w:type="character" w:customStyle="1" w:styleId="167">
    <w:name w:val="正文表标题 Char Char"/>
    <w:link w:val="168"/>
    <w:qFormat/>
    <w:uiPriority w:val="0"/>
    <w:rPr>
      <w:rFonts w:ascii="黑体" w:hAnsi="宋体" w:eastAsia="黑体"/>
      <w:kern w:val="2"/>
      <w:sz w:val="21"/>
      <w:szCs w:val="24"/>
      <w:lang w:val="en-US" w:eastAsia="zh-CN" w:bidi="ar-SA"/>
    </w:rPr>
  </w:style>
  <w:style w:type="paragraph" w:customStyle="1" w:styleId="168">
    <w:name w:val="正文表标题"/>
    <w:next w:val="169"/>
    <w:link w:val="167"/>
    <w:qFormat/>
    <w:uiPriority w:val="0"/>
    <w:pPr>
      <w:tabs>
        <w:tab w:val="left" w:pos="360"/>
      </w:tabs>
      <w:ind w:left="3780"/>
      <w:jc w:val="center"/>
    </w:pPr>
    <w:rPr>
      <w:rFonts w:ascii="黑体" w:hAnsi="宋体" w:eastAsia="黑体" w:cs="Times New Roman"/>
      <w:kern w:val="2"/>
      <w:sz w:val="21"/>
      <w:szCs w:val="24"/>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0">
    <w:name w:val="style11"/>
    <w:qFormat/>
    <w:uiPriority w:val="0"/>
    <w:rPr>
      <w:rFonts w:eastAsia="宋体"/>
      <w:kern w:val="2"/>
      <w:sz w:val="21"/>
      <w:szCs w:val="21"/>
      <w:lang w:val="en-US" w:eastAsia="zh-CN"/>
    </w:rPr>
  </w:style>
  <w:style w:type="character" w:customStyle="1" w:styleId="171">
    <w:name w:val="章标题 Char Char Char Char"/>
    <w:link w:val="172"/>
    <w:qFormat/>
    <w:uiPriority w:val="0"/>
    <w:rPr>
      <w:rFonts w:ascii="黑体" w:hAnsi="宋体" w:eastAsia="黑体"/>
      <w:kern w:val="2"/>
      <w:sz w:val="21"/>
      <w:szCs w:val="24"/>
      <w:lang w:val="en-US" w:eastAsia="zh-CN" w:bidi="ar-SA"/>
    </w:rPr>
  </w:style>
  <w:style w:type="paragraph" w:customStyle="1" w:styleId="172">
    <w:name w:val="章标题 Char Char"/>
    <w:next w:val="1"/>
    <w:link w:val="171"/>
    <w:qFormat/>
    <w:uiPriority w:val="0"/>
    <w:pPr>
      <w:spacing w:before="156" w:beforeLines="50" w:after="156" w:afterLines="50"/>
      <w:ind w:left="840" w:hanging="420"/>
      <w:jc w:val="both"/>
      <w:outlineLvl w:val="1"/>
    </w:pPr>
    <w:rPr>
      <w:rFonts w:ascii="黑体" w:hAnsi="宋体" w:eastAsia="黑体" w:cs="Times New Roman"/>
      <w:kern w:val="2"/>
      <w:sz w:val="21"/>
      <w:szCs w:val="24"/>
      <w:lang w:val="en-US" w:eastAsia="zh-CN" w:bidi="ar-SA"/>
    </w:rPr>
  </w:style>
  <w:style w:type="character" w:customStyle="1" w:styleId="173">
    <w:name w:val="ask-title"/>
    <w:qFormat/>
    <w:uiPriority w:val="0"/>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我的正文 Ctr+Q Char Char"/>
    <w:link w:val="176"/>
    <w:qFormat/>
    <w:uiPriority w:val="0"/>
    <w:rPr>
      <w:rFonts w:ascii="Arial" w:hAnsi="Arial" w:eastAsia="宋体"/>
      <w:kern w:val="2"/>
      <w:sz w:val="24"/>
      <w:szCs w:val="21"/>
      <w:lang w:val="en-US" w:eastAsia="zh-CN" w:bidi="ar-SA"/>
    </w:rPr>
  </w:style>
  <w:style w:type="paragraph" w:customStyle="1" w:styleId="176">
    <w:name w:val="!我的正文 Ctr+Q"/>
    <w:basedOn w:val="1"/>
    <w:link w:val="175"/>
    <w:qFormat/>
    <w:uiPriority w:val="0"/>
    <w:pPr>
      <w:adjustRightInd w:val="0"/>
      <w:snapToGrid w:val="0"/>
      <w:spacing w:line="360" w:lineRule="auto"/>
      <w:ind w:firstLine="480" w:firstLineChars="200"/>
    </w:pPr>
    <w:rPr>
      <w:rFonts w:ascii="Arial" w:hAnsi="Arial"/>
      <w:sz w:val="24"/>
      <w:szCs w:val="21"/>
    </w:rPr>
  </w:style>
  <w:style w:type="character" w:customStyle="1" w:styleId="177">
    <w:name w:val="big14"/>
    <w:qFormat/>
    <w:uiPriority w:val="0"/>
  </w:style>
  <w:style w:type="character" w:customStyle="1" w:styleId="178">
    <w:name w:val="h2 Char"/>
    <w:qFormat/>
    <w:uiPriority w:val="0"/>
    <w:rPr>
      <w:rFonts w:ascii="宋体" w:hAnsi="宋体" w:eastAsia="宋体"/>
      <w:bCs/>
      <w:kern w:val="24"/>
      <w:sz w:val="24"/>
      <w:szCs w:val="24"/>
      <w:lang w:val="en-US" w:eastAsia="zh-CN" w:bidi="ar-SA"/>
    </w:rPr>
  </w:style>
  <w:style w:type="character" w:customStyle="1" w:styleId="179">
    <w:name w:val="二级条标题 Char Char Char"/>
    <w:qFormat/>
    <w:uiPriority w:val="0"/>
    <w:rPr>
      <w:lang w:val="en-US" w:eastAsia="zh-CN" w:bidi="ar-SA"/>
    </w:rPr>
  </w:style>
  <w:style w:type="character" w:customStyle="1" w:styleId="180">
    <w:name w:val="pagetitle"/>
    <w:qFormat/>
    <w:uiPriority w:val="0"/>
  </w:style>
  <w:style w:type="character" w:customStyle="1" w:styleId="181">
    <w:name w:val="一级无标题条 Char Char"/>
    <w:link w:val="182"/>
    <w:qFormat/>
    <w:uiPriority w:val="0"/>
    <w:rPr>
      <w:rFonts w:ascii="宋体" w:hAnsi="宋体" w:eastAsia="宋体"/>
      <w:szCs w:val="24"/>
      <w:lang w:bidi="ar-SA"/>
    </w:rPr>
  </w:style>
  <w:style w:type="paragraph" w:customStyle="1" w:styleId="182">
    <w:name w:val="一级无标题条"/>
    <w:basedOn w:val="1"/>
    <w:link w:val="181"/>
    <w:qFormat/>
    <w:uiPriority w:val="0"/>
    <w:rPr>
      <w:rFonts w:ascii="宋体" w:hAnsi="宋体"/>
      <w:kern w:val="0"/>
      <w:sz w:val="20"/>
    </w:rPr>
  </w:style>
  <w:style w:type="character" w:customStyle="1" w:styleId="183">
    <w:name w:val="tw4winError"/>
    <w:qFormat/>
    <w:uiPriority w:val="0"/>
    <w:rPr>
      <w:rFonts w:ascii="Courier New" w:hAnsi="Courier New"/>
      <w:color w:val="00FF00"/>
      <w:sz w:val="40"/>
    </w:rPr>
  </w:style>
  <w:style w:type="character" w:customStyle="1" w:styleId="184">
    <w:name w:val="normal91"/>
    <w:qFormat/>
    <w:uiPriority w:val="0"/>
    <w:rPr>
      <w:sz w:val="20"/>
      <w:szCs w:val="20"/>
    </w:rPr>
  </w:style>
  <w:style w:type="character" w:customStyle="1" w:styleId="185">
    <w:name w:val="line1"/>
    <w:qFormat/>
    <w:uiPriority w:val="0"/>
    <w:rPr>
      <w:u w:val="none"/>
    </w:rPr>
  </w:style>
  <w:style w:type="character" w:customStyle="1" w:styleId="186">
    <w:name w:val="个人答复风格"/>
    <w:qFormat/>
    <w:uiPriority w:val="0"/>
    <w:rPr>
      <w:rFonts w:ascii="Arial" w:hAnsi="Arial" w:eastAsia="宋体" w:cs="Arial"/>
      <w:color w:val="auto"/>
      <w:sz w:val="20"/>
    </w:rPr>
  </w:style>
  <w:style w:type="character" w:customStyle="1" w:styleId="187">
    <w:name w:val="font121"/>
    <w:qFormat/>
    <w:uiPriority w:val="0"/>
    <w:rPr>
      <w:rFonts w:hint="eastAsia" w:ascii="宋体" w:hAnsi="宋体" w:eastAsia="宋体" w:cs="宋体"/>
      <w:color w:val="000000"/>
      <w:sz w:val="22"/>
      <w:szCs w:val="22"/>
      <w:u w:val="none"/>
    </w:rPr>
  </w:style>
  <w:style w:type="character" w:customStyle="1" w:styleId="188">
    <w:name w:val="标题 3 Char"/>
    <w:qFormat/>
    <w:uiPriority w:val="0"/>
    <w:rPr>
      <w:rFonts w:ascii="宋体" w:eastAsia="宋体"/>
      <w:b/>
      <w:sz w:val="24"/>
      <w:u w:val="single"/>
      <w:lang w:val="en-US" w:eastAsia="zh-CN" w:bidi="ar-SA"/>
    </w:rPr>
  </w:style>
  <w:style w:type="character" w:customStyle="1" w:styleId="189">
    <w:name w:val="font81"/>
    <w:qFormat/>
    <w:uiPriority w:val="0"/>
    <w:rPr>
      <w:rFonts w:ascii="Calibri" w:hAnsi="Calibri" w:cs="Calibri"/>
      <w:color w:val="000000"/>
      <w:sz w:val="20"/>
      <w:szCs w:val="20"/>
      <w:u w:val="none"/>
    </w:rPr>
  </w:style>
  <w:style w:type="character" w:customStyle="1" w:styleId="190">
    <w:name w:val="font01"/>
    <w:qFormat/>
    <w:uiPriority w:val="0"/>
    <w:rPr>
      <w:rFonts w:hint="default" w:ascii="Arial" w:hAnsi="Arial" w:cs="Arial"/>
      <w:color w:val="000000"/>
      <w:sz w:val="20"/>
      <w:szCs w:val="20"/>
      <w:u w:val="none"/>
    </w:rPr>
  </w:style>
  <w:style w:type="character" w:customStyle="1" w:styleId="191">
    <w:name w:val="font151"/>
    <w:qFormat/>
    <w:uiPriority w:val="0"/>
    <w:rPr>
      <w:rFonts w:hint="eastAsia" w:ascii="宋体" w:hAnsi="宋体" w:eastAsia="宋体" w:cs="宋体"/>
      <w:color w:val="000000"/>
      <w:sz w:val="18"/>
      <w:szCs w:val="18"/>
      <w:u w:val="none"/>
    </w:rPr>
  </w:style>
  <w:style w:type="character" w:customStyle="1" w:styleId="192">
    <w:name w:val="无间隔 字符"/>
    <w:link w:val="193"/>
    <w:qFormat/>
    <w:uiPriority w:val="0"/>
    <w:rPr>
      <w:sz w:val="22"/>
      <w:szCs w:val="22"/>
      <w:lang w:val="en-US" w:eastAsia="en-US" w:bidi="ar-SA"/>
    </w:rPr>
  </w:style>
  <w:style w:type="paragraph" w:styleId="193">
    <w:name w:val="No Spacing"/>
    <w:link w:val="192"/>
    <w:qFormat/>
    <w:uiPriority w:val="0"/>
    <w:rPr>
      <w:rFonts w:ascii="Times New Roman" w:hAnsi="Times New Roman" w:eastAsia="宋体" w:cs="Times New Roman"/>
      <w:sz w:val="22"/>
      <w:szCs w:val="22"/>
      <w:lang w:val="en-US" w:eastAsia="en-US" w:bidi="ar-SA"/>
    </w:rPr>
  </w:style>
  <w:style w:type="character" w:customStyle="1" w:styleId="194">
    <w:name w:val="Char Char1"/>
    <w:qFormat/>
    <w:uiPriority w:val="0"/>
    <w:rPr>
      <w:kern w:val="2"/>
      <w:sz w:val="21"/>
      <w:szCs w:val="21"/>
    </w:rPr>
  </w:style>
  <w:style w:type="character" w:customStyle="1" w:styleId="195">
    <w:name w:val="font2"/>
    <w:qFormat/>
    <w:uiPriority w:val="0"/>
    <w:rPr>
      <w:rFonts w:hint="default" w:ascii="Arial" w:hAnsi="Arial" w:cs="Arial"/>
      <w:color w:val="333333"/>
      <w:spacing w:val="0"/>
      <w:sz w:val="18"/>
      <w:szCs w:val="18"/>
    </w:rPr>
  </w:style>
  <w:style w:type="character" w:customStyle="1" w:styleId="196">
    <w:name w:val="text11"/>
    <w:qFormat/>
    <w:uiPriority w:val="0"/>
    <w:rPr>
      <w:rFonts w:hint="default" w:ascii="Verdana" w:hAnsi="Verdana"/>
      <w:color w:val="4E4E4E"/>
      <w:sz w:val="18"/>
      <w:szCs w:val="18"/>
    </w:rPr>
  </w:style>
  <w:style w:type="character" w:customStyle="1" w:styleId="197">
    <w:name w:val="UH正文 Char Char"/>
    <w:link w:val="198"/>
    <w:qFormat/>
    <w:uiPriority w:val="0"/>
    <w:rPr>
      <w:rFonts w:ascii="Arial" w:hAnsi="Arial"/>
      <w:sz w:val="24"/>
      <w:szCs w:val="21"/>
      <w:lang w:val="en-US" w:eastAsia="zh-CN" w:bidi="ar-SA"/>
    </w:rPr>
  </w:style>
  <w:style w:type="paragraph" w:customStyle="1" w:styleId="198">
    <w:name w:val="UH正文"/>
    <w:link w:val="197"/>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99">
    <w:name w:val="newsitemtitle1"/>
    <w:qFormat/>
    <w:uiPriority w:val="0"/>
    <w:rPr>
      <w:b/>
      <w:bCs/>
      <w:color w:val="0000CD"/>
      <w:sz w:val="28"/>
      <w:szCs w:val="28"/>
    </w:rPr>
  </w:style>
  <w:style w:type="character" w:customStyle="1" w:styleId="200">
    <w:name w:val="concon2007"/>
    <w:qFormat/>
    <w:uiPriority w:val="0"/>
  </w:style>
  <w:style w:type="character" w:customStyle="1" w:styleId="201">
    <w:name w:val="NormalCharacter"/>
    <w:qFormat/>
    <w:uiPriority w:val="0"/>
    <w:rPr>
      <w:kern w:val="2"/>
      <w:sz w:val="21"/>
      <w:szCs w:val="24"/>
      <w:lang w:val="en-US" w:eastAsia="zh-CN" w:bidi="ar-SA"/>
    </w:rPr>
  </w:style>
  <w:style w:type="character" w:customStyle="1" w:styleId="202">
    <w:name w:val="font3"/>
    <w:qFormat/>
    <w:uiPriority w:val="0"/>
  </w:style>
  <w:style w:type="character" w:customStyle="1" w:styleId="203">
    <w:name w:val="font61"/>
    <w:qFormat/>
    <w:uiPriority w:val="0"/>
    <w:rPr>
      <w:rFonts w:hint="default" w:ascii="Times New Roman" w:hAnsi="Times New Roman" w:cs="Times New Roman"/>
      <w:color w:val="000000"/>
      <w:sz w:val="20"/>
      <w:szCs w:val="20"/>
      <w:u w:val="none"/>
    </w:rPr>
  </w:style>
  <w:style w:type="character" w:customStyle="1" w:styleId="204">
    <w:name w:val="H1 Char"/>
    <w:qFormat/>
    <w:uiPriority w:val="0"/>
    <w:rPr>
      <w:rFonts w:eastAsia="宋体"/>
      <w:b/>
      <w:bCs/>
      <w:kern w:val="44"/>
      <w:sz w:val="44"/>
      <w:szCs w:val="44"/>
      <w:lang w:val="en-US" w:eastAsia="zh-CN" w:bidi="ar-SA"/>
    </w:rPr>
  </w:style>
  <w:style w:type="character" w:customStyle="1" w:styleId="205">
    <w:name w:val="style31"/>
    <w:qFormat/>
    <w:uiPriority w:val="0"/>
    <w:rPr>
      <w:color w:val="4B4B4B"/>
    </w:rPr>
  </w:style>
  <w:style w:type="character" w:customStyle="1" w:styleId="206">
    <w:name w:val="标题 2 Char2"/>
    <w:qFormat/>
    <w:uiPriority w:val="0"/>
    <w:rPr>
      <w:rFonts w:ascii="Arial" w:hAnsi="Arial" w:eastAsia="宋体"/>
      <w:b/>
      <w:bCs/>
      <w:kern w:val="2"/>
      <w:sz w:val="28"/>
      <w:szCs w:val="32"/>
      <w:lang w:val="en-US" w:eastAsia="zh-CN" w:bidi="ar-SA"/>
    </w:rPr>
  </w:style>
  <w:style w:type="character" w:customStyle="1" w:styleId="207">
    <w:name w:val="font421"/>
    <w:qFormat/>
    <w:uiPriority w:val="0"/>
    <w:rPr>
      <w:rFonts w:hint="default" w:ascii="Arial" w:hAnsi="Arial" w:cs="Arial"/>
      <w:color w:val="000000"/>
      <w:sz w:val="18"/>
      <w:szCs w:val="18"/>
      <w:u w:val="none"/>
    </w:rPr>
  </w:style>
  <w:style w:type="character" w:customStyle="1" w:styleId="208">
    <w:name w:val="普通文字 Char Char1"/>
    <w:qFormat/>
    <w:uiPriority w:val="0"/>
    <w:rPr>
      <w:rFonts w:ascii="宋体" w:hAnsi="Courier New" w:eastAsia="宋体"/>
      <w:kern w:val="2"/>
      <w:sz w:val="24"/>
      <w:szCs w:val="24"/>
      <w:lang w:val="en-US" w:eastAsia="zh-CN" w:bidi="ar-SA"/>
    </w:rPr>
  </w:style>
  <w:style w:type="character" w:customStyle="1" w:styleId="209">
    <w:name w:val="unnamed11"/>
    <w:qFormat/>
    <w:uiPriority w:val="0"/>
    <w:rPr>
      <w:sz w:val="20"/>
      <w:szCs w:val="20"/>
    </w:rPr>
  </w:style>
  <w:style w:type="character" w:customStyle="1" w:styleId="210">
    <w:name w:val="font112"/>
    <w:qFormat/>
    <w:uiPriority w:val="0"/>
    <w:rPr>
      <w:rFonts w:hint="default" w:ascii="Times New Roman" w:hAnsi="Times New Roman" w:cs="Times New Roman"/>
      <w:color w:val="000000"/>
      <w:sz w:val="18"/>
      <w:szCs w:val="18"/>
      <w:u w:val="none"/>
    </w:rPr>
  </w:style>
  <w:style w:type="character" w:customStyle="1" w:styleId="211">
    <w:name w:val="tw4winPopup"/>
    <w:qFormat/>
    <w:uiPriority w:val="0"/>
    <w:rPr>
      <w:rFonts w:ascii="Courier New" w:hAnsi="Courier New"/>
      <w:color w:val="008000"/>
    </w:rPr>
  </w:style>
  <w:style w:type="character" w:customStyle="1" w:styleId="212">
    <w:name w:val="1111 字符"/>
    <w:link w:val="213"/>
    <w:qFormat/>
    <w:uiPriority w:val="0"/>
    <w:rPr>
      <w:rFonts w:ascii="宋体" w:hAnsi="宋体"/>
      <w:kern w:val="2"/>
      <w:sz w:val="21"/>
      <w:szCs w:val="21"/>
    </w:rPr>
  </w:style>
  <w:style w:type="paragraph" w:customStyle="1" w:styleId="213">
    <w:name w:val="1111"/>
    <w:basedOn w:val="214"/>
    <w:link w:val="212"/>
    <w:qFormat/>
    <w:uiPriority w:val="0"/>
    <w:pPr>
      <w:adjustRightInd w:val="0"/>
      <w:snapToGrid w:val="0"/>
      <w:spacing w:line="276" w:lineRule="auto"/>
      <w:ind w:firstLine="0" w:firstLineChars="0"/>
    </w:pPr>
    <w:rPr>
      <w:rFonts w:ascii="宋体" w:hAnsi="宋体"/>
      <w:szCs w:val="21"/>
    </w:rPr>
  </w:style>
  <w:style w:type="paragraph" w:customStyle="1" w:styleId="214">
    <w:name w:val="列表段落1"/>
    <w:basedOn w:val="1"/>
    <w:link w:val="215"/>
    <w:qFormat/>
    <w:uiPriority w:val="0"/>
    <w:pPr>
      <w:ind w:firstLine="420" w:firstLineChars="200"/>
    </w:pPr>
    <w:rPr>
      <w:rFonts w:ascii="Calibri" w:hAnsi="Calibri"/>
    </w:rPr>
  </w:style>
  <w:style w:type="character" w:customStyle="1" w:styleId="215">
    <w:name w:val="列表段落1 字符"/>
    <w:link w:val="214"/>
    <w:qFormat/>
    <w:uiPriority w:val="0"/>
    <w:rPr>
      <w:rFonts w:ascii="Calibri" w:hAnsi="Calibri"/>
      <w:kern w:val="2"/>
      <w:sz w:val="21"/>
      <w:szCs w:val="24"/>
    </w:rPr>
  </w:style>
  <w:style w:type="character" w:customStyle="1" w:styleId="216">
    <w:name w:val="zbggmain style9"/>
    <w:qFormat/>
    <w:uiPriority w:val="0"/>
  </w:style>
  <w:style w:type="character" w:customStyle="1" w:styleId="217">
    <w:name w:val="style101"/>
    <w:qFormat/>
    <w:uiPriority w:val="0"/>
    <w:rPr>
      <w:color w:val="FFFFFF"/>
    </w:rPr>
  </w:style>
  <w:style w:type="character" w:customStyle="1" w:styleId="218">
    <w:name w:val="font191"/>
    <w:qFormat/>
    <w:uiPriority w:val="0"/>
    <w:rPr>
      <w:rFonts w:hint="default" w:ascii="Arial" w:hAnsi="Arial" w:cs="Arial"/>
      <w:color w:val="000000"/>
      <w:sz w:val="18"/>
      <w:szCs w:val="18"/>
      <w:u w:val="none"/>
    </w:rPr>
  </w:style>
  <w:style w:type="character" w:customStyle="1" w:styleId="219">
    <w:name w:val="font91"/>
    <w:qFormat/>
    <w:uiPriority w:val="0"/>
    <w:rPr>
      <w:rFonts w:hint="default" w:ascii="Times New Roman" w:hAnsi="Times New Roman" w:cs="Times New Roman"/>
      <w:color w:val="000000"/>
      <w:sz w:val="18"/>
      <w:szCs w:val="18"/>
      <w:u w:val="none"/>
    </w:rPr>
  </w:style>
  <w:style w:type="character" w:customStyle="1" w:styleId="220">
    <w:name w:val="正文缩进 Char1"/>
    <w:qFormat/>
    <w:uiPriority w:val="0"/>
    <w:rPr>
      <w:rFonts w:eastAsia="宋体"/>
      <w:kern w:val="2"/>
      <w:sz w:val="21"/>
      <w:szCs w:val="24"/>
      <w:lang w:val="en-US" w:eastAsia="zh-CN" w:bidi="ar-SA"/>
    </w:rPr>
  </w:style>
  <w:style w:type="character" w:customStyle="1" w:styleId="221">
    <w:name w:val="font301"/>
    <w:qFormat/>
    <w:uiPriority w:val="0"/>
    <w:rPr>
      <w:rFonts w:hint="default" w:ascii="Arial" w:hAnsi="Arial" w:cs="Arial"/>
      <w:color w:val="000000"/>
      <w:sz w:val="18"/>
      <w:szCs w:val="18"/>
      <w:u w:val="none"/>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样式 正文缩进 + 首行缩进:  2 字符 Char Char"/>
    <w:link w:val="224"/>
    <w:qFormat/>
    <w:uiPriority w:val="0"/>
    <w:rPr>
      <w:rFonts w:eastAsia="宋体"/>
      <w:kern w:val="2"/>
      <w:sz w:val="24"/>
      <w:lang w:bidi="ar-SA"/>
    </w:rPr>
  </w:style>
  <w:style w:type="paragraph" w:customStyle="1" w:styleId="224">
    <w:name w:val="样式 正文缩进 + 首行缩进:  2 字符"/>
    <w:basedOn w:val="13"/>
    <w:link w:val="223"/>
    <w:qFormat/>
    <w:uiPriority w:val="0"/>
    <w:pPr>
      <w:spacing w:line="360" w:lineRule="auto"/>
      <w:ind w:firstLine="200" w:firstLineChars="200"/>
    </w:pPr>
    <w:rPr>
      <w:sz w:val="24"/>
    </w:rPr>
  </w:style>
  <w:style w:type="character" w:customStyle="1" w:styleId="225">
    <w:name w:val="tw4winExternal"/>
    <w:qFormat/>
    <w:uiPriority w:val="0"/>
    <w:rPr>
      <w:rFonts w:ascii="Courier New" w:hAnsi="Courier New"/>
      <w:color w:val="808080"/>
    </w:rPr>
  </w:style>
  <w:style w:type="character" w:customStyle="1" w:styleId="226">
    <w:name w:val="发布"/>
    <w:qFormat/>
    <w:uiPriority w:val="0"/>
    <w:rPr>
      <w:rFonts w:ascii="黑体" w:eastAsia="黑体"/>
      <w:spacing w:val="22"/>
      <w:w w:val="100"/>
      <w:position w:val="3"/>
      <w:sz w:val="28"/>
    </w:rPr>
  </w:style>
  <w:style w:type="character" w:customStyle="1" w:styleId="227">
    <w:name w:val="font141"/>
    <w:qFormat/>
    <w:uiPriority w:val="0"/>
    <w:rPr>
      <w:rFonts w:hint="eastAsia" w:ascii="宋体" w:hAnsi="宋体" w:eastAsia="宋体" w:cs="宋体"/>
      <w:color w:val="000000"/>
      <w:sz w:val="18"/>
      <w:szCs w:val="18"/>
      <w:u w:val="none"/>
    </w:rPr>
  </w:style>
  <w:style w:type="character" w:customStyle="1" w:styleId="228">
    <w:name w:val="font131"/>
    <w:qFormat/>
    <w:uiPriority w:val="0"/>
    <w:rPr>
      <w:rFonts w:hint="eastAsia" w:ascii="宋体" w:hAnsi="宋体" w:eastAsia="宋体" w:cs="宋体"/>
      <w:color w:val="000000"/>
      <w:sz w:val="18"/>
      <w:szCs w:val="18"/>
      <w:u w:val="none"/>
    </w:rPr>
  </w:style>
  <w:style w:type="character" w:customStyle="1" w:styleId="229">
    <w:name w:val="arial111"/>
    <w:qFormat/>
    <w:uiPriority w:val="0"/>
    <w:rPr>
      <w:rFonts w:hint="default" w:ascii="Arial" w:hAnsi="Arial" w:cs="Arial"/>
      <w:sz w:val="17"/>
      <w:szCs w:val="17"/>
    </w:rPr>
  </w:style>
  <w:style w:type="character" w:customStyle="1" w:styleId="230">
    <w:name w:val="段落 Char Char"/>
    <w:link w:val="231"/>
    <w:qFormat/>
    <w:uiPriority w:val="0"/>
    <w:rPr>
      <w:rFonts w:eastAsia="仿宋_GB2312"/>
      <w:kern w:val="2"/>
      <w:sz w:val="24"/>
      <w:szCs w:val="22"/>
      <w:lang w:val="en-US" w:eastAsia="zh-CN" w:bidi="ar-SA"/>
    </w:rPr>
  </w:style>
  <w:style w:type="paragraph" w:customStyle="1" w:styleId="231">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232">
    <w:name w:val="15"/>
    <w:qFormat/>
    <w:uiPriority w:val="0"/>
    <w:rPr>
      <w:rFonts w:hint="default" w:ascii="Times New Roman" w:hAnsi="Times New Roman" w:cs="Times New Roman"/>
      <w:color w:val="000000"/>
      <w:sz w:val="18"/>
      <w:szCs w:val="18"/>
    </w:rPr>
  </w:style>
  <w:style w:type="character" w:customStyle="1" w:styleId="233">
    <w:name w:val="tw4winInternal"/>
    <w:qFormat/>
    <w:uiPriority w:val="0"/>
    <w:rPr>
      <w:rFonts w:ascii="Courier New" w:hAnsi="Courier New"/>
      <w:color w:val="FF0000"/>
    </w:rPr>
  </w:style>
  <w:style w:type="character" w:customStyle="1" w:styleId="234">
    <w:name w:val="标题 3 Char Char"/>
    <w:qFormat/>
    <w:uiPriority w:val="0"/>
    <w:rPr>
      <w:rFonts w:eastAsia="宋体"/>
      <w:b/>
      <w:kern w:val="2"/>
      <w:sz w:val="32"/>
      <w:lang w:val="en-US" w:eastAsia="zh-CN"/>
    </w:rPr>
  </w:style>
  <w:style w:type="character" w:customStyle="1" w:styleId="235">
    <w:name w:val="font341"/>
    <w:qFormat/>
    <w:uiPriority w:val="0"/>
    <w:rPr>
      <w:rFonts w:hint="default" w:ascii="Arial" w:hAnsi="Arial" w:cs="Arial"/>
      <w:color w:val="000000"/>
      <w:sz w:val="18"/>
      <w:szCs w:val="18"/>
      <w:u w:val="none"/>
    </w:rPr>
  </w:style>
  <w:style w:type="character" w:customStyle="1" w:styleId="236">
    <w:name w:val="Char Char36"/>
    <w:qFormat/>
    <w:uiPriority w:val="0"/>
    <w:rPr>
      <w:rFonts w:ascii="Arial" w:hAnsi="Arial" w:eastAsia="黑体"/>
      <w:b/>
      <w:bCs/>
      <w:kern w:val="2"/>
      <w:sz w:val="32"/>
      <w:szCs w:val="32"/>
    </w:rPr>
  </w:style>
  <w:style w:type="character" w:customStyle="1" w:styleId="237">
    <w:name w:val="16"/>
    <w:qFormat/>
    <w:uiPriority w:val="0"/>
    <w:rPr>
      <w:rFonts w:hint="eastAsia" w:ascii="宋体" w:hAnsi="宋体" w:eastAsia="宋体"/>
      <w:color w:val="000000"/>
      <w:sz w:val="20"/>
      <w:szCs w:val="20"/>
    </w:rPr>
  </w:style>
  <w:style w:type="character" w:customStyle="1" w:styleId="238">
    <w:name w:val="paramlista1"/>
    <w:qFormat/>
    <w:uiPriority w:val="0"/>
    <w:rPr>
      <w:sz w:val="18"/>
      <w:szCs w:val="18"/>
    </w:rPr>
  </w:style>
  <w:style w:type="character" w:customStyle="1" w:styleId="239">
    <w:name w:val="font101"/>
    <w:qFormat/>
    <w:uiPriority w:val="0"/>
    <w:rPr>
      <w:rFonts w:hint="eastAsia" w:ascii="宋体" w:hAnsi="宋体" w:eastAsia="宋体" w:cs="宋体"/>
      <w:color w:val="000000"/>
      <w:sz w:val="20"/>
      <w:szCs w:val="20"/>
      <w:u w:val="none"/>
    </w:rPr>
  </w:style>
  <w:style w:type="character" w:customStyle="1" w:styleId="240">
    <w:name w:val="纯文本[858D7CFB-ED40-4347-BF05-701D383B685F]"/>
    <w:qFormat/>
    <w:uiPriority w:val="0"/>
    <w:rPr>
      <w:rFonts w:ascii="宋体" w:hAnsi="Courier New"/>
      <w:szCs w:val="20"/>
    </w:rPr>
  </w:style>
  <w:style w:type="character" w:customStyle="1" w:styleId="241">
    <w:name w:val="tw4winTerm"/>
    <w:qFormat/>
    <w:uiPriority w:val="0"/>
    <w:rPr>
      <w:color w:val="0000FF"/>
    </w:rPr>
  </w:style>
  <w:style w:type="character" w:customStyle="1" w:styleId="242">
    <w:name w:val="font21"/>
    <w:basedOn w:val="55"/>
    <w:qFormat/>
    <w:uiPriority w:val="0"/>
    <w:rPr>
      <w:rFonts w:hint="eastAsia" w:ascii="宋体" w:hAnsi="宋体" w:eastAsia="宋体" w:cs="宋体"/>
      <w:color w:val="000000"/>
      <w:sz w:val="18"/>
      <w:szCs w:val="18"/>
      <w:u w:val="none"/>
    </w:rPr>
  </w:style>
  <w:style w:type="paragraph" w:customStyle="1" w:styleId="24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44">
    <w:name w:val="表格标题"/>
    <w:basedOn w:val="245"/>
    <w:qFormat/>
    <w:uiPriority w:val="0"/>
    <w:pPr>
      <w:jc w:val="center"/>
    </w:pPr>
    <w:rPr>
      <w:b/>
      <w:bCs/>
      <w:i/>
      <w:iCs/>
    </w:rPr>
  </w:style>
  <w:style w:type="paragraph" w:customStyle="1" w:styleId="245">
    <w:name w:val="表格内容"/>
    <w:basedOn w:val="22"/>
    <w:qFormat/>
    <w:uiPriority w:val="0"/>
    <w:pPr>
      <w:suppressLineNumbers/>
      <w:suppressAutoHyphens/>
    </w:pPr>
    <w:rPr>
      <w:kern w:val="1"/>
      <w:lang w:eastAsia="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Char3 Char Char Char"/>
    <w:basedOn w:val="1"/>
    <w:qFormat/>
    <w:uiPriority w:val="0"/>
    <w:pPr>
      <w:tabs>
        <w:tab w:val="left" w:pos="1440"/>
      </w:tabs>
      <w:ind w:left="1440" w:hanging="1275"/>
    </w:pPr>
    <w:rPr>
      <w:sz w:val="24"/>
    </w:rPr>
  </w:style>
  <w:style w:type="paragraph" w:customStyle="1" w:styleId="248">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249">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250">
    <w:name w:val="BH-03"/>
    <w:basedOn w:val="1"/>
    <w:next w:val="1"/>
    <w:qFormat/>
    <w:uiPriority w:val="0"/>
    <w:pPr>
      <w:spacing w:line="360" w:lineRule="auto"/>
      <w:outlineLvl w:val="2"/>
    </w:pPr>
    <w:rPr>
      <w:rFonts w:ascii="Arial" w:hAnsi="Arial"/>
      <w:b/>
      <w:szCs w:val="21"/>
    </w:rPr>
  </w:style>
  <w:style w:type="paragraph" w:customStyle="1" w:styleId="25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253">
    <w:name w:val="Char1 Char Char Char Char Char Char Char Char1 Char Char"/>
    <w:basedOn w:val="1"/>
    <w:qFormat/>
    <w:uiPriority w:val="0"/>
    <w:rPr>
      <w:b/>
      <w:bCs/>
      <w:sz w:val="36"/>
      <w:szCs w:val="32"/>
    </w:rPr>
  </w:style>
  <w:style w:type="paragraph" w:customStyle="1" w:styleId="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55">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样式 标题 4 + 非加粗"/>
    <w:basedOn w:val="5"/>
    <w:qFormat/>
    <w:uiPriority w:val="0"/>
    <w:pPr>
      <w:spacing w:before="120" w:after="120" w:line="500" w:lineRule="exact"/>
    </w:pPr>
    <w:rPr>
      <w:rFonts w:eastAsia="宋体"/>
      <w:bCs w:val="0"/>
      <w:spacing w:val="4"/>
      <w:sz w:val="24"/>
      <w:szCs w:val="24"/>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264">
    <w:name w:val="Table Paragraph"/>
    <w:basedOn w:val="1"/>
    <w:qFormat/>
    <w:uiPriority w:val="0"/>
  </w:style>
  <w:style w:type="paragraph" w:customStyle="1" w:styleId="26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标题1"/>
    <w:basedOn w:val="29"/>
    <w:qFormat/>
    <w:uiPriority w:val="0"/>
    <w:pPr>
      <w:spacing w:line="360" w:lineRule="auto"/>
    </w:pPr>
    <w:rPr>
      <w:b/>
      <w:sz w:val="30"/>
      <w:szCs w:val="20"/>
    </w:rPr>
  </w:style>
  <w:style w:type="paragraph" w:customStyle="1" w:styleId="26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68">
    <w:name w:val="样式 正文文本缩进 + 仿宋_GB2312 小四 首行缩进:  0 厘米 行距: 1.5 倍行距"/>
    <w:basedOn w:val="14"/>
    <w:qFormat/>
    <w:uiPriority w:val="0"/>
    <w:pPr>
      <w:spacing w:line="360" w:lineRule="auto"/>
      <w:ind w:firstLine="0"/>
    </w:pPr>
    <w:rPr>
      <w:rFonts w:ascii="仿宋_GB2312" w:hAnsi="Times New Roman" w:eastAsia="新宋体"/>
      <w:spacing w:val="0"/>
      <w:sz w:val="24"/>
    </w:rPr>
  </w:style>
  <w:style w:type="paragraph" w:customStyle="1" w:styleId="269">
    <w:name w:val="封面标准代替信息"/>
    <w:basedOn w:val="270"/>
    <w:qFormat/>
    <w:uiPriority w:val="0"/>
    <w:pPr>
      <w:spacing w:before="57"/>
    </w:pPr>
    <w:rPr>
      <w:sz w:val="21"/>
    </w:rPr>
  </w:style>
  <w:style w:type="paragraph" w:customStyle="1" w:styleId="270">
    <w:name w:val="封面标准号2"/>
    <w:basedOn w:val="271"/>
    <w:qFormat/>
    <w:uiPriority w:val="0"/>
    <w:pPr>
      <w:adjustRightInd w:val="0"/>
      <w:spacing w:before="357" w:line="280" w:lineRule="exact"/>
    </w:pPr>
  </w:style>
  <w:style w:type="paragraph" w:customStyle="1" w:styleId="27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272">
    <w:name w:val="三级无标题条"/>
    <w:basedOn w:val="1"/>
    <w:qFormat/>
    <w:uiPriority w:val="0"/>
    <w:rPr>
      <w:rFonts w:ascii="宋体" w:hAnsi="宋体"/>
    </w:rPr>
  </w:style>
  <w:style w:type="paragraph" w:customStyle="1" w:styleId="27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74">
    <w:name w:val="样式 标题 3Chapter X.X.X. + 段后: 0.5 行1"/>
    <w:basedOn w:val="4"/>
    <w:next w:val="1"/>
    <w:qFormat/>
    <w:uiPriority w:val="0"/>
    <w:pPr>
      <w:keepLines w:val="0"/>
      <w:autoSpaceDE/>
      <w:autoSpaceDN/>
      <w:adjustRightInd/>
      <w:spacing w:before="120" w:after="156" w:afterLines="50"/>
    </w:pPr>
    <w:rPr>
      <w:rFonts w:cs="宋体"/>
      <w:bCs/>
      <w:snapToGrid w:val="0"/>
      <w:u w:val="none"/>
    </w:rPr>
  </w:style>
  <w:style w:type="paragraph" w:customStyle="1" w:styleId="2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标准标题1"/>
    <w:basedOn w:val="2"/>
    <w:qFormat/>
    <w:uiPriority w:val="0"/>
    <w:pPr>
      <w:pageBreakBefore/>
      <w:tabs>
        <w:tab w:val="left" w:pos="1080"/>
      </w:tabs>
      <w:ind w:left="425" w:hanging="425"/>
    </w:pPr>
    <w:rPr>
      <w:rFonts w:eastAsia="仿宋_GB2312"/>
      <w:sz w:val="32"/>
    </w:rPr>
  </w:style>
  <w:style w:type="paragraph" w:customStyle="1" w:styleId="277">
    <w:name w:val="Char Char Char Char Char Char Char Char Char Char Char Char"/>
    <w:basedOn w:val="1"/>
    <w:qFormat/>
    <w:uiPriority w:val="0"/>
    <w:rPr>
      <w:rFonts w:ascii="宋体" w:hAnsi="宋体"/>
      <w:szCs w:val="20"/>
    </w:rPr>
  </w:style>
  <w:style w:type="paragraph" w:customStyle="1" w:styleId="27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79">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0">
    <w:name w:val="Style-正文"/>
    <w:basedOn w:val="1"/>
    <w:qFormat/>
    <w:uiPriority w:val="0"/>
    <w:pPr>
      <w:spacing w:line="360" w:lineRule="auto"/>
      <w:ind w:firstLine="420"/>
    </w:pPr>
    <w:rPr>
      <w:rFonts w:ascii="宋体" w:hAnsi="宋体"/>
      <w:sz w:val="24"/>
    </w:rPr>
  </w:style>
  <w:style w:type="paragraph" w:customStyle="1" w:styleId="281">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282">
    <w:name w:val="样式 标题 2Chapter X.X. Statementh22Header 2l2Level 2 Headhea...1"/>
    <w:basedOn w:val="4"/>
    <w:qFormat/>
    <w:uiPriority w:val="0"/>
    <w:pPr>
      <w:keepLines w:val="0"/>
      <w:autoSpaceDE/>
      <w:autoSpaceDN/>
      <w:adjustRightInd/>
      <w:spacing w:before="120" w:after="156" w:afterLines="50"/>
    </w:pPr>
    <w:rPr>
      <w:rFonts w:cs="宋体"/>
      <w:bCs/>
      <w:snapToGrid w:val="0"/>
      <w:u w:val="none"/>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2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潘"/>
    <w:basedOn w:val="1"/>
    <w:qFormat/>
    <w:uiPriority w:val="0"/>
    <w:pPr>
      <w:snapToGrid w:val="0"/>
      <w:spacing w:line="240" w:lineRule="atLeast"/>
    </w:pPr>
    <w:rPr>
      <w:rFonts w:ascii="Arial" w:hAnsi="Arial" w:eastAsia="楷体_GB2312"/>
      <w:b/>
      <w:bCs/>
    </w:rPr>
  </w:style>
  <w:style w:type="paragraph" w:customStyle="1" w:styleId="28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90">
    <w:name w:val="Default"/>
    <w:next w:val="29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2">
    <w:name w:val="Char1 Char Char Char Char Char Char Char Char1 Char Char1"/>
    <w:basedOn w:val="1"/>
    <w:qFormat/>
    <w:uiPriority w:val="0"/>
    <w:rPr>
      <w:b/>
      <w:bCs/>
      <w:sz w:val="36"/>
      <w:szCs w:val="32"/>
    </w:rPr>
  </w:style>
  <w:style w:type="paragraph" w:customStyle="1" w:styleId="29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Char1"/>
    <w:basedOn w:val="1"/>
    <w:qFormat/>
    <w:uiPriority w:val="0"/>
    <w:rPr>
      <w:rFonts w:ascii="仿宋_GB2312" w:eastAsia="仿宋_GB2312"/>
      <w:b/>
      <w:sz w:val="32"/>
      <w:szCs w:val="32"/>
    </w:rPr>
  </w:style>
  <w:style w:type="paragraph" w:customStyle="1" w:styleId="29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97">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1">
    <w:name w:val="BH-02"/>
    <w:basedOn w:val="1"/>
    <w:next w:val="1"/>
    <w:qFormat/>
    <w:uiPriority w:val="0"/>
    <w:pPr>
      <w:spacing w:line="360" w:lineRule="auto"/>
      <w:outlineLvl w:val="1"/>
    </w:pPr>
    <w:rPr>
      <w:rFonts w:ascii="Arial" w:hAnsi="Arial"/>
      <w:b/>
      <w:sz w:val="24"/>
    </w:rPr>
  </w:style>
  <w:style w:type="paragraph" w:customStyle="1" w:styleId="302">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0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04">
    <w:name w:val="附录标识"/>
    <w:basedOn w:val="305"/>
    <w:qFormat/>
    <w:uiPriority w:val="0"/>
    <w:pPr>
      <w:tabs>
        <w:tab w:val="left" w:pos="360"/>
        <w:tab w:val="left" w:pos="6405"/>
      </w:tabs>
      <w:spacing w:after="200" w:line="240" w:lineRule="auto"/>
    </w:pPr>
    <w:rPr>
      <w:rFonts w:hAnsi="宋体"/>
      <w:kern w:val="2"/>
      <w:sz w:val="21"/>
      <w:szCs w:val="24"/>
    </w:rPr>
  </w:style>
  <w:style w:type="paragraph" w:customStyle="1" w:styleId="305">
    <w:name w:val="前言、引言标题"/>
    <w:next w:val="1"/>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306">
    <w:name w:val="P1"/>
    <w:basedOn w:val="1"/>
    <w:qFormat/>
    <w:uiPriority w:val="0"/>
    <w:pPr>
      <w:widowControl/>
      <w:spacing w:before="240" w:line="240" w:lineRule="atLeast"/>
      <w:jc w:val="left"/>
    </w:pPr>
    <w:rPr>
      <w:b/>
      <w:kern w:val="0"/>
      <w:szCs w:val="21"/>
      <w:lang w:val="en-AU" w:eastAsia="en-US"/>
    </w:rPr>
  </w:style>
  <w:style w:type="paragraph" w:customStyle="1" w:styleId="3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9">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10">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13">
    <w:name w:val="表格1"/>
    <w:basedOn w:val="1"/>
    <w:qFormat/>
    <w:uiPriority w:val="0"/>
    <w:pPr>
      <w:jc w:val="center"/>
    </w:pPr>
    <w:rPr>
      <w:rFonts w:ascii="Calibri" w:hAnsi="Calibri"/>
      <w:szCs w:val="22"/>
    </w:rPr>
  </w:style>
  <w:style w:type="paragraph" w:customStyle="1" w:styleId="314">
    <w:name w:val="Char Char Char"/>
    <w:basedOn w:val="1"/>
    <w:qFormat/>
    <w:uiPriority w:val="0"/>
    <w:rPr>
      <w:rFonts w:ascii="Tahoma" w:hAnsi="Tahoma"/>
      <w:sz w:val="24"/>
      <w:szCs w:val="20"/>
    </w:rPr>
  </w:style>
  <w:style w:type="paragraph" w:customStyle="1" w:styleId="3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6">
    <w:name w:val="S4-L15-C"/>
    <w:basedOn w:val="1"/>
    <w:qFormat/>
    <w:uiPriority w:val="0"/>
    <w:pPr>
      <w:spacing w:after="120" w:line="360" w:lineRule="auto"/>
      <w:jc w:val="center"/>
    </w:pPr>
    <w:rPr>
      <w:szCs w:val="21"/>
    </w:rPr>
  </w:style>
  <w:style w:type="paragraph" w:customStyle="1" w:styleId="3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表头1"/>
    <w:basedOn w:val="22"/>
    <w:qFormat/>
    <w:uiPriority w:val="0"/>
    <w:pPr>
      <w:adjustRightInd w:val="0"/>
      <w:spacing w:after="0"/>
      <w:jc w:val="center"/>
      <w:textAlignment w:val="baseline"/>
    </w:pPr>
    <w:rPr>
      <w:kern w:val="0"/>
      <w:sz w:val="24"/>
      <w:szCs w:val="20"/>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Char11"/>
    <w:basedOn w:val="1"/>
    <w:qFormat/>
    <w:uiPriority w:val="0"/>
    <w:pPr>
      <w:tabs>
        <w:tab w:val="left" w:pos="432"/>
      </w:tabs>
      <w:spacing w:before="156" w:beforeLines="50" w:after="156" w:afterLines="50"/>
      <w:ind w:left="432" w:hanging="432"/>
    </w:pPr>
    <w:rPr>
      <w:sz w:val="24"/>
    </w:rPr>
  </w:style>
  <w:style w:type="paragraph" w:customStyle="1" w:styleId="32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325">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3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329">
    <w:name w:val="样式 标题 4H4sect 1.2.3.4Ref Heading 1rh1Heading sqlh4h41h42..."/>
    <w:basedOn w:val="5"/>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330">
    <w:name w:val="S4-I-L15-U"/>
    <w:basedOn w:val="1"/>
    <w:qFormat/>
    <w:uiPriority w:val="0"/>
    <w:pPr>
      <w:spacing w:line="360" w:lineRule="auto"/>
    </w:pPr>
    <w:rPr>
      <w:b/>
      <w:i/>
      <w:sz w:val="24"/>
      <w:u w:val="single"/>
    </w:rPr>
  </w:style>
  <w:style w:type="paragraph" w:customStyle="1" w:styleId="331">
    <w:name w:val="样式 标题 2"/>
    <w:basedOn w:val="3"/>
    <w:next w:val="3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32">
    <w:name w:val="最新标题3"/>
    <w:basedOn w:val="333"/>
    <w:next w:val="334"/>
    <w:qFormat/>
    <w:uiPriority w:val="0"/>
  </w:style>
  <w:style w:type="paragraph" w:customStyle="1" w:styleId="333">
    <w:name w:val="样式 标题 3"/>
    <w:basedOn w:val="4"/>
    <w:next w:val="334"/>
    <w:qFormat/>
    <w:uiPriority w:val="0"/>
    <w:pPr>
      <w:keepLines w:val="0"/>
      <w:autoSpaceDE/>
      <w:autoSpaceDN/>
      <w:adjustRightInd/>
      <w:spacing w:before="120" w:after="156" w:afterLines="50"/>
    </w:pPr>
    <w:rPr>
      <w:rFonts w:cs="宋体"/>
      <w:bCs/>
      <w:snapToGrid w:val="0"/>
      <w:u w:val="none"/>
    </w:rPr>
  </w:style>
  <w:style w:type="paragraph" w:customStyle="1" w:styleId="334">
    <w:name w:val="最新标题4"/>
    <w:basedOn w:val="335"/>
    <w:next w:val="1"/>
    <w:qFormat/>
    <w:uiPriority w:val="0"/>
    <w:pPr>
      <w:tabs>
        <w:tab w:val="left" w:pos="2100"/>
      </w:tabs>
      <w:spacing w:after="120"/>
      <w:ind w:left="0" w:firstLine="0"/>
    </w:pPr>
  </w:style>
  <w:style w:type="paragraph" w:customStyle="1" w:styleId="335">
    <w:name w:val="样式 标题 4"/>
    <w:basedOn w:val="336"/>
    <w:next w:val="338"/>
    <w:qFormat/>
    <w:uiPriority w:val="0"/>
    <w:pPr>
      <w:tabs>
        <w:tab w:val="left" w:pos="2100"/>
      </w:tabs>
      <w:spacing w:after="50"/>
      <w:ind w:left="2100" w:hanging="420"/>
    </w:pPr>
  </w:style>
  <w:style w:type="paragraph" w:customStyle="1" w:styleId="336">
    <w:name w:val="样式 标题 4Chapter X.X.X.X. + 段后: 0.5 行1"/>
    <w:basedOn w:val="337"/>
    <w:qFormat/>
    <w:uiPriority w:val="0"/>
    <w:pPr>
      <w:spacing w:after="120"/>
    </w:pPr>
  </w:style>
  <w:style w:type="paragraph" w:customStyle="1" w:styleId="337">
    <w:name w:val="样式 标题 4 +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38">
    <w:name w:val="样式 正文"/>
    <w:basedOn w:val="1"/>
    <w:next w:val="1"/>
    <w:qFormat/>
    <w:uiPriority w:val="0"/>
    <w:pPr>
      <w:spacing w:after="156" w:afterLines="50"/>
      <w:jc w:val="left"/>
    </w:pPr>
    <w:rPr>
      <w:rFonts w:ascii="宋体" w:cs="宋体"/>
      <w:snapToGrid w:val="0"/>
      <w:kern w:val="0"/>
      <w:szCs w:val="20"/>
    </w:rPr>
  </w:style>
  <w:style w:type="paragraph" w:customStyle="1" w:styleId="33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340">
    <w:name w:val="标准小四"/>
    <w:basedOn w:val="1"/>
    <w:qFormat/>
    <w:uiPriority w:val="0"/>
    <w:pPr>
      <w:spacing w:line="360" w:lineRule="auto"/>
      <w:ind w:firstLine="480" w:firstLineChars="200"/>
    </w:pPr>
    <w:rPr>
      <w:rFonts w:ascii="Arial" w:hAnsi="Arial"/>
      <w:sz w:val="24"/>
      <w:szCs w:val="21"/>
    </w:rPr>
  </w:style>
  <w:style w:type="paragraph" w:customStyle="1" w:styleId="3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2">
    <w:name w:val="样式 标题 1 + 段后: 0.5 行"/>
    <w:basedOn w:val="2"/>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343">
    <w:name w:val="样式 标题1"/>
    <w:basedOn w:val="342"/>
    <w:next w:val="344"/>
    <w:qFormat/>
    <w:uiPriority w:val="0"/>
    <w:pPr>
      <w:tabs>
        <w:tab w:val="left" w:pos="1140"/>
      </w:tabs>
      <w:spacing w:after="50"/>
      <w:ind w:left="1140" w:hanging="720"/>
    </w:pPr>
    <w:rPr>
      <w:bCs w:val="0"/>
      <w:sz w:val="32"/>
    </w:rPr>
  </w:style>
  <w:style w:type="paragraph" w:customStyle="1" w:styleId="344">
    <w:name w:val="最新标题2"/>
    <w:basedOn w:val="331"/>
    <w:next w:val="332"/>
    <w:qFormat/>
    <w:uiPriority w:val="0"/>
    <w:pPr>
      <w:spacing w:after="120"/>
    </w:pPr>
  </w:style>
  <w:style w:type="paragraph" w:customStyle="1" w:styleId="34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3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8">
    <w:name w:val="样式 标题 1 + 五号"/>
    <w:basedOn w:val="2"/>
    <w:qFormat/>
    <w:uiPriority w:val="0"/>
    <w:pPr>
      <w:spacing w:before="0" w:after="0" w:line="240" w:lineRule="auto"/>
      <w:jc w:val="center"/>
    </w:pPr>
    <w:rPr>
      <w:sz w:val="32"/>
      <w:szCs w:val="32"/>
    </w:rPr>
  </w:style>
  <w:style w:type="paragraph" w:customStyle="1" w:styleId="349">
    <w:name w:val="font7"/>
    <w:basedOn w:val="1"/>
    <w:qFormat/>
    <w:uiPriority w:val="0"/>
    <w:pPr>
      <w:widowControl/>
      <w:spacing w:before="100" w:beforeAutospacing="1" w:after="100" w:afterAutospacing="1"/>
      <w:jc w:val="left"/>
    </w:pPr>
    <w:rPr>
      <w:kern w:val="0"/>
      <w:sz w:val="20"/>
      <w:szCs w:val="20"/>
    </w:rPr>
  </w:style>
  <w:style w:type="paragraph" w:customStyle="1" w:styleId="350">
    <w:name w:val="正文－恩普"/>
    <w:basedOn w:val="13"/>
    <w:qFormat/>
    <w:uiPriority w:val="0"/>
    <w:pPr>
      <w:widowControl/>
      <w:spacing w:after="156" w:afterLines="50" w:line="360" w:lineRule="auto"/>
      <w:ind w:firstLine="480" w:firstLineChars="200"/>
      <w:jc w:val="left"/>
    </w:pPr>
    <w:rPr>
      <w:kern w:val="0"/>
      <w:sz w:val="24"/>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条文脚注"/>
    <w:basedOn w:val="41"/>
    <w:qFormat/>
    <w:uiPriority w:val="0"/>
    <w:pPr>
      <w:ind w:left="780" w:leftChars="200" w:hanging="360" w:hangingChars="200"/>
      <w:jc w:val="both"/>
    </w:pPr>
  </w:style>
  <w:style w:type="paragraph" w:customStyle="1" w:styleId="3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355">
    <w:name w:val="Main Title"/>
    <w:basedOn w:val="1"/>
    <w:qFormat/>
    <w:uiPriority w:val="0"/>
    <w:pPr>
      <w:spacing w:before="480" w:after="156" w:afterLines="50"/>
      <w:jc w:val="center"/>
    </w:pPr>
    <w:rPr>
      <w:rFonts w:ascii="宋体"/>
      <w:b/>
      <w:snapToGrid w:val="0"/>
      <w:kern w:val="28"/>
      <w:sz w:val="32"/>
      <w:szCs w:val="20"/>
    </w:rPr>
  </w:style>
  <w:style w:type="paragraph" w:customStyle="1" w:styleId="356">
    <w:name w:val="Char Char Char Char Char Char Char Char1 Char"/>
    <w:basedOn w:val="1"/>
    <w:qFormat/>
    <w:uiPriority w:val="0"/>
    <w:rPr>
      <w:szCs w:val="20"/>
    </w:rPr>
  </w:style>
  <w:style w:type="paragraph" w:customStyle="1" w:styleId="357">
    <w:name w:val="样式 样式 标题 4 + 段后: 0.5 行 + 段后: 0.5 行"/>
    <w:basedOn w:val="337"/>
    <w:qFormat/>
    <w:uiPriority w:val="0"/>
  </w:style>
  <w:style w:type="paragraph" w:customStyle="1" w:styleId="35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362">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63">
    <w:name w:val="Char21"/>
    <w:basedOn w:val="1"/>
    <w:qFormat/>
    <w:uiPriority w:val="0"/>
    <w:pPr>
      <w:tabs>
        <w:tab w:val="left" w:pos="432"/>
      </w:tabs>
      <w:spacing w:before="156" w:beforeLines="50" w:after="156" w:afterLines="50"/>
      <w:ind w:left="432" w:hanging="432"/>
    </w:pPr>
    <w:rPr>
      <w:sz w:val="24"/>
    </w:rPr>
  </w:style>
  <w:style w:type="paragraph" w:customStyle="1" w:styleId="364">
    <w:name w:val="标准有序列表（L1）"/>
    <w:basedOn w:val="13"/>
    <w:qFormat/>
    <w:uiPriority w:val="0"/>
    <w:pPr>
      <w:tabs>
        <w:tab w:val="left" w:pos="0"/>
      </w:tabs>
      <w:spacing w:line="360" w:lineRule="auto"/>
      <w:ind w:firstLine="0"/>
    </w:pPr>
    <w:rPr>
      <w:rFonts w:ascii="黑体" w:eastAsia="黑体"/>
      <w:color w:val="000000"/>
      <w:sz w:val="24"/>
    </w:rPr>
  </w:style>
  <w:style w:type="paragraph" w:customStyle="1" w:styleId="365">
    <w:name w:val="样式 样式 正文文本缩进 + 仿宋_GB2312 小四 首行缩进:  0 厘米 行距: 1.5 倍行距 + (中文) 仿宋_GB..."/>
    <w:basedOn w:val="268"/>
    <w:qFormat/>
    <w:uiPriority w:val="0"/>
    <w:pPr>
      <w:ind w:firstLine="480" w:firstLineChars="200"/>
    </w:p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368">
    <w:name w:val="样式 标题 4Chapter X.X.X. + 段后: 0.5 行1"/>
    <w:basedOn w:val="5"/>
    <w:next w:val="5"/>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369">
    <w:name w:val="Char4"/>
    <w:basedOn w:val="1"/>
    <w:qFormat/>
    <w:uiPriority w:val="0"/>
  </w:style>
  <w:style w:type="paragraph" w:customStyle="1" w:styleId="3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 Char1"/>
    <w:basedOn w:val="1"/>
    <w:qFormat/>
    <w:uiPriority w:val="0"/>
    <w:pPr>
      <w:spacing w:line="360" w:lineRule="auto"/>
      <w:ind w:firstLine="200" w:firstLineChars="200"/>
    </w:pPr>
    <w:rPr>
      <w:rFonts w:ascii="Tahoma" w:hAnsi="Tahoma"/>
      <w:sz w:val="24"/>
    </w:rPr>
  </w:style>
  <w:style w:type="paragraph" w:customStyle="1" w:styleId="372">
    <w:name w:val="附录五级条标题"/>
    <w:basedOn w:val="373"/>
    <w:next w:val="169"/>
    <w:qFormat/>
    <w:uiPriority w:val="0"/>
    <w:pPr>
      <w:tabs>
        <w:tab w:val="left" w:pos="360"/>
      </w:tabs>
      <w:outlineLvl w:val="6"/>
    </w:pPr>
  </w:style>
  <w:style w:type="paragraph" w:customStyle="1" w:styleId="373">
    <w:name w:val="附录四级条标题"/>
    <w:basedOn w:val="374"/>
    <w:next w:val="169"/>
    <w:qFormat/>
    <w:uiPriority w:val="0"/>
    <w:pPr>
      <w:tabs>
        <w:tab w:val="left" w:pos="360"/>
      </w:tabs>
      <w:outlineLvl w:val="5"/>
    </w:pPr>
  </w:style>
  <w:style w:type="paragraph" w:customStyle="1" w:styleId="374">
    <w:name w:val="附录三级条标题"/>
    <w:basedOn w:val="375"/>
    <w:next w:val="169"/>
    <w:qFormat/>
    <w:uiPriority w:val="0"/>
    <w:pPr>
      <w:tabs>
        <w:tab w:val="left" w:pos="360"/>
      </w:tabs>
      <w:outlineLvl w:val="4"/>
    </w:pPr>
  </w:style>
  <w:style w:type="paragraph" w:customStyle="1" w:styleId="375">
    <w:name w:val="附录二级条标题"/>
    <w:basedOn w:val="376"/>
    <w:next w:val="169"/>
    <w:qFormat/>
    <w:uiPriority w:val="0"/>
    <w:pPr>
      <w:tabs>
        <w:tab w:val="left" w:pos="360"/>
      </w:tabs>
      <w:outlineLvl w:val="3"/>
    </w:pPr>
  </w:style>
  <w:style w:type="paragraph" w:customStyle="1" w:styleId="376">
    <w:name w:val="附录一级条标题"/>
    <w:basedOn w:val="377"/>
    <w:next w:val="169"/>
    <w:qFormat/>
    <w:uiPriority w:val="0"/>
    <w:pPr>
      <w:tabs>
        <w:tab w:val="left" w:pos="360"/>
      </w:tabs>
      <w:autoSpaceDN w:val="0"/>
      <w:ind w:left="0"/>
      <w:outlineLvl w:val="2"/>
    </w:pPr>
  </w:style>
  <w:style w:type="paragraph" w:customStyle="1" w:styleId="377">
    <w:name w:val="附录章标题"/>
    <w:next w:val="169"/>
    <w:qFormat/>
    <w:uiPriority w:val="0"/>
    <w:pPr>
      <w:tabs>
        <w:tab w:val="left" w:pos="360"/>
      </w:tabs>
      <w:wordWrap w:val="0"/>
      <w:overflowPunct w:val="0"/>
      <w:autoSpaceDE w:val="0"/>
      <w:spacing w:before="156" w:beforeLines="50" w:after="156"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78">
    <w:name w:val="Paragraph3"/>
    <w:basedOn w:val="1"/>
    <w:qFormat/>
    <w:uiPriority w:val="0"/>
    <w:pPr>
      <w:spacing w:before="80" w:after="156" w:afterLines="50"/>
      <w:ind w:left="1530"/>
    </w:pPr>
    <w:rPr>
      <w:rFonts w:ascii="宋体"/>
      <w:snapToGrid w:val="0"/>
      <w:kern w:val="0"/>
      <w:szCs w:val="20"/>
    </w:rPr>
  </w:style>
  <w:style w:type="paragraph" w:customStyle="1" w:styleId="379">
    <w:name w:val="普通(Web)1"/>
    <w:basedOn w:val="1"/>
    <w:next w:val="47"/>
    <w:qFormat/>
    <w:uiPriority w:val="0"/>
    <w:pPr>
      <w:widowControl/>
      <w:spacing w:before="100" w:beforeAutospacing="1" w:after="100" w:afterAutospacing="1"/>
      <w:jc w:val="left"/>
    </w:pPr>
    <w:rPr>
      <w:rFonts w:ascii="宋体" w:hAnsi="宋体"/>
      <w:color w:val="000000"/>
      <w:kern w:val="0"/>
      <w:sz w:val="24"/>
    </w:rPr>
  </w:style>
  <w:style w:type="paragraph" w:customStyle="1" w:styleId="380">
    <w:name w:val="Char Char Char Char Char Char Char Char Char Char Char Char Char Char Char Char"/>
    <w:basedOn w:val="1"/>
    <w:qFormat/>
    <w:uiPriority w:val="0"/>
    <w:pPr>
      <w:tabs>
        <w:tab w:val="left" w:pos="360"/>
      </w:tabs>
    </w:pPr>
    <w:rPr>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3">
    <w:name w:val="*正文"/>
    <w:basedOn w:val="1"/>
    <w:qFormat/>
    <w:uiPriority w:val="0"/>
    <w:pPr>
      <w:spacing w:line="360" w:lineRule="auto"/>
      <w:ind w:firstLine="200" w:firstLineChars="200"/>
    </w:pPr>
    <w:rPr>
      <w:rFonts w:ascii="宋体" w:hAnsi="宋体" w:cs="Times New Roman"/>
      <w:sz w:val="22"/>
    </w:rPr>
  </w:style>
  <w:style w:type="paragraph" w:customStyle="1" w:styleId="384">
    <w:name w:val="纯文本_0"/>
    <w:basedOn w:val="246"/>
    <w:qFormat/>
    <w:uiPriority w:val="0"/>
    <w:rPr>
      <w:rFonts w:ascii="宋体" w:hAnsi="Courier New"/>
      <w:kern w:val="0"/>
      <w:sz w:val="20"/>
      <w:szCs w:val="20"/>
    </w:rPr>
  </w:style>
  <w:style w:type="paragraph" w:customStyle="1" w:styleId="385">
    <w:name w:val="附录表标题"/>
    <w:next w:val="169"/>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386">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87">
    <w:name w:val="此正文"/>
    <w:basedOn w:val="1"/>
    <w:qFormat/>
    <w:uiPriority w:val="0"/>
    <w:pPr>
      <w:spacing w:line="360" w:lineRule="auto"/>
      <w:ind w:firstLine="200" w:firstLineChars="200"/>
    </w:pPr>
    <w:rPr>
      <w:sz w:val="24"/>
      <w:szCs w:val="20"/>
    </w:rPr>
  </w:style>
  <w:style w:type="paragraph" w:customStyle="1" w:styleId="3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90">
    <w:name w:val="样式 标题 2Chapter X.X. Statementh22Header 2l2Level 2 Headhea..."/>
    <w:basedOn w:val="3"/>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391">
    <w:name w:val="Char1 Char Char Char Char Char Char"/>
    <w:basedOn w:val="1"/>
    <w:qFormat/>
    <w:uiPriority w:val="0"/>
    <w:rPr>
      <w:rFonts w:ascii="Tahoma" w:hAnsi="Tahoma"/>
      <w:sz w:val="24"/>
      <w:szCs w:val="20"/>
    </w:rPr>
  </w:style>
  <w:style w:type="paragraph" w:customStyle="1" w:styleId="39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94">
    <w:name w:val="正文首行缩进2字符"/>
    <w:basedOn w:val="1"/>
    <w:qFormat/>
    <w:uiPriority w:val="0"/>
    <w:pPr>
      <w:spacing w:line="360" w:lineRule="auto"/>
      <w:ind w:firstLine="200" w:firstLineChars="200"/>
    </w:pPr>
    <w:rPr>
      <w:rFonts w:eastAsia="仿宋"/>
      <w:sz w:val="28"/>
      <w:szCs w:val="20"/>
    </w:rPr>
  </w:style>
  <w:style w:type="paragraph" w:customStyle="1" w:styleId="395">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396">
    <w:name w:val="WPSOffice手动目录 1"/>
    <w:qFormat/>
    <w:uiPriority w:val="0"/>
    <w:rPr>
      <w:rFonts w:ascii="Times New Roman" w:hAnsi="Times New Roman" w:eastAsia="宋体" w:cs="Times New Roman"/>
      <w:lang w:val="en-US" w:eastAsia="zh-CN" w:bidi="ar-SA"/>
    </w:rPr>
  </w:style>
  <w:style w:type="paragraph" w:customStyle="1" w:styleId="397">
    <w:name w:val="示例"/>
    <w:next w:val="169"/>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398">
    <w:name w:val="其他发布部门"/>
    <w:basedOn w:val="399"/>
    <w:qFormat/>
    <w:uiPriority w:val="0"/>
    <w:pPr>
      <w:spacing w:line="0" w:lineRule="atLeast"/>
    </w:pPr>
    <w:rPr>
      <w:rFonts w:ascii="黑体" w:eastAsia="黑体"/>
      <w:b w:val="0"/>
    </w:rPr>
  </w:style>
  <w:style w:type="paragraph" w:customStyle="1" w:styleId="399">
    <w:name w:val="发布部门"/>
    <w:next w:val="169"/>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00">
    <w:name w:val="表文字"/>
    <w:basedOn w:val="13"/>
    <w:qFormat/>
    <w:uiPriority w:val="0"/>
    <w:pPr>
      <w:widowControl/>
      <w:overflowPunct w:val="0"/>
      <w:autoSpaceDE w:val="0"/>
      <w:autoSpaceDN w:val="0"/>
      <w:adjustRightInd w:val="0"/>
      <w:snapToGrid w:val="0"/>
      <w:spacing w:line="360" w:lineRule="auto"/>
      <w:ind w:firstLine="0"/>
    </w:pPr>
    <w:rPr>
      <w:rFonts w:ascii="宋体" w:hAnsi="宋体" w:eastAsia="幼圆"/>
      <w:snapToGrid w:val="0"/>
      <w:color w:val="000000"/>
      <w:kern w:val="28"/>
      <w:sz w:val="28"/>
    </w:rPr>
  </w:style>
  <w:style w:type="paragraph" w:customStyle="1" w:styleId="401">
    <w:name w:val="标准标题3"/>
    <w:basedOn w:val="4"/>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402">
    <w:name w:val="Char"/>
    <w:basedOn w:val="1"/>
    <w:qFormat/>
    <w:uiPriority w:val="0"/>
    <w:rPr>
      <w:szCs w:val="20"/>
    </w:rPr>
  </w:style>
  <w:style w:type="paragraph" w:customStyle="1" w:styleId="4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样式 标题 2 + 五号"/>
    <w:basedOn w:val="3"/>
    <w:qFormat/>
    <w:uiPriority w:val="0"/>
    <w:pPr>
      <w:spacing w:before="0" w:after="0" w:line="240" w:lineRule="auto"/>
    </w:pPr>
    <w:rPr>
      <w:rFonts w:ascii="宋体" w:hAnsi="宋体" w:eastAsia="宋体"/>
      <w:sz w:val="21"/>
    </w:rPr>
  </w:style>
  <w:style w:type="paragraph" w:customStyle="1" w:styleId="407">
    <w:name w:val="样式　标题4"/>
    <w:basedOn w:val="368"/>
    <w:next w:val="1"/>
    <w:qFormat/>
    <w:uiPriority w:val="0"/>
  </w:style>
  <w:style w:type="paragraph" w:customStyle="1" w:styleId="408">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09">
    <w:name w:val="1"/>
    <w:basedOn w:val="1"/>
    <w:next w:val="45"/>
    <w:qFormat/>
    <w:uiPriority w:val="0"/>
    <w:pPr>
      <w:tabs>
        <w:tab w:val="left" w:pos="840"/>
      </w:tabs>
      <w:spacing w:line="360" w:lineRule="auto"/>
      <w:ind w:left="840" w:hanging="420"/>
    </w:pPr>
    <w:rPr>
      <w:rFonts w:eastAsia="仿宋_GB2312"/>
      <w:sz w:val="24"/>
    </w:rPr>
  </w:style>
  <w:style w:type="paragraph" w:customStyle="1" w:styleId="41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411">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2">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3">
    <w:name w:val="正文1"/>
    <w:qFormat/>
    <w:uiPriority w:val="0"/>
    <w:rPr>
      <w:rFonts w:ascii="Calibri" w:hAnsi="Calibri" w:eastAsia="Times New Roman" w:cs="Times New Roman"/>
      <w:sz w:val="24"/>
      <w:szCs w:val="24"/>
      <w:lang w:val="en-US" w:eastAsia="zh-CN" w:bidi="ar-SA"/>
    </w:rPr>
  </w:style>
  <w:style w:type="paragraph" w:customStyle="1" w:styleId="4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Table - Text"/>
    <w:basedOn w:val="1"/>
    <w:qFormat/>
    <w:uiPriority w:val="0"/>
    <w:pPr>
      <w:widowControl/>
      <w:spacing w:before="60" w:after="156" w:afterLines="50"/>
      <w:jc w:val="left"/>
    </w:pPr>
    <w:rPr>
      <w:kern w:val="0"/>
      <w:szCs w:val="20"/>
      <w:lang w:eastAsia="en-US"/>
    </w:rPr>
  </w:style>
  <w:style w:type="paragraph" w:customStyle="1" w:styleId="416">
    <w:name w:val="图表脚注"/>
    <w:next w:val="169"/>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17">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4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19">
    <w:name w:val="Char3"/>
    <w:basedOn w:val="1"/>
    <w:qFormat/>
    <w:uiPriority w:val="0"/>
    <w:rPr>
      <w:rFonts w:ascii="Tahoma" w:hAnsi="Tahoma"/>
      <w:sz w:val="24"/>
      <w:szCs w:val="20"/>
    </w:rPr>
  </w:style>
  <w:style w:type="paragraph" w:customStyle="1" w:styleId="420">
    <w:name w:val="P2"/>
    <w:basedOn w:val="1"/>
    <w:qFormat/>
    <w:uiPriority w:val="0"/>
    <w:pPr>
      <w:widowControl/>
      <w:spacing w:before="240" w:line="240" w:lineRule="atLeast"/>
      <w:ind w:left="578"/>
      <w:jc w:val="left"/>
    </w:pPr>
    <w:rPr>
      <w:b/>
      <w:kern w:val="0"/>
      <w:szCs w:val="21"/>
      <w:lang w:val="en-AU" w:eastAsia="en-US"/>
    </w:rPr>
  </w:style>
  <w:style w:type="paragraph" w:customStyle="1" w:styleId="42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22">
    <w:name w:val="Char Char Char1 Char Char Char Char"/>
    <w:basedOn w:val="1"/>
    <w:qFormat/>
    <w:uiPriority w:val="0"/>
    <w:rPr>
      <w:rFonts w:ascii="仿宋_GB2312" w:eastAsia="仿宋_GB2312"/>
      <w:b/>
      <w:sz w:val="32"/>
      <w:szCs w:val="32"/>
    </w:rPr>
  </w:style>
  <w:style w:type="paragraph" w:customStyle="1" w:styleId="423">
    <w:name w:val="四级无标题条"/>
    <w:basedOn w:val="1"/>
    <w:qFormat/>
    <w:uiPriority w:val="0"/>
    <w:rPr>
      <w:rFonts w:ascii="宋体" w:hAnsi="宋体"/>
    </w:rPr>
  </w:style>
  <w:style w:type="paragraph" w:customStyle="1" w:styleId="424">
    <w:name w:val="实施日期"/>
    <w:basedOn w:val="425"/>
    <w:qFormat/>
    <w:uiPriority w:val="0"/>
    <w:pPr>
      <w:jc w:val="right"/>
    </w:pPr>
  </w:style>
  <w:style w:type="paragraph" w:customStyle="1" w:styleId="425">
    <w:name w:val="发布日期"/>
    <w:qFormat/>
    <w:uiPriority w:val="0"/>
    <w:rPr>
      <w:rFonts w:ascii="宋体" w:hAnsi="宋体" w:eastAsia="黑体" w:cs="Times New Roman"/>
      <w:kern w:val="2"/>
      <w:sz w:val="28"/>
      <w:szCs w:val="24"/>
      <w:lang w:val="en-US" w:eastAsia="zh-CN" w:bidi="ar-SA"/>
    </w:rPr>
  </w:style>
  <w:style w:type="paragraph" w:customStyle="1" w:styleId="426">
    <w:name w:val="表格"/>
    <w:basedOn w:val="1"/>
    <w:next w:val="1"/>
    <w:qFormat/>
    <w:uiPriority w:val="0"/>
    <w:pPr>
      <w:widowControl/>
      <w:jc w:val="center"/>
    </w:pPr>
    <w:rPr>
      <w:rFonts w:ascii="宋体" w:cs="宋体"/>
      <w:bCs/>
      <w:kern w:val="0"/>
    </w:rPr>
  </w:style>
  <w:style w:type="paragraph" w:customStyle="1" w:styleId="4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9">
    <w:name w:val="Char Char6 Char Char"/>
    <w:basedOn w:val="1"/>
    <w:qFormat/>
    <w:uiPriority w:val="0"/>
    <w:pPr>
      <w:tabs>
        <w:tab w:val="right" w:pos="-2120"/>
      </w:tabs>
      <w:snapToGrid w:val="0"/>
    </w:pPr>
    <w:rPr>
      <w:rFonts w:ascii="Tahoma" w:hAnsi="Tahoma"/>
      <w:spacing w:val="6"/>
      <w:sz w:val="24"/>
      <w:szCs w:val="20"/>
    </w:rPr>
  </w:style>
  <w:style w:type="paragraph" w:customStyle="1" w:styleId="430">
    <w:name w:val="修订1"/>
    <w:qFormat/>
    <w:uiPriority w:val="0"/>
    <w:rPr>
      <w:rFonts w:ascii="Times New Roman" w:hAnsi="Times New Roman" w:eastAsia="宋体" w:cs="Times New Roman"/>
      <w:kern w:val="2"/>
      <w:sz w:val="21"/>
      <w:szCs w:val="24"/>
      <w:lang w:val="en-US" w:eastAsia="zh-CN" w:bidi="ar-SA"/>
    </w:rPr>
  </w:style>
  <w:style w:type="paragraph" w:customStyle="1" w:styleId="431">
    <w:name w:val="样式 模板描述"/>
    <w:basedOn w:val="1"/>
    <w:next w:val="338"/>
    <w:qFormat/>
    <w:uiPriority w:val="0"/>
    <w:pPr>
      <w:spacing w:after="156" w:afterLines="50"/>
      <w:jc w:val="left"/>
    </w:pPr>
    <w:rPr>
      <w:rFonts w:ascii="宋体" w:cs="宋体"/>
      <w:i/>
      <w:iCs/>
      <w:snapToGrid w:val="0"/>
      <w:color w:val="0000FF"/>
      <w:kern w:val="0"/>
      <w:szCs w:val="21"/>
    </w:rPr>
  </w:style>
  <w:style w:type="paragraph" w:customStyle="1" w:styleId="432">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433">
    <w:name w:val="List Paragraph1"/>
    <w:basedOn w:val="1"/>
    <w:qFormat/>
    <w:uiPriority w:val="0"/>
    <w:pPr>
      <w:ind w:firstLine="420" w:firstLineChars="200"/>
    </w:pPr>
    <w:rPr>
      <w:rFonts w:ascii="Calibri" w:hAnsi="Calibri"/>
      <w:szCs w:val="22"/>
    </w:rPr>
  </w:style>
  <w:style w:type="paragraph" w:customStyle="1" w:styleId="434">
    <w:name w:val="二级无标题条"/>
    <w:basedOn w:val="1"/>
    <w:qFormat/>
    <w:uiPriority w:val="0"/>
    <w:rPr>
      <w:rFonts w:ascii="宋体" w:hAnsi="宋体"/>
    </w:rPr>
  </w:style>
  <w:style w:type="paragraph" w:customStyle="1" w:styleId="435">
    <w:name w:val="样式 标题 3Chapter X.X.X"/>
    <w:basedOn w:val="436"/>
    <w:qFormat/>
    <w:uiPriority w:val="0"/>
  </w:style>
  <w:style w:type="paragraph" w:customStyle="1" w:styleId="436">
    <w:name w:val="标题 3Chapter X.X.X. + 段后: 0.5 行 + 段后: 0.5 行 + 段后: 0.5 行1"/>
    <w:basedOn w:val="437"/>
    <w:qFormat/>
    <w:uiPriority w:val="0"/>
  </w:style>
  <w:style w:type="paragraph" w:customStyle="1" w:styleId="437">
    <w:name w:val="样式 样式 标题 3Chapter X.X.X. + 段后: 0.5 行 + 段后: 0.5 行"/>
    <w:basedOn w:val="438"/>
    <w:qFormat/>
    <w:uiPriority w:val="0"/>
  </w:style>
  <w:style w:type="paragraph" w:customStyle="1" w:styleId="438">
    <w:name w:val="样式 标题 3Chapter X.X.X. + 段后: 0.5 行"/>
    <w:basedOn w:val="4"/>
    <w:qFormat/>
    <w:uiPriority w:val="0"/>
    <w:pPr>
      <w:keepLines w:val="0"/>
      <w:autoSpaceDE/>
      <w:autoSpaceDN/>
      <w:adjustRightInd/>
      <w:spacing w:before="120" w:after="156" w:afterLines="50"/>
    </w:pPr>
    <w:rPr>
      <w:rFonts w:cs="宋体"/>
      <w:bCs/>
      <w:snapToGrid w:val="0"/>
      <w:u w:val="none"/>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1">
    <w:name w:val="样式 样式 正文文本缩进 + 仿宋_GB2312 小四 首行缩进:  0 厘米 行距: 1.5 倍行距 + (中文) 仿宋_GB... Char Char"/>
    <w:basedOn w:val="268"/>
    <w:qFormat/>
    <w:uiPriority w:val="0"/>
    <w:pPr>
      <w:ind w:firstLine="480" w:firstLineChars="200"/>
    </w:pPr>
  </w:style>
  <w:style w:type="paragraph" w:customStyle="1" w:styleId="44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443">
    <w:name w:val="1 Char Char Char Char"/>
    <w:basedOn w:val="1"/>
    <w:qFormat/>
    <w:uiPriority w:val="0"/>
    <w:rPr>
      <w:rFonts w:ascii="Tahoma" w:hAnsi="Tahoma"/>
      <w:sz w:val="24"/>
      <w:szCs w:val="20"/>
    </w:rPr>
  </w:style>
  <w:style w:type="paragraph" w:customStyle="1" w:styleId="444">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445">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446">
    <w:name w:val="S4-L15-No"/>
    <w:basedOn w:val="447"/>
    <w:qFormat/>
    <w:uiPriority w:val="0"/>
    <w:pPr>
      <w:tabs>
        <w:tab w:val="left" w:pos="720"/>
      </w:tabs>
      <w:ind w:hanging="720"/>
    </w:pPr>
  </w:style>
  <w:style w:type="paragraph" w:customStyle="1" w:styleId="447">
    <w:name w:val="S4-L15"/>
    <w:basedOn w:val="1"/>
    <w:qFormat/>
    <w:uiPriority w:val="0"/>
    <w:pPr>
      <w:spacing w:after="120" w:line="360" w:lineRule="auto"/>
      <w:ind w:left="720" w:firstLine="392"/>
    </w:pPr>
    <w:rPr>
      <w:szCs w:val="21"/>
      <w:lang w:val="fr-FR"/>
    </w:rPr>
  </w:style>
  <w:style w:type="paragraph" w:customStyle="1" w:styleId="448">
    <w:name w:val="样式 标题 3Chapter X.X.X. + 五号 段后: 0.5 行"/>
    <w:basedOn w:val="4"/>
    <w:qFormat/>
    <w:uiPriority w:val="0"/>
    <w:pPr>
      <w:keepLines w:val="0"/>
      <w:autoSpaceDE/>
      <w:autoSpaceDN/>
      <w:adjustRightInd/>
      <w:spacing w:before="120" w:after="156" w:afterLines="50"/>
    </w:pPr>
    <w:rPr>
      <w:rFonts w:cs="宋体"/>
      <w:bCs/>
      <w:snapToGrid w:val="0"/>
      <w:sz w:val="21"/>
      <w:u w:val="none"/>
    </w:rPr>
  </w:style>
  <w:style w:type="paragraph" w:customStyle="1" w:styleId="449">
    <w:name w:val="最新标题1"/>
    <w:basedOn w:val="343"/>
    <w:next w:val="344"/>
    <w:qFormat/>
    <w:uiPriority w:val="0"/>
    <w:pPr>
      <w:spacing w:after="120"/>
    </w:pPr>
    <w:rPr>
      <w:bCs/>
    </w:rPr>
  </w:style>
  <w:style w:type="paragraph" w:customStyle="1" w:styleId="4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1">
    <w:name w:val="样式 正文（首行缩进两字） + 首行缩进:  2 字符"/>
    <w:basedOn w:val="13"/>
    <w:qFormat/>
    <w:uiPriority w:val="0"/>
    <w:pPr>
      <w:spacing w:line="460" w:lineRule="exact"/>
      <w:ind w:firstLine="536" w:firstLineChars="200"/>
    </w:pPr>
    <w:rPr>
      <w:rFonts w:cs="宋体"/>
      <w:spacing w:val="6"/>
      <w:kern w:val="24"/>
      <w:sz w:val="24"/>
      <w:szCs w:val="24"/>
    </w:rPr>
  </w:style>
  <w:style w:type="paragraph" w:customStyle="1" w:styleId="452">
    <w:name w:val="样式 标题 4Chapter X.X.X. + 段后: 0.5 行1 + 段后: 0.5 行"/>
    <w:basedOn w:val="368"/>
    <w:qFormat/>
    <w:uiPriority w:val="0"/>
    <w:rPr>
      <w:szCs w:val="21"/>
    </w:rPr>
  </w:style>
  <w:style w:type="paragraph" w:customStyle="1" w:styleId="453">
    <w:name w:val="Paragraph4"/>
    <w:basedOn w:val="1"/>
    <w:qFormat/>
    <w:uiPriority w:val="0"/>
    <w:pPr>
      <w:spacing w:before="80" w:after="156" w:afterLines="50"/>
      <w:ind w:left="2250"/>
    </w:pPr>
    <w:rPr>
      <w:rFonts w:ascii="宋体"/>
      <w:snapToGrid w:val="0"/>
      <w:kern w:val="0"/>
      <w:szCs w:val="20"/>
    </w:rPr>
  </w:style>
  <w:style w:type="paragraph" w:customStyle="1" w:styleId="454">
    <w:name w:val="五级无标题条"/>
    <w:basedOn w:val="1"/>
    <w:qFormat/>
    <w:uiPriority w:val="0"/>
    <w:rPr>
      <w:rFonts w:ascii="宋体" w:hAnsi="宋体"/>
    </w:rPr>
  </w:style>
  <w:style w:type="paragraph" w:customStyle="1" w:styleId="455">
    <w:name w:val="标准标题2"/>
    <w:basedOn w:val="3"/>
    <w:qFormat/>
    <w:uiPriority w:val="0"/>
    <w:pPr>
      <w:spacing w:line="360" w:lineRule="auto"/>
    </w:pPr>
    <w:rPr>
      <w:rFonts w:eastAsia="仿宋_GB2312"/>
      <w:bCs w:val="0"/>
      <w:sz w:val="28"/>
    </w:rPr>
  </w:style>
  <w:style w:type="paragraph" w:customStyle="1" w:styleId="456">
    <w:name w:val="Note Heading1"/>
    <w:basedOn w:val="1"/>
    <w:next w:val="1"/>
    <w:qFormat/>
    <w:uiPriority w:val="0"/>
    <w:pPr>
      <w:jc w:val="center"/>
    </w:pPr>
    <w:rPr>
      <w:rFonts w:ascii="DFKai-SB" w:hAnsi="DFKai-SB" w:eastAsia="DFKai-SB"/>
      <w:sz w:val="20"/>
      <w:szCs w:val="20"/>
    </w:rPr>
  </w:style>
  <w:style w:type="paragraph" w:customStyle="1" w:styleId="457">
    <w:name w:val="附录性质"/>
    <w:basedOn w:val="1"/>
    <w:qFormat/>
    <w:uiPriority w:val="0"/>
    <w:pPr>
      <w:jc w:val="center"/>
    </w:pPr>
    <w:rPr>
      <w:rFonts w:ascii="黑体" w:hAnsi="宋体" w:eastAsia="黑体"/>
    </w:rPr>
  </w:style>
  <w:style w:type="paragraph" w:customStyle="1" w:styleId="45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9">
    <w:name w:val="附录图标题"/>
    <w:next w:val="169"/>
    <w:qFormat/>
    <w:uiPriority w:val="0"/>
    <w:pPr>
      <w:jc w:val="center"/>
    </w:pPr>
    <w:rPr>
      <w:rFonts w:ascii="黑体" w:hAnsi="宋体" w:eastAsia="黑体" w:cs="Times New Roman"/>
      <w:kern w:val="2"/>
      <w:sz w:val="21"/>
      <w:szCs w:val="24"/>
      <w:lang w:val="en-US" w:eastAsia="zh-CN" w:bidi="ar-SA"/>
    </w:rPr>
  </w:style>
  <w:style w:type="paragraph" w:customStyle="1" w:styleId="460">
    <w:name w:val="目次、标准名称标题"/>
    <w:basedOn w:val="305"/>
    <w:next w:val="1"/>
    <w:qFormat/>
    <w:uiPriority w:val="0"/>
    <w:pPr>
      <w:spacing w:line="460" w:lineRule="exact"/>
    </w:pPr>
    <w:rPr>
      <w:rFonts w:hAnsi="宋体"/>
      <w:kern w:val="2"/>
      <w:szCs w:val="24"/>
    </w:rPr>
  </w:style>
  <w:style w:type="paragraph" w:customStyle="1" w:styleId="461">
    <w:name w:val="样式1"/>
    <w:basedOn w:val="2"/>
    <w:qFormat/>
    <w:uiPriority w:val="0"/>
    <w:pPr>
      <w:spacing w:line="0" w:lineRule="atLeast"/>
      <w:jc w:val="center"/>
    </w:pPr>
    <w:rPr>
      <w:rFonts w:ascii="宋体" w:hAnsi="宋体" w:eastAsia="黑体"/>
      <w:b w:val="0"/>
      <w:bCs w:val="0"/>
      <w:sz w:val="36"/>
      <w:szCs w:val="20"/>
    </w:rPr>
  </w:style>
  <w:style w:type="paragraph" w:customStyle="1" w:styleId="462">
    <w:name w:val="正文图标题"/>
    <w:next w:val="169"/>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6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464">
    <w:name w:val="Plain Text_5d4b503d-331e-4e98-946a-c245bef629af"/>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5">
    <w:name w:val="Tabletext"/>
    <w:basedOn w:val="1"/>
    <w:qFormat/>
    <w:uiPriority w:val="0"/>
    <w:pPr>
      <w:keepLines/>
      <w:spacing w:after="156" w:afterLines="50"/>
      <w:jc w:val="left"/>
    </w:pPr>
    <w:rPr>
      <w:rFonts w:ascii="宋体"/>
      <w:snapToGrid w:val="0"/>
      <w:kern w:val="0"/>
      <w:szCs w:val="20"/>
    </w:rPr>
  </w:style>
  <w:style w:type="paragraph" w:customStyle="1" w:styleId="466">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467">
    <w:name w:val="列出段落1"/>
    <w:basedOn w:val="1"/>
    <w:qFormat/>
    <w:uiPriority w:val="0"/>
    <w:pPr>
      <w:ind w:firstLine="420" w:firstLineChars="200"/>
    </w:pPr>
    <w:rPr>
      <w:rFonts w:ascii="Calibri" w:hAnsi="Calibri"/>
      <w:szCs w:val="22"/>
    </w:rPr>
  </w:style>
  <w:style w:type="paragraph" w:customStyle="1" w:styleId="468">
    <w:name w:val="样式 样式 标题 4 + 段后: 0.5 行1"/>
    <w:basedOn w:val="337"/>
    <w:next w:val="32"/>
    <w:qFormat/>
    <w:uiPriority w:val="0"/>
    <w:pPr>
      <w:spacing w:after="120"/>
    </w:pPr>
  </w:style>
  <w:style w:type="paragraph" w:customStyle="1" w:styleId="469">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70">
    <w:name w:val="S4-I-U-L15-No-dot"/>
    <w:basedOn w:val="1"/>
    <w:qFormat/>
    <w:uiPriority w:val="0"/>
    <w:pPr>
      <w:tabs>
        <w:tab w:val="left" w:pos="1112"/>
      </w:tabs>
      <w:spacing w:after="120" w:line="360" w:lineRule="auto"/>
      <w:ind w:left="1112" w:hanging="420"/>
    </w:pPr>
    <w:rPr>
      <w:i/>
      <w:sz w:val="24"/>
      <w:u w:val="single"/>
    </w:rPr>
  </w:style>
  <w:style w:type="paragraph" w:customStyle="1" w:styleId="471">
    <w:name w:val="Note Heading2"/>
    <w:basedOn w:val="1"/>
    <w:next w:val="1"/>
    <w:qFormat/>
    <w:uiPriority w:val="0"/>
    <w:pPr>
      <w:jc w:val="center"/>
    </w:pPr>
    <w:rPr>
      <w:rFonts w:ascii="DFKai-SB" w:hAnsi="DFKai-SB" w:eastAsia="DFKai-SB"/>
      <w:sz w:val="20"/>
      <w:szCs w:val="20"/>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75">
    <w:name w:val="样式 样式 样式 标题 3Chapter X.X.X. + 段后: 0.5 行 + 段后: 0.5 行 + 段后: 0.5 行"/>
    <w:basedOn w:val="437"/>
    <w:qFormat/>
    <w:uiPriority w:val="0"/>
  </w:style>
  <w:style w:type="paragraph" w:customStyle="1" w:styleId="476">
    <w:name w:val="列表内容"/>
    <w:basedOn w:val="1"/>
    <w:next w:val="1"/>
    <w:qFormat/>
    <w:uiPriority w:val="0"/>
    <w:pPr>
      <w:widowControl/>
      <w:tabs>
        <w:tab w:val="left" w:pos="840"/>
        <w:tab w:val="left" w:pos="3645"/>
      </w:tabs>
      <w:ind w:left="3645" w:hanging="1965"/>
      <w:jc w:val="left"/>
    </w:pPr>
    <w:rPr>
      <w:kern w:val="0"/>
      <w:sz w:val="18"/>
    </w:rPr>
  </w:style>
  <w:style w:type="paragraph" w:customStyle="1" w:styleId="47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文本框内文字"/>
    <w:basedOn w:val="1"/>
    <w:qFormat/>
    <w:uiPriority w:val="0"/>
    <w:pPr>
      <w:spacing w:line="0" w:lineRule="atLeast"/>
    </w:pPr>
    <w:rPr>
      <w:rFonts w:eastAsia="仿宋_GB2312"/>
      <w:sz w:val="22"/>
    </w:rPr>
  </w:style>
  <w:style w:type="paragraph" w:customStyle="1" w:styleId="479">
    <w:name w:val="Bullet1"/>
    <w:basedOn w:val="1"/>
    <w:qFormat/>
    <w:uiPriority w:val="0"/>
    <w:pPr>
      <w:spacing w:after="156" w:afterLines="50"/>
      <w:ind w:left="720" w:hanging="432"/>
      <w:jc w:val="left"/>
    </w:pPr>
    <w:rPr>
      <w:rFonts w:ascii="宋体"/>
      <w:snapToGrid w:val="0"/>
      <w:kern w:val="0"/>
      <w:szCs w:val="20"/>
    </w:rPr>
  </w:style>
  <w:style w:type="paragraph" w:customStyle="1" w:styleId="480">
    <w:name w:val="Char Char4"/>
    <w:basedOn w:val="1"/>
    <w:qFormat/>
    <w:uiPriority w:val="0"/>
  </w:style>
  <w:style w:type="paragraph" w:customStyle="1" w:styleId="4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3">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484">
    <w:name w:val="样式 标题 1 + 五号1 Char Char Char Char Char Char Char Char Char Char Char Char Char Char Char Char Char"/>
    <w:basedOn w:val="2"/>
    <w:qFormat/>
    <w:uiPriority w:val="0"/>
    <w:pPr>
      <w:spacing w:before="0" w:after="0" w:line="480" w:lineRule="auto"/>
    </w:pPr>
    <w:rPr>
      <w:sz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86">
    <w:name w:val="p0"/>
    <w:basedOn w:val="1"/>
    <w:qFormat/>
    <w:uiPriority w:val="0"/>
    <w:pPr>
      <w:widowControl/>
      <w:spacing w:line="360" w:lineRule="auto"/>
      <w:jc w:val="left"/>
    </w:pPr>
    <w:rPr>
      <w:rFonts w:ascii="Calibri" w:hAnsi="Calibri"/>
      <w:kern w:val="0"/>
      <w:sz w:val="24"/>
    </w:rPr>
  </w:style>
  <w:style w:type="paragraph" w:customStyle="1" w:styleId="487">
    <w:name w:val="样式 标题 3标题 3 CharH3h33rd level3Level 3 Headlevel_3PIM 3s..."/>
    <w:basedOn w:val="4"/>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48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4">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495">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496">
    <w:name w:val="样式 标题 3Level 3 Headsect1.2.3H3l3CTh3heading 33rd levelH..."/>
    <w:basedOn w:val="4"/>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497">
    <w:name w:val="BodyText"/>
    <w:basedOn w:val="1"/>
    <w:next w:val="444"/>
    <w:qFormat/>
    <w:uiPriority w:val="0"/>
    <w:pPr>
      <w:spacing w:after="120"/>
      <w:jc w:val="both"/>
      <w:textAlignment w:val="baseline"/>
    </w:pPr>
  </w:style>
  <w:style w:type="paragraph" w:customStyle="1" w:styleId="4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0">
    <w:name w:val="注："/>
    <w:next w:val="169"/>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501">
    <w:name w:val="表内1"/>
    <w:basedOn w:val="22"/>
    <w:qFormat/>
    <w:uiPriority w:val="0"/>
    <w:pPr>
      <w:adjustRightInd w:val="0"/>
      <w:spacing w:after="0"/>
      <w:jc w:val="left"/>
      <w:textAlignment w:val="baseline"/>
    </w:pPr>
    <w:rPr>
      <w:kern w:val="0"/>
      <w:szCs w:val="20"/>
    </w:rPr>
  </w:style>
  <w:style w:type="paragraph" w:customStyle="1" w:styleId="502">
    <w:name w:val="Paragraph1"/>
    <w:basedOn w:val="1"/>
    <w:qFormat/>
    <w:uiPriority w:val="0"/>
    <w:pPr>
      <w:spacing w:before="80" w:after="156" w:afterLines="50"/>
    </w:pPr>
    <w:rPr>
      <w:rFonts w:ascii="宋体"/>
      <w:snapToGrid w:val="0"/>
      <w:kern w:val="0"/>
      <w:szCs w:val="20"/>
    </w:rPr>
  </w:style>
  <w:style w:type="paragraph" w:customStyle="1" w:styleId="503">
    <w:name w:val="Char Char Char Char Char Char Char Char Char"/>
    <w:basedOn w:val="1"/>
    <w:qFormat/>
    <w:uiPriority w:val="0"/>
    <w:rPr>
      <w:rFonts w:ascii="Tahoma" w:hAnsi="Tahoma" w:eastAsia="仿宋_GB2312"/>
      <w:sz w:val="24"/>
      <w:szCs w:val="20"/>
    </w:rPr>
  </w:style>
  <w:style w:type="paragraph" w:customStyle="1" w:styleId="5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5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50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5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10">
    <w:name w:val="S4-B-L15"/>
    <w:basedOn w:val="1"/>
    <w:qFormat/>
    <w:uiPriority w:val="0"/>
    <w:pPr>
      <w:spacing w:line="360" w:lineRule="auto"/>
    </w:pPr>
    <w:rPr>
      <w:b/>
      <w:bCs/>
      <w:sz w:val="24"/>
    </w:rPr>
  </w:style>
  <w:style w:type="paragraph" w:customStyle="1" w:styleId="51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512">
    <w:name w:val="Char Char Char Char"/>
    <w:basedOn w:val="1"/>
    <w:qFormat/>
    <w:uiPriority w:val="0"/>
    <w:rPr>
      <w:rFonts w:ascii="Tahoma" w:hAnsi="Tahoma"/>
      <w:sz w:val="24"/>
      <w:szCs w:val="20"/>
    </w:rPr>
  </w:style>
  <w:style w:type="paragraph" w:customStyle="1" w:styleId="5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5">
    <w:name w:val="样式 标题 3(A-3)sect1.2.3h3H3level_3PIM 3Level 3 HeadHeading..."/>
    <w:basedOn w:val="4"/>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516">
    <w:name w:val="小标题"/>
    <w:basedOn w:val="22"/>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5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模板普通正文"/>
    <w:basedOn w:val="14"/>
    <w:qFormat/>
    <w:uiPriority w:val="0"/>
    <w:pPr>
      <w:spacing w:beforeLines="50" w:after="10"/>
      <w:ind w:firstLine="490" w:firstLineChars="175"/>
      <w:jc w:val="left"/>
    </w:pPr>
  </w:style>
  <w:style w:type="paragraph" w:customStyle="1" w:styleId="519">
    <w:name w:val="样式3"/>
    <w:basedOn w:val="29"/>
    <w:qFormat/>
    <w:uiPriority w:val="0"/>
    <w:pPr>
      <w:spacing w:line="0" w:lineRule="atLeast"/>
      <w:outlineLvl w:val="0"/>
    </w:pPr>
    <w:rPr>
      <w:kern w:val="0"/>
      <w:sz w:val="28"/>
      <w:szCs w:val="21"/>
    </w:rPr>
  </w:style>
  <w:style w:type="paragraph" w:customStyle="1" w:styleId="520">
    <w:name w:val="xl8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1">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522">
    <w:name w:val="c封面发布日期"/>
    <w:basedOn w:val="1"/>
    <w:qFormat/>
    <w:uiPriority w:val="0"/>
    <w:pPr>
      <w:adjustRightInd w:val="0"/>
    </w:pPr>
    <w:rPr>
      <w:rFonts w:ascii="宋体" w:hAnsi="宋体" w:eastAsia="黑体"/>
      <w:kern w:val="0"/>
      <w:sz w:val="28"/>
      <w:szCs w:val="20"/>
    </w:rPr>
  </w:style>
  <w:style w:type="paragraph" w:customStyle="1" w:styleId="523">
    <w:name w:val="样式 标题 2 + (中文) 黑体 四号 黑色"/>
    <w:basedOn w:val="3"/>
    <w:qFormat/>
    <w:uiPriority w:val="0"/>
    <w:pPr>
      <w:spacing w:line="520" w:lineRule="exact"/>
      <w:jc w:val="left"/>
    </w:pPr>
    <w:rPr>
      <w:color w:val="000000"/>
      <w:kern w:val="24"/>
      <w:sz w:val="28"/>
      <w:szCs w:val="20"/>
    </w:rPr>
  </w:style>
  <w:style w:type="paragraph" w:customStyle="1" w:styleId="52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26">
    <w:name w:val="参考文献、索引标题"/>
    <w:basedOn w:val="305"/>
    <w:next w:val="1"/>
    <w:qFormat/>
    <w:uiPriority w:val="0"/>
    <w:pPr>
      <w:spacing w:after="200" w:line="240" w:lineRule="auto"/>
    </w:pPr>
    <w:rPr>
      <w:rFonts w:hAnsi="宋体"/>
      <w:kern w:val="2"/>
      <w:sz w:val="21"/>
      <w:szCs w:val="24"/>
    </w:rPr>
  </w:style>
  <w:style w:type="paragraph" w:customStyle="1" w:styleId="527">
    <w:name w:val="纯文本1"/>
    <w:basedOn w:val="432"/>
    <w:qFormat/>
    <w:uiPriority w:val="0"/>
    <w:rPr>
      <w:rFonts w:ascii="Arial Unicode MS" w:hAnsi="等线" w:eastAsia="Arial Unicode MS" w:cs="方正姚体"/>
    </w:rPr>
  </w:style>
  <w:style w:type="paragraph" w:customStyle="1" w:styleId="528">
    <w:name w:val="表格文字"/>
    <w:basedOn w:val="29"/>
    <w:next w:val="22"/>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529">
    <w:name w:val="IBM 正文"/>
    <w:basedOn w:val="1"/>
    <w:qFormat/>
    <w:uiPriority w:val="0"/>
    <w:pPr>
      <w:spacing w:line="360" w:lineRule="atLeast"/>
    </w:pPr>
    <w:rPr>
      <w:sz w:val="24"/>
      <w:szCs w:val="20"/>
    </w:rPr>
  </w:style>
  <w:style w:type="paragraph" w:customStyle="1" w:styleId="530">
    <w:name w:val="样式2"/>
    <w:basedOn w:val="3"/>
    <w:qFormat/>
    <w:uiPriority w:val="0"/>
    <w:pPr>
      <w:tabs>
        <w:tab w:val="left" w:pos="600"/>
      </w:tabs>
      <w:ind w:left="600" w:hanging="600"/>
    </w:pPr>
    <w:rPr>
      <w:rFonts w:eastAsia="宋体"/>
    </w:rPr>
  </w:style>
  <w:style w:type="paragraph" w:customStyle="1" w:styleId="531">
    <w:name w:val="Body"/>
    <w:basedOn w:val="1"/>
    <w:qFormat/>
    <w:uiPriority w:val="0"/>
    <w:pPr>
      <w:widowControl/>
      <w:spacing w:before="120" w:after="156" w:afterLines="50"/>
    </w:pPr>
    <w:rPr>
      <w:rFonts w:ascii="宋体"/>
      <w:snapToGrid w:val="0"/>
      <w:kern w:val="0"/>
      <w:szCs w:val="20"/>
    </w:rPr>
  </w:style>
  <w:style w:type="paragraph" w:customStyle="1" w:styleId="532">
    <w:name w:val="InfoBlue"/>
    <w:basedOn w:val="1"/>
    <w:next w:val="22"/>
    <w:qFormat/>
    <w:uiPriority w:val="0"/>
    <w:pPr>
      <w:spacing w:after="156" w:afterLines="50"/>
      <w:ind w:left="720"/>
      <w:jc w:val="left"/>
    </w:pPr>
    <w:rPr>
      <w:rFonts w:ascii="宋体"/>
      <w:i/>
      <w:snapToGrid w:val="0"/>
      <w:color w:val="0000FF"/>
      <w:kern w:val="0"/>
      <w:szCs w:val="20"/>
    </w:rPr>
  </w:style>
  <w:style w:type="paragraph" w:customStyle="1" w:styleId="533">
    <w:name w:val="P3"/>
    <w:basedOn w:val="1"/>
    <w:qFormat/>
    <w:uiPriority w:val="0"/>
    <w:pPr>
      <w:widowControl/>
      <w:spacing w:before="240" w:line="240" w:lineRule="atLeast"/>
      <w:ind w:left="1152"/>
      <w:jc w:val="left"/>
    </w:pPr>
    <w:rPr>
      <w:b/>
      <w:kern w:val="0"/>
      <w:szCs w:val="21"/>
      <w:lang w:val="en-AU" w:eastAsia="en-US"/>
    </w:rPr>
  </w:style>
  <w:style w:type="paragraph" w:customStyle="1" w:styleId="534">
    <w:name w:val="样式 标题 2h2sect 1.2H22nd level2Header 2UNDERRUBRIK 1-2l2T..."/>
    <w:basedOn w:val="3"/>
    <w:qFormat/>
    <w:uiPriority w:val="0"/>
    <w:pPr>
      <w:spacing w:before="0" w:after="0" w:line="360" w:lineRule="auto"/>
      <w:jc w:val="center"/>
      <w:outlineLvl w:val="0"/>
    </w:pPr>
    <w:rPr>
      <w:rFonts w:ascii="宋体" w:hAnsi="宋体" w:eastAsia="宋体" w:cs="宋体"/>
      <w:sz w:val="24"/>
      <w:szCs w:val="20"/>
    </w:rPr>
  </w:style>
  <w:style w:type="paragraph" w:customStyle="1" w:styleId="535">
    <w:name w:val="默认段落字体 Para Char Char Char Char Char Char Char Char Char1 Char Char Char Char"/>
    <w:basedOn w:val="1"/>
    <w:qFormat/>
    <w:uiPriority w:val="0"/>
    <w:rPr>
      <w:rFonts w:ascii="Tahoma" w:hAnsi="Tahoma"/>
      <w:sz w:val="24"/>
      <w:szCs w:val="20"/>
    </w:rPr>
  </w:style>
  <w:style w:type="paragraph" w:customStyle="1" w:styleId="536">
    <w:name w:val="无标题条"/>
    <w:next w:val="169"/>
    <w:qFormat/>
    <w:uiPriority w:val="0"/>
    <w:pPr>
      <w:jc w:val="both"/>
    </w:pPr>
    <w:rPr>
      <w:rFonts w:ascii="宋体" w:hAnsi="宋体" w:eastAsia="宋体" w:cs="Times New Roman"/>
      <w:kern w:val="2"/>
      <w:sz w:val="21"/>
      <w:szCs w:val="24"/>
      <w:lang w:val="en-US" w:eastAsia="zh-CN" w:bidi="ar-SA"/>
    </w:rPr>
  </w:style>
  <w:style w:type="paragraph" w:customStyle="1" w:styleId="537">
    <w:name w:val="哈哈正文"/>
    <w:basedOn w:val="1"/>
    <w:qFormat/>
    <w:uiPriority w:val="0"/>
    <w:pPr>
      <w:spacing w:line="360" w:lineRule="auto"/>
      <w:ind w:firstLine="200" w:firstLineChars="200"/>
    </w:pPr>
    <w:rPr>
      <w:rFonts w:ascii="宋体" w:hAnsi="宋体" w:cs="宋体"/>
      <w:sz w:val="24"/>
    </w:rPr>
  </w:style>
  <w:style w:type="paragraph" w:customStyle="1" w:styleId="538">
    <w:name w:val="正文格式"/>
    <w:qFormat/>
    <w:uiPriority w:val="99"/>
    <w:pPr>
      <w:spacing w:line="360" w:lineRule="auto"/>
      <w:ind w:firstLine="200" w:firstLineChars="200"/>
    </w:pPr>
    <w:rPr>
      <w:rFonts w:ascii="宋体" w:hAnsi="宋体" w:eastAsia="宋体" w:cs="Times New Roman"/>
      <w:sz w:val="28"/>
      <w:szCs w:val="22"/>
      <w:lang w:val="en-US" w:eastAsia="zh-CN" w:bidi="ar-SA"/>
    </w:rPr>
  </w:style>
  <w:style w:type="paragraph" w:customStyle="1" w:styleId="53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540">
    <w:name w:val="表格文字1"/>
    <w:basedOn w:val="1"/>
    <w:qFormat/>
    <w:uiPriority w:val="0"/>
    <w:pPr>
      <w:widowControl w:val="0"/>
      <w:spacing w:line="300" w:lineRule="exact"/>
      <w:ind w:left="120" w:leftChars="50" w:firstLine="0" w:firstLineChars="0"/>
      <w:jc w:val="left"/>
      <w:textAlignment w:val="center"/>
    </w:pPr>
    <w:rPr>
      <w:rFonts w:hint="eastAsia" w:ascii="宋体" w:hAnsi="宋体" w:eastAsia="宋体" w:cs="宋体"/>
      <w:color w:val="000000"/>
      <w:kern w:val="0"/>
      <w:sz w:val="21"/>
      <w:szCs w:val="22"/>
      <w:u w:val="none"/>
    </w:rPr>
  </w:style>
  <w:style w:type="paragraph" w:customStyle="1" w:styleId="541">
    <w:name w:val="正文文字 Char"/>
    <w:basedOn w:val="1"/>
    <w:next w:val="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character" w:customStyle="1" w:styleId="542">
    <w:name w:val="page number_c13d1022-a779-489b-a15d-4398209c8395"/>
    <w:basedOn w:val="55"/>
    <w:qFormat/>
    <w:uiPriority w:val="0"/>
  </w:style>
  <w:style w:type="paragraph" w:customStyle="1" w:styleId="543">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paragraph" w:customStyle="1" w:styleId="544">
    <w:name w:val="Heading #3|1"/>
    <w:basedOn w:val="1"/>
    <w:autoRedefine/>
    <w:qFormat/>
    <w:uiPriority w:val="0"/>
    <w:pPr>
      <w:spacing w:line="580" w:lineRule="exact"/>
      <w:ind w:firstLine="520"/>
      <w:outlineLvl w:val="2"/>
    </w:pPr>
    <w:rPr>
      <w:rFonts w:ascii="宋体" w:hAnsi="宋体" w:eastAsia="宋体" w:cs="宋体"/>
      <w:lang w:val="zh-TW" w:eastAsia="zh-TW" w:bidi="zh-TW"/>
    </w:rPr>
  </w:style>
  <w:style w:type="paragraph" w:customStyle="1" w:styleId="545">
    <w:name w:val="Body text|1"/>
    <w:qFormat/>
    <w:uiPriority w:val="0"/>
    <w:pPr>
      <w:widowControl w:val="0"/>
      <w:spacing w:line="398" w:lineRule="auto"/>
      <w:ind w:firstLine="400"/>
    </w:pPr>
    <w:rPr>
      <w:rFonts w:ascii="宋体" w:hAnsi="宋体"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71</Pages>
  <Words>8730</Words>
  <Characters>9346</Characters>
  <Paragraphs>2058</Paragraphs>
  <TotalTime>2</TotalTime>
  <ScaleCrop>false</ScaleCrop>
  <LinksUpToDate>false</LinksUpToDate>
  <CharactersWithSpaces>9517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2023-06-11T02:46:00Z</dcterms:created>
  <dc:creator>dell</dc:creator>
  <cp:lastModifiedBy>pazl</cp:lastModifiedBy>
  <cp:lastPrinted>2024-12-25T06:07:00Z</cp:lastPrinted>
  <dcterms:modified xsi:type="dcterms:W3CDTF">2025-02-18T03:22:23Z</dcterms:modified>
  <dc:title>政府采购招标文件确认表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5E8CD75B6F6948E0849ACE448FBC6BDA_13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eyJoZGlkIjoiNDM4MDBhMzExNjRlYTVmNWUyMzljZTJkOTRiOTM2ZWUifQ==</vt:lpwstr>
  </property>
</Properties>
</file>