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EF3">
      <w:pPr>
        <w:jc w:val="center"/>
        <w:rPr>
          <w:rFonts w:hint="eastAsia" w:ascii="宋体"/>
          <w:b/>
          <w:color w:val="auto"/>
          <w:sz w:val="44"/>
          <w:szCs w:val="44"/>
          <w:highlight w:val="none"/>
        </w:rPr>
      </w:pPr>
      <w:bookmarkStart w:id="0" w:name="_Toc27710"/>
      <w:r>
        <w:rPr>
          <w:rFonts w:hint="eastAsia" w:ascii="宋体"/>
          <w:b/>
          <w:color w:val="auto"/>
          <w:sz w:val="44"/>
          <w:szCs w:val="44"/>
          <w:highlight w:val="none"/>
        </w:rPr>
        <w:t>政府采购招标文件确认表</w:t>
      </w:r>
      <w:bookmarkEnd w:id="0"/>
    </w:p>
    <w:p w14:paraId="61AE8280">
      <w:pPr>
        <w:pStyle w:val="34"/>
        <w:rPr>
          <w:rFonts w:hint="eastAsia"/>
          <w:b/>
          <w:color w:val="auto"/>
          <w:sz w:val="44"/>
          <w:szCs w:val="44"/>
          <w:highlight w:val="none"/>
        </w:rPr>
      </w:pPr>
    </w:p>
    <w:tbl>
      <w:tblPr>
        <w:tblStyle w:val="53"/>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455"/>
        <w:gridCol w:w="5515"/>
      </w:tblGrid>
      <w:tr w14:paraId="691D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64E916AC">
            <w:pPr>
              <w:spacing w:line="400" w:lineRule="exact"/>
              <w:rPr>
                <w:rFonts w:hint="eastAsia"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6AA2AC0">
            <w:pPr>
              <w:spacing w:line="400" w:lineRule="exact"/>
              <w:rPr>
                <w:rFonts w:hint="eastAsia"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lang w:eastAsia="zh-CN"/>
              </w:rPr>
              <w:t>磐安县人民政府安文街道办事处 </w:t>
            </w:r>
          </w:p>
        </w:tc>
      </w:tr>
      <w:tr w14:paraId="041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195E6010">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72154611">
            <w:pPr>
              <w:spacing w:line="400" w:lineRule="exact"/>
              <w:rPr>
                <w:rFonts w:hint="eastAsia" w:ascii="宋体" w:hAnsi="宋体" w:eastAsia="宋体" w:cs="宋体"/>
                <w:bCs/>
                <w:color w:val="auto"/>
                <w:sz w:val="30"/>
                <w:szCs w:val="30"/>
                <w:highlight w:val="none"/>
                <w:lang w:eastAsia="zh-CN"/>
              </w:rPr>
            </w:pPr>
            <w:r>
              <w:rPr>
                <w:rFonts w:hint="eastAsia" w:ascii="宋体" w:hAnsi="宋体" w:cs="宋体"/>
                <w:bCs/>
                <w:color w:val="auto"/>
                <w:sz w:val="30"/>
                <w:szCs w:val="30"/>
                <w:highlight w:val="none"/>
                <w:lang w:eastAsia="zh-CN"/>
              </w:rPr>
              <w:t>浙江诚远工程咨询有限公司</w:t>
            </w:r>
          </w:p>
        </w:tc>
      </w:tr>
      <w:tr w14:paraId="0032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2A6468BD">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招标项目名称</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5B7BD232">
            <w:pPr>
              <w:spacing w:line="40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2025年安文街道松材线虫病枯死松树清理服务项目(第二次)</w:t>
            </w:r>
          </w:p>
        </w:tc>
      </w:tr>
      <w:tr w14:paraId="6CA6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725FEAB3">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财政审批号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56E667E">
            <w:pPr>
              <w:spacing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磐财采确临[</w:t>
            </w:r>
            <w:r>
              <w:rPr>
                <w:rFonts w:hint="eastAsia" w:ascii="宋体" w:hAnsi="宋体" w:cs="宋体"/>
                <w:color w:val="auto"/>
                <w:sz w:val="30"/>
                <w:szCs w:val="30"/>
                <w:highlight w:val="none"/>
                <w:lang w:eastAsia="zh-CN"/>
              </w:rPr>
              <w:t>2025</w:t>
            </w:r>
            <w:r>
              <w:rPr>
                <w:rFonts w:hint="eastAsia" w:ascii="宋体" w:hAnsi="宋体" w:eastAsia="宋体" w:cs="宋体"/>
                <w:color w:val="auto"/>
                <w:sz w:val="30"/>
                <w:szCs w:val="30"/>
                <w:highlight w:val="none"/>
              </w:rPr>
              <w:t>]</w:t>
            </w:r>
            <w:r>
              <w:rPr>
                <w:rFonts w:hint="eastAsia" w:ascii="宋体" w:hAnsi="宋体" w:cs="宋体"/>
                <w:color w:val="0000FF"/>
                <w:sz w:val="30"/>
                <w:szCs w:val="30"/>
                <w:highlight w:val="none"/>
                <w:lang w:val="en-US" w:eastAsia="zh-CN"/>
              </w:rPr>
              <w:t>2089</w:t>
            </w:r>
            <w:r>
              <w:rPr>
                <w:rFonts w:hint="eastAsia" w:ascii="宋体" w:hAnsi="宋体" w:eastAsia="宋体" w:cs="宋体"/>
                <w:color w:val="auto"/>
                <w:sz w:val="30"/>
                <w:szCs w:val="30"/>
                <w:highlight w:val="none"/>
              </w:rPr>
              <w:t>号</w:t>
            </w:r>
          </w:p>
        </w:tc>
      </w:tr>
      <w:tr w14:paraId="5D71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550D6EB4">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招标项目编号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19362896">
            <w:pPr>
              <w:spacing w:line="400" w:lineRule="exact"/>
              <w:rPr>
                <w:rFonts w:hint="default" w:ascii="宋体" w:hAnsi="宋体" w:eastAsia="宋体" w:cs="宋体"/>
                <w:bCs/>
                <w:color w:val="auto"/>
                <w:sz w:val="30"/>
                <w:szCs w:val="30"/>
                <w:highlight w:val="none"/>
                <w:lang w:val="en-US" w:eastAsia="zh-CN"/>
              </w:rPr>
            </w:pPr>
            <w:r>
              <w:rPr>
                <w:rFonts w:hint="eastAsia" w:ascii="宋体" w:hAnsi="宋体" w:cs="宋体"/>
                <w:color w:val="auto"/>
                <w:sz w:val="30"/>
                <w:szCs w:val="30"/>
                <w:highlight w:val="none"/>
                <w:lang w:eastAsia="zh-CN"/>
              </w:rPr>
              <w:t>ZJCY-PA2025002号</w:t>
            </w:r>
          </w:p>
        </w:tc>
      </w:tr>
      <w:tr w14:paraId="7E6B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4636" w:type="dxa"/>
            <w:gridSpan w:val="2"/>
            <w:tcBorders>
              <w:top w:val="single" w:color="auto" w:sz="4" w:space="0"/>
              <w:left w:val="single" w:color="auto" w:sz="4" w:space="0"/>
              <w:bottom w:val="single" w:color="auto" w:sz="4" w:space="0"/>
              <w:right w:val="single" w:color="auto" w:sz="4" w:space="0"/>
            </w:tcBorders>
          </w:tcPr>
          <w:p w14:paraId="6C06D628">
            <w:pPr>
              <w:spacing w:line="360" w:lineRule="auto"/>
              <w:jc w:val="left"/>
              <w:rPr>
                <w:rFonts w:hint="eastAsia" w:ascii="宋体" w:hAnsi="宋体" w:eastAsia="宋体" w:cs="宋体"/>
                <w:color w:val="auto"/>
                <w:sz w:val="30"/>
                <w:highlight w:val="none"/>
              </w:rPr>
            </w:pPr>
          </w:p>
          <w:p w14:paraId="7453D71A">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经办人：（签名）</w:t>
            </w:r>
          </w:p>
          <w:p w14:paraId="163743F2">
            <w:pPr>
              <w:spacing w:line="360" w:lineRule="auto"/>
              <w:jc w:val="left"/>
              <w:rPr>
                <w:rFonts w:hint="eastAsia" w:ascii="宋体" w:hAnsi="宋体" w:eastAsia="宋体" w:cs="宋体"/>
                <w:color w:val="auto"/>
                <w:sz w:val="30"/>
                <w:highlight w:val="none"/>
              </w:rPr>
            </w:pPr>
          </w:p>
          <w:p w14:paraId="77AD3FE8">
            <w:pPr>
              <w:pStyle w:val="49"/>
              <w:rPr>
                <w:rFonts w:hint="eastAsia"/>
              </w:rPr>
            </w:pPr>
          </w:p>
          <w:p w14:paraId="05946720">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单位负责人：（签名）</w:t>
            </w:r>
          </w:p>
          <w:p w14:paraId="3FF82D73">
            <w:pPr>
              <w:pStyle w:val="3"/>
              <w:jc w:val="left"/>
              <w:rPr>
                <w:rFonts w:hint="eastAsia"/>
                <w:color w:val="auto"/>
                <w:highlight w:val="none"/>
              </w:rPr>
            </w:pPr>
          </w:p>
          <w:p w14:paraId="4DAA87C6">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采购单位：（盖章）</w:t>
            </w:r>
          </w:p>
          <w:p w14:paraId="21A07A3D">
            <w:pPr>
              <w:spacing w:line="360" w:lineRule="auto"/>
              <w:jc w:val="left"/>
              <w:rPr>
                <w:rFonts w:hint="eastAsia" w:ascii="宋体" w:hAnsi="宋体" w:eastAsia="宋体" w:cs="宋体"/>
                <w:color w:val="auto"/>
                <w:sz w:val="30"/>
                <w:highlight w:val="none"/>
              </w:rPr>
            </w:pPr>
          </w:p>
          <w:p w14:paraId="3A64A404">
            <w:pPr>
              <w:spacing w:line="360" w:lineRule="auto"/>
              <w:jc w:val="center"/>
              <w:rPr>
                <w:rFonts w:hint="eastAsia" w:ascii="宋体" w:hAnsi="宋体" w:cs="宋体"/>
                <w:color w:val="auto"/>
                <w:sz w:val="32"/>
                <w:szCs w:val="32"/>
                <w:highlight w:val="none"/>
              </w:rPr>
            </w:pPr>
            <w:r>
              <w:rPr>
                <w:rFonts w:hint="eastAsia" w:ascii="宋体" w:hAnsi="宋体" w:cs="宋体"/>
                <w:color w:val="auto"/>
                <w:sz w:val="30"/>
                <w:highlight w:val="none"/>
                <w:lang w:eastAsia="zh-CN"/>
              </w:rPr>
              <w:t>2025</w:t>
            </w:r>
            <w:r>
              <w:rPr>
                <w:rFonts w:hint="eastAsia" w:ascii="宋体" w:hAnsi="宋体" w:eastAsia="宋体" w:cs="宋体"/>
                <w:color w:val="auto"/>
                <w:sz w:val="30"/>
                <w:highlight w:val="none"/>
              </w:rPr>
              <w:t>年</w:t>
            </w:r>
            <w:r>
              <w:rPr>
                <w:rFonts w:hint="eastAsia" w:ascii="仿宋_GB2312" w:eastAsia="仿宋_GB2312"/>
                <w:color w:val="auto"/>
                <w:sz w:val="30"/>
                <w:highlight w:val="none"/>
                <w:lang w:val="en-US" w:eastAsia="zh-CN"/>
              </w:rPr>
              <w:t>01</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8</w:t>
            </w:r>
            <w:r>
              <w:rPr>
                <w:rFonts w:hint="eastAsia" w:ascii="仿宋_GB2312" w:eastAsia="仿宋_GB2312"/>
                <w:color w:val="auto"/>
                <w:sz w:val="30"/>
                <w:highlight w:val="none"/>
              </w:rPr>
              <w:t>日</w:t>
            </w:r>
          </w:p>
        </w:tc>
        <w:tc>
          <w:tcPr>
            <w:tcW w:w="5515" w:type="dxa"/>
            <w:tcBorders>
              <w:top w:val="single" w:color="auto" w:sz="4" w:space="0"/>
              <w:left w:val="single" w:color="auto" w:sz="4" w:space="0"/>
              <w:bottom w:val="single" w:color="auto" w:sz="4" w:space="0"/>
              <w:right w:val="single" w:color="auto" w:sz="4" w:space="0"/>
            </w:tcBorders>
            <w:vAlign w:val="bottom"/>
          </w:tcPr>
          <w:p w14:paraId="2B514A19">
            <w:pPr>
              <w:spacing w:line="360" w:lineRule="auto"/>
              <w:jc w:val="left"/>
              <w:rPr>
                <w:rFonts w:hint="eastAsia" w:ascii="宋体" w:hAnsi="宋体" w:cs="宋体"/>
                <w:color w:val="auto"/>
                <w:sz w:val="30"/>
                <w:highlight w:val="none"/>
              </w:rPr>
            </w:pPr>
          </w:p>
          <w:p w14:paraId="6CCC98E2">
            <w:pPr>
              <w:spacing w:line="360" w:lineRule="auto"/>
              <w:jc w:val="left"/>
              <w:rPr>
                <w:rFonts w:hint="eastAsia" w:ascii="宋体" w:hAnsi="宋体" w:cs="宋体"/>
                <w:color w:val="auto"/>
                <w:sz w:val="30"/>
                <w:highlight w:val="none"/>
              </w:rPr>
            </w:pPr>
          </w:p>
          <w:p w14:paraId="7EE70D17">
            <w:pPr>
              <w:spacing w:line="360" w:lineRule="auto"/>
              <w:jc w:val="left"/>
              <w:rPr>
                <w:rFonts w:hint="eastAsia" w:ascii="宋体" w:hAnsi="宋体" w:cs="宋体"/>
                <w:color w:val="auto"/>
                <w:sz w:val="30"/>
                <w:highlight w:val="none"/>
              </w:rPr>
            </w:pPr>
            <w:r>
              <w:rPr>
                <w:rFonts w:hint="eastAsia" w:ascii="宋体" w:hAnsi="宋体" w:cs="宋体"/>
                <w:bCs/>
                <w:color w:val="auto"/>
                <w:sz w:val="30"/>
                <w:szCs w:val="30"/>
                <w:highlight w:val="none"/>
                <w:lang w:eastAsia="zh-CN"/>
              </w:rPr>
              <w:t>浙江诚远工程咨询有限公司</w:t>
            </w:r>
            <w:r>
              <w:rPr>
                <w:rFonts w:hint="eastAsia" w:ascii="宋体" w:hAnsi="宋体" w:cs="宋体"/>
                <w:color w:val="auto"/>
                <w:sz w:val="30"/>
                <w:szCs w:val="30"/>
                <w:highlight w:val="none"/>
              </w:rPr>
              <w:t>：</w:t>
            </w:r>
            <w:r>
              <w:rPr>
                <w:rFonts w:hint="eastAsia" w:ascii="宋体" w:hAnsi="宋体" w:cs="宋体"/>
                <w:color w:val="auto"/>
                <w:sz w:val="30"/>
                <w:highlight w:val="none"/>
              </w:rPr>
              <w:t>（盖章）</w:t>
            </w:r>
          </w:p>
          <w:p w14:paraId="750888E1">
            <w:pPr>
              <w:pStyle w:val="22"/>
              <w:jc w:val="left"/>
              <w:rPr>
                <w:rFonts w:hint="eastAsia" w:cs="宋体"/>
                <w:color w:val="auto"/>
                <w:kern w:val="2"/>
                <w:sz w:val="30"/>
                <w:highlight w:val="none"/>
              </w:rPr>
            </w:pPr>
          </w:p>
          <w:p w14:paraId="604528FE">
            <w:pPr>
              <w:ind w:firstLine="480"/>
              <w:rPr>
                <w:rFonts w:hint="eastAsia"/>
                <w:color w:val="auto"/>
                <w:highlight w:val="none"/>
              </w:rPr>
            </w:pPr>
          </w:p>
          <w:p w14:paraId="5D04526C">
            <w:pPr>
              <w:spacing w:line="360" w:lineRule="auto"/>
              <w:jc w:val="left"/>
              <w:rPr>
                <w:rFonts w:hint="eastAsia" w:ascii="宋体" w:hAnsi="宋体" w:cs="宋体"/>
                <w:color w:val="auto"/>
                <w:sz w:val="30"/>
                <w:highlight w:val="none"/>
              </w:rPr>
            </w:pPr>
          </w:p>
          <w:p w14:paraId="62E80344">
            <w:pPr>
              <w:spacing w:line="360" w:lineRule="auto"/>
              <w:jc w:val="left"/>
              <w:rPr>
                <w:rFonts w:hint="eastAsia" w:ascii="宋体" w:hAnsi="宋体" w:cs="宋体"/>
                <w:color w:val="auto"/>
                <w:sz w:val="30"/>
                <w:highlight w:val="none"/>
              </w:rPr>
            </w:pPr>
          </w:p>
          <w:p w14:paraId="64A161D8">
            <w:pPr>
              <w:spacing w:line="360" w:lineRule="auto"/>
              <w:jc w:val="left"/>
              <w:rPr>
                <w:rFonts w:hint="eastAsia" w:ascii="宋体" w:hAnsi="宋体" w:cs="宋体"/>
                <w:color w:val="auto"/>
                <w:sz w:val="30"/>
                <w:highlight w:val="none"/>
              </w:rPr>
            </w:pPr>
          </w:p>
          <w:p w14:paraId="71172D78">
            <w:pPr>
              <w:spacing w:line="360" w:lineRule="auto"/>
              <w:jc w:val="center"/>
              <w:rPr>
                <w:rFonts w:hint="eastAsia" w:ascii="宋体" w:hAnsi="宋体" w:cs="宋体"/>
                <w:color w:val="auto"/>
                <w:sz w:val="32"/>
                <w:szCs w:val="32"/>
                <w:highlight w:val="none"/>
              </w:rPr>
            </w:pPr>
            <w:r>
              <w:rPr>
                <w:rFonts w:hint="eastAsia" w:ascii="宋体" w:hAnsi="宋体" w:cs="宋体"/>
                <w:color w:val="auto"/>
                <w:sz w:val="30"/>
                <w:highlight w:val="none"/>
                <w:lang w:val="en-US" w:eastAsia="zh-CN"/>
              </w:rPr>
              <w:t>2025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01</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8</w:t>
            </w:r>
            <w:r>
              <w:rPr>
                <w:rFonts w:hint="eastAsia" w:ascii="仿宋_GB2312" w:eastAsia="仿宋_GB2312"/>
                <w:color w:val="auto"/>
                <w:sz w:val="30"/>
                <w:highlight w:val="none"/>
              </w:rPr>
              <w:t>日</w:t>
            </w:r>
          </w:p>
        </w:tc>
      </w:tr>
    </w:tbl>
    <w:p w14:paraId="4926A74B">
      <w:pPr>
        <w:spacing w:before="0" w:beforeLines="-2147483648" w:line="240" w:lineRule="auto"/>
        <w:jc w:val="left"/>
        <w:rPr>
          <w:rFonts w:hint="eastAsia" w:ascii="宋体" w:hAnsi="宋体" w:cs="宋体"/>
          <w:b/>
          <w:bCs w:val="0"/>
          <w:color w:val="auto"/>
          <w:sz w:val="52"/>
          <w:szCs w:val="52"/>
          <w:highlight w:val="none"/>
          <w:lang w:eastAsia="zh-CN"/>
        </w:rPr>
      </w:pPr>
      <w:r>
        <w:rPr>
          <w:rFonts w:hint="eastAsia" w:ascii="宋体" w:hAnsi="宋体" w:cs="宋体"/>
          <w:b/>
          <w:bCs w:val="0"/>
          <w:color w:val="auto"/>
          <w:sz w:val="52"/>
          <w:szCs w:val="52"/>
          <w:highlight w:val="none"/>
          <w:lang w:eastAsia="zh-CN"/>
        </w:rPr>
        <w:br w:type="page"/>
      </w:r>
    </w:p>
    <w:p w14:paraId="06706344">
      <w:pPr>
        <w:spacing w:before="120" w:beforeLines="50" w:line="480" w:lineRule="auto"/>
        <w:jc w:val="center"/>
        <w:rPr>
          <w:rFonts w:hint="eastAsia" w:ascii="宋体" w:hAnsi="宋体" w:cs="宋体"/>
          <w:b/>
          <w:bCs w:val="0"/>
          <w:color w:val="auto"/>
          <w:sz w:val="48"/>
          <w:szCs w:val="48"/>
          <w:highlight w:val="none"/>
          <w:lang w:eastAsia="zh-CN"/>
        </w:rPr>
      </w:pPr>
      <w:r>
        <w:rPr>
          <w:rFonts w:hint="eastAsia" w:ascii="宋体" w:hAnsi="宋体" w:cs="宋体"/>
          <w:b/>
          <w:bCs w:val="0"/>
          <w:color w:val="auto"/>
          <w:sz w:val="52"/>
          <w:szCs w:val="52"/>
          <w:highlight w:val="none"/>
          <w:lang w:eastAsia="zh-CN"/>
        </w:rPr>
        <w:t>2025年安文街道松材线虫病枯死松树清理服务项目(第二次)</w:t>
      </w:r>
    </w:p>
    <w:p w14:paraId="454884F8">
      <w:pPr>
        <w:spacing w:before="120" w:beforeLines="50" w:line="276" w:lineRule="auto"/>
        <w:jc w:val="center"/>
        <w:rPr>
          <w:rFonts w:hint="eastAsia" w:ascii="宋体" w:hAnsi="宋体"/>
          <w:color w:val="auto"/>
          <w:sz w:val="48"/>
          <w:szCs w:val="48"/>
          <w:highlight w:val="none"/>
        </w:rPr>
      </w:pPr>
    </w:p>
    <w:p w14:paraId="7F7F1A46">
      <w:pPr>
        <w:spacing w:before="120" w:beforeLines="50" w:line="276" w:lineRule="auto"/>
        <w:jc w:val="center"/>
        <w:rPr>
          <w:rFonts w:ascii="宋体" w:hAnsi="宋体"/>
          <w:color w:val="auto"/>
          <w:sz w:val="72"/>
          <w:szCs w:val="72"/>
          <w:highlight w:val="none"/>
        </w:rPr>
      </w:pPr>
      <w:r>
        <w:rPr>
          <w:rFonts w:hint="eastAsia" w:ascii="宋体" w:hAnsi="宋体"/>
          <w:color w:val="auto"/>
          <w:sz w:val="48"/>
          <w:szCs w:val="48"/>
          <w:highlight w:val="none"/>
        </w:rPr>
        <w:t>公开招标采购文件</w:t>
      </w:r>
    </w:p>
    <w:p w14:paraId="4C0F1BA2">
      <w:pPr>
        <w:spacing w:before="120" w:beforeLines="50" w:line="276" w:lineRule="auto"/>
        <w:jc w:val="center"/>
        <w:rPr>
          <w:rFonts w:ascii="宋体" w:hAnsi="宋体"/>
          <w:color w:val="auto"/>
          <w:sz w:val="72"/>
          <w:szCs w:val="72"/>
          <w:highlight w:val="none"/>
        </w:rPr>
      </w:pPr>
    </w:p>
    <w:p w14:paraId="35253B77">
      <w:pPr>
        <w:pStyle w:val="71"/>
        <w:rPr>
          <w:color w:val="auto"/>
          <w:highlight w:val="none"/>
        </w:rPr>
      </w:pPr>
    </w:p>
    <w:p w14:paraId="6FA68D33">
      <w:pPr>
        <w:snapToGrid w:val="0"/>
        <w:spacing w:before="120" w:beforeLines="50" w:line="276" w:lineRule="auto"/>
        <w:jc w:val="center"/>
        <w:rPr>
          <w:rFonts w:hAnsi="宋体"/>
          <w:b/>
          <w:bCs/>
          <w:color w:val="auto"/>
          <w:sz w:val="28"/>
          <w:szCs w:val="28"/>
          <w:highlight w:val="none"/>
        </w:rPr>
      </w:pPr>
      <w:r>
        <w:rPr>
          <w:rFonts w:ascii="仿宋_GB2312" w:hAnsi="新宋体" w:eastAsia="仿宋_GB2312"/>
          <w:b/>
          <w:color w:val="auto"/>
          <w:sz w:val="32"/>
          <w:highlight w:val="none"/>
        </w:rPr>
        <w:drawing>
          <wp:inline distT="0" distB="0" distL="0" distR="0">
            <wp:extent cx="3869690" cy="1330325"/>
            <wp:effectExtent l="0" t="0" r="16510" b="3175"/>
            <wp:docPr id="1026" name="图片 1" descr="政府采购图案"/>
            <wp:cNvGraphicFramePr/>
            <a:graphic xmlns:a="http://schemas.openxmlformats.org/drawingml/2006/main">
              <a:graphicData uri="http://schemas.openxmlformats.org/drawingml/2006/picture">
                <pic:pic xmlns:pic="http://schemas.openxmlformats.org/drawingml/2006/picture">
                  <pic:nvPicPr>
                    <pic:cNvPr id="1026" name="图片 1" descr="政府采购图案"/>
                    <pic:cNvPicPr/>
                  </pic:nvPicPr>
                  <pic:blipFill>
                    <a:blip r:embed="rId9" cstate="print"/>
                    <a:srcRect/>
                    <a:stretch>
                      <a:fillRect/>
                    </a:stretch>
                  </pic:blipFill>
                  <pic:spPr>
                    <a:xfrm>
                      <a:off x="0" y="0"/>
                      <a:ext cx="3869690" cy="1330325"/>
                    </a:xfrm>
                    <a:prstGeom prst="rect">
                      <a:avLst/>
                    </a:prstGeom>
                    <a:ln>
                      <a:noFill/>
                    </a:ln>
                  </pic:spPr>
                </pic:pic>
              </a:graphicData>
            </a:graphic>
          </wp:inline>
        </w:drawing>
      </w:r>
    </w:p>
    <w:p w14:paraId="7308F0B5">
      <w:pPr>
        <w:pStyle w:val="29"/>
        <w:snapToGrid w:val="0"/>
        <w:spacing w:before="120" w:after="120" w:line="276" w:lineRule="auto"/>
        <w:rPr>
          <w:rFonts w:hAnsi="宋体"/>
          <w:b/>
          <w:bCs/>
          <w:color w:val="auto"/>
          <w:sz w:val="28"/>
          <w:szCs w:val="28"/>
          <w:highlight w:val="none"/>
        </w:rPr>
      </w:pPr>
    </w:p>
    <w:p w14:paraId="5DA7A67C">
      <w:pPr>
        <w:rPr>
          <w:color w:val="auto"/>
          <w:highlight w:val="none"/>
        </w:rPr>
      </w:pPr>
    </w:p>
    <w:p w14:paraId="27C601B7">
      <w:pPr>
        <w:rPr>
          <w:rFonts w:hAnsi="宋体"/>
          <w:b/>
          <w:bCs/>
          <w:color w:val="auto"/>
          <w:sz w:val="28"/>
          <w:szCs w:val="28"/>
          <w:highlight w:val="none"/>
        </w:rPr>
      </w:pPr>
    </w:p>
    <w:p w14:paraId="484012AB">
      <w:pPr>
        <w:pStyle w:val="22"/>
        <w:rPr>
          <w:color w:val="auto"/>
          <w:highlight w:val="none"/>
        </w:rPr>
      </w:pPr>
    </w:p>
    <w:p w14:paraId="65D31BDF">
      <w:pPr>
        <w:pStyle w:val="29"/>
        <w:snapToGrid w:val="0"/>
        <w:spacing w:before="120" w:after="120" w:line="276" w:lineRule="auto"/>
        <w:rPr>
          <w:rFonts w:hint="default" w:ascii="Times New Roman" w:hAnsi="宋体" w:eastAsia="宋体"/>
          <w:b w:val="0"/>
          <w:bCs w:val="0"/>
          <w:color w:val="auto"/>
          <w:sz w:val="28"/>
          <w:szCs w:val="28"/>
          <w:highlight w:val="none"/>
          <w:lang w:val="en-US" w:eastAsia="zh-CN"/>
        </w:rPr>
      </w:pPr>
      <w:r>
        <w:rPr>
          <w:rFonts w:hAnsi="宋体"/>
          <w:b w:val="0"/>
          <w:bCs w:val="0"/>
          <w:color w:val="auto"/>
          <w:sz w:val="28"/>
          <w:szCs w:val="28"/>
          <w:highlight w:val="none"/>
        </w:rPr>
        <w:t>项目编号</w:t>
      </w:r>
      <w:r>
        <w:rPr>
          <w:rFonts w:hint="eastAsia" w:ascii="Times New Roman" w:hAnsi="宋体"/>
          <w:b w:val="0"/>
          <w:bCs w:val="0"/>
          <w:color w:val="auto"/>
          <w:sz w:val="28"/>
          <w:szCs w:val="28"/>
          <w:highlight w:val="none"/>
        </w:rPr>
        <w:t>：</w:t>
      </w:r>
      <w:r>
        <w:rPr>
          <w:rFonts w:hint="eastAsia" w:hAnsi="宋体" w:cs="宋体"/>
          <w:b w:val="0"/>
          <w:bCs w:val="0"/>
          <w:color w:val="auto"/>
          <w:sz w:val="28"/>
          <w:szCs w:val="28"/>
          <w:highlight w:val="none"/>
          <w:lang w:eastAsia="zh-CN"/>
        </w:rPr>
        <w:t>ZJCY-PA2025002号</w:t>
      </w:r>
    </w:p>
    <w:p w14:paraId="3790C592">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1" w:name="_Toc8881"/>
      <w:r>
        <w:rPr>
          <w:rFonts w:hint="eastAsia" w:ascii="Times New Roman" w:hAnsi="宋体" w:eastAsia="宋体" w:cs="Times New Roman"/>
          <w:b w:val="0"/>
          <w:bCs w:val="0"/>
          <w:color w:val="auto"/>
          <w:sz w:val="28"/>
          <w:szCs w:val="28"/>
          <w:highlight w:val="none"/>
        </w:rPr>
        <w:t>项目名称：</w:t>
      </w:r>
      <w:bookmarkEnd w:id="1"/>
      <w:r>
        <w:rPr>
          <w:rFonts w:hint="eastAsia" w:hAnsi="宋体" w:cs="宋体"/>
          <w:bCs/>
          <w:color w:val="auto"/>
          <w:sz w:val="30"/>
          <w:szCs w:val="30"/>
          <w:highlight w:val="none"/>
          <w:lang w:eastAsia="zh-CN"/>
        </w:rPr>
        <w:t>2025年安文街道松材线虫病枯死松树清理服务项目(第二次)</w:t>
      </w:r>
    </w:p>
    <w:p w14:paraId="2A4B586F">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2" w:name="_Toc4102"/>
      <w:r>
        <w:rPr>
          <w:rFonts w:hint="eastAsia" w:ascii="Times New Roman" w:hAnsi="宋体" w:eastAsia="宋体" w:cs="Times New Roman"/>
          <w:b w:val="0"/>
          <w:bCs w:val="0"/>
          <w:color w:val="auto"/>
          <w:sz w:val="28"/>
          <w:szCs w:val="28"/>
          <w:highlight w:val="none"/>
        </w:rPr>
        <w:t>采购单位：</w:t>
      </w:r>
      <w:bookmarkEnd w:id="2"/>
      <w:r>
        <w:rPr>
          <w:rFonts w:hint="eastAsia" w:hAnsi="宋体" w:cs="宋体"/>
          <w:bCs/>
          <w:color w:val="auto"/>
          <w:sz w:val="30"/>
          <w:szCs w:val="30"/>
          <w:highlight w:val="none"/>
          <w:lang w:eastAsia="zh-CN"/>
        </w:rPr>
        <w:t>磐安县人民政府安文街道办事处 </w:t>
      </w:r>
    </w:p>
    <w:p w14:paraId="64F0FABD">
      <w:pPr>
        <w:pStyle w:val="29"/>
        <w:snapToGrid w:val="0"/>
        <w:spacing w:before="120" w:after="120" w:line="276" w:lineRule="auto"/>
        <w:rPr>
          <w:rFonts w:hint="eastAsia" w:hAnsi="宋体" w:eastAsia="宋体"/>
          <w:b w:val="0"/>
          <w:bCs w:val="0"/>
          <w:color w:val="auto"/>
          <w:sz w:val="28"/>
          <w:szCs w:val="28"/>
          <w:highlight w:val="none"/>
          <w:lang w:eastAsia="zh-CN"/>
        </w:rPr>
      </w:pPr>
      <w:bookmarkStart w:id="3" w:name="_Toc14828"/>
      <w:r>
        <w:rPr>
          <w:rFonts w:hint="eastAsia" w:hAnsi="宋体"/>
          <w:b w:val="0"/>
          <w:bCs w:val="0"/>
          <w:color w:val="auto"/>
          <w:sz w:val="28"/>
          <w:szCs w:val="28"/>
          <w:highlight w:val="none"/>
          <w:lang w:eastAsia="zh-CN"/>
        </w:rPr>
        <w:t>代理</w:t>
      </w:r>
      <w:r>
        <w:rPr>
          <w:rFonts w:hAnsi="宋体"/>
          <w:b w:val="0"/>
          <w:bCs w:val="0"/>
          <w:color w:val="auto"/>
          <w:sz w:val="28"/>
          <w:szCs w:val="28"/>
          <w:highlight w:val="none"/>
        </w:rPr>
        <w:t>机构：</w:t>
      </w:r>
      <w:bookmarkEnd w:id="3"/>
      <w:r>
        <w:rPr>
          <w:rFonts w:hint="eastAsia" w:ascii="Times New Roman" w:hAnsi="宋体"/>
          <w:b w:val="0"/>
          <w:bCs w:val="0"/>
          <w:color w:val="auto"/>
          <w:sz w:val="28"/>
          <w:szCs w:val="28"/>
          <w:highlight w:val="none"/>
          <w:lang w:eastAsia="zh-CN"/>
        </w:rPr>
        <w:t>浙江诚远工程咨询有限公司</w:t>
      </w:r>
    </w:p>
    <w:p w14:paraId="040E924E">
      <w:pPr>
        <w:snapToGrid w:val="0"/>
        <w:spacing w:before="120" w:beforeLines="50" w:line="276" w:lineRule="auto"/>
        <w:ind w:left="384" w:leftChars="183" w:firstLine="4599" w:firstLineChars="1607"/>
        <w:rPr>
          <w:rFonts w:ascii="宋体" w:hAnsi="宋体"/>
          <w:b/>
          <w:bCs/>
          <w:color w:val="auto"/>
          <w:w w:val="95"/>
          <w:sz w:val="30"/>
          <w:szCs w:val="30"/>
          <w:highlight w:val="none"/>
        </w:rPr>
      </w:pPr>
    </w:p>
    <w:p w14:paraId="79552D68">
      <w:pPr>
        <w:pStyle w:val="396"/>
        <w:tabs>
          <w:tab w:val="right" w:leader="dot" w:pos="9660"/>
        </w:tabs>
        <w:spacing w:line="480" w:lineRule="auto"/>
        <w:rPr>
          <w:color w:val="auto"/>
          <w:sz w:val="32"/>
          <w:szCs w:val="32"/>
          <w:highlight w:val="none"/>
        </w:rPr>
      </w:pPr>
      <w:r>
        <w:rPr>
          <w:rFonts w:hAnsi="宋体"/>
          <w:color w:val="auto"/>
          <w:highlight w:val="none"/>
        </w:rPr>
        <w:br w:type="page"/>
      </w:r>
    </w:p>
    <w:p w14:paraId="62136A04">
      <w:pPr>
        <w:jc w:val="center"/>
        <w:rPr>
          <w:color w:val="auto"/>
          <w:sz w:val="44"/>
          <w:szCs w:val="44"/>
          <w:highlight w:val="none"/>
        </w:rPr>
      </w:pPr>
      <w:r>
        <w:rPr>
          <w:rFonts w:ascii="宋体" w:hAnsi="宋体"/>
          <w:color w:val="auto"/>
          <w:sz w:val="44"/>
          <w:szCs w:val="44"/>
          <w:highlight w:val="none"/>
        </w:rPr>
        <w:t>目录</w:t>
      </w:r>
    </w:p>
    <w:p w14:paraId="0C6FDC18">
      <w:pPr>
        <w:pStyle w:val="37"/>
        <w:tabs>
          <w:tab w:val="right" w:leader="dot" w:pos="9360"/>
        </w:tabs>
        <w:spacing w:line="360" w:lineRule="auto"/>
        <w:rPr>
          <w:rFonts w:hint="eastAsia" w:ascii="宋体" w:hAnsi="宋体" w:cs="宋体"/>
          <w:color w:val="auto"/>
          <w:sz w:val="28"/>
          <w:szCs w:val="28"/>
          <w:highlight w:val="none"/>
        </w:rPr>
      </w:pPr>
    </w:p>
    <w:p w14:paraId="3CF56039">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_Toc18691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_Toc18691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E0B4036">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招标需求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4060427">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_Toc21466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90E7978">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_Toc1727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评审办法和评分标准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_Toc1727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5A44A35">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_Toc22538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政府采购政策相关说明</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B7D1A4C">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_Toc16359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  拟签订合同主要条款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6659507">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_Toc26624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第七章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_Toc26624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152EEB3">
      <w:pPr>
        <w:widowControl/>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6287BD23">
      <w:pPr>
        <w:rPr>
          <w:color w:val="auto"/>
          <w:highlight w:val="none"/>
        </w:rPr>
      </w:pPr>
    </w:p>
    <w:p w14:paraId="39204C81">
      <w:pPr>
        <w:rPr>
          <w:color w:val="auto"/>
          <w:highlight w:val="none"/>
        </w:rPr>
      </w:pPr>
    </w:p>
    <w:p w14:paraId="43B4CB19">
      <w:pPr>
        <w:rPr>
          <w:color w:val="auto"/>
          <w:highlight w:val="none"/>
        </w:rPr>
      </w:pPr>
    </w:p>
    <w:p w14:paraId="3A922175">
      <w:pPr>
        <w:pStyle w:val="29"/>
        <w:snapToGrid w:val="0"/>
        <w:spacing w:before="120" w:after="120"/>
        <w:jc w:val="center"/>
        <w:outlineLvl w:val="0"/>
        <w:rPr>
          <w:rFonts w:ascii="黑体" w:hAnsi="黑体" w:eastAsia="黑体"/>
          <w:color w:val="auto"/>
          <w:sz w:val="30"/>
          <w:szCs w:val="30"/>
          <w:highlight w:val="none"/>
        </w:rPr>
      </w:pPr>
      <w:r>
        <w:rPr>
          <w:color w:val="auto"/>
          <w:highlight w:val="none"/>
        </w:rPr>
        <w:br w:type="page"/>
      </w:r>
      <w:bookmarkStart w:id="4" w:name="_Toc5922"/>
      <w:bookmarkStart w:id="5" w:name="_Toc18691"/>
      <w:bookmarkStart w:id="6" w:name="_Toc2068"/>
      <w:bookmarkStart w:id="7" w:name="_Toc1688"/>
      <w:bookmarkStart w:id="8" w:name="_Hlk74317073"/>
      <w:r>
        <w:rPr>
          <w:rStyle w:val="74"/>
          <w:rFonts w:hint="eastAsia"/>
          <w:color w:val="auto"/>
          <w:highlight w:val="none"/>
        </w:rPr>
        <w:t>第一</w:t>
      </w:r>
      <w:r>
        <w:rPr>
          <w:rStyle w:val="74"/>
          <w:rFonts w:hint="eastAsia" w:ascii="Times New Roman" w:hAnsi="Times New Roman" w:cs="Times New Roman"/>
          <w:color w:val="auto"/>
          <w:highlight w:val="none"/>
        </w:rPr>
        <w:t xml:space="preserve">章  </w:t>
      </w:r>
      <w:r>
        <w:rPr>
          <w:rStyle w:val="74"/>
          <w:rFonts w:hint="eastAsia"/>
          <w:color w:val="auto"/>
          <w:highlight w:val="none"/>
        </w:rPr>
        <w:t>招标公告</w:t>
      </w:r>
      <w:bookmarkEnd w:id="4"/>
      <w:bookmarkEnd w:id="5"/>
      <w:bookmarkEnd w:id="6"/>
      <w:bookmarkEnd w:id="7"/>
    </w:p>
    <w:p w14:paraId="1CA73569">
      <w:pPr>
        <w:spacing w:line="360" w:lineRule="auto"/>
        <w:ind w:firstLine="560" w:firstLineChars="200"/>
        <w:rPr>
          <w:rFonts w:hint="eastAsia"/>
          <w:color w:val="auto"/>
          <w:sz w:val="28"/>
          <w:szCs w:val="28"/>
          <w:highlight w:val="none"/>
        </w:rPr>
      </w:pPr>
    </w:p>
    <w:p w14:paraId="4E634FB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本项目经磐安县财政局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"https://pay.zcygov.cn/purchaseplan_front/" \l "/plan/list/detail?id=1000000000003445350&amp;encrypt=f6625fd24cdeb78dd47a2b1d97e1a416" \t "https://www.zcygov.cn/bidding-entrust/" \l "/purchasePlans/_blank"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临[</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w:t>
      </w:r>
      <w:r>
        <w:rPr>
          <w:rFonts w:hint="eastAsia" w:ascii="宋体" w:hAnsi="宋体" w:eastAsia="宋体" w:cs="宋体"/>
          <w:color w:val="0000FF"/>
          <w:sz w:val="24"/>
          <w:szCs w:val="24"/>
          <w:highlight w:val="none"/>
          <w:lang w:val="en-US" w:eastAsia="zh-CN"/>
        </w:rPr>
        <w:t>2089</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采购计划确认书批准进行公开招标，本项目的潜在投标人应在浙江政府采购网获取招标文件，并于</w:t>
      </w:r>
      <w:r>
        <w:rPr>
          <w:rFonts w:hint="eastAsia" w:ascii="宋体" w:hAnsi="宋体" w:eastAsia="宋体" w:cs="宋体"/>
          <w:b/>
          <w:bCs/>
          <w:color w:val="auto"/>
          <w:sz w:val="24"/>
          <w:szCs w:val="24"/>
          <w:highlight w:val="none"/>
          <w:u w:val="single"/>
          <w:lang w:eastAsia="zh-CN"/>
        </w:rPr>
        <w:t>202</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0000FF"/>
          <w:sz w:val="24"/>
          <w:szCs w:val="24"/>
          <w:highlight w:val="none"/>
          <w:u w:val="single"/>
          <w:lang w:val="en-US" w:eastAsia="zh-CN"/>
        </w:rPr>
        <w:t>7</w:t>
      </w:r>
      <w:r>
        <w:rPr>
          <w:rFonts w:hint="eastAsia" w:ascii="宋体" w:hAnsi="宋体" w:eastAsia="宋体" w:cs="宋体"/>
          <w:b/>
          <w:bCs/>
          <w:color w:val="auto"/>
          <w:sz w:val="24"/>
          <w:szCs w:val="24"/>
          <w:highlight w:val="none"/>
          <w:u w:val="single"/>
          <w:lang w:eastAsia="zh-CN"/>
        </w:rPr>
        <w:t>日</w:t>
      </w:r>
      <w:r>
        <w:rPr>
          <w:rFonts w:hint="eastAsia" w:ascii="宋体" w:hAnsi="宋体" w:eastAsia="宋体" w:cs="宋体"/>
          <w:b/>
          <w:bCs/>
          <w:color w:val="auto"/>
          <w:sz w:val="24"/>
          <w:szCs w:val="24"/>
          <w:highlight w:val="none"/>
          <w:u w:val="single"/>
          <w:lang w:val="en-US" w:eastAsia="zh-CN"/>
        </w:rPr>
        <w:t>14：00</w:t>
      </w:r>
      <w:r>
        <w:rPr>
          <w:rFonts w:hint="eastAsia" w:ascii="宋体" w:hAnsi="宋体" w:eastAsia="宋体" w:cs="宋体"/>
          <w:b/>
          <w:bCs/>
          <w:color w:val="auto"/>
          <w:sz w:val="24"/>
          <w:szCs w:val="24"/>
          <w:highlight w:val="none"/>
          <w:u w:val="single"/>
        </w:rPr>
        <w:t>（北京时间）前</w:t>
      </w:r>
      <w:r>
        <w:rPr>
          <w:rFonts w:hint="eastAsia" w:ascii="宋体" w:hAnsi="宋体" w:eastAsia="宋体" w:cs="宋体"/>
          <w:color w:val="auto"/>
          <w:sz w:val="24"/>
          <w:szCs w:val="24"/>
          <w:highlight w:val="none"/>
        </w:rPr>
        <w:t>递交投标文件。</w:t>
      </w:r>
    </w:p>
    <w:p w14:paraId="4CC8C5BF">
      <w:pPr>
        <w:pStyle w:val="2"/>
        <w:keepNext/>
        <w:keepLines/>
        <w:pageBreakBefore w:val="0"/>
        <w:widowControl w:val="0"/>
        <w:kinsoku/>
        <w:wordWrap/>
        <w:overflowPunct/>
        <w:topLinePunct w:val="0"/>
        <w:autoSpaceDE/>
        <w:autoSpaceDN/>
        <w:bidi w:val="0"/>
        <w:adjustRightInd/>
        <w:snapToGrid/>
        <w:spacing w:before="140" w:after="20" w:line="360" w:lineRule="auto"/>
        <w:ind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一、项目基本情况</w:t>
      </w:r>
    </w:p>
    <w:p w14:paraId="23BFB638">
      <w:pPr>
        <w:pStyle w:val="107"/>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2025年安文街道松材线虫病枯死松树清理服务项目(第二次)</w:t>
      </w:r>
    </w:p>
    <w:p w14:paraId="01BA713A">
      <w:p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2.项目编号：</w:t>
      </w:r>
      <w:r>
        <w:rPr>
          <w:rFonts w:hint="eastAsia" w:ascii="宋体" w:hAnsi="宋体" w:cs="宋体"/>
          <w:color w:val="auto"/>
          <w:kern w:val="2"/>
          <w:sz w:val="24"/>
          <w:szCs w:val="24"/>
          <w:highlight w:val="none"/>
          <w:lang w:val="en-US" w:eastAsia="zh-CN" w:bidi="ar-SA"/>
        </w:rPr>
        <w:t>ZJCY-PA2025002号</w:t>
      </w:r>
    </w:p>
    <w:p w14:paraId="5D4FE5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3.采购组织类型：</w:t>
      </w:r>
      <w:r>
        <w:rPr>
          <w:rFonts w:hint="eastAsia" w:ascii="宋体" w:hAnsi="宋体" w:cs="宋体"/>
          <w:color w:val="auto"/>
          <w:sz w:val="24"/>
          <w:highlight w:val="none"/>
          <w:lang w:eastAsia="zh-CN"/>
        </w:rPr>
        <w:t>分散</w:t>
      </w:r>
      <w:r>
        <w:rPr>
          <w:rFonts w:hint="eastAsia" w:ascii="宋体" w:hAnsi="宋体" w:cs="宋体"/>
          <w:color w:val="auto"/>
          <w:sz w:val="24"/>
          <w:highlight w:val="none"/>
        </w:rPr>
        <w:t>采购</w:t>
      </w:r>
    </w:p>
    <w:p w14:paraId="256456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4.采购方式：公开招标 </w:t>
      </w:r>
    </w:p>
    <w:p w14:paraId="00C4E6D7">
      <w:pPr>
        <w:spacing w:line="360" w:lineRule="auto"/>
        <w:ind w:firstLine="480" w:firstLineChars="200"/>
        <w:rPr>
          <w:rFonts w:hint="eastAsia" w:ascii="宋体" w:hAnsi="宋体" w:cs="宋体"/>
          <w:color w:val="FF0000"/>
          <w:sz w:val="24"/>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.合同履行期限：</w:t>
      </w:r>
      <w:r>
        <w:rPr>
          <w:color w:val="FF0000"/>
          <w:sz w:val="24"/>
        </w:rPr>
        <w:t>在2025年</w:t>
      </w:r>
      <w:r>
        <w:rPr>
          <w:rFonts w:hint="eastAsia"/>
          <w:color w:val="FF0000"/>
          <w:sz w:val="24"/>
        </w:rPr>
        <w:t>12</w:t>
      </w:r>
      <w:r>
        <w:rPr>
          <w:color w:val="FF0000"/>
          <w:sz w:val="24"/>
        </w:rPr>
        <w:t>月30日前全面完成病枯死木清理除治任务</w:t>
      </w:r>
      <w:r>
        <w:rPr>
          <w:rFonts w:hint="eastAsia"/>
          <w:color w:val="FF0000"/>
          <w:sz w:val="24"/>
        </w:rPr>
        <w:t>（其中</w:t>
      </w:r>
      <w:r>
        <w:rPr>
          <w:rFonts w:hint="eastAsia" w:ascii="宋体" w:hAnsi="宋体" w:cs="宋体"/>
          <w:color w:val="FF0000"/>
          <w:sz w:val="24"/>
        </w:rPr>
        <w:t>公路主干线、城区周边、大规模成片地块必须在2025年5月30日前完成</w:t>
      </w:r>
      <w:r>
        <w:rPr>
          <w:rFonts w:hint="eastAsia" w:ascii="宋体" w:hAnsi="宋体" w:cs="宋体"/>
          <w:color w:val="FF0000"/>
          <w:sz w:val="24"/>
          <w:lang w:val="en-US" w:eastAsia="zh-CN"/>
        </w:rPr>
        <w:t>除治</w:t>
      </w:r>
      <w:r>
        <w:rPr>
          <w:rFonts w:hint="eastAsia"/>
          <w:color w:val="FF0000"/>
          <w:sz w:val="24"/>
        </w:rPr>
        <w:t>）</w:t>
      </w:r>
      <w:r>
        <w:rPr>
          <w:rFonts w:hint="eastAsia" w:ascii="宋体" w:hAnsi="宋体" w:cs="宋体"/>
          <w:color w:val="FF0000"/>
          <w:sz w:val="24"/>
        </w:rPr>
        <w:t>。</w:t>
      </w:r>
    </w:p>
    <w:p w14:paraId="5E9557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.采购需求：</w:t>
      </w:r>
    </w:p>
    <w:tbl>
      <w:tblPr>
        <w:tblStyle w:val="5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005"/>
        <w:gridCol w:w="1177"/>
        <w:gridCol w:w="1071"/>
        <w:gridCol w:w="1254"/>
        <w:gridCol w:w="1449"/>
      </w:tblGrid>
      <w:tr w14:paraId="59A4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82" w:type="dxa"/>
            <w:vAlign w:val="center"/>
          </w:tcPr>
          <w:p w14:paraId="249A31DD">
            <w:pPr>
              <w:spacing w:line="360" w:lineRule="exact"/>
              <w:jc w:val="center"/>
              <w:rPr>
                <w:rFonts w:hint="eastAsia" w:ascii="宋体" w:hAnsi="宋体" w:eastAsia="宋体"/>
                <w:b/>
                <w:szCs w:val="21"/>
                <w:lang w:eastAsia="zh-CN"/>
              </w:rPr>
            </w:pPr>
            <w:r>
              <w:rPr>
                <w:rFonts w:hint="eastAsia" w:ascii="宋体" w:hAnsi="宋体"/>
                <w:b/>
                <w:szCs w:val="21"/>
                <w:lang w:eastAsia="zh-CN"/>
              </w:rPr>
              <w:t>标项</w:t>
            </w:r>
          </w:p>
        </w:tc>
        <w:tc>
          <w:tcPr>
            <w:tcW w:w="4005" w:type="dxa"/>
            <w:vAlign w:val="center"/>
          </w:tcPr>
          <w:p w14:paraId="64B8FD35">
            <w:pPr>
              <w:spacing w:line="360" w:lineRule="exact"/>
              <w:jc w:val="center"/>
              <w:rPr>
                <w:rFonts w:hint="eastAsia" w:ascii="宋体" w:hAnsi="宋体" w:eastAsia="宋体"/>
                <w:b/>
                <w:szCs w:val="21"/>
                <w:lang w:eastAsia="zh-CN"/>
              </w:rPr>
            </w:pPr>
            <w:r>
              <w:rPr>
                <w:rFonts w:hint="eastAsia" w:ascii="宋体" w:hAnsi="宋体"/>
                <w:b/>
                <w:szCs w:val="21"/>
              </w:rPr>
              <w:t>项目</w:t>
            </w:r>
            <w:r>
              <w:rPr>
                <w:rFonts w:hint="eastAsia" w:ascii="宋体" w:hAnsi="宋体"/>
                <w:b/>
                <w:szCs w:val="21"/>
                <w:lang w:eastAsia="zh-CN"/>
              </w:rPr>
              <w:t>名称</w:t>
            </w:r>
          </w:p>
        </w:tc>
        <w:tc>
          <w:tcPr>
            <w:tcW w:w="1177" w:type="dxa"/>
            <w:vAlign w:val="center"/>
          </w:tcPr>
          <w:p w14:paraId="1EF50B19">
            <w:pPr>
              <w:spacing w:line="360" w:lineRule="exact"/>
              <w:jc w:val="center"/>
              <w:rPr>
                <w:rFonts w:ascii="宋体" w:hAnsi="宋体"/>
                <w:b/>
                <w:szCs w:val="21"/>
              </w:rPr>
            </w:pPr>
            <w:r>
              <w:rPr>
                <w:rFonts w:hint="eastAsia" w:ascii="宋体" w:hAnsi="宋体"/>
                <w:b/>
                <w:szCs w:val="21"/>
              </w:rPr>
              <w:t>数量</w:t>
            </w:r>
          </w:p>
        </w:tc>
        <w:tc>
          <w:tcPr>
            <w:tcW w:w="1071" w:type="dxa"/>
            <w:vAlign w:val="center"/>
          </w:tcPr>
          <w:p w14:paraId="18091DDC">
            <w:pPr>
              <w:spacing w:line="360" w:lineRule="exact"/>
              <w:jc w:val="center"/>
              <w:rPr>
                <w:rFonts w:hint="eastAsia" w:ascii="宋体" w:hAnsi="宋体" w:eastAsia="宋体"/>
                <w:b/>
                <w:szCs w:val="21"/>
                <w:lang w:eastAsia="zh-CN"/>
              </w:rPr>
            </w:pPr>
            <w:r>
              <w:rPr>
                <w:rFonts w:hint="eastAsia" w:ascii="宋体" w:hAnsi="宋体"/>
                <w:b/>
                <w:szCs w:val="21"/>
                <w:lang w:eastAsia="zh-CN"/>
              </w:rPr>
              <w:t>预算金额</w:t>
            </w:r>
          </w:p>
        </w:tc>
        <w:tc>
          <w:tcPr>
            <w:tcW w:w="1254" w:type="dxa"/>
            <w:vAlign w:val="center"/>
          </w:tcPr>
          <w:p w14:paraId="79221C94">
            <w:pPr>
              <w:spacing w:line="360" w:lineRule="exact"/>
              <w:jc w:val="center"/>
              <w:rPr>
                <w:rFonts w:hint="eastAsia" w:ascii="宋体" w:hAnsi="宋体"/>
                <w:b/>
                <w:szCs w:val="21"/>
              </w:rPr>
            </w:pPr>
            <w:r>
              <w:rPr>
                <w:rFonts w:hint="eastAsia" w:ascii="宋体" w:hAnsi="宋体"/>
                <w:b/>
                <w:szCs w:val="21"/>
              </w:rPr>
              <w:t>最高限价</w:t>
            </w:r>
          </w:p>
        </w:tc>
        <w:tc>
          <w:tcPr>
            <w:tcW w:w="1449" w:type="dxa"/>
            <w:vAlign w:val="center"/>
          </w:tcPr>
          <w:p w14:paraId="2F53E70C">
            <w:pPr>
              <w:spacing w:line="360" w:lineRule="exact"/>
              <w:jc w:val="center"/>
              <w:rPr>
                <w:rFonts w:ascii="宋体" w:hAnsi="宋体"/>
                <w:b/>
                <w:szCs w:val="21"/>
              </w:rPr>
            </w:pPr>
            <w:r>
              <w:rPr>
                <w:rFonts w:hint="eastAsia" w:ascii="宋体" w:hAnsi="宋体"/>
                <w:b/>
                <w:szCs w:val="21"/>
              </w:rPr>
              <w:t>备注</w:t>
            </w:r>
          </w:p>
        </w:tc>
      </w:tr>
      <w:tr w14:paraId="2C49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82" w:type="dxa"/>
            <w:shd w:val="clear" w:color="auto" w:fill="auto"/>
            <w:vAlign w:val="center"/>
          </w:tcPr>
          <w:p w14:paraId="4D72CAC1">
            <w:pPr>
              <w:spacing w:line="360" w:lineRule="exact"/>
              <w:jc w:val="center"/>
              <w:rPr>
                <w:rFonts w:hint="default" w:ascii="宋体" w:hAnsi="宋体" w:eastAsia="宋体"/>
                <w:b/>
                <w:bCs/>
                <w:szCs w:val="21"/>
                <w:lang w:eastAsia="zh-CN"/>
              </w:rPr>
            </w:pPr>
            <w:r>
              <w:rPr>
                <w:rFonts w:hint="eastAsia" w:ascii="宋体" w:hAnsi="宋体" w:cs="宋体"/>
                <w:sz w:val="24"/>
                <w:szCs w:val="24"/>
              </w:rPr>
              <w:t>一</w:t>
            </w:r>
          </w:p>
        </w:tc>
        <w:tc>
          <w:tcPr>
            <w:tcW w:w="4005" w:type="dxa"/>
            <w:shd w:val="clear" w:color="auto" w:fill="auto"/>
            <w:vAlign w:val="center"/>
          </w:tcPr>
          <w:p w14:paraId="34D9D8BF">
            <w:pPr>
              <w:spacing w:line="360" w:lineRule="exact"/>
              <w:jc w:val="center"/>
              <w:rPr>
                <w:rFonts w:hint="eastAsia" w:ascii="宋体" w:hAnsi="宋体"/>
                <w:b/>
                <w:bCs/>
                <w:szCs w:val="21"/>
              </w:rPr>
            </w:pPr>
            <w:r>
              <w:rPr>
                <w:rFonts w:hint="eastAsia" w:ascii="宋体" w:hAnsi="宋体" w:cs="宋体"/>
                <w:sz w:val="24"/>
                <w:szCs w:val="24"/>
                <w:lang w:eastAsia="zh-CN"/>
              </w:rPr>
              <w:t>2025年安文街道松材线虫病枯死松树清理服务项目(第二次)</w:t>
            </w:r>
          </w:p>
        </w:tc>
        <w:tc>
          <w:tcPr>
            <w:tcW w:w="1177" w:type="dxa"/>
            <w:shd w:val="clear" w:color="auto" w:fill="auto"/>
            <w:vAlign w:val="center"/>
          </w:tcPr>
          <w:p w14:paraId="37A1495E">
            <w:pPr>
              <w:spacing w:line="360" w:lineRule="exact"/>
              <w:jc w:val="center"/>
              <w:rPr>
                <w:rFonts w:ascii="宋体" w:hAnsi="宋体"/>
                <w:b/>
                <w:bCs/>
                <w:szCs w:val="21"/>
              </w:rPr>
            </w:pPr>
            <w:r>
              <w:rPr>
                <w:rFonts w:hint="eastAsia" w:ascii="宋体" w:hAnsi="宋体"/>
                <w:b/>
                <w:bCs/>
                <w:szCs w:val="21"/>
              </w:rPr>
              <w:t>1</w:t>
            </w:r>
            <w:r>
              <w:rPr>
                <w:rFonts w:hint="eastAsia" w:ascii="宋体" w:hAnsi="宋体"/>
                <w:b/>
                <w:bCs/>
                <w:color w:val="00B050"/>
                <w:szCs w:val="21"/>
                <w:lang w:eastAsia="zh-CN"/>
              </w:rPr>
              <w:t>项</w:t>
            </w:r>
          </w:p>
        </w:tc>
        <w:tc>
          <w:tcPr>
            <w:tcW w:w="1071" w:type="dxa"/>
            <w:shd w:val="clear" w:color="auto" w:fill="auto"/>
            <w:vAlign w:val="center"/>
          </w:tcPr>
          <w:p w14:paraId="0D69F494">
            <w:pPr>
              <w:spacing w:line="360" w:lineRule="exact"/>
              <w:jc w:val="center"/>
              <w:rPr>
                <w:rFonts w:hint="default" w:ascii="宋体" w:hAnsi="宋体"/>
                <w:b/>
                <w:bCs/>
                <w:szCs w:val="21"/>
                <w:lang w:val="en-US" w:eastAsia="zh-CN"/>
              </w:rPr>
            </w:pPr>
            <w:r>
              <w:rPr>
                <w:rFonts w:hint="eastAsia" w:ascii="宋体" w:hAnsi="宋体"/>
                <w:b/>
                <w:bCs/>
                <w:szCs w:val="21"/>
                <w:lang w:val="en-US" w:eastAsia="zh-CN"/>
              </w:rPr>
              <w:t>988万元</w:t>
            </w:r>
          </w:p>
        </w:tc>
        <w:tc>
          <w:tcPr>
            <w:tcW w:w="1254" w:type="dxa"/>
            <w:shd w:val="clear" w:color="auto" w:fill="auto"/>
            <w:vAlign w:val="center"/>
          </w:tcPr>
          <w:p w14:paraId="7C97BBFD">
            <w:pPr>
              <w:spacing w:line="360" w:lineRule="exact"/>
              <w:jc w:val="center"/>
              <w:rPr>
                <w:rFonts w:hint="eastAsia" w:ascii="宋体" w:hAnsi="宋体"/>
                <w:b/>
                <w:bCs/>
                <w:szCs w:val="21"/>
                <w:lang w:val="en-US" w:eastAsia="zh-CN"/>
              </w:rPr>
            </w:pPr>
            <w:r>
              <w:rPr>
                <w:rFonts w:hint="eastAsia" w:ascii="宋体" w:hAnsi="宋体"/>
                <w:b/>
                <w:bCs/>
                <w:szCs w:val="21"/>
                <w:lang w:val="en-US" w:eastAsia="zh-CN"/>
              </w:rPr>
              <w:t>760元/吨</w:t>
            </w:r>
          </w:p>
        </w:tc>
        <w:tc>
          <w:tcPr>
            <w:tcW w:w="1449" w:type="dxa"/>
            <w:shd w:val="clear" w:color="auto" w:fill="auto"/>
            <w:vAlign w:val="center"/>
          </w:tcPr>
          <w:p w14:paraId="6BCB85AD">
            <w:pPr>
              <w:spacing w:line="360" w:lineRule="exact"/>
              <w:jc w:val="center"/>
              <w:rPr>
                <w:rFonts w:hint="eastAsia" w:ascii="宋体" w:hAnsi="宋体"/>
                <w:b/>
                <w:bCs/>
                <w:szCs w:val="21"/>
                <w:lang w:val="en-US" w:eastAsia="zh-CN"/>
              </w:rPr>
            </w:pPr>
            <w:r>
              <w:rPr>
                <w:rFonts w:hint="eastAsia" w:ascii="宋体" w:hAnsi="宋体"/>
                <w:b/>
                <w:bCs/>
                <w:szCs w:val="21"/>
                <w:lang w:val="en-US" w:eastAsia="zh-CN"/>
              </w:rPr>
              <w:t>具体详见《招标需求》。</w:t>
            </w:r>
          </w:p>
        </w:tc>
      </w:tr>
    </w:tbl>
    <w:p w14:paraId="409977A3">
      <w:pPr>
        <w:pStyle w:val="2"/>
        <w:keepNext/>
        <w:keepLines/>
        <w:pageBreakBefore w:val="0"/>
        <w:widowControl w:val="0"/>
        <w:kinsoku/>
        <w:wordWrap/>
        <w:overflowPunct/>
        <w:topLinePunct w:val="0"/>
        <w:autoSpaceDE/>
        <w:autoSpaceDN/>
        <w:bidi w:val="0"/>
        <w:adjustRightInd/>
        <w:snapToGrid/>
        <w:spacing w:before="26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二、合格投标人的资格要求</w:t>
      </w:r>
    </w:p>
    <w:p w14:paraId="56DD1C3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满足《中华人民共和国政府采购法》第二十二条规定；未被“信用中国”网站（www.creditchina.gov.cn）、中国政府采购网（www.ccgp.gov.cn）列入失信被执行人、重大税收违法当事人名单、政府采购严重违法失信行为记录名单；</w:t>
      </w:r>
    </w:p>
    <w:p w14:paraId="557943A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2</w:t>
      </w:r>
      <w:r>
        <w:rPr>
          <w:rFonts w:hint="eastAsia" w:ascii="宋体" w:hAnsi="宋体" w:cs="Arial"/>
          <w:bCs/>
          <w:color w:val="auto"/>
          <w:sz w:val="24"/>
          <w:highlight w:val="none"/>
        </w:rPr>
        <w:t>.特定资格条件：</w:t>
      </w:r>
      <w:r>
        <w:rPr>
          <w:rFonts w:hint="eastAsia" w:ascii="宋体" w:hAnsi="宋体" w:cs="宋体"/>
          <w:color w:val="FF0000"/>
          <w:sz w:val="24"/>
        </w:rPr>
        <w:t>营业执照具有林业有害生物防治服务经营范围</w:t>
      </w:r>
      <w:r>
        <w:rPr>
          <w:rFonts w:hint="eastAsia" w:ascii="宋体" w:hAnsi="宋体" w:cs="Arial"/>
          <w:bCs/>
          <w:color w:val="auto"/>
          <w:sz w:val="24"/>
          <w:highlight w:val="none"/>
        </w:rPr>
        <w:t>；</w:t>
      </w:r>
    </w:p>
    <w:p w14:paraId="319048BA">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落实政府采购政策需满足的资格要求：</w:t>
      </w:r>
    </w:p>
    <w:p w14:paraId="728B01E3">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FE"/>
      </w:r>
      <w:r>
        <w:rPr>
          <w:rFonts w:hint="eastAsia" w:ascii="宋体" w:hAnsi="宋体"/>
          <w:color w:val="auto"/>
          <w:sz w:val="24"/>
          <w:highlight w:val="none"/>
        </w:rPr>
        <w:t>本项目不专门面向中小企业</w:t>
      </w:r>
      <w:r>
        <w:rPr>
          <w:rFonts w:hint="eastAsia" w:ascii="宋体" w:hAnsi="宋体"/>
          <w:color w:val="auto"/>
          <w:sz w:val="24"/>
          <w:highlight w:val="none"/>
          <w:lang w:eastAsia="zh-CN"/>
        </w:rPr>
        <w:t>。</w:t>
      </w:r>
    </w:p>
    <w:p w14:paraId="31F51329">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本项目专门面向中小企业</w:t>
      </w:r>
      <w:r>
        <w:rPr>
          <w:rFonts w:hint="eastAsia" w:ascii="宋体" w:hAnsi="宋体"/>
          <w:color w:val="auto"/>
          <w:sz w:val="24"/>
          <w:highlight w:val="none"/>
          <w:lang w:eastAsia="zh-CN"/>
        </w:rPr>
        <w:t>。</w:t>
      </w:r>
    </w:p>
    <w:p w14:paraId="5C2DE227">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货物全部由符合政策要求的中小企业制造，提供中小企业声明函；</w:t>
      </w:r>
    </w:p>
    <w:p w14:paraId="238B6DFB">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货物全部由符合政策要求的小微企业制造，提供中小企业声明函；</w:t>
      </w:r>
    </w:p>
    <w:p w14:paraId="5DF245FF">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工程全部由符合政策要求的中小企业承接，提供中小企业声明函；</w:t>
      </w:r>
    </w:p>
    <w:p w14:paraId="63FA8A02">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工程全部由符合政策要求的小微企业承接，提供中小企业声明函；</w:t>
      </w:r>
    </w:p>
    <w:p w14:paraId="7265C445">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服务全部由符合政策要求的中小企业承接，提供中小企业声明函；</w:t>
      </w:r>
    </w:p>
    <w:p w14:paraId="0D942FBA">
      <w:pPr>
        <w:spacing w:line="480" w:lineRule="exact"/>
        <w:ind w:firstLine="1200" w:firstLineChars="500"/>
        <w:rPr>
          <w:rFonts w:hint="eastAsia"/>
          <w:color w:val="auto"/>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服务全部由符合政策要求的小微企业承接，提供中小企业声明函；</w:t>
      </w:r>
    </w:p>
    <w:p w14:paraId="60F7D56D">
      <w:pPr>
        <w:snapToGrid w:val="0"/>
        <w:spacing w:line="480" w:lineRule="exact"/>
        <w:ind w:right="218" w:rightChars="104" w:firstLine="480" w:firstLineChars="200"/>
        <w:rPr>
          <w:rFonts w:hint="eastAsia" w:ascii="宋体" w:hAnsi="宋体" w:cs="Arial"/>
          <w:bCs/>
          <w:color w:val="auto"/>
          <w:sz w:val="24"/>
          <w:highlight w:val="none"/>
        </w:rPr>
      </w:pPr>
      <w:bookmarkStart w:id="9" w:name="_Toc23203"/>
      <w:bookmarkStart w:id="10" w:name="_Toc7631"/>
      <w:bookmarkStart w:id="11" w:name="_Toc25035"/>
      <w:bookmarkStart w:id="12" w:name="_Toc18695"/>
      <w:bookmarkStart w:id="13" w:name="_Toc19722"/>
      <w:bookmarkStart w:id="14" w:name="_Toc23431"/>
      <w:bookmarkStart w:id="15" w:name="_Toc2481"/>
      <w:r>
        <w:rPr>
          <w:rFonts w:hint="eastAsia" w:ascii="宋体" w:hAnsi="宋体" w:cs="Arial"/>
          <w:bCs/>
          <w:color w:val="auto"/>
          <w:sz w:val="24"/>
          <w:highlight w:val="none"/>
        </w:rPr>
        <w:t>4.本项目</w:t>
      </w:r>
      <w:r>
        <w:rPr>
          <w:rFonts w:hint="eastAsia" w:ascii="宋体" w:hAnsi="宋体" w:cs="Arial"/>
          <w:bCs/>
          <w:color w:val="auto"/>
          <w:sz w:val="24"/>
          <w:highlight w:val="none"/>
          <w:lang w:eastAsia="zh-CN"/>
        </w:rPr>
        <w:t>不</w:t>
      </w:r>
      <w:r>
        <w:rPr>
          <w:rFonts w:hint="eastAsia" w:ascii="宋体" w:hAnsi="宋体" w:cs="Arial"/>
          <w:bCs/>
          <w:color w:val="auto"/>
          <w:sz w:val="24"/>
          <w:highlight w:val="none"/>
        </w:rPr>
        <w:t>接受联合体投标。</w:t>
      </w:r>
    </w:p>
    <w:p w14:paraId="6649E746">
      <w:pPr>
        <w:snapToGrid w:val="0"/>
        <w:spacing w:line="480" w:lineRule="exact"/>
        <w:ind w:right="218" w:rightChars="104" w:firstLine="480" w:firstLineChars="200"/>
        <w:rPr>
          <w:rFonts w:hint="eastAsia" w:ascii="Arial" w:hAnsi="Arial"/>
          <w:color w:val="auto"/>
          <w:kern w:val="2"/>
          <w:sz w:val="28"/>
          <w:szCs w:val="32"/>
          <w:highlight w:val="none"/>
        </w:rPr>
      </w:pPr>
      <w:r>
        <w:rPr>
          <w:rFonts w:hint="eastAsia" w:ascii="宋体" w:hAnsi="宋体" w:eastAsia="宋体" w:cs="Arial"/>
          <w:bCs/>
          <w:color w:val="auto"/>
          <w:sz w:val="24"/>
          <w:highlight w:val="none"/>
        </w:rPr>
        <w:t>5.单位负责人为同一人或者存在直接控股、管理关系的不同供应商，不得参加同一合同项下的政府采购活动；为</w:t>
      </w:r>
      <w:r>
        <w:rPr>
          <w:rFonts w:hint="eastAsia" w:ascii="宋体" w:hAnsi="宋体" w:cs="Arial"/>
          <w:bCs/>
          <w:color w:val="auto"/>
          <w:sz w:val="24"/>
          <w:highlight w:val="none"/>
        </w:rPr>
        <w:t>采购项目提供整体设计、规范编制或者项目管理、监理、检测等服务后不得再参加该采购项目的其他采购活动。</w:t>
      </w:r>
    </w:p>
    <w:p w14:paraId="287B2390">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三、招标文件的获取</w:t>
      </w:r>
      <w:bookmarkEnd w:id="9"/>
      <w:bookmarkEnd w:id="10"/>
      <w:bookmarkEnd w:id="11"/>
      <w:bookmarkEnd w:id="12"/>
      <w:bookmarkEnd w:id="13"/>
      <w:bookmarkEnd w:id="14"/>
      <w:bookmarkEnd w:id="15"/>
    </w:p>
    <w:p w14:paraId="517910D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1.招标文件获取期限：投标截止时间前</w:t>
      </w:r>
    </w:p>
    <w:p w14:paraId="1F11DE85">
      <w:pPr>
        <w:snapToGrid w:val="0"/>
        <w:spacing w:line="480" w:lineRule="exact"/>
        <w:ind w:right="218" w:rightChars="104" w:firstLine="480" w:firstLineChars="200"/>
        <w:rPr>
          <w:color w:val="auto"/>
          <w:highlight w:val="none"/>
        </w:rPr>
      </w:pPr>
      <w:r>
        <w:rPr>
          <w:rFonts w:hint="eastAsia" w:ascii="宋体" w:hAnsi="宋体" w:cs="Arial"/>
          <w:bCs/>
          <w:color w:val="auto"/>
          <w:sz w:val="24"/>
          <w:highlight w:val="none"/>
        </w:rPr>
        <w:t>2.招标文件获取方式：政府采购云平台（www.zcygov.cn）</w:t>
      </w:r>
    </w:p>
    <w:p w14:paraId="4AE616F9">
      <w:pPr>
        <w:snapToGrid w:val="0"/>
        <w:spacing w:line="480" w:lineRule="exact"/>
        <w:ind w:right="218" w:rightChars="104" w:firstLine="482" w:firstLineChars="200"/>
        <w:rPr>
          <w:rFonts w:hint="eastAsia" w:ascii="宋体" w:hAnsi="宋体" w:cs="Arial"/>
          <w:b/>
          <w:color w:val="auto"/>
          <w:sz w:val="24"/>
          <w:highlight w:val="none"/>
        </w:rPr>
      </w:pPr>
      <w:r>
        <w:rPr>
          <w:rFonts w:hint="eastAsia" w:ascii="宋体" w:hAnsi="宋体" w:cs="Arial"/>
          <w:b/>
          <w:color w:val="auto"/>
          <w:sz w:val="24"/>
          <w:highlight w:val="none"/>
        </w:rPr>
        <w:t xml:space="preserve">（1）供应商登录政采云平台在线申请获取采购文件（进入“项目采购”应用，在获取采购文件菜单中选择项目，申请获取采购文件）。 </w:t>
      </w:r>
    </w:p>
    <w:p w14:paraId="5F1B6A40">
      <w:pPr>
        <w:snapToGrid w:val="0"/>
        <w:spacing w:line="480" w:lineRule="exact"/>
        <w:ind w:right="218" w:rightChars="104" w:firstLine="482" w:firstLineChars="200"/>
        <w:rPr>
          <w:rFonts w:hint="eastAsia" w:ascii="Arial" w:hAnsi="Arial"/>
          <w:color w:val="auto"/>
          <w:kern w:val="2"/>
          <w:sz w:val="28"/>
          <w:szCs w:val="32"/>
          <w:highlight w:val="none"/>
        </w:rPr>
      </w:pPr>
      <w:r>
        <w:rPr>
          <w:rFonts w:hint="eastAsia" w:ascii="宋体" w:hAnsi="宋体" w:cs="Arial"/>
          <w:b/>
          <w:color w:val="auto"/>
          <w:sz w:val="24"/>
          <w:highlight w:val="none"/>
        </w:rPr>
        <w:t>（2）在浙江政府采购网采购公告附件中以“游客”身份获取的招标文件仅供阅览；潜在供应商未按上述第（1）条方式获取招标文件的不得对招标文件提起质疑投诉。</w:t>
      </w:r>
      <w:bookmarkStart w:id="16" w:name="_Toc24992"/>
      <w:bookmarkStart w:id="17" w:name="_Toc31426"/>
      <w:bookmarkStart w:id="18" w:name="_Toc19407"/>
      <w:bookmarkStart w:id="19" w:name="_Toc6715"/>
      <w:bookmarkStart w:id="20" w:name="_Toc24345"/>
      <w:bookmarkStart w:id="21" w:name="_Toc18791"/>
      <w:bookmarkStart w:id="22" w:name="_Toc15817"/>
    </w:p>
    <w:p w14:paraId="594DB134">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四、提交投标文件截止时间</w:t>
      </w:r>
      <w:bookmarkEnd w:id="16"/>
      <w:bookmarkEnd w:id="17"/>
      <w:bookmarkEnd w:id="18"/>
      <w:bookmarkEnd w:id="19"/>
      <w:bookmarkEnd w:id="20"/>
      <w:bookmarkEnd w:id="21"/>
      <w:bookmarkEnd w:id="22"/>
    </w:p>
    <w:p w14:paraId="2F7D384E">
      <w:pPr>
        <w:snapToGrid w:val="0"/>
        <w:spacing w:line="480" w:lineRule="exact"/>
        <w:ind w:right="218" w:rightChars="104"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1.提交投标文件截止时间：</w:t>
      </w:r>
      <w:r>
        <w:rPr>
          <w:rFonts w:hint="eastAsia" w:ascii="宋体" w:hAnsi="宋体" w:cs="Arial"/>
          <w:b/>
          <w:bCs/>
          <w:color w:val="auto"/>
          <w:sz w:val="24"/>
          <w:highlight w:val="none"/>
          <w:u w:val="single"/>
          <w:lang w:eastAsia="zh-CN"/>
        </w:rPr>
        <w:t>2025年</w:t>
      </w:r>
      <w:r>
        <w:rPr>
          <w:rFonts w:hint="eastAsia" w:ascii="宋体" w:hAnsi="宋体" w:cs="Arial"/>
          <w:b/>
          <w:bCs/>
          <w:color w:val="auto"/>
          <w:sz w:val="24"/>
          <w:highlight w:val="none"/>
          <w:u w:val="single"/>
          <w:lang w:val="en-US" w:eastAsia="zh-CN"/>
        </w:rPr>
        <w:t>2月7日14：00</w:t>
      </w:r>
      <w:r>
        <w:rPr>
          <w:rFonts w:hint="eastAsia" w:ascii="宋体" w:hAnsi="宋体" w:cs="宋体"/>
          <w:color w:val="auto"/>
          <w:sz w:val="24"/>
          <w:highlight w:val="none"/>
        </w:rPr>
        <w:t>（北京时间）前将电子加密投标文件上传到政府采购云平台，未上传电子投标文件的，视为供应商放弃投标。</w:t>
      </w:r>
    </w:p>
    <w:p w14:paraId="04B46FB4">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2.供应商如提供备份投标文件的，应于</w:t>
      </w:r>
      <w:r>
        <w:rPr>
          <w:rFonts w:hint="eastAsia" w:ascii="宋体" w:hAnsi="宋体" w:cs="Arial"/>
          <w:b/>
          <w:bCs/>
          <w:color w:val="auto"/>
          <w:sz w:val="24"/>
          <w:highlight w:val="none"/>
          <w:u w:val="single"/>
          <w:lang w:eastAsia="zh-CN"/>
        </w:rPr>
        <w:t>2025年</w:t>
      </w:r>
      <w:r>
        <w:rPr>
          <w:rFonts w:hint="eastAsia" w:ascii="宋体" w:hAnsi="宋体" w:cs="Arial"/>
          <w:b/>
          <w:bCs/>
          <w:color w:val="auto"/>
          <w:sz w:val="24"/>
          <w:highlight w:val="none"/>
          <w:u w:val="single"/>
          <w:lang w:val="en-US" w:eastAsia="zh-CN"/>
        </w:rPr>
        <w:t>2月7日14：00</w:t>
      </w:r>
      <w:r>
        <w:rPr>
          <w:rFonts w:hint="eastAsia" w:ascii="宋体" w:hAnsi="宋体" w:cs="Arial"/>
          <w:bCs/>
          <w:color w:val="auto"/>
          <w:sz w:val="24"/>
          <w:highlight w:val="none"/>
        </w:rPr>
        <w:t>（北京时间）前，将电子备份投标文件和纸质备份投标文件分别密封，</w:t>
      </w:r>
      <w:r>
        <w:rPr>
          <w:rFonts w:hint="eastAsia" w:ascii="宋体" w:hAnsi="宋体" w:cs="Arial"/>
          <w:b/>
          <w:bCs/>
          <w:color w:val="auto"/>
          <w:sz w:val="24"/>
          <w:highlight w:val="none"/>
        </w:rPr>
        <w:t>递交至磐安县安文街道安文街道北镇街11号二楼，联系人</w:t>
      </w:r>
      <w:r>
        <w:rPr>
          <w:rFonts w:hint="eastAsia" w:ascii="宋体" w:hAnsi="宋体" w:cs="Arial"/>
          <w:b/>
          <w:bCs/>
          <w:color w:val="auto"/>
          <w:sz w:val="24"/>
          <w:highlight w:val="none"/>
          <w:lang w:eastAsia="zh-CN"/>
        </w:rPr>
        <w:t>厉晓</w:t>
      </w:r>
      <w:r>
        <w:rPr>
          <w:rFonts w:hint="eastAsia" w:ascii="宋体" w:hAnsi="宋体" w:cs="Arial"/>
          <w:b/>
          <w:bCs/>
          <w:color w:val="auto"/>
          <w:sz w:val="24"/>
          <w:highlight w:val="none"/>
        </w:rPr>
        <w:t>，联系电话：</w:t>
      </w:r>
      <w:r>
        <w:rPr>
          <w:rFonts w:hint="eastAsia" w:ascii="宋体" w:hAnsi="宋体" w:cs="宋体"/>
          <w:b/>
          <w:bCs/>
          <w:color w:val="auto"/>
          <w:sz w:val="24"/>
          <w:highlight w:val="none"/>
        </w:rPr>
        <w:t>15258906930</w:t>
      </w:r>
      <w:r>
        <w:rPr>
          <w:rFonts w:hint="eastAsia" w:ascii="宋体" w:hAnsi="宋体" w:cs="Arial"/>
          <w:bCs/>
          <w:color w:val="auto"/>
          <w:sz w:val="24"/>
          <w:highlight w:val="none"/>
        </w:rPr>
        <w:t>逾期送达或未密封将予以拒收。供应商仅提供备份投标文件（包括以电子备份投标文件或纸质备份投标文件）投标的，投标无效。</w:t>
      </w:r>
    </w:p>
    <w:p w14:paraId="2ABF66CF">
      <w:pPr>
        <w:snapToGrid w:val="0"/>
        <w:spacing w:line="480" w:lineRule="exact"/>
        <w:ind w:right="218" w:rightChars="104" w:firstLine="480" w:firstLineChars="200"/>
        <w:rPr>
          <w:rFonts w:hint="eastAsia" w:ascii="宋体" w:hAnsi="宋体" w:cs="宋体"/>
          <w:bCs/>
          <w:color w:val="auto"/>
          <w:sz w:val="24"/>
          <w:highlight w:val="none"/>
        </w:rPr>
      </w:pPr>
      <w:r>
        <w:rPr>
          <w:rFonts w:hint="eastAsia" w:ascii="宋体" w:hAnsi="宋体" w:cs="Arial"/>
          <w:bCs/>
          <w:color w:val="auto"/>
          <w:sz w:val="24"/>
          <w:highlight w:val="none"/>
        </w:rPr>
        <w:t>3.如因系统或部分电子投标文件无法解密，而采用纸质备份投标文件线下评审程序时，供应商在投标截止时间前未提交纸质备份投标文件的，视为供应商放弃投标。</w:t>
      </w:r>
    </w:p>
    <w:p w14:paraId="1831F740">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bookmarkStart w:id="23" w:name="_Toc7601"/>
      <w:bookmarkStart w:id="24" w:name="_Toc14408"/>
      <w:bookmarkStart w:id="25" w:name="_Toc17679"/>
      <w:bookmarkStart w:id="26" w:name="_Toc8418"/>
      <w:bookmarkStart w:id="27" w:name="_Toc22135"/>
      <w:bookmarkStart w:id="28" w:name="_Toc15"/>
      <w:bookmarkStart w:id="29" w:name="_Toc20159"/>
      <w:r>
        <w:rPr>
          <w:rFonts w:hint="eastAsia" w:ascii="Arial" w:hAnsi="Arial" w:eastAsia="宋体" w:cs="Times New Roman"/>
          <w:b/>
          <w:bCs/>
          <w:color w:val="auto"/>
          <w:kern w:val="2"/>
          <w:sz w:val="28"/>
          <w:szCs w:val="32"/>
          <w:highlight w:val="none"/>
        </w:rPr>
        <w:t>五、开标时间和地点</w:t>
      </w:r>
      <w:bookmarkEnd w:id="23"/>
      <w:bookmarkEnd w:id="24"/>
      <w:bookmarkEnd w:id="25"/>
      <w:bookmarkEnd w:id="26"/>
      <w:bookmarkEnd w:id="27"/>
      <w:bookmarkEnd w:id="28"/>
      <w:bookmarkEnd w:id="29"/>
    </w:p>
    <w:p w14:paraId="76554659">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1.开标时间：</w:t>
      </w:r>
      <w:r>
        <w:rPr>
          <w:rFonts w:hint="eastAsia" w:ascii="宋体" w:hAnsi="宋体" w:cs="Arial"/>
          <w:b/>
          <w:bCs/>
          <w:color w:val="auto"/>
          <w:sz w:val="24"/>
          <w:highlight w:val="none"/>
          <w:u w:val="single"/>
          <w:lang w:eastAsia="zh-CN"/>
        </w:rPr>
        <w:t>2025年</w:t>
      </w:r>
      <w:r>
        <w:rPr>
          <w:rFonts w:hint="eastAsia" w:ascii="宋体" w:hAnsi="宋体" w:cs="Arial"/>
          <w:b/>
          <w:bCs/>
          <w:color w:val="auto"/>
          <w:sz w:val="24"/>
          <w:highlight w:val="none"/>
          <w:u w:val="single"/>
          <w:lang w:val="en-US" w:eastAsia="zh-CN"/>
        </w:rPr>
        <w:t>2月7日14：00</w:t>
      </w:r>
      <w:r>
        <w:rPr>
          <w:rFonts w:hint="eastAsia" w:ascii="宋体" w:hAnsi="宋体" w:cs="Arial"/>
          <w:bCs/>
          <w:color w:val="auto"/>
          <w:sz w:val="24"/>
          <w:highlight w:val="none"/>
        </w:rPr>
        <w:t>（北京时间）</w:t>
      </w:r>
    </w:p>
    <w:p w14:paraId="44676882">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2.开标地点（网址）：政采云平台（https://www.zcygov.cn/）</w:t>
      </w:r>
    </w:p>
    <w:p w14:paraId="166E74B8">
      <w:pPr>
        <w:snapToGrid w:val="0"/>
        <w:spacing w:line="480" w:lineRule="exact"/>
        <w:ind w:right="218" w:rightChars="104" w:firstLine="480" w:firstLineChars="200"/>
        <w:rPr>
          <w:rFonts w:hint="eastAsia" w:ascii="Arial" w:hAnsi="Arial"/>
          <w:color w:val="auto"/>
          <w:kern w:val="2"/>
          <w:sz w:val="28"/>
          <w:szCs w:val="32"/>
          <w:highlight w:val="none"/>
        </w:rPr>
      </w:pPr>
      <w:r>
        <w:rPr>
          <w:rFonts w:hint="eastAsia" w:ascii="宋体" w:hAnsi="宋体" w:cs="Arial"/>
          <w:bCs/>
          <w:color w:val="auto"/>
          <w:sz w:val="24"/>
          <w:highlight w:val="none"/>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30" w:name="_Toc31439"/>
      <w:bookmarkStart w:id="31" w:name="_Toc28674"/>
      <w:bookmarkStart w:id="32" w:name="_Toc15544"/>
      <w:bookmarkStart w:id="33" w:name="_Toc1294"/>
      <w:bookmarkStart w:id="34" w:name="_Toc16756"/>
      <w:bookmarkStart w:id="35" w:name="_Toc18619"/>
      <w:bookmarkStart w:id="36" w:name="_Toc19936"/>
      <w:bookmarkStart w:id="37" w:name="_Toc29617"/>
      <w:bookmarkStart w:id="38" w:name="_Toc27683"/>
      <w:bookmarkStart w:id="39" w:name="_Toc18909"/>
    </w:p>
    <w:p w14:paraId="097699AD">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lang w:eastAsia="zh-CN"/>
        </w:rPr>
        <w:t>六、</w:t>
      </w:r>
      <w:r>
        <w:rPr>
          <w:rFonts w:hint="eastAsia" w:ascii="Arial" w:hAnsi="Arial" w:eastAsia="宋体" w:cs="Times New Roman"/>
          <w:b/>
          <w:bCs/>
          <w:color w:val="auto"/>
          <w:kern w:val="2"/>
          <w:sz w:val="28"/>
          <w:szCs w:val="32"/>
          <w:highlight w:val="none"/>
        </w:rPr>
        <w:t>公告期限</w:t>
      </w:r>
      <w:bookmarkEnd w:id="30"/>
      <w:bookmarkEnd w:id="31"/>
      <w:bookmarkEnd w:id="32"/>
      <w:bookmarkEnd w:id="33"/>
      <w:bookmarkEnd w:id="34"/>
      <w:bookmarkEnd w:id="35"/>
      <w:bookmarkEnd w:id="36"/>
      <w:bookmarkEnd w:id="37"/>
      <w:bookmarkEnd w:id="38"/>
      <w:bookmarkEnd w:id="39"/>
    </w:p>
    <w:p w14:paraId="3190AEC3">
      <w:pPr>
        <w:pStyle w:val="2"/>
        <w:spacing w:before="20" w:after="20" w:line="360" w:lineRule="auto"/>
        <w:ind w:firstLine="480" w:firstLineChars="200"/>
        <w:rPr>
          <w:rFonts w:hint="eastAsia" w:ascii="Arial" w:hAnsi="Arial"/>
          <w:color w:val="auto"/>
          <w:kern w:val="2"/>
          <w:sz w:val="28"/>
          <w:szCs w:val="32"/>
          <w:highlight w:val="none"/>
        </w:rPr>
      </w:pPr>
      <w:r>
        <w:rPr>
          <w:rFonts w:hint="eastAsia" w:ascii="宋体" w:hAnsi="宋体" w:cs="Arial"/>
          <w:b w:val="0"/>
          <w:color w:val="auto"/>
          <w:kern w:val="2"/>
          <w:sz w:val="24"/>
          <w:szCs w:val="24"/>
          <w:highlight w:val="none"/>
        </w:rPr>
        <w:t>自本公告发布之日起</w:t>
      </w:r>
      <w:r>
        <w:rPr>
          <w:rFonts w:hint="eastAsia" w:ascii="宋体" w:hAnsi="宋体" w:cs="Arial"/>
          <w:b w:val="0"/>
          <w:color w:val="auto"/>
          <w:kern w:val="2"/>
          <w:sz w:val="24"/>
          <w:szCs w:val="24"/>
          <w:highlight w:val="none"/>
          <w:lang w:val="en-US" w:eastAsia="zh-CN"/>
        </w:rPr>
        <w:t>5个工作日</w:t>
      </w:r>
      <w:r>
        <w:rPr>
          <w:rFonts w:hint="eastAsia" w:ascii="宋体" w:hAnsi="宋体" w:cs="Arial"/>
          <w:b w:val="0"/>
          <w:color w:val="auto"/>
          <w:kern w:val="2"/>
          <w:sz w:val="24"/>
          <w:szCs w:val="24"/>
          <w:highlight w:val="none"/>
        </w:rPr>
        <w:t>（以公告发布次日开始计算）</w:t>
      </w:r>
      <w:bookmarkStart w:id="40" w:name="_Toc15696"/>
      <w:bookmarkStart w:id="41" w:name="_Toc8029"/>
      <w:bookmarkStart w:id="42" w:name="_Toc22007"/>
      <w:bookmarkStart w:id="43" w:name="_Toc29944"/>
      <w:bookmarkStart w:id="44" w:name="_Toc7563"/>
      <w:bookmarkStart w:id="45" w:name="_Toc28590"/>
      <w:bookmarkStart w:id="46" w:name="_Toc32256"/>
    </w:p>
    <w:p w14:paraId="65F65844">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七、其他补充事宜</w:t>
      </w:r>
      <w:bookmarkEnd w:id="40"/>
      <w:bookmarkEnd w:id="41"/>
      <w:bookmarkEnd w:id="42"/>
      <w:bookmarkEnd w:id="43"/>
      <w:bookmarkEnd w:id="44"/>
      <w:bookmarkEnd w:id="45"/>
      <w:bookmarkEnd w:id="46"/>
    </w:p>
    <w:p w14:paraId="54846B39">
      <w:pPr>
        <w:spacing w:line="480" w:lineRule="exact"/>
        <w:ind w:firstLine="480" w:firstLineChars="200"/>
        <w:rPr>
          <w:rFonts w:hint="eastAsia" w:ascii="宋体" w:hAnsi="宋体"/>
          <w:color w:val="auto"/>
          <w:sz w:val="24"/>
          <w:highlight w:val="none"/>
        </w:rPr>
      </w:pPr>
      <w:r>
        <w:rPr>
          <w:rFonts w:hint="eastAsia" w:ascii="仿宋_GB2312" w:hAnsi="仿宋_GB2312" w:eastAsia="仿宋_GB2312" w:cs="仿宋_GB2312"/>
          <w:color w:val="auto"/>
          <w:sz w:val="24"/>
          <w:highlight w:val="none"/>
        </w:rPr>
        <w:t> </w:t>
      </w:r>
      <w:r>
        <w:rPr>
          <w:rFonts w:hint="eastAsia" w:ascii="宋体" w:hAnsi="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7978356D">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D83C50">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3903F17">
      <w:pPr>
        <w:spacing w:line="48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633216A8">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15E050C6">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八、政采贷</w:t>
      </w:r>
    </w:p>
    <w:p w14:paraId="7D8E6992">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具体要求、条件和操作教程可通过政采云首页右上角——网站导航——金融服务查看，也可拨打政采云客服热线400-881-7190咨询，也可查看公告附件中的相关宣传资料，或向各地已开通政采贷的银行咨询办理。中标供应商可通过以保函的形式提交履约保证金，减少对中小微企业的资金占用，降低财务成本。具体的条件、要求和操作程序由申请贷款的中标供应商向各地保险公司、银行咨询办理。</w:t>
      </w:r>
    </w:p>
    <w:p w14:paraId="3A864466">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风险提示：</w:t>
      </w:r>
    </w:p>
    <w:p w14:paraId="70228F1E">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（1）本内容仅为提供给各中标供应商对办理政府采购金融服务的宣传和了解之方便，对金融服务的具体内容和操作流程均以各金融机构的要求为准，也不作强制要求。</w:t>
      </w:r>
    </w:p>
    <w:p w14:paraId="003B65C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（2）政府采购金融服务有风险，请详细了解并综合评估后再决定。</w:t>
      </w:r>
    </w:p>
    <w:p w14:paraId="60F8D93A">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（3）政府采购金融服务遵循平等自愿、风险自担的原则。采购人、代理机构、财政部门不为任何政府采购金融服务项目承担任何形式的担保、解释或其他连带责任。</w:t>
      </w:r>
    </w:p>
    <w:p w14:paraId="617C3D87">
      <w:pPr>
        <w:pStyle w:val="25"/>
        <w:spacing w:line="480" w:lineRule="exact"/>
        <w:ind w:left="0" w:firstLine="480" w:firstLineChars="200"/>
        <w:jc w:val="both"/>
        <w:rPr>
          <w:rFonts w:hint="eastAsia" w:ascii="宋体" w:hAnsi="宋体" w:cs="Arial"/>
          <w:bCs/>
          <w:color w:val="auto"/>
          <w:sz w:val="24"/>
          <w:highlight w:val="none"/>
        </w:rPr>
      </w:pPr>
    </w:p>
    <w:p w14:paraId="5EB7A476">
      <w:pPr>
        <w:pStyle w:val="2"/>
        <w:spacing w:before="20" w:after="20" w:line="360" w:lineRule="auto"/>
        <w:ind w:firstLine="562" w:firstLineChars="200"/>
        <w:rPr>
          <w:rFonts w:hint="eastAsia" w:ascii="Arial" w:hAnsi="Arial"/>
          <w:color w:val="auto"/>
          <w:kern w:val="2"/>
          <w:sz w:val="28"/>
          <w:szCs w:val="32"/>
          <w:highlight w:val="none"/>
        </w:rPr>
      </w:pPr>
      <w:bookmarkStart w:id="47" w:name="_Toc14402"/>
      <w:bookmarkStart w:id="48" w:name="_Toc13168"/>
      <w:bookmarkStart w:id="49" w:name="_Toc13994"/>
      <w:bookmarkStart w:id="50" w:name="_Toc23494"/>
      <w:r>
        <w:rPr>
          <w:rFonts w:hint="eastAsia" w:ascii="Arial" w:hAnsi="Arial" w:eastAsia="宋体" w:cs="Times New Roman"/>
          <w:b/>
          <w:bCs/>
          <w:color w:val="auto"/>
          <w:kern w:val="2"/>
          <w:sz w:val="28"/>
          <w:szCs w:val="32"/>
          <w:highlight w:val="none"/>
        </w:rPr>
        <w:t>九、</w:t>
      </w:r>
      <w:bookmarkEnd w:id="47"/>
      <w:bookmarkEnd w:id="48"/>
      <w:bookmarkEnd w:id="49"/>
      <w:bookmarkEnd w:id="50"/>
      <w:r>
        <w:rPr>
          <w:rFonts w:hint="eastAsia" w:ascii="Arial" w:hAnsi="Arial" w:eastAsia="宋体" w:cs="Times New Roman"/>
          <w:b/>
          <w:bCs/>
          <w:color w:val="auto"/>
          <w:kern w:val="2"/>
          <w:sz w:val="28"/>
          <w:szCs w:val="32"/>
          <w:highlight w:val="none"/>
        </w:rPr>
        <w:t>业务咨询</w:t>
      </w:r>
      <w:r>
        <w:rPr>
          <w:rFonts w:hint="eastAsia" w:ascii="Arial" w:hAnsi="Arial"/>
          <w:color w:val="auto"/>
          <w:kern w:val="2"/>
          <w:sz w:val="28"/>
          <w:szCs w:val="32"/>
          <w:highlight w:val="none"/>
        </w:rPr>
        <w:t>（招标需求的疑问请向采购人询问或反映）</w:t>
      </w:r>
    </w:p>
    <w:p w14:paraId="55C5CD2B">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1.采购人信息</w:t>
      </w:r>
    </w:p>
    <w:p w14:paraId="4A0EAEA7">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名  称：磐安县人民政府安文街道办事处</w:t>
      </w:r>
    </w:p>
    <w:p w14:paraId="2873C4B1">
      <w:pPr>
        <w:snapToGrid w:val="0"/>
        <w:spacing w:line="480" w:lineRule="exact"/>
        <w:ind w:right="218" w:rightChars="104" w:firstLine="540" w:firstLineChars="225"/>
        <w:rPr>
          <w:rFonts w:ascii="宋体" w:hAnsi="宋体" w:cs="Arial"/>
          <w:bCs/>
          <w:sz w:val="24"/>
        </w:rPr>
      </w:pPr>
      <w:r>
        <w:rPr>
          <w:rFonts w:hint="eastAsia" w:ascii="宋体" w:hAnsi="宋体" w:cs="Arial"/>
          <w:bCs/>
          <w:sz w:val="24"/>
        </w:rPr>
        <w:t>地  址：磐安县安文街道</w:t>
      </w:r>
    </w:p>
    <w:p w14:paraId="7928CE68">
      <w:pPr>
        <w:snapToGrid w:val="0"/>
        <w:spacing w:line="480" w:lineRule="exact"/>
        <w:ind w:right="218" w:rightChars="104" w:firstLine="540" w:firstLineChars="225"/>
        <w:rPr>
          <w:rFonts w:ascii="宋体" w:hAnsi="宋体" w:cs="Arial"/>
          <w:bCs/>
          <w:sz w:val="24"/>
        </w:rPr>
      </w:pPr>
      <w:r>
        <w:rPr>
          <w:rFonts w:hint="eastAsia" w:ascii="宋体" w:hAnsi="宋体" w:cs="Arial"/>
          <w:bCs/>
          <w:sz w:val="24"/>
        </w:rPr>
        <w:t>联系方式：史红正   13738987216</w:t>
      </w:r>
    </w:p>
    <w:p w14:paraId="172A2A7D">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2.采购代理机构信息</w:t>
      </w:r>
    </w:p>
    <w:p w14:paraId="70CD18D2">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 xml:space="preserve">名  称：浙江诚远工程咨询有限公司 </w:t>
      </w:r>
    </w:p>
    <w:p w14:paraId="00699F9C">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地  址：磐安县安文街道北镇街11号二楼</w:t>
      </w:r>
    </w:p>
    <w:p w14:paraId="5E4682CA">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联系方式：厉 晓  15258906930</w:t>
      </w:r>
    </w:p>
    <w:p w14:paraId="0E65AC94">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3.同级政府采购监督管理部门</w:t>
      </w:r>
    </w:p>
    <w:p w14:paraId="4540BCFC">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名称：磐安县财政局 </w:t>
      </w:r>
    </w:p>
    <w:p w14:paraId="2F99ED66">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地 址：磐安县安文街道文溪南路88号 </w:t>
      </w:r>
    </w:p>
    <w:p w14:paraId="6419520B">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 xml:space="preserve">联系人 ：陈巧慧、叶升    </w:t>
      </w:r>
    </w:p>
    <w:p w14:paraId="095195FB">
      <w:pPr>
        <w:snapToGrid w:val="0"/>
        <w:spacing w:line="480" w:lineRule="exact"/>
        <w:ind w:right="218" w:rightChars="104" w:firstLine="540" w:firstLineChars="225"/>
        <w:rPr>
          <w:rFonts w:hint="eastAsia" w:ascii="仿宋_GB2312" w:hAnsi="仿宋_GB2312" w:eastAsia="仿宋_GB2312" w:cs="仿宋_GB2312"/>
          <w:color w:val="auto"/>
          <w:sz w:val="24"/>
          <w:highlight w:val="none"/>
        </w:rPr>
      </w:pPr>
      <w:r>
        <w:rPr>
          <w:rFonts w:hint="eastAsia" w:ascii="宋体" w:hAnsi="宋体" w:cs="Arial"/>
          <w:bCs/>
          <w:sz w:val="24"/>
        </w:rPr>
        <w:t>监督投诉电话：0579-84883829 </w:t>
      </w:r>
      <w:r>
        <w:rPr>
          <w:rFonts w:hint="eastAsia" w:ascii="宋体" w:hAnsi="宋体" w:cs="Arial"/>
          <w:color w:val="auto"/>
          <w:sz w:val="24"/>
          <w:highlight w:val="none"/>
        </w:rPr>
        <w:t xml:space="preserve">      </w:t>
      </w:r>
    </w:p>
    <w:bookmarkEnd w:id="8"/>
    <w:p w14:paraId="1EBF848E">
      <w:pPr>
        <w:wordWrap w:val="0"/>
        <w:snapToGrid w:val="0"/>
        <w:spacing w:line="360" w:lineRule="auto"/>
        <w:rPr>
          <w:rFonts w:ascii="黑体" w:hAnsi="黑体" w:eastAsia="黑体"/>
          <w:color w:val="auto"/>
          <w:sz w:val="30"/>
          <w:szCs w:val="30"/>
          <w:highlight w:val="none"/>
        </w:rPr>
      </w:pPr>
      <w:bookmarkStart w:id="51" w:name="_Toc15298"/>
      <w:bookmarkStart w:id="52" w:name="_Toc2844"/>
      <w:bookmarkStart w:id="53" w:name="_Toc20561"/>
    </w:p>
    <w:p w14:paraId="55ACFE24">
      <w:pPr>
        <w:wordWrap w:val="0"/>
        <w:snapToGrid w:val="0"/>
        <w:spacing w:line="360" w:lineRule="auto"/>
        <w:ind w:firstLine="883" w:firstLineChars="200"/>
        <w:jc w:val="center"/>
        <w:rPr>
          <w:rStyle w:val="74"/>
          <w:rFonts w:hint="eastAsia"/>
          <w:color w:val="auto"/>
          <w:highlight w:val="none"/>
        </w:rPr>
        <w:sectPr>
          <w:footerReference r:id="rId5" w:type="first"/>
          <w:headerReference r:id="rId3" w:type="default"/>
          <w:footerReference r:id="rId4" w:type="default"/>
          <w:pgSz w:w="11906" w:h="16838"/>
          <w:pgMar w:top="1440" w:right="1106" w:bottom="1440" w:left="1440" w:header="851" w:footer="992" w:gutter="0"/>
          <w:pgNumType w:start="1"/>
          <w:cols w:space="720" w:num="1"/>
          <w:docGrid w:linePitch="312" w:charSpace="0"/>
        </w:sectPr>
      </w:pPr>
      <w:bookmarkStart w:id="54" w:name="_Toc10053"/>
      <w:bookmarkStart w:id="55" w:name="_Toc16324"/>
    </w:p>
    <w:p w14:paraId="43596D46">
      <w:pPr>
        <w:wordWrap w:val="0"/>
        <w:snapToGrid w:val="0"/>
        <w:spacing w:line="360" w:lineRule="auto"/>
        <w:jc w:val="center"/>
        <w:rPr>
          <w:rFonts w:hint="eastAsia" w:hAnsi="宋体" w:cs="宋体"/>
          <w:b/>
          <w:bCs/>
          <w:color w:val="auto"/>
          <w:sz w:val="32"/>
          <w:szCs w:val="32"/>
          <w:highlight w:val="none"/>
        </w:rPr>
      </w:pPr>
      <w:r>
        <w:rPr>
          <w:rStyle w:val="74"/>
          <w:rFonts w:hint="eastAsia"/>
          <w:color w:val="auto"/>
          <w:highlight w:val="none"/>
        </w:rPr>
        <w:t>第二章  招标需求</w:t>
      </w:r>
      <w:bookmarkEnd w:id="51"/>
      <w:bookmarkEnd w:id="52"/>
      <w:bookmarkEnd w:id="53"/>
      <w:bookmarkEnd w:id="54"/>
      <w:bookmarkEnd w:id="55"/>
    </w:p>
    <w:p w14:paraId="0BFFEEB1">
      <w:pPr>
        <w:spacing w:line="400" w:lineRule="exact"/>
        <w:ind w:firstLine="482" w:firstLineChars="200"/>
        <w:outlineLvl w:val="1"/>
        <w:rPr>
          <w:rFonts w:hint="eastAsia"/>
          <w:b/>
          <w:sz w:val="24"/>
        </w:rPr>
      </w:pPr>
      <w:bookmarkStart w:id="56" w:name="_Toc31222"/>
      <w:r>
        <w:rPr>
          <w:rFonts w:hint="eastAsia"/>
          <w:b/>
          <w:sz w:val="24"/>
        </w:rPr>
        <w:t>一、项目概况</w:t>
      </w:r>
      <w:bookmarkEnd w:id="56"/>
    </w:p>
    <w:p w14:paraId="495085A3">
      <w:pPr>
        <w:widowControl/>
        <w:spacing w:line="400" w:lineRule="exact"/>
        <w:ind w:firstLine="480" w:firstLineChars="200"/>
        <w:jc w:val="left"/>
        <w:rPr>
          <w:sz w:val="24"/>
        </w:rPr>
      </w:pPr>
      <w:r>
        <w:rPr>
          <w:rFonts w:hint="eastAsia"/>
          <w:sz w:val="24"/>
        </w:rPr>
        <w:t>为认真贯彻落实国家、省、市、县松材线虫病防控工作会议精神，</w:t>
      </w:r>
      <w:r>
        <w:rPr>
          <w:rFonts w:hint="eastAsia" w:ascii="宋体" w:hAnsi="宋体" w:cs="宋体"/>
          <w:sz w:val="24"/>
        </w:rPr>
        <w:t>有效地做好</w:t>
      </w:r>
      <w:r>
        <w:rPr>
          <w:rFonts w:hint="eastAsia" w:cs="宋体"/>
          <w:kern w:val="0"/>
          <w:sz w:val="24"/>
          <w:lang w:eastAsia="zh-CN" w:bidi="ar"/>
        </w:rPr>
        <w:t>2025年安文街道松材线虫病枯死松树清理服务项目(第二次)</w:t>
      </w:r>
      <w:r>
        <w:rPr>
          <w:rFonts w:hint="eastAsia" w:cs="宋体"/>
          <w:kern w:val="0"/>
          <w:sz w:val="24"/>
          <w:lang w:bidi="ar"/>
        </w:rPr>
        <w:t> </w:t>
      </w:r>
      <w:r>
        <w:rPr>
          <w:rFonts w:hint="eastAsia"/>
          <w:sz w:val="24"/>
        </w:rPr>
        <w:t>，保护林地的生态安全，及时清除林内枯死松木，提高森林自控能力，特组织本次招标活动。</w:t>
      </w:r>
    </w:p>
    <w:p w14:paraId="5CEF8237">
      <w:pPr>
        <w:adjustRightInd w:val="0"/>
        <w:snapToGrid w:val="0"/>
        <w:spacing w:line="500" w:lineRule="exact"/>
        <w:ind w:firstLine="482" w:firstLineChars="200"/>
        <w:outlineLvl w:val="1"/>
        <w:rPr>
          <w:rFonts w:hint="eastAsia"/>
          <w:b/>
          <w:bCs/>
          <w:sz w:val="24"/>
        </w:rPr>
      </w:pPr>
      <w:bookmarkStart w:id="57" w:name="_Toc12250"/>
      <w:r>
        <w:rPr>
          <w:rFonts w:hint="eastAsia"/>
          <w:b/>
          <w:bCs/>
          <w:sz w:val="24"/>
        </w:rPr>
        <w:t>二、服务内容</w:t>
      </w:r>
      <w:bookmarkEnd w:id="57"/>
    </w:p>
    <w:p w14:paraId="26B782B3">
      <w:pPr>
        <w:widowControl/>
        <w:spacing w:line="400" w:lineRule="exact"/>
        <w:ind w:firstLine="480" w:firstLineChars="200"/>
        <w:jc w:val="left"/>
        <w:rPr>
          <w:rFonts w:hint="eastAsia"/>
          <w:sz w:val="24"/>
        </w:rPr>
      </w:pPr>
      <w:r>
        <w:rPr>
          <w:rFonts w:hint="eastAsia"/>
          <w:sz w:val="24"/>
        </w:rPr>
        <w:t>1.作业范围：</w:t>
      </w:r>
    </w:p>
    <w:p w14:paraId="2F6640B6">
      <w:pPr>
        <w:spacing w:line="360" w:lineRule="auto"/>
        <w:ind w:firstLine="360" w:firstLineChars="150"/>
        <w:rPr>
          <w:rFonts w:hint="eastAsia"/>
          <w:color w:val="C00000"/>
          <w:sz w:val="24"/>
        </w:rPr>
      </w:pPr>
      <w:r>
        <w:rPr>
          <w:rFonts w:hint="eastAsia" w:ascii="宋体" w:hAnsi="宋体" w:cs="宋体"/>
          <w:sz w:val="24"/>
        </w:rPr>
        <w:t>根据</w:t>
      </w:r>
      <w:r>
        <w:rPr>
          <w:rFonts w:hint="eastAsia" w:cs="宋体"/>
          <w:kern w:val="0"/>
          <w:sz w:val="24"/>
          <w:lang w:eastAsia="zh-CN" w:bidi="ar"/>
        </w:rPr>
        <w:t>2025年安文街道松材线虫病枯死松树清理服务项目(第二次)</w:t>
      </w:r>
      <w:r>
        <w:rPr>
          <w:rFonts w:hint="eastAsia" w:ascii="宋体" w:hAnsi="宋体" w:cs="宋体"/>
          <w:sz w:val="24"/>
        </w:rPr>
        <w:t>调查</w:t>
      </w:r>
      <w:r>
        <w:rPr>
          <w:rFonts w:hint="eastAsia"/>
          <w:sz w:val="24"/>
        </w:rPr>
        <w:t>，招标内容为</w:t>
      </w:r>
      <w:r>
        <w:rPr>
          <w:rFonts w:hint="eastAsia" w:ascii="宋体" w:hAnsi="宋体" w:cs="宋体"/>
          <w:kern w:val="0"/>
          <w:sz w:val="24"/>
          <w:lang w:bidi="ar"/>
        </w:rPr>
        <w:t>安文街道</w:t>
      </w:r>
      <w:r>
        <w:rPr>
          <w:rFonts w:hint="eastAsia"/>
          <w:sz w:val="24"/>
        </w:rPr>
        <w:t>范围内的病枯死松树进行清理。</w:t>
      </w:r>
    </w:p>
    <w:p w14:paraId="3F238E5F">
      <w:pPr>
        <w:widowControl/>
        <w:spacing w:line="400" w:lineRule="exact"/>
        <w:ind w:firstLine="480" w:firstLineChars="200"/>
        <w:jc w:val="left"/>
        <w:rPr>
          <w:rFonts w:hint="eastAsia"/>
          <w:sz w:val="24"/>
        </w:rPr>
      </w:pPr>
      <w:r>
        <w:rPr>
          <w:rFonts w:hint="eastAsia"/>
          <w:sz w:val="24"/>
        </w:rPr>
        <w:t>2.清理对象：</w:t>
      </w:r>
    </w:p>
    <w:p w14:paraId="0E20730E">
      <w:pPr>
        <w:widowControl/>
        <w:spacing w:line="400" w:lineRule="exact"/>
        <w:ind w:firstLine="480" w:firstLineChars="200"/>
        <w:jc w:val="left"/>
        <w:rPr>
          <w:rFonts w:hint="eastAsia"/>
          <w:sz w:val="24"/>
        </w:rPr>
      </w:pPr>
      <w:r>
        <w:rPr>
          <w:rFonts w:hint="eastAsia"/>
          <w:sz w:val="24"/>
        </w:rPr>
        <w:t>清理对象为枯死松树，已腐烂或者枯死1年以上松树不列入清理对象。</w:t>
      </w:r>
    </w:p>
    <w:p w14:paraId="087588AA">
      <w:pPr>
        <w:widowControl/>
        <w:spacing w:line="400" w:lineRule="exact"/>
        <w:ind w:firstLine="480" w:firstLineChars="200"/>
        <w:jc w:val="left"/>
        <w:rPr>
          <w:rFonts w:hint="eastAsia"/>
          <w:sz w:val="24"/>
        </w:rPr>
      </w:pPr>
      <w:r>
        <w:rPr>
          <w:rFonts w:hint="eastAsia"/>
          <w:sz w:val="24"/>
        </w:rPr>
        <w:t>3.清理标准：</w:t>
      </w:r>
    </w:p>
    <w:p w14:paraId="5CDAA0D3">
      <w:pPr>
        <w:widowControl/>
        <w:spacing w:line="400" w:lineRule="exact"/>
        <w:ind w:firstLine="480" w:firstLineChars="200"/>
        <w:jc w:val="left"/>
        <w:rPr>
          <w:rFonts w:hint="eastAsia"/>
          <w:sz w:val="24"/>
        </w:rPr>
      </w:pPr>
      <w:r>
        <w:rPr>
          <w:rFonts w:hint="eastAsia"/>
          <w:sz w:val="24"/>
        </w:rPr>
        <w:t>清理标准为伐桩高度低于5厘米，树干及一公分以上枝丫全部清理下山或烧毁，并运到疫木安全利用定点企业除害处理。</w:t>
      </w:r>
    </w:p>
    <w:p w14:paraId="1CC0201D">
      <w:pPr>
        <w:widowControl/>
        <w:spacing w:line="400" w:lineRule="exact"/>
        <w:ind w:firstLine="480" w:firstLineChars="200"/>
        <w:jc w:val="left"/>
        <w:rPr>
          <w:rFonts w:hint="eastAsia"/>
          <w:sz w:val="24"/>
        </w:rPr>
      </w:pPr>
      <w:r>
        <w:rPr>
          <w:rFonts w:hint="eastAsia"/>
          <w:sz w:val="24"/>
        </w:rPr>
        <w:t>4.清理要求：</w:t>
      </w:r>
    </w:p>
    <w:p w14:paraId="3484CA3E">
      <w:pPr>
        <w:widowControl/>
        <w:spacing w:line="400" w:lineRule="exact"/>
        <w:ind w:firstLine="480" w:firstLineChars="200"/>
        <w:jc w:val="left"/>
        <w:rPr>
          <w:rFonts w:hint="eastAsia"/>
          <w:sz w:val="24"/>
        </w:rPr>
      </w:pPr>
      <w:r>
        <w:rPr>
          <w:rFonts w:hint="eastAsia"/>
          <w:sz w:val="24"/>
        </w:rPr>
        <w:t>枯死松树，要求彻底清理，不论山高路远、零散孤立，还是采伐困难地带，都不得借故不作清理。严禁借枯死松树清理之名采伐鲜活松木、杉木、杂木。确有清理过程中无法避免砸坏的杉木、杂木，不得混入清理的松材之中。严禁松材、松枝桠让农户运回自行处置。清理队擅自采伐杂木、鲜活松木等，按照盗、滥伐进行调查和处罚。</w:t>
      </w:r>
    </w:p>
    <w:p w14:paraId="4870F516">
      <w:pPr>
        <w:widowControl/>
        <w:spacing w:line="400" w:lineRule="exact"/>
        <w:ind w:firstLine="480" w:firstLineChars="200"/>
        <w:jc w:val="left"/>
        <w:rPr>
          <w:rFonts w:hint="eastAsia"/>
          <w:sz w:val="24"/>
        </w:rPr>
      </w:pPr>
      <w:r>
        <w:rPr>
          <w:rFonts w:hint="eastAsia"/>
          <w:sz w:val="24"/>
        </w:rPr>
        <w:t>5.清理时间：</w:t>
      </w:r>
    </w:p>
    <w:p w14:paraId="3AB7C6C9">
      <w:pPr>
        <w:widowControl/>
        <w:spacing w:line="400" w:lineRule="exact"/>
        <w:ind w:firstLine="480" w:firstLineChars="200"/>
        <w:jc w:val="left"/>
        <w:rPr>
          <w:rFonts w:hint="eastAsia"/>
          <w:sz w:val="24"/>
        </w:rPr>
      </w:pPr>
      <w:r>
        <w:rPr>
          <w:rFonts w:hint="eastAsia"/>
          <w:sz w:val="24"/>
        </w:rPr>
        <w:t>根据松材线虫病疫情发生的特点，</w:t>
      </w:r>
      <w:r>
        <w:rPr>
          <w:rFonts w:hint="eastAsia" w:ascii="微软雅黑" w:hAnsi="微软雅黑" w:eastAsia="微软雅黑" w:cs="微软雅黑"/>
          <w:sz w:val="24"/>
        </w:rPr>
        <w:t> </w:t>
      </w:r>
      <w:r>
        <w:rPr>
          <w:rFonts w:hint="eastAsia"/>
          <w:sz w:val="24"/>
        </w:rPr>
        <w:t>在2025年12月30日前全面完成枯死松树清理工作（其中</w:t>
      </w:r>
      <w:r>
        <w:rPr>
          <w:rFonts w:hint="eastAsia" w:ascii="宋体" w:hAnsi="宋体" w:cs="宋体"/>
          <w:sz w:val="24"/>
        </w:rPr>
        <w:t>公路主干线、城区周边、大规模成片地块必须在2025年5月30日前完成</w:t>
      </w:r>
      <w:r>
        <w:rPr>
          <w:rFonts w:hint="eastAsia" w:ascii="宋体" w:hAnsi="宋体" w:cs="宋体"/>
          <w:sz w:val="24"/>
          <w:lang w:val="en-US" w:eastAsia="zh-CN"/>
        </w:rPr>
        <w:t>除治</w:t>
      </w:r>
      <w:r>
        <w:rPr>
          <w:rFonts w:hint="eastAsia"/>
          <w:sz w:val="24"/>
        </w:rPr>
        <w:t>），遇不可抗拒的特殊情况，另行协商。中标单位施工方案需报安文街道审核同意后方可实施，要按照“先难后易、先重点后一般、先紧后宽”的要求，合理安排，保证清理进度。</w:t>
      </w:r>
    </w:p>
    <w:p w14:paraId="33A035AA">
      <w:pPr>
        <w:widowControl/>
        <w:spacing w:line="400" w:lineRule="exact"/>
        <w:ind w:firstLine="480" w:firstLineChars="200"/>
        <w:jc w:val="left"/>
        <w:rPr>
          <w:rFonts w:hint="eastAsia"/>
          <w:sz w:val="24"/>
        </w:rPr>
      </w:pPr>
      <w:r>
        <w:rPr>
          <w:rFonts w:hint="eastAsia"/>
          <w:sz w:val="24"/>
        </w:rPr>
        <w:t>6.除治疫木收购：</w:t>
      </w:r>
    </w:p>
    <w:p w14:paraId="32F3F0B2">
      <w:pPr>
        <w:widowControl/>
        <w:spacing w:line="400" w:lineRule="exact"/>
        <w:ind w:firstLine="480" w:firstLineChars="200"/>
        <w:jc w:val="left"/>
        <w:rPr>
          <w:rFonts w:hint="eastAsia"/>
          <w:sz w:val="24"/>
        </w:rPr>
      </w:pPr>
      <w:r>
        <w:rPr>
          <w:rFonts w:hint="eastAsia" w:cs="宋体"/>
          <w:kern w:val="0"/>
          <w:sz w:val="24"/>
          <w:lang w:bidi="ar"/>
        </w:rPr>
        <w:t>松材线虫病枯死松树</w:t>
      </w:r>
      <w:r>
        <w:rPr>
          <w:rFonts w:hint="eastAsia"/>
          <w:sz w:val="24"/>
        </w:rPr>
        <w:t>清理期间，疫木定点企业（小头直径1厘米（含）以上的疫木松材）按300元/吨予以收购（中标单位按照相关单据与疫木定点企业结算）。</w:t>
      </w:r>
    </w:p>
    <w:p w14:paraId="255D3687">
      <w:pPr>
        <w:widowControl/>
        <w:spacing w:line="400" w:lineRule="exact"/>
        <w:ind w:firstLine="480" w:firstLineChars="200"/>
        <w:jc w:val="left"/>
        <w:rPr>
          <w:rFonts w:hint="eastAsia"/>
          <w:sz w:val="24"/>
        </w:rPr>
      </w:pPr>
      <w:r>
        <w:rPr>
          <w:rFonts w:hint="eastAsia"/>
          <w:sz w:val="24"/>
        </w:rPr>
        <w:t>7.疫木调运：</w:t>
      </w:r>
    </w:p>
    <w:p w14:paraId="201B6358">
      <w:pPr>
        <w:widowControl/>
        <w:spacing w:line="400" w:lineRule="exact"/>
        <w:ind w:firstLine="480" w:firstLineChars="200"/>
        <w:jc w:val="left"/>
        <w:rPr>
          <w:rFonts w:hint="eastAsia"/>
          <w:sz w:val="24"/>
        </w:rPr>
      </w:pPr>
      <w:r>
        <w:rPr>
          <w:rFonts w:hint="eastAsia"/>
          <w:sz w:val="24"/>
        </w:rPr>
        <w:t>疫木处理联系单由采购方林业干部签字盖章。建立清理单位、林业干部、联村干部和村监管干部、专职监督员的监管微信群，将枯死松木清理前、中、后现场对比照片，疫木运送下山、装车、发车（含车牌号）、过磅等图片或视频发群备查。定点处理企业凭随车同行的疫木联系单收购疫木，过磅单净重栏加盖企业公章（疫木入库专用章），注明疫木类型（松材、松枝），并建立收购台账。发现疫木安全利用定点企业混淆清理单位、疫木类型和虚构疫木数量等行动，将按有关规定从严处理。</w:t>
      </w:r>
    </w:p>
    <w:p w14:paraId="59476C42">
      <w:pPr>
        <w:widowControl/>
        <w:spacing w:line="400" w:lineRule="exact"/>
        <w:ind w:firstLine="480" w:firstLineChars="200"/>
        <w:jc w:val="left"/>
        <w:rPr>
          <w:rFonts w:hint="eastAsia"/>
          <w:sz w:val="24"/>
        </w:rPr>
      </w:pPr>
      <w:r>
        <w:rPr>
          <w:rFonts w:hint="eastAsia"/>
          <w:sz w:val="24"/>
        </w:rPr>
        <w:t>8.清理流水台账：</w:t>
      </w:r>
    </w:p>
    <w:p w14:paraId="41CA6B1A">
      <w:pPr>
        <w:widowControl/>
        <w:spacing w:line="400" w:lineRule="exact"/>
        <w:ind w:firstLine="480" w:firstLineChars="200"/>
        <w:jc w:val="left"/>
        <w:rPr>
          <w:rFonts w:hint="eastAsia"/>
          <w:sz w:val="24"/>
        </w:rPr>
      </w:pPr>
      <w:r>
        <w:rPr>
          <w:rFonts w:hint="eastAsia"/>
          <w:sz w:val="24"/>
        </w:rPr>
        <w:t>清理专业队必须建立枯死松木清理流水台账，每天详细记录清理地点、数量、重量、疫木去向等内容，并由相关责任人员签字确认。</w:t>
      </w:r>
    </w:p>
    <w:p w14:paraId="5B93AA30">
      <w:pPr>
        <w:widowControl/>
        <w:spacing w:line="400" w:lineRule="exact"/>
        <w:ind w:firstLine="480" w:firstLineChars="200"/>
        <w:jc w:val="left"/>
        <w:rPr>
          <w:rFonts w:hint="eastAsia"/>
          <w:sz w:val="24"/>
        </w:rPr>
      </w:pPr>
      <w:r>
        <w:rPr>
          <w:rFonts w:hint="eastAsia"/>
          <w:sz w:val="24"/>
        </w:rPr>
        <w:t>9.人员配置要求</w:t>
      </w:r>
    </w:p>
    <w:p w14:paraId="688294CC">
      <w:pPr>
        <w:widowControl/>
        <w:spacing w:line="400" w:lineRule="exact"/>
        <w:ind w:firstLine="480" w:firstLineChars="200"/>
        <w:jc w:val="left"/>
        <w:rPr>
          <w:rFonts w:hint="eastAsia"/>
          <w:sz w:val="24"/>
        </w:rPr>
      </w:pPr>
      <w:r>
        <w:rPr>
          <w:rFonts w:hint="eastAsia"/>
          <w:sz w:val="24"/>
        </w:rPr>
        <w:t>中标单位在清理队伍人员配置中，不得少于2支专业组，每支队伍人员不得少于15人正常作业，并要指定2名以上专人负责监督清理质量。采购单位定期检查中标单位施工进度和施工质量，若发现中标单位清理人员少、班组人员搭配不合理、进度缓慢等问题，采购单位责令限期整改，情节严重的可予以罚款或者采购单位可自行增加施工班组加快施工进度。</w:t>
      </w:r>
    </w:p>
    <w:p w14:paraId="053EB4C5">
      <w:pPr>
        <w:adjustRightInd w:val="0"/>
        <w:snapToGrid w:val="0"/>
        <w:spacing w:line="500" w:lineRule="exact"/>
        <w:ind w:firstLine="482" w:firstLineChars="200"/>
        <w:outlineLvl w:val="1"/>
        <w:rPr>
          <w:rFonts w:hint="eastAsia"/>
          <w:b/>
          <w:bCs/>
          <w:sz w:val="24"/>
        </w:rPr>
      </w:pPr>
      <w:bookmarkStart w:id="58" w:name="_Toc314"/>
      <w:r>
        <w:rPr>
          <w:rFonts w:hint="eastAsia"/>
          <w:b/>
          <w:bCs/>
          <w:sz w:val="24"/>
        </w:rPr>
        <w:t>三、商务要求</w:t>
      </w:r>
      <w:bookmarkEnd w:id="58"/>
    </w:p>
    <w:p w14:paraId="01352D64">
      <w:pPr>
        <w:widowControl/>
        <w:spacing w:line="400" w:lineRule="exact"/>
        <w:ind w:firstLine="480" w:firstLineChars="200"/>
        <w:jc w:val="left"/>
        <w:rPr>
          <w:rFonts w:hint="eastAsia"/>
          <w:sz w:val="24"/>
        </w:rPr>
      </w:pPr>
      <w:r>
        <w:rPr>
          <w:rFonts w:hint="eastAsia"/>
          <w:sz w:val="24"/>
        </w:rPr>
        <w:t>1.付款办法：</w:t>
      </w:r>
    </w:p>
    <w:p w14:paraId="202C7D5E">
      <w:pPr>
        <w:widowControl/>
        <w:spacing w:line="400" w:lineRule="exact"/>
        <w:ind w:firstLine="480" w:firstLineChars="200"/>
        <w:jc w:val="left"/>
        <w:rPr>
          <w:rFonts w:hint="eastAsia"/>
          <w:sz w:val="24"/>
        </w:rPr>
      </w:pPr>
      <w:r>
        <w:rPr>
          <w:rFonts w:hint="eastAsia"/>
          <w:sz w:val="24"/>
        </w:rPr>
        <w:t>（1）履约保证金：签订合同前中标方须向采购方交纳中标金额的1%作为履约保证金，履约保证金待项目经验收合格，无服务质量问题，一个月内无息退还。 缴纳形式为转账或以银行、保险公司出具的保函。</w:t>
      </w:r>
    </w:p>
    <w:p w14:paraId="0B85A1E5">
      <w:pPr>
        <w:widowControl/>
        <w:spacing w:line="400" w:lineRule="exact"/>
        <w:ind w:firstLine="480" w:firstLineChars="200"/>
        <w:jc w:val="left"/>
        <w:rPr>
          <w:rFonts w:hint="eastAsia"/>
          <w:sz w:val="24"/>
        </w:rPr>
      </w:pPr>
      <w:r>
        <w:rPr>
          <w:rFonts w:hint="eastAsia"/>
          <w:sz w:val="24"/>
        </w:rPr>
        <w:t>（2）付款方式：</w:t>
      </w:r>
    </w:p>
    <w:p w14:paraId="33054B2D">
      <w:pPr>
        <w:widowControl/>
        <w:spacing w:line="400" w:lineRule="exact"/>
        <w:ind w:firstLine="480" w:firstLineChars="200"/>
        <w:jc w:val="left"/>
        <w:rPr>
          <w:rFonts w:hint="eastAsia"/>
          <w:color w:val="FF0000"/>
          <w:sz w:val="24"/>
        </w:rPr>
      </w:pPr>
      <w:r>
        <w:rPr>
          <w:rFonts w:hint="eastAsia"/>
          <w:color w:val="FF0000"/>
          <w:sz w:val="24"/>
        </w:rPr>
        <w:t>1、签订合同后支付合同价的30%(凭相关单据与疫木定点企业结算)。</w:t>
      </w:r>
    </w:p>
    <w:p w14:paraId="5B13BED9">
      <w:pPr>
        <w:widowControl/>
        <w:spacing w:line="400" w:lineRule="exact"/>
        <w:ind w:firstLine="480" w:firstLineChars="200"/>
        <w:jc w:val="left"/>
        <w:rPr>
          <w:rFonts w:hint="eastAsia"/>
          <w:color w:val="FF0000"/>
          <w:sz w:val="24"/>
        </w:rPr>
      </w:pPr>
      <w:r>
        <w:rPr>
          <w:rFonts w:hint="eastAsia"/>
          <w:color w:val="FF0000"/>
          <w:sz w:val="24"/>
        </w:rPr>
        <w:t>2、其余资金待相关部门验收通过，财政资金补助到位后予以支付。</w:t>
      </w:r>
    </w:p>
    <w:p w14:paraId="33CB81AB">
      <w:pPr>
        <w:widowControl/>
        <w:spacing w:line="400" w:lineRule="exact"/>
        <w:ind w:firstLine="480" w:firstLineChars="200"/>
        <w:jc w:val="left"/>
        <w:rPr>
          <w:rFonts w:hint="eastAsia"/>
          <w:sz w:val="24"/>
        </w:rPr>
      </w:pPr>
      <w:r>
        <w:rPr>
          <w:rFonts w:hint="eastAsia"/>
          <w:sz w:val="24"/>
        </w:rPr>
        <w:t>接受县资规局、安文街道、各村监督检查，落实质量问题整改，做好清理“回头看”。要按合同要求组织开展自查验收，实地抽查不少于</w:t>
      </w:r>
      <w:r>
        <w:rPr>
          <w:rFonts w:hint="eastAsia"/>
          <w:sz w:val="24"/>
          <w:lang w:val="en-US" w:eastAsia="zh-CN"/>
        </w:rPr>
        <w:t>8</w:t>
      </w:r>
      <w:r>
        <w:rPr>
          <w:rFonts w:hint="eastAsia"/>
          <w:sz w:val="24"/>
        </w:rPr>
        <w:t>处清理山场（点），检查路线从山脚至山顶，清理质量不达标或有零星漏清枯死松树的，要责令清理单位返工清理，并每处扣款500元；对成片未清理的，依据枯死松树量每处扣款1000-3000元；对发现砍伐活松木或其他林木的，每发现一处扣款1000元。县资规委托第三方机构的自查验收情况进行抽样核查抽查不少于</w:t>
      </w:r>
      <w:r>
        <w:rPr>
          <w:rFonts w:hint="eastAsia"/>
          <w:sz w:val="24"/>
          <w:lang w:val="en-US" w:eastAsia="zh-CN"/>
        </w:rPr>
        <w:t>8</w:t>
      </w:r>
      <w:r>
        <w:rPr>
          <w:rFonts w:hint="eastAsia"/>
          <w:sz w:val="24"/>
        </w:rPr>
        <w:t>处清理山场（点），具体核验办法按上级标准验收。</w:t>
      </w:r>
    </w:p>
    <w:p w14:paraId="1808BF24">
      <w:pPr>
        <w:bidi w:val="0"/>
        <w:rPr>
          <w:rFonts w:hint="eastAsia" w:asciiTheme="minorEastAsia" w:hAnsiTheme="minorEastAsia" w:eastAsiaTheme="minorEastAsia" w:cstheme="minorEastAsia"/>
          <w:b/>
          <w:bCs/>
          <w:kern w:val="2"/>
          <w:sz w:val="24"/>
          <w:szCs w:val="24"/>
          <w:lang w:val="en-US" w:eastAsia="zh-CN" w:bidi="ar-SA"/>
        </w:rPr>
      </w:pPr>
    </w:p>
    <w:p w14:paraId="0605861B">
      <w:pPr>
        <w:rPr>
          <w:rFonts w:hint="eastAsia" w:asciiTheme="minorEastAsia" w:hAnsiTheme="minorEastAsia" w:eastAsiaTheme="minorEastAsia" w:cstheme="minorEastAsia"/>
          <w:b/>
          <w:bCs/>
          <w:kern w:val="2"/>
          <w:sz w:val="24"/>
          <w:szCs w:val="24"/>
          <w:lang w:val="en-US" w:eastAsia="zh-CN" w:bidi="ar-SA"/>
        </w:rPr>
      </w:pPr>
    </w:p>
    <w:p w14:paraId="6B890E81">
      <w:pPr>
        <w:pStyle w:val="2"/>
        <w:rPr>
          <w:rFonts w:hint="eastAsia"/>
          <w:lang w:val="en-US" w:eastAsia="zh-CN"/>
        </w:rPr>
      </w:pPr>
    </w:p>
    <w:p w14:paraId="1653A365">
      <w:pPr>
        <w:rPr>
          <w:rFonts w:hint="eastAsia"/>
          <w:lang w:val="en-US" w:eastAsia="zh-CN"/>
        </w:rPr>
      </w:pPr>
    </w:p>
    <w:p w14:paraId="72B6870C">
      <w:pPr>
        <w:bidi w:val="0"/>
        <w:rPr>
          <w:rFonts w:hint="eastAsia"/>
          <w:lang w:val="en-US" w:eastAsia="zh-CN"/>
        </w:rPr>
      </w:pPr>
    </w:p>
    <w:p w14:paraId="5BD76A0A">
      <w:pPr>
        <w:pStyle w:val="22"/>
        <w:rPr>
          <w:color w:val="auto"/>
          <w:highlight w:val="none"/>
        </w:rPr>
      </w:pPr>
    </w:p>
    <w:p w14:paraId="6C2F9CB8">
      <w:pPr>
        <w:rPr>
          <w:color w:val="auto"/>
          <w:highlight w:val="none"/>
        </w:rPr>
      </w:pPr>
    </w:p>
    <w:p w14:paraId="4FB6C2A3">
      <w:pPr>
        <w:bidi w:val="0"/>
      </w:pPr>
    </w:p>
    <w:p w14:paraId="6CBDCCEE">
      <w:pPr>
        <w:pStyle w:val="539"/>
        <w:jc w:val="center"/>
        <w:outlineLvl w:val="0"/>
        <w:rPr>
          <w:rStyle w:val="74"/>
          <w:rFonts w:hint="eastAsia" w:eastAsia="宋体"/>
          <w:color w:val="auto"/>
          <w:highlight w:val="none"/>
        </w:rPr>
      </w:pPr>
      <w:bookmarkStart w:id="59" w:name="_Toc26924"/>
      <w:bookmarkStart w:id="60" w:name="_Toc20863"/>
      <w:bookmarkStart w:id="61" w:name="_Toc21466"/>
      <w:r>
        <w:rPr>
          <w:rStyle w:val="74"/>
          <w:rFonts w:hint="eastAsia" w:eastAsia="宋体"/>
          <w:color w:val="auto"/>
          <w:highlight w:val="none"/>
        </w:rPr>
        <w:t>第三章  投标人须知</w:t>
      </w:r>
      <w:bookmarkEnd w:id="59"/>
      <w:bookmarkEnd w:id="60"/>
      <w:bookmarkEnd w:id="61"/>
    </w:p>
    <w:p w14:paraId="239E7729">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sz w:val="36"/>
          <w:szCs w:val="36"/>
          <w:highlight w:val="none"/>
        </w:rPr>
      </w:pPr>
      <w:bookmarkStart w:id="62" w:name="_Toc32315"/>
      <w:bookmarkStart w:id="63" w:name="_Toc16323"/>
      <w:bookmarkStart w:id="64" w:name="_Toc9522"/>
      <w:bookmarkStart w:id="65" w:name="_Toc5053"/>
      <w:bookmarkStart w:id="66" w:name="_Toc28964"/>
      <w:bookmarkStart w:id="67" w:name="_Toc31446"/>
      <w:bookmarkStart w:id="68" w:name="_Toc4890"/>
      <w:bookmarkStart w:id="69" w:name="_Toc30919"/>
      <w:bookmarkStart w:id="70" w:name="_Toc18857"/>
      <w:r>
        <w:rPr>
          <w:rFonts w:hint="eastAsia"/>
          <w:color w:val="auto"/>
          <w:sz w:val="36"/>
          <w:szCs w:val="36"/>
          <w:highlight w:val="none"/>
        </w:rPr>
        <w:t>前 附 表</w:t>
      </w:r>
    </w:p>
    <w:tbl>
      <w:tblPr>
        <w:tblStyle w:val="53"/>
        <w:tblW w:w="9500" w:type="dxa"/>
        <w:tblInd w:w="93" w:type="dxa"/>
        <w:tblLayout w:type="fixed"/>
        <w:tblCellMar>
          <w:top w:w="0" w:type="dxa"/>
          <w:left w:w="108" w:type="dxa"/>
          <w:bottom w:w="0" w:type="dxa"/>
          <w:right w:w="108" w:type="dxa"/>
        </w:tblCellMar>
      </w:tblPr>
      <w:tblGrid>
        <w:gridCol w:w="736"/>
        <w:gridCol w:w="1064"/>
        <w:gridCol w:w="7700"/>
      </w:tblGrid>
      <w:tr w14:paraId="17A76DFA">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2FE5078">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74120074">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内容</w:t>
            </w:r>
          </w:p>
        </w:tc>
        <w:tc>
          <w:tcPr>
            <w:tcW w:w="7700" w:type="dxa"/>
            <w:tcBorders>
              <w:top w:val="single" w:color="000000" w:sz="4" w:space="0"/>
              <w:left w:val="single" w:color="000000" w:sz="4" w:space="0"/>
              <w:bottom w:val="single" w:color="000000" w:sz="4" w:space="0"/>
              <w:right w:val="single" w:color="000000" w:sz="4" w:space="0"/>
            </w:tcBorders>
            <w:vAlign w:val="center"/>
          </w:tcPr>
          <w:p w14:paraId="06DF0DA4">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要求与说明</w:t>
            </w:r>
          </w:p>
        </w:tc>
      </w:tr>
      <w:tr w14:paraId="59E91E56">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CC39271">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1064" w:type="dxa"/>
            <w:tcBorders>
              <w:top w:val="single" w:color="000000" w:sz="4" w:space="0"/>
              <w:left w:val="single" w:color="000000" w:sz="4" w:space="0"/>
              <w:bottom w:val="single" w:color="000000" w:sz="4" w:space="0"/>
              <w:right w:val="single" w:color="000000" w:sz="4" w:space="0"/>
            </w:tcBorders>
            <w:vAlign w:val="center"/>
          </w:tcPr>
          <w:p w14:paraId="1BEE9BF6">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效力标准</w:t>
            </w:r>
          </w:p>
        </w:tc>
        <w:tc>
          <w:tcPr>
            <w:tcW w:w="7700" w:type="dxa"/>
            <w:tcBorders>
              <w:top w:val="single" w:color="000000" w:sz="4" w:space="0"/>
              <w:left w:val="single" w:color="000000" w:sz="4" w:space="0"/>
              <w:bottom w:val="single" w:color="000000" w:sz="4" w:space="0"/>
              <w:right w:val="single" w:color="000000" w:sz="4" w:space="0"/>
            </w:tcBorders>
            <w:vAlign w:val="center"/>
          </w:tcPr>
          <w:p w14:paraId="1EECE8CD">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其他内容与前附表有冲突的，以“前附表”为准。</w:t>
            </w:r>
          </w:p>
        </w:tc>
      </w:tr>
      <w:tr w14:paraId="55C9FD63">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526DE4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64" w:type="dxa"/>
            <w:tcBorders>
              <w:top w:val="single" w:color="000000" w:sz="4" w:space="0"/>
              <w:left w:val="single" w:color="000000" w:sz="4" w:space="0"/>
              <w:bottom w:val="single" w:color="000000" w:sz="4" w:space="0"/>
              <w:right w:val="single" w:color="000000" w:sz="4" w:space="0"/>
            </w:tcBorders>
            <w:vAlign w:val="center"/>
          </w:tcPr>
          <w:p w14:paraId="31B9761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7700" w:type="dxa"/>
            <w:tcBorders>
              <w:top w:val="single" w:color="000000" w:sz="4" w:space="0"/>
              <w:left w:val="single" w:color="000000" w:sz="4" w:space="0"/>
              <w:bottom w:val="single" w:color="000000" w:sz="4" w:space="0"/>
              <w:right w:val="single" w:color="000000" w:sz="4" w:space="0"/>
            </w:tcBorders>
            <w:vAlign w:val="center"/>
          </w:tcPr>
          <w:p w14:paraId="7E3D76E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本招标文件的解释权属于招标采购单位。</w:t>
            </w:r>
          </w:p>
        </w:tc>
      </w:tr>
      <w:tr w14:paraId="10035E0A">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8C2FF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64" w:type="dxa"/>
            <w:tcBorders>
              <w:top w:val="single" w:color="000000" w:sz="4" w:space="0"/>
              <w:left w:val="single" w:color="000000" w:sz="4" w:space="0"/>
              <w:bottom w:val="single" w:color="000000" w:sz="4" w:space="0"/>
              <w:right w:val="single" w:color="000000" w:sz="4" w:space="0"/>
            </w:tcBorders>
            <w:vAlign w:val="center"/>
          </w:tcPr>
          <w:p w14:paraId="4FF821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免责声明</w:t>
            </w:r>
          </w:p>
        </w:tc>
        <w:tc>
          <w:tcPr>
            <w:tcW w:w="7700" w:type="dxa"/>
            <w:tcBorders>
              <w:top w:val="single" w:color="000000" w:sz="4" w:space="0"/>
              <w:left w:val="single" w:color="000000" w:sz="4" w:space="0"/>
              <w:bottom w:val="single" w:color="000000" w:sz="4" w:space="0"/>
              <w:right w:val="single" w:color="000000" w:sz="4" w:space="0"/>
            </w:tcBorders>
            <w:vAlign w:val="center"/>
          </w:tcPr>
          <w:p w14:paraId="5578AE1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1.投标供应商自行承担投标过程中产生的费用。无论何种因素导致采购项目延期开标、废标（流标）、投标供应商未中标、项目终止采购的，采购人与采购机构均不承担供应商投标费用</w:t>
            </w:r>
            <w:r>
              <w:rPr>
                <w:rFonts w:hint="eastAsia" w:ascii="宋体" w:hAnsi="宋体" w:cs="宋体"/>
                <w:color w:val="auto"/>
                <w:szCs w:val="21"/>
                <w:highlight w:val="none"/>
                <w:lang w:eastAsia="zh-CN"/>
              </w:rPr>
              <w:t>及损失</w:t>
            </w:r>
            <w:r>
              <w:rPr>
                <w:rFonts w:hint="eastAsia" w:ascii="宋体" w:hAnsi="宋体" w:cs="宋体"/>
                <w:color w:val="auto"/>
                <w:szCs w:val="21"/>
                <w:highlight w:val="none"/>
              </w:rPr>
              <w:t>。</w:t>
            </w:r>
          </w:p>
          <w:p w14:paraId="6A8A16A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2A7AA462">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B1EA6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64" w:type="dxa"/>
            <w:tcBorders>
              <w:top w:val="single" w:color="000000" w:sz="4" w:space="0"/>
              <w:left w:val="single" w:color="000000" w:sz="4" w:space="0"/>
              <w:bottom w:val="single" w:color="000000" w:sz="4" w:space="0"/>
              <w:right w:val="single" w:color="000000" w:sz="4" w:space="0"/>
            </w:tcBorders>
            <w:vAlign w:val="center"/>
          </w:tcPr>
          <w:p w14:paraId="1821C4B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投标报价及费用</w:t>
            </w:r>
          </w:p>
        </w:tc>
        <w:tc>
          <w:tcPr>
            <w:tcW w:w="7700" w:type="dxa"/>
            <w:tcBorders>
              <w:top w:val="single" w:color="000000" w:sz="4" w:space="0"/>
              <w:left w:val="single" w:color="000000" w:sz="4" w:space="0"/>
              <w:bottom w:val="single" w:color="000000" w:sz="4" w:space="0"/>
              <w:right w:val="single" w:color="000000" w:sz="4" w:space="0"/>
            </w:tcBorders>
            <w:vAlign w:val="center"/>
          </w:tcPr>
          <w:p w14:paraId="21897E49">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1.投标报价设置以单价或总价形式报价的，应以人民币报价；设置以利率报价的，应以利率形式报价。 </w:t>
            </w:r>
          </w:p>
          <w:p w14:paraId="4A55206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2.不论投标结果如何，投标人均应自行承担所有与投标有关的全部费用。</w:t>
            </w:r>
          </w:p>
          <w:p w14:paraId="7FB3C588">
            <w:pPr>
              <w:spacing w:line="440" w:lineRule="exact"/>
              <w:rPr>
                <w:rFonts w:hint="eastAsia" w:ascii="宋体" w:hAnsi="宋体" w:cs="宋体"/>
                <w:szCs w:val="21"/>
              </w:rPr>
            </w:pPr>
            <w:r>
              <w:rPr>
                <w:rFonts w:hint="eastAsia" w:ascii="宋体" w:hAnsi="宋体" w:cs="宋体"/>
                <w:szCs w:val="21"/>
              </w:rPr>
              <w:t>3.1采购代理费参照《招标代理服务收费管理暂行办法》（国家计委计价格［2002］1980号）规定计取，由成交供应商承担，在领取成交通知书前一次性支付给采购代理机构。</w:t>
            </w:r>
          </w:p>
          <w:p w14:paraId="511D5F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Cs w:val="21"/>
                <w:highlight w:val="none"/>
                <w:lang w:val="en-US" w:eastAsia="zh-CN"/>
              </w:rPr>
            </w:pPr>
            <w:r>
              <w:rPr>
                <w:rFonts w:hint="eastAsia" w:ascii="宋体" w:hAnsi="宋体" w:cs="宋体"/>
                <w:szCs w:val="21"/>
              </w:rPr>
              <w:t>3.2若出现终止采购情形的，采购代理服务费由采购人支付。</w:t>
            </w:r>
          </w:p>
        </w:tc>
      </w:tr>
      <w:tr w14:paraId="3E45FC6F">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3C6AA3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64" w:type="dxa"/>
            <w:tcBorders>
              <w:top w:val="single" w:color="000000" w:sz="4" w:space="0"/>
              <w:left w:val="single" w:color="000000" w:sz="4" w:space="0"/>
              <w:bottom w:val="single" w:color="000000" w:sz="4" w:space="0"/>
              <w:right w:val="single" w:color="000000" w:sz="4" w:space="0"/>
            </w:tcBorders>
            <w:vAlign w:val="center"/>
          </w:tcPr>
          <w:p w14:paraId="65B9730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w:t>
            </w:r>
          </w:p>
        </w:tc>
        <w:tc>
          <w:tcPr>
            <w:tcW w:w="7700" w:type="dxa"/>
            <w:tcBorders>
              <w:top w:val="single" w:color="000000" w:sz="4" w:space="0"/>
              <w:left w:val="single" w:color="000000" w:sz="4" w:space="0"/>
              <w:bottom w:val="single" w:color="000000" w:sz="4" w:space="0"/>
              <w:right w:val="single" w:color="000000" w:sz="4" w:space="0"/>
            </w:tcBorders>
            <w:vAlign w:val="center"/>
          </w:tcPr>
          <w:p w14:paraId="4E1214C0">
            <w:pPr>
              <w:snapToGrid w:val="0"/>
              <w:spacing w:line="480" w:lineRule="exact"/>
              <w:ind w:right="218" w:rightChars="104"/>
              <w:rPr>
                <w:rFonts w:hint="eastAsia" w:ascii="宋体" w:hAnsi="宋体" w:eastAsia="宋体" w:cs="宋体"/>
                <w:color w:val="auto"/>
                <w:szCs w:val="21"/>
                <w:highlight w:val="none"/>
                <w:lang w:eastAsia="zh-CN"/>
              </w:rPr>
            </w:pPr>
            <w:r>
              <w:rPr>
                <w:rFonts w:hint="eastAsia" w:ascii="宋体" w:hAnsi="宋体" w:eastAsia="宋体" w:cs="宋体"/>
                <w:bCs/>
                <w:color w:val="auto"/>
                <w:sz w:val="21"/>
                <w:szCs w:val="21"/>
                <w:highlight w:val="none"/>
              </w:rPr>
              <w:t>本项目</w:t>
            </w:r>
            <w:r>
              <w:rPr>
                <w:rFonts w:hint="eastAsia" w:ascii="宋体" w:hAnsi="宋体" w:cs="宋体"/>
                <w:bCs/>
                <w:color w:val="auto"/>
                <w:sz w:val="21"/>
                <w:szCs w:val="21"/>
                <w:highlight w:val="none"/>
                <w:lang w:eastAsia="zh-CN"/>
              </w:rPr>
              <w:t>不</w:t>
            </w:r>
            <w:r>
              <w:rPr>
                <w:rFonts w:hint="eastAsia" w:ascii="宋体" w:hAnsi="宋体" w:eastAsia="宋体" w:cs="宋体"/>
                <w:bCs/>
                <w:color w:val="auto"/>
                <w:sz w:val="21"/>
                <w:szCs w:val="21"/>
                <w:highlight w:val="none"/>
              </w:rPr>
              <w:t>接受联合体投标。</w:t>
            </w:r>
            <w:bookmarkStart w:id="422" w:name="_GoBack"/>
            <w:bookmarkEnd w:id="422"/>
          </w:p>
        </w:tc>
      </w:tr>
      <w:tr w14:paraId="29FA980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8CC834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64" w:type="dxa"/>
            <w:tcBorders>
              <w:top w:val="single" w:color="000000" w:sz="4" w:space="0"/>
              <w:left w:val="single" w:color="000000" w:sz="4" w:space="0"/>
              <w:bottom w:val="single" w:color="000000" w:sz="4" w:space="0"/>
              <w:right w:val="single" w:color="000000" w:sz="4" w:space="0"/>
            </w:tcBorders>
            <w:vAlign w:val="center"/>
          </w:tcPr>
          <w:p w14:paraId="7C84445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签字或盖章</w:t>
            </w:r>
          </w:p>
        </w:tc>
        <w:tc>
          <w:tcPr>
            <w:tcW w:w="7700" w:type="dxa"/>
            <w:tcBorders>
              <w:top w:val="single" w:color="000000" w:sz="4" w:space="0"/>
              <w:left w:val="single" w:color="000000" w:sz="4" w:space="0"/>
              <w:bottom w:val="single" w:color="000000" w:sz="4" w:space="0"/>
              <w:right w:val="single" w:color="000000" w:sz="4" w:space="0"/>
            </w:tcBorders>
            <w:vAlign w:val="center"/>
          </w:tcPr>
          <w:p w14:paraId="68FC4FF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14:paraId="6BE0722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FBF66F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64" w:type="dxa"/>
            <w:tcBorders>
              <w:top w:val="single" w:color="000000" w:sz="4" w:space="0"/>
              <w:left w:val="single" w:color="000000" w:sz="4" w:space="0"/>
              <w:bottom w:val="single" w:color="000000" w:sz="4" w:space="0"/>
              <w:right w:val="single" w:color="000000" w:sz="4" w:space="0"/>
            </w:tcBorders>
            <w:vAlign w:val="center"/>
          </w:tcPr>
          <w:p w14:paraId="1D79CA8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投标文件有效期</w:t>
            </w:r>
          </w:p>
        </w:tc>
        <w:tc>
          <w:tcPr>
            <w:tcW w:w="7700" w:type="dxa"/>
            <w:tcBorders>
              <w:top w:val="single" w:color="000000" w:sz="4" w:space="0"/>
              <w:left w:val="single" w:color="000000" w:sz="4" w:space="0"/>
              <w:bottom w:val="single" w:color="000000" w:sz="4" w:space="0"/>
              <w:right w:val="single" w:color="000000" w:sz="4" w:space="0"/>
            </w:tcBorders>
            <w:vAlign w:val="center"/>
          </w:tcPr>
          <w:p w14:paraId="3AC2B33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提交投标文件截止时间起60天</w:t>
            </w:r>
          </w:p>
        </w:tc>
      </w:tr>
      <w:tr w14:paraId="1AD8A790">
        <w:tblPrEx>
          <w:tblCellMar>
            <w:top w:w="0" w:type="dxa"/>
            <w:left w:w="108" w:type="dxa"/>
            <w:bottom w:w="0" w:type="dxa"/>
            <w:right w:w="108" w:type="dxa"/>
          </w:tblCellMar>
        </w:tblPrEx>
        <w:trPr>
          <w:trHeight w:val="145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74B7D7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64" w:type="dxa"/>
            <w:tcBorders>
              <w:top w:val="single" w:color="000000" w:sz="4" w:space="0"/>
              <w:left w:val="single" w:color="000000" w:sz="4" w:space="0"/>
              <w:bottom w:val="single" w:color="000000" w:sz="4" w:space="0"/>
              <w:right w:val="single" w:color="000000" w:sz="4" w:space="0"/>
            </w:tcBorders>
            <w:vAlign w:val="center"/>
          </w:tcPr>
          <w:p w14:paraId="6DA5AA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答疑与澄清</w:t>
            </w:r>
          </w:p>
        </w:tc>
        <w:tc>
          <w:tcPr>
            <w:tcW w:w="7700" w:type="dxa"/>
            <w:tcBorders>
              <w:top w:val="single" w:color="000000" w:sz="4" w:space="0"/>
              <w:left w:val="single" w:color="000000" w:sz="4" w:space="0"/>
              <w:bottom w:val="single" w:color="000000" w:sz="4" w:space="0"/>
              <w:right w:val="single" w:color="000000" w:sz="4" w:space="0"/>
            </w:tcBorders>
            <w:vAlign w:val="center"/>
          </w:tcPr>
          <w:p w14:paraId="0AFEEE2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如认为招标文件表述不清晰、存在歧视性、排他性或者其他违法内容的，应当于开标前3天，以书面形式要求招标采购单位作出书面解释、澄清或者向招标采购单位提出书面质疑；招标采购单位将在规定时间内统一将答疑内容以传真或网上发布公告的形式通知所有已获取采购文件的投标人；答疑内容是招标文件的组成部分；因其他紧急情况影响本项目正常招标活动的，招标采购单位将于投标截止日期前书面通知所有已获取采购文件的投标人。</w:t>
            </w:r>
          </w:p>
        </w:tc>
      </w:tr>
      <w:tr w14:paraId="6618EEEC">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002A7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64" w:type="dxa"/>
            <w:tcBorders>
              <w:top w:val="single" w:color="000000" w:sz="4" w:space="0"/>
              <w:left w:val="single" w:color="000000" w:sz="4" w:space="0"/>
              <w:bottom w:val="nil"/>
              <w:right w:val="single" w:color="000000" w:sz="4" w:space="0"/>
            </w:tcBorders>
            <w:vAlign w:val="center"/>
          </w:tcPr>
          <w:p w14:paraId="11DB8B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投标文件的递交</w:t>
            </w:r>
          </w:p>
        </w:tc>
        <w:tc>
          <w:tcPr>
            <w:tcW w:w="7700" w:type="dxa"/>
            <w:tcBorders>
              <w:top w:val="single" w:color="000000" w:sz="4" w:space="0"/>
              <w:left w:val="single" w:color="000000" w:sz="4" w:space="0"/>
              <w:bottom w:val="single" w:color="000000" w:sz="4" w:space="0"/>
              <w:right w:val="single" w:color="000000" w:sz="4" w:space="0"/>
            </w:tcBorders>
            <w:vAlign w:val="center"/>
          </w:tcPr>
          <w:p w14:paraId="31C8161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本项目实行在线电子投标。分电子投标文件、以介质存储的数据电文形式的备份投标文件、纸质备份投标文件三类，不同形式递交的文件内容均应一致：</w:t>
            </w:r>
          </w:p>
          <w:p w14:paraId="6D0F247F">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14:paraId="57F8D58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（2）以介质存储的数据电文形式的备份投标文件，按政采云平台项目采购-电子招投标操作指南中上传的电子投标文件格式，以U盘形式提供1份。</w:t>
            </w:r>
          </w:p>
          <w:p w14:paraId="1612FB1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（3）纸质备份投标文件将以纸质文件的形式递交，正本 1 份，副本1份。</w:t>
            </w:r>
          </w:p>
          <w:p w14:paraId="10848EC1">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备份文件不做强制性要求，由投标人自行考虑是否提供，后果自行承担。</w:t>
            </w:r>
          </w:p>
          <w:p w14:paraId="6F09ECAD">
            <w:pPr>
              <w:spacing w:line="440" w:lineRule="exac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供应商仅提供备份投标文件（包括以电子备份投标文件、纸质备份投标文件）投标的，投标无效。备份投标文件</w:t>
            </w:r>
            <w:r>
              <w:rPr>
                <w:rFonts w:hint="eastAsia" w:ascii="宋体" w:hAnsi="宋体" w:cs="宋体"/>
                <w:b/>
                <w:bCs/>
                <w:color w:val="auto"/>
                <w:szCs w:val="21"/>
                <w:highlight w:val="none"/>
                <w:lang w:eastAsia="zh-CN"/>
              </w:rPr>
              <w:t>应与</w:t>
            </w:r>
            <w:r>
              <w:rPr>
                <w:rFonts w:hint="eastAsia" w:ascii="宋体" w:hAnsi="宋体" w:eastAsia="宋体" w:cs="宋体"/>
                <w:b/>
                <w:bCs/>
                <w:color w:val="auto"/>
                <w:szCs w:val="21"/>
                <w:highlight w:val="none"/>
              </w:rPr>
              <w:t>电子投标文件</w:t>
            </w:r>
            <w:r>
              <w:rPr>
                <w:rFonts w:hint="eastAsia" w:ascii="宋体" w:hAnsi="宋体" w:eastAsia="宋体" w:cs="宋体"/>
                <w:b/>
                <w:bCs/>
                <w:color w:val="auto"/>
                <w:szCs w:val="21"/>
                <w:highlight w:val="none"/>
                <w:lang w:eastAsia="zh-CN"/>
              </w:rPr>
              <w:t>内容一致。</w:t>
            </w:r>
          </w:p>
          <w:p w14:paraId="318A273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14:paraId="69B34EE9">
        <w:tblPrEx>
          <w:tblCellMar>
            <w:top w:w="0" w:type="dxa"/>
            <w:left w:w="108" w:type="dxa"/>
            <w:bottom w:w="0" w:type="dxa"/>
            <w:right w:w="108" w:type="dxa"/>
          </w:tblCellMar>
        </w:tblPrEx>
        <w:trPr>
          <w:trHeight w:val="945"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31CD70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64" w:type="dxa"/>
            <w:tcBorders>
              <w:top w:val="single" w:color="000000" w:sz="4" w:space="0"/>
              <w:left w:val="single" w:color="000000" w:sz="4" w:space="0"/>
              <w:bottom w:val="single" w:color="000000" w:sz="4" w:space="0"/>
              <w:right w:val="single" w:color="000000" w:sz="4" w:space="0"/>
            </w:tcBorders>
            <w:vAlign w:val="center"/>
          </w:tcPr>
          <w:p w14:paraId="5430222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w:t>
            </w:r>
          </w:p>
        </w:tc>
        <w:tc>
          <w:tcPr>
            <w:tcW w:w="7700" w:type="dxa"/>
            <w:tcBorders>
              <w:top w:val="single" w:color="000000" w:sz="4" w:space="0"/>
              <w:left w:val="single" w:color="000000" w:sz="4" w:space="0"/>
              <w:bottom w:val="single" w:color="000000" w:sz="4" w:space="0"/>
              <w:right w:val="single" w:color="000000" w:sz="4" w:space="0"/>
            </w:tcBorders>
            <w:vAlign w:val="center"/>
          </w:tcPr>
          <w:p w14:paraId="55C0142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根据《关于在政府采购活动中查询及使用信用记录有关问题的通知》财库[2</w:t>
            </w:r>
            <w:r>
              <w:rPr>
                <w:rFonts w:hint="eastAsia" w:ascii="宋体" w:hAnsi="宋体" w:cs="宋体"/>
                <w:color w:val="auto"/>
                <w:szCs w:val="21"/>
                <w:highlight w:val="none"/>
                <w:lang w:eastAsia="zh-CN"/>
              </w:rPr>
              <w:t>002</w:t>
            </w:r>
            <w:r>
              <w:rPr>
                <w:rFonts w:hint="eastAsia" w:ascii="宋体" w:hAnsi="宋体" w:cs="宋体"/>
                <w:color w:val="auto"/>
                <w:szCs w:val="21"/>
                <w:highlight w:val="none"/>
              </w:rPr>
              <w:t>]125号的规定：</w:t>
            </w:r>
          </w:p>
          <w:p w14:paraId="3BF4DFC0">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（1）招标人或采购代理机构将对本项目供应商的信用记录进行查询。查询渠道为信用中国网站（www.creditchina.gov.cn）、中国政府采购网（www.ccgp.gov.cn）；</w:t>
            </w:r>
          </w:p>
          <w:p w14:paraId="362F7F3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（2）截止时点：提交投标文件（响应文件）截止时间前3年内；</w:t>
            </w:r>
          </w:p>
          <w:p w14:paraId="42A2B2B5">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（3）查询记录和证据的留存：信用信息查询记录和证据以网页截图等方式留存。</w:t>
            </w:r>
          </w:p>
          <w:p w14:paraId="2AF189BD">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E37378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（5）联合体成员任意一方存在不良信用记录的，视同联合体存在不良信用记录。</w:t>
            </w:r>
          </w:p>
        </w:tc>
      </w:tr>
      <w:tr w14:paraId="2DFC1B2E">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489720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64" w:type="dxa"/>
            <w:tcBorders>
              <w:top w:val="single" w:color="000000" w:sz="4" w:space="0"/>
              <w:left w:val="single" w:color="000000" w:sz="4" w:space="0"/>
              <w:bottom w:val="single" w:color="000000" w:sz="4" w:space="0"/>
              <w:right w:val="single" w:color="000000" w:sz="4" w:space="0"/>
            </w:tcBorders>
            <w:vAlign w:val="center"/>
          </w:tcPr>
          <w:p w14:paraId="46C2E4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评标结果公示</w:t>
            </w:r>
          </w:p>
        </w:tc>
        <w:tc>
          <w:tcPr>
            <w:tcW w:w="7700" w:type="dxa"/>
            <w:tcBorders>
              <w:top w:val="single" w:color="000000" w:sz="4" w:space="0"/>
              <w:left w:val="single" w:color="000000" w:sz="4" w:space="0"/>
              <w:bottom w:val="single" w:color="000000" w:sz="4" w:space="0"/>
              <w:right w:val="single" w:color="000000" w:sz="4" w:space="0"/>
            </w:tcBorders>
            <w:vAlign w:val="center"/>
          </w:tcPr>
          <w:p w14:paraId="2D2B1F6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确定中标人之日起2个工作日内，发中标通知书，并同时将中标结果公示于浙江省政府采购网；</w:t>
            </w:r>
          </w:p>
        </w:tc>
      </w:tr>
      <w:tr w14:paraId="797E3003">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95599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64" w:type="dxa"/>
            <w:tcBorders>
              <w:top w:val="single" w:color="000000" w:sz="4" w:space="0"/>
              <w:left w:val="single" w:color="000000" w:sz="4" w:space="0"/>
              <w:bottom w:val="single" w:color="000000" w:sz="4" w:space="0"/>
              <w:right w:val="single" w:color="000000" w:sz="4" w:space="0"/>
            </w:tcBorders>
            <w:vAlign w:val="center"/>
          </w:tcPr>
          <w:p w14:paraId="2CDCFA2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签订合同时间</w:t>
            </w:r>
          </w:p>
        </w:tc>
        <w:tc>
          <w:tcPr>
            <w:tcW w:w="7700" w:type="dxa"/>
            <w:tcBorders>
              <w:top w:val="single" w:color="000000" w:sz="4" w:space="0"/>
              <w:left w:val="single" w:color="000000" w:sz="4" w:space="0"/>
              <w:bottom w:val="single" w:color="000000" w:sz="4" w:space="0"/>
              <w:right w:val="single" w:color="000000" w:sz="4" w:space="0"/>
            </w:tcBorders>
            <w:vAlign w:val="center"/>
          </w:tcPr>
          <w:p w14:paraId="4EF02DD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中标通知书发出后20日内。</w:t>
            </w:r>
          </w:p>
        </w:tc>
      </w:tr>
      <w:tr w14:paraId="5F9BE468">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909E21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064" w:type="dxa"/>
            <w:tcBorders>
              <w:top w:val="single" w:color="000000" w:sz="4" w:space="0"/>
              <w:left w:val="single" w:color="000000" w:sz="4" w:space="0"/>
              <w:bottom w:val="single" w:color="000000" w:sz="4" w:space="0"/>
              <w:right w:val="single" w:color="000000" w:sz="4" w:space="0"/>
            </w:tcBorders>
            <w:vAlign w:val="center"/>
          </w:tcPr>
          <w:p w14:paraId="6B25A33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7B8096D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1B8977A0">
        <w:tblPrEx>
          <w:tblCellMar>
            <w:top w:w="0" w:type="dxa"/>
            <w:left w:w="108" w:type="dxa"/>
            <w:bottom w:w="0" w:type="dxa"/>
            <w:right w:w="108" w:type="dxa"/>
          </w:tblCellMar>
        </w:tblPrEx>
        <w:trPr>
          <w:trHeight w:val="1163"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688C31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064" w:type="dxa"/>
            <w:tcBorders>
              <w:top w:val="single" w:color="000000" w:sz="4" w:space="0"/>
              <w:left w:val="single" w:color="000000" w:sz="4" w:space="0"/>
              <w:bottom w:val="single" w:color="000000" w:sz="4" w:space="0"/>
              <w:right w:val="single" w:color="000000" w:sz="4" w:space="0"/>
            </w:tcBorders>
            <w:vAlign w:val="center"/>
          </w:tcPr>
          <w:p w14:paraId="434CE9D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04BEDBB5">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本项目收取</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履约保证金。</w:t>
            </w:r>
          </w:p>
        </w:tc>
      </w:tr>
      <w:tr w14:paraId="5B1E0146">
        <w:tblPrEx>
          <w:tblCellMar>
            <w:top w:w="0" w:type="dxa"/>
            <w:left w:w="108" w:type="dxa"/>
            <w:bottom w:w="0" w:type="dxa"/>
            <w:right w:w="108" w:type="dxa"/>
          </w:tblCellMar>
        </w:tblPrEx>
        <w:trPr>
          <w:trHeight w:val="69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5758F4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064" w:type="dxa"/>
            <w:tcBorders>
              <w:top w:val="single" w:color="000000" w:sz="4" w:space="0"/>
              <w:left w:val="single" w:color="000000" w:sz="4" w:space="0"/>
              <w:bottom w:val="single" w:color="000000" w:sz="4" w:space="0"/>
              <w:right w:val="single" w:color="000000" w:sz="4" w:space="0"/>
            </w:tcBorders>
            <w:vAlign w:val="center"/>
          </w:tcPr>
          <w:p w14:paraId="56D7FFF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700" w:type="dxa"/>
            <w:tcBorders>
              <w:top w:val="single" w:color="000000" w:sz="4" w:space="0"/>
              <w:left w:val="single" w:color="000000" w:sz="4" w:space="0"/>
              <w:bottom w:val="single" w:color="000000" w:sz="4" w:space="0"/>
              <w:right w:val="single" w:color="000000" w:sz="4" w:space="0"/>
            </w:tcBorders>
            <w:vAlign w:val="center"/>
          </w:tcPr>
          <w:p w14:paraId="5606F653">
            <w:pPr>
              <w:widowControl/>
              <w:spacing w:line="400" w:lineRule="exact"/>
              <w:jc w:val="left"/>
              <w:rPr>
                <w:rFonts w:hint="eastAsia"/>
                <w:color w:val="FF0000"/>
                <w:sz w:val="21"/>
                <w:szCs w:val="21"/>
              </w:rPr>
            </w:pPr>
            <w:r>
              <w:rPr>
                <w:rFonts w:hint="eastAsia"/>
                <w:color w:val="FF0000"/>
                <w:sz w:val="21"/>
                <w:szCs w:val="21"/>
              </w:rPr>
              <w:t>1、签订合同后支付合同价的30%(凭相关单据与疫木定点企业结算)。</w:t>
            </w:r>
          </w:p>
          <w:p w14:paraId="016E74EE">
            <w:pPr>
              <w:spacing w:line="440" w:lineRule="exact"/>
              <w:rPr>
                <w:rFonts w:hint="eastAsia" w:ascii="宋体" w:hAnsi="宋体" w:cs="宋体"/>
                <w:color w:val="auto"/>
                <w:szCs w:val="21"/>
                <w:highlight w:val="none"/>
              </w:rPr>
            </w:pPr>
            <w:r>
              <w:rPr>
                <w:rFonts w:hint="eastAsia"/>
                <w:color w:val="FF0000"/>
                <w:sz w:val="21"/>
                <w:szCs w:val="21"/>
              </w:rPr>
              <w:t>2、其余资金待相关部门验收通过，财政资金补助到位后予以支付。</w:t>
            </w:r>
          </w:p>
        </w:tc>
      </w:tr>
      <w:tr w14:paraId="4CF4A4BA">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8FB5715">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4" w:type="dxa"/>
            <w:tcBorders>
              <w:top w:val="single" w:color="000000" w:sz="4" w:space="0"/>
              <w:left w:val="single" w:color="000000" w:sz="4" w:space="0"/>
              <w:bottom w:val="single" w:color="000000" w:sz="4" w:space="0"/>
              <w:right w:val="single" w:color="000000" w:sz="4" w:space="0"/>
            </w:tcBorders>
            <w:vAlign w:val="center"/>
          </w:tcPr>
          <w:p w14:paraId="5192EC1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核心产品</w:t>
            </w:r>
          </w:p>
        </w:tc>
        <w:tc>
          <w:tcPr>
            <w:tcW w:w="7700" w:type="dxa"/>
            <w:tcBorders>
              <w:top w:val="single" w:color="000000" w:sz="4" w:space="0"/>
              <w:left w:val="single" w:color="000000" w:sz="4" w:space="0"/>
              <w:bottom w:val="single" w:color="000000" w:sz="4" w:space="0"/>
              <w:right w:val="single" w:color="000000" w:sz="4" w:space="0"/>
            </w:tcBorders>
            <w:vAlign w:val="center"/>
          </w:tcPr>
          <w:p w14:paraId="203A8226">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本项目的核心产品为：</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 xml:space="preserve">   </w:t>
            </w:r>
          </w:p>
        </w:tc>
      </w:tr>
      <w:tr w14:paraId="4920CC4E">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36527BA">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17</w:t>
            </w:r>
          </w:p>
        </w:tc>
        <w:tc>
          <w:tcPr>
            <w:tcW w:w="1064" w:type="dxa"/>
            <w:tcBorders>
              <w:top w:val="single" w:color="000000" w:sz="4" w:space="0"/>
              <w:left w:val="single" w:color="000000" w:sz="4" w:space="0"/>
              <w:bottom w:val="single" w:color="000000" w:sz="4" w:space="0"/>
              <w:right w:val="single" w:color="000000" w:sz="4" w:space="0"/>
            </w:tcBorders>
            <w:vAlign w:val="center"/>
          </w:tcPr>
          <w:p w14:paraId="1C2CEB91">
            <w:pPr>
              <w:spacing w:line="44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节能产品、环境标志产品的强制采购政策</w:t>
            </w:r>
          </w:p>
        </w:tc>
        <w:tc>
          <w:tcPr>
            <w:tcW w:w="7700" w:type="dxa"/>
            <w:tcBorders>
              <w:top w:val="single" w:color="000000" w:sz="4" w:space="0"/>
              <w:left w:val="single" w:color="000000" w:sz="4" w:space="0"/>
              <w:bottom w:val="single" w:color="000000" w:sz="4" w:space="0"/>
              <w:right w:val="single" w:color="000000" w:sz="4" w:space="0"/>
            </w:tcBorders>
            <w:vAlign w:val="center"/>
          </w:tcPr>
          <w:p w14:paraId="6A4BBD6D">
            <w:pPr>
              <w:spacing w:line="440" w:lineRule="exac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14:paraId="46783F67">
        <w:tblPrEx>
          <w:tblCellMar>
            <w:top w:w="0" w:type="dxa"/>
            <w:left w:w="108" w:type="dxa"/>
            <w:bottom w:w="0" w:type="dxa"/>
            <w:right w:w="108" w:type="dxa"/>
          </w:tblCellMar>
        </w:tblPrEx>
        <w:trPr>
          <w:trHeight w:val="148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16BA291">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064" w:type="dxa"/>
            <w:tcBorders>
              <w:top w:val="single" w:color="000000" w:sz="4" w:space="0"/>
              <w:left w:val="single" w:color="000000" w:sz="4" w:space="0"/>
              <w:bottom w:val="single" w:color="000000" w:sz="4" w:space="0"/>
              <w:right w:val="single" w:color="000000" w:sz="4" w:space="0"/>
            </w:tcBorders>
            <w:vAlign w:val="center"/>
          </w:tcPr>
          <w:p w14:paraId="0695AC7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扶持中小企业政策（监狱企业、残疾人福利性单位</w:t>
            </w:r>
            <w:r>
              <w:rPr>
                <w:rFonts w:hint="eastAsia" w:ascii="宋体" w:hAnsi="宋体" w:cs="宋体"/>
                <w:color w:val="auto"/>
                <w:szCs w:val="21"/>
                <w:highlight w:val="none"/>
                <w:lang w:eastAsia="zh-CN"/>
              </w:rPr>
              <w:t>视同小微企业</w:t>
            </w:r>
            <w:r>
              <w:rPr>
                <w:rFonts w:hint="eastAsia" w:ascii="宋体" w:hAnsi="宋体" w:cs="宋体"/>
                <w:color w:val="auto"/>
                <w:szCs w:val="21"/>
                <w:highlight w:val="none"/>
              </w:rPr>
              <w:t>）</w:t>
            </w:r>
          </w:p>
        </w:tc>
        <w:tc>
          <w:tcPr>
            <w:tcW w:w="7700" w:type="dxa"/>
            <w:tcBorders>
              <w:top w:val="single" w:color="000000" w:sz="4" w:space="0"/>
              <w:left w:val="single" w:color="000000" w:sz="4" w:space="0"/>
              <w:bottom w:val="single" w:color="000000" w:sz="4" w:space="0"/>
              <w:right w:val="single" w:color="000000" w:sz="4" w:space="0"/>
            </w:tcBorders>
            <w:vAlign w:val="center"/>
          </w:tcPr>
          <w:p w14:paraId="2853BE8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A35126E">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（1）最高限价：</w:t>
            </w:r>
            <w:r>
              <w:rPr>
                <w:rFonts w:hint="eastAsia" w:ascii="宋体" w:hAnsi="宋体" w:cs="宋体"/>
                <w:b w:val="0"/>
                <w:bCs w:val="0"/>
                <w:color w:val="auto"/>
                <w:szCs w:val="21"/>
                <w:highlight w:val="none"/>
                <w:u w:val="single"/>
                <w:lang w:val="en-US" w:eastAsia="zh-CN"/>
              </w:rPr>
              <w:t xml:space="preserve"> 988 </w:t>
            </w:r>
            <w:r>
              <w:rPr>
                <w:rFonts w:hint="eastAsia" w:ascii="宋体" w:hAnsi="宋体" w:cs="宋体"/>
                <w:b w:val="0"/>
                <w:bCs w:val="0"/>
                <w:color w:val="auto"/>
                <w:szCs w:val="21"/>
                <w:highlight w:val="none"/>
                <w:lang w:val="en-US" w:eastAsia="zh-CN"/>
              </w:rPr>
              <w:t xml:space="preserve"> 万</w:t>
            </w:r>
            <w:r>
              <w:rPr>
                <w:rFonts w:hint="eastAsia" w:ascii="宋体" w:hAnsi="宋体" w:cs="宋体"/>
                <w:b w:val="0"/>
                <w:bCs w:val="0"/>
                <w:color w:val="auto"/>
                <w:szCs w:val="21"/>
                <w:highlight w:val="none"/>
              </w:rPr>
              <w:t>元</w:t>
            </w:r>
          </w:p>
          <w:p w14:paraId="55FC6C0C">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（2）项目属性：</w:t>
            </w:r>
            <w:r>
              <w:rPr>
                <w:rFonts w:hint="eastAsia" w:ascii="宋体" w:hAnsi="宋体" w:cs="宋体"/>
                <w:color w:val="0000FF"/>
                <w:szCs w:val="21"/>
                <w:highlight w:val="none"/>
                <w:u w:val="single"/>
              </w:rPr>
              <w:t>②服务类</w:t>
            </w:r>
            <w:r>
              <w:rPr>
                <w:rFonts w:hint="eastAsia" w:ascii="宋体" w:hAnsi="宋体" w:cs="宋体"/>
                <w:color w:val="auto"/>
                <w:szCs w:val="21"/>
                <w:highlight w:val="none"/>
              </w:rPr>
              <w:t>（①货物类/②服务类/③工程类）</w:t>
            </w:r>
          </w:p>
          <w:p w14:paraId="3F6B6E8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（3）项目对应的中小企业划分标准所属行业：</w:t>
            </w:r>
            <w:r>
              <w:rPr>
                <w:rFonts w:hint="eastAsia" w:ascii="宋体" w:hAnsi="宋体" w:cs="宋体"/>
                <w:color w:val="auto"/>
                <w:szCs w:val="21"/>
                <w:highlight w:val="none"/>
                <w:u w:val="single"/>
                <w:lang w:val="en-US" w:eastAsia="zh-CN"/>
              </w:rPr>
              <w:t>⑯</w:t>
            </w:r>
            <w:r>
              <w:rPr>
                <w:rFonts w:hint="eastAsia" w:ascii="宋体" w:hAnsi="宋体" w:cs="宋体"/>
                <w:color w:val="auto"/>
                <w:szCs w:val="21"/>
                <w:highlight w:val="none"/>
              </w:rPr>
              <w:t>（根据《中小企业划型标准规定的通知》（工信部联企业〔2011〕300号）规定</w:t>
            </w:r>
            <w:r>
              <w:rPr>
                <w:rFonts w:hint="eastAsia" w:ascii="宋体" w:hAnsi="宋体" w:cs="宋体"/>
                <w:color w:val="auto"/>
                <w:szCs w:val="21"/>
                <w:highlight w:val="none"/>
                <w:lang w:eastAsia="zh-CN"/>
              </w:rPr>
              <w:t>明确</w:t>
            </w:r>
            <w:r>
              <w:rPr>
                <w:rFonts w:hint="eastAsia" w:ascii="宋体" w:hAnsi="宋体" w:cs="宋体"/>
                <w:color w:val="auto"/>
                <w:szCs w:val="21"/>
                <w:highlight w:val="none"/>
              </w:rPr>
              <w:t>）</w:t>
            </w:r>
          </w:p>
          <w:p w14:paraId="760C17BE">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（注：现行中小企业划分标准行业包括①农、林、牧、渔业</w:t>
            </w:r>
            <w:r>
              <w:rPr>
                <w:rFonts w:hint="eastAsia" w:ascii="宋体" w:hAnsi="宋体" w:cs="宋体"/>
                <w:color w:val="auto"/>
                <w:szCs w:val="21"/>
                <w:highlight w:val="none"/>
                <w:lang w:val="en-US" w:eastAsia="zh-CN"/>
              </w:rPr>
              <w:t>/ ②</w:t>
            </w:r>
            <w:r>
              <w:rPr>
                <w:rFonts w:hint="eastAsia" w:ascii="宋体" w:hAnsi="宋体" w:cs="宋体"/>
                <w:color w:val="auto"/>
                <w:szCs w:val="21"/>
                <w:highlight w:val="none"/>
              </w:rPr>
              <w:t>工业</w:t>
            </w:r>
            <w:r>
              <w:rPr>
                <w:rFonts w:hint="eastAsia" w:ascii="宋体" w:hAnsi="宋体" w:cs="宋体"/>
                <w:color w:val="auto"/>
                <w:szCs w:val="21"/>
                <w:highlight w:val="none"/>
                <w:lang w:val="en-US" w:eastAsia="zh-CN"/>
              </w:rPr>
              <w:t>/ ③</w:t>
            </w:r>
            <w:r>
              <w:rPr>
                <w:rFonts w:hint="eastAsia" w:ascii="宋体" w:hAnsi="宋体" w:cs="宋体"/>
                <w:color w:val="auto"/>
                <w:szCs w:val="21"/>
                <w:highlight w:val="none"/>
              </w:rPr>
              <w:t>建筑业</w:t>
            </w:r>
            <w:r>
              <w:rPr>
                <w:rFonts w:hint="eastAsia" w:ascii="宋体" w:hAnsi="宋体" w:cs="宋体"/>
                <w:color w:val="auto"/>
                <w:szCs w:val="21"/>
                <w:highlight w:val="none"/>
                <w:lang w:val="en-US" w:eastAsia="zh-CN"/>
              </w:rPr>
              <w:t>/   ④</w:t>
            </w:r>
            <w:r>
              <w:rPr>
                <w:rFonts w:hint="eastAsia" w:ascii="宋体" w:hAnsi="宋体" w:cs="宋体"/>
                <w:color w:val="auto"/>
                <w:szCs w:val="21"/>
                <w:highlight w:val="none"/>
              </w:rPr>
              <w:t>批发业</w:t>
            </w:r>
            <w:r>
              <w:rPr>
                <w:rFonts w:hint="eastAsia" w:ascii="宋体" w:hAnsi="宋体" w:cs="宋体"/>
                <w:color w:val="auto"/>
                <w:szCs w:val="21"/>
                <w:highlight w:val="none"/>
                <w:lang w:val="en-US" w:eastAsia="zh-CN"/>
              </w:rPr>
              <w:t>/ ⑤</w:t>
            </w:r>
            <w:r>
              <w:rPr>
                <w:rFonts w:hint="eastAsia" w:ascii="宋体" w:hAnsi="宋体" w:cs="宋体"/>
                <w:color w:val="auto"/>
                <w:szCs w:val="21"/>
                <w:highlight w:val="none"/>
              </w:rPr>
              <w:t>零售业</w:t>
            </w:r>
            <w:r>
              <w:rPr>
                <w:rFonts w:hint="eastAsia" w:ascii="宋体" w:hAnsi="宋体" w:cs="宋体"/>
                <w:color w:val="auto"/>
                <w:szCs w:val="21"/>
                <w:highlight w:val="none"/>
                <w:lang w:val="en-US" w:eastAsia="zh-CN"/>
              </w:rPr>
              <w:t>/ ⑥</w:t>
            </w:r>
            <w:r>
              <w:rPr>
                <w:rFonts w:hint="eastAsia" w:ascii="宋体" w:hAnsi="宋体" w:cs="宋体"/>
                <w:color w:val="auto"/>
                <w:szCs w:val="21"/>
                <w:highlight w:val="none"/>
              </w:rPr>
              <w:t>交通运输业</w:t>
            </w:r>
            <w:r>
              <w:rPr>
                <w:rFonts w:hint="eastAsia" w:ascii="宋体" w:hAnsi="宋体" w:cs="宋体"/>
                <w:color w:val="auto"/>
                <w:szCs w:val="21"/>
                <w:highlight w:val="none"/>
                <w:lang w:val="en-US" w:eastAsia="zh-CN"/>
              </w:rPr>
              <w:t>/ ⑦</w:t>
            </w:r>
            <w:r>
              <w:rPr>
                <w:rFonts w:hint="eastAsia" w:ascii="宋体" w:hAnsi="宋体" w:cs="宋体"/>
                <w:color w:val="auto"/>
                <w:szCs w:val="21"/>
                <w:highlight w:val="none"/>
              </w:rPr>
              <w:t>仓储业</w:t>
            </w:r>
            <w:r>
              <w:rPr>
                <w:rFonts w:hint="eastAsia" w:ascii="宋体" w:hAnsi="宋体" w:cs="宋体"/>
                <w:color w:val="auto"/>
                <w:szCs w:val="21"/>
                <w:highlight w:val="none"/>
                <w:lang w:val="en-US" w:eastAsia="zh-CN"/>
              </w:rPr>
              <w:t>/ ⑧</w:t>
            </w:r>
            <w:r>
              <w:rPr>
                <w:rFonts w:hint="eastAsia" w:ascii="宋体" w:hAnsi="宋体" w:cs="宋体"/>
                <w:color w:val="auto"/>
                <w:szCs w:val="21"/>
                <w:highlight w:val="none"/>
              </w:rPr>
              <w:t>邮政业</w:t>
            </w:r>
            <w:r>
              <w:rPr>
                <w:rFonts w:hint="eastAsia" w:ascii="宋体" w:hAnsi="宋体" w:cs="宋体"/>
                <w:color w:val="auto"/>
                <w:szCs w:val="21"/>
                <w:highlight w:val="none"/>
                <w:lang w:val="en-US" w:eastAsia="zh-CN"/>
              </w:rPr>
              <w:t>/ ⑨</w:t>
            </w:r>
            <w:r>
              <w:rPr>
                <w:rFonts w:hint="eastAsia" w:ascii="宋体" w:hAnsi="宋体" w:cs="宋体"/>
                <w:color w:val="auto"/>
                <w:szCs w:val="21"/>
                <w:highlight w:val="none"/>
              </w:rPr>
              <w:t>住宿业</w:t>
            </w:r>
            <w:r>
              <w:rPr>
                <w:rFonts w:hint="eastAsia" w:ascii="宋体" w:hAnsi="宋体" w:cs="宋体"/>
                <w:color w:val="auto"/>
                <w:szCs w:val="21"/>
                <w:highlight w:val="none"/>
                <w:lang w:val="en-US" w:eastAsia="zh-CN"/>
              </w:rPr>
              <w:t>/ ⑩</w:t>
            </w:r>
            <w:r>
              <w:rPr>
                <w:rFonts w:hint="eastAsia" w:ascii="宋体" w:hAnsi="宋体" w:cs="宋体"/>
                <w:color w:val="auto"/>
                <w:szCs w:val="21"/>
                <w:highlight w:val="none"/>
              </w:rPr>
              <w:t>餐饮业</w:t>
            </w:r>
            <w:r>
              <w:rPr>
                <w:rFonts w:hint="eastAsia" w:ascii="宋体" w:hAnsi="宋体" w:cs="宋体"/>
                <w:color w:val="auto"/>
                <w:szCs w:val="21"/>
                <w:highlight w:val="none"/>
                <w:lang w:val="en-US" w:eastAsia="zh-CN"/>
              </w:rPr>
              <w:t>/ ⑪</w:t>
            </w:r>
            <w:r>
              <w:rPr>
                <w:rFonts w:hint="eastAsia" w:ascii="宋体" w:hAnsi="宋体" w:cs="宋体"/>
                <w:color w:val="auto"/>
                <w:szCs w:val="21"/>
                <w:highlight w:val="none"/>
              </w:rPr>
              <w:t>信息传输业</w:t>
            </w:r>
            <w:r>
              <w:rPr>
                <w:rFonts w:hint="eastAsia" w:ascii="宋体" w:hAnsi="宋体" w:cs="宋体"/>
                <w:color w:val="auto"/>
                <w:szCs w:val="21"/>
                <w:highlight w:val="none"/>
                <w:lang w:val="en-US" w:eastAsia="zh-CN"/>
              </w:rPr>
              <w:t>/ ⑫</w:t>
            </w:r>
            <w:r>
              <w:rPr>
                <w:rFonts w:hint="eastAsia" w:ascii="宋体" w:hAnsi="宋体" w:cs="宋体"/>
                <w:color w:val="auto"/>
                <w:szCs w:val="21"/>
                <w:highlight w:val="none"/>
              </w:rPr>
              <w:t>软件和信息技术服务业</w:t>
            </w:r>
            <w:r>
              <w:rPr>
                <w:rFonts w:hint="eastAsia" w:ascii="宋体" w:hAnsi="宋体" w:cs="宋体"/>
                <w:color w:val="auto"/>
                <w:szCs w:val="21"/>
                <w:highlight w:val="none"/>
                <w:lang w:val="en-US" w:eastAsia="zh-CN"/>
              </w:rPr>
              <w:t>/ ⑬</w:t>
            </w:r>
            <w:r>
              <w:rPr>
                <w:rFonts w:hint="eastAsia" w:ascii="宋体" w:hAnsi="宋体" w:cs="宋体"/>
                <w:color w:val="auto"/>
                <w:szCs w:val="21"/>
                <w:highlight w:val="none"/>
              </w:rPr>
              <w:t>房地产开发经营</w:t>
            </w:r>
            <w:r>
              <w:rPr>
                <w:rFonts w:hint="eastAsia" w:ascii="宋体" w:hAnsi="宋体" w:cs="宋体"/>
                <w:color w:val="auto"/>
                <w:szCs w:val="21"/>
                <w:highlight w:val="none"/>
                <w:lang w:val="en-US" w:eastAsia="zh-CN"/>
              </w:rPr>
              <w:t>/ ⑭</w:t>
            </w:r>
            <w:r>
              <w:rPr>
                <w:rFonts w:hint="eastAsia" w:ascii="宋体" w:hAnsi="宋体" w:cs="宋体"/>
                <w:color w:val="auto"/>
                <w:szCs w:val="21"/>
                <w:highlight w:val="none"/>
              </w:rPr>
              <w:t>物业管理</w:t>
            </w:r>
            <w:r>
              <w:rPr>
                <w:rFonts w:hint="eastAsia" w:ascii="宋体" w:hAnsi="宋体" w:cs="宋体"/>
                <w:color w:val="auto"/>
                <w:szCs w:val="21"/>
                <w:highlight w:val="none"/>
                <w:lang w:val="en-US" w:eastAsia="zh-CN"/>
              </w:rPr>
              <w:t>/⑮</w:t>
            </w:r>
            <w:r>
              <w:rPr>
                <w:rFonts w:hint="eastAsia" w:ascii="宋体" w:hAnsi="宋体" w:cs="宋体"/>
                <w:color w:val="auto"/>
                <w:szCs w:val="21"/>
                <w:highlight w:val="none"/>
              </w:rPr>
              <w:t>租赁和商业服务业</w:t>
            </w:r>
            <w:r>
              <w:rPr>
                <w:rFonts w:hint="eastAsia" w:ascii="宋体" w:hAnsi="宋体" w:cs="宋体"/>
                <w:color w:val="auto"/>
                <w:szCs w:val="21"/>
                <w:highlight w:val="none"/>
                <w:lang w:val="en-US" w:eastAsia="zh-CN"/>
              </w:rPr>
              <w:t>/ ⑯</w:t>
            </w:r>
            <w:r>
              <w:rPr>
                <w:rFonts w:hint="eastAsia" w:ascii="宋体" w:hAnsi="宋体" w:cs="宋体"/>
                <w:color w:val="auto"/>
                <w:szCs w:val="21"/>
                <w:highlight w:val="none"/>
              </w:rPr>
              <w:t>其他未列明行业等十六类）</w:t>
            </w:r>
          </w:p>
          <w:p w14:paraId="093ACEDC">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（4）本项目</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②否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rPr>
              <w:t>（①是/②否）属于预留份额专门面向中小企业采购的项目。</w:t>
            </w:r>
          </w:p>
          <w:p w14:paraId="10289558">
            <w:pPr>
              <w:numPr>
                <w:ilvl w:val="0"/>
                <w:numId w:val="1"/>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上述第</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项中确定为“①是”的采购项目，</w:t>
            </w:r>
            <w:r>
              <w:rPr>
                <w:rFonts w:hint="eastAsia" w:ascii="宋体" w:hAnsi="宋体" w:eastAsia="宋体" w:cs="宋体"/>
                <w:color w:val="auto"/>
                <w:szCs w:val="21"/>
                <w:highlight w:val="none"/>
              </w:rPr>
              <w:t>专门面向中小企业采购的项目或者标项，不再执行价格评审优惠的扶持政策。</w:t>
            </w:r>
            <w:r>
              <w:rPr>
                <w:rFonts w:hint="eastAsia" w:ascii="宋体" w:hAnsi="宋体" w:cs="宋体"/>
                <w:color w:val="auto"/>
                <w:szCs w:val="21"/>
                <w:highlight w:val="none"/>
              </w:rPr>
              <w:t>预留份额通过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措施进行：</w:t>
            </w:r>
          </w:p>
          <w:p w14:paraId="6C5922AC">
            <w:pPr>
              <w:numPr>
                <w:ilvl w:val="0"/>
                <w:numId w:val="1"/>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①将采购项目整体专门面向中小企业采购；</w:t>
            </w:r>
          </w:p>
          <w:p w14:paraId="161F0218">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②将采购项目</w:t>
            </w:r>
            <w:r>
              <w:rPr>
                <w:rFonts w:hint="eastAsia" w:ascii="宋体" w:hAnsi="宋体" w:cs="宋体"/>
                <w:color w:val="auto"/>
                <w:szCs w:val="21"/>
                <w:highlight w:val="none"/>
                <w:lang w:eastAsia="zh-CN"/>
              </w:rPr>
              <w:t>标项</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lang w:val="en-US" w:eastAsia="zh-CN"/>
              </w:rPr>
              <w:t>（一/二）</w:t>
            </w:r>
            <w:r>
              <w:rPr>
                <w:rFonts w:hint="eastAsia" w:ascii="宋体" w:hAnsi="宋体" w:cs="宋体"/>
                <w:color w:val="auto"/>
                <w:szCs w:val="21"/>
                <w:highlight w:val="none"/>
              </w:rPr>
              <w:t>专门面向中小企业采购；</w:t>
            </w:r>
          </w:p>
          <w:p w14:paraId="2763D71D">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③要求供应商以联合体形式参加采购活动，且联合体中中小企业承担的部分达到</w:t>
            </w:r>
            <w:r>
              <w:rPr>
                <w:rFonts w:hint="eastAsia" w:ascii="宋体" w:hAnsi="宋体" w:cs="宋体"/>
                <w:b w:val="0"/>
                <w:bCs w:val="0"/>
                <w:color w:val="auto"/>
                <w:szCs w:val="21"/>
                <w:highlight w:val="none"/>
                <w:u w:val="single"/>
                <w:lang w:val="en-US" w:eastAsia="zh-CN"/>
              </w:rPr>
              <w:t xml:space="preserve">  30 </w:t>
            </w:r>
            <w:r>
              <w:rPr>
                <w:rFonts w:hint="eastAsia" w:ascii="宋体" w:hAnsi="宋体" w:cs="宋体"/>
                <w:b w:val="0"/>
                <w:bCs w:val="0"/>
                <w:color w:val="auto"/>
                <w:szCs w:val="21"/>
                <w:highlight w:val="none"/>
                <w:u w:val="single"/>
              </w:rPr>
              <w:t>%</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color w:val="auto"/>
                <w:szCs w:val="21"/>
                <w:highlight w:val="none"/>
              </w:rPr>
              <w:t>以上；</w:t>
            </w:r>
          </w:p>
          <w:p w14:paraId="41BF98A8">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④要求获得采购合同的供应商将采购项目中的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(比例）分包给一家或者多家中小企业。</w:t>
            </w:r>
          </w:p>
          <w:p w14:paraId="1CAF34FC">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⑤组成联合体或者接受分包合同的中小企业与联合体内其他企业、分包企业之间不得存在直接控股、管理关系。</w:t>
            </w:r>
          </w:p>
          <w:p w14:paraId="6C4A63B4">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）上述第（4）项中确定为“</w:t>
            </w:r>
            <w:r>
              <w:rPr>
                <w:rFonts w:hint="eastAsia" w:ascii="宋体" w:hAnsi="宋体" w:cs="宋体"/>
                <w:color w:val="auto"/>
                <w:szCs w:val="21"/>
                <w:highlight w:val="none"/>
              </w:rPr>
              <w:t>②否</w:t>
            </w:r>
            <w:r>
              <w:rPr>
                <w:rFonts w:hint="eastAsia" w:ascii="宋体" w:hAnsi="宋体" w:cs="宋体"/>
                <w:color w:val="auto"/>
                <w:szCs w:val="21"/>
                <w:highlight w:val="none"/>
                <w:lang w:eastAsia="zh-CN"/>
              </w:rPr>
              <w:t>”的采购项目，即非专门面向中小微企业招标项目，执行价格评审优惠的扶持政策。相关政策按本招标文件（</w:t>
            </w:r>
            <w:r>
              <w:rPr>
                <w:rFonts w:hint="eastAsia"/>
                <w:color w:val="auto"/>
                <w:highlight w:val="none"/>
              </w:rPr>
              <w:t>第五章  政府采购政策相关说明</w:t>
            </w:r>
            <w:r>
              <w:rPr>
                <w:rFonts w:hint="eastAsia" w:ascii="宋体" w:hAnsi="宋体" w:cs="宋体"/>
                <w:color w:val="auto"/>
                <w:szCs w:val="21"/>
                <w:highlight w:val="none"/>
                <w:lang w:eastAsia="zh-CN"/>
              </w:rPr>
              <w:t>）执行。</w:t>
            </w:r>
          </w:p>
        </w:tc>
      </w:tr>
      <w:tr w14:paraId="50714027">
        <w:tblPrEx>
          <w:tblCellMar>
            <w:top w:w="0" w:type="dxa"/>
            <w:left w:w="108" w:type="dxa"/>
            <w:bottom w:w="0" w:type="dxa"/>
            <w:right w:w="108" w:type="dxa"/>
          </w:tblCellMar>
        </w:tblPrEx>
        <w:trPr>
          <w:trHeight w:val="6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897D30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1064" w:type="dxa"/>
            <w:tcBorders>
              <w:top w:val="single" w:color="000000" w:sz="4" w:space="0"/>
              <w:left w:val="single" w:color="000000" w:sz="4" w:space="0"/>
              <w:bottom w:val="single" w:color="000000" w:sz="4" w:space="0"/>
              <w:right w:val="single" w:color="000000" w:sz="4" w:space="0"/>
            </w:tcBorders>
            <w:vAlign w:val="center"/>
          </w:tcPr>
          <w:p w14:paraId="516E99BF">
            <w:pPr>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建设</w:t>
            </w:r>
            <w:r>
              <w:rPr>
                <w:rFonts w:hint="eastAsia" w:ascii="宋体" w:hAnsi="宋体" w:cs="宋体"/>
                <w:color w:val="auto"/>
                <w:szCs w:val="21"/>
                <w:highlight w:val="none"/>
              </w:rPr>
              <w:t>期</w:t>
            </w:r>
            <w:r>
              <w:rPr>
                <w:rFonts w:hint="eastAsia" w:ascii="宋体" w:hAnsi="宋体" w:cs="宋体"/>
                <w:color w:val="auto"/>
                <w:szCs w:val="21"/>
                <w:highlight w:val="none"/>
                <w:lang w:eastAsia="zh-CN"/>
              </w:rPr>
              <w:t>限</w:t>
            </w:r>
          </w:p>
        </w:tc>
        <w:tc>
          <w:tcPr>
            <w:tcW w:w="7700" w:type="dxa"/>
            <w:tcBorders>
              <w:top w:val="single" w:color="000000" w:sz="4" w:space="0"/>
              <w:left w:val="single" w:color="000000" w:sz="4" w:space="0"/>
              <w:bottom w:val="single" w:color="000000" w:sz="4" w:space="0"/>
              <w:right w:val="single" w:color="000000" w:sz="4" w:space="0"/>
            </w:tcBorders>
            <w:vAlign w:val="bottom"/>
          </w:tcPr>
          <w:p w14:paraId="6BE074C6">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在2025年12月30日前全面完成病枯死木清理除治任务（其中公路主干线、城区周边、大规模成片地块必须在2025年5月30日前完成</w:t>
            </w:r>
            <w:r>
              <w:rPr>
                <w:rFonts w:hint="eastAsia" w:ascii="宋体" w:hAnsi="宋体" w:cs="宋体"/>
                <w:color w:val="auto"/>
                <w:szCs w:val="21"/>
                <w:highlight w:val="none"/>
                <w:lang w:val="en-US" w:eastAsia="zh-CN"/>
              </w:rPr>
              <w:t>除治</w:t>
            </w:r>
            <w:r>
              <w:rPr>
                <w:rFonts w:hint="eastAsia" w:ascii="宋体" w:hAnsi="宋体" w:cs="宋体"/>
                <w:color w:val="auto"/>
                <w:szCs w:val="21"/>
                <w:highlight w:val="none"/>
              </w:rPr>
              <w:t>）。</w:t>
            </w:r>
          </w:p>
        </w:tc>
      </w:tr>
      <w:tr w14:paraId="2B127414">
        <w:tblPrEx>
          <w:tblCellMar>
            <w:top w:w="0" w:type="dxa"/>
            <w:left w:w="108" w:type="dxa"/>
            <w:bottom w:w="0" w:type="dxa"/>
            <w:right w:w="108" w:type="dxa"/>
          </w:tblCellMar>
        </w:tblPrEx>
        <w:trPr>
          <w:trHeight w:val="93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4C42105">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064" w:type="dxa"/>
            <w:tcBorders>
              <w:top w:val="single" w:color="000000" w:sz="4" w:space="0"/>
              <w:left w:val="single" w:color="000000" w:sz="4" w:space="0"/>
              <w:bottom w:val="single" w:color="000000" w:sz="4" w:space="0"/>
              <w:right w:val="single" w:color="000000" w:sz="4" w:space="0"/>
            </w:tcBorders>
            <w:vAlign w:val="center"/>
          </w:tcPr>
          <w:p w14:paraId="24FFBADC">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Cs w:val="21"/>
                <w:highlight w:val="none"/>
                <w:lang w:eastAsia="zh-CN"/>
              </w:rPr>
              <w:t>质疑与投诉</w:t>
            </w:r>
          </w:p>
        </w:tc>
        <w:tc>
          <w:tcPr>
            <w:tcW w:w="7700" w:type="dxa"/>
            <w:tcBorders>
              <w:top w:val="single" w:color="000000" w:sz="4" w:space="0"/>
              <w:left w:val="single" w:color="000000" w:sz="4" w:space="0"/>
              <w:bottom w:val="single" w:color="000000" w:sz="4" w:space="0"/>
              <w:right w:val="single" w:color="000000" w:sz="4" w:space="0"/>
            </w:tcBorders>
            <w:vAlign w:val="center"/>
          </w:tcPr>
          <w:p w14:paraId="0187BA06">
            <w:pPr>
              <w:spacing w:line="44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1.供应商应当自知道或者应当知道其合法权益受到损害之日起七个工作日内提出质疑。对采购公告信息（含供应商资格条件）提出质疑的，质疑期限自采购公告发 布之日起计算。对采购文件提出质疑的，质疑期限自供应商获得采购文件之日起计算（但采购文件在发售或报名截止日后获得的，应当自截止之日起计算），且应当在采购响应截止时间之前提出，否则，被质疑人可不予接受。</w:t>
            </w:r>
          </w:p>
          <w:p w14:paraId="58798228">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对采购文件</w:t>
            </w:r>
            <w:r>
              <w:rPr>
                <w:rFonts w:hint="eastAsia" w:ascii="宋体" w:hAnsi="宋体" w:cs="宋体"/>
                <w:color w:val="auto"/>
                <w:szCs w:val="21"/>
                <w:highlight w:val="none"/>
                <w:lang w:eastAsia="zh-CN"/>
              </w:rPr>
              <w:t>需求提出质疑的，</w:t>
            </w:r>
            <w:r>
              <w:rPr>
                <w:rFonts w:hint="eastAsia" w:ascii="宋体" w:hAnsi="宋体" w:cs="宋体"/>
                <w:color w:val="auto"/>
                <w:szCs w:val="21"/>
                <w:highlight w:val="none"/>
              </w:rPr>
              <w:t>以书面形式向采购人提出质疑，对其他内容的</w:t>
            </w:r>
            <w:r>
              <w:rPr>
                <w:rFonts w:hint="eastAsia" w:ascii="宋体" w:hAnsi="宋体" w:cs="宋体"/>
                <w:color w:val="auto"/>
                <w:szCs w:val="21"/>
                <w:highlight w:val="none"/>
                <w:lang w:eastAsia="zh-CN"/>
              </w:rPr>
              <w:t>质疑</w:t>
            </w:r>
            <w:r>
              <w:rPr>
                <w:rFonts w:hint="eastAsia" w:ascii="宋体" w:hAnsi="宋体" w:cs="宋体"/>
                <w:color w:val="auto"/>
                <w:szCs w:val="21"/>
                <w:highlight w:val="none"/>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63E36C">
            <w:pPr>
              <w:spacing w:line="44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3.供应商应在法定质疑期内一次性提出针对同一采购程序环节的质疑。</w:t>
            </w:r>
          </w:p>
        </w:tc>
      </w:tr>
    </w:tbl>
    <w:p w14:paraId="0C3D42DC">
      <w:pPr>
        <w:widowControl/>
        <w:spacing w:line="360" w:lineRule="auto"/>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一、总则</w:t>
      </w:r>
      <w:bookmarkEnd w:id="62"/>
      <w:bookmarkEnd w:id="63"/>
      <w:bookmarkEnd w:id="64"/>
      <w:bookmarkEnd w:id="65"/>
      <w:bookmarkEnd w:id="66"/>
      <w:bookmarkEnd w:id="67"/>
      <w:bookmarkEnd w:id="68"/>
      <w:bookmarkEnd w:id="69"/>
      <w:bookmarkEnd w:id="70"/>
    </w:p>
    <w:p w14:paraId="221B6F60">
      <w:pPr>
        <w:widowControl/>
        <w:spacing w:line="480" w:lineRule="exact"/>
        <w:ind w:firstLine="482" w:firstLineChars="200"/>
        <w:jc w:val="left"/>
        <w:outlineLvl w:val="2"/>
        <w:rPr>
          <w:rFonts w:hint="eastAsia" w:ascii="宋体" w:hAnsi="宋体"/>
          <w:b/>
          <w:bCs/>
          <w:color w:val="auto"/>
          <w:sz w:val="24"/>
          <w:highlight w:val="none"/>
        </w:rPr>
      </w:pPr>
      <w:bookmarkStart w:id="71" w:name="_Toc13133"/>
      <w:bookmarkStart w:id="72" w:name="_Toc32099"/>
      <w:bookmarkStart w:id="73" w:name="_Toc17597"/>
      <w:bookmarkStart w:id="74" w:name="_Toc8924"/>
      <w:bookmarkStart w:id="75" w:name="_Toc363"/>
      <w:r>
        <w:rPr>
          <w:rFonts w:hint="eastAsia" w:ascii="宋体" w:hAnsi="宋体"/>
          <w:b/>
          <w:bCs/>
          <w:color w:val="auto"/>
          <w:sz w:val="24"/>
          <w:highlight w:val="none"/>
        </w:rPr>
        <w:t>（一） 适用范围</w:t>
      </w:r>
      <w:bookmarkEnd w:id="71"/>
      <w:bookmarkEnd w:id="72"/>
      <w:bookmarkEnd w:id="73"/>
      <w:bookmarkEnd w:id="74"/>
      <w:bookmarkEnd w:id="75"/>
    </w:p>
    <w:p w14:paraId="2A881C8E">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b/>
          <w:bCs/>
          <w:color w:val="auto"/>
          <w:sz w:val="24"/>
          <w:highlight w:val="none"/>
          <w:lang w:eastAsia="zh-CN"/>
        </w:rPr>
        <w:t>2025年安文街道松材线虫病枯死松树清理服务项目(第二次)</w:t>
      </w:r>
      <w:r>
        <w:rPr>
          <w:rFonts w:hint="eastAsia" w:ascii="宋体" w:hAnsi="宋体"/>
          <w:color w:val="auto"/>
          <w:sz w:val="24"/>
          <w:highlight w:val="none"/>
        </w:rPr>
        <w:t>的招标、投标、评标、定标、验收、合同履约、付款等行为（法律、法规另有规定的，从其规定）。</w:t>
      </w:r>
    </w:p>
    <w:p w14:paraId="73A6FE40">
      <w:pPr>
        <w:widowControl/>
        <w:spacing w:line="480" w:lineRule="exact"/>
        <w:ind w:firstLine="482" w:firstLineChars="200"/>
        <w:jc w:val="left"/>
        <w:outlineLvl w:val="2"/>
        <w:rPr>
          <w:rFonts w:hint="eastAsia" w:ascii="宋体" w:hAnsi="宋体"/>
          <w:b/>
          <w:bCs/>
          <w:color w:val="auto"/>
          <w:sz w:val="24"/>
          <w:highlight w:val="none"/>
        </w:rPr>
      </w:pPr>
      <w:bookmarkStart w:id="76" w:name="_Toc24686"/>
      <w:bookmarkStart w:id="77" w:name="_Toc32680"/>
      <w:bookmarkStart w:id="78" w:name="_Toc17795"/>
      <w:bookmarkStart w:id="79" w:name="_Toc25060"/>
      <w:bookmarkStart w:id="80" w:name="_Toc25456"/>
      <w:r>
        <w:rPr>
          <w:rFonts w:hint="eastAsia" w:ascii="宋体" w:hAnsi="宋体"/>
          <w:b/>
          <w:bCs/>
          <w:color w:val="auto"/>
          <w:sz w:val="24"/>
          <w:highlight w:val="none"/>
        </w:rPr>
        <w:t>（二）定义</w:t>
      </w:r>
      <w:bookmarkEnd w:id="76"/>
      <w:bookmarkEnd w:id="77"/>
      <w:bookmarkEnd w:id="78"/>
      <w:bookmarkEnd w:id="79"/>
      <w:bookmarkEnd w:id="80"/>
    </w:p>
    <w:p w14:paraId="22419E33">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1.招标采购单位系指组织本次招标的</w:t>
      </w:r>
      <w:r>
        <w:rPr>
          <w:rFonts w:hint="eastAsia" w:ascii="宋体" w:hAnsi="宋体"/>
          <w:b/>
          <w:bCs/>
          <w:color w:val="auto"/>
          <w:sz w:val="24"/>
          <w:highlight w:val="none"/>
          <w:lang w:eastAsia="zh-CN"/>
        </w:rPr>
        <w:t>浙江诚远工程咨询有限公司</w:t>
      </w:r>
      <w:r>
        <w:rPr>
          <w:rFonts w:hint="eastAsia" w:ascii="宋体" w:hAnsi="宋体"/>
          <w:b/>
          <w:bCs/>
          <w:color w:val="auto"/>
          <w:sz w:val="24"/>
          <w:highlight w:val="none"/>
        </w:rPr>
        <w:t>（“招标方”）</w:t>
      </w:r>
      <w:r>
        <w:rPr>
          <w:rFonts w:hint="eastAsia" w:ascii="宋体" w:hAnsi="宋体"/>
          <w:color w:val="auto"/>
          <w:sz w:val="24"/>
          <w:highlight w:val="none"/>
        </w:rPr>
        <w:t>和</w:t>
      </w:r>
      <w:r>
        <w:rPr>
          <w:rFonts w:hint="eastAsia" w:ascii="宋体" w:hAnsi="宋体"/>
          <w:b/>
          <w:bCs/>
          <w:color w:val="auto"/>
          <w:sz w:val="24"/>
          <w:highlight w:val="none"/>
          <w:lang w:eastAsia="zh-CN"/>
        </w:rPr>
        <w:t>磐安县人民政府安文街道办事处 </w:t>
      </w:r>
      <w:r>
        <w:rPr>
          <w:rFonts w:hint="eastAsia" w:ascii="宋体" w:hAnsi="宋体"/>
          <w:b/>
          <w:bCs/>
          <w:color w:val="auto"/>
          <w:sz w:val="24"/>
          <w:highlight w:val="none"/>
        </w:rPr>
        <w:t>（“采购人”）</w:t>
      </w:r>
      <w:r>
        <w:rPr>
          <w:rFonts w:hint="eastAsia" w:ascii="宋体" w:hAnsi="宋体"/>
          <w:color w:val="auto"/>
          <w:sz w:val="24"/>
          <w:highlight w:val="none"/>
        </w:rPr>
        <w:t>。</w:t>
      </w:r>
    </w:p>
    <w:p w14:paraId="3D99D495">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2.“投标人”系指向招标方提交投标文件的单位。</w:t>
      </w:r>
    </w:p>
    <w:p w14:paraId="5A2B0894">
      <w:pPr>
        <w:widowControl/>
        <w:spacing w:line="480" w:lineRule="exact"/>
        <w:ind w:firstLine="480" w:firstLineChars="200"/>
        <w:jc w:val="left"/>
        <w:rPr>
          <w:rFonts w:hint="eastAsia" w:ascii="宋体" w:hAnsi="宋体"/>
          <w:color w:val="auto"/>
          <w:sz w:val="24"/>
          <w:highlight w:val="none"/>
        </w:rPr>
      </w:pPr>
      <w:bookmarkStart w:id="81" w:name="_Toc48"/>
      <w:bookmarkStart w:id="82" w:name="_Toc3568"/>
      <w:bookmarkStart w:id="83" w:name="_Toc835"/>
      <w:bookmarkStart w:id="84" w:name="_Toc16944"/>
      <w:bookmarkStart w:id="85" w:name="_Toc20622"/>
      <w:r>
        <w:rPr>
          <w:rFonts w:hint="eastAsia" w:ascii="宋体" w:hAnsi="宋体"/>
          <w:color w:val="auto"/>
          <w:sz w:val="24"/>
          <w:highlight w:val="none"/>
        </w:rPr>
        <w:t>3.“电子签名”系指数据电文中以电子形式所含、所附用于识别签名人身份并表明签名人认可其中内容的数据；“公章”系指投标文件中所涉及的加盖公章均采用CA电子签章。</w:t>
      </w:r>
      <w:bookmarkEnd w:id="81"/>
      <w:bookmarkEnd w:id="82"/>
      <w:bookmarkEnd w:id="83"/>
      <w:bookmarkEnd w:id="84"/>
      <w:bookmarkEnd w:id="85"/>
    </w:p>
    <w:p w14:paraId="38A4D882">
      <w:pPr>
        <w:widowControl/>
        <w:spacing w:line="480" w:lineRule="exact"/>
        <w:ind w:firstLine="480" w:firstLineChars="200"/>
        <w:jc w:val="left"/>
        <w:rPr>
          <w:rFonts w:hint="eastAsia" w:ascii="宋体" w:hAnsi="宋体"/>
          <w:color w:val="auto"/>
          <w:sz w:val="24"/>
          <w:highlight w:val="none"/>
        </w:rPr>
      </w:pPr>
      <w:bookmarkStart w:id="86" w:name="_Toc1555"/>
      <w:bookmarkStart w:id="87" w:name="_Toc16226"/>
      <w:bookmarkStart w:id="88" w:name="_Toc20446"/>
      <w:bookmarkStart w:id="89" w:name="_Toc26912"/>
      <w:bookmarkStart w:id="90" w:name="_Toc16109"/>
      <w:r>
        <w:rPr>
          <w:rFonts w:hint="eastAsia" w:ascii="宋体" w:hAnsi="宋体"/>
          <w:color w:val="auto"/>
          <w:sz w:val="24"/>
          <w:highlight w:val="none"/>
        </w:rPr>
        <w:t>4.“电子交易平台”是指本项目政府采购活动所依托的政府采购云平台（https://www.zcygov.cn/）。</w:t>
      </w:r>
      <w:bookmarkEnd w:id="86"/>
      <w:bookmarkEnd w:id="87"/>
      <w:bookmarkEnd w:id="88"/>
      <w:bookmarkEnd w:id="89"/>
      <w:bookmarkEnd w:id="90"/>
    </w:p>
    <w:p w14:paraId="3EF717A1">
      <w:pPr>
        <w:snapToGrid w:val="0"/>
        <w:spacing w:line="400" w:lineRule="exact"/>
        <w:ind w:firstLine="480" w:firstLineChars="200"/>
        <w:jc w:val="left"/>
        <w:rPr>
          <w:rFonts w:hint="eastAsia" w:ascii="宋体" w:hAnsi="宋体"/>
          <w:color w:val="auto"/>
          <w:sz w:val="24"/>
          <w:highlight w:val="none"/>
        </w:rPr>
      </w:pPr>
      <w:bookmarkStart w:id="91" w:name="_Toc8582"/>
      <w:bookmarkStart w:id="92" w:name="_Toc32163"/>
      <w:bookmarkStart w:id="93" w:name="_Toc9580"/>
      <w:bookmarkStart w:id="94" w:name="_Toc16702"/>
      <w:bookmarkStart w:id="95" w:name="_Toc31468"/>
      <w:r>
        <w:rPr>
          <w:rFonts w:hint="eastAsia" w:ascii="宋体" w:hAnsi="宋体"/>
          <w:color w:val="auto"/>
          <w:sz w:val="24"/>
          <w:highlight w:val="none"/>
        </w:rPr>
        <w:t xml:space="preserve">5. </w:t>
      </w:r>
      <w:bookmarkEnd w:id="91"/>
      <w:bookmarkEnd w:id="92"/>
      <w:bookmarkEnd w:id="93"/>
      <w:bookmarkEnd w:id="94"/>
      <w:bookmarkEnd w:id="95"/>
      <w:r>
        <w:rPr>
          <w:rFonts w:hint="eastAsia" w:ascii="宋体" w:hAnsi="宋体" w:cs="宋体"/>
          <w:color w:val="auto"/>
          <w:sz w:val="24"/>
          <w:highlight w:val="none"/>
        </w:rPr>
        <w:t>“▲” 系指实质性要求条款，“★”系产品采购项目中重要参数。</w:t>
      </w:r>
    </w:p>
    <w:p w14:paraId="56313C83">
      <w:pPr>
        <w:widowControl/>
        <w:spacing w:line="480" w:lineRule="exact"/>
        <w:ind w:firstLine="482" w:firstLineChars="200"/>
        <w:jc w:val="left"/>
        <w:outlineLvl w:val="2"/>
        <w:rPr>
          <w:rFonts w:hint="eastAsia" w:ascii="宋体" w:hAnsi="宋体"/>
          <w:b/>
          <w:bCs/>
          <w:color w:val="auto"/>
          <w:sz w:val="24"/>
          <w:highlight w:val="none"/>
        </w:rPr>
      </w:pPr>
      <w:bookmarkStart w:id="96" w:name="_Toc2587"/>
      <w:bookmarkStart w:id="97" w:name="_Toc30903"/>
      <w:bookmarkStart w:id="98" w:name="_Toc27853"/>
      <w:bookmarkStart w:id="99" w:name="_Toc6535"/>
      <w:bookmarkStart w:id="100" w:name="_Toc10000"/>
      <w:r>
        <w:rPr>
          <w:rFonts w:hint="eastAsia" w:ascii="宋体" w:hAnsi="宋体"/>
          <w:b/>
          <w:bCs/>
          <w:color w:val="auto"/>
          <w:sz w:val="24"/>
          <w:highlight w:val="none"/>
        </w:rPr>
        <w:t>（三）招标方式</w:t>
      </w:r>
      <w:bookmarkEnd w:id="96"/>
      <w:bookmarkEnd w:id="97"/>
      <w:bookmarkEnd w:id="98"/>
      <w:bookmarkEnd w:id="99"/>
      <w:bookmarkEnd w:id="100"/>
    </w:p>
    <w:p w14:paraId="67CC4C2C">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本次招标采用公开招标方式进行。</w:t>
      </w:r>
    </w:p>
    <w:p w14:paraId="10A4767A">
      <w:pPr>
        <w:widowControl/>
        <w:spacing w:line="480" w:lineRule="exact"/>
        <w:ind w:firstLine="482" w:firstLineChars="200"/>
        <w:jc w:val="left"/>
        <w:outlineLvl w:val="2"/>
        <w:rPr>
          <w:rFonts w:hint="eastAsia" w:ascii="宋体" w:hAnsi="宋体"/>
          <w:b/>
          <w:bCs/>
          <w:color w:val="auto"/>
          <w:sz w:val="24"/>
          <w:highlight w:val="none"/>
        </w:rPr>
      </w:pPr>
      <w:bookmarkStart w:id="101" w:name="_Toc19949"/>
      <w:bookmarkStart w:id="102" w:name="_Toc4962"/>
      <w:bookmarkStart w:id="103" w:name="_Toc16932"/>
      <w:bookmarkStart w:id="104" w:name="_Toc7882"/>
      <w:bookmarkStart w:id="105" w:name="_Toc15865"/>
      <w:r>
        <w:rPr>
          <w:rFonts w:hint="eastAsia" w:ascii="宋体" w:hAnsi="宋体"/>
          <w:b/>
          <w:bCs/>
          <w:color w:val="auto"/>
          <w:sz w:val="24"/>
          <w:highlight w:val="none"/>
        </w:rPr>
        <w:t>（四）投标委托</w:t>
      </w:r>
      <w:bookmarkEnd w:id="101"/>
      <w:bookmarkEnd w:id="102"/>
      <w:bookmarkEnd w:id="103"/>
      <w:bookmarkEnd w:id="104"/>
      <w:bookmarkEnd w:id="105"/>
    </w:p>
    <w:p w14:paraId="28C75340">
      <w:pPr>
        <w:widowControl/>
        <w:spacing w:line="480" w:lineRule="exact"/>
        <w:ind w:firstLine="480" w:firstLineChars="200"/>
        <w:jc w:val="left"/>
        <w:rPr>
          <w:rFonts w:hint="eastAsia" w:ascii="宋体" w:hAnsi="宋体"/>
          <w:color w:val="auto"/>
          <w:sz w:val="24"/>
          <w:highlight w:val="none"/>
        </w:rPr>
      </w:pPr>
      <w:bookmarkStart w:id="106" w:name="_Toc1675"/>
      <w:bookmarkStart w:id="107" w:name="_Toc15588"/>
      <w:bookmarkStart w:id="108" w:name="_Toc7017"/>
      <w:bookmarkStart w:id="109" w:name="_Toc21699"/>
      <w:bookmarkStart w:id="110" w:name="_Toc255"/>
      <w:r>
        <w:rPr>
          <w:rFonts w:hint="eastAsia" w:ascii="宋体" w:hAnsi="宋体"/>
          <w:color w:val="auto"/>
          <w:sz w:val="24"/>
          <w:highlight w:val="none"/>
        </w:rPr>
        <w:t>本项目采用在线投标响应方式，执行《浙江省财政厅关于印发浙江省政府采购项目电子交易管理暂行办法的通知》（浙财采监〔2</w:t>
      </w:r>
      <w:r>
        <w:rPr>
          <w:rFonts w:hint="eastAsia" w:ascii="宋体" w:hAnsi="宋体"/>
          <w:color w:val="auto"/>
          <w:sz w:val="24"/>
          <w:highlight w:val="none"/>
          <w:lang w:eastAsia="zh-CN"/>
        </w:rPr>
        <w:t>020</w:t>
      </w:r>
      <w:r>
        <w:rPr>
          <w:rFonts w:hint="eastAsia" w:ascii="宋体" w:hAnsi="宋体"/>
          <w:color w:val="auto"/>
          <w:sz w:val="24"/>
          <w:highlight w:val="none"/>
        </w:rPr>
        <w:t>〕10 号）等相关规定。</w:t>
      </w:r>
    </w:p>
    <w:p w14:paraId="54E666B2">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在线开评标进行时，供应商法定代表人或其授权代表需自行关注平台提示信息，期间如有发出“询标/澄清函”等相关线上函件时，因投标人自身原因逾期/错过回复时间，由此造成的后果由投标人自行承担。</w:t>
      </w:r>
    </w:p>
    <w:p w14:paraId="2242BD51">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投标人未按招标文件要求派代表参加电子开标会议的，视同认可开标结果，不得对开标过程及开标结果提出质疑。</w:t>
      </w:r>
      <w:bookmarkEnd w:id="106"/>
      <w:bookmarkEnd w:id="107"/>
      <w:bookmarkEnd w:id="108"/>
      <w:bookmarkEnd w:id="109"/>
      <w:bookmarkEnd w:id="110"/>
    </w:p>
    <w:p w14:paraId="6F489599">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（五）转包和分包</w:t>
      </w:r>
    </w:p>
    <w:p w14:paraId="1280FA3B">
      <w:pPr>
        <w:snapToGrid w:val="0"/>
        <w:spacing w:line="400" w:lineRule="exact"/>
        <w:ind w:firstLine="720" w:firstLineChars="300"/>
        <w:rPr>
          <w:rFonts w:hint="eastAsia" w:ascii="宋体" w:hAnsi="宋体"/>
          <w:color w:val="auto"/>
          <w:sz w:val="24"/>
          <w:highlight w:val="none"/>
        </w:rPr>
      </w:pPr>
      <w:bookmarkStart w:id="111" w:name="_Toc26291"/>
      <w:bookmarkStart w:id="112" w:name="_Toc28200"/>
      <w:bookmarkStart w:id="113" w:name="_Toc15773"/>
      <w:bookmarkStart w:id="114" w:name="_Toc6127"/>
      <w:bookmarkStart w:id="115" w:name="_Toc10240"/>
      <w:r>
        <w:rPr>
          <w:rFonts w:ascii="宋体" w:hAnsi="宋体"/>
          <w:color w:val="auto"/>
          <w:sz w:val="24"/>
          <w:highlight w:val="none"/>
        </w:rPr>
        <w:t>本项目</w:t>
      </w:r>
      <w:r>
        <w:rPr>
          <w:rFonts w:ascii="宋体" w:hAnsi="宋体"/>
          <w:b/>
          <w:bCs/>
          <w:color w:val="auto"/>
          <w:sz w:val="24"/>
          <w:highlight w:val="none"/>
        </w:rPr>
        <w:t>不允许</w:t>
      </w:r>
      <w:r>
        <w:rPr>
          <w:rFonts w:ascii="宋体" w:hAnsi="宋体"/>
          <w:color w:val="auto"/>
          <w:sz w:val="24"/>
          <w:highlight w:val="none"/>
        </w:rPr>
        <w:t>转包。</w:t>
      </w:r>
      <w:r>
        <w:rPr>
          <w:rFonts w:hint="eastAsia" w:ascii="宋体" w:hAnsi="宋体" w:cs="宋体"/>
          <w:color w:val="auto"/>
          <w:kern w:val="0"/>
          <w:sz w:val="24"/>
          <w:highlight w:val="none"/>
        </w:rPr>
        <w:t>分包须经采购人书面同意后方可实施。</w:t>
      </w:r>
    </w:p>
    <w:p w14:paraId="5DE07E4F">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（六）特别说明：</w:t>
      </w:r>
      <w:bookmarkEnd w:id="111"/>
      <w:bookmarkEnd w:id="112"/>
      <w:bookmarkEnd w:id="113"/>
      <w:bookmarkEnd w:id="114"/>
      <w:bookmarkEnd w:id="115"/>
    </w:p>
    <w:p w14:paraId="6949D77C">
      <w:pPr>
        <w:pStyle w:val="52"/>
        <w:spacing w:after="0" w:line="480" w:lineRule="exact"/>
        <w:ind w:left="0" w:leftChars="0" w:firstLine="240" w:firstLineChars="100"/>
        <w:rPr>
          <w:rFonts w:hint="eastAsia" w:ascii="宋体" w:hAnsi="宋体"/>
          <w:color w:val="auto"/>
          <w:spacing w:val="0"/>
          <w:sz w:val="24"/>
          <w:szCs w:val="24"/>
          <w:highlight w:val="none"/>
        </w:rPr>
      </w:pPr>
      <w:bookmarkStart w:id="116" w:name="_Toc28428"/>
      <w:bookmarkStart w:id="117" w:name="_Toc15408"/>
      <w:bookmarkStart w:id="118" w:name="_Toc16817"/>
      <w:bookmarkStart w:id="119" w:name="_Toc16041"/>
      <w:bookmarkStart w:id="120" w:name="_Toc27921"/>
      <w:bookmarkStart w:id="121" w:name="_Toc13579"/>
      <w:bookmarkStart w:id="122" w:name="_Toc4337"/>
      <w:bookmarkStart w:id="123" w:name="_Toc22711"/>
      <w:bookmarkStart w:id="124" w:name="_Toc21517"/>
      <w:bookmarkStart w:id="125" w:name="_Toc18823"/>
      <w:bookmarkStart w:id="126" w:name="_Toc31223"/>
      <w:bookmarkStart w:id="127" w:name="_Toc20289"/>
      <w:r>
        <w:rPr>
          <w:rFonts w:hint="eastAsia" w:ascii="宋体" w:hAnsi="宋体"/>
          <w:color w:val="auto"/>
          <w:spacing w:val="0"/>
          <w:sz w:val="24"/>
          <w:szCs w:val="24"/>
          <w:highlight w:val="none"/>
        </w:rPr>
        <w:t>▲1.</w:t>
      </w:r>
      <w:bookmarkStart w:id="128" w:name="OLE_LINK1"/>
      <w:r>
        <w:rPr>
          <w:rFonts w:hint="eastAsia" w:ascii="宋体" w:hAnsi="宋体"/>
          <w:color w:val="auto"/>
          <w:spacing w:val="0"/>
          <w:sz w:val="24"/>
          <w:szCs w:val="24"/>
          <w:highlight w:val="none"/>
        </w:rPr>
        <w:t>多家供应商参加投标，提供相同品牌产品</w:t>
      </w:r>
      <w:bookmarkEnd w:id="128"/>
      <w:r>
        <w:rPr>
          <w:rFonts w:hint="eastAsia" w:ascii="宋体" w:hAnsi="宋体"/>
          <w:color w:val="auto"/>
          <w:spacing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887CC0">
      <w:pPr>
        <w:snapToGrid w:val="0"/>
        <w:spacing w:line="480" w:lineRule="exact"/>
        <w:ind w:firstLine="472" w:firstLineChars="196"/>
        <w:jc w:val="left"/>
        <w:rPr>
          <w:rFonts w:hint="eastAsia" w:ascii="宋体" w:hAnsi="宋体"/>
          <w:color w:val="auto"/>
          <w:sz w:val="24"/>
          <w:highlight w:val="none"/>
        </w:rPr>
      </w:pPr>
      <w:r>
        <w:rPr>
          <w:rFonts w:hint="eastAsia" w:ascii="宋体" w:hAnsi="宋体"/>
          <w:b/>
          <w:bCs/>
          <w:color w:val="auto"/>
          <w:sz w:val="24"/>
          <w:highlight w:val="none"/>
        </w:rPr>
        <w:t>非单一产品采购项目，投标人使用相同产品的价格总和均超过项目各自投标总价50%及以上的，按一家投标人认定。多家投标人提供的核心产品品牌相同的，按前两款规定处理。</w:t>
      </w:r>
    </w:p>
    <w:p w14:paraId="1D96BE60">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2.（1）投标人投标所使用的资格、信誉、荣誉、业绩与企业认证必须为本法人所拥有。</w:t>
      </w:r>
    </w:p>
    <w:p w14:paraId="435F4115">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▲（2）投标人投标所使用的采购项目实施人员必须为本法人员工（或必须为本法人或控股公司正式员工）。</w:t>
      </w:r>
    </w:p>
    <w:p w14:paraId="0394844F">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521F3C2E">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4.除单一来源采购项目外，为采购项目提供整体设计、规范编制或者项目管理、监理、检测等服务的供应商，不得再参加该采购项目的其他采购活动。</w:t>
      </w:r>
    </w:p>
    <w:p w14:paraId="66FC8E9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5.支持绿色发展</w:t>
      </w:r>
    </w:p>
    <w:p w14:paraId="58327F2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0F8F35B">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二、招标文件</w:t>
      </w:r>
      <w:bookmarkEnd w:id="116"/>
      <w:bookmarkEnd w:id="117"/>
      <w:bookmarkEnd w:id="118"/>
      <w:bookmarkEnd w:id="119"/>
      <w:bookmarkEnd w:id="120"/>
      <w:bookmarkEnd w:id="121"/>
      <w:bookmarkEnd w:id="122"/>
      <w:bookmarkEnd w:id="123"/>
      <w:bookmarkEnd w:id="124"/>
      <w:bookmarkEnd w:id="125"/>
      <w:bookmarkEnd w:id="126"/>
      <w:bookmarkEnd w:id="127"/>
    </w:p>
    <w:p w14:paraId="4AF611C5">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（一）招标文件的构成。</w:t>
      </w:r>
    </w:p>
    <w:p w14:paraId="097BD029">
      <w:pPr>
        <w:pStyle w:val="43"/>
        <w:spacing w:line="480" w:lineRule="exact"/>
        <w:rPr>
          <w:rFonts w:hint="eastAsia" w:ascii="宋体" w:eastAsia="宋体" w:cs="宋体"/>
          <w:color w:val="auto"/>
          <w:highlight w:val="none"/>
        </w:rPr>
      </w:pPr>
      <w:r>
        <w:rPr>
          <w:rFonts w:hint="eastAsia" w:ascii="宋体" w:eastAsia="宋体" w:cs="宋体"/>
          <w:color w:val="auto"/>
          <w:highlight w:val="none"/>
        </w:rPr>
        <w:t>按《目录》</w:t>
      </w:r>
    </w:p>
    <w:p w14:paraId="689F2825">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（二）投标人的风险</w:t>
      </w:r>
    </w:p>
    <w:p w14:paraId="7705A822">
      <w:pPr>
        <w:pStyle w:val="43"/>
        <w:spacing w:line="480" w:lineRule="exact"/>
        <w:rPr>
          <w:rFonts w:hint="eastAsia" w:ascii="宋体" w:eastAsia="宋体" w:cs="宋体"/>
          <w:color w:val="auto"/>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003116A3">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18054B0C">
      <w:pPr>
        <w:pStyle w:val="43"/>
        <w:spacing w:line="480" w:lineRule="exact"/>
        <w:rPr>
          <w:rFonts w:hint="eastAsia" w:ascii="宋体" w:eastAsia="宋体"/>
          <w:color w:val="auto"/>
          <w:highlight w:val="none"/>
        </w:rPr>
      </w:pPr>
      <w:bookmarkStart w:id="129" w:name="_Toc21585"/>
      <w:bookmarkStart w:id="130" w:name="_Toc10219"/>
      <w:bookmarkStart w:id="131" w:name="_Toc31619"/>
      <w:bookmarkStart w:id="132" w:name="_Toc505"/>
      <w:bookmarkStart w:id="133" w:name="_Toc6991"/>
      <w:bookmarkStart w:id="134" w:name="_Toc32299"/>
      <w:bookmarkStart w:id="135" w:name="_Toc3857"/>
      <w:bookmarkStart w:id="136" w:name="_Toc29942"/>
      <w:bookmarkStart w:id="137" w:name="_Toc32490"/>
      <w:r>
        <w:rPr>
          <w:rFonts w:hint="eastAsia" w:ascii="宋体" w:eastAsia="宋体"/>
          <w:color w:val="auto"/>
          <w:highlight w:val="none"/>
        </w:rPr>
        <w:t>1.投标人应认真阅读本招标文件，发现其中有误或有不合理要求的，投标人必须</w:t>
      </w:r>
      <w:r>
        <w:rPr>
          <w:rFonts w:hint="eastAsia" w:ascii="宋体" w:eastAsia="宋体"/>
          <w:color w:val="auto"/>
          <w:highlight w:val="none"/>
          <w:lang w:eastAsia="zh-CN"/>
        </w:rPr>
        <w:t>在规定时间内</w:t>
      </w:r>
      <w:r>
        <w:rPr>
          <w:rFonts w:hint="eastAsia" w:ascii="宋体" w:eastAsia="宋体"/>
          <w:color w:val="auto"/>
          <w:highlight w:val="none"/>
        </w:rPr>
        <w:t>以书面形式要求采购代理机构或采购人澄清。采购代理机构或采购人对已发出的招标文件进行必要澄清、答复、修改或补充的，在采购信息发布媒体上发布更正公告。</w:t>
      </w:r>
    </w:p>
    <w:p w14:paraId="3B2FC3E4">
      <w:pPr>
        <w:pStyle w:val="43"/>
        <w:spacing w:line="480" w:lineRule="exact"/>
        <w:rPr>
          <w:rFonts w:hint="eastAsia" w:ascii="宋体" w:eastAsia="宋体"/>
          <w:color w:val="auto"/>
          <w:highlight w:val="none"/>
        </w:rPr>
      </w:pPr>
      <w:r>
        <w:rPr>
          <w:rFonts w:hint="eastAsia" w:ascii="宋体" w:eastAsia="宋体"/>
          <w:color w:val="auto"/>
          <w:highlight w:val="none"/>
        </w:rPr>
        <w:t>2.采购代理机构根据实际情况，以书面或采购信息发布媒体上发布的形式答复投标人要求澄清的问题，不包含问题来源。</w:t>
      </w:r>
    </w:p>
    <w:p w14:paraId="371CE164">
      <w:pPr>
        <w:pStyle w:val="43"/>
        <w:spacing w:line="480" w:lineRule="exact"/>
        <w:rPr>
          <w:rFonts w:hint="eastAsia" w:ascii="宋体" w:eastAsia="宋体"/>
          <w:color w:val="auto"/>
          <w:highlight w:val="none"/>
        </w:rPr>
      </w:pPr>
      <w:r>
        <w:rPr>
          <w:rFonts w:hint="eastAsia" w:ascii="宋体" w:eastAsia="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496B8FAD">
      <w:pPr>
        <w:pStyle w:val="43"/>
        <w:keepNext w:val="0"/>
        <w:keepLines w:val="0"/>
        <w:pageBreakBefore w:val="0"/>
        <w:kinsoku/>
        <w:wordWrap/>
        <w:overflowPunct/>
        <w:topLinePunct w:val="0"/>
        <w:autoSpaceDE/>
        <w:autoSpaceDN/>
        <w:bidi w:val="0"/>
        <w:adjustRightInd/>
        <w:spacing w:line="360" w:lineRule="auto"/>
        <w:textAlignment w:val="auto"/>
        <w:rPr>
          <w:rFonts w:hint="eastAsia" w:ascii="宋体" w:eastAsia="宋体"/>
          <w:color w:val="auto"/>
          <w:highlight w:val="none"/>
        </w:rPr>
      </w:pPr>
      <w:r>
        <w:rPr>
          <w:rFonts w:hint="eastAsia" w:ascii="宋体" w:eastAsia="宋体"/>
          <w:color w:val="auto"/>
          <w:highlight w:val="none"/>
        </w:rPr>
        <w:t>4.招标文件的澄清、答复、修改或补充都应该通过本代理机构以法定形式发布，采购人非通过本机构，不得擅自澄清、答复、修改或补充招标文件。</w:t>
      </w:r>
    </w:p>
    <w:p w14:paraId="75CAD9B8">
      <w:pPr>
        <w:keepNext w:val="0"/>
        <w:keepLines w:val="0"/>
        <w:pageBreakBefore w:val="0"/>
        <w:widowControl/>
        <w:kinsoku/>
        <w:wordWrap/>
        <w:overflowPunct/>
        <w:topLinePunct w:val="0"/>
        <w:autoSpaceDE/>
        <w:autoSpaceDN/>
        <w:bidi w:val="0"/>
        <w:adjustRightInd/>
        <w:spacing w:line="360" w:lineRule="auto"/>
        <w:ind w:firstLine="562" w:firstLineChars="200"/>
        <w:jc w:val="left"/>
        <w:textAlignment w:val="auto"/>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三、投标文件的编制</w:t>
      </w:r>
      <w:bookmarkEnd w:id="129"/>
      <w:bookmarkEnd w:id="130"/>
      <w:bookmarkEnd w:id="131"/>
      <w:bookmarkEnd w:id="132"/>
      <w:bookmarkEnd w:id="133"/>
      <w:bookmarkEnd w:id="134"/>
      <w:bookmarkEnd w:id="135"/>
      <w:bookmarkEnd w:id="136"/>
      <w:bookmarkEnd w:id="137"/>
    </w:p>
    <w:p w14:paraId="6FAEFE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注：投标人应保证所提供文件资料的真实性，所有文件资料必须是针对本次投标的。如发现投标人提供了虚假文件资料，其投标将被拒绝，并自行承担相应的法律责任。</w:t>
      </w:r>
    </w:p>
    <w:p w14:paraId="25ED84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38" w:name="_Toc6708"/>
      <w:bookmarkStart w:id="139" w:name="_Toc1643"/>
      <w:bookmarkStart w:id="140" w:name="_Toc985"/>
      <w:r>
        <w:rPr>
          <w:rFonts w:hint="eastAsia" w:ascii="宋体" w:hAnsi="宋体" w:eastAsia="宋体" w:cs="宋体"/>
          <w:b w:val="0"/>
          <w:bCs/>
          <w:color w:val="auto"/>
          <w:sz w:val="24"/>
          <w:szCs w:val="24"/>
          <w:highlight w:val="none"/>
        </w:rPr>
        <w:t>（一）投标文件的形式和效力</w:t>
      </w:r>
      <w:bookmarkEnd w:id="138"/>
      <w:bookmarkEnd w:id="139"/>
      <w:bookmarkEnd w:id="140"/>
    </w:p>
    <w:p w14:paraId="0E75E3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1" w:name="_Toc14660"/>
      <w:bookmarkStart w:id="142" w:name="_Toc1160"/>
      <w:bookmarkStart w:id="143" w:name="_Toc15545"/>
      <w:r>
        <w:rPr>
          <w:rFonts w:hint="eastAsia" w:ascii="宋体" w:hAnsi="宋体" w:eastAsia="宋体" w:cs="宋体"/>
          <w:b w:val="0"/>
          <w:bCs/>
          <w:color w:val="auto"/>
          <w:sz w:val="24"/>
          <w:szCs w:val="24"/>
          <w:highlight w:val="none"/>
        </w:rPr>
        <w:t>1. 投标文件分为电子投标文件以及备份投标文件，备份文件分为备份电子投标文件和纸质备份投标文件两部分。（其中备份投标文件的提供与否不做强制性要求）</w:t>
      </w:r>
      <w:bookmarkEnd w:id="141"/>
      <w:bookmarkEnd w:id="142"/>
      <w:bookmarkEnd w:id="143"/>
    </w:p>
    <w:p w14:paraId="033371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4" w:name="_Toc23694"/>
      <w:bookmarkStart w:id="145" w:name="_Toc20478"/>
      <w:bookmarkStart w:id="146" w:name="_Toc8383"/>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电子投标文件编制请按政府采购云平台供应商项目采购－电子招投标操作指南</w:t>
      </w:r>
      <w:r>
        <w:rPr>
          <w:rFonts w:hint="eastAsia" w:ascii="宋体" w:hAnsi="宋体" w:eastAsia="宋体" w:cs="宋体"/>
          <w:b w:val="0"/>
          <w:bCs/>
          <w:color w:val="auto"/>
          <w:spacing w:val="-11"/>
          <w:sz w:val="24"/>
          <w:szCs w:val="24"/>
          <w:highlight w:val="none"/>
        </w:rPr>
        <w:t>（</w:t>
      </w:r>
      <w:r>
        <w:rPr>
          <w:rFonts w:hint="eastAsia" w:ascii="宋体" w:hAnsi="宋体" w:eastAsia="宋体" w:cs="宋体"/>
          <w:b w:val="0"/>
          <w:bCs/>
          <w:color w:val="auto"/>
          <w:spacing w:val="-11"/>
          <w:sz w:val="24"/>
          <w:szCs w:val="24"/>
          <w:highlight w:val="none"/>
        </w:rPr>
        <w:fldChar w:fldCharType="begin"/>
      </w:r>
      <w:r>
        <w:rPr>
          <w:rFonts w:hint="eastAsia" w:ascii="宋体" w:hAnsi="宋体" w:eastAsia="宋体" w:cs="宋体"/>
          <w:b w:val="0"/>
          <w:bCs/>
          <w:color w:val="auto"/>
          <w:spacing w:val="-11"/>
          <w:sz w:val="24"/>
          <w:szCs w:val="24"/>
          <w:highlight w:val="none"/>
        </w:rPr>
        <w:instrText xml:space="preserve"> HYPERLINK "https://service.zcygov.cn/" \l "/knowledges/CW1EtGwBFdiHxlNd6I3m/6IMVAG0BFdiHxlNdQ8Na" </w:instrText>
      </w:r>
      <w:r>
        <w:rPr>
          <w:rFonts w:hint="eastAsia" w:ascii="宋体" w:hAnsi="宋体" w:eastAsia="宋体" w:cs="宋体"/>
          <w:b w:val="0"/>
          <w:bCs/>
          <w:color w:val="auto"/>
          <w:spacing w:val="-11"/>
          <w:sz w:val="24"/>
          <w:szCs w:val="24"/>
          <w:highlight w:val="none"/>
        </w:rPr>
        <w:fldChar w:fldCharType="separate"/>
      </w:r>
      <w:r>
        <w:rPr>
          <w:rStyle w:val="64"/>
          <w:rFonts w:hint="eastAsia" w:ascii="宋体" w:hAnsi="宋体" w:eastAsia="宋体" w:cs="宋体"/>
          <w:b w:val="0"/>
          <w:bCs/>
          <w:color w:val="auto"/>
          <w:spacing w:val="-11"/>
          <w:sz w:val="24"/>
          <w:szCs w:val="24"/>
          <w:highlight w:val="none"/>
        </w:rPr>
        <w:t>https://service.zcygov.cn/#/knowledges/CW1EtGwBFdiHxlNd6I3m/6ImVAG0BFdiHxlNdQ8Na</w:t>
      </w:r>
      <w:r>
        <w:rPr>
          <w:rFonts w:hint="eastAsia" w:ascii="宋体" w:hAnsi="宋体" w:eastAsia="宋体" w:cs="宋体"/>
          <w:b w:val="0"/>
          <w:bCs/>
          <w:color w:val="auto"/>
          <w:spacing w:val="-11"/>
          <w:sz w:val="24"/>
          <w:szCs w:val="24"/>
          <w:highlight w:val="none"/>
        </w:rPr>
        <w:fldChar w:fldCharType="end"/>
      </w:r>
      <w:r>
        <w:rPr>
          <w:rFonts w:hint="eastAsia" w:ascii="宋体" w:hAnsi="宋体" w:eastAsia="宋体" w:cs="宋体"/>
          <w:b w:val="0"/>
          <w:bCs/>
          <w:color w:val="auto"/>
          <w:spacing w:val="-11"/>
          <w:sz w:val="24"/>
          <w:szCs w:val="24"/>
          <w:highlight w:val="none"/>
          <w:lang w:eastAsia="zh-CN"/>
        </w:rPr>
        <w:t>）</w:t>
      </w:r>
      <w:r>
        <w:rPr>
          <w:rFonts w:hint="eastAsia" w:ascii="宋体" w:hAnsi="宋体" w:eastAsia="宋体" w:cs="宋体"/>
          <w:b w:val="0"/>
          <w:bCs/>
          <w:color w:val="auto"/>
          <w:sz w:val="24"/>
          <w:szCs w:val="24"/>
          <w:highlight w:val="none"/>
        </w:rPr>
        <w:t>和本招标文件要求编制并进行关联定位。</w:t>
      </w:r>
      <w:bookmarkEnd w:id="144"/>
      <w:bookmarkEnd w:id="145"/>
      <w:bookmarkEnd w:id="146"/>
    </w:p>
    <w:p w14:paraId="28DC5B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7" w:name="_Toc13124"/>
      <w:bookmarkStart w:id="148" w:name="_Toc2210"/>
      <w:bookmarkStart w:id="149" w:name="_Toc22499"/>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备份电子投标文件：即电子投标文件按“政采云供应商项目采购－电子招投标操作指南”制作的备份文件。</w:t>
      </w:r>
      <w:bookmarkEnd w:id="147"/>
      <w:bookmarkEnd w:id="148"/>
      <w:bookmarkEnd w:id="149"/>
    </w:p>
    <w:p w14:paraId="1446EF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0" w:name="_Toc24783"/>
      <w:bookmarkStart w:id="151" w:name="_Toc3026"/>
      <w:bookmarkStart w:id="152" w:name="_Toc21980"/>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纸质备份投标文件：系电子投标文件纸质版，按照“（二）投标文件的组成”要求制作。</w:t>
      </w:r>
      <w:bookmarkEnd w:id="150"/>
      <w:bookmarkEnd w:id="151"/>
      <w:bookmarkEnd w:id="152"/>
    </w:p>
    <w:p w14:paraId="7C6A00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3" w:name="_Toc25995"/>
      <w:bookmarkStart w:id="154" w:name="_Toc20678"/>
      <w:bookmarkStart w:id="155" w:name="_Toc1528"/>
      <w:r>
        <w:rPr>
          <w:rFonts w:hint="eastAsia" w:ascii="宋体" w:hAnsi="宋体" w:eastAsia="宋体" w:cs="宋体"/>
          <w:b w:val="0"/>
          <w:bCs/>
          <w:color w:val="auto"/>
          <w:sz w:val="24"/>
          <w:szCs w:val="24"/>
          <w:highlight w:val="none"/>
        </w:rPr>
        <w:t>2.投标文件的效力</w:t>
      </w:r>
      <w:bookmarkEnd w:id="153"/>
      <w:bookmarkEnd w:id="154"/>
      <w:bookmarkEnd w:id="155"/>
    </w:p>
    <w:p w14:paraId="2927A5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6" w:name="_Toc23835"/>
      <w:bookmarkStart w:id="157" w:name="_Toc13794"/>
      <w:bookmarkStart w:id="158" w:name="_Toc10246"/>
      <w:r>
        <w:rPr>
          <w:rFonts w:hint="eastAsia" w:ascii="宋体" w:hAnsi="宋体" w:eastAsia="宋体" w:cs="宋体"/>
          <w:b w:val="0"/>
          <w:bCs/>
          <w:color w:val="auto"/>
          <w:sz w:val="24"/>
          <w:szCs w:val="24"/>
          <w:highlight w:val="none"/>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56"/>
      <w:bookmarkEnd w:id="157"/>
      <w:bookmarkEnd w:id="158"/>
    </w:p>
    <w:p w14:paraId="7ED53D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59" w:name="_Toc7298"/>
      <w:bookmarkStart w:id="160" w:name="_Toc27236"/>
      <w:bookmarkStart w:id="161" w:name="_Toc14880"/>
      <w:r>
        <w:rPr>
          <w:rFonts w:hint="eastAsia" w:ascii="宋体" w:hAnsi="宋体" w:eastAsia="宋体" w:cs="宋体"/>
          <w:b w:val="0"/>
          <w:bCs/>
          <w:color w:val="auto"/>
          <w:sz w:val="24"/>
          <w:szCs w:val="24"/>
          <w:highlight w:val="none"/>
        </w:rPr>
        <w:t>（二）投标文件的组成</w:t>
      </w:r>
      <w:bookmarkEnd w:id="159"/>
      <w:bookmarkEnd w:id="160"/>
      <w:bookmarkEnd w:id="161"/>
    </w:p>
    <w:p w14:paraId="7854C18E">
      <w:pPr>
        <w:snapToGrid w:val="0"/>
        <w:spacing w:line="480" w:lineRule="exact"/>
        <w:ind w:firstLine="470" w:firstLineChars="196"/>
        <w:jc w:val="left"/>
        <w:rPr>
          <w:rFonts w:hint="eastAsia" w:ascii="宋体" w:hAnsi="宋体" w:eastAsia="宋体" w:cs="宋体"/>
          <w:b w:val="0"/>
          <w:bCs/>
          <w:color w:val="auto"/>
          <w:sz w:val="24"/>
          <w:szCs w:val="24"/>
          <w:highlight w:val="none"/>
        </w:rPr>
      </w:pPr>
      <w:bookmarkStart w:id="162" w:name="_Toc24122"/>
      <w:bookmarkStart w:id="163" w:name="_Toc22737"/>
      <w:bookmarkStart w:id="164" w:name="_Toc23987"/>
      <w:r>
        <w:rPr>
          <w:rFonts w:hint="eastAsia" w:ascii="宋体" w:hAnsi="宋体" w:eastAsia="宋体" w:cs="宋体"/>
          <w:b w:val="0"/>
          <w:bCs/>
          <w:color w:val="auto"/>
          <w:sz w:val="24"/>
          <w:szCs w:val="24"/>
          <w:highlight w:val="none"/>
        </w:rPr>
        <w:t>投标文件（包括电子投标文件和备份投标文件）由</w:t>
      </w:r>
      <w:r>
        <w:rPr>
          <w:rFonts w:hint="eastAsia" w:ascii="宋体" w:hAnsi="宋体" w:eastAsia="宋体" w:cs="宋体"/>
          <w:b/>
          <w:bCs w:val="0"/>
          <w:color w:val="auto"/>
          <w:sz w:val="24"/>
          <w:szCs w:val="24"/>
          <w:highlight w:val="none"/>
        </w:rPr>
        <w:t>资格审查文件</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技术商务文件</w:t>
      </w:r>
      <w:r>
        <w:rPr>
          <w:rFonts w:hint="eastAsia" w:ascii="宋体" w:hAnsi="宋体" w:eastAsia="宋体" w:cs="宋体"/>
          <w:b w:val="0"/>
          <w:bCs/>
          <w:color w:val="auto"/>
          <w:sz w:val="24"/>
          <w:szCs w:val="24"/>
          <w:highlight w:val="none"/>
          <w:lang w:eastAsia="zh-CN"/>
        </w:rPr>
        <w:t>和</w:t>
      </w:r>
      <w:r>
        <w:rPr>
          <w:rFonts w:hint="eastAsia" w:ascii="宋体" w:hAnsi="宋体" w:eastAsia="宋体" w:cs="宋体"/>
          <w:b/>
          <w:bCs w:val="0"/>
          <w:color w:val="auto"/>
          <w:sz w:val="24"/>
          <w:szCs w:val="24"/>
          <w:highlight w:val="none"/>
        </w:rPr>
        <w:t>报价文件</w:t>
      </w:r>
      <w:r>
        <w:rPr>
          <w:rFonts w:hint="eastAsia" w:ascii="宋体" w:hAnsi="宋体" w:eastAsia="宋体" w:cs="宋体"/>
          <w:b w:val="0"/>
          <w:bCs/>
          <w:color w:val="auto"/>
          <w:sz w:val="24"/>
          <w:szCs w:val="24"/>
          <w:highlight w:val="none"/>
        </w:rPr>
        <w:t>三部分组成。</w:t>
      </w:r>
      <w:bookmarkEnd w:id="162"/>
      <w:bookmarkEnd w:id="163"/>
      <w:bookmarkEnd w:id="164"/>
      <w:bookmarkStart w:id="165" w:name="_Toc23025"/>
      <w:bookmarkStart w:id="166" w:name="_Toc13109"/>
      <w:bookmarkStart w:id="167" w:name="_Toc23514"/>
      <w:r>
        <w:rPr>
          <w:rFonts w:hint="eastAsia" w:ascii="宋体" w:hAnsi="宋体" w:eastAsia="宋体" w:cs="宋体"/>
          <w:b w:val="0"/>
          <w:bCs/>
          <w:color w:val="auto"/>
          <w:sz w:val="24"/>
          <w:szCs w:val="24"/>
          <w:highlight w:val="none"/>
        </w:rPr>
        <w:t>备份电子投标文件，按政采云平台项目采购－电子招投标操作指南中上传的电子投标文件格式，以光盘或U盘形式提供。数量为1份。</w:t>
      </w:r>
      <w:bookmarkEnd w:id="165"/>
      <w:bookmarkEnd w:id="166"/>
      <w:bookmarkEnd w:id="167"/>
    </w:p>
    <w:p w14:paraId="0A4C3B95">
      <w:pPr>
        <w:snapToGrid w:val="0"/>
        <w:spacing w:line="480" w:lineRule="exact"/>
        <w:ind w:firstLine="472" w:firstLineChars="196"/>
        <w:jc w:val="left"/>
        <w:rPr>
          <w:rFonts w:hint="eastAsia"/>
          <w:b/>
          <w:bCs/>
          <w:color w:val="auto"/>
          <w:highlight w:val="none"/>
        </w:rPr>
      </w:pPr>
      <w:r>
        <w:rPr>
          <w:rFonts w:hint="eastAsia" w:ascii="宋体" w:hAnsi="宋体" w:cs="宋体"/>
          <w:b/>
          <w:bCs/>
          <w:color w:val="auto"/>
          <w:sz w:val="24"/>
          <w:highlight w:val="none"/>
        </w:rPr>
        <w:t>1.资格审查文件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14:paraId="78D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C8B499">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序号</w:t>
            </w:r>
          </w:p>
        </w:tc>
        <w:tc>
          <w:tcPr>
            <w:tcW w:w="8399" w:type="dxa"/>
          </w:tcPr>
          <w:p w14:paraId="4952C2A6">
            <w:pPr>
              <w:autoSpaceDE w:val="0"/>
              <w:autoSpaceDN w:val="0"/>
              <w:adjustRightInd w:val="0"/>
              <w:snapToGrid w:val="0"/>
              <w:spacing w:line="430" w:lineRule="atLeast"/>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内容（</w:t>
            </w:r>
            <w:r>
              <w:rPr>
                <w:rFonts w:hint="eastAsia" w:ascii="宋体" w:hAnsi="宋体" w:cs="Courier New"/>
                <w:b/>
                <w:color w:val="auto"/>
                <w:kern w:val="0"/>
                <w:sz w:val="22"/>
                <w:szCs w:val="22"/>
                <w:highlight w:val="none"/>
                <w:lang w:val="zh-CN"/>
              </w:rPr>
              <w:t>以下内容投标供应商必须提供，否则不能通过资格审查的，责任自负。</w:t>
            </w:r>
            <w:r>
              <w:rPr>
                <w:rFonts w:hint="eastAsia" w:ascii="宋体" w:hAnsi="宋体" w:cs="Courier New"/>
                <w:color w:val="auto"/>
                <w:kern w:val="0"/>
                <w:sz w:val="22"/>
                <w:szCs w:val="22"/>
                <w:highlight w:val="none"/>
                <w:lang w:val="zh-CN"/>
              </w:rPr>
              <w:t>）</w:t>
            </w:r>
          </w:p>
        </w:tc>
      </w:tr>
      <w:tr w14:paraId="222E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77E260">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w:t>
            </w:r>
          </w:p>
        </w:tc>
        <w:tc>
          <w:tcPr>
            <w:tcW w:w="8399" w:type="dxa"/>
          </w:tcPr>
          <w:p w14:paraId="5F5B5FAE">
            <w:pPr>
              <w:autoSpaceDE w:val="0"/>
              <w:autoSpaceDN w:val="0"/>
              <w:adjustRightInd w:val="0"/>
              <w:snapToGrid w:val="0"/>
              <w:spacing w:line="430" w:lineRule="atLeast"/>
              <w:rPr>
                <w:rFonts w:hint="eastAsia" w:ascii="宋体" w:hAnsi="宋体" w:cs="Courier New"/>
                <w:color w:val="auto"/>
                <w:kern w:val="0"/>
                <w:sz w:val="22"/>
                <w:szCs w:val="22"/>
                <w:highlight w:val="none"/>
                <w:lang w:val="zh-CN"/>
              </w:rPr>
            </w:pPr>
            <w:r>
              <w:rPr>
                <w:rFonts w:hint="eastAsia" w:ascii="宋体" w:hAnsi="宋体" w:cs="宋体"/>
                <w:color w:val="auto"/>
                <w:sz w:val="22"/>
                <w:szCs w:val="22"/>
                <w:highlight w:val="none"/>
              </w:rPr>
              <w:t>投标函</w:t>
            </w:r>
          </w:p>
        </w:tc>
      </w:tr>
      <w:tr w14:paraId="6E7D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8EEA8DD">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2</w:t>
            </w:r>
          </w:p>
        </w:tc>
        <w:tc>
          <w:tcPr>
            <w:tcW w:w="8399" w:type="dxa"/>
          </w:tcPr>
          <w:p w14:paraId="24ACF7F5">
            <w:pPr>
              <w:autoSpaceDE w:val="0"/>
              <w:autoSpaceDN w:val="0"/>
              <w:adjustRightInd w:val="0"/>
              <w:snapToGrid w:val="0"/>
              <w:spacing w:line="430" w:lineRule="atLeast"/>
              <w:rPr>
                <w:rFonts w:hint="eastAsia" w:ascii="宋体" w:hAnsi="宋体" w:cs="宋体"/>
                <w:color w:val="auto"/>
                <w:kern w:val="2"/>
                <w:sz w:val="22"/>
                <w:szCs w:val="22"/>
                <w:highlight w:val="none"/>
                <w:lang w:val="zh-CN" w:eastAsia="zh-CN" w:bidi="ar-SA"/>
              </w:rPr>
            </w:pPr>
            <w:r>
              <w:rPr>
                <w:rFonts w:hint="eastAsia" w:ascii="宋体" w:hAnsi="宋体" w:cs="Courier New"/>
                <w:color w:val="auto"/>
                <w:kern w:val="0"/>
                <w:sz w:val="22"/>
                <w:szCs w:val="22"/>
                <w:highlight w:val="none"/>
              </w:rPr>
              <w:t>投标单位情况表</w:t>
            </w:r>
          </w:p>
        </w:tc>
      </w:tr>
      <w:tr w14:paraId="099F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AD95FE">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3</w:t>
            </w:r>
          </w:p>
        </w:tc>
        <w:tc>
          <w:tcPr>
            <w:tcW w:w="8399" w:type="dxa"/>
          </w:tcPr>
          <w:p w14:paraId="4DED97DD">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投标供应商的营业执照（若联合体投标，联合体各方均需提供，扫描件加盖公章）</w:t>
            </w:r>
          </w:p>
        </w:tc>
      </w:tr>
      <w:tr w14:paraId="695A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10A6A1">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Courier New"/>
                <w:color w:val="auto"/>
                <w:kern w:val="0"/>
                <w:sz w:val="22"/>
                <w:szCs w:val="22"/>
                <w:highlight w:val="none"/>
              </w:rPr>
              <w:t>4</w:t>
            </w:r>
          </w:p>
        </w:tc>
        <w:tc>
          <w:tcPr>
            <w:tcW w:w="8399" w:type="dxa"/>
          </w:tcPr>
          <w:p w14:paraId="512FB617">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政府采购供应商诚信承诺书（若联合体投标，联合体各方均需提供）</w:t>
            </w:r>
          </w:p>
        </w:tc>
      </w:tr>
      <w:tr w14:paraId="3D6F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B6F4530">
            <w:pPr>
              <w:autoSpaceDE w:val="0"/>
              <w:autoSpaceDN w:val="0"/>
              <w:adjustRightInd w:val="0"/>
              <w:snapToGrid w:val="0"/>
              <w:spacing w:line="440" w:lineRule="exac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5</w:t>
            </w:r>
          </w:p>
        </w:tc>
        <w:tc>
          <w:tcPr>
            <w:tcW w:w="8399" w:type="dxa"/>
            <w:vAlign w:val="center"/>
          </w:tcPr>
          <w:p w14:paraId="25DAEB83">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宋体"/>
                <w:color w:val="auto"/>
                <w:kern w:val="0"/>
                <w:sz w:val="22"/>
                <w:szCs w:val="22"/>
                <w:highlight w:val="none"/>
              </w:rPr>
              <w:t>无围标串标等负面行为承诺书</w:t>
            </w:r>
            <w:r>
              <w:rPr>
                <w:rFonts w:hint="eastAsia" w:ascii="宋体" w:hAnsi="宋体" w:cs="Courier New"/>
                <w:color w:val="auto"/>
                <w:kern w:val="0"/>
                <w:sz w:val="22"/>
                <w:szCs w:val="22"/>
                <w:highlight w:val="none"/>
              </w:rPr>
              <w:t>、</w:t>
            </w:r>
            <w:r>
              <w:rPr>
                <w:rFonts w:hint="eastAsia" w:ascii="宋体" w:hAnsi="宋体" w:cs="宋体"/>
                <w:color w:val="auto"/>
                <w:kern w:val="0"/>
                <w:sz w:val="22"/>
                <w:szCs w:val="22"/>
                <w:highlight w:val="none"/>
              </w:rPr>
              <w:t>《供应商市场行为信誉情况承诺书》</w:t>
            </w:r>
            <w:r>
              <w:rPr>
                <w:rFonts w:hint="eastAsia" w:ascii="宋体" w:hAnsi="宋体" w:cs="Courier New"/>
                <w:color w:val="auto"/>
                <w:kern w:val="0"/>
                <w:sz w:val="22"/>
                <w:szCs w:val="22"/>
                <w:highlight w:val="none"/>
              </w:rPr>
              <w:t>（若联合体投标，联合体各方均需提供）</w:t>
            </w:r>
          </w:p>
        </w:tc>
      </w:tr>
      <w:tr w14:paraId="6C4F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7173952">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宋体"/>
                <w:color w:val="auto"/>
                <w:kern w:val="0"/>
                <w:sz w:val="22"/>
                <w:szCs w:val="22"/>
                <w:highlight w:val="none"/>
              </w:rPr>
              <w:t>6</w:t>
            </w:r>
          </w:p>
        </w:tc>
        <w:tc>
          <w:tcPr>
            <w:tcW w:w="8399" w:type="dxa"/>
            <w:vAlign w:val="center"/>
          </w:tcPr>
          <w:p w14:paraId="45FCD748">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color w:val="auto"/>
                <w:sz w:val="22"/>
                <w:szCs w:val="22"/>
                <w:highlight w:val="none"/>
              </w:rPr>
              <w:t>投标供应商“信用中国”(www.creditchina.gov.cn)；“中国政府采购网”（www.ccgp.gov.cn）信用记录查询网页截图（招标公告发布之日至投标截止时间前）</w:t>
            </w:r>
          </w:p>
        </w:tc>
      </w:tr>
      <w:tr w14:paraId="6246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D3F881">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8399" w:type="dxa"/>
          </w:tcPr>
          <w:p w14:paraId="41CD353D">
            <w:pPr>
              <w:autoSpaceDE w:val="0"/>
              <w:autoSpaceDN w:val="0"/>
              <w:adjustRightInd w:val="0"/>
              <w:snapToGrid w:val="0"/>
              <w:spacing w:line="430" w:lineRule="atLeast"/>
              <w:jc w:val="left"/>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与参加本次项目同一合同项下政府采购活动的其他供应商不存在单位负责人为同一人或者直接控股、管理关系的承诺函</w:t>
            </w:r>
          </w:p>
        </w:tc>
      </w:tr>
      <w:tr w14:paraId="2EA5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3DC0144">
            <w:pPr>
              <w:autoSpaceDE w:val="0"/>
              <w:autoSpaceDN w:val="0"/>
              <w:adjustRightInd w:val="0"/>
              <w:snapToGrid w:val="0"/>
              <w:spacing w:line="430" w:lineRule="atLeast"/>
              <w:jc w:val="center"/>
              <w:rPr>
                <w:rFonts w:hint="eastAsia" w:ascii="宋体" w:hAnsi="宋体" w:cs="Courier New"/>
                <w:color w:val="auto"/>
                <w:kern w:val="0"/>
                <w:sz w:val="22"/>
                <w:szCs w:val="20"/>
                <w:highlight w:val="none"/>
              </w:rPr>
            </w:pPr>
            <w:r>
              <w:rPr>
                <w:rFonts w:hint="eastAsia" w:ascii="宋体" w:hAnsi="宋体" w:cs="Courier New"/>
                <w:color w:val="auto"/>
                <w:kern w:val="0"/>
                <w:sz w:val="22"/>
                <w:szCs w:val="20"/>
                <w:highlight w:val="none"/>
              </w:rPr>
              <w:t>8</w:t>
            </w:r>
          </w:p>
        </w:tc>
        <w:tc>
          <w:tcPr>
            <w:tcW w:w="8399" w:type="dxa"/>
            <w:vAlign w:val="center"/>
          </w:tcPr>
          <w:p w14:paraId="1E9FDA65">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法定代表人授权书，法定代表人参与投标的需提供法人身份证及法定代表人的身份证扫描件</w:t>
            </w:r>
            <w:r>
              <w:rPr>
                <w:rFonts w:hint="eastAsia" w:ascii="宋体" w:hAnsi="宋体" w:cs="Courier New"/>
                <w:color w:val="auto"/>
                <w:kern w:val="0"/>
                <w:sz w:val="22"/>
                <w:szCs w:val="22"/>
                <w:highlight w:val="none"/>
              </w:rPr>
              <w:t>（联合体牵头方提供）</w:t>
            </w:r>
          </w:p>
        </w:tc>
      </w:tr>
      <w:tr w14:paraId="40E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25792F">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8399" w:type="dxa"/>
          </w:tcPr>
          <w:p w14:paraId="24E0905A">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符合参加政府采购活动应当具备的一般条件的承诺函（联合体各方均需提供）</w:t>
            </w:r>
          </w:p>
        </w:tc>
      </w:tr>
      <w:tr w14:paraId="744C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8C6B1FD">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10</w:t>
            </w:r>
          </w:p>
        </w:tc>
        <w:tc>
          <w:tcPr>
            <w:tcW w:w="8399" w:type="dxa"/>
          </w:tcPr>
          <w:p w14:paraId="326D416F">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联合投标协议书（若联合体投标，需提供）</w:t>
            </w:r>
          </w:p>
        </w:tc>
      </w:tr>
      <w:tr w14:paraId="3C04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F6B5658">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11</w:t>
            </w:r>
          </w:p>
        </w:tc>
        <w:tc>
          <w:tcPr>
            <w:tcW w:w="8399" w:type="dxa"/>
          </w:tcPr>
          <w:p w14:paraId="2C058956">
            <w:pPr>
              <w:autoSpaceDE w:val="0"/>
              <w:autoSpaceDN w:val="0"/>
              <w:adjustRightInd w:val="0"/>
              <w:snapToGrid w:val="0"/>
              <w:spacing w:line="440" w:lineRule="exact"/>
              <w:rPr>
                <w:rFonts w:hint="eastAsia" w:ascii="宋体" w:hAnsi="宋体" w:eastAsia="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yellow"/>
              </w:rPr>
              <w:t>中小企业相关材料（小微企业、监狱企业、残疾人福利性单位）</w:t>
            </w:r>
            <w:r>
              <w:rPr>
                <w:rFonts w:hint="eastAsia" w:ascii="宋体" w:hAnsi="宋体" w:cs="Courier New"/>
                <w:color w:val="auto"/>
                <w:kern w:val="0"/>
                <w:sz w:val="22"/>
                <w:szCs w:val="22"/>
                <w:highlight w:val="yellow"/>
                <w:lang w:eastAsia="zh-CN"/>
              </w:rPr>
              <w:t>面向中小企业采购时必须在资格审查文件中提供，非面向中小企业采购时在报价文件中提供。</w:t>
            </w:r>
          </w:p>
        </w:tc>
      </w:tr>
      <w:tr w14:paraId="19C9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50331E5">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12</w:t>
            </w:r>
          </w:p>
        </w:tc>
        <w:tc>
          <w:tcPr>
            <w:tcW w:w="8399" w:type="dxa"/>
          </w:tcPr>
          <w:p w14:paraId="7E84D12F">
            <w:pPr>
              <w:autoSpaceDE w:val="0"/>
              <w:autoSpaceDN w:val="0"/>
              <w:adjustRightInd w:val="0"/>
              <w:snapToGrid w:val="0"/>
              <w:spacing w:line="430" w:lineRule="atLeast"/>
              <w:jc w:val="left"/>
              <w:rPr>
                <w:rFonts w:hint="default"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投标人认为有必要提供的其它文件（格式自拟）</w:t>
            </w:r>
          </w:p>
        </w:tc>
      </w:tr>
    </w:tbl>
    <w:p w14:paraId="4F83C46A">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2.技术商务文件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14:paraId="7B79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BEBF7B6">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序号</w:t>
            </w:r>
          </w:p>
        </w:tc>
        <w:tc>
          <w:tcPr>
            <w:tcW w:w="8388" w:type="dxa"/>
          </w:tcPr>
          <w:p w14:paraId="1E3892CA">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内容</w:t>
            </w:r>
          </w:p>
        </w:tc>
      </w:tr>
      <w:tr w14:paraId="264D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BEBFAC">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1</w:t>
            </w:r>
          </w:p>
        </w:tc>
        <w:tc>
          <w:tcPr>
            <w:tcW w:w="8388" w:type="dxa"/>
          </w:tcPr>
          <w:p w14:paraId="1DAE61D5">
            <w:pPr>
              <w:autoSpaceDE w:val="0"/>
              <w:autoSpaceDN w:val="0"/>
              <w:adjustRightInd w:val="0"/>
              <w:snapToGrid w:val="0"/>
              <w:spacing w:line="440" w:lineRule="exact"/>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rPr>
              <w:t>评分响应表（</w:t>
            </w:r>
            <w:r>
              <w:rPr>
                <w:rFonts w:hint="eastAsia" w:ascii="宋体" w:hAnsi="宋体" w:cs="Courier New"/>
                <w:color w:val="auto"/>
                <w:kern w:val="0"/>
                <w:sz w:val="20"/>
                <w:szCs w:val="20"/>
                <w:highlight w:val="none"/>
              </w:rPr>
              <w:t>联合体牵头方提供</w:t>
            </w:r>
            <w:r>
              <w:rPr>
                <w:rFonts w:hint="eastAsia" w:ascii="宋体" w:hAnsi="宋体" w:cs="宋体"/>
                <w:color w:val="auto"/>
                <w:sz w:val="20"/>
                <w:szCs w:val="20"/>
                <w:highlight w:val="none"/>
              </w:rPr>
              <w:t>）</w:t>
            </w:r>
          </w:p>
        </w:tc>
      </w:tr>
      <w:tr w14:paraId="7F67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C207A7">
            <w:pPr>
              <w:autoSpaceDE w:val="0"/>
              <w:autoSpaceDN w:val="0"/>
              <w:adjustRightInd w:val="0"/>
              <w:snapToGrid w:val="0"/>
              <w:spacing w:line="440" w:lineRule="exact"/>
              <w:jc w:val="center"/>
              <w:rPr>
                <w:rFonts w:hint="eastAsia" w:ascii="宋体" w:hAnsi="宋体" w:cs="Courier New"/>
                <w:color w:val="auto"/>
                <w:kern w:val="0"/>
                <w:sz w:val="20"/>
                <w:szCs w:val="20"/>
                <w:highlight w:val="none"/>
                <w:lang w:val="zh-CN"/>
              </w:rPr>
            </w:pPr>
            <w:r>
              <w:rPr>
                <w:rFonts w:hint="eastAsia" w:ascii="宋体" w:hAnsi="宋体" w:cs="Courier New"/>
                <w:color w:val="auto"/>
                <w:kern w:val="0"/>
                <w:sz w:val="20"/>
                <w:szCs w:val="20"/>
                <w:highlight w:val="none"/>
              </w:rPr>
              <w:t>2</w:t>
            </w:r>
          </w:p>
        </w:tc>
        <w:tc>
          <w:tcPr>
            <w:tcW w:w="8388" w:type="dxa"/>
            <w:vAlign w:val="center"/>
          </w:tcPr>
          <w:p w14:paraId="0AB62942">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投标声明书(</w:t>
            </w:r>
            <w:r>
              <w:rPr>
                <w:rFonts w:hint="eastAsia" w:ascii="宋体" w:hAnsi="宋体" w:cs="Courier New"/>
                <w:color w:val="auto"/>
                <w:kern w:val="0"/>
                <w:sz w:val="20"/>
                <w:szCs w:val="20"/>
                <w:highlight w:val="none"/>
              </w:rPr>
              <w:t>联合体各方均需提供</w:t>
            </w:r>
            <w:r>
              <w:rPr>
                <w:rFonts w:hint="eastAsia" w:ascii="宋体" w:hAnsi="宋体" w:cs="宋体"/>
                <w:color w:val="auto"/>
                <w:sz w:val="20"/>
                <w:szCs w:val="20"/>
                <w:highlight w:val="none"/>
              </w:rPr>
              <w:t>）</w:t>
            </w:r>
          </w:p>
        </w:tc>
      </w:tr>
      <w:tr w14:paraId="2001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9B76130">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3</w:t>
            </w:r>
          </w:p>
        </w:tc>
        <w:tc>
          <w:tcPr>
            <w:tcW w:w="8388" w:type="dxa"/>
            <w:vAlign w:val="center"/>
          </w:tcPr>
          <w:p w14:paraId="2CC99159">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产品技术指标响应情况</w:t>
            </w:r>
          </w:p>
        </w:tc>
      </w:tr>
      <w:tr w14:paraId="23E2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1CD214">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4</w:t>
            </w:r>
          </w:p>
        </w:tc>
        <w:tc>
          <w:tcPr>
            <w:tcW w:w="8388" w:type="dxa"/>
            <w:vAlign w:val="center"/>
          </w:tcPr>
          <w:p w14:paraId="2B753AD1">
            <w:pPr>
              <w:autoSpaceDE w:val="0"/>
              <w:autoSpaceDN w:val="0"/>
              <w:adjustRightInd w:val="0"/>
              <w:snapToGrid w:val="0"/>
              <w:spacing w:line="440" w:lineRule="exact"/>
              <w:jc w:val="left"/>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评审办法和评分标准</w:t>
            </w:r>
            <w:r>
              <w:rPr>
                <w:rFonts w:hint="eastAsia" w:ascii="宋体" w:hAnsi="宋体" w:cs="宋体"/>
                <w:color w:val="auto"/>
                <w:sz w:val="20"/>
                <w:szCs w:val="20"/>
                <w:highlight w:val="none"/>
                <w:lang w:eastAsia="zh-CN"/>
              </w:rPr>
              <w:t>中的评分内容（</w:t>
            </w:r>
            <w:r>
              <w:rPr>
                <w:rFonts w:hint="eastAsia" w:ascii="宋体" w:hAnsi="宋体" w:cs="宋体"/>
                <w:color w:val="auto"/>
                <w:sz w:val="20"/>
                <w:szCs w:val="20"/>
                <w:highlight w:val="none"/>
                <w:lang w:val="en-US" w:eastAsia="zh-CN"/>
              </w:rPr>
              <w:t>1，2，3，4，5，6......</w:t>
            </w:r>
            <w:r>
              <w:rPr>
                <w:rFonts w:hint="eastAsia" w:ascii="宋体" w:hAnsi="宋体" w:cs="宋体"/>
                <w:color w:val="auto"/>
                <w:sz w:val="20"/>
                <w:szCs w:val="20"/>
                <w:highlight w:val="none"/>
                <w:lang w:eastAsia="zh-CN"/>
              </w:rPr>
              <w:t>）尽量按序排列</w:t>
            </w:r>
          </w:p>
        </w:tc>
      </w:tr>
      <w:tr w14:paraId="6F04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07F0BAC">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5</w:t>
            </w:r>
          </w:p>
        </w:tc>
        <w:tc>
          <w:tcPr>
            <w:tcW w:w="8388" w:type="dxa"/>
          </w:tcPr>
          <w:p w14:paraId="35F75DEC">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根据招标文件要求，其他需说明的资料。(格式自拟）</w:t>
            </w:r>
          </w:p>
        </w:tc>
      </w:tr>
      <w:tr w14:paraId="1C83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C257426">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6</w:t>
            </w:r>
          </w:p>
        </w:tc>
        <w:tc>
          <w:tcPr>
            <w:tcW w:w="8388" w:type="dxa"/>
          </w:tcPr>
          <w:p w14:paraId="61C68DAE">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投标人认为需提供的其他资料。(格式自拟）</w:t>
            </w:r>
          </w:p>
        </w:tc>
      </w:tr>
    </w:tbl>
    <w:p w14:paraId="66D4DDD3">
      <w:pPr>
        <w:snapToGrid w:val="0"/>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3.报价文件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14:paraId="260A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FF2509">
            <w:pPr>
              <w:autoSpaceDE w:val="0"/>
              <w:autoSpaceDN w:val="0"/>
              <w:adjustRightInd w:val="0"/>
              <w:snapToGrid w:val="0"/>
              <w:spacing w:line="440" w:lineRule="exact"/>
              <w:jc w:val="center"/>
              <w:rPr>
                <w:rFonts w:ascii="宋体" w:hAnsi="宋体" w:cs="宋体"/>
                <w:color w:val="auto"/>
                <w:kern w:val="0"/>
                <w:sz w:val="22"/>
                <w:szCs w:val="22"/>
                <w:highlight w:val="none"/>
                <w:lang w:val="zh-CN"/>
              </w:rPr>
            </w:pPr>
            <w:bookmarkStart w:id="168" w:name="_Toc27491"/>
            <w:bookmarkStart w:id="169" w:name="_Toc16950"/>
            <w:bookmarkStart w:id="170" w:name="_Toc15007"/>
            <w:bookmarkStart w:id="171" w:name="_Toc31427"/>
            <w:bookmarkStart w:id="172" w:name="_Toc14946"/>
            <w:bookmarkStart w:id="173" w:name="_Toc3284"/>
            <w:bookmarkStart w:id="174" w:name="_Toc20239"/>
            <w:bookmarkStart w:id="175" w:name="_Toc11861"/>
            <w:r>
              <w:rPr>
                <w:rFonts w:hint="eastAsia" w:ascii="宋体" w:hAnsi="宋体" w:cs="宋体"/>
                <w:color w:val="auto"/>
                <w:kern w:val="0"/>
                <w:sz w:val="22"/>
                <w:szCs w:val="22"/>
                <w:highlight w:val="none"/>
                <w:lang w:val="zh-CN"/>
              </w:rPr>
              <w:t>序号</w:t>
            </w:r>
          </w:p>
        </w:tc>
        <w:tc>
          <w:tcPr>
            <w:tcW w:w="8432" w:type="dxa"/>
          </w:tcPr>
          <w:p w14:paraId="749827A1">
            <w:pPr>
              <w:autoSpaceDE w:val="0"/>
              <w:autoSpaceDN w:val="0"/>
              <w:adjustRightInd w:val="0"/>
              <w:snapToGrid w:val="0"/>
              <w:spacing w:line="44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内容（</w:t>
            </w:r>
            <w:r>
              <w:rPr>
                <w:rFonts w:hint="eastAsia" w:ascii="宋体" w:hAnsi="宋体" w:cs="宋体"/>
                <w:b/>
                <w:color w:val="auto"/>
                <w:kern w:val="0"/>
                <w:sz w:val="22"/>
                <w:szCs w:val="22"/>
                <w:highlight w:val="none"/>
                <w:lang w:val="zh-CN"/>
              </w:rPr>
              <w:t>序号</w:t>
            </w:r>
            <w:r>
              <w:rPr>
                <w:rFonts w:hint="eastAsia" w:ascii="宋体" w:hAnsi="宋体" w:cs="宋体"/>
                <w:b/>
                <w:color w:val="auto"/>
                <w:kern w:val="0"/>
                <w:sz w:val="22"/>
                <w:szCs w:val="22"/>
                <w:highlight w:val="none"/>
              </w:rPr>
              <w:t>1</w:t>
            </w:r>
            <w:r>
              <w:rPr>
                <w:rFonts w:hint="eastAsia" w:ascii="宋体" w:hAnsi="宋体" w:cs="宋体"/>
                <w:b/>
                <w:color w:val="auto"/>
                <w:kern w:val="0"/>
                <w:sz w:val="22"/>
                <w:szCs w:val="22"/>
                <w:highlight w:val="none"/>
                <w:lang w:val="zh-CN"/>
              </w:rPr>
              <w:t>-</w:t>
            </w:r>
            <w:r>
              <w:rPr>
                <w:rFonts w:hint="eastAsia" w:ascii="宋体" w:hAnsi="宋体" w:cs="宋体"/>
                <w:b/>
                <w:color w:val="auto"/>
                <w:kern w:val="0"/>
                <w:sz w:val="22"/>
                <w:szCs w:val="22"/>
                <w:highlight w:val="none"/>
                <w:lang w:val="en-US" w:eastAsia="zh-CN"/>
              </w:rPr>
              <w:t>2</w:t>
            </w:r>
            <w:r>
              <w:rPr>
                <w:rFonts w:hint="eastAsia" w:ascii="宋体" w:hAnsi="宋体" w:cs="宋体"/>
                <w:b/>
                <w:color w:val="auto"/>
                <w:kern w:val="0"/>
                <w:sz w:val="22"/>
                <w:szCs w:val="22"/>
                <w:highlight w:val="none"/>
                <w:lang w:val="zh-CN"/>
              </w:rPr>
              <w:t>项投标供应商必须提供，否则不能通过审查</w:t>
            </w:r>
            <w:r>
              <w:rPr>
                <w:rFonts w:hint="eastAsia" w:ascii="宋体" w:hAnsi="宋体" w:cs="宋体"/>
                <w:b/>
                <w:color w:val="auto"/>
                <w:kern w:val="0"/>
                <w:sz w:val="22"/>
                <w:szCs w:val="22"/>
                <w:highlight w:val="none"/>
              </w:rPr>
              <w:t>的</w:t>
            </w:r>
            <w:r>
              <w:rPr>
                <w:rFonts w:hint="eastAsia" w:ascii="宋体" w:hAnsi="宋体" w:cs="宋体"/>
                <w:b/>
                <w:color w:val="auto"/>
                <w:kern w:val="0"/>
                <w:sz w:val="22"/>
                <w:szCs w:val="22"/>
                <w:highlight w:val="none"/>
                <w:lang w:val="zh-CN"/>
              </w:rPr>
              <w:t>，责任自负。</w:t>
            </w:r>
            <w:r>
              <w:rPr>
                <w:rFonts w:hint="eastAsia" w:ascii="宋体" w:hAnsi="宋体" w:cs="宋体"/>
                <w:color w:val="auto"/>
                <w:kern w:val="0"/>
                <w:sz w:val="22"/>
                <w:szCs w:val="22"/>
                <w:highlight w:val="none"/>
                <w:lang w:val="zh-CN"/>
              </w:rPr>
              <w:t>）</w:t>
            </w:r>
          </w:p>
        </w:tc>
      </w:tr>
      <w:tr w14:paraId="5E17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B2B8DE6">
            <w:pPr>
              <w:autoSpaceDE w:val="0"/>
              <w:autoSpaceDN w:val="0"/>
              <w:adjustRightInd w:val="0"/>
              <w:snapToGrid w:val="0"/>
              <w:spacing w:line="44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432" w:type="dxa"/>
          </w:tcPr>
          <w:p w14:paraId="20906311">
            <w:pPr>
              <w:autoSpaceDE w:val="0"/>
              <w:autoSpaceDN w:val="0"/>
              <w:adjustRightInd w:val="0"/>
              <w:spacing w:line="440" w:lineRule="exact"/>
              <w:textAlignment w:val="bottom"/>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投标函（</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5929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63BBEA7">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p>
        </w:tc>
        <w:tc>
          <w:tcPr>
            <w:tcW w:w="8432" w:type="dxa"/>
          </w:tcPr>
          <w:p w14:paraId="4781928D">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开标一览表（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0597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7CBD611">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w:t>
            </w:r>
          </w:p>
        </w:tc>
        <w:tc>
          <w:tcPr>
            <w:tcW w:w="8432" w:type="dxa"/>
          </w:tcPr>
          <w:p w14:paraId="35F54614">
            <w:pPr>
              <w:autoSpaceDE w:val="0"/>
              <w:autoSpaceDN w:val="0"/>
              <w:adjustRightInd w:val="0"/>
              <w:spacing w:line="440" w:lineRule="exact"/>
              <w:textAlignment w:val="bottom"/>
              <w:rPr>
                <w:rFonts w:hint="eastAsia" w:ascii="宋体" w:hAnsi="宋体" w:eastAsia="宋体" w:cs="宋体"/>
                <w:color w:val="auto"/>
                <w:kern w:val="0"/>
                <w:sz w:val="22"/>
                <w:szCs w:val="22"/>
                <w:highlight w:val="none"/>
                <w:lang w:val="zh-CN" w:eastAsia="zh-CN"/>
              </w:rPr>
            </w:pPr>
            <w:r>
              <w:rPr>
                <w:rFonts w:hint="eastAsia" w:ascii="宋体" w:hAnsi="宋体" w:cs="宋体"/>
                <w:color w:val="auto"/>
                <w:kern w:val="0"/>
                <w:sz w:val="22"/>
                <w:szCs w:val="22"/>
                <w:highlight w:val="none"/>
              </w:rPr>
              <w:t>投标分项报价表（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4158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402F2F">
            <w:pPr>
              <w:autoSpaceDE w:val="0"/>
              <w:autoSpaceDN w:val="0"/>
              <w:adjustRightInd w:val="0"/>
              <w:snapToGrid w:val="0"/>
              <w:spacing w:line="430" w:lineRule="atLeas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4</w:t>
            </w:r>
          </w:p>
        </w:tc>
        <w:tc>
          <w:tcPr>
            <w:tcW w:w="8432" w:type="dxa"/>
          </w:tcPr>
          <w:p w14:paraId="7EE83C43">
            <w:pPr>
              <w:autoSpaceDE w:val="0"/>
              <w:autoSpaceDN w:val="0"/>
              <w:adjustRightInd w:val="0"/>
              <w:spacing w:line="430" w:lineRule="atLeast"/>
              <w:textAlignment w:val="bottom"/>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享受价格优惠的相应材料（小微企业、监狱企业、残疾人福利性单位）如有则提供</w:t>
            </w:r>
          </w:p>
        </w:tc>
      </w:tr>
      <w:tr w14:paraId="002A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F41DF4">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5</w:t>
            </w:r>
          </w:p>
        </w:tc>
        <w:tc>
          <w:tcPr>
            <w:tcW w:w="8432" w:type="dxa"/>
          </w:tcPr>
          <w:p w14:paraId="1C311CBA">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投标人针对报价需要说明的其他文件和资料（格式自拟）</w:t>
            </w:r>
          </w:p>
        </w:tc>
      </w:tr>
    </w:tbl>
    <w:p w14:paraId="52DE25C9">
      <w:pPr>
        <w:pStyle w:val="29"/>
        <w:snapToGrid w:val="0"/>
        <w:spacing w:before="120" w:after="120"/>
        <w:ind w:firstLine="442" w:firstLineChars="200"/>
        <w:jc w:val="left"/>
        <w:rPr>
          <w:rFonts w:hint="eastAsia" w:hAnsi="宋体" w:cs="宋体"/>
          <w:color w:val="auto"/>
          <w:kern w:val="0"/>
          <w:sz w:val="22"/>
          <w:szCs w:val="20"/>
          <w:highlight w:val="none"/>
        </w:rPr>
      </w:pPr>
      <w:r>
        <w:rPr>
          <w:rFonts w:hint="eastAsia" w:hAnsi="宋体" w:cs="宋体"/>
          <w:b/>
          <w:bCs/>
          <w:color w:val="auto"/>
          <w:kern w:val="0"/>
          <w:sz w:val="22"/>
          <w:szCs w:val="20"/>
          <w:highlight w:val="none"/>
        </w:rPr>
        <w:t>注：（1）以上要求提供的内容附件中如有格式，按招标文件格式，若未提供则格式自拟。</w:t>
      </w:r>
    </w:p>
    <w:p w14:paraId="5FC0D042">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（2）填写报价表格时，各项费用应如实填写，如已含在产品价格中，则填“含”，</w:t>
      </w:r>
      <w:r>
        <w:rPr>
          <w:rFonts w:hint="eastAsia" w:hAnsi="宋体" w:cs="宋体"/>
          <w:color w:val="auto"/>
          <w:kern w:val="0"/>
          <w:sz w:val="22"/>
          <w:szCs w:val="20"/>
          <w:highlight w:val="none"/>
          <w:lang w:eastAsia="zh-CN"/>
        </w:rPr>
        <w:t>不允许</w:t>
      </w:r>
      <w:r>
        <w:rPr>
          <w:rFonts w:hint="eastAsia" w:hAnsi="宋体" w:cs="宋体"/>
          <w:color w:val="auto"/>
          <w:kern w:val="0"/>
          <w:sz w:val="22"/>
          <w:szCs w:val="20"/>
          <w:highlight w:val="none"/>
        </w:rPr>
        <w:t>免费</w:t>
      </w:r>
      <w:r>
        <w:rPr>
          <w:rFonts w:hint="eastAsia" w:hAnsi="宋体" w:cs="宋体"/>
          <w:color w:val="auto"/>
          <w:kern w:val="0"/>
          <w:sz w:val="22"/>
          <w:szCs w:val="20"/>
          <w:highlight w:val="none"/>
          <w:lang w:eastAsia="zh-CN"/>
        </w:rPr>
        <w:t>赠送</w:t>
      </w:r>
      <w:r>
        <w:rPr>
          <w:rFonts w:hint="eastAsia" w:hAnsi="宋体" w:cs="宋体"/>
          <w:color w:val="auto"/>
          <w:kern w:val="0"/>
          <w:sz w:val="22"/>
          <w:szCs w:val="20"/>
          <w:highlight w:val="none"/>
        </w:rPr>
        <w:t>，不允许空白。供应商在总价中应充分考虑作业期间成本投入的市场风险、政策性调整及服务期间的不可预见因素，今后不再作调整，采购人要求变动的内容除外。供应商在报价中应充分考虑所有可能发生的费用。</w:t>
      </w:r>
    </w:p>
    <w:p w14:paraId="1919AC9B">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14:paraId="443891DA">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（4）投标商对在合同执行中，除上述费用及招标文件规定的由中标人负责的工作范围以外需要买方协调或提供便利的工作应当在投标文件中说明。</w:t>
      </w:r>
    </w:p>
    <w:p w14:paraId="315D37DA">
      <w:pPr>
        <w:pStyle w:val="29"/>
        <w:snapToGrid w:val="0"/>
        <w:spacing w:before="120" w:after="120" w:line="440" w:lineRule="exact"/>
        <w:ind w:firstLine="442" w:firstLineChars="200"/>
        <w:jc w:val="left"/>
        <w:rPr>
          <w:rFonts w:hint="eastAsia" w:hAnsi="宋体" w:cs="宋体"/>
          <w:b/>
          <w:bCs/>
          <w:color w:val="auto"/>
          <w:highlight w:val="none"/>
        </w:rPr>
      </w:pPr>
      <w:r>
        <w:rPr>
          <w:rFonts w:hint="eastAsia" w:hAnsi="宋体" w:cs="宋体"/>
          <w:b/>
          <w:bCs/>
          <w:color w:val="auto"/>
          <w:kern w:val="0"/>
          <w:sz w:val="22"/>
          <w:szCs w:val="20"/>
          <w:highlight w:val="none"/>
        </w:rPr>
        <w:t>（5）</w:t>
      </w:r>
      <w:r>
        <w:rPr>
          <w:rFonts w:hint="eastAsia" w:hAnsi="宋体"/>
          <w:b/>
          <w:color w:val="auto"/>
          <w:highlight w:val="none"/>
        </w:rPr>
        <w:t>关于本项目投标价格的信息只允许出现在“报价文件”中，不得出现在技术标及商务标中。如提供纸质备份文件的，报价文件须单独密封。</w:t>
      </w:r>
    </w:p>
    <w:p w14:paraId="2EC10FBB">
      <w:pPr>
        <w:snapToGrid w:val="0"/>
        <w:spacing w:line="46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（二）投标文件的语言及计量</w:t>
      </w:r>
      <w:bookmarkEnd w:id="168"/>
      <w:bookmarkEnd w:id="169"/>
      <w:bookmarkEnd w:id="170"/>
      <w:bookmarkEnd w:id="171"/>
      <w:bookmarkEnd w:id="172"/>
      <w:bookmarkEnd w:id="173"/>
      <w:bookmarkEnd w:id="174"/>
      <w:bookmarkEnd w:id="175"/>
    </w:p>
    <w:p w14:paraId="04859F27">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7A80FA90">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2CB1F56E">
      <w:pPr>
        <w:snapToGrid w:val="0"/>
        <w:spacing w:line="460" w:lineRule="exact"/>
        <w:ind w:firstLine="482" w:firstLineChars="200"/>
        <w:jc w:val="left"/>
        <w:rPr>
          <w:rFonts w:hint="eastAsia" w:ascii="宋体" w:hAnsi="宋体" w:cs="宋体"/>
          <w:b/>
          <w:bCs/>
          <w:color w:val="auto"/>
          <w:sz w:val="24"/>
          <w:highlight w:val="none"/>
        </w:rPr>
      </w:pPr>
      <w:bookmarkStart w:id="176" w:name="_Toc5952"/>
      <w:bookmarkStart w:id="177" w:name="_Toc20145"/>
      <w:bookmarkStart w:id="178" w:name="_Toc15337"/>
      <w:bookmarkStart w:id="179" w:name="_Toc3387"/>
      <w:bookmarkStart w:id="180" w:name="_Toc30164"/>
      <w:bookmarkStart w:id="181" w:name="_Toc24316"/>
      <w:bookmarkStart w:id="182" w:name="_Toc24256"/>
      <w:bookmarkStart w:id="183" w:name="_Toc32223"/>
      <w:r>
        <w:rPr>
          <w:rFonts w:hint="eastAsia" w:ascii="宋体" w:hAnsi="宋体" w:cs="宋体"/>
          <w:b/>
          <w:bCs/>
          <w:color w:val="auto"/>
          <w:sz w:val="24"/>
          <w:highlight w:val="none"/>
        </w:rPr>
        <w:t>（三）投标报价</w:t>
      </w:r>
      <w:bookmarkEnd w:id="176"/>
      <w:bookmarkEnd w:id="177"/>
      <w:bookmarkEnd w:id="178"/>
      <w:bookmarkEnd w:id="179"/>
      <w:bookmarkEnd w:id="180"/>
      <w:bookmarkEnd w:id="181"/>
      <w:bookmarkEnd w:id="182"/>
      <w:bookmarkEnd w:id="183"/>
    </w:p>
    <w:p w14:paraId="310DCC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bookmarkStart w:id="184" w:name="_Toc28306"/>
      <w:bookmarkStart w:id="185" w:name="_Toc13772"/>
      <w:bookmarkStart w:id="186" w:name="_Toc26142"/>
      <w:bookmarkStart w:id="187" w:name="_Toc1595"/>
      <w:bookmarkStart w:id="188" w:name="_Toc105"/>
      <w:bookmarkStart w:id="189" w:name="_Toc26005"/>
      <w:bookmarkStart w:id="190" w:name="_Toc12502"/>
      <w:bookmarkStart w:id="191" w:name="_Toc4546"/>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cs="宋体"/>
          <w:b/>
          <w:color w:val="auto"/>
          <w:sz w:val="24"/>
          <w:highlight w:val="none"/>
        </w:rPr>
        <w:t>（</w:t>
      </w:r>
      <w:r>
        <w:rPr>
          <w:rFonts w:hint="eastAsia" w:ascii="宋体" w:hAnsi="宋体" w:cs="宋体"/>
          <w:b/>
          <w:bCs/>
          <w:color w:val="auto"/>
          <w:sz w:val="24"/>
          <w:highlight w:val="none"/>
        </w:rPr>
        <w:t>本项目设有最高限价</w:t>
      </w:r>
      <w:r>
        <w:rPr>
          <w:rFonts w:hint="eastAsia" w:ascii="宋体" w:hAnsi="宋体" w:cs="宋体"/>
          <w:b/>
          <w:bCs/>
          <w:color w:val="auto"/>
          <w:sz w:val="24"/>
          <w:highlight w:val="none"/>
          <w:lang w:val="en-US" w:eastAsia="zh-CN"/>
        </w:rPr>
        <w:t>即预算价</w:t>
      </w:r>
      <w:r>
        <w:rPr>
          <w:rFonts w:hint="eastAsia" w:ascii="宋体" w:hAnsi="宋体" w:cs="宋体"/>
          <w:b/>
          <w:bCs/>
          <w:color w:val="auto"/>
          <w:sz w:val="24"/>
          <w:highlight w:val="none"/>
        </w:rPr>
        <w:t>，高于最高限价的投标报价为无效报价，作无效投标处理。</w:t>
      </w:r>
      <w:r>
        <w:rPr>
          <w:rFonts w:hint="eastAsia" w:ascii="宋体" w:hAnsi="宋体" w:cs="宋体"/>
          <w:b/>
          <w:color w:val="auto"/>
          <w:sz w:val="24"/>
          <w:highlight w:val="none"/>
        </w:rPr>
        <w:t>）</w:t>
      </w:r>
    </w:p>
    <w:p w14:paraId="332FC9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w:t>
      </w:r>
      <w:r>
        <w:rPr>
          <w:rFonts w:hint="eastAsia" w:ascii="宋体" w:hAnsi="宋体" w:cs="宋体"/>
          <w:color w:val="auto"/>
          <w:sz w:val="24"/>
          <w:highlight w:val="none"/>
          <w:lang w:val="en-US" w:eastAsia="zh-CN"/>
        </w:rPr>
        <w:t>人工</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专业设备、必要耗材费、</w:t>
      </w:r>
      <w:r>
        <w:rPr>
          <w:rFonts w:hint="eastAsia" w:ascii="宋体" w:hAnsi="宋体" w:cs="宋体"/>
          <w:color w:val="auto"/>
          <w:sz w:val="24"/>
          <w:highlight w:val="none"/>
        </w:rPr>
        <w:t>保险</w:t>
      </w:r>
      <w:r>
        <w:rPr>
          <w:rFonts w:hint="eastAsia" w:ascii="宋体" w:hAnsi="宋体"/>
          <w:color w:val="auto"/>
          <w:sz w:val="24"/>
          <w:highlight w:val="none"/>
        </w:rPr>
        <w:t>、税金、合理利润、完成本项目的其它费用以及采购代理服务费等所有费用。</w:t>
      </w:r>
    </w:p>
    <w:p w14:paraId="49CBEA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18C4C6AC">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A04CEF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1F203F9B">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（四）投标文件的有效期</w:t>
      </w:r>
      <w:bookmarkEnd w:id="184"/>
      <w:bookmarkEnd w:id="185"/>
      <w:bookmarkEnd w:id="186"/>
      <w:bookmarkEnd w:id="187"/>
      <w:bookmarkEnd w:id="188"/>
      <w:bookmarkEnd w:id="189"/>
      <w:bookmarkEnd w:id="190"/>
      <w:bookmarkEnd w:id="191"/>
    </w:p>
    <w:p w14:paraId="30E5D1E3">
      <w:pPr>
        <w:snapToGrid w:val="0"/>
        <w:spacing w:line="480" w:lineRule="exact"/>
        <w:ind w:firstLine="470" w:firstLineChars="196"/>
        <w:jc w:val="left"/>
        <w:rPr>
          <w:rFonts w:hint="eastAsia" w:ascii="宋体" w:hAnsi="宋体"/>
          <w:color w:val="auto"/>
          <w:sz w:val="24"/>
          <w:highlight w:val="none"/>
        </w:rPr>
      </w:pPr>
      <w:bookmarkStart w:id="192" w:name="_Toc16094"/>
      <w:bookmarkStart w:id="193" w:name="_Toc3352"/>
      <w:bookmarkStart w:id="194" w:name="_Toc11741"/>
      <w:bookmarkStart w:id="195" w:name="_Toc6910"/>
      <w:bookmarkStart w:id="196" w:name="_Toc11775"/>
      <w:bookmarkStart w:id="197" w:name="_Toc2492"/>
      <w:bookmarkStart w:id="198" w:name="_Toc20104"/>
      <w:bookmarkStart w:id="199" w:name="_Toc30936"/>
      <w:bookmarkStart w:id="200" w:name="_Toc21755"/>
      <w:bookmarkStart w:id="201" w:name="_Toc20729"/>
      <w:bookmarkStart w:id="202" w:name="_Toc12000"/>
      <w:r>
        <w:rPr>
          <w:rFonts w:hint="eastAsia" w:ascii="宋体" w:hAnsi="宋体"/>
          <w:color w:val="auto"/>
          <w:sz w:val="24"/>
          <w:highlight w:val="none"/>
        </w:rPr>
        <w:t>▲1.自投标截止日起60天投标文件应保持有效</w:t>
      </w:r>
      <w:bookmarkEnd w:id="192"/>
      <w:bookmarkEnd w:id="193"/>
      <w:bookmarkEnd w:id="194"/>
      <w:bookmarkEnd w:id="195"/>
      <w:bookmarkEnd w:id="196"/>
      <w:bookmarkEnd w:id="197"/>
      <w:bookmarkEnd w:id="198"/>
      <w:bookmarkEnd w:id="199"/>
      <w:r>
        <w:rPr>
          <w:rFonts w:hint="eastAsia" w:ascii="宋体" w:hAnsi="宋体"/>
          <w:color w:val="auto"/>
          <w:sz w:val="24"/>
          <w:highlight w:val="none"/>
        </w:rPr>
        <w:t>，</w:t>
      </w:r>
      <w:r>
        <w:rPr>
          <w:rFonts w:hint="eastAsia" w:ascii="宋体" w:hAnsi="宋体" w:cs="宋体"/>
          <w:b/>
          <w:color w:val="auto"/>
          <w:sz w:val="24"/>
          <w:highlight w:val="none"/>
        </w:rPr>
        <w:t>投标人的投标文件中承诺的投标有效期少于招标文件中载明的投标有效期的，投标无效。</w:t>
      </w:r>
      <w:bookmarkEnd w:id="200"/>
      <w:bookmarkEnd w:id="201"/>
      <w:bookmarkEnd w:id="202"/>
    </w:p>
    <w:p w14:paraId="48E2B6B9">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2.在特殊情况下，招标人可与投标人协商延长投标书的有效期，这种要求和答复均以书面形式进行。</w:t>
      </w:r>
    </w:p>
    <w:p w14:paraId="5194E035">
      <w:pPr>
        <w:widowControl/>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3.中标人的投标文件自开标之日起至合同履行完毕止均应保持有效。</w:t>
      </w:r>
    </w:p>
    <w:p w14:paraId="1C004DE1">
      <w:pPr>
        <w:widowControl/>
        <w:spacing w:line="460" w:lineRule="exact"/>
        <w:ind w:firstLine="482" w:firstLineChars="200"/>
        <w:jc w:val="left"/>
        <w:rPr>
          <w:rFonts w:hint="eastAsia" w:ascii="宋体" w:hAnsi="宋体"/>
          <w:b/>
          <w:bCs/>
          <w:color w:val="auto"/>
          <w:sz w:val="24"/>
          <w:highlight w:val="none"/>
        </w:rPr>
      </w:pPr>
      <w:bookmarkStart w:id="203" w:name="_Toc14156"/>
      <w:bookmarkStart w:id="204" w:name="_Toc13842"/>
      <w:bookmarkStart w:id="205" w:name="_Toc22132"/>
      <w:bookmarkStart w:id="206" w:name="_Toc29474"/>
      <w:bookmarkStart w:id="207" w:name="_Toc2438"/>
      <w:bookmarkStart w:id="208" w:name="_Toc27608"/>
      <w:bookmarkStart w:id="209" w:name="_Toc23456"/>
      <w:bookmarkStart w:id="210" w:name="_Toc32250"/>
      <w:r>
        <w:rPr>
          <w:rFonts w:hint="eastAsia" w:ascii="宋体" w:hAnsi="宋体"/>
          <w:b/>
          <w:bCs/>
          <w:color w:val="auto"/>
          <w:sz w:val="24"/>
          <w:highlight w:val="none"/>
        </w:rPr>
        <w:t>（五）投标文件的签署和份数</w:t>
      </w:r>
      <w:bookmarkEnd w:id="203"/>
      <w:bookmarkEnd w:id="204"/>
      <w:bookmarkEnd w:id="205"/>
      <w:bookmarkEnd w:id="206"/>
      <w:bookmarkEnd w:id="207"/>
      <w:bookmarkEnd w:id="208"/>
      <w:bookmarkEnd w:id="209"/>
      <w:bookmarkEnd w:id="210"/>
    </w:p>
    <w:p w14:paraId="79381EC8">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1.电子投标文件部分：</w:t>
      </w:r>
    </w:p>
    <w:p w14:paraId="626C46AA">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投标人应根据“政采云供应商项目采购－电子招投标操作指南”及本招标文件规定的格式和顺序编制电子投标文件并进行关联定位。</w:t>
      </w:r>
    </w:p>
    <w:p w14:paraId="20CD4167">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2.备份电子投标文件部分：</w:t>
      </w:r>
    </w:p>
    <w:p w14:paraId="0C2877B1">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电子投标文件的备份文件，以光盘或U盘形式存储，并单独密封递交。数量为1份。</w:t>
      </w:r>
    </w:p>
    <w:p w14:paraId="50988EE3">
      <w:pPr>
        <w:snapToGrid w:val="0"/>
        <w:spacing w:line="48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3.纸质备份投标文件部分：</w:t>
      </w:r>
    </w:p>
    <w:p w14:paraId="729A9F03">
      <w:pPr>
        <w:snapToGrid w:val="0"/>
        <w:spacing w:line="48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 xml:space="preserve">纸质备份投标文件：技术商务文件1份、报价文件1份。 </w:t>
      </w:r>
    </w:p>
    <w:p w14:paraId="1041CF06">
      <w:pPr>
        <w:snapToGrid w:val="0"/>
        <w:spacing w:line="480" w:lineRule="exact"/>
        <w:ind w:firstLine="470" w:firstLineChars="196"/>
        <w:jc w:val="left"/>
        <w:rPr>
          <w:color w:val="auto"/>
          <w:highlight w:val="none"/>
        </w:rPr>
      </w:pPr>
      <w:r>
        <w:rPr>
          <w:rFonts w:hint="eastAsia" w:ascii="宋体" w:hAnsi="宋体" w:cs="宋体"/>
          <w:color w:val="auto"/>
          <w:sz w:val="24"/>
          <w:highlight w:val="none"/>
        </w:rPr>
        <w:t>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bCs/>
          <w:color w:val="auto"/>
          <w:sz w:val="24"/>
          <w:highlight w:val="none"/>
        </w:rPr>
        <w:t>不符合上述制作、存储、密封规定的备份投标文件将被视为无效或者被拒绝接收。</w:t>
      </w:r>
    </w:p>
    <w:p w14:paraId="7F181800">
      <w:pPr>
        <w:snapToGrid w:val="0"/>
        <w:spacing w:line="480" w:lineRule="exact"/>
        <w:ind w:firstLine="482" w:firstLineChars="200"/>
        <w:jc w:val="left"/>
        <w:rPr>
          <w:rFonts w:ascii="宋体" w:hAnsi="宋体"/>
          <w:color w:val="auto"/>
          <w:sz w:val="24"/>
          <w:highlight w:val="none"/>
        </w:rPr>
      </w:pPr>
      <w:r>
        <w:rPr>
          <w:rFonts w:hint="eastAsia" w:ascii="宋体" w:hAnsi="宋体"/>
          <w:b/>
          <w:color w:val="auto"/>
          <w:sz w:val="24"/>
          <w:highlight w:val="none"/>
        </w:rPr>
        <w:t>以上所称的备份投标文件（即备份电子投标文件和纸质备份投标文件）的提供与否不做强制性要求，由投标人自行考虑相关利弊因素自主决定。</w:t>
      </w:r>
    </w:p>
    <w:p w14:paraId="1EA1C5E7">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（六）投标文件的包装、递交、修改和撤回</w:t>
      </w:r>
    </w:p>
    <w:p w14:paraId="536ABD7C">
      <w:pPr>
        <w:snapToGrid w:val="0"/>
        <w:spacing w:line="480" w:lineRule="exact"/>
        <w:ind w:firstLine="480" w:firstLineChars="200"/>
        <w:rPr>
          <w:rFonts w:ascii="宋体" w:hAnsi="宋体"/>
          <w:bCs/>
          <w:color w:val="auto"/>
          <w:sz w:val="24"/>
          <w:highlight w:val="none"/>
        </w:rPr>
      </w:pPr>
      <w:bookmarkStart w:id="211" w:name="_Toc11169"/>
      <w:bookmarkStart w:id="212" w:name="_Toc20991"/>
      <w:r>
        <w:rPr>
          <w:rFonts w:hint="eastAsia" w:ascii="宋体" w:hAnsi="宋体"/>
          <w:bCs/>
          <w:color w:val="auto"/>
          <w:sz w:val="24"/>
          <w:highlight w:val="none"/>
        </w:rPr>
        <w:t>1.以介质存储的数据电文形式的电子备份投标文件用封袋密封包装。</w:t>
      </w:r>
    </w:p>
    <w:p w14:paraId="793D88D9">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2.纸质备份投标文件，要求按</w:t>
      </w:r>
      <w:r>
        <w:rPr>
          <w:rFonts w:hint="eastAsia" w:ascii="宋体" w:hAnsi="宋体" w:cs="宋体"/>
          <w:b/>
          <w:bCs/>
          <w:color w:val="auto"/>
          <w:sz w:val="24"/>
          <w:highlight w:val="none"/>
        </w:rPr>
        <w:t>技术商务文件和报价文件分</w:t>
      </w:r>
      <w:r>
        <w:rPr>
          <w:rFonts w:hint="eastAsia" w:ascii="宋体" w:hAnsi="宋体"/>
          <w:bCs/>
          <w:color w:val="auto"/>
          <w:sz w:val="24"/>
          <w:highlight w:val="none"/>
        </w:rPr>
        <w:t>别密封包装。</w:t>
      </w:r>
    </w:p>
    <w:p w14:paraId="22A66678">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3.投标文件的包封应密封完好，正确标明投标文件名称（电子备份投标文件/技术商务文件/报价文件</w:t>
      </w:r>
      <w:r>
        <w:rPr>
          <w:rFonts w:ascii="宋体" w:hAnsi="宋体"/>
          <w:bCs/>
          <w:color w:val="auto"/>
          <w:sz w:val="24"/>
          <w:highlight w:val="none"/>
        </w:rPr>
        <w:t>）</w:t>
      </w:r>
      <w:r>
        <w:rPr>
          <w:rFonts w:hint="eastAsia" w:ascii="宋体" w:hAnsi="宋体"/>
          <w:bCs/>
          <w:color w:val="auto"/>
          <w:sz w:val="24"/>
          <w:highlight w:val="none"/>
        </w:rPr>
        <w:t>、投标项目名称、项目编号及投标人名称。</w:t>
      </w:r>
      <w:r>
        <w:rPr>
          <w:rFonts w:hint="eastAsia" w:ascii="宋体" w:hAnsi="宋体" w:cs="宋体"/>
          <w:b/>
          <w:bCs/>
          <w:color w:val="auto"/>
          <w:sz w:val="24"/>
          <w:highlight w:val="none"/>
        </w:rPr>
        <w:t>电子投标文件须根据评分标准进行关联定位。</w:t>
      </w:r>
    </w:p>
    <w:p w14:paraId="0FBA5BD1">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14:paraId="7B2AFD65">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5.纸质投标文件须与电子投标文件保持一致。如有篡改，一经发现，将被列入不良行为。</w:t>
      </w:r>
    </w:p>
    <w:p w14:paraId="54952A08">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6.</w:t>
      </w:r>
      <w:r>
        <w:rPr>
          <w:rFonts w:hint="eastAsia" w:ascii="宋体" w:hAnsi="宋体" w:cs="宋体"/>
          <w:color w:val="auto"/>
          <w:sz w:val="24"/>
          <w:highlight w:val="none"/>
        </w:rPr>
        <w:t>电子投标文件（</w:t>
      </w:r>
      <w:r>
        <w:rPr>
          <w:rFonts w:hint="eastAsia" w:ascii="宋体" w:hAnsi="宋体" w:cs="宋体"/>
          <w:b/>
          <w:bCs/>
          <w:color w:val="auto"/>
          <w:sz w:val="24"/>
          <w:highlight w:val="none"/>
        </w:rPr>
        <w:t>包括技术商务文件和报价文件</w:t>
      </w:r>
      <w:r>
        <w:rPr>
          <w:rFonts w:hint="eastAsia" w:ascii="宋体" w:hAnsi="宋体" w:cs="宋体"/>
          <w:color w:val="auto"/>
          <w:sz w:val="24"/>
          <w:highlight w:val="none"/>
        </w:rPr>
        <w:t>）中招标文件要求加盖公章的部分均采用CA签章。</w:t>
      </w:r>
    </w:p>
    <w:p w14:paraId="28FC48B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7.投标文件未按时解密，供应商提供了备份投标文件的，以备份投标文件作为依据，否则视为投标文件撤回。投标文件已按时解密的，备份投标文件自动失效。</w:t>
      </w:r>
    </w:p>
    <w:p w14:paraId="2E7069BF">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8.中标方在领取中标通知书前，须向</w:t>
      </w:r>
      <w:r>
        <w:rPr>
          <w:rFonts w:hint="eastAsia" w:ascii="宋体" w:hAnsi="宋体"/>
          <w:b/>
          <w:color w:val="auto"/>
          <w:sz w:val="24"/>
          <w:highlight w:val="none"/>
          <w:lang w:eastAsia="zh-CN"/>
        </w:rPr>
        <w:t>代理单位</w:t>
      </w:r>
      <w:r>
        <w:rPr>
          <w:rFonts w:hint="eastAsia" w:ascii="宋体" w:hAnsi="宋体"/>
          <w:b/>
          <w:color w:val="auto"/>
          <w:sz w:val="24"/>
          <w:highlight w:val="none"/>
        </w:rPr>
        <w:t>提供纸质投标文件1套，按</w:t>
      </w:r>
      <w:r>
        <w:rPr>
          <w:rFonts w:hint="eastAsia" w:ascii="宋体" w:hAnsi="宋体" w:cs="宋体"/>
          <w:b/>
          <w:color w:val="auto"/>
          <w:sz w:val="24"/>
          <w:highlight w:val="none"/>
        </w:rPr>
        <w:t>技术商务文件和报价文件</w:t>
      </w:r>
      <w:r>
        <w:rPr>
          <w:rFonts w:hint="eastAsia" w:ascii="宋体" w:hAnsi="宋体"/>
          <w:b/>
          <w:color w:val="auto"/>
          <w:sz w:val="24"/>
          <w:highlight w:val="none"/>
        </w:rPr>
        <w:t>分别编制并单独装订成册。（递交或邮寄地址：磐安县安文街道花月路211号建设大厦</w:t>
      </w:r>
      <w:r>
        <w:rPr>
          <w:rFonts w:hint="eastAsia" w:ascii="宋体" w:hAnsi="宋体"/>
          <w:b/>
          <w:color w:val="auto"/>
          <w:sz w:val="24"/>
          <w:highlight w:val="none"/>
          <w:lang w:val="en-US" w:eastAsia="zh-CN"/>
        </w:rPr>
        <w:t>12</w:t>
      </w:r>
      <w:r>
        <w:rPr>
          <w:rFonts w:hint="eastAsia" w:ascii="宋体" w:hAnsi="宋体"/>
          <w:b/>
          <w:color w:val="auto"/>
          <w:sz w:val="24"/>
          <w:highlight w:val="none"/>
        </w:rPr>
        <w:t>楼；电话：</w:t>
      </w:r>
      <w:r>
        <w:rPr>
          <w:rFonts w:hint="eastAsia" w:ascii="宋体" w:hAnsi="宋体"/>
          <w:b/>
          <w:color w:val="auto"/>
          <w:sz w:val="24"/>
          <w:highlight w:val="none"/>
          <w:lang w:val="en-US" w:eastAsia="zh-CN"/>
        </w:rPr>
        <w:t>05</w:t>
      </w:r>
      <w:r>
        <w:rPr>
          <w:rFonts w:hint="eastAsia" w:ascii="宋体" w:hAnsi="宋体"/>
          <w:b/>
          <w:color w:val="auto"/>
          <w:sz w:val="24"/>
          <w:highlight w:val="none"/>
        </w:rPr>
        <w:t>79-8466</w:t>
      </w:r>
      <w:r>
        <w:rPr>
          <w:rFonts w:hint="eastAsia" w:ascii="宋体" w:hAnsi="宋体"/>
          <w:b/>
          <w:color w:val="auto"/>
          <w:sz w:val="24"/>
          <w:highlight w:val="none"/>
          <w:lang w:val="en-US" w:eastAsia="zh-CN"/>
        </w:rPr>
        <w:t>9847</w:t>
      </w:r>
      <w:r>
        <w:rPr>
          <w:rFonts w:hint="eastAsia" w:ascii="宋体" w:hAnsi="宋体"/>
          <w:b/>
          <w:color w:val="auto"/>
          <w:sz w:val="24"/>
          <w:highlight w:val="none"/>
        </w:rPr>
        <w:t>）</w:t>
      </w:r>
    </w:p>
    <w:p w14:paraId="1DE67A3D">
      <w:pPr>
        <w:snapToGrid w:val="0"/>
        <w:spacing w:line="4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（七）供应商有下列情形之一的，列入失信名单，同时依照《政府采购法》第七十七条及《中华人民共和国政府采购法实施条例》第七十二条规定处罚并追究法律责任。</w:t>
      </w:r>
      <w:bookmarkEnd w:id="211"/>
      <w:bookmarkEnd w:id="212"/>
    </w:p>
    <w:p w14:paraId="2642AEC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1.</w:t>
      </w:r>
      <w:r>
        <w:rPr>
          <w:rFonts w:hint="eastAsia" w:ascii="宋体" w:hAnsi="宋体" w:eastAsia="宋体" w:cs="Times New Roman"/>
          <w:bCs/>
          <w:color w:val="auto"/>
          <w:sz w:val="24"/>
          <w:highlight w:val="none"/>
        </w:rPr>
        <w:t>不同供应商的电子投标(响应）文件上传计算机的网卡MAC地址、CPU序列号和硬盘序列号等硬件信息相同的；</w:t>
      </w:r>
    </w:p>
    <w:p w14:paraId="2BD50DD6">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2.</w:t>
      </w:r>
      <w:r>
        <w:rPr>
          <w:rFonts w:hint="eastAsia" w:ascii="宋体" w:hAnsi="宋体" w:eastAsia="宋体" w:cs="Times New Roman"/>
          <w:bCs/>
          <w:color w:val="auto"/>
          <w:sz w:val="24"/>
          <w:highlight w:val="none"/>
        </w:rPr>
        <w:t>不同供应商的投标(响应）文件由同一电子设备编制、打印加密或者上传；</w:t>
      </w:r>
    </w:p>
    <w:p w14:paraId="3CA56F08">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rPr>
        <w:t>不同供应商的投标(响应）文件由同一电子设备打印、复印；</w:t>
      </w:r>
    </w:p>
    <w:p w14:paraId="69546A2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不同供应商的投标(响应）文件由同一人送达或者分发，或者不同供应商联系人为同一人或不同联系人的联系电话一致的；</w:t>
      </w:r>
    </w:p>
    <w:p w14:paraId="4FC86CFC">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不同供应商的投标(响应）文件的内容存在两处以上细节错误一致；</w:t>
      </w:r>
    </w:p>
    <w:p w14:paraId="65F5AD3C">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不同供应商的法定代表人、委托代理人、项目经理、项目负责人等由同一个单位缴纳社会保险或者领取报酬的；</w:t>
      </w:r>
    </w:p>
    <w:p w14:paraId="02C08219">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不同供应商投标(响应）文件中法定代表人或者负责人签字出自同一人之手；</w:t>
      </w:r>
    </w:p>
    <w:p w14:paraId="42B421E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投标人在投标有效期内撤销投标文件的及其它涉嫌串通的情形。</w:t>
      </w:r>
    </w:p>
    <w:p w14:paraId="188CE886">
      <w:pPr>
        <w:snapToGrid w:val="0"/>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（八）投标无效的情形</w:t>
      </w:r>
    </w:p>
    <w:p w14:paraId="501B3DFD">
      <w:pPr>
        <w:snapToGrid w:val="0"/>
        <w:spacing w:line="480" w:lineRule="exact"/>
        <w:ind w:firstLine="482" w:firstLineChars="200"/>
        <w:rPr>
          <w:rFonts w:hint="eastAsia" w:ascii="宋体" w:hAnsi="宋体"/>
          <w:bCs/>
          <w:color w:val="auto"/>
          <w:sz w:val="24"/>
          <w:highlight w:val="none"/>
        </w:rPr>
      </w:pPr>
      <w:bookmarkStart w:id="213" w:name="_Toc11776"/>
      <w:bookmarkStart w:id="214" w:name="_Toc13143"/>
      <w:bookmarkStart w:id="215" w:name="_Toc11970"/>
      <w:bookmarkStart w:id="216" w:name="_Toc6623"/>
      <w:bookmarkStart w:id="217" w:name="_Toc1053"/>
      <w:bookmarkStart w:id="218" w:name="_Toc25820"/>
      <w:bookmarkStart w:id="219" w:name="_Toc19269"/>
      <w:bookmarkStart w:id="220" w:name="_Toc26260"/>
      <w:bookmarkStart w:id="221" w:name="_Toc28701"/>
      <w:bookmarkStart w:id="222" w:name="_Toc91899903"/>
      <w:r>
        <w:rPr>
          <w:rFonts w:hint="eastAsia" w:ascii="宋体" w:hAnsi="宋体"/>
          <w:b/>
          <w:color w:val="auto"/>
          <w:sz w:val="24"/>
          <w:highlight w:val="none"/>
        </w:rPr>
        <w:t>有下列情况之一的，投标无效</w:t>
      </w:r>
      <w:r>
        <w:rPr>
          <w:rFonts w:hint="eastAsia" w:ascii="宋体" w:hAnsi="宋体"/>
          <w:bCs/>
          <w:color w:val="auto"/>
          <w:sz w:val="24"/>
          <w:highlight w:val="none"/>
        </w:rPr>
        <w:t>：</w:t>
      </w:r>
    </w:p>
    <w:p w14:paraId="23B497D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1.投标人不具备招标文件中规定的资格要求的（投标人未提供有效的资格文件的，视为投标人不具备招标文件中规定的资格要求）；</w:t>
      </w:r>
    </w:p>
    <w:p w14:paraId="26909D8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2.投标文件未按照招标文件要求签署、盖章的；</w:t>
      </w:r>
    </w:p>
    <w:p w14:paraId="3A3A2AD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3.采购人拟采购的产品属于政府强制采购的节能产品品目清单范围的，投标人未按招标文件要求提供国家确定的认证机构出具的、处于有效期之内的节能产品认证证书的；</w:t>
      </w:r>
    </w:p>
    <w:p w14:paraId="3AED259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4.投标文件含有采购人不能接受的附加条件的；</w:t>
      </w:r>
    </w:p>
    <w:p w14:paraId="4D4CBAC5">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5.投标文件中承诺的投标有效期少于招标文件中载明的投标有效期的；</w:t>
      </w:r>
    </w:p>
    <w:p w14:paraId="433544B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6.投标文件出现不是唯一的、有选择性投标报价的；</w:t>
      </w:r>
    </w:p>
    <w:p w14:paraId="1471A57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7.投标报价超过招标文件中规定的预算金额或者最高限价的；</w:t>
      </w:r>
    </w:p>
    <w:p w14:paraId="02D01AEC">
      <w:pPr>
        <w:adjustRightInd w:val="0"/>
        <w:snapToGrid w:val="0"/>
        <w:spacing w:line="480" w:lineRule="exact"/>
        <w:ind w:firstLine="480" w:firstLineChars="200"/>
        <w:rPr>
          <w:rFonts w:hint="eastAsia" w:ascii="宋体" w:hAnsi="宋体"/>
          <w:b/>
          <w:color w:val="auto"/>
          <w:sz w:val="24"/>
          <w:highlight w:val="none"/>
        </w:rPr>
      </w:pPr>
      <w:r>
        <w:rPr>
          <w:rFonts w:hint="eastAsia" w:ascii="宋体" w:hAnsi="宋体"/>
          <w:bCs/>
          <w:color w:val="auto"/>
          <w:sz w:val="24"/>
          <w:highlight w:val="none"/>
        </w:rPr>
        <w:t>8.</w:t>
      </w:r>
      <w:r>
        <w:rPr>
          <w:rFonts w:hint="eastAsia" w:ascii="宋体" w:hAnsi="宋体"/>
          <w:b/>
          <w:color w:val="auto"/>
          <w:sz w:val="24"/>
          <w:highlight w:val="none"/>
        </w:rPr>
        <w:t>评标委员会认为投标人的报价明显低于其他通过符合性审查投标人的报价，有可能影响产品质量或者不能诚信履约的，应当要求其在合理的时间内提供说明，必要时提交相关材料；投标供应商不能说明其报价合理性的，评标委员会应当将其作为无效投标处理。</w:t>
      </w:r>
    </w:p>
    <w:p w14:paraId="3BD2FFD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9.投标人对根据修正原则修正后的报价不确认的；</w:t>
      </w:r>
    </w:p>
    <w:p w14:paraId="2C1E7B4F">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10.投标人提供虚假材料投标的；</w:t>
      </w:r>
    </w:p>
    <w:p w14:paraId="6A4078A8">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11.投标人有恶意串通、妨碍其他投标人的竞争行为、损害采购人或者其他投标人的合法权益情形的；</w:t>
      </w:r>
    </w:p>
    <w:p w14:paraId="6062ED1B">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12.</w:t>
      </w:r>
      <w:r>
        <w:rPr>
          <w:rFonts w:hint="eastAsia" w:ascii="宋体" w:hAnsi="宋体"/>
          <w:b/>
          <w:color w:val="auto"/>
          <w:sz w:val="24"/>
          <w:highlight w:val="none"/>
        </w:rPr>
        <w:t>投标人仅提交备份投标文件，没有在电子交易平台传输递交投标文件的，投标无效；</w:t>
      </w:r>
    </w:p>
    <w:p w14:paraId="04539E3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13.投标文件不满足招标文件的其他实质性要求的；</w:t>
      </w:r>
    </w:p>
    <w:p w14:paraId="407F0E81">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14.法律、法规、规章（适用本市的）及省级以上规范性文件（适用本市的）规定的其他无效情形。</w:t>
      </w:r>
    </w:p>
    <w:p w14:paraId="79FE04DC">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废标的情形：</w:t>
      </w:r>
    </w:p>
    <w:p w14:paraId="440709FD">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根据《中华人民共和国政府采购法》第三十六条之规定，在采购中，出现下列情形之一的，应予废标：</w:t>
      </w:r>
    </w:p>
    <w:p w14:paraId="01E63689">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1.符合专业条件的供应商或者对招标文件作实质响应的供应商不足3家的；</w:t>
      </w:r>
    </w:p>
    <w:p w14:paraId="40AB2EAA">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2.出现影响采购公正的违法、违规行为的；</w:t>
      </w:r>
    </w:p>
    <w:p w14:paraId="46DC03F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14:paraId="6331CDB0">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4.因重大变故，采购任务取消的；</w:t>
      </w:r>
    </w:p>
    <w:p w14:paraId="55C040F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废标后，采购机构应当将废标理由通知所有投标人。</w:t>
      </w:r>
    </w:p>
    <w:p w14:paraId="60F0B5F6">
      <w:pPr>
        <w:pStyle w:val="14"/>
        <w:snapToGrid w:val="0"/>
        <w:spacing w:line="480" w:lineRule="exact"/>
        <w:ind w:firstLine="457" w:firstLineChars="196"/>
        <w:rPr>
          <w:rFonts w:hint="eastAsia" w:hAnsi="宋体" w:cs="宋体"/>
          <w:b/>
          <w:bCs/>
          <w:color w:val="auto"/>
          <w:sz w:val="24"/>
          <w:szCs w:val="24"/>
          <w:highlight w:val="none"/>
        </w:rPr>
      </w:pPr>
      <w:r>
        <w:rPr>
          <w:rFonts w:hint="eastAsia" w:hAnsi="宋体" w:cs="宋体"/>
          <w:b/>
          <w:bCs/>
          <w:color w:val="auto"/>
          <w:sz w:val="24"/>
          <w:szCs w:val="24"/>
          <w:highlight w:val="none"/>
        </w:rPr>
        <w:t>如有下列情形之一的，可中止电子交易活动的情形：</w:t>
      </w:r>
    </w:p>
    <w:p w14:paraId="673A6254">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rPr>
        <w:t>招标过程中出现以下情形，导致政府采购云平台无法正常运行，或者无法保证电子交易的公平、公正和安全时，采购代理机构将中止电子交易活动：</w:t>
      </w:r>
    </w:p>
    <w:p w14:paraId="3539F2DA">
      <w:pPr>
        <w:pStyle w:val="14"/>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电子交易平台发生故障而无法登录访问的；</w:t>
      </w:r>
    </w:p>
    <w:p w14:paraId="0EECFBD8">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电子交易平台应用或数据库出现错误，不能进行正常操作的；</w:t>
      </w:r>
    </w:p>
    <w:p w14:paraId="710C8FA3">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电子交易平台发现严重安全漏洞，有潜在泄密危险的；</w:t>
      </w:r>
    </w:p>
    <w:p w14:paraId="767213C4">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 xml:space="preserve">病毒发作导致不能进行正常操作的； </w:t>
      </w:r>
    </w:p>
    <w:p w14:paraId="0DA66EDA">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5.</w:t>
      </w:r>
      <w:r>
        <w:rPr>
          <w:rFonts w:hint="eastAsia" w:hAnsi="宋体" w:cs="宋体"/>
          <w:color w:val="auto"/>
          <w:sz w:val="24"/>
          <w:highlight w:val="none"/>
        </w:rPr>
        <w:t>其他无法保证电子交易的公平、公正和安全的情况。</w:t>
      </w:r>
    </w:p>
    <w:p w14:paraId="392EB54C">
      <w:pPr>
        <w:pStyle w:val="14"/>
        <w:snapToGrid w:val="0"/>
        <w:spacing w:line="480" w:lineRule="exact"/>
        <w:ind w:firstLine="457" w:firstLineChars="196"/>
        <w:rPr>
          <w:rFonts w:hint="eastAsia"/>
          <w:color w:val="auto"/>
          <w:highlight w:val="none"/>
        </w:rPr>
      </w:pPr>
      <w:r>
        <w:rPr>
          <w:rFonts w:hint="eastAsia" w:hAnsi="宋体" w:cs="宋体"/>
          <w:b/>
          <w:color w:val="auto"/>
          <w:sz w:val="24"/>
          <w:szCs w:val="24"/>
          <w:highlight w:val="none"/>
        </w:rPr>
        <w:t>出现上述规定情形，不影响采购公平、公正性的，采购代理机构可以待上述情形消除后继续组织电子交易活动；影响或可能影响采购公平、公正性的，应当重新组织采购。</w:t>
      </w:r>
    </w:p>
    <w:p w14:paraId="3811827E">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四、开标</w:t>
      </w:r>
      <w:bookmarkEnd w:id="213"/>
      <w:bookmarkEnd w:id="214"/>
      <w:bookmarkEnd w:id="215"/>
      <w:bookmarkEnd w:id="216"/>
      <w:bookmarkEnd w:id="217"/>
      <w:bookmarkEnd w:id="218"/>
      <w:bookmarkEnd w:id="219"/>
      <w:bookmarkEnd w:id="220"/>
      <w:bookmarkEnd w:id="221"/>
    </w:p>
    <w:p w14:paraId="16740454">
      <w:pPr>
        <w:snapToGrid w:val="0"/>
        <w:spacing w:line="48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（一）开标准备</w:t>
      </w:r>
    </w:p>
    <w:p w14:paraId="486E4735">
      <w:pPr>
        <w:snapToGrid w:val="0"/>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采购代理机构将在规定的时间和地点进行开标，本项目实行不见面开标，投标人无需前往开标场地，只需在开标时间做好开标准备（如投标文件的解密和投标价格的确认），确保联系方式的畅通。</w:t>
      </w:r>
    </w:p>
    <w:p w14:paraId="4466845C">
      <w:pPr>
        <w:snapToGrid w:val="0"/>
        <w:spacing w:line="46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（二）开标程序</w:t>
      </w:r>
    </w:p>
    <w:p w14:paraId="57642CD2">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1.本项目原则上采用政采云电子招投标系统进行开标及评审，但有下情形之一的，按以下情况处理：</w:t>
      </w:r>
    </w:p>
    <w:p w14:paraId="45428663">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（1）若投标人的电子投标文件在规定时间内无法解密或解密失败，工作人员将开启投标人递交的电子备份投标文件，以完成开标。</w:t>
      </w:r>
    </w:p>
    <w:p w14:paraId="0D68760B">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（2）若投标人的电子投标文件在规定时间内无法解密或解密失败，或者因政采云平台原因无法读取或电子开评标无法正常进行时，工作人员将上传投标人的电子备份投标文件，以完成开标。</w:t>
      </w:r>
    </w:p>
    <w:p w14:paraId="05C81C08">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2.开标及评审程序</w:t>
      </w:r>
    </w:p>
    <w:p w14:paraId="5686DEEF">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（1）投标截止时间后，投标人须登录政采云平台，用“项目采购－开标评标”功能对电子投标文件进行在线解密。在线解密电子投标文件时间为投标截止时间起半个小时内。</w:t>
      </w:r>
    </w:p>
    <w:p w14:paraId="03119448">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（2）由采购人代表对资格审查文件进行评审，评标委员会对商务技术响应文件进行评审；</w:t>
      </w:r>
    </w:p>
    <w:p w14:paraId="422EC77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（3）在系统上公开资格审查和技术商务评审结果；</w:t>
      </w:r>
    </w:p>
    <w:p w14:paraId="0B30FAE9">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（4）在系统上公开报价开标情况；</w:t>
      </w:r>
    </w:p>
    <w:p w14:paraId="5F68AF9C">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（5）评标委员会对报价情况进行评审；</w:t>
      </w:r>
    </w:p>
    <w:p w14:paraId="73719F90">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（6）在系统上公布评审结果。</w:t>
      </w:r>
    </w:p>
    <w:p w14:paraId="3D0D6ABA">
      <w:pPr>
        <w:snapToGrid w:val="0"/>
        <w:spacing w:line="460" w:lineRule="exact"/>
        <w:ind w:firstLine="480" w:firstLineChars="200"/>
        <w:rPr>
          <w:rFonts w:hint="eastAsia" w:hAnsi="宋体"/>
          <w:b/>
          <w:bCs/>
          <w:color w:val="auto"/>
          <w:sz w:val="24"/>
          <w:highlight w:val="none"/>
        </w:rPr>
      </w:pPr>
      <w:r>
        <w:rPr>
          <w:rFonts w:hint="eastAsia" w:ascii="宋体" w:hAnsi="宋体" w:cs="宋体"/>
          <w:bCs/>
          <w:color w:val="auto"/>
          <w:sz w:val="24"/>
          <w:highlight w:val="none"/>
        </w:rPr>
        <w:t>特别说明：政采云公司如对电子化开标及评审程序有调整的，按调整后的程序操作。</w:t>
      </w:r>
      <w:bookmarkStart w:id="223" w:name="_Toc6545"/>
      <w:bookmarkStart w:id="224" w:name="_Toc14743"/>
      <w:bookmarkStart w:id="225" w:name="_Toc21636"/>
      <w:bookmarkStart w:id="226" w:name="_Toc23660"/>
      <w:bookmarkStart w:id="227" w:name="_Toc10390"/>
    </w:p>
    <w:p w14:paraId="17231DC3">
      <w:pPr>
        <w:adjustRightInd w:val="0"/>
        <w:snapToGrid w:val="0"/>
        <w:spacing w:line="460" w:lineRule="exact"/>
        <w:ind w:firstLine="482" w:firstLineChars="200"/>
        <w:rPr>
          <w:rFonts w:hint="eastAsia" w:hAnsi="宋体"/>
          <w:b/>
          <w:bCs/>
          <w:color w:val="auto"/>
          <w:sz w:val="24"/>
          <w:highlight w:val="none"/>
        </w:rPr>
      </w:pPr>
      <w:r>
        <w:rPr>
          <w:rFonts w:hint="eastAsia" w:hAnsi="宋体"/>
          <w:b/>
          <w:bCs/>
          <w:color w:val="auto"/>
          <w:sz w:val="24"/>
          <w:highlight w:val="none"/>
        </w:rPr>
        <w:t>电子招投标开标及评审程序</w:t>
      </w:r>
      <w:bookmarkEnd w:id="223"/>
      <w:bookmarkEnd w:id="224"/>
      <w:bookmarkEnd w:id="225"/>
      <w:bookmarkEnd w:id="226"/>
      <w:bookmarkEnd w:id="227"/>
    </w:p>
    <w:p w14:paraId="30B5A2A2">
      <w:pPr>
        <w:adjustRightInd w:val="0"/>
        <w:snapToGrid w:val="0"/>
        <w:spacing w:line="460" w:lineRule="exact"/>
        <w:ind w:firstLine="482" w:firstLineChars="200"/>
        <w:rPr>
          <w:rFonts w:hint="eastAsia" w:hAnsi="宋体"/>
          <w:b/>
          <w:bCs/>
          <w:color w:val="auto"/>
          <w:sz w:val="24"/>
          <w:highlight w:val="none"/>
        </w:rPr>
      </w:pPr>
      <w:bookmarkStart w:id="228" w:name="_Toc20711"/>
      <w:bookmarkStart w:id="229" w:name="_Toc19339"/>
      <w:bookmarkStart w:id="230" w:name="_Toc4002"/>
      <w:bookmarkStart w:id="231" w:name="_Toc18188"/>
      <w:bookmarkStart w:id="232" w:name="_Toc29198"/>
      <w:r>
        <w:rPr>
          <w:rFonts w:hint="eastAsia" w:hAnsi="宋体"/>
          <w:b/>
          <w:bCs/>
          <w:color w:val="auto"/>
          <w:sz w:val="24"/>
          <w:highlight w:val="none"/>
        </w:rPr>
        <w:t>1.开标第一阶段</w:t>
      </w:r>
      <w:bookmarkEnd w:id="228"/>
      <w:bookmarkEnd w:id="229"/>
      <w:bookmarkEnd w:id="230"/>
      <w:bookmarkEnd w:id="231"/>
      <w:bookmarkEnd w:id="232"/>
    </w:p>
    <w:p w14:paraId="13B4AC1F">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向各投标人发出电子加密投标文件【开始解密】通知，各投标人代表应当在接到解密通知后30分钟内自行完成“电子加密投标文件”的在线解密。投标人在规定的时间内无法完成“电子加密投标文件”解密的，如投标人按规定递交 “电子备份投标文件”的，则由采购组织机构按“政府采购云平台”操作规范将“电子备份投标文件”上传至“政府采购云平台”。上传成功后，以“电子备份投标文件”参与评标，“电子加密投标文件”自动失效。如投标人未按规定递交“电子备份投标文件”的，视为投标文件撤回。</w:t>
      </w:r>
    </w:p>
    <w:p w14:paraId="07BC1D33">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（2）开启资格文件、技术商务文件。</w:t>
      </w:r>
    </w:p>
    <w:p w14:paraId="2B104B54">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（3）进行资格审查。对通过资格审查的投标人进行符合性审查、技术商务评审；</w:t>
      </w:r>
    </w:p>
    <w:p w14:paraId="67D0F316">
      <w:pPr>
        <w:adjustRightInd w:val="0"/>
        <w:snapToGrid w:val="0"/>
        <w:spacing w:line="460" w:lineRule="exact"/>
        <w:ind w:firstLine="482" w:firstLineChars="200"/>
        <w:rPr>
          <w:rFonts w:hint="eastAsia" w:hAnsi="宋体"/>
          <w:b/>
          <w:bCs/>
          <w:color w:val="auto"/>
          <w:sz w:val="24"/>
          <w:highlight w:val="none"/>
        </w:rPr>
      </w:pPr>
      <w:bookmarkStart w:id="233" w:name="_Toc27486"/>
      <w:bookmarkStart w:id="234" w:name="_Toc2285"/>
      <w:bookmarkStart w:id="235" w:name="_Toc13812"/>
      <w:bookmarkStart w:id="236" w:name="_Toc28938"/>
      <w:bookmarkStart w:id="237" w:name="_Toc24502"/>
      <w:r>
        <w:rPr>
          <w:rFonts w:hint="eastAsia" w:hAnsi="宋体"/>
          <w:b/>
          <w:bCs/>
          <w:color w:val="auto"/>
          <w:sz w:val="24"/>
          <w:highlight w:val="none"/>
        </w:rPr>
        <w:t>2.开标第二阶段</w:t>
      </w:r>
      <w:bookmarkEnd w:id="233"/>
      <w:bookmarkEnd w:id="234"/>
      <w:bookmarkEnd w:id="235"/>
      <w:bookmarkEnd w:id="236"/>
      <w:bookmarkEnd w:id="237"/>
    </w:p>
    <w:p w14:paraId="446D4B07">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（1）资格审查、符合性审查、技术商务评审结束后，进入开标第二阶段。</w:t>
      </w:r>
    </w:p>
    <w:p w14:paraId="0A1E63D5">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（2）通过电子交易平台公布无效供应商名单及导致无效的原因；公布有效供应商的名单及其技术商务得分。</w:t>
      </w:r>
    </w:p>
    <w:p w14:paraId="528B4AE4">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（3）开启有效供应商的《报价文件》，系统形成开标记录。</w:t>
      </w:r>
    </w:p>
    <w:p w14:paraId="15BE72A9">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（4）价格评审。价格评审结束后，通过电子交易平台公布中标候选供应商名单。</w:t>
      </w:r>
    </w:p>
    <w:p w14:paraId="5E323AEA">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14:paraId="5512D0A0">
      <w:pPr>
        <w:widowControl/>
        <w:spacing w:line="460" w:lineRule="exact"/>
        <w:ind w:firstLine="562" w:firstLineChars="200"/>
        <w:jc w:val="left"/>
        <w:outlineLvl w:val="1"/>
        <w:rPr>
          <w:rFonts w:hint="eastAsia" w:ascii="黑体" w:eastAsia="黑体"/>
          <w:b/>
          <w:bCs/>
          <w:color w:val="auto"/>
          <w:sz w:val="28"/>
          <w:szCs w:val="28"/>
          <w:highlight w:val="none"/>
        </w:rPr>
      </w:pPr>
      <w:bookmarkStart w:id="238" w:name="_Toc18085"/>
      <w:bookmarkStart w:id="239" w:name="_Toc8808"/>
      <w:bookmarkStart w:id="240" w:name="_Toc14300"/>
      <w:bookmarkStart w:id="241" w:name="_Toc1556"/>
      <w:bookmarkStart w:id="242" w:name="_Toc10900"/>
      <w:bookmarkStart w:id="243" w:name="_Toc26702"/>
      <w:bookmarkStart w:id="244" w:name="_Toc6712"/>
      <w:bookmarkStart w:id="245" w:name="_Toc22281"/>
      <w:bookmarkStart w:id="246" w:name="_Toc21931"/>
      <w:bookmarkStart w:id="247" w:name="_Toc1416"/>
      <w:r>
        <w:rPr>
          <w:rFonts w:hint="eastAsia" w:ascii="黑体" w:eastAsia="黑体"/>
          <w:b/>
          <w:bCs/>
          <w:color w:val="auto"/>
          <w:sz w:val="28"/>
          <w:szCs w:val="28"/>
          <w:highlight w:val="none"/>
        </w:rPr>
        <w:t>五、评标</w:t>
      </w:r>
      <w:bookmarkEnd w:id="238"/>
      <w:bookmarkEnd w:id="239"/>
      <w:bookmarkEnd w:id="240"/>
      <w:bookmarkEnd w:id="241"/>
      <w:bookmarkEnd w:id="242"/>
      <w:bookmarkEnd w:id="243"/>
      <w:bookmarkEnd w:id="244"/>
      <w:bookmarkEnd w:id="245"/>
      <w:bookmarkEnd w:id="246"/>
      <w:bookmarkEnd w:id="247"/>
    </w:p>
    <w:p w14:paraId="245757BF">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48" w:name="_Toc19693"/>
      <w:bookmarkStart w:id="249" w:name="_Toc30349"/>
      <w:r>
        <w:rPr>
          <w:rFonts w:hint="eastAsia" w:ascii="宋体" w:hAnsi="宋体" w:cs="宋体"/>
          <w:b/>
          <w:color w:val="auto"/>
          <w:kern w:val="0"/>
          <w:sz w:val="24"/>
          <w:highlight w:val="none"/>
          <w:lang w:bidi="en-US"/>
        </w:rPr>
        <w:t>（一）组建评标委员会</w:t>
      </w:r>
      <w:bookmarkEnd w:id="248"/>
      <w:bookmarkEnd w:id="249"/>
    </w:p>
    <w:p w14:paraId="7942DC11">
      <w:pPr>
        <w:pStyle w:val="29"/>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本项目评标委员会由政府采购评审专家≧5人单数组成，其中采购人代表不超过评委总数的1/3。</w:t>
      </w:r>
    </w:p>
    <w:p w14:paraId="2870F086">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50" w:name="_Toc25842"/>
      <w:bookmarkStart w:id="251" w:name="_Toc9863"/>
      <w:r>
        <w:rPr>
          <w:rFonts w:hint="eastAsia" w:ascii="宋体" w:hAnsi="宋体" w:cs="宋体"/>
          <w:b/>
          <w:color w:val="auto"/>
          <w:kern w:val="0"/>
          <w:sz w:val="24"/>
          <w:highlight w:val="none"/>
          <w:lang w:bidi="en-US"/>
        </w:rPr>
        <w:t>（二）评标的方式</w:t>
      </w:r>
      <w:bookmarkEnd w:id="250"/>
      <w:bookmarkEnd w:id="251"/>
    </w:p>
    <w:p w14:paraId="4DE23F8E">
      <w:pPr>
        <w:pStyle w:val="29"/>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本项目采用不公开方式评标，评标的依据为招标文件和投标文件。</w:t>
      </w:r>
    </w:p>
    <w:p w14:paraId="24A98837">
      <w:pPr>
        <w:snapToGrid w:val="0"/>
        <w:spacing w:line="460" w:lineRule="exact"/>
        <w:ind w:firstLine="482" w:firstLineChars="200"/>
        <w:outlineLvl w:val="2"/>
        <w:rPr>
          <w:rFonts w:hint="eastAsia" w:ascii="宋体" w:hAnsi="宋体" w:cs="宋体"/>
          <w:b/>
          <w:bCs/>
          <w:color w:val="auto"/>
          <w:sz w:val="24"/>
          <w:highlight w:val="none"/>
        </w:rPr>
      </w:pPr>
      <w:r>
        <w:rPr>
          <w:rFonts w:hint="eastAsia" w:ascii="宋体" w:hAnsi="宋体" w:cs="宋体"/>
          <w:b/>
          <w:color w:val="auto"/>
          <w:sz w:val="24"/>
          <w:highlight w:val="none"/>
        </w:rPr>
        <w:t>（三）组织</w:t>
      </w:r>
      <w:r>
        <w:rPr>
          <w:rFonts w:hint="eastAsia" w:ascii="宋体" w:hAnsi="宋体" w:cs="宋体"/>
          <w:b/>
          <w:bCs/>
          <w:color w:val="auto"/>
          <w:sz w:val="24"/>
          <w:highlight w:val="none"/>
        </w:rPr>
        <w:t>评标程序</w:t>
      </w:r>
    </w:p>
    <w:p w14:paraId="30CCAC47">
      <w:pPr>
        <w:keepLines/>
        <w:spacing w:line="460" w:lineRule="exact"/>
        <w:ind w:firstLine="480" w:firstLineChars="200"/>
        <w:contextualSpacing/>
        <w:jc w:val="left"/>
        <w:rPr>
          <w:rFonts w:hint="eastAsia" w:ascii="宋体" w:hAnsi="宋体" w:cs="宋体"/>
          <w:color w:val="auto"/>
          <w:sz w:val="24"/>
          <w:highlight w:val="none"/>
        </w:rPr>
      </w:pPr>
      <w:bookmarkStart w:id="252" w:name="_Toc26259"/>
      <w:bookmarkStart w:id="253" w:name="_Toc7123"/>
      <w:r>
        <w:rPr>
          <w:rFonts w:hint="eastAsia" w:ascii="宋体" w:hAnsi="宋体" w:cs="宋体"/>
          <w:color w:val="auto"/>
          <w:sz w:val="24"/>
          <w:highlight w:val="none"/>
        </w:rPr>
        <w:t>1.向各投标</w:t>
      </w:r>
      <w:r>
        <w:rPr>
          <w:rFonts w:hint="eastAsia" w:ascii="宋体" w:hAnsi="宋体"/>
          <w:color w:val="auto"/>
          <w:sz w:val="24"/>
          <w:highlight w:val="none"/>
        </w:rPr>
        <w:t>人</w:t>
      </w:r>
      <w:r>
        <w:rPr>
          <w:rFonts w:hint="eastAsia" w:ascii="宋体" w:hAnsi="宋体" w:cs="宋体"/>
          <w:color w:val="auto"/>
          <w:sz w:val="24"/>
          <w:highlight w:val="none"/>
        </w:rPr>
        <w:t>发出电子加密投标文件【开始解密】通知，由供应商按招标文件规定的时间内自行进行投标文件解密。投标</w:t>
      </w:r>
      <w:r>
        <w:rPr>
          <w:rFonts w:hint="eastAsia" w:ascii="宋体" w:hAnsi="宋体"/>
          <w:color w:val="auto"/>
          <w:sz w:val="24"/>
          <w:highlight w:val="none"/>
        </w:rPr>
        <w:t>人</w:t>
      </w:r>
      <w:r>
        <w:rPr>
          <w:rFonts w:hint="eastAsia" w:ascii="宋体" w:hAnsi="宋体" w:cs="宋体"/>
          <w:color w:val="auto"/>
          <w:sz w:val="24"/>
          <w:highlight w:val="none"/>
        </w:rPr>
        <w:t>在规定的时间内无法完成已递交的“电子加密投标文件”解密的，其投标文件按拒收处理。</w:t>
      </w:r>
      <w:bookmarkEnd w:id="252"/>
      <w:bookmarkEnd w:id="253"/>
    </w:p>
    <w:p w14:paraId="7EF58527">
      <w:pPr>
        <w:keepLines/>
        <w:spacing w:line="460" w:lineRule="exact"/>
        <w:ind w:firstLine="480" w:firstLineChars="200"/>
        <w:contextualSpacing/>
        <w:jc w:val="left"/>
        <w:rPr>
          <w:rFonts w:hint="eastAsia" w:ascii="宋体" w:hAnsi="宋体" w:cs="宋体"/>
          <w:color w:val="auto"/>
          <w:sz w:val="24"/>
          <w:highlight w:val="none"/>
        </w:rPr>
      </w:pPr>
      <w:bookmarkStart w:id="254" w:name="_Toc26963"/>
      <w:bookmarkStart w:id="255" w:name="_Toc31218"/>
      <w:r>
        <w:rPr>
          <w:rFonts w:hint="eastAsia" w:ascii="宋体" w:hAnsi="宋体" w:cs="宋体"/>
          <w:color w:val="auto"/>
          <w:sz w:val="24"/>
          <w:highlight w:val="none"/>
        </w:rPr>
        <w:t>2.投标文件解密结束，开启资格文件，进入资格审查环节，采购人将依法对投标</w:t>
      </w:r>
      <w:r>
        <w:rPr>
          <w:rFonts w:hint="eastAsia" w:ascii="宋体" w:hAnsi="宋体"/>
          <w:color w:val="auto"/>
          <w:sz w:val="24"/>
          <w:highlight w:val="none"/>
        </w:rPr>
        <w:t>人</w:t>
      </w:r>
      <w:r>
        <w:rPr>
          <w:rFonts w:hint="eastAsia" w:ascii="宋体" w:hAnsi="宋体" w:cs="宋体"/>
          <w:color w:val="auto"/>
          <w:sz w:val="24"/>
          <w:highlight w:val="none"/>
        </w:rPr>
        <w:t>的资格进行审查。</w:t>
      </w:r>
      <w:bookmarkEnd w:id="254"/>
      <w:bookmarkEnd w:id="255"/>
    </w:p>
    <w:p w14:paraId="3E6E2E59">
      <w:pPr>
        <w:keepLines/>
        <w:spacing w:line="460" w:lineRule="exact"/>
        <w:ind w:firstLine="480" w:firstLineChars="200"/>
        <w:contextualSpacing/>
        <w:jc w:val="left"/>
        <w:rPr>
          <w:rFonts w:hint="eastAsia" w:ascii="宋体" w:hAnsi="宋体" w:cs="宋体"/>
          <w:color w:val="auto"/>
          <w:sz w:val="24"/>
          <w:highlight w:val="none"/>
        </w:rPr>
      </w:pPr>
      <w:bookmarkStart w:id="256" w:name="_Toc7579"/>
      <w:bookmarkStart w:id="257" w:name="_Toc15105"/>
      <w:r>
        <w:rPr>
          <w:rFonts w:hint="eastAsia" w:ascii="宋体" w:hAnsi="宋体" w:cs="宋体"/>
          <w:color w:val="auto"/>
          <w:sz w:val="24"/>
          <w:highlight w:val="none"/>
        </w:rPr>
        <w:t>3.开启资格审查通过的投标</w:t>
      </w:r>
      <w:r>
        <w:rPr>
          <w:rFonts w:hint="eastAsia" w:ascii="宋体" w:hAnsi="宋体"/>
          <w:color w:val="auto"/>
          <w:sz w:val="24"/>
          <w:highlight w:val="none"/>
        </w:rPr>
        <w:t>人</w:t>
      </w:r>
      <w:r>
        <w:rPr>
          <w:rFonts w:hint="eastAsia" w:ascii="宋体" w:hAnsi="宋体" w:cs="宋体"/>
          <w:color w:val="auto"/>
          <w:sz w:val="24"/>
          <w:highlight w:val="none"/>
        </w:rPr>
        <w:t>的商务技术文件进入符合性审查及商务技术评审。</w:t>
      </w:r>
      <w:bookmarkEnd w:id="256"/>
      <w:bookmarkEnd w:id="257"/>
    </w:p>
    <w:p w14:paraId="4A57A0FF">
      <w:pPr>
        <w:keepLines/>
        <w:spacing w:line="460" w:lineRule="exact"/>
        <w:ind w:firstLine="480" w:firstLineChars="200"/>
        <w:contextualSpacing/>
        <w:jc w:val="left"/>
        <w:rPr>
          <w:rFonts w:hint="eastAsia" w:ascii="宋体" w:hAnsi="宋体" w:cs="宋体"/>
          <w:color w:val="auto"/>
          <w:sz w:val="24"/>
          <w:highlight w:val="none"/>
        </w:rPr>
      </w:pPr>
      <w:bookmarkStart w:id="258" w:name="_Toc4317"/>
      <w:bookmarkStart w:id="259" w:name="_Toc25921"/>
      <w:r>
        <w:rPr>
          <w:rFonts w:hint="eastAsia" w:ascii="宋体" w:hAnsi="宋体" w:cs="宋体"/>
          <w:color w:val="auto"/>
          <w:sz w:val="24"/>
          <w:highlight w:val="none"/>
        </w:rPr>
        <w:t>4.符合性审查、商务技术评审结束后，开启符合性审查、商务技术评审有效投标</w:t>
      </w:r>
      <w:r>
        <w:rPr>
          <w:rFonts w:hint="eastAsia" w:ascii="宋体" w:hAnsi="宋体"/>
          <w:color w:val="auto"/>
          <w:sz w:val="24"/>
          <w:highlight w:val="none"/>
        </w:rPr>
        <w:t>人</w:t>
      </w:r>
      <w:r>
        <w:rPr>
          <w:rFonts w:hint="eastAsia" w:ascii="宋体" w:hAnsi="宋体" w:cs="宋体"/>
          <w:color w:val="auto"/>
          <w:sz w:val="24"/>
          <w:highlight w:val="none"/>
        </w:rPr>
        <w:t>的报价文件。由评标委员会对报价文件的符合性等进行审查核实，对报价进行得分计算。</w:t>
      </w:r>
      <w:bookmarkEnd w:id="258"/>
      <w:bookmarkEnd w:id="259"/>
    </w:p>
    <w:p w14:paraId="0B0A7C44">
      <w:pPr>
        <w:keepLines/>
        <w:spacing w:line="460" w:lineRule="exact"/>
        <w:ind w:firstLine="480" w:firstLineChars="200"/>
        <w:contextualSpacing/>
        <w:jc w:val="left"/>
        <w:rPr>
          <w:rFonts w:hint="eastAsia" w:ascii="宋体" w:hAnsi="宋体" w:cs="宋体"/>
          <w:color w:val="auto"/>
          <w:sz w:val="24"/>
          <w:highlight w:val="none"/>
        </w:rPr>
      </w:pPr>
      <w:bookmarkStart w:id="260" w:name="_Toc4982"/>
      <w:bookmarkStart w:id="261" w:name="_Toc16740"/>
      <w:r>
        <w:rPr>
          <w:rFonts w:hint="eastAsia" w:ascii="宋体" w:hAnsi="宋体" w:cs="宋体"/>
          <w:color w:val="auto"/>
          <w:sz w:val="24"/>
          <w:highlight w:val="none"/>
        </w:rPr>
        <w:t>5.根据各投标供应商综合得分从高到低进行排序，推荐中标候选</w:t>
      </w:r>
      <w:r>
        <w:rPr>
          <w:rFonts w:hint="eastAsia" w:ascii="宋体" w:hAnsi="宋体"/>
          <w:color w:val="auto"/>
          <w:sz w:val="24"/>
          <w:highlight w:val="none"/>
        </w:rPr>
        <w:t>人</w:t>
      </w:r>
      <w:r>
        <w:rPr>
          <w:rFonts w:hint="eastAsia" w:ascii="宋体" w:hAnsi="宋体" w:cs="宋体"/>
          <w:color w:val="auto"/>
          <w:sz w:val="24"/>
          <w:highlight w:val="none"/>
        </w:rPr>
        <w:t>；综合得分最高的供应商推荐为中标</w:t>
      </w:r>
      <w:r>
        <w:rPr>
          <w:rFonts w:hint="eastAsia" w:ascii="宋体" w:hAnsi="宋体"/>
          <w:color w:val="auto"/>
          <w:sz w:val="24"/>
          <w:highlight w:val="none"/>
        </w:rPr>
        <w:t>人</w:t>
      </w:r>
      <w:r>
        <w:rPr>
          <w:rFonts w:hint="eastAsia" w:ascii="宋体" w:hAnsi="宋体" w:cs="宋体"/>
          <w:color w:val="auto"/>
          <w:sz w:val="24"/>
          <w:highlight w:val="none"/>
        </w:rPr>
        <w:t>。</w:t>
      </w:r>
      <w:bookmarkEnd w:id="260"/>
      <w:bookmarkEnd w:id="261"/>
    </w:p>
    <w:p w14:paraId="2ACAA7EF">
      <w:pPr>
        <w:keepLines/>
        <w:spacing w:line="460" w:lineRule="exact"/>
        <w:ind w:firstLine="480" w:firstLineChars="200"/>
        <w:contextualSpacing/>
        <w:jc w:val="left"/>
        <w:rPr>
          <w:rFonts w:hint="eastAsia" w:ascii="宋体" w:hAnsi="宋体" w:cs="宋体"/>
          <w:color w:val="auto"/>
          <w:sz w:val="24"/>
          <w:highlight w:val="none"/>
        </w:rPr>
      </w:pPr>
      <w:bookmarkStart w:id="262" w:name="_Toc18939"/>
      <w:bookmarkStart w:id="263" w:name="_Toc32009"/>
      <w:r>
        <w:rPr>
          <w:rFonts w:hint="eastAsia" w:ascii="宋体" w:hAnsi="宋体" w:cs="宋体"/>
          <w:color w:val="auto"/>
          <w:sz w:val="24"/>
          <w:highlight w:val="none"/>
        </w:rPr>
        <w:t>6.由评标委员会向采购人推荐综合得分第一名的供应商为中标</w:t>
      </w:r>
      <w:r>
        <w:rPr>
          <w:rFonts w:hint="eastAsia" w:ascii="宋体" w:hAnsi="宋体"/>
          <w:color w:val="auto"/>
          <w:sz w:val="24"/>
          <w:highlight w:val="none"/>
        </w:rPr>
        <w:t>人</w:t>
      </w:r>
      <w:r>
        <w:rPr>
          <w:rFonts w:hint="eastAsia" w:ascii="宋体" w:hAnsi="宋体" w:cs="宋体"/>
          <w:color w:val="auto"/>
          <w:sz w:val="24"/>
          <w:highlight w:val="none"/>
        </w:rPr>
        <w:t>，并提交评审报告。得分相同的，按投标报价由低到高顺序排列。得分且投标报价相同的并列。投标文件满足招标文件全部实质性要求，且按照评审因素的量化指标评审得分最高的投标人为排名第一的中标候选人。</w:t>
      </w:r>
    </w:p>
    <w:p w14:paraId="65B72125">
      <w:pPr>
        <w:keepLines/>
        <w:spacing w:line="460" w:lineRule="exact"/>
        <w:ind w:firstLine="480" w:firstLineChars="200"/>
        <w:contextualSpacing/>
        <w:jc w:val="left"/>
        <w:rPr>
          <w:rFonts w:hint="eastAsia" w:ascii="宋体" w:hAnsi="宋体" w:cs="宋体"/>
          <w:b/>
          <w:color w:val="auto"/>
          <w:kern w:val="0"/>
          <w:sz w:val="24"/>
          <w:highlight w:val="none"/>
          <w:lang w:bidi="en-US"/>
        </w:rPr>
      </w:pPr>
      <w:r>
        <w:rPr>
          <w:rFonts w:hint="eastAsia" w:ascii="宋体" w:hAnsi="宋体" w:cs="宋体"/>
          <w:color w:val="auto"/>
          <w:sz w:val="24"/>
          <w:highlight w:val="none"/>
        </w:rPr>
        <w:t>7.评审结束后，公布采购结果。</w:t>
      </w:r>
      <w:bookmarkEnd w:id="262"/>
      <w:bookmarkEnd w:id="263"/>
    </w:p>
    <w:p w14:paraId="15A31815">
      <w:pPr>
        <w:widowControl/>
        <w:spacing w:line="44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（四）</w:t>
      </w:r>
      <w:r>
        <w:rPr>
          <w:rFonts w:hint="eastAsia" w:ascii="宋体" w:hAnsi="宋体" w:cs="宋体"/>
          <w:b/>
          <w:color w:val="auto"/>
          <w:kern w:val="0"/>
          <w:sz w:val="24"/>
          <w:highlight w:val="none"/>
          <w:lang w:bidi="en-US"/>
        </w:rPr>
        <w:t>评审纪律和要求</w:t>
      </w:r>
    </w:p>
    <w:p w14:paraId="58B2A3D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1.评审专家必须公平、公正评审，遵纪守法，客观、廉洁地履行职责。</w:t>
      </w:r>
    </w:p>
    <w:p w14:paraId="0CF4074D">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2.评审专家在评审开始前，应关闭并上交随身携带的各种通信工具。</w:t>
      </w:r>
    </w:p>
    <w:p w14:paraId="7653886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3.评审专家在评审过程中，未经许可不得中途离开评审现场，不得迟到早退。</w:t>
      </w:r>
    </w:p>
    <w:p w14:paraId="219255F1">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4.评审专家和工作人员不得透露评审过程中的讨论情况和评审结果。</w:t>
      </w:r>
    </w:p>
    <w:p w14:paraId="6A184F90">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8E29C5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6.采购人、采购代理机构不得向评审委员会的评审专家作倾向性、误导性的解释或者说明。</w:t>
      </w:r>
    </w:p>
    <w:p w14:paraId="5C21C15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41BD30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8.评审专家在评审过程中不得将自己的观点强加给其他评审专家，评审专家应自主发表见解，对评审意见承担个人责任。</w:t>
      </w:r>
    </w:p>
    <w:p w14:paraId="5B20DD00">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3F8D476">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0B89FC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11.评审专家应当遵守评审工作纪律，不得泄露评审文件、评审情况和评审中获悉的商业秘密。</w:t>
      </w:r>
    </w:p>
    <w:p w14:paraId="38B6B6D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评审委员会在评审过程中发现投标人有行贿、提供虚假材料或者串通等违法行为的，应当及时向财政部门报告。</w:t>
      </w:r>
    </w:p>
    <w:p w14:paraId="2EA611EC">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12.招标文件内容违反国家有关强制性规定的，评审委员会应当停止评审并向采购代理机构说明情况。</w:t>
      </w:r>
    </w:p>
    <w:p w14:paraId="20092B96">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13.评审专家应当配合采购代理机构答复投标人提出的质疑。</w:t>
      </w:r>
    </w:p>
    <w:p w14:paraId="5D02E99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14.评审专家应当配合财政部门的投诉处理工作。</w:t>
      </w:r>
    </w:p>
    <w:p w14:paraId="782A56F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15.评审专家有如下行为之一的，责令改正，给予警告，可以并处一千元以下的罚款：</w:t>
      </w:r>
    </w:p>
    <w:p w14:paraId="5E136F5F">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①明知应当回避而未主动回避的；</w:t>
      </w:r>
    </w:p>
    <w:p w14:paraId="6A6B579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②在得知自己为评审专家身份后至评审结束前时段内私下接触投标人的；</w:t>
      </w:r>
    </w:p>
    <w:p w14:paraId="5F92389A">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③在评审过程中擅离职守，影响评审程序正常进行的；</w:t>
      </w:r>
    </w:p>
    <w:p w14:paraId="5E15334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④在评审过程有明显不合理或者不正当倾向性的；</w:t>
      </w:r>
    </w:p>
    <w:p w14:paraId="2447B0A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⑤未按招标文件规定的评审方法和标准进行评审的。</w:t>
      </w:r>
    </w:p>
    <w:p w14:paraId="193E9DD2">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⑥上述①至⑤行为影响中标结果的，中标结果无效。</w:t>
      </w:r>
    </w:p>
    <w:p w14:paraId="46245456">
      <w:pPr>
        <w:pStyle w:val="528"/>
        <w:spacing w:before="0" w:after="0" w:line="440" w:lineRule="exact"/>
        <w:ind w:firstLine="480" w:firstLineChars="200"/>
        <w:rPr>
          <w:rFonts w:hint="eastAsia"/>
          <w:color w:val="auto"/>
          <w:highlight w:val="none"/>
        </w:rPr>
      </w:pPr>
      <w:r>
        <w:rPr>
          <w:rFonts w:hint="eastAsia" w:ascii="宋体" w:hAnsi="宋体" w:cs="宋体"/>
          <w:color w:val="auto"/>
          <w:highlight w:val="none"/>
        </w:rPr>
        <w:t>16.政府采购评审专家未按照招标文件规定的评审程序、评审方法和评审标准进行独立评审或者泄露评审文件、评审</w:t>
      </w:r>
      <w:r>
        <w:rPr>
          <w:rFonts w:hint="eastAsia"/>
          <w:color w:val="auto"/>
          <w:highlight w:val="none"/>
        </w:rPr>
        <w:t>情况的，由财政部门给予警告，并处2000元以上2万元以下的罚款；影响中标、成交结果的，处2万元以上5万元以下的罚款，禁止其参加政府采购评审活动。</w:t>
      </w:r>
    </w:p>
    <w:p w14:paraId="44A02713">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政府采购评审专家与投标人存在利害关系未回避的，处2万元以上5万元以下的罚款，禁止其参加政府采购评审活动。</w:t>
      </w:r>
    </w:p>
    <w:p w14:paraId="7C42AF14">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40F1A3E">
      <w:pPr>
        <w:pStyle w:val="528"/>
        <w:spacing w:before="0" w:after="0" w:line="440" w:lineRule="exact"/>
        <w:ind w:firstLine="480" w:firstLineChars="200"/>
        <w:rPr>
          <w:rFonts w:hint="eastAsia" w:ascii="宋体" w:hAnsi="宋体"/>
          <w:b/>
          <w:bCs/>
          <w:color w:val="auto"/>
          <w:highlight w:val="none"/>
        </w:rPr>
      </w:pPr>
      <w:r>
        <w:rPr>
          <w:rFonts w:hint="eastAsia"/>
          <w:color w:val="auto"/>
          <w:highlight w:val="none"/>
        </w:rPr>
        <w:t>政府采购评审专家有上述违法行为的，其评审意见无效，不得获取评审费；有违法所得的，没收违法所得；给他人造成损失的，依法承担民事责任。</w:t>
      </w:r>
    </w:p>
    <w:p w14:paraId="248E3857">
      <w:pPr>
        <w:widowControl/>
        <w:spacing w:line="46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（五）澄清问题的形式</w:t>
      </w:r>
    </w:p>
    <w:p w14:paraId="418182AB">
      <w:pPr>
        <w:widowControl/>
        <w:spacing w:line="460" w:lineRule="exact"/>
        <w:ind w:firstLine="480" w:firstLineChars="200"/>
        <w:jc w:val="left"/>
        <w:rPr>
          <w:rFonts w:hint="eastAsia" w:ascii="宋体" w:hAnsi="宋体"/>
          <w:color w:val="auto"/>
          <w:sz w:val="24"/>
          <w:highlight w:val="none"/>
        </w:rPr>
      </w:pPr>
      <w:bookmarkStart w:id="264" w:name="_Toc32057"/>
      <w:bookmarkStart w:id="265" w:name="_Toc3131"/>
      <w:bookmarkStart w:id="266" w:name="_Toc12786"/>
      <w:bookmarkStart w:id="267" w:name="_Toc30178"/>
      <w:bookmarkStart w:id="268" w:name="_Toc24183"/>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End w:id="264"/>
      <w:bookmarkEnd w:id="265"/>
      <w:bookmarkEnd w:id="266"/>
      <w:bookmarkEnd w:id="267"/>
      <w:bookmarkEnd w:id="268"/>
    </w:p>
    <w:p w14:paraId="573A3CDD">
      <w:pPr>
        <w:keepLines/>
        <w:spacing w:line="460" w:lineRule="exact"/>
        <w:ind w:firstLine="482" w:firstLineChars="200"/>
        <w:contextualSpacing/>
        <w:jc w:val="left"/>
        <w:outlineLvl w:val="2"/>
        <w:rPr>
          <w:rFonts w:ascii="宋体" w:hAnsi="宋体"/>
          <w:b/>
          <w:color w:val="auto"/>
          <w:kern w:val="0"/>
          <w:sz w:val="24"/>
          <w:highlight w:val="none"/>
          <w:lang w:bidi="en-US"/>
        </w:rPr>
      </w:pPr>
      <w:bookmarkStart w:id="269" w:name="_Toc4098"/>
      <w:bookmarkStart w:id="270" w:name="_Toc21438"/>
      <w:r>
        <w:rPr>
          <w:rFonts w:ascii="宋体" w:hAnsi="宋体"/>
          <w:b/>
          <w:color w:val="auto"/>
          <w:kern w:val="0"/>
          <w:sz w:val="24"/>
          <w:highlight w:val="none"/>
          <w:lang w:bidi="en-US"/>
        </w:rPr>
        <w:t>（</w:t>
      </w:r>
      <w:r>
        <w:rPr>
          <w:rFonts w:hint="eastAsia" w:ascii="宋体" w:hAnsi="宋体"/>
          <w:b/>
          <w:color w:val="auto"/>
          <w:kern w:val="0"/>
          <w:sz w:val="24"/>
          <w:highlight w:val="none"/>
          <w:lang w:bidi="en-US"/>
        </w:rPr>
        <w:t>六</w:t>
      </w:r>
      <w:r>
        <w:rPr>
          <w:rFonts w:ascii="宋体" w:hAnsi="宋体"/>
          <w:b/>
          <w:color w:val="auto"/>
          <w:kern w:val="0"/>
          <w:sz w:val="24"/>
          <w:highlight w:val="none"/>
          <w:lang w:bidi="en-US"/>
        </w:rPr>
        <w:t>）错误修正</w:t>
      </w:r>
      <w:bookmarkEnd w:id="269"/>
      <w:bookmarkEnd w:id="270"/>
    </w:p>
    <w:p w14:paraId="1A441E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投标文件如果出现计算或表达上的错误，修正错误的原则如下：</w:t>
      </w:r>
    </w:p>
    <w:p w14:paraId="6D2CCD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1.开标一览表总价与投标报价明细表汇总数不一致的，以开标一览表为准；</w:t>
      </w:r>
    </w:p>
    <w:p w14:paraId="4364DD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2.投标文件的大写金额和小写金额不一致的，以大写金额为准；</w:t>
      </w:r>
    </w:p>
    <w:p w14:paraId="4415F5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3.单价金额小数点或者百分比有明显错位的，以开标一览表的总价为准，并修改单价；</w:t>
      </w:r>
    </w:p>
    <w:p w14:paraId="1DB5BD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14:paraId="187EE8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5.对不同文字文本投标文件的解释发生异议的，以中文文本为准。</w:t>
      </w:r>
      <w:bookmarkStart w:id="271" w:name="_Toc32392"/>
      <w:bookmarkStart w:id="272" w:name="_Toc5602"/>
    </w:p>
    <w:p w14:paraId="3C4651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6.在电子投标系统中显示的金额与投标文件的金额不一致时，以投标文件的金额为准。</w:t>
      </w:r>
    </w:p>
    <w:p w14:paraId="48B8CA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bookmarkEnd w:id="271"/>
      <w:bookmarkEnd w:id="272"/>
      <w:bookmarkStart w:id="273" w:name="_Toc16478"/>
      <w:bookmarkStart w:id="274" w:name="_Toc8736"/>
      <w:bookmarkStart w:id="275" w:name="_Toc6194"/>
      <w:bookmarkStart w:id="276" w:name="_Toc9938"/>
      <w:bookmarkStart w:id="277" w:name="_Toc23938"/>
      <w:bookmarkStart w:id="278" w:name="_Toc23828"/>
      <w:bookmarkStart w:id="279" w:name="_Toc29304"/>
      <w:bookmarkStart w:id="280" w:name="_Toc21770"/>
      <w:bookmarkStart w:id="281" w:name="_Toc31002"/>
      <w:bookmarkStart w:id="282" w:name="_Toc12959"/>
    </w:p>
    <w:p w14:paraId="3ED45CCC">
      <w:pPr>
        <w:snapToGrid w:val="0"/>
        <w:spacing w:line="400" w:lineRule="exact"/>
        <w:ind w:firstLine="482" w:firstLineChars="200"/>
        <w:outlineLvl w:val="2"/>
        <w:rPr>
          <w:rFonts w:hint="eastAsia" w:ascii="宋体" w:hAnsi="宋体"/>
          <w:b/>
          <w:bCs/>
          <w:color w:val="auto"/>
          <w:sz w:val="24"/>
          <w:highlight w:val="none"/>
        </w:rPr>
      </w:pPr>
      <w:r>
        <w:rPr>
          <w:rFonts w:hint="eastAsia" w:ascii="宋体" w:hAnsi="宋体"/>
          <w:b/>
          <w:bCs/>
          <w:color w:val="auto"/>
          <w:sz w:val="24"/>
          <w:highlight w:val="none"/>
        </w:rPr>
        <w:t>（七）评标原则和评标办法</w:t>
      </w:r>
    </w:p>
    <w:p w14:paraId="167289DB">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8EF48A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2.评标办法。本项目评标办法是 综合评分法 ，具体评标内容及评分标准等详见《评标办法及评分标准》。</w:t>
      </w:r>
    </w:p>
    <w:p w14:paraId="4D60B11E">
      <w:pPr>
        <w:widowControl/>
        <w:spacing w:line="46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六、采购方式变更</w:t>
      </w:r>
      <w:bookmarkEnd w:id="273"/>
      <w:bookmarkEnd w:id="274"/>
      <w:bookmarkEnd w:id="275"/>
      <w:bookmarkEnd w:id="276"/>
      <w:bookmarkEnd w:id="277"/>
      <w:bookmarkEnd w:id="278"/>
      <w:bookmarkEnd w:id="279"/>
      <w:bookmarkEnd w:id="280"/>
      <w:bookmarkEnd w:id="281"/>
      <w:bookmarkEnd w:id="282"/>
    </w:p>
    <w:p w14:paraId="5353B4F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采购响应截止时间止或评审期间，出现参与采购响应或者对招标文件作出实质性响应的供应商不足3家的情况，原则上应终止采购活动，重新组织采购。</w:t>
      </w:r>
    </w:p>
    <w:p w14:paraId="7491D5D7">
      <w:pPr>
        <w:widowControl/>
        <w:spacing w:line="460" w:lineRule="exact"/>
        <w:ind w:firstLine="562" w:firstLineChars="200"/>
        <w:jc w:val="left"/>
        <w:outlineLvl w:val="1"/>
        <w:rPr>
          <w:rFonts w:hint="eastAsia" w:ascii="黑体" w:eastAsia="黑体"/>
          <w:b/>
          <w:bCs/>
          <w:color w:val="auto"/>
          <w:sz w:val="28"/>
          <w:szCs w:val="28"/>
          <w:highlight w:val="none"/>
        </w:rPr>
      </w:pPr>
      <w:bookmarkStart w:id="283" w:name="_Toc14572"/>
      <w:bookmarkStart w:id="284" w:name="_Toc15643"/>
      <w:bookmarkStart w:id="285" w:name="_Toc11020"/>
      <w:bookmarkStart w:id="286" w:name="_Toc23525"/>
      <w:bookmarkStart w:id="287" w:name="_Toc1684"/>
      <w:bookmarkStart w:id="288" w:name="_Toc11850"/>
      <w:bookmarkStart w:id="289" w:name="_Toc21419"/>
      <w:bookmarkStart w:id="290" w:name="_Toc27001"/>
      <w:bookmarkStart w:id="291" w:name="_Toc1505"/>
      <w:bookmarkStart w:id="292" w:name="_Toc14250"/>
      <w:r>
        <w:rPr>
          <w:rFonts w:hint="eastAsia" w:ascii="黑体" w:eastAsia="黑体"/>
          <w:b/>
          <w:bCs/>
          <w:color w:val="auto"/>
          <w:sz w:val="28"/>
          <w:szCs w:val="28"/>
          <w:highlight w:val="none"/>
        </w:rPr>
        <w:t>七、定标</w:t>
      </w:r>
      <w:bookmarkEnd w:id="283"/>
      <w:bookmarkEnd w:id="284"/>
      <w:bookmarkEnd w:id="285"/>
      <w:bookmarkEnd w:id="286"/>
      <w:bookmarkEnd w:id="287"/>
      <w:bookmarkEnd w:id="288"/>
      <w:bookmarkEnd w:id="289"/>
      <w:bookmarkEnd w:id="290"/>
      <w:bookmarkEnd w:id="291"/>
      <w:bookmarkEnd w:id="292"/>
    </w:p>
    <w:p w14:paraId="631CE0A1">
      <w:pPr>
        <w:snapToGrid w:val="0"/>
        <w:spacing w:line="440" w:lineRule="exact"/>
        <w:ind w:firstLine="482" w:firstLineChars="200"/>
        <w:rPr>
          <w:rStyle w:val="201"/>
          <w:rFonts w:hint="eastAsia" w:ascii="宋体" w:hAnsi="宋体"/>
          <w:b/>
          <w:bCs/>
          <w:color w:val="auto"/>
          <w:sz w:val="24"/>
          <w:highlight w:val="none"/>
        </w:rPr>
      </w:pPr>
      <w:r>
        <w:rPr>
          <w:rStyle w:val="201"/>
          <w:rFonts w:hint="eastAsia" w:ascii="宋体" w:hAnsi="宋体"/>
          <w:b/>
          <w:bCs/>
          <w:color w:val="auto"/>
          <w:sz w:val="24"/>
          <w:highlight w:val="none"/>
        </w:rPr>
        <w:t>（一）采购项目需要落实的政府采购政策</w:t>
      </w:r>
    </w:p>
    <w:p w14:paraId="4C39BDAD">
      <w:pPr>
        <w:spacing w:line="44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DADDA8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2.支持绿色发展</w:t>
      </w:r>
    </w:p>
    <w:p w14:paraId="64D1BB9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D4667E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2B092E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3.支持创新发展</w:t>
      </w:r>
    </w:p>
    <w:p w14:paraId="6A926A0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3.1 采购人优先采购被认定为首台套产品和“制造精品”的自主创新产品。</w:t>
      </w:r>
    </w:p>
    <w:p w14:paraId="5B9DD6D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9F558F">
      <w:pPr>
        <w:spacing w:line="440" w:lineRule="exact"/>
        <w:ind w:firstLine="480" w:firstLineChars="200"/>
        <w:rPr>
          <w:rStyle w:val="201"/>
          <w:rFonts w:ascii="宋体" w:hAnsi="宋体"/>
          <w:b/>
          <w:bCs/>
          <w:color w:val="auto"/>
          <w:sz w:val="24"/>
          <w:highlight w:val="none"/>
        </w:rPr>
      </w:pPr>
      <w:r>
        <w:rPr>
          <w:rFonts w:hint="eastAsia" w:ascii="宋体" w:hAnsi="宋体"/>
          <w:color w:val="auto"/>
          <w:sz w:val="24"/>
          <w:highlight w:val="none"/>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7399298">
      <w:pPr>
        <w:snapToGrid w:val="0"/>
        <w:spacing w:line="460" w:lineRule="exact"/>
        <w:ind w:firstLine="482" w:firstLineChars="200"/>
        <w:rPr>
          <w:rStyle w:val="201"/>
          <w:rFonts w:ascii="宋体" w:hAnsi="宋体"/>
          <w:b/>
          <w:bCs/>
          <w:color w:val="auto"/>
          <w:sz w:val="24"/>
          <w:highlight w:val="none"/>
        </w:rPr>
      </w:pPr>
      <w:r>
        <w:rPr>
          <w:rStyle w:val="201"/>
          <w:rFonts w:ascii="宋体" w:hAnsi="宋体"/>
          <w:b/>
          <w:bCs/>
          <w:color w:val="auto"/>
          <w:sz w:val="24"/>
          <w:highlight w:val="none"/>
        </w:rPr>
        <w:t>（</w:t>
      </w:r>
      <w:r>
        <w:rPr>
          <w:rStyle w:val="201"/>
          <w:rFonts w:hint="eastAsia" w:ascii="宋体" w:hAnsi="宋体"/>
          <w:b/>
          <w:bCs/>
          <w:color w:val="auto"/>
          <w:sz w:val="24"/>
          <w:highlight w:val="none"/>
        </w:rPr>
        <w:t>二</w:t>
      </w:r>
      <w:r>
        <w:rPr>
          <w:rStyle w:val="201"/>
          <w:rFonts w:ascii="宋体" w:hAnsi="宋体"/>
          <w:b/>
          <w:bCs/>
          <w:color w:val="auto"/>
          <w:sz w:val="24"/>
          <w:highlight w:val="none"/>
        </w:rPr>
        <w:t>）</w:t>
      </w:r>
      <w:r>
        <w:rPr>
          <w:rFonts w:hint="eastAsia" w:ascii="宋体" w:hAnsi="宋体"/>
          <w:b/>
          <w:bCs/>
          <w:color w:val="auto"/>
          <w:sz w:val="24"/>
          <w:highlight w:val="none"/>
        </w:rPr>
        <w:t>确定中标人。本项目由采购人（或采购人事先授权评标委员会）确定中标人。</w:t>
      </w:r>
    </w:p>
    <w:p w14:paraId="50DB1344">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14:paraId="72886CDD">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（1）排名第一的候选供应商，因自身原因放弃中标或因不可抗力不能履行合同的；</w:t>
      </w:r>
    </w:p>
    <w:p w14:paraId="01997E1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（2）经质疑，采购人审查确认因排名第一的候选供应商在本次采购活动中存在违法违规行为或其他原因使质疑成立的。</w:t>
      </w:r>
    </w:p>
    <w:p w14:paraId="61477DCF">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58608986">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3.采购人或采购代理机构应当自中标、成交供应商确定之日起2个工作日内，发出中标、成交通知书，并在省级以上人民政府财政部门指定的媒体上公告中标、成交结果。</w:t>
      </w:r>
    </w:p>
    <w:p w14:paraId="574C35C3">
      <w:pPr>
        <w:widowControl/>
        <w:spacing w:line="460" w:lineRule="exact"/>
        <w:ind w:firstLine="562" w:firstLineChars="200"/>
        <w:jc w:val="left"/>
        <w:outlineLvl w:val="1"/>
        <w:rPr>
          <w:rFonts w:hint="eastAsia" w:ascii="黑体" w:eastAsia="黑体"/>
          <w:b/>
          <w:bCs/>
          <w:color w:val="auto"/>
          <w:sz w:val="28"/>
          <w:szCs w:val="28"/>
          <w:highlight w:val="none"/>
        </w:rPr>
      </w:pPr>
      <w:bookmarkStart w:id="293" w:name="_Toc2686"/>
      <w:bookmarkStart w:id="294" w:name="_Toc14974"/>
      <w:bookmarkStart w:id="295" w:name="_Toc27066"/>
      <w:bookmarkStart w:id="296" w:name="_Toc21600"/>
      <w:bookmarkStart w:id="297" w:name="_Toc26656"/>
      <w:bookmarkStart w:id="298" w:name="_Toc9407"/>
      <w:bookmarkStart w:id="299" w:name="_Toc3374"/>
      <w:bookmarkStart w:id="300" w:name="_Toc5811"/>
      <w:bookmarkStart w:id="301" w:name="_Toc5149"/>
      <w:bookmarkStart w:id="302" w:name="_Toc25532"/>
      <w:r>
        <w:rPr>
          <w:rFonts w:hint="eastAsia" w:ascii="黑体" w:eastAsia="黑体"/>
          <w:b/>
          <w:bCs/>
          <w:color w:val="auto"/>
          <w:sz w:val="28"/>
          <w:szCs w:val="28"/>
          <w:highlight w:val="none"/>
        </w:rPr>
        <w:t>八、合同授予</w:t>
      </w:r>
      <w:bookmarkEnd w:id="293"/>
      <w:bookmarkEnd w:id="294"/>
      <w:bookmarkEnd w:id="295"/>
      <w:bookmarkEnd w:id="296"/>
      <w:bookmarkEnd w:id="297"/>
      <w:bookmarkEnd w:id="298"/>
      <w:bookmarkEnd w:id="299"/>
      <w:bookmarkEnd w:id="300"/>
      <w:bookmarkEnd w:id="301"/>
      <w:bookmarkEnd w:id="302"/>
    </w:p>
    <w:p w14:paraId="25E9A2F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 合同的签订</w:t>
      </w:r>
    </w:p>
    <w:p w14:paraId="33F9762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1.1除不可抗力等特殊情况外，采购人原则上应当在中标通知书发出之日起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日内，与成交人按照采购文件确定的事项签订政府采购合同，并在签订之日起2个工作日内将政府采购合同在浙江政府采购网上公告。</w:t>
      </w:r>
    </w:p>
    <w:p w14:paraId="25B4BD1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6196D18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1.3如签订合同并生效后，供应商无故拒绝或延期，除按照合同条款处理外，列入不良行为记录一次，并给予通报。</w:t>
      </w:r>
    </w:p>
    <w:p w14:paraId="6D705CB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1.4成交人拒绝与采购人签订合同的，采购人可以按照评审报告推荐的中标或者成交候选人名单排序，确定下一候选人为成交人，也可以重新开展政府采购活动。</w:t>
      </w:r>
    </w:p>
    <w:p w14:paraId="163D8F0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1.5采购合同由采购人与成交人根据采购文件、投标响应文件等内容通过政府采购电子交易平台在线签订，自动备案。</w:t>
      </w:r>
    </w:p>
    <w:p w14:paraId="2F9A011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1.6政府采购货物和服务项目不得收取质量保证金。政府采购工程以及与工程建设有关的货物、服务，采用招标方式采购的，按国家和省有关规定执行。</w:t>
      </w:r>
    </w:p>
    <w:p w14:paraId="608B805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2.履约保证金</w:t>
      </w:r>
    </w:p>
    <w:p w14:paraId="72FC0FE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7104927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88DD8D">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3.采购人与中标人应当在《中标通知书》发出之日起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日内签订政府采购合同。同时，采购代理机构对合同内容进行审查，如发现与采购结果和投标承诺内容不一致的，应予以纠正。</w:t>
      </w:r>
    </w:p>
    <w:p w14:paraId="5911B5BD">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4.合同正本一式六份，采购单位与中标人各执两份，</w:t>
      </w:r>
      <w:r>
        <w:rPr>
          <w:rFonts w:hint="eastAsia" w:ascii="宋体" w:hAnsi="宋体"/>
          <w:color w:val="auto"/>
          <w:sz w:val="24"/>
          <w:highlight w:val="none"/>
          <w:lang w:eastAsia="zh-CN"/>
        </w:rPr>
        <w:t>浙江诚远工程咨询有限公司</w:t>
      </w:r>
      <w:r>
        <w:rPr>
          <w:rFonts w:hint="eastAsia" w:ascii="宋体" w:hAnsi="宋体"/>
          <w:color w:val="auto"/>
          <w:sz w:val="24"/>
          <w:highlight w:val="none"/>
        </w:rPr>
        <w:t>、磐安县财政局采购监管科各执一份。</w:t>
      </w:r>
    </w:p>
    <w:p w14:paraId="677262E5">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5.中标人拖延、拒签合同的，将被取消中标资格。</w:t>
      </w:r>
    </w:p>
    <w:p w14:paraId="63D15F56">
      <w:pPr>
        <w:widowControl/>
        <w:spacing w:line="460" w:lineRule="exact"/>
        <w:ind w:firstLine="562" w:firstLineChars="200"/>
        <w:jc w:val="left"/>
        <w:outlineLvl w:val="1"/>
        <w:rPr>
          <w:rFonts w:hint="eastAsia" w:ascii="黑体" w:eastAsia="黑体"/>
          <w:b/>
          <w:bCs/>
          <w:color w:val="auto"/>
          <w:sz w:val="28"/>
          <w:szCs w:val="28"/>
          <w:highlight w:val="none"/>
        </w:rPr>
      </w:pPr>
      <w:bookmarkStart w:id="303" w:name="_Toc20978"/>
      <w:bookmarkStart w:id="304" w:name="_Toc22748"/>
      <w:bookmarkStart w:id="305" w:name="_Toc23229"/>
      <w:bookmarkStart w:id="306" w:name="_Toc11661"/>
      <w:bookmarkStart w:id="307" w:name="_Toc22294"/>
      <w:bookmarkStart w:id="308" w:name="_Toc32478"/>
      <w:bookmarkStart w:id="309" w:name="_Toc25670"/>
      <w:bookmarkStart w:id="310" w:name="_Toc19699"/>
      <w:bookmarkStart w:id="311" w:name="_Toc9798"/>
      <w:bookmarkStart w:id="312" w:name="_Toc21062"/>
      <w:r>
        <w:rPr>
          <w:rFonts w:hint="eastAsia" w:ascii="黑体" w:eastAsia="黑体"/>
          <w:b/>
          <w:bCs/>
          <w:color w:val="auto"/>
          <w:sz w:val="28"/>
          <w:szCs w:val="28"/>
          <w:highlight w:val="none"/>
        </w:rPr>
        <w:t>九、质疑与投诉</w:t>
      </w:r>
      <w:bookmarkEnd w:id="303"/>
      <w:bookmarkEnd w:id="304"/>
      <w:bookmarkEnd w:id="305"/>
      <w:bookmarkEnd w:id="306"/>
      <w:bookmarkEnd w:id="307"/>
      <w:bookmarkEnd w:id="308"/>
      <w:bookmarkEnd w:id="309"/>
      <w:bookmarkEnd w:id="310"/>
      <w:bookmarkEnd w:id="311"/>
      <w:bookmarkEnd w:id="312"/>
    </w:p>
    <w:p w14:paraId="3FA6ED33">
      <w:pPr>
        <w:pStyle w:val="528"/>
        <w:spacing w:before="0" w:after="0" w:line="460" w:lineRule="exact"/>
        <w:ind w:firstLine="480" w:firstLineChars="200"/>
        <w:rPr>
          <w:rFonts w:hint="eastAsia"/>
          <w:color w:val="auto"/>
          <w:highlight w:val="none"/>
        </w:rPr>
      </w:pPr>
      <w:r>
        <w:rPr>
          <w:rFonts w:hint="eastAsia"/>
          <w:color w:val="auto"/>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bookmarkEnd w:id="222"/>
    </w:p>
    <w:p w14:paraId="69DDDC15">
      <w:pPr>
        <w:pStyle w:val="3"/>
        <w:spacing w:line="360" w:lineRule="auto"/>
        <w:jc w:val="center"/>
        <w:rPr>
          <w:rFonts w:hint="eastAsia" w:ascii="宋体" w:hAnsi="宋体" w:cs="宋体"/>
          <w:b w:val="0"/>
          <w:color w:val="auto"/>
          <w:sz w:val="30"/>
          <w:szCs w:val="30"/>
          <w:highlight w:val="none"/>
        </w:rPr>
      </w:pPr>
      <w:r>
        <w:rPr>
          <w:rFonts w:hint="eastAsia" w:ascii="黑体" w:hAnsi="黑体" w:eastAsia="黑体" w:cs="黑体"/>
          <w:b w:val="0"/>
          <w:color w:val="auto"/>
          <w:sz w:val="30"/>
          <w:szCs w:val="30"/>
          <w:highlight w:val="none"/>
        </w:rPr>
        <w:br w:type="page"/>
      </w:r>
      <w:bookmarkStart w:id="313" w:name="_Toc11683"/>
      <w:bookmarkStart w:id="314" w:name="_Toc5992"/>
      <w:bookmarkStart w:id="315" w:name="_Toc23902"/>
      <w:bookmarkStart w:id="316" w:name="_Toc1727"/>
      <w:r>
        <w:rPr>
          <w:rFonts w:hint="eastAsia"/>
          <w:color w:val="auto"/>
          <w:highlight w:val="none"/>
        </w:rPr>
        <w:t>第四章  评审办法</w:t>
      </w:r>
      <w:bookmarkEnd w:id="313"/>
      <w:bookmarkEnd w:id="314"/>
      <w:r>
        <w:rPr>
          <w:rFonts w:hint="eastAsia"/>
          <w:color w:val="auto"/>
          <w:highlight w:val="none"/>
        </w:rPr>
        <w:t>和评分标准</w:t>
      </w:r>
      <w:bookmarkEnd w:id="315"/>
      <w:bookmarkEnd w:id="316"/>
    </w:p>
    <w:p w14:paraId="06DB54F0">
      <w:pPr>
        <w:spacing w:line="360" w:lineRule="auto"/>
        <w:ind w:right="218" w:rightChars="104" w:firstLine="480" w:firstLineChars="200"/>
        <w:rPr>
          <w:rFonts w:hint="eastAsia"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1D3FF436">
      <w:pPr>
        <w:spacing w:line="450" w:lineRule="exact"/>
        <w:ind w:right="218" w:rightChars="104" w:firstLine="420"/>
        <w:rPr>
          <w:rFonts w:hint="eastAsia" w:ascii="宋体" w:hAnsi="宋体" w:cs="宋体"/>
          <w:b/>
          <w:bCs/>
          <w:color w:val="auto"/>
          <w:sz w:val="24"/>
          <w:highlight w:val="none"/>
        </w:rPr>
      </w:pPr>
      <w:r>
        <w:rPr>
          <w:rFonts w:hint="eastAsia" w:ascii="宋体" w:hAnsi="宋体" w:cs="宋体"/>
          <w:b/>
          <w:color w:val="auto"/>
          <w:sz w:val="24"/>
          <w:highlight w:val="none"/>
        </w:rPr>
        <w:t>本办法适用于</w:t>
      </w:r>
      <w:r>
        <w:rPr>
          <w:rFonts w:hint="eastAsia" w:ascii="宋体" w:hAnsi="宋体" w:cs="宋体"/>
          <w:b/>
          <w:color w:val="auto"/>
          <w:sz w:val="24"/>
          <w:highlight w:val="none"/>
          <w:lang w:eastAsia="zh-CN"/>
        </w:rPr>
        <w:t>2025年安文街道松材线虫病枯死松树清理服务项目(第二次)</w:t>
      </w:r>
      <w:r>
        <w:rPr>
          <w:rFonts w:hint="eastAsia" w:ascii="宋体" w:hAnsi="宋体" w:cs="宋体"/>
          <w:b/>
          <w:bCs/>
          <w:color w:val="auto"/>
          <w:sz w:val="24"/>
          <w:highlight w:val="none"/>
        </w:rPr>
        <w:t>公开招标文件</w:t>
      </w:r>
      <w:r>
        <w:rPr>
          <w:rFonts w:hint="eastAsia" w:ascii="宋体" w:hAnsi="宋体" w:cs="宋体"/>
          <w:b/>
          <w:color w:val="auto"/>
          <w:sz w:val="24"/>
          <w:highlight w:val="none"/>
        </w:rPr>
        <w:t>的评</w:t>
      </w:r>
      <w:r>
        <w:rPr>
          <w:rFonts w:hint="eastAsia" w:ascii="宋体" w:hAnsi="宋体" w:cs="宋体"/>
          <w:b/>
          <w:bCs/>
          <w:color w:val="auto"/>
          <w:sz w:val="24"/>
          <w:highlight w:val="none"/>
        </w:rPr>
        <w:t>标。</w:t>
      </w:r>
    </w:p>
    <w:p w14:paraId="77179E98">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一、评标</w:t>
      </w:r>
    </w:p>
    <w:p w14:paraId="61B528F5">
      <w:pPr>
        <w:pStyle w:val="29"/>
        <w:spacing w:before="0" w:after="0" w:line="450" w:lineRule="exact"/>
        <w:ind w:firstLine="480" w:firstLineChars="200"/>
        <w:rPr>
          <w:rFonts w:hint="eastAsia" w:hAnsi="宋体" w:cs="宋体"/>
          <w:color w:val="auto"/>
          <w:highlight w:val="none"/>
        </w:rPr>
      </w:pPr>
      <w:r>
        <w:rPr>
          <w:rFonts w:hint="eastAsia" w:hAnsi="宋体" w:cs="宋体"/>
          <w:color w:val="auto"/>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14:paraId="3A1C92B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技术商务分按照评标委员会成员的独立评分结果汇总后的算术平均分计算，计算公式为：</w:t>
      </w:r>
    </w:p>
    <w:p w14:paraId="5351A6B6">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技术商务分=评标委员会所有成员评分合计数/评标委员会组成人员数</w:t>
      </w:r>
    </w:p>
    <w:p w14:paraId="1244DFA2">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投标人评标综合得分=报价分+技术商务分</w:t>
      </w:r>
    </w:p>
    <w:p w14:paraId="514164F8">
      <w:pPr>
        <w:spacing w:line="45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投标报价超出最高限价的，其投标按无效投标处理。</w:t>
      </w:r>
    </w:p>
    <w:p w14:paraId="67062C1A">
      <w:pPr>
        <w:spacing w:line="450" w:lineRule="exact"/>
        <w:rPr>
          <w:rFonts w:hint="eastAsia" w:ascii="宋体" w:hAnsi="宋体" w:cs="宋体"/>
          <w:b/>
          <w:color w:val="auto"/>
          <w:sz w:val="24"/>
          <w:highlight w:val="none"/>
        </w:rPr>
      </w:pPr>
      <w:r>
        <w:rPr>
          <w:rFonts w:hint="eastAsia" w:ascii="宋体" w:hAnsi="宋体" w:cs="宋体"/>
          <w:b/>
          <w:color w:val="auto"/>
          <w:sz w:val="24"/>
          <w:highlight w:val="none"/>
        </w:rPr>
        <w:t>评标细则如下：（技术商务</w:t>
      </w:r>
      <w:r>
        <w:rPr>
          <w:rFonts w:hint="eastAsia" w:ascii="宋体" w:hAnsi="宋体" w:cs="宋体"/>
          <w:b/>
          <w:color w:val="auto"/>
          <w:sz w:val="24"/>
          <w:highlight w:val="none"/>
          <w:lang w:val="en-US" w:eastAsia="zh-CN"/>
        </w:rPr>
        <w:t>70</w:t>
      </w:r>
      <w:r>
        <w:rPr>
          <w:rFonts w:hint="eastAsia" w:ascii="宋体" w:hAnsi="宋体" w:cs="宋体"/>
          <w:b/>
          <w:color w:val="auto"/>
          <w:sz w:val="24"/>
          <w:highlight w:val="none"/>
        </w:rPr>
        <w:t>分及</w:t>
      </w:r>
      <w:r>
        <w:rPr>
          <w:rFonts w:hint="eastAsia" w:ascii="宋体" w:hAnsi="宋体" w:cs="宋体"/>
          <w:b/>
          <w:color w:val="auto"/>
          <w:kern w:val="0"/>
          <w:sz w:val="24"/>
          <w:highlight w:val="none"/>
        </w:rPr>
        <w:t>价格</w:t>
      </w:r>
      <w:r>
        <w:rPr>
          <w:rFonts w:hint="eastAsia" w:ascii="宋体" w:hAnsi="宋体" w:cs="宋体"/>
          <w:b/>
          <w:color w:val="auto"/>
          <w:sz w:val="24"/>
          <w:highlight w:val="none"/>
        </w:rPr>
        <w:t>分</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分，共100分）</w:t>
      </w:r>
    </w:p>
    <w:tbl>
      <w:tblPr>
        <w:tblStyle w:val="53"/>
        <w:tblW w:w="10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453"/>
        <w:gridCol w:w="991"/>
        <w:gridCol w:w="7497"/>
        <w:gridCol w:w="758"/>
      </w:tblGrid>
      <w:tr w14:paraId="74C83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EFB9B02">
            <w:pPr>
              <w:spacing w:line="440" w:lineRule="exact"/>
              <w:rPr>
                <w:rFonts w:hint="eastAsia" w:ascii="宋体" w:hAnsi="宋体" w:cs="宋体"/>
                <w:b/>
                <w:bCs/>
                <w:szCs w:val="21"/>
              </w:rPr>
            </w:pPr>
            <w:r>
              <w:rPr>
                <w:rFonts w:hint="eastAsia" w:ascii="宋体" w:hAnsi="宋体" w:cs="宋体"/>
                <w:b/>
                <w:bCs/>
                <w:szCs w:val="21"/>
              </w:rPr>
              <w:t>序号</w:t>
            </w:r>
          </w:p>
        </w:tc>
        <w:tc>
          <w:tcPr>
            <w:tcW w:w="1444" w:type="dxa"/>
            <w:gridSpan w:val="2"/>
            <w:tcBorders>
              <w:top w:val="single" w:color="auto" w:sz="4" w:space="0"/>
              <w:left w:val="single" w:color="auto" w:sz="4" w:space="0"/>
              <w:bottom w:val="single" w:color="auto" w:sz="4" w:space="0"/>
              <w:right w:val="single" w:color="auto" w:sz="4" w:space="0"/>
            </w:tcBorders>
            <w:noWrap w:val="0"/>
            <w:vAlign w:val="center"/>
          </w:tcPr>
          <w:p w14:paraId="46518F1E">
            <w:pPr>
              <w:spacing w:line="440" w:lineRule="exact"/>
              <w:jc w:val="center"/>
              <w:rPr>
                <w:rFonts w:hint="eastAsia" w:ascii="宋体" w:hAnsi="宋体" w:cs="宋体"/>
                <w:b/>
                <w:bCs/>
                <w:szCs w:val="21"/>
              </w:rPr>
            </w:pPr>
            <w:r>
              <w:rPr>
                <w:rFonts w:hint="eastAsia" w:ascii="宋体" w:hAnsi="宋体" w:cs="宋体"/>
                <w:b/>
                <w:bCs/>
                <w:szCs w:val="21"/>
              </w:rPr>
              <w:t>评审内容</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5C212342">
            <w:pPr>
              <w:spacing w:line="440" w:lineRule="exact"/>
              <w:jc w:val="center"/>
              <w:rPr>
                <w:rFonts w:hint="eastAsia" w:ascii="宋体" w:hAnsi="宋体" w:cs="宋体"/>
                <w:b/>
                <w:bCs/>
                <w:szCs w:val="21"/>
              </w:rPr>
            </w:pPr>
            <w:r>
              <w:rPr>
                <w:rFonts w:hint="eastAsia" w:ascii="宋体" w:hAnsi="宋体" w:cs="宋体"/>
                <w:b/>
                <w:bCs/>
                <w:szCs w:val="21"/>
              </w:rPr>
              <w:t>评分标准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4EA8550">
            <w:pPr>
              <w:spacing w:line="440" w:lineRule="exact"/>
              <w:jc w:val="center"/>
              <w:rPr>
                <w:rFonts w:hint="eastAsia" w:ascii="宋体" w:hAnsi="宋体" w:cs="宋体"/>
                <w:b/>
                <w:bCs/>
                <w:szCs w:val="21"/>
              </w:rPr>
            </w:pPr>
            <w:r>
              <w:rPr>
                <w:rFonts w:hint="eastAsia" w:ascii="宋体" w:hAnsi="宋体" w:cs="宋体"/>
                <w:b/>
                <w:bCs/>
                <w:szCs w:val="21"/>
              </w:rPr>
              <w:t>分值</w:t>
            </w:r>
          </w:p>
        </w:tc>
      </w:tr>
      <w:tr w14:paraId="5452E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5A60444F">
            <w:pPr>
              <w:spacing w:line="440" w:lineRule="exact"/>
              <w:jc w:val="center"/>
              <w:rPr>
                <w:rFonts w:hint="eastAsia" w:ascii="宋体" w:hAnsi="宋体" w:cs="宋体"/>
                <w:b/>
                <w:bCs/>
                <w:szCs w:val="21"/>
              </w:rPr>
            </w:pPr>
            <w:r>
              <w:rPr>
                <w:rFonts w:hint="eastAsia" w:ascii="宋体" w:hAnsi="宋体" w:cs="宋体"/>
                <w:b/>
                <w:bCs/>
                <w:szCs w:val="21"/>
              </w:rPr>
              <w:t>一</w:t>
            </w:r>
          </w:p>
        </w:tc>
        <w:tc>
          <w:tcPr>
            <w:tcW w:w="8941" w:type="dxa"/>
            <w:gridSpan w:val="3"/>
            <w:tcBorders>
              <w:top w:val="single" w:color="auto" w:sz="4" w:space="0"/>
              <w:left w:val="single" w:color="auto" w:sz="4" w:space="0"/>
              <w:bottom w:val="single" w:color="auto" w:sz="4" w:space="0"/>
              <w:right w:val="single" w:color="auto" w:sz="4" w:space="0"/>
            </w:tcBorders>
            <w:noWrap w:val="0"/>
            <w:vAlign w:val="center"/>
          </w:tcPr>
          <w:p w14:paraId="726044ED">
            <w:pPr>
              <w:spacing w:line="440" w:lineRule="exact"/>
              <w:jc w:val="center"/>
              <w:rPr>
                <w:rFonts w:hint="eastAsia" w:ascii="宋体" w:hAnsi="宋体" w:cs="宋体"/>
                <w:b/>
                <w:bCs/>
                <w:szCs w:val="21"/>
              </w:rPr>
            </w:pPr>
            <w:r>
              <w:rPr>
                <w:rFonts w:hint="eastAsia" w:ascii="宋体" w:hAnsi="宋体" w:cs="宋体"/>
                <w:b/>
                <w:bCs/>
                <w:szCs w:val="21"/>
              </w:rPr>
              <w:t>技术分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E219240">
            <w:pPr>
              <w:spacing w:line="440" w:lineRule="exact"/>
              <w:rPr>
                <w:rFonts w:hint="eastAsia" w:ascii="宋体" w:hAnsi="宋体" w:cs="宋体"/>
                <w:b/>
                <w:bCs/>
                <w:szCs w:val="21"/>
              </w:rPr>
            </w:pPr>
            <w:r>
              <w:rPr>
                <w:rFonts w:hint="eastAsia" w:ascii="宋体" w:hAnsi="宋体" w:cs="宋体"/>
                <w:b/>
                <w:bCs/>
                <w:szCs w:val="21"/>
              </w:rPr>
              <w:t>50分</w:t>
            </w:r>
          </w:p>
        </w:tc>
      </w:tr>
      <w:tr w14:paraId="4F558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2CA22">
            <w:pPr>
              <w:spacing w:line="440" w:lineRule="exact"/>
              <w:jc w:val="center"/>
              <w:rPr>
                <w:rFonts w:hint="eastAsia" w:ascii="宋体" w:hAnsi="宋体" w:cs="宋体"/>
                <w:szCs w:val="21"/>
              </w:rPr>
            </w:pPr>
            <w:r>
              <w:rPr>
                <w:rFonts w:hint="eastAsia" w:ascii="宋体" w:hAnsi="宋体" w:cs="宋体"/>
                <w:szCs w:val="21"/>
              </w:rPr>
              <w:t>1</w:t>
            </w:r>
          </w:p>
        </w:tc>
        <w:tc>
          <w:tcPr>
            <w:tcW w:w="453" w:type="dxa"/>
            <w:vMerge w:val="restart"/>
            <w:tcBorders>
              <w:left w:val="single" w:color="auto" w:sz="4" w:space="0"/>
              <w:right w:val="single" w:color="auto" w:sz="4" w:space="0"/>
            </w:tcBorders>
            <w:shd w:val="clear" w:color="auto" w:fill="auto"/>
            <w:noWrap w:val="0"/>
            <w:vAlign w:val="center"/>
          </w:tcPr>
          <w:p w14:paraId="407058AA">
            <w:pPr>
              <w:spacing w:line="440" w:lineRule="exact"/>
              <w:jc w:val="center"/>
              <w:rPr>
                <w:rFonts w:hint="eastAsia" w:ascii="宋体" w:hAnsi="宋体" w:cs="宋体"/>
                <w:szCs w:val="21"/>
              </w:rPr>
            </w:pPr>
            <w:r>
              <w:rPr>
                <w:rFonts w:hint="eastAsia" w:ascii="宋体" w:hAnsi="宋体" w:cs="宋体"/>
                <w:szCs w:val="21"/>
              </w:rPr>
              <w:t>技术服务水平</w:t>
            </w:r>
          </w:p>
        </w:tc>
        <w:tc>
          <w:tcPr>
            <w:tcW w:w="991"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3127D7B5">
            <w:pPr>
              <w:spacing w:line="440" w:lineRule="exact"/>
              <w:jc w:val="center"/>
              <w:rPr>
                <w:rFonts w:hint="eastAsia" w:ascii="宋体" w:hAnsi="宋体" w:cs="宋体"/>
                <w:szCs w:val="21"/>
              </w:rPr>
            </w:pPr>
            <w:r>
              <w:rPr>
                <w:rFonts w:hint="eastAsia" w:ascii="宋体" w:hAnsi="宋体" w:cs="宋体"/>
                <w:szCs w:val="21"/>
              </w:rPr>
              <w:t>项目调研程度</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58D445BB">
            <w:pPr>
              <w:spacing w:line="440" w:lineRule="exact"/>
              <w:rPr>
                <w:rFonts w:ascii="宋体" w:hAnsi="宋体" w:cs="宋体"/>
                <w:szCs w:val="21"/>
              </w:rPr>
            </w:pPr>
            <w:r>
              <w:rPr>
                <w:rFonts w:hint="eastAsia" w:ascii="宋体" w:hAnsi="宋体" w:cs="宋体"/>
                <w:szCs w:val="21"/>
              </w:rPr>
              <w:t>根据供应商对本项目采购范围内环境、枯死松树分布特点等情况的熟悉程度，是否能根据项目特定环境妥善安排相关工作（0-2分）。对本项目区域山林、道路现状，存在问题以及林木运输重点难点的调查充分情况（0-1分），对项目区域是否充分熟悉及能否合理规划情况等（0-1分）。根据调研程度的完整性、科学性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D1118A8">
            <w:pPr>
              <w:spacing w:line="440" w:lineRule="exact"/>
              <w:jc w:val="center"/>
              <w:rPr>
                <w:rFonts w:ascii="宋体" w:hAnsi="宋体" w:cs="宋体"/>
                <w:szCs w:val="21"/>
              </w:rPr>
            </w:pPr>
            <w:r>
              <w:rPr>
                <w:rFonts w:hint="eastAsia" w:ascii="宋体" w:hAnsi="宋体" w:cs="宋体"/>
                <w:szCs w:val="21"/>
              </w:rPr>
              <w:t>4</w:t>
            </w:r>
          </w:p>
        </w:tc>
      </w:tr>
      <w:tr w14:paraId="16891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CA0A0D">
            <w:pPr>
              <w:spacing w:line="440" w:lineRule="exact"/>
              <w:jc w:val="center"/>
              <w:rPr>
                <w:rFonts w:hint="eastAsia" w:ascii="宋体" w:hAnsi="宋体" w:cs="宋体"/>
                <w:szCs w:val="21"/>
              </w:rPr>
            </w:pPr>
            <w:r>
              <w:rPr>
                <w:rFonts w:hint="eastAsia" w:ascii="宋体" w:hAnsi="宋体" w:cs="宋体"/>
                <w:szCs w:val="21"/>
              </w:rPr>
              <w:t>2</w:t>
            </w:r>
          </w:p>
        </w:tc>
        <w:tc>
          <w:tcPr>
            <w:tcW w:w="453" w:type="dxa"/>
            <w:vMerge w:val="continue"/>
            <w:tcBorders>
              <w:left w:val="single" w:color="auto" w:sz="4" w:space="0"/>
              <w:right w:val="single" w:color="auto" w:sz="4" w:space="0"/>
            </w:tcBorders>
            <w:shd w:val="clear" w:color="auto" w:fill="auto"/>
            <w:noWrap w:val="0"/>
            <w:vAlign w:val="center"/>
          </w:tcPr>
          <w:p w14:paraId="5BD53572">
            <w:pPr>
              <w:spacing w:line="440" w:lineRule="exact"/>
              <w:jc w:val="center"/>
              <w:rPr>
                <w:rFonts w:hint="eastAsia" w:ascii="宋体" w:hAnsi="宋体" w:cs="宋体"/>
                <w:szCs w:val="21"/>
              </w:rPr>
            </w:pPr>
          </w:p>
        </w:tc>
        <w:tc>
          <w:tcPr>
            <w:tcW w:w="991"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65F4C3CC">
            <w:pPr>
              <w:spacing w:line="440" w:lineRule="exact"/>
              <w:jc w:val="center"/>
              <w:rPr>
                <w:rFonts w:hint="eastAsia" w:ascii="宋体" w:hAnsi="宋体" w:cs="宋体"/>
                <w:szCs w:val="21"/>
              </w:rPr>
            </w:pPr>
            <w:r>
              <w:rPr>
                <w:rFonts w:hint="eastAsia" w:ascii="宋体" w:hAnsi="宋体" w:cs="宋体"/>
                <w:szCs w:val="21"/>
              </w:rPr>
              <w:t>项目</w:t>
            </w:r>
          </w:p>
          <w:p w14:paraId="41D0B8D5">
            <w:pPr>
              <w:spacing w:line="440" w:lineRule="exact"/>
              <w:jc w:val="center"/>
              <w:rPr>
                <w:rFonts w:hint="eastAsia" w:ascii="宋体" w:hAnsi="宋体" w:cs="宋体"/>
                <w:szCs w:val="21"/>
              </w:rPr>
            </w:pPr>
            <w:r>
              <w:rPr>
                <w:rFonts w:hint="eastAsia" w:ascii="宋体" w:hAnsi="宋体" w:cs="宋体"/>
                <w:szCs w:val="21"/>
              </w:rPr>
              <w:t xml:space="preserve"> 理解</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7723F84B">
            <w:pPr>
              <w:spacing w:line="440" w:lineRule="exact"/>
              <w:rPr>
                <w:rFonts w:hint="eastAsia" w:ascii="宋体" w:hAnsi="宋体" w:cs="宋体"/>
                <w:szCs w:val="21"/>
              </w:rPr>
            </w:pPr>
            <w:r>
              <w:rPr>
                <w:rFonts w:hint="eastAsia" w:ascii="宋体" w:hAnsi="宋体" w:cs="宋体"/>
                <w:szCs w:val="21"/>
              </w:rPr>
              <w:t>根据投标人对本项目重点、难点等理解情况（0-1分）、总体服务思路是否符合项目实际情况（0-1分）、对本项目关键性技术问题把握的阐述情况（0-1分），根据内容全面合理可行程度进行打分。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175E24F7">
            <w:pPr>
              <w:spacing w:line="440" w:lineRule="exact"/>
              <w:jc w:val="center"/>
              <w:rPr>
                <w:rFonts w:ascii="宋体" w:hAnsi="宋体" w:cs="宋体"/>
                <w:szCs w:val="21"/>
              </w:rPr>
            </w:pPr>
            <w:r>
              <w:rPr>
                <w:rFonts w:hint="eastAsia" w:ascii="宋体" w:hAnsi="宋体" w:cs="宋体"/>
                <w:szCs w:val="21"/>
              </w:rPr>
              <w:t>3</w:t>
            </w:r>
          </w:p>
        </w:tc>
      </w:tr>
      <w:tr w14:paraId="68D03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096BF9">
            <w:pPr>
              <w:spacing w:line="440" w:lineRule="exact"/>
              <w:jc w:val="center"/>
              <w:rPr>
                <w:rFonts w:ascii="宋体" w:hAnsi="宋体" w:cs="宋体"/>
                <w:szCs w:val="21"/>
              </w:rPr>
            </w:pPr>
            <w:r>
              <w:rPr>
                <w:rFonts w:hint="eastAsia" w:ascii="宋体" w:hAnsi="宋体" w:cs="宋体"/>
                <w:szCs w:val="21"/>
              </w:rPr>
              <w:t>3</w:t>
            </w:r>
          </w:p>
        </w:tc>
        <w:tc>
          <w:tcPr>
            <w:tcW w:w="453" w:type="dxa"/>
            <w:vMerge w:val="continue"/>
            <w:tcBorders>
              <w:left w:val="single" w:color="auto" w:sz="4" w:space="0"/>
              <w:right w:val="single" w:color="auto" w:sz="4" w:space="0"/>
            </w:tcBorders>
            <w:shd w:val="clear" w:color="auto" w:fill="auto"/>
            <w:noWrap w:val="0"/>
            <w:vAlign w:val="center"/>
          </w:tcPr>
          <w:p w14:paraId="6A7848C4">
            <w:pPr>
              <w:spacing w:line="440" w:lineRule="exact"/>
              <w:jc w:val="center"/>
              <w:rPr>
                <w:rFonts w:hint="eastAsia" w:ascii="宋体" w:hAnsi="宋体" w:cs="宋体"/>
                <w:szCs w:val="21"/>
              </w:rPr>
            </w:pPr>
          </w:p>
        </w:tc>
        <w:tc>
          <w:tcPr>
            <w:tcW w:w="991" w:type="dxa"/>
            <w:vMerge w:val="restart"/>
            <w:tcBorders>
              <w:top w:val="single" w:color="000000" w:sz="8" w:space="0"/>
              <w:left w:val="single" w:color="000000" w:sz="8" w:space="0"/>
              <w:right w:val="single" w:color="000000" w:sz="8" w:space="0"/>
            </w:tcBorders>
            <w:shd w:val="clear" w:color="auto" w:fill="FFFFFF"/>
            <w:noWrap w:val="0"/>
            <w:vAlign w:val="center"/>
          </w:tcPr>
          <w:p w14:paraId="382C8885">
            <w:pPr>
              <w:spacing w:line="440" w:lineRule="exact"/>
              <w:jc w:val="center"/>
              <w:rPr>
                <w:rFonts w:hint="eastAsia" w:ascii="宋体" w:hAnsi="宋体" w:cs="宋体"/>
                <w:szCs w:val="21"/>
              </w:rPr>
            </w:pPr>
            <w:r>
              <w:rPr>
                <w:rFonts w:hint="eastAsia" w:ascii="宋体" w:hAnsi="宋体" w:cs="宋体"/>
                <w:szCs w:val="21"/>
              </w:rPr>
              <w:t>砍伐</w:t>
            </w:r>
          </w:p>
          <w:p w14:paraId="0ADCBA46">
            <w:pPr>
              <w:spacing w:line="440" w:lineRule="exact"/>
              <w:jc w:val="center"/>
              <w:rPr>
                <w:rFonts w:ascii="宋体" w:hAnsi="宋体" w:cs="宋体"/>
                <w:szCs w:val="21"/>
              </w:rPr>
            </w:pPr>
            <w:r>
              <w:rPr>
                <w:rFonts w:hint="eastAsia" w:ascii="宋体" w:hAnsi="宋体" w:cs="宋体"/>
                <w:szCs w:val="21"/>
              </w:rPr>
              <w:t>方案</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07CDF630">
            <w:pPr>
              <w:spacing w:line="440" w:lineRule="exact"/>
              <w:rPr>
                <w:rFonts w:ascii="宋体" w:hAnsi="宋体" w:cs="宋体"/>
                <w:szCs w:val="21"/>
              </w:rPr>
            </w:pPr>
            <w:r>
              <w:rPr>
                <w:rFonts w:hint="eastAsia" w:ascii="宋体" w:hAnsi="宋体" w:cs="宋体"/>
                <w:szCs w:val="21"/>
              </w:rPr>
              <w:t>根据砍伐方案技术措施的可行性、可操作性以及进场开工组织方案、施工路线安排、砍伐时间安排方案等情况进行打分，0-2分。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3FB3A78">
            <w:pPr>
              <w:spacing w:line="440" w:lineRule="exact"/>
              <w:jc w:val="center"/>
              <w:rPr>
                <w:rFonts w:ascii="宋体" w:hAnsi="宋体" w:cs="宋体"/>
                <w:szCs w:val="21"/>
              </w:rPr>
            </w:pPr>
            <w:r>
              <w:rPr>
                <w:rFonts w:hint="eastAsia" w:ascii="宋体" w:hAnsi="宋体" w:cs="宋体"/>
                <w:szCs w:val="21"/>
              </w:rPr>
              <w:t>2</w:t>
            </w:r>
          </w:p>
        </w:tc>
      </w:tr>
      <w:tr w14:paraId="3D477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A9E83">
            <w:pPr>
              <w:spacing w:line="440" w:lineRule="exact"/>
              <w:jc w:val="center"/>
              <w:rPr>
                <w:rFonts w:hint="eastAsia" w:ascii="宋体" w:hAnsi="宋体" w:cs="宋体"/>
                <w:szCs w:val="21"/>
              </w:rPr>
            </w:pPr>
            <w:r>
              <w:rPr>
                <w:rFonts w:hint="eastAsia" w:ascii="宋体" w:hAnsi="宋体" w:cs="宋体"/>
                <w:szCs w:val="21"/>
              </w:rPr>
              <w:t>4</w:t>
            </w:r>
          </w:p>
        </w:tc>
        <w:tc>
          <w:tcPr>
            <w:tcW w:w="453" w:type="dxa"/>
            <w:vMerge w:val="continue"/>
            <w:tcBorders>
              <w:left w:val="single" w:color="auto" w:sz="4" w:space="0"/>
              <w:right w:val="single" w:color="auto" w:sz="4" w:space="0"/>
            </w:tcBorders>
            <w:shd w:val="clear" w:color="auto" w:fill="auto"/>
            <w:noWrap w:val="0"/>
            <w:vAlign w:val="center"/>
          </w:tcPr>
          <w:p w14:paraId="6266901B">
            <w:pPr>
              <w:spacing w:line="440" w:lineRule="exact"/>
              <w:jc w:val="center"/>
              <w:rPr>
                <w:rFonts w:hint="eastAsia" w:ascii="宋体" w:hAnsi="宋体" w:cs="宋体"/>
                <w:szCs w:val="21"/>
              </w:rPr>
            </w:pPr>
          </w:p>
        </w:tc>
        <w:tc>
          <w:tcPr>
            <w:tcW w:w="991" w:type="dxa"/>
            <w:vMerge w:val="continue"/>
            <w:tcBorders>
              <w:left w:val="single" w:color="000000" w:sz="8" w:space="0"/>
              <w:bottom w:val="single" w:color="000000" w:sz="8" w:space="0"/>
              <w:right w:val="single" w:color="000000" w:sz="8" w:space="0"/>
            </w:tcBorders>
            <w:shd w:val="clear" w:color="auto" w:fill="FFFFFF"/>
            <w:noWrap w:val="0"/>
            <w:vAlign w:val="center"/>
          </w:tcPr>
          <w:p w14:paraId="0F7FB1BC">
            <w:pPr>
              <w:spacing w:line="440" w:lineRule="exact"/>
              <w:jc w:val="center"/>
              <w:rPr>
                <w:rFonts w:hint="eastAsia" w:ascii="宋体" w:hAnsi="宋体" w:cs="宋体"/>
                <w:szCs w:val="21"/>
              </w:rPr>
            </w:pPr>
          </w:p>
        </w:tc>
        <w:tc>
          <w:tcPr>
            <w:tcW w:w="7497" w:type="dxa"/>
            <w:tcBorders>
              <w:top w:val="single" w:color="auto" w:sz="4" w:space="0"/>
              <w:left w:val="single" w:color="auto" w:sz="4" w:space="0"/>
              <w:bottom w:val="single" w:color="auto" w:sz="4" w:space="0"/>
              <w:right w:val="single" w:color="auto" w:sz="4" w:space="0"/>
            </w:tcBorders>
            <w:noWrap w:val="0"/>
            <w:vAlign w:val="center"/>
          </w:tcPr>
          <w:p w14:paraId="3940E91B">
            <w:pPr>
              <w:spacing w:line="440" w:lineRule="exact"/>
              <w:rPr>
                <w:rFonts w:hint="eastAsia" w:ascii="宋体" w:hAnsi="宋体" w:cs="宋体"/>
                <w:szCs w:val="21"/>
              </w:rPr>
            </w:pPr>
            <w:r>
              <w:rPr>
                <w:rFonts w:hint="eastAsia" w:ascii="宋体" w:hAnsi="宋体" w:cs="宋体"/>
                <w:szCs w:val="21"/>
              </w:rPr>
              <w:t>投标人对集中清理时段任务要求制定针对性方案，根据方案技术手段措施的先进情况（0-2分），集中清理时段砍伐方案的详细程度及概括程度（0-2分），对集中清理时段数量的把控程度（0-1分）进行打分。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1ED36AD8">
            <w:pPr>
              <w:spacing w:line="440" w:lineRule="exact"/>
              <w:jc w:val="center"/>
              <w:rPr>
                <w:rFonts w:ascii="宋体" w:hAnsi="宋体" w:cs="宋体"/>
                <w:szCs w:val="21"/>
              </w:rPr>
            </w:pPr>
            <w:r>
              <w:rPr>
                <w:rFonts w:hint="eastAsia" w:ascii="宋体" w:hAnsi="宋体" w:cs="宋体"/>
                <w:szCs w:val="21"/>
              </w:rPr>
              <w:t>5</w:t>
            </w:r>
          </w:p>
        </w:tc>
      </w:tr>
      <w:tr w14:paraId="1C023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8C83AF">
            <w:pPr>
              <w:spacing w:line="440" w:lineRule="exact"/>
              <w:jc w:val="center"/>
              <w:rPr>
                <w:rFonts w:ascii="宋体" w:hAnsi="宋体" w:cs="宋体"/>
                <w:szCs w:val="21"/>
              </w:rPr>
            </w:pPr>
            <w:r>
              <w:rPr>
                <w:rFonts w:hint="eastAsia" w:ascii="宋体" w:hAnsi="宋体" w:cs="宋体"/>
                <w:szCs w:val="21"/>
              </w:rPr>
              <w:t>5</w:t>
            </w:r>
          </w:p>
        </w:tc>
        <w:tc>
          <w:tcPr>
            <w:tcW w:w="453" w:type="dxa"/>
            <w:vMerge w:val="continue"/>
            <w:tcBorders>
              <w:left w:val="single" w:color="auto" w:sz="4" w:space="0"/>
              <w:right w:val="single" w:color="auto" w:sz="4" w:space="0"/>
            </w:tcBorders>
            <w:shd w:val="clear" w:color="auto" w:fill="auto"/>
            <w:noWrap w:val="0"/>
            <w:vAlign w:val="center"/>
          </w:tcPr>
          <w:p w14:paraId="5EEFE753">
            <w:pPr>
              <w:spacing w:line="440" w:lineRule="exact"/>
              <w:jc w:val="center"/>
              <w:rPr>
                <w:rFonts w:hint="eastAsia" w:ascii="宋体" w:hAnsi="宋体" w:cs="宋体"/>
                <w:szCs w:val="21"/>
              </w:rPr>
            </w:pP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B86C00">
            <w:pPr>
              <w:spacing w:line="440" w:lineRule="exact"/>
              <w:jc w:val="center"/>
              <w:rPr>
                <w:rFonts w:ascii="宋体" w:hAnsi="宋体" w:cs="宋体"/>
                <w:szCs w:val="21"/>
              </w:rPr>
            </w:pPr>
            <w:r>
              <w:rPr>
                <w:rFonts w:hint="eastAsia" w:ascii="宋体" w:hAnsi="宋体" w:cs="宋体"/>
                <w:szCs w:val="21"/>
              </w:rPr>
              <w:t>安全保障措施</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166CA56E">
            <w:pPr>
              <w:spacing w:line="440" w:lineRule="exact"/>
              <w:rPr>
                <w:rFonts w:ascii="宋体" w:hAnsi="宋体" w:cs="宋体"/>
                <w:szCs w:val="21"/>
              </w:rPr>
            </w:pPr>
            <w:r>
              <w:rPr>
                <w:rFonts w:hint="eastAsia" w:ascii="宋体" w:hAnsi="宋体" w:cs="宋体"/>
                <w:szCs w:val="21"/>
              </w:rPr>
              <w:t>对项目实施过程中的</w:t>
            </w:r>
            <w:r>
              <w:rPr>
                <w:rFonts w:ascii="宋体" w:hAnsi="宋体" w:cs="宋体"/>
                <w:szCs w:val="21"/>
              </w:rPr>
              <w:t>安全文明生产保证措施：安全文明生产措施编制合理</w:t>
            </w:r>
            <w:r>
              <w:rPr>
                <w:rFonts w:hint="eastAsia" w:ascii="宋体" w:hAnsi="宋体" w:cs="宋体"/>
                <w:szCs w:val="21"/>
              </w:rPr>
              <w:t>（0-1分）</w:t>
            </w:r>
            <w:r>
              <w:rPr>
                <w:rFonts w:ascii="宋体" w:hAnsi="宋体" w:cs="宋体"/>
                <w:szCs w:val="21"/>
              </w:rPr>
              <w:t>，危险源及环境因素识别全面</w:t>
            </w:r>
            <w:r>
              <w:rPr>
                <w:rFonts w:hint="eastAsia" w:ascii="宋体" w:hAnsi="宋体" w:cs="宋体"/>
                <w:szCs w:val="21"/>
              </w:rPr>
              <w:t>（0-1分）</w:t>
            </w:r>
            <w:r>
              <w:rPr>
                <w:rFonts w:ascii="宋体" w:hAnsi="宋体" w:cs="宋体"/>
                <w:szCs w:val="21"/>
              </w:rPr>
              <w:t>，</w:t>
            </w:r>
            <w:r>
              <w:rPr>
                <w:rFonts w:hint="eastAsia" w:ascii="宋体" w:hAnsi="宋体" w:cs="宋体"/>
                <w:szCs w:val="21"/>
              </w:rPr>
              <w:t>岗位监督</w:t>
            </w:r>
            <w:r>
              <w:rPr>
                <w:rFonts w:ascii="宋体" w:hAnsi="宋体" w:cs="宋体"/>
                <w:szCs w:val="21"/>
              </w:rPr>
              <w:t>制度完善</w:t>
            </w:r>
            <w:r>
              <w:rPr>
                <w:rFonts w:hint="eastAsia" w:ascii="宋体" w:hAnsi="宋体" w:cs="宋体"/>
                <w:szCs w:val="21"/>
              </w:rPr>
              <w:t>（0-1分）</w:t>
            </w:r>
            <w:r>
              <w:rPr>
                <w:rFonts w:ascii="宋体" w:hAnsi="宋体" w:cs="宋体"/>
                <w:szCs w:val="21"/>
              </w:rPr>
              <w:t>、措施合理</w:t>
            </w:r>
            <w:r>
              <w:rPr>
                <w:rFonts w:hint="eastAsia" w:ascii="宋体" w:hAnsi="宋体" w:cs="宋体"/>
                <w:szCs w:val="21"/>
              </w:rPr>
              <w:t>（0-1分），</w:t>
            </w:r>
            <w:r>
              <w:rPr>
                <w:rFonts w:ascii="宋体" w:hAnsi="宋体" w:cs="宋体"/>
                <w:szCs w:val="21"/>
              </w:rPr>
              <w:t>对工作过程中可能发生的各种安全问题有深刻的认识和合理的预见</w:t>
            </w:r>
            <w:r>
              <w:rPr>
                <w:rFonts w:hint="eastAsia" w:ascii="宋体" w:hAnsi="宋体" w:cs="宋体"/>
                <w:szCs w:val="21"/>
              </w:rPr>
              <w:t>（0-1分）</w:t>
            </w:r>
            <w:r>
              <w:rPr>
                <w:rFonts w:ascii="宋体" w:hAnsi="宋体" w:cs="宋体"/>
                <w:szCs w:val="21"/>
              </w:rPr>
              <w:t>，并有科学、充分的措施的</w:t>
            </w:r>
            <w:r>
              <w:rPr>
                <w:rFonts w:hint="eastAsia" w:ascii="宋体" w:hAnsi="宋体" w:cs="宋体"/>
                <w:szCs w:val="21"/>
              </w:rPr>
              <w:t>进行</w:t>
            </w:r>
            <w:r>
              <w:rPr>
                <w:rFonts w:ascii="宋体" w:hAnsi="宋体" w:cs="宋体"/>
                <w:szCs w:val="21"/>
              </w:rPr>
              <w:t>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8AA8F13">
            <w:pPr>
              <w:spacing w:line="440" w:lineRule="exact"/>
              <w:jc w:val="center"/>
              <w:rPr>
                <w:rFonts w:ascii="宋体" w:hAnsi="宋体" w:cs="宋体"/>
                <w:szCs w:val="21"/>
              </w:rPr>
            </w:pPr>
            <w:r>
              <w:rPr>
                <w:rFonts w:hint="eastAsia" w:ascii="宋体" w:hAnsi="宋体" w:cs="宋体"/>
                <w:szCs w:val="21"/>
              </w:rPr>
              <w:t>5</w:t>
            </w:r>
          </w:p>
        </w:tc>
      </w:tr>
      <w:tr w14:paraId="795E6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EF3568">
            <w:pPr>
              <w:spacing w:line="440" w:lineRule="exact"/>
              <w:jc w:val="center"/>
              <w:rPr>
                <w:rFonts w:ascii="宋体" w:hAnsi="宋体" w:cs="宋体"/>
                <w:szCs w:val="21"/>
              </w:rPr>
            </w:pPr>
            <w:r>
              <w:rPr>
                <w:rFonts w:hint="eastAsia" w:ascii="宋体" w:hAnsi="宋体" w:cs="宋体"/>
                <w:szCs w:val="21"/>
              </w:rPr>
              <w:t>6</w:t>
            </w:r>
          </w:p>
        </w:tc>
        <w:tc>
          <w:tcPr>
            <w:tcW w:w="453" w:type="dxa"/>
            <w:vMerge w:val="continue"/>
            <w:tcBorders>
              <w:left w:val="single" w:color="auto" w:sz="4" w:space="0"/>
              <w:right w:val="single" w:color="auto" w:sz="4" w:space="0"/>
            </w:tcBorders>
            <w:shd w:val="clear" w:color="auto" w:fill="auto"/>
            <w:noWrap w:val="0"/>
            <w:vAlign w:val="center"/>
          </w:tcPr>
          <w:p w14:paraId="11F15EB2">
            <w:pPr>
              <w:spacing w:line="440" w:lineRule="exact"/>
              <w:jc w:val="center"/>
              <w:rPr>
                <w:rFonts w:hint="eastAsia" w:ascii="宋体" w:hAnsi="宋体" w:cs="宋体"/>
                <w:szCs w:val="21"/>
              </w:rPr>
            </w:pPr>
          </w:p>
        </w:tc>
        <w:tc>
          <w:tcPr>
            <w:tcW w:w="991" w:type="dxa"/>
            <w:tcBorders>
              <w:left w:val="single" w:color="000000" w:sz="8" w:space="0"/>
              <w:bottom w:val="single" w:color="000000" w:sz="8" w:space="0"/>
              <w:right w:val="single" w:color="000000" w:sz="8" w:space="0"/>
            </w:tcBorders>
            <w:shd w:val="clear" w:color="auto" w:fill="FFFFFF"/>
            <w:noWrap w:val="0"/>
            <w:vAlign w:val="center"/>
          </w:tcPr>
          <w:p w14:paraId="06E89126">
            <w:pPr>
              <w:spacing w:line="440" w:lineRule="exact"/>
              <w:jc w:val="center"/>
              <w:rPr>
                <w:rFonts w:hint="eastAsia" w:ascii="宋体" w:hAnsi="宋体" w:cs="宋体"/>
                <w:szCs w:val="21"/>
              </w:rPr>
            </w:pPr>
            <w:r>
              <w:rPr>
                <w:rFonts w:hint="eastAsia" w:ascii="宋体" w:hAnsi="宋体" w:cs="宋体"/>
                <w:szCs w:val="21"/>
              </w:rPr>
              <w:t xml:space="preserve">运输 </w:t>
            </w:r>
          </w:p>
          <w:p w14:paraId="5A12F8D6">
            <w:pPr>
              <w:spacing w:line="440" w:lineRule="exact"/>
              <w:jc w:val="center"/>
              <w:rPr>
                <w:rFonts w:ascii="宋体" w:hAnsi="宋体" w:cs="宋体"/>
                <w:szCs w:val="21"/>
              </w:rPr>
            </w:pPr>
            <w:r>
              <w:rPr>
                <w:rFonts w:hint="eastAsia" w:ascii="宋体" w:hAnsi="宋体" w:cs="宋体"/>
                <w:szCs w:val="21"/>
              </w:rPr>
              <w:t>方案</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45945F2F">
            <w:pPr>
              <w:spacing w:line="440" w:lineRule="exact"/>
              <w:rPr>
                <w:rFonts w:ascii="宋体" w:hAnsi="宋体" w:cs="宋体"/>
                <w:szCs w:val="21"/>
              </w:rPr>
            </w:pPr>
            <w:r>
              <w:rPr>
                <w:rFonts w:hint="eastAsia" w:ascii="宋体" w:hAnsi="宋体" w:cs="宋体"/>
                <w:szCs w:val="21"/>
              </w:rPr>
              <w:t>根据</w:t>
            </w:r>
            <w:r>
              <w:rPr>
                <w:rFonts w:ascii="宋体" w:hAnsi="宋体" w:cs="宋体"/>
                <w:szCs w:val="21"/>
              </w:rPr>
              <w:t>运输过程中的安全保障措施</w:t>
            </w:r>
            <w:r>
              <w:rPr>
                <w:rFonts w:hint="eastAsia" w:ascii="宋体" w:hAnsi="宋体" w:cs="宋体"/>
                <w:szCs w:val="21"/>
              </w:rPr>
              <w:t>和运输机制</w:t>
            </w:r>
            <w:r>
              <w:rPr>
                <w:rFonts w:ascii="宋体" w:hAnsi="宋体" w:cs="宋体"/>
                <w:szCs w:val="21"/>
              </w:rPr>
              <w:t>是否合理</w:t>
            </w:r>
            <w:r>
              <w:rPr>
                <w:rFonts w:hint="eastAsia" w:ascii="宋体" w:hAnsi="宋体" w:cs="宋体"/>
                <w:szCs w:val="21"/>
              </w:rPr>
              <w:t>（0-2分），运输人员</w:t>
            </w:r>
            <w:r>
              <w:rPr>
                <w:rFonts w:ascii="宋体" w:hAnsi="宋体" w:cs="宋体"/>
                <w:szCs w:val="21"/>
              </w:rPr>
              <w:t>管理制度和操作规程</w:t>
            </w:r>
            <w:r>
              <w:rPr>
                <w:rFonts w:hint="eastAsia" w:ascii="宋体" w:hAnsi="宋体" w:cs="宋体"/>
                <w:szCs w:val="21"/>
              </w:rPr>
              <w:t>是否全面（0-2分）</w:t>
            </w:r>
            <w:r>
              <w:rPr>
                <w:rFonts w:ascii="宋体" w:hAnsi="宋体" w:cs="宋体"/>
                <w:szCs w:val="21"/>
              </w:rPr>
              <w:t>，建立</w:t>
            </w:r>
            <w:r>
              <w:rPr>
                <w:rFonts w:hint="eastAsia" w:ascii="宋体" w:hAnsi="宋体" w:cs="宋体"/>
                <w:szCs w:val="21"/>
              </w:rPr>
              <w:t>完整的运输体系</w:t>
            </w:r>
            <w:r>
              <w:rPr>
                <w:rFonts w:ascii="宋体" w:hAnsi="宋体" w:cs="宋体"/>
                <w:szCs w:val="21"/>
              </w:rPr>
              <w:t>，符合有关标准规范的要求</w:t>
            </w:r>
            <w:r>
              <w:rPr>
                <w:rFonts w:hint="eastAsia" w:ascii="宋体" w:hAnsi="宋体" w:cs="宋体"/>
                <w:szCs w:val="21"/>
              </w:rPr>
              <w:t>（0-1分）</w:t>
            </w:r>
            <w:r>
              <w:rPr>
                <w:rFonts w:ascii="宋体" w:hAnsi="宋体" w:cs="宋体"/>
                <w:szCs w:val="21"/>
              </w:rPr>
              <w:t>等</w:t>
            </w:r>
            <w:r>
              <w:rPr>
                <w:rFonts w:hint="eastAsia" w:ascii="宋体" w:hAnsi="宋体" w:cs="宋体"/>
                <w:szCs w:val="21"/>
              </w:rPr>
              <w:t>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124994E0">
            <w:pPr>
              <w:spacing w:line="440" w:lineRule="exact"/>
              <w:jc w:val="center"/>
              <w:rPr>
                <w:rFonts w:ascii="宋体" w:hAnsi="宋体" w:cs="宋体"/>
                <w:szCs w:val="21"/>
              </w:rPr>
            </w:pPr>
            <w:r>
              <w:rPr>
                <w:rFonts w:hint="eastAsia" w:ascii="宋体" w:hAnsi="宋体" w:cs="宋体"/>
                <w:szCs w:val="21"/>
              </w:rPr>
              <w:t>5</w:t>
            </w:r>
          </w:p>
        </w:tc>
      </w:tr>
      <w:tr w14:paraId="1DF68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FADE61">
            <w:pPr>
              <w:spacing w:line="440" w:lineRule="exact"/>
              <w:jc w:val="center"/>
              <w:rPr>
                <w:rFonts w:ascii="宋体" w:hAnsi="宋体" w:cs="宋体"/>
                <w:szCs w:val="21"/>
              </w:rPr>
            </w:pPr>
            <w:r>
              <w:rPr>
                <w:rFonts w:hint="eastAsia" w:ascii="宋体" w:hAnsi="宋体" w:cs="宋体"/>
                <w:szCs w:val="21"/>
              </w:rPr>
              <w:t>7</w:t>
            </w:r>
          </w:p>
        </w:tc>
        <w:tc>
          <w:tcPr>
            <w:tcW w:w="453" w:type="dxa"/>
            <w:vMerge w:val="continue"/>
            <w:tcBorders>
              <w:left w:val="single" w:color="auto" w:sz="4" w:space="0"/>
              <w:right w:val="single" w:color="auto" w:sz="4" w:space="0"/>
            </w:tcBorders>
            <w:shd w:val="clear" w:color="auto" w:fill="auto"/>
            <w:noWrap w:val="0"/>
            <w:vAlign w:val="center"/>
          </w:tcPr>
          <w:p w14:paraId="370D35E0">
            <w:pPr>
              <w:spacing w:line="440" w:lineRule="exact"/>
              <w:jc w:val="center"/>
              <w:rPr>
                <w:rFonts w:hint="eastAsia" w:ascii="宋体" w:hAnsi="宋体" w:cs="宋体"/>
                <w:szCs w:val="21"/>
              </w:rPr>
            </w:pP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6C7584">
            <w:pPr>
              <w:spacing w:line="440" w:lineRule="exact"/>
              <w:jc w:val="center"/>
              <w:rPr>
                <w:rFonts w:ascii="宋体" w:hAnsi="宋体" w:cs="宋体"/>
                <w:szCs w:val="21"/>
              </w:rPr>
            </w:pPr>
            <w:r>
              <w:rPr>
                <w:rFonts w:hint="eastAsia" w:ascii="宋体" w:hAnsi="宋体" w:cs="宋体"/>
                <w:szCs w:val="21"/>
              </w:rPr>
              <w:t>管理组织机构</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3D62DA18">
            <w:pPr>
              <w:spacing w:line="440" w:lineRule="exact"/>
              <w:rPr>
                <w:rFonts w:ascii="宋体" w:hAnsi="宋体" w:cs="宋体"/>
                <w:szCs w:val="21"/>
              </w:rPr>
            </w:pPr>
            <w:r>
              <w:rPr>
                <w:rFonts w:hint="eastAsia" w:ascii="宋体" w:hAnsi="宋体" w:cs="宋体"/>
                <w:szCs w:val="21"/>
              </w:rPr>
              <w:t>根据投标人提供的项目组织管理机构框架清晰全面程度（0-1分），职责分工规划（0-1分），监管措施合理（0-1分）情况的进行打分。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A04520F">
            <w:pPr>
              <w:spacing w:line="440" w:lineRule="exact"/>
              <w:jc w:val="center"/>
              <w:rPr>
                <w:rFonts w:ascii="宋体" w:hAnsi="宋体" w:cs="宋体"/>
                <w:szCs w:val="21"/>
              </w:rPr>
            </w:pPr>
            <w:r>
              <w:rPr>
                <w:rFonts w:hint="eastAsia" w:ascii="宋体" w:hAnsi="宋体" w:cs="宋体"/>
                <w:szCs w:val="21"/>
              </w:rPr>
              <w:t>3</w:t>
            </w:r>
          </w:p>
        </w:tc>
      </w:tr>
      <w:tr w14:paraId="5375A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46DAB">
            <w:pPr>
              <w:spacing w:line="440" w:lineRule="exact"/>
              <w:jc w:val="center"/>
              <w:rPr>
                <w:rFonts w:ascii="宋体" w:hAnsi="宋体" w:cs="宋体"/>
                <w:szCs w:val="21"/>
              </w:rPr>
            </w:pPr>
            <w:r>
              <w:rPr>
                <w:rFonts w:hint="eastAsia" w:ascii="宋体" w:hAnsi="宋体" w:cs="宋体"/>
                <w:szCs w:val="21"/>
              </w:rPr>
              <w:t>8</w:t>
            </w:r>
          </w:p>
        </w:tc>
        <w:tc>
          <w:tcPr>
            <w:tcW w:w="453" w:type="dxa"/>
            <w:vMerge w:val="continue"/>
            <w:tcBorders>
              <w:left w:val="single" w:color="auto" w:sz="4" w:space="0"/>
              <w:right w:val="single" w:color="auto" w:sz="4" w:space="0"/>
            </w:tcBorders>
            <w:shd w:val="clear" w:color="auto" w:fill="auto"/>
            <w:noWrap w:val="0"/>
            <w:vAlign w:val="center"/>
          </w:tcPr>
          <w:p w14:paraId="60152458">
            <w:pPr>
              <w:spacing w:line="440" w:lineRule="exact"/>
              <w:jc w:val="center"/>
              <w:rPr>
                <w:rFonts w:hint="eastAsia" w:ascii="宋体" w:hAnsi="宋体" w:cs="宋体"/>
                <w:szCs w:val="21"/>
              </w:rPr>
            </w:pP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C842FB">
            <w:pPr>
              <w:spacing w:line="440" w:lineRule="exact"/>
              <w:jc w:val="center"/>
              <w:rPr>
                <w:rFonts w:hint="eastAsia" w:ascii="宋体" w:hAnsi="宋体" w:cs="宋体"/>
                <w:szCs w:val="21"/>
              </w:rPr>
            </w:pPr>
            <w:r>
              <w:rPr>
                <w:rFonts w:hint="eastAsia" w:ascii="宋体" w:hAnsi="宋体" w:cs="宋体"/>
                <w:szCs w:val="21"/>
              </w:rPr>
              <w:t xml:space="preserve">总体 </w:t>
            </w:r>
          </w:p>
          <w:p w14:paraId="0909362D">
            <w:pPr>
              <w:spacing w:line="440" w:lineRule="exact"/>
              <w:jc w:val="center"/>
              <w:rPr>
                <w:rFonts w:ascii="宋体" w:hAnsi="宋体" w:cs="宋体"/>
                <w:szCs w:val="21"/>
              </w:rPr>
            </w:pPr>
            <w:r>
              <w:rPr>
                <w:rFonts w:hint="eastAsia" w:ascii="宋体" w:hAnsi="宋体" w:cs="宋体"/>
                <w:szCs w:val="21"/>
              </w:rPr>
              <w:t>方案</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0C27AE7B">
            <w:pPr>
              <w:spacing w:line="440" w:lineRule="exact"/>
              <w:rPr>
                <w:rFonts w:ascii="宋体" w:hAnsi="宋体" w:cs="宋体"/>
                <w:szCs w:val="21"/>
              </w:rPr>
            </w:pPr>
            <w:r>
              <w:rPr>
                <w:rFonts w:hint="eastAsia" w:ascii="宋体" w:hAnsi="宋体" w:cs="宋体"/>
                <w:szCs w:val="21"/>
              </w:rPr>
              <w:t>根据投标人总体服务方案（包括但不限于组织实施方案的科学性、合理性、规范性和可操作性程度等）进行打分。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1F476926">
            <w:pPr>
              <w:spacing w:line="440" w:lineRule="exact"/>
              <w:jc w:val="center"/>
              <w:rPr>
                <w:rFonts w:ascii="宋体" w:hAnsi="宋体" w:cs="宋体"/>
                <w:szCs w:val="21"/>
              </w:rPr>
            </w:pPr>
            <w:r>
              <w:rPr>
                <w:rFonts w:hint="eastAsia" w:ascii="宋体" w:hAnsi="宋体" w:cs="宋体"/>
                <w:szCs w:val="21"/>
              </w:rPr>
              <w:t>3</w:t>
            </w:r>
          </w:p>
        </w:tc>
      </w:tr>
      <w:tr w14:paraId="3BC5C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129DC0F">
            <w:pPr>
              <w:spacing w:line="440" w:lineRule="exact"/>
              <w:jc w:val="center"/>
              <w:rPr>
                <w:rFonts w:hint="eastAsia" w:ascii="宋体" w:hAnsi="宋体" w:cs="宋体"/>
                <w:szCs w:val="21"/>
              </w:rPr>
            </w:pPr>
            <w:r>
              <w:rPr>
                <w:rFonts w:hint="eastAsia" w:ascii="宋体" w:hAnsi="宋体" w:cs="宋体"/>
                <w:szCs w:val="21"/>
              </w:rPr>
              <w:t>9</w:t>
            </w:r>
          </w:p>
        </w:tc>
        <w:tc>
          <w:tcPr>
            <w:tcW w:w="453" w:type="dxa"/>
            <w:vMerge w:val="continue"/>
            <w:tcBorders>
              <w:left w:val="single" w:color="auto" w:sz="4" w:space="0"/>
              <w:right w:val="single" w:color="auto" w:sz="4" w:space="0"/>
            </w:tcBorders>
            <w:noWrap w:val="0"/>
            <w:vAlign w:val="center"/>
          </w:tcPr>
          <w:p w14:paraId="393C09CB">
            <w:pPr>
              <w:spacing w:line="440" w:lineRule="exact"/>
              <w:rPr>
                <w:rFonts w:hint="eastAsia" w:ascii="宋体" w:hAnsi="宋体" w:cs="宋体"/>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5394EF5">
            <w:pPr>
              <w:spacing w:line="440" w:lineRule="exact"/>
              <w:jc w:val="center"/>
              <w:rPr>
                <w:rFonts w:ascii="宋体" w:hAnsi="宋体" w:cs="宋体"/>
                <w:szCs w:val="21"/>
              </w:rPr>
            </w:pPr>
            <w:r>
              <w:rPr>
                <w:rFonts w:hint="eastAsia" w:ascii="宋体" w:hAnsi="宋体" w:cs="宋体"/>
                <w:szCs w:val="21"/>
              </w:rPr>
              <w:t>工期保障措施</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1F17B36C">
            <w:pPr>
              <w:spacing w:line="440" w:lineRule="exact"/>
              <w:rPr>
                <w:rFonts w:hint="eastAsia" w:ascii="宋体" w:hAnsi="宋体" w:cs="宋体"/>
                <w:szCs w:val="21"/>
              </w:rPr>
            </w:pPr>
            <w:r>
              <w:rPr>
                <w:rFonts w:hint="eastAsia" w:ascii="宋体" w:hAnsi="宋体" w:cs="宋体"/>
                <w:szCs w:val="21"/>
              </w:rPr>
              <w:t>根据投标人工作量及进度安排实施方案（包括但不限于各阶段工作量及计划安排内容是否充实、进度是否合理、科学，前期勘探、调查的人员、车辆等安排是否合理等）进行打分。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075BD378">
            <w:pPr>
              <w:spacing w:line="440" w:lineRule="exact"/>
              <w:jc w:val="center"/>
              <w:rPr>
                <w:rFonts w:hint="eastAsia" w:ascii="宋体" w:hAnsi="宋体" w:cs="宋体"/>
                <w:szCs w:val="21"/>
              </w:rPr>
            </w:pPr>
            <w:r>
              <w:rPr>
                <w:rFonts w:hint="eastAsia" w:ascii="宋体" w:hAnsi="宋体" w:cs="宋体"/>
                <w:szCs w:val="21"/>
              </w:rPr>
              <w:t>3</w:t>
            </w:r>
          </w:p>
        </w:tc>
      </w:tr>
      <w:tr w14:paraId="4CCC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30080662">
            <w:pPr>
              <w:spacing w:line="440" w:lineRule="exact"/>
              <w:jc w:val="center"/>
              <w:rPr>
                <w:rFonts w:hint="eastAsia" w:ascii="宋体" w:hAnsi="宋体" w:cs="宋体"/>
                <w:szCs w:val="21"/>
              </w:rPr>
            </w:pPr>
            <w:r>
              <w:rPr>
                <w:rFonts w:hint="eastAsia" w:ascii="宋体" w:hAnsi="宋体" w:cs="宋体"/>
                <w:szCs w:val="21"/>
              </w:rPr>
              <w:t>10</w:t>
            </w:r>
          </w:p>
        </w:tc>
        <w:tc>
          <w:tcPr>
            <w:tcW w:w="453" w:type="dxa"/>
            <w:vMerge w:val="continue"/>
            <w:tcBorders>
              <w:left w:val="single" w:color="auto" w:sz="4" w:space="0"/>
              <w:right w:val="single" w:color="auto" w:sz="4" w:space="0"/>
            </w:tcBorders>
            <w:noWrap w:val="0"/>
            <w:vAlign w:val="center"/>
          </w:tcPr>
          <w:p w14:paraId="66E314A2">
            <w:pPr>
              <w:spacing w:line="440" w:lineRule="exact"/>
              <w:rPr>
                <w:rFonts w:hint="eastAsia" w:ascii="宋体" w:hAnsi="宋体" w:cs="宋体"/>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C6B7749">
            <w:pPr>
              <w:spacing w:line="440" w:lineRule="exact"/>
              <w:jc w:val="center"/>
              <w:rPr>
                <w:rFonts w:hint="eastAsia" w:ascii="宋体" w:hAnsi="宋体" w:cs="宋体"/>
                <w:szCs w:val="21"/>
              </w:rPr>
            </w:pPr>
            <w:r>
              <w:rPr>
                <w:rFonts w:hint="eastAsia" w:ascii="宋体" w:hAnsi="宋体" w:cs="宋体"/>
                <w:szCs w:val="21"/>
              </w:rPr>
              <w:t xml:space="preserve">质量 </w:t>
            </w:r>
          </w:p>
          <w:p w14:paraId="4EF1B38F">
            <w:pPr>
              <w:spacing w:line="440" w:lineRule="exact"/>
              <w:jc w:val="center"/>
              <w:rPr>
                <w:rFonts w:hint="eastAsia" w:ascii="宋体" w:hAnsi="宋体" w:cs="宋体"/>
                <w:szCs w:val="21"/>
              </w:rPr>
            </w:pPr>
            <w:r>
              <w:rPr>
                <w:rFonts w:hint="eastAsia" w:ascii="宋体" w:hAnsi="宋体" w:cs="宋体"/>
                <w:szCs w:val="21"/>
              </w:rPr>
              <w:t>保障</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086DDA0B">
            <w:pPr>
              <w:spacing w:line="440" w:lineRule="exact"/>
              <w:rPr>
                <w:rFonts w:hint="eastAsia" w:ascii="宋体" w:hAnsi="宋体" w:cs="宋体"/>
                <w:szCs w:val="21"/>
              </w:rPr>
            </w:pPr>
            <w:r>
              <w:rPr>
                <w:rFonts w:hint="eastAsia" w:ascii="宋体" w:hAnsi="宋体" w:cs="宋体"/>
                <w:szCs w:val="21"/>
              </w:rPr>
              <w:t>有明确的质量目标，质量保证措施，并具有详细可行的实施内容；质量监督管理机构是否健全、制度是否完善、服务质量能否符合采购人规定；质量保证措施是否符合项目实际，切实可行等</w:t>
            </w:r>
            <w:r>
              <w:rPr>
                <w:rFonts w:hint="eastAsia" w:ascii="宋体" w:hAnsi="宋体" w:cs="宋体"/>
                <w:kern w:val="0"/>
                <w:szCs w:val="21"/>
              </w:rPr>
              <w:t>情况进行打分</w:t>
            </w:r>
            <w:r>
              <w:rPr>
                <w:rFonts w:hint="eastAsia" w:ascii="宋体" w:hAnsi="宋体" w:cs="宋体"/>
                <w:szCs w:val="21"/>
              </w:rPr>
              <w:t>。</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893394C">
            <w:pPr>
              <w:spacing w:line="440" w:lineRule="exact"/>
              <w:jc w:val="center"/>
              <w:rPr>
                <w:rFonts w:hint="eastAsia" w:ascii="宋体" w:hAnsi="宋体" w:cs="宋体"/>
                <w:szCs w:val="21"/>
              </w:rPr>
            </w:pPr>
            <w:r>
              <w:rPr>
                <w:rFonts w:hint="eastAsia" w:ascii="宋体" w:hAnsi="宋体" w:cs="宋体"/>
                <w:szCs w:val="21"/>
              </w:rPr>
              <w:t>3</w:t>
            </w:r>
          </w:p>
        </w:tc>
      </w:tr>
      <w:tr w14:paraId="501F6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08514393">
            <w:pPr>
              <w:spacing w:line="440" w:lineRule="exact"/>
              <w:jc w:val="center"/>
              <w:rPr>
                <w:rFonts w:ascii="宋体" w:hAnsi="宋体" w:cs="宋体"/>
                <w:szCs w:val="21"/>
              </w:rPr>
            </w:pPr>
            <w:r>
              <w:rPr>
                <w:rFonts w:hint="eastAsia" w:ascii="宋体" w:hAnsi="宋体" w:cs="宋体"/>
                <w:szCs w:val="21"/>
              </w:rPr>
              <w:t>11</w:t>
            </w:r>
          </w:p>
        </w:tc>
        <w:tc>
          <w:tcPr>
            <w:tcW w:w="453" w:type="dxa"/>
            <w:vMerge w:val="continue"/>
            <w:tcBorders>
              <w:left w:val="single" w:color="auto" w:sz="4" w:space="0"/>
              <w:right w:val="single" w:color="auto" w:sz="4" w:space="0"/>
            </w:tcBorders>
            <w:noWrap w:val="0"/>
            <w:vAlign w:val="center"/>
          </w:tcPr>
          <w:p w14:paraId="375AD4C6">
            <w:pPr>
              <w:spacing w:line="440" w:lineRule="exact"/>
              <w:rPr>
                <w:rFonts w:hint="eastAsia" w:ascii="宋体" w:hAnsi="宋体" w:cs="宋体"/>
                <w:szCs w:val="21"/>
              </w:rPr>
            </w:pPr>
          </w:p>
        </w:tc>
        <w:tc>
          <w:tcPr>
            <w:tcW w:w="991" w:type="dxa"/>
            <w:vMerge w:val="restart"/>
            <w:tcBorders>
              <w:top w:val="single" w:color="auto" w:sz="4" w:space="0"/>
              <w:left w:val="single" w:color="auto" w:sz="4" w:space="0"/>
              <w:right w:val="single" w:color="auto" w:sz="4" w:space="0"/>
            </w:tcBorders>
            <w:noWrap w:val="0"/>
            <w:vAlign w:val="center"/>
          </w:tcPr>
          <w:p w14:paraId="293E6CDF">
            <w:pPr>
              <w:spacing w:line="440" w:lineRule="exact"/>
              <w:jc w:val="center"/>
              <w:rPr>
                <w:rFonts w:ascii="宋体" w:hAnsi="宋体" w:cs="宋体"/>
                <w:szCs w:val="21"/>
              </w:rPr>
            </w:pPr>
            <w:r>
              <w:rPr>
                <w:rFonts w:hint="eastAsia" w:ascii="宋体" w:hAnsi="宋体" w:cs="宋体"/>
                <w:szCs w:val="21"/>
              </w:rPr>
              <w:t>拟投入设备</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3E5B7DD3">
            <w:pPr>
              <w:spacing w:line="440" w:lineRule="exact"/>
              <w:rPr>
                <w:rFonts w:hint="eastAsia" w:ascii="宋体" w:hAnsi="宋体" w:cs="宋体"/>
                <w:szCs w:val="21"/>
              </w:rPr>
            </w:pPr>
            <w:r>
              <w:rPr>
                <w:rFonts w:hint="eastAsia" w:ascii="宋体" w:hAnsi="宋体" w:cs="宋体"/>
                <w:szCs w:val="21"/>
              </w:rPr>
              <w:t>投标人拟投入伐木油锯一套的得0.5分，二套得1分，以此类推，最高5分。（投标人需提供砍伐设备清单，并提供自有购置发票或照片）</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616FA225">
            <w:pPr>
              <w:spacing w:line="440" w:lineRule="exact"/>
              <w:jc w:val="center"/>
              <w:rPr>
                <w:rFonts w:hint="eastAsia" w:ascii="宋体" w:hAnsi="宋体" w:cs="宋体"/>
                <w:szCs w:val="21"/>
              </w:rPr>
            </w:pPr>
            <w:r>
              <w:rPr>
                <w:rFonts w:hint="eastAsia" w:ascii="宋体" w:hAnsi="宋体" w:cs="宋体"/>
                <w:szCs w:val="21"/>
              </w:rPr>
              <w:t>5</w:t>
            </w:r>
          </w:p>
        </w:tc>
      </w:tr>
      <w:tr w14:paraId="2D0F2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103ECD2">
            <w:pPr>
              <w:spacing w:line="440" w:lineRule="exact"/>
              <w:jc w:val="center"/>
              <w:rPr>
                <w:rFonts w:ascii="宋体" w:hAnsi="宋体" w:cs="宋体"/>
                <w:szCs w:val="21"/>
              </w:rPr>
            </w:pPr>
            <w:r>
              <w:rPr>
                <w:rFonts w:hint="eastAsia" w:ascii="宋体" w:hAnsi="宋体" w:cs="宋体"/>
                <w:szCs w:val="21"/>
              </w:rPr>
              <w:t>12</w:t>
            </w:r>
          </w:p>
        </w:tc>
        <w:tc>
          <w:tcPr>
            <w:tcW w:w="453" w:type="dxa"/>
            <w:vMerge w:val="continue"/>
            <w:tcBorders>
              <w:left w:val="single" w:color="auto" w:sz="4" w:space="0"/>
              <w:right w:val="single" w:color="auto" w:sz="4" w:space="0"/>
            </w:tcBorders>
            <w:noWrap w:val="0"/>
            <w:vAlign w:val="center"/>
          </w:tcPr>
          <w:p w14:paraId="1B70FDDD">
            <w:pPr>
              <w:spacing w:line="440" w:lineRule="exact"/>
              <w:rPr>
                <w:rFonts w:hint="eastAsia" w:ascii="宋体" w:hAnsi="宋体" w:cs="宋体"/>
                <w:szCs w:val="21"/>
              </w:rPr>
            </w:pPr>
          </w:p>
        </w:tc>
        <w:tc>
          <w:tcPr>
            <w:tcW w:w="991" w:type="dxa"/>
            <w:vMerge w:val="continue"/>
            <w:tcBorders>
              <w:left w:val="single" w:color="auto" w:sz="4" w:space="0"/>
              <w:bottom w:val="single" w:color="auto" w:sz="4" w:space="0"/>
              <w:right w:val="single" w:color="auto" w:sz="4" w:space="0"/>
            </w:tcBorders>
            <w:noWrap w:val="0"/>
            <w:vAlign w:val="center"/>
          </w:tcPr>
          <w:p w14:paraId="54620271">
            <w:pPr>
              <w:spacing w:line="440" w:lineRule="exact"/>
              <w:jc w:val="center"/>
              <w:rPr>
                <w:rFonts w:hint="eastAsia" w:ascii="宋体" w:hAnsi="宋体" w:cs="宋体"/>
                <w:szCs w:val="21"/>
              </w:rPr>
            </w:pPr>
          </w:p>
        </w:tc>
        <w:tc>
          <w:tcPr>
            <w:tcW w:w="7497" w:type="dxa"/>
            <w:tcBorders>
              <w:top w:val="single" w:color="auto" w:sz="4" w:space="0"/>
              <w:left w:val="single" w:color="auto" w:sz="4" w:space="0"/>
              <w:bottom w:val="single" w:color="auto" w:sz="4" w:space="0"/>
              <w:right w:val="single" w:color="auto" w:sz="4" w:space="0"/>
            </w:tcBorders>
            <w:noWrap w:val="0"/>
            <w:vAlign w:val="center"/>
          </w:tcPr>
          <w:p w14:paraId="6BE8A8B3">
            <w:pPr>
              <w:spacing w:line="440" w:lineRule="exact"/>
              <w:rPr>
                <w:rFonts w:hint="eastAsia" w:ascii="宋体" w:hAnsi="宋体" w:cs="宋体"/>
                <w:szCs w:val="21"/>
              </w:rPr>
            </w:pPr>
            <w:r>
              <w:rPr>
                <w:rFonts w:hint="eastAsia" w:ascii="宋体" w:hAnsi="宋体" w:cs="宋体"/>
                <w:szCs w:val="21"/>
              </w:rPr>
              <w:t>投标人运输车辆情况，每提供一辆车（轻型或小型货车）的得2分，最多得4分。</w:t>
            </w:r>
          </w:p>
          <w:p w14:paraId="07156649">
            <w:pPr>
              <w:spacing w:line="440" w:lineRule="exact"/>
              <w:rPr>
                <w:rFonts w:hint="eastAsia" w:ascii="宋体" w:hAnsi="宋体" w:cs="宋体"/>
                <w:szCs w:val="21"/>
              </w:rPr>
            </w:pPr>
            <w:r>
              <w:rPr>
                <w:rFonts w:hint="eastAsia" w:ascii="宋体" w:hAnsi="宋体" w:cs="宋体"/>
                <w:szCs w:val="21"/>
              </w:rPr>
              <w:t>（车辆为自有的提供车辆照片和行驶证，如非自有车辆的提供工期内租赁合同）</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37E5422">
            <w:pPr>
              <w:spacing w:line="440" w:lineRule="exact"/>
              <w:jc w:val="center"/>
              <w:rPr>
                <w:rFonts w:ascii="宋体" w:hAnsi="宋体" w:cs="宋体"/>
                <w:szCs w:val="21"/>
              </w:rPr>
            </w:pPr>
            <w:r>
              <w:rPr>
                <w:rFonts w:hint="eastAsia" w:ascii="宋体" w:hAnsi="宋体" w:cs="宋体"/>
                <w:szCs w:val="21"/>
              </w:rPr>
              <w:t>4</w:t>
            </w:r>
          </w:p>
        </w:tc>
      </w:tr>
      <w:tr w14:paraId="39B8C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7A42FA">
            <w:pPr>
              <w:spacing w:line="440" w:lineRule="exact"/>
              <w:jc w:val="center"/>
              <w:rPr>
                <w:rFonts w:ascii="宋体" w:hAnsi="宋体" w:cs="宋体"/>
                <w:szCs w:val="21"/>
              </w:rPr>
            </w:pPr>
            <w:r>
              <w:rPr>
                <w:rFonts w:hint="eastAsia" w:ascii="宋体" w:hAnsi="宋体" w:cs="宋体"/>
                <w:szCs w:val="21"/>
              </w:rPr>
              <w:t>13</w:t>
            </w:r>
          </w:p>
        </w:tc>
        <w:tc>
          <w:tcPr>
            <w:tcW w:w="453" w:type="dxa"/>
            <w:vMerge w:val="continue"/>
            <w:tcBorders>
              <w:left w:val="single" w:color="auto" w:sz="4" w:space="0"/>
              <w:right w:val="single" w:color="auto" w:sz="4" w:space="0"/>
            </w:tcBorders>
            <w:noWrap w:val="0"/>
            <w:vAlign w:val="center"/>
          </w:tcPr>
          <w:p w14:paraId="13C63055">
            <w:pPr>
              <w:spacing w:line="440" w:lineRule="exact"/>
              <w:rPr>
                <w:rFonts w:hint="eastAsia" w:ascii="宋体" w:hAnsi="宋体" w:cs="宋体"/>
                <w:szCs w:val="21"/>
              </w:rPr>
            </w:pPr>
          </w:p>
        </w:tc>
        <w:tc>
          <w:tcPr>
            <w:tcW w:w="991" w:type="dxa"/>
            <w:vMerge w:val="restart"/>
            <w:tcBorders>
              <w:top w:val="single" w:color="auto" w:sz="4" w:space="0"/>
              <w:left w:val="single" w:color="auto" w:sz="4" w:space="0"/>
              <w:right w:val="single" w:color="auto" w:sz="4" w:space="0"/>
            </w:tcBorders>
            <w:noWrap w:val="0"/>
            <w:vAlign w:val="center"/>
          </w:tcPr>
          <w:p w14:paraId="751F2E42">
            <w:pPr>
              <w:spacing w:line="440" w:lineRule="exact"/>
              <w:jc w:val="center"/>
              <w:rPr>
                <w:rFonts w:hint="eastAsia" w:ascii="宋体" w:hAnsi="宋体" w:cs="宋体"/>
                <w:szCs w:val="21"/>
              </w:rPr>
            </w:pPr>
            <w:r>
              <w:rPr>
                <w:rFonts w:hint="eastAsia" w:ascii="宋体" w:hAnsi="宋体" w:cs="宋体"/>
                <w:szCs w:val="21"/>
              </w:rPr>
              <w:t>拟投入人员</w:t>
            </w:r>
          </w:p>
        </w:tc>
        <w:tc>
          <w:tcPr>
            <w:tcW w:w="7497" w:type="dxa"/>
            <w:tcBorders>
              <w:top w:val="single" w:color="auto" w:sz="4" w:space="0"/>
              <w:left w:val="single" w:color="auto" w:sz="4" w:space="0"/>
              <w:right w:val="single" w:color="auto" w:sz="4" w:space="0"/>
            </w:tcBorders>
            <w:noWrap w:val="0"/>
            <w:vAlign w:val="center"/>
          </w:tcPr>
          <w:p w14:paraId="419FE3AF">
            <w:pPr>
              <w:rPr>
                <w:rFonts w:ascii="宋体" w:hAnsi="宋体" w:eastAsia="宋体" w:cs="宋体"/>
              </w:rPr>
            </w:pPr>
            <w:r>
              <w:rPr>
                <w:rFonts w:hint="eastAsia" w:ascii="宋体" w:hAnsi="宋体" w:eastAsia="宋体" w:cs="宋体"/>
              </w:rPr>
              <w:t>公司有固定采伐工10人及以上得5分，每少1人扣0.5分，扣完为止。</w:t>
            </w:r>
          </w:p>
          <w:p w14:paraId="3CD05CA8">
            <w:pPr>
              <w:spacing w:line="440" w:lineRule="exact"/>
              <w:rPr>
                <w:rFonts w:hint="eastAsia" w:ascii="宋体" w:hAnsi="宋体" w:cs="宋体"/>
                <w:szCs w:val="21"/>
              </w:rPr>
            </w:pPr>
            <w:r>
              <w:rPr>
                <w:rFonts w:hint="eastAsia" w:ascii="宋体" w:hAnsi="宋体" w:eastAsia="宋体" w:cs="宋体"/>
              </w:rPr>
              <w:t>（须提供雇用采伐工人员名单清册，身份证加盖公章）</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5AF10F5">
            <w:pPr>
              <w:pStyle w:val="47"/>
              <w:spacing w:before="0" w:beforeAutospacing="0" w:after="0" w:afterAutospacing="0" w:line="440" w:lineRule="exact"/>
              <w:jc w:val="center"/>
              <w:rPr>
                <w:rFonts w:hint="default" w:eastAsia="宋体" w:cs="宋体"/>
                <w:color w:val="auto"/>
                <w:kern w:val="2"/>
                <w:sz w:val="21"/>
                <w:szCs w:val="21"/>
                <w:lang w:val="en-US" w:eastAsia="zh-CN"/>
              </w:rPr>
            </w:pPr>
            <w:r>
              <w:rPr>
                <w:rFonts w:hint="eastAsia" w:cs="宋体"/>
                <w:color w:val="auto"/>
                <w:kern w:val="2"/>
                <w:sz w:val="21"/>
                <w:szCs w:val="21"/>
                <w:lang w:val="en-US" w:eastAsia="zh-CN"/>
              </w:rPr>
              <w:t>5</w:t>
            </w:r>
          </w:p>
        </w:tc>
      </w:tr>
      <w:tr w14:paraId="2403B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7181C5">
            <w:pPr>
              <w:spacing w:line="440" w:lineRule="exact"/>
              <w:jc w:val="center"/>
              <w:rPr>
                <w:rFonts w:ascii="宋体" w:hAnsi="宋体" w:cs="宋体"/>
                <w:szCs w:val="21"/>
              </w:rPr>
            </w:pPr>
            <w:r>
              <w:rPr>
                <w:rFonts w:hint="eastAsia" w:ascii="宋体" w:hAnsi="宋体" w:cs="宋体"/>
                <w:szCs w:val="21"/>
              </w:rPr>
              <w:t>14</w:t>
            </w:r>
          </w:p>
        </w:tc>
        <w:tc>
          <w:tcPr>
            <w:tcW w:w="453" w:type="dxa"/>
            <w:vMerge w:val="continue"/>
            <w:tcBorders>
              <w:left w:val="single" w:color="auto" w:sz="4" w:space="0"/>
              <w:right w:val="single" w:color="auto" w:sz="4" w:space="0"/>
            </w:tcBorders>
            <w:noWrap w:val="0"/>
            <w:vAlign w:val="center"/>
          </w:tcPr>
          <w:p w14:paraId="0F4DB5F6">
            <w:pPr>
              <w:spacing w:line="440" w:lineRule="exact"/>
              <w:rPr>
                <w:rFonts w:hint="eastAsia" w:ascii="宋体" w:hAnsi="宋体" w:cs="宋体"/>
                <w:szCs w:val="21"/>
              </w:rPr>
            </w:pPr>
          </w:p>
        </w:tc>
        <w:tc>
          <w:tcPr>
            <w:tcW w:w="991" w:type="dxa"/>
            <w:vMerge w:val="continue"/>
            <w:tcBorders>
              <w:left w:val="single" w:color="auto" w:sz="4" w:space="0"/>
              <w:right w:val="single" w:color="auto" w:sz="4" w:space="0"/>
            </w:tcBorders>
            <w:noWrap w:val="0"/>
            <w:vAlign w:val="center"/>
          </w:tcPr>
          <w:p w14:paraId="364CC83C">
            <w:pPr>
              <w:spacing w:line="440" w:lineRule="exact"/>
              <w:jc w:val="center"/>
              <w:rPr>
                <w:rFonts w:hint="eastAsia" w:ascii="宋体" w:hAnsi="宋体" w:cs="宋体"/>
                <w:szCs w:val="21"/>
              </w:rPr>
            </w:pPr>
          </w:p>
        </w:tc>
        <w:tc>
          <w:tcPr>
            <w:tcW w:w="7497" w:type="dxa"/>
            <w:tcBorders>
              <w:top w:val="single" w:color="auto" w:sz="4" w:space="0"/>
              <w:left w:val="single" w:color="auto" w:sz="4" w:space="0"/>
              <w:right w:val="single" w:color="auto" w:sz="4" w:space="0"/>
            </w:tcBorders>
            <w:noWrap w:val="0"/>
            <w:vAlign w:val="center"/>
          </w:tcPr>
          <w:p w14:paraId="2A97FEEE">
            <w:pPr>
              <w:spacing w:line="440" w:lineRule="exact"/>
              <w:rPr>
                <w:rFonts w:hint="eastAsia" w:ascii="宋体" w:hAnsi="宋体" w:cs="宋体"/>
                <w:szCs w:val="21"/>
              </w:rPr>
            </w:pPr>
            <w:r>
              <w:rPr>
                <w:rFonts w:hint="eastAsia" w:ascii="宋体" w:hAnsi="宋体" w:eastAsia="宋体" w:cs="宋体"/>
              </w:rPr>
              <w:t>年龄结构18周岁—60周岁男劳力的，身体健康无疾病且从事伐木施工人员优先，（附雇用采伐工人员名单清册、人员身份证清单）进行打分（0-5分）。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6AEB0D3">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r>
      <w:tr w14:paraId="76E10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265E89AD">
            <w:pPr>
              <w:spacing w:line="440" w:lineRule="exact"/>
              <w:jc w:val="center"/>
              <w:rPr>
                <w:rFonts w:hint="eastAsia" w:ascii="宋体" w:hAnsi="宋体" w:cs="宋体"/>
                <w:szCs w:val="21"/>
              </w:rPr>
            </w:pPr>
            <w:r>
              <w:rPr>
                <w:rFonts w:hint="eastAsia" w:ascii="宋体" w:hAnsi="宋体" w:cs="宋体"/>
                <w:b/>
                <w:szCs w:val="21"/>
              </w:rPr>
              <w:t>二</w:t>
            </w:r>
          </w:p>
        </w:tc>
        <w:tc>
          <w:tcPr>
            <w:tcW w:w="8941" w:type="dxa"/>
            <w:gridSpan w:val="3"/>
            <w:tcBorders>
              <w:top w:val="single" w:color="auto" w:sz="4" w:space="0"/>
              <w:left w:val="single" w:color="auto" w:sz="4" w:space="0"/>
              <w:bottom w:val="single" w:color="auto" w:sz="4" w:space="0"/>
              <w:right w:val="single" w:color="auto" w:sz="4" w:space="0"/>
            </w:tcBorders>
            <w:noWrap w:val="0"/>
            <w:vAlign w:val="center"/>
          </w:tcPr>
          <w:p w14:paraId="440C0EA7">
            <w:pPr>
              <w:spacing w:line="440" w:lineRule="exact"/>
              <w:jc w:val="center"/>
              <w:rPr>
                <w:rFonts w:hint="eastAsia" w:ascii="宋体" w:hAnsi="宋体" w:cs="宋体"/>
                <w:szCs w:val="21"/>
              </w:rPr>
            </w:pPr>
            <w:r>
              <w:rPr>
                <w:rFonts w:hint="eastAsia" w:ascii="宋体" w:hAnsi="宋体" w:cs="宋体"/>
                <w:b/>
                <w:szCs w:val="21"/>
              </w:rPr>
              <w:t>商务、资信及其他分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EE16FB2">
            <w:pPr>
              <w:spacing w:line="440" w:lineRule="exact"/>
              <w:jc w:val="center"/>
              <w:rPr>
                <w:rFonts w:hint="eastAsia" w:ascii="宋体" w:hAnsi="宋体" w:cs="宋体"/>
                <w:szCs w:val="21"/>
              </w:rPr>
            </w:pPr>
            <w:r>
              <w:rPr>
                <w:rFonts w:hint="eastAsia" w:ascii="宋体" w:hAnsi="宋体" w:cs="宋体"/>
                <w:b/>
                <w:szCs w:val="21"/>
              </w:rPr>
              <w:t>20分</w:t>
            </w:r>
          </w:p>
        </w:tc>
      </w:tr>
      <w:tr w14:paraId="49373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jc w:val="center"/>
        </w:trPr>
        <w:tc>
          <w:tcPr>
            <w:tcW w:w="758" w:type="dxa"/>
            <w:tcBorders>
              <w:top w:val="single" w:color="auto" w:sz="4" w:space="0"/>
              <w:left w:val="single" w:color="auto" w:sz="4" w:space="0"/>
              <w:right w:val="single" w:color="auto" w:sz="4" w:space="0"/>
            </w:tcBorders>
            <w:noWrap w:val="0"/>
            <w:vAlign w:val="center"/>
          </w:tcPr>
          <w:p w14:paraId="0500C87D">
            <w:pPr>
              <w:spacing w:line="440" w:lineRule="exact"/>
              <w:jc w:val="center"/>
              <w:rPr>
                <w:rFonts w:ascii="宋体" w:hAnsi="宋体" w:cs="宋体"/>
                <w:szCs w:val="21"/>
              </w:rPr>
            </w:pPr>
            <w:r>
              <w:rPr>
                <w:rFonts w:hint="eastAsia" w:ascii="宋体" w:hAnsi="宋体" w:cs="宋体"/>
                <w:szCs w:val="21"/>
              </w:rPr>
              <w:t>15</w:t>
            </w:r>
          </w:p>
        </w:tc>
        <w:tc>
          <w:tcPr>
            <w:tcW w:w="453" w:type="dxa"/>
            <w:vMerge w:val="restart"/>
            <w:tcBorders>
              <w:top w:val="single" w:color="auto" w:sz="4" w:space="0"/>
              <w:left w:val="single" w:color="auto" w:sz="4" w:space="0"/>
              <w:right w:val="single" w:color="auto" w:sz="4" w:space="0"/>
            </w:tcBorders>
            <w:noWrap w:val="0"/>
            <w:vAlign w:val="center"/>
          </w:tcPr>
          <w:p w14:paraId="02F314BD">
            <w:pPr>
              <w:spacing w:line="440" w:lineRule="exact"/>
              <w:rPr>
                <w:rFonts w:hint="eastAsia" w:ascii="宋体" w:hAnsi="宋体" w:cs="宋体"/>
                <w:szCs w:val="21"/>
              </w:rPr>
            </w:pPr>
            <w:r>
              <w:rPr>
                <w:rFonts w:hint="eastAsia" w:ascii="宋体" w:hAnsi="宋体" w:cs="宋体"/>
                <w:szCs w:val="21"/>
              </w:rPr>
              <w:t>履约能力及售后服务能力</w:t>
            </w:r>
          </w:p>
        </w:tc>
        <w:tc>
          <w:tcPr>
            <w:tcW w:w="991" w:type="dxa"/>
            <w:tcBorders>
              <w:top w:val="single" w:color="auto" w:sz="4" w:space="0"/>
              <w:left w:val="single" w:color="auto" w:sz="4" w:space="0"/>
              <w:right w:val="single" w:color="auto" w:sz="4" w:space="0"/>
            </w:tcBorders>
            <w:noWrap w:val="0"/>
            <w:vAlign w:val="center"/>
          </w:tcPr>
          <w:p w14:paraId="21D9807B">
            <w:pPr>
              <w:spacing w:line="440" w:lineRule="exact"/>
              <w:rPr>
                <w:rFonts w:ascii="宋体" w:hAnsi="宋体" w:cs="宋体"/>
                <w:szCs w:val="21"/>
              </w:rPr>
            </w:pPr>
            <w:r>
              <w:rPr>
                <w:rFonts w:hint="eastAsia" w:ascii="新宋体" w:hAnsi="新宋体" w:eastAsia="新宋体" w:cs="新宋体"/>
                <w:szCs w:val="21"/>
              </w:rPr>
              <w:t>投标人综合情况</w:t>
            </w:r>
          </w:p>
        </w:tc>
        <w:tc>
          <w:tcPr>
            <w:tcW w:w="7497" w:type="dxa"/>
            <w:tcBorders>
              <w:top w:val="single" w:color="auto" w:sz="4" w:space="0"/>
              <w:left w:val="single" w:color="auto" w:sz="4" w:space="0"/>
              <w:right w:val="single" w:color="auto" w:sz="4" w:space="0"/>
            </w:tcBorders>
            <w:noWrap w:val="0"/>
            <w:vAlign w:val="center"/>
          </w:tcPr>
          <w:p w14:paraId="381CD0BC">
            <w:pPr>
              <w:widowControl/>
              <w:snapToGrid w:val="0"/>
              <w:spacing w:line="360" w:lineRule="exact"/>
              <w:jc w:val="left"/>
              <w:textAlignment w:val="baseline"/>
              <w:rPr>
                <w:rFonts w:ascii="宋体" w:hAnsi="宋体" w:cs="宋体"/>
                <w:kern w:val="0"/>
                <w:szCs w:val="21"/>
              </w:rPr>
            </w:pPr>
            <w:r>
              <w:rPr>
                <w:rFonts w:hint="eastAsia" w:ascii="新宋体" w:hAnsi="新宋体" w:eastAsia="新宋体" w:cs="新宋体"/>
                <w:szCs w:val="21"/>
              </w:rPr>
              <w:t>根据投标人提供的①整体经营状况、②技术力量、③服务团队等方面进行综合评分。0-</w:t>
            </w:r>
            <w:r>
              <w:rPr>
                <w:rFonts w:hint="eastAsia" w:ascii="新宋体" w:hAnsi="新宋体" w:eastAsia="新宋体" w:cs="新宋体"/>
                <w:szCs w:val="21"/>
                <w:lang w:val="en-US" w:eastAsia="zh-CN"/>
              </w:rPr>
              <w:t>2</w:t>
            </w:r>
            <w:r>
              <w:rPr>
                <w:rFonts w:hint="eastAsia" w:ascii="新宋体" w:hAnsi="新宋体" w:eastAsia="新宋体" w:cs="新宋体"/>
                <w:szCs w:val="21"/>
              </w:rPr>
              <w:t>分</w:t>
            </w:r>
          </w:p>
        </w:tc>
        <w:tc>
          <w:tcPr>
            <w:tcW w:w="758" w:type="dxa"/>
            <w:tcBorders>
              <w:top w:val="single" w:color="auto" w:sz="4" w:space="0"/>
              <w:left w:val="single" w:color="auto" w:sz="4" w:space="0"/>
              <w:right w:val="single" w:color="auto" w:sz="4" w:space="0"/>
            </w:tcBorders>
            <w:noWrap w:val="0"/>
            <w:vAlign w:val="center"/>
          </w:tcPr>
          <w:p w14:paraId="1EB10CD3">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r>
      <w:tr w14:paraId="2112C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557E8D98">
            <w:pPr>
              <w:spacing w:line="440" w:lineRule="exact"/>
              <w:jc w:val="center"/>
              <w:rPr>
                <w:rFonts w:ascii="宋体" w:hAnsi="宋体" w:cs="宋体"/>
                <w:szCs w:val="21"/>
              </w:rPr>
            </w:pPr>
            <w:r>
              <w:rPr>
                <w:rFonts w:hint="eastAsia" w:ascii="宋体" w:hAnsi="宋体" w:cs="宋体"/>
                <w:szCs w:val="21"/>
              </w:rPr>
              <w:t>16</w:t>
            </w:r>
          </w:p>
        </w:tc>
        <w:tc>
          <w:tcPr>
            <w:tcW w:w="453" w:type="dxa"/>
            <w:vMerge w:val="continue"/>
            <w:tcBorders>
              <w:left w:val="single" w:color="auto" w:sz="4" w:space="0"/>
              <w:right w:val="single" w:color="auto" w:sz="4" w:space="0"/>
            </w:tcBorders>
            <w:noWrap w:val="0"/>
            <w:vAlign w:val="center"/>
          </w:tcPr>
          <w:p w14:paraId="697C0031">
            <w:pPr>
              <w:spacing w:line="440" w:lineRule="exact"/>
              <w:rPr>
                <w:rFonts w:hint="eastAsia" w:ascii="宋体" w:hAnsi="宋体" w:cs="宋体"/>
                <w:szCs w:val="21"/>
              </w:rPr>
            </w:pPr>
          </w:p>
        </w:tc>
        <w:tc>
          <w:tcPr>
            <w:tcW w:w="991" w:type="dxa"/>
            <w:vMerge w:val="restart"/>
            <w:tcBorders>
              <w:top w:val="single" w:color="auto" w:sz="4" w:space="0"/>
              <w:left w:val="single" w:color="auto" w:sz="4" w:space="0"/>
              <w:right w:val="single" w:color="auto" w:sz="4" w:space="0"/>
            </w:tcBorders>
            <w:noWrap w:val="0"/>
            <w:vAlign w:val="center"/>
          </w:tcPr>
          <w:p w14:paraId="2D4FC308">
            <w:pPr>
              <w:pStyle w:val="47"/>
              <w:adjustRightInd w:val="0"/>
              <w:spacing w:line="440" w:lineRule="exact"/>
              <w:jc w:val="center"/>
              <w:rPr>
                <w:rFonts w:hint="eastAsia" w:cs="宋体"/>
                <w:color w:val="auto"/>
                <w:sz w:val="21"/>
                <w:szCs w:val="21"/>
              </w:rPr>
            </w:pPr>
            <w:r>
              <w:rPr>
                <w:rFonts w:hint="eastAsia" w:cs="宋体"/>
                <w:color w:val="auto"/>
                <w:sz w:val="21"/>
                <w:szCs w:val="21"/>
              </w:rPr>
              <w:t xml:space="preserve">服务 </w:t>
            </w:r>
          </w:p>
          <w:p w14:paraId="11312AE1">
            <w:pPr>
              <w:pStyle w:val="47"/>
              <w:adjustRightInd w:val="0"/>
              <w:spacing w:line="440" w:lineRule="exact"/>
              <w:jc w:val="center"/>
              <w:rPr>
                <w:rFonts w:cs="宋体"/>
                <w:color w:val="auto"/>
                <w:sz w:val="21"/>
                <w:szCs w:val="21"/>
              </w:rPr>
            </w:pPr>
            <w:r>
              <w:rPr>
                <w:rFonts w:hint="eastAsia" w:cs="宋体"/>
                <w:color w:val="auto"/>
                <w:sz w:val="21"/>
                <w:szCs w:val="21"/>
              </w:rPr>
              <w:t>保障</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486859FF">
            <w:pPr>
              <w:spacing w:line="440" w:lineRule="exact"/>
              <w:rPr>
                <w:rFonts w:hint="eastAsia" w:ascii="宋体" w:hAnsi="宋体" w:cs="宋体"/>
                <w:kern w:val="0"/>
                <w:szCs w:val="21"/>
              </w:rPr>
            </w:pPr>
            <w:r>
              <w:rPr>
                <w:rFonts w:hint="eastAsia" w:ascii="宋体" w:hAnsi="宋体" w:cs="宋体"/>
                <w:kern w:val="0"/>
                <w:szCs w:val="21"/>
              </w:rPr>
              <w:t>根据投标人提供针对成交后工作的衔接（0-1分）、人员安排（0-1分）、与采购人各项工作相适应的服务运作流程（0-1分）的具体方案，进行打分。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0D22864">
            <w:pPr>
              <w:pStyle w:val="47"/>
              <w:adjustRightInd w:val="0"/>
              <w:spacing w:line="440" w:lineRule="exact"/>
              <w:jc w:val="center"/>
              <w:rPr>
                <w:rFonts w:cs="宋体"/>
                <w:color w:val="auto"/>
                <w:sz w:val="21"/>
                <w:szCs w:val="21"/>
              </w:rPr>
            </w:pPr>
            <w:r>
              <w:rPr>
                <w:rFonts w:hint="eastAsia" w:cs="宋体"/>
                <w:color w:val="auto"/>
                <w:sz w:val="21"/>
                <w:szCs w:val="21"/>
              </w:rPr>
              <w:t>3</w:t>
            </w:r>
          </w:p>
        </w:tc>
      </w:tr>
      <w:tr w14:paraId="03BCD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6D6556FB">
            <w:pPr>
              <w:spacing w:line="440" w:lineRule="exact"/>
              <w:jc w:val="center"/>
              <w:rPr>
                <w:rFonts w:ascii="宋体" w:hAnsi="宋体" w:cs="宋体"/>
                <w:szCs w:val="21"/>
              </w:rPr>
            </w:pPr>
            <w:r>
              <w:rPr>
                <w:rFonts w:hint="eastAsia" w:ascii="宋体" w:hAnsi="宋体" w:cs="宋体"/>
                <w:szCs w:val="21"/>
              </w:rPr>
              <w:t>17</w:t>
            </w:r>
          </w:p>
        </w:tc>
        <w:tc>
          <w:tcPr>
            <w:tcW w:w="453" w:type="dxa"/>
            <w:vMerge w:val="continue"/>
            <w:tcBorders>
              <w:left w:val="single" w:color="auto" w:sz="4" w:space="0"/>
              <w:right w:val="single" w:color="auto" w:sz="4" w:space="0"/>
            </w:tcBorders>
            <w:noWrap w:val="0"/>
            <w:vAlign w:val="center"/>
          </w:tcPr>
          <w:p w14:paraId="14C70D93">
            <w:pPr>
              <w:spacing w:line="440" w:lineRule="exact"/>
              <w:rPr>
                <w:rFonts w:hint="eastAsia" w:ascii="宋体" w:hAnsi="宋体" w:cs="宋体"/>
                <w:szCs w:val="21"/>
              </w:rPr>
            </w:pPr>
          </w:p>
        </w:tc>
        <w:tc>
          <w:tcPr>
            <w:tcW w:w="991" w:type="dxa"/>
            <w:vMerge w:val="continue"/>
            <w:tcBorders>
              <w:left w:val="single" w:color="auto" w:sz="4" w:space="0"/>
              <w:right w:val="single" w:color="auto" w:sz="4" w:space="0"/>
            </w:tcBorders>
            <w:noWrap w:val="0"/>
            <w:vAlign w:val="center"/>
          </w:tcPr>
          <w:p w14:paraId="7F56F7A8">
            <w:pPr>
              <w:pStyle w:val="47"/>
              <w:adjustRightInd w:val="0"/>
              <w:spacing w:line="440" w:lineRule="exact"/>
              <w:jc w:val="center"/>
              <w:rPr>
                <w:rFonts w:hint="eastAsia" w:cs="宋体"/>
                <w:color w:val="auto"/>
                <w:sz w:val="21"/>
                <w:szCs w:val="21"/>
              </w:rPr>
            </w:pPr>
          </w:p>
        </w:tc>
        <w:tc>
          <w:tcPr>
            <w:tcW w:w="7497" w:type="dxa"/>
            <w:tcBorders>
              <w:top w:val="single" w:color="auto" w:sz="4" w:space="0"/>
              <w:left w:val="single" w:color="auto" w:sz="4" w:space="0"/>
              <w:bottom w:val="single" w:color="auto" w:sz="4" w:space="0"/>
              <w:right w:val="single" w:color="auto" w:sz="4" w:space="0"/>
            </w:tcBorders>
            <w:noWrap w:val="0"/>
            <w:vAlign w:val="center"/>
          </w:tcPr>
          <w:p w14:paraId="1BC74AD4">
            <w:pPr>
              <w:spacing w:line="440" w:lineRule="exact"/>
              <w:rPr>
                <w:rFonts w:hint="eastAsia" w:ascii="宋体" w:hAnsi="宋体" w:cs="宋体"/>
                <w:szCs w:val="21"/>
              </w:rPr>
            </w:pPr>
            <w:r>
              <w:rPr>
                <w:rFonts w:hint="eastAsia" w:ascii="宋体" w:hAnsi="宋体" w:cs="宋体"/>
                <w:szCs w:val="21"/>
              </w:rPr>
              <w:t>根据投标人针对突发性事件的应急抢险方案（包括应急抢险专业队伍的组织、台风季节、雨雪天气预防、临时任务等），进行打分。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21BC431C">
            <w:pPr>
              <w:pStyle w:val="47"/>
              <w:adjustRightInd w:val="0"/>
              <w:spacing w:line="440" w:lineRule="exact"/>
              <w:jc w:val="center"/>
              <w:rPr>
                <w:rFonts w:cs="宋体"/>
                <w:color w:val="auto"/>
                <w:sz w:val="21"/>
                <w:szCs w:val="21"/>
              </w:rPr>
            </w:pPr>
            <w:r>
              <w:rPr>
                <w:rFonts w:hint="eastAsia" w:cs="宋体"/>
                <w:color w:val="auto"/>
                <w:sz w:val="21"/>
                <w:szCs w:val="21"/>
              </w:rPr>
              <w:t>2</w:t>
            </w:r>
          </w:p>
        </w:tc>
      </w:tr>
      <w:tr w14:paraId="799CA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6CACE060">
            <w:pPr>
              <w:spacing w:line="440" w:lineRule="exact"/>
              <w:jc w:val="center"/>
              <w:rPr>
                <w:rFonts w:ascii="宋体" w:hAnsi="宋体" w:cs="宋体"/>
                <w:b/>
                <w:szCs w:val="21"/>
              </w:rPr>
            </w:pPr>
            <w:r>
              <w:rPr>
                <w:rFonts w:hint="eastAsia" w:ascii="宋体" w:hAnsi="宋体" w:cs="宋体"/>
                <w:bCs/>
                <w:szCs w:val="21"/>
              </w:rPr>
              <w:t>18</w:t>
            </w:r>
          </w:p>
        </w:tc>
        <w:tc>
          <w:tcPr>
            <w:tcW w:w="453" w:type="dxa"/>
            <w:vMerge w:val="continue"/>
            <w:tcBorders>
              <w:left w:val="single" w:color="auto" w:sz="4" w:space="0"/>
              <w:right w:val="single" w:color="auto" w:sz="4" w:space="0"/>
            </w:tcBorders>
            <w:noWrap w:val="0"/>
            <w:vAlign w:val="center"/>
          </w:tcPr>
          <w:p w14:paraId="269BFA68">
            <w:pPr>
              <w:spacing w:line="440" w:lineRule="exact"/>
              <w:rPr>
                <w:rFonts w:hint="eastAsia" w:ascii="宋体" w:hAnsi="宋体" w:cs="宋体"/>
                <w:szCs w:val="21"/>
              </w:rPr>
            </w:pPr>
          </w:p>
        </w:tc>
        <w:tc>
          <w:tcPr>
            <w:tcW w:w="991" w:type="dxa"/>
            <w:vMerge w:val="continue"/>
            <w:tcBorders>
              <w:left w:val="single" w:color="auto" w:sz="4" w:space="0"/>
              <w:right w:val="single" w:color="auto" w:sz="4" w:space="0"/>
            </w:tcBorders>
            <w:noWrap w:val="0"/>
            <w:vAlign w:val="center"/>
          </w:tcPr>
          <w:p w14:paraId="01B085E3">
            <w:pPr>
              <w:pStyle w:val="47"/>
              <w:adjustRightInd w:val="0"/>
              <w:spacing w:line="440" w:lineRule="exact"/>
              <w:jc w:val="center"/>
              <w:rPr>
                <w:rFonts w:hint="eastAsia" w:cs="宋体"/>
                <w:color w:val="auto"/>
                <w:sz w:val="21"/>
                <w:szCs w:val="21"/>
              </w:rPr>
            </w:pPr>
          </w:p>
        </w:tc>
        <w:tc>
          <w:tcPr>
            <w:tcW w:w="7497" w:type="dxa"/>
            <w:tcBorders>
              <w:top w:val="single" w:color="auto" w:sz="4" w:space="0"/>
              <w:left w:val="single" w:color="auto" w:sz="4" w:space="0"/>
              <w:bottom w:val="single" w:color="auto" w:sz="4" w:space="0"/>
              <w:right w:val="single" w:color="auto" w:sz="4" w:space="0"/>
            </w:tcBorders>
            <w:noWrap w:val="0"/>
            <w:vAlign w:val="center"/>
          </w:tcPr>
          <w:p w14:paraId="4F4F85CD">
            <w:pPr>
              <w:spacing w:line="440" w:lineRule="exact"/>
              <w:rPr>
                <w:rFonts w:hint="eastAsia" w:ascii="宋体" w:hAnsi="宋体" w:cs="宋体"/>
                <w:szCs w:val="21"/>
              </w:rPr>
            </w:pPr>
            <w:r>
              <w:rPr>
                <w:rFonts w:hint="eastAsia" w:ascii="宋体" w:hAnsi="宋体" w:cs="宋体"/>
                <w:szCs w:val="21"/>
              </w:rPr>
              <w:t>根据投标人售后服务体系和服务响应的便捷性和及时性进行打分。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FBA0327">
            <w:pPr>
              <w:pStyle w:val="47"/>
              <w:adjustRightInd w:val="0"/>
              <w:spacing w:line="440" w:lineRule="exact"/>
              <w:jc w:val="center"/>
              <w:rPr>
                <w:rFonts w:cs="宋体"/>
                <w:color w:val="auto"/>
                <w:sz w:val="21"/>
                <w:szCs w:val="21"/>
              </w:rPr>
            </w:pPr>
            <w:r>
              <w:rPr>
                <w:rFonts w:hint="eastAsia" w:cs="宋体"/>
                <w:color w:val="auto"/>
                <w:sz w:val="21"/>
                <w:szCs w:val="21"/>
              </w:rPr>
              <w:t>1</w:t>
            </w:r>
          </w:p>
        </w:tc>
      </w:tr>
      <w:tr w14:paraId="60D21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1888180">
            <w:pPr>
              <w:spacing w:line="440" w:lineRule="exact"/>
              <w:jc w:val="center"/>
              <w:rPr>
                <w:rFonts w:ascii="宋体" w:hAnsi="宋体" w:cs="宋体"/>
                <w:szCs w:val="21"/>
              </w:rPr>
            </w:pPr>
            <w:r>
              <w:rPr>
                <w:rFonts w:hint="eastAsia" w:ascii="宋体" w:hAnsi="宋体" w:cs="宋体"/>
                <w:szCs w:val="21"/>
              </w:rPr>
              <w:t>19</w:t>
            </w:r>
          </w:p>
        </w:tc>
        <w:tc>
          <w:tcPr>
            <w:tcW w:w="453" w:type="dxa"/>
            <w:vMerge w:val="continue"/>
            <w:tcBorders>
              <w:left w:val="single" w:color="auto" w:sz="4" w:space="0"/>
              <w:right w:val="single" w:color="auto" w:sz="4" w:space="0"/>
            </w:tcBorders>
            <w:noWrap w:val="0"/>
            <w:vAlign w:val="center"/>
          </w:tcPr>
          <w:p w14:paraId="47F1D725">
            <w:pPr>
              <w:spacing w:line="440" w:lineRule="exact"/>
              <w:rPr>
                <w:rFonts w:hint="eastAsia" w:ascii="宋体" w:hAnsi="宋体" w:cs="宋体"/>
                <w:b/>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8D49B53">
            <w:pPr>
              <w:spacing w:line="440" w:lineRule="exact"/>
              <w:jc w:val="center"/>
              <w:rPr>
                <w:rFonts w:hint="eastAsia" w:ascii="宋体" w:hAnsi="宋体" w:cs="宋体"/>
                <w:szCs w:val="21"/>
              </w:rPr>
            </w:pPr>
            <w:r>
              <w:rPr>
                <w:rFonts w:hint="eastAsia" w:ascii="宋体" w:hAnsi="宋体" w:cs="宋体"/>
                <w:kern w:val="0"/>
                <w:szCs w:val="21"/>
              </w:rPr>
              <w:t>意外伤害险</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2583D2FD">
            <w:pPr>
              <w:spacing w:line="440" w:lineRule="exact"/>
              <w:rPr>
                <w:rFonts w:hint="eastAsia" w:ascii="宋体" w:hAnsi="宋体" w:cs="宋体"/>
                <w:kern w:val="0"/>
                <w:szCs w:val="21"/>
              </w:rPr>
            </w:pPr>
            <w:r>
              <w:rPr>
                <w:rFonts w:hint="eastAsia" w:ascii="宋体" w:hAnsi="宋体" w:cs="宋体"/>
                <w:kern w:val="0"/>
                <w:szCs w:val="21"/>
              </w:rPr>
              <w:t>投标人能为项目服务人员办理意外伤害险，并且保险还在有效期内，按被保险人人数每人1分，本项最多得6分。（提供投标人的年度保险合同，否则不得分）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39BCF104">
            <w:pPr>
              <w:pStyle w:val="47"/>
              <w:adjustRightInd w:val="0"/>
              <w:spacing w:line="440" w:lineRule="exact"/>
              <w:jc w:val="center"/>
              <w:rPr>
                <w:rFonts w:hint="eastAsia" w:cs="宋体"/>
                <w:b/>
                <w:color w:val="auto"/>
                <w:sz w:val="21"/>
                <w:szCs w:val="21"/>
              </w:rPr>
            </w:pPr>
            <w:r>
              <w:rPr>
                <w:rFonts w:hint="eastAsia" w:cs="宋体"/>
                <w:color w:val="auto"/>
                <w:kern w:val="2"/>
                <w:sz w:val="21"/>
                <w:szCs w:val="21"/>
              </w:rPr>
              <w:t>6</w:t>
            </w:r>
          </w:p>
        </w:tc>
      </w:tr>
      <w:tr w14:paraId="7E784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256C13D">
            <w:pPr>
              <w:spacing w:line="440" w:lineRule="exact"/>
              <w:jc w:val="center"/>
              <w:rPr>
                <w:rFonts w:ascii="宋体" w:hAnsi="宋体" w:cs="宋体"/>
                <w:szCs w:val="21"/>
              </w:rPr>
            </w:pPr>
            <w:r>
              <w:rPr>
                <w:rFonts w:hint="eastAsia" w:ascii="宋体" w:hAnsi="宋体" w:cs="宋体"/>
                <w:szCs w:val="21"/>
              </w:rPr>
              <w:t>20</w:t>
            </w:r>
          </w:p>
        </w:tc>
        <w:tc>
          <w:tcPr>
            <w:tcW w:w="453" w:type="dxa"/>
            <w:vMerge w:val="continue"/>
            <w:tcBorders>
              <w:left w:val="single" w:color="auto" w:sz="4" w:space="0"/>
              <w:right w:val="single" w:color="auto" w:sz="4" w:space="0"/>
            </w:tcBorders>
            <w:noWrap w:val="0"/>
            <w:vAlign w:val="center"/>
          </w:tcPr>
          <w:p w14:paraId="5E16966C">
            <w:pPr>
              <w:spacing w:line="440" w:lineRule="exact"/>
              <w:rPr>
                <w:rFonts w:hint="eastAsia" w:ascii="宋体" w:hAnsi="宋体" w:cs="宋体"/>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03BC3B6">
            <w:pPr>
              <w:spacing w:line="440" w:lineRule="exact"/>
              <w:jc w:val="center"/>
              <w:rPr>
                <w:rFonts w:hint="eastAsia" w:ascii="宋体" w:hAnsi="宋体" w:cs="宋体"/>
                <w:kern w:val="0"/>
                <w:szCs w:val="21"/>
              </w:rPr>
            </w:pPr>
            <w:r>
              <w:rPr>
                <w:rFonts w:hint="eastAsia" w:ascii="宋体" w:hAnsi="宋体" w:cs="宋体"/>
                <w:kern w:val="0"/>
                <w:szCs w:val="21"/>
              </w:rPr>
              <w:t xml:space="preserve">同类 </w:t>
            </w:r>
          </w:p>
          <w:p w14:paraId="45F7D5EE">
            <w:pPr>
              <w:spacing w:line="440" w:lineRule="exact"/>
              <w:jc w:val="center"/>
              <w:rPr>
                <w:rFonts w:hint="eastAsia" w:ascii="宋体" w:hAnsi="宋体" w:cs="宋体"/>
                <w:kern w:val="0"/>
                <w:szCs w:val="21"/>
              </w:rPr>
            </w:pPr>
            <w:r>
              <w:rPr>
                <w:rFonts w:hint="eastAsia" w:ascii="宋体" w:hAnsi="宋体" w:cs="宋体"/>
                <w:kern w:val="0"/>
                <w:szCs w:val="21"/>
              </w:rPr>
              <w:t>业绩</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3277A5FE">
            <w:pPr>
              <w:spacing w:line="440" w:lineRule="exact"/>
              <w:rPr>
                <w:rFonts w:hint="eastAsia" w:ascii="宋体" w:hAnsi="宋体" w:cs="宋体"/>
                <w:kern w:val="0"/>
                <w:szCs w:val="21"/>
              </w:rPr>
            </w:pPr>
            <w:r>
              <w:rPr>
                <w:rFonts w:hint="eastAsia" w:ascii="宋体" w:hAnsi="宋体" w:cs="宋体"/>
                <w:kern w:val="0"/>
                <w:szCs w:val="21"/>
              </w:rPr>
              <w:t>投标人自2020年1月以来有同类项目业绩得</w:t>
            </w:r>
            <w:r>
              <w:rPr>
                <w:rFonts w:hint="eastAsia" w:ascii="宋体" w:hAnsi="宋体" w:cs="宋体"/>
                <w:kern w:val="0"/>
                <w:szCs w:val="21"/>
                <w:lang w:val="en-US" w:eastAsia="zh-CN"/>
              </w:rPr>
              <w:t>1</w:t>
            </w:r>
            <w:r>
              <w:rPr>
                <w:rFonts w:hint="eastAsia" w:ascii="宋体" w:hAnsi="宋体" w:cs="宋体"/>
                <w:kern w:val="0"/>
                <w:szCs w:val="21"/>
              </w:rPr>
              <w:t>分。（须提供合同扫描件）</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2280F9D7">
            <w:pPr>
              <w:spacing w:line="44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r>
    </w:tbl>
    <w:p w14:paraId="495DDE94">
      <w:pPr>
        <w:bidi w:val="0"/>
        <w:rPr>
          <w:rFonts w:hint="eastAsia"/>
        </w:rPr>
      </w:pPr>
    </w:p>
    <w:p w14:paraId="3FE1B6B0">
      <w:pPr>
        <w:spacing w:line="450" w:lineRule="exact"/>
        <w:jc w:val="left"/>
        <w:rPr>
          <w:rFonts w:hint="eastAsia" w:ascii="宋体" w:hAnsi="宋体" w:cs="宋体"/>
          <w:b/>
          <w:color w:val="auto"/>
          <w:kern w:val="0"/>
          <w:sz w:val="24"/>
          <w:highlight w:val="none"/>
        </w:rPr>
      </w:pPr>
      <w:r>
        <w:rPr>
          <w:rFonts w:hint="eastAsia" w:ascii="宋体" w:hAnsi="宋体" w:cs="宋体"/>
          <w:b/>
          <w:bCs/>
          <w:color w:val="auto"/>
          <w:sz w:val="24"/>
          <w:highlight w:val="none"/>
        </w:rPr>
        <w:t>注：1.如发现标书中有</w:t>
      </w:r>
      <w:r>
        <w:rPr>
          <w:rFonts w:hint="eastAsia" w:ascii="宋体" w:hAnsi="宋体" w:cs="宋体"/>
          <w:b/>
          <w:color w:val="auto"/>
          <w:kern w:val="0"/>
          <w:sz w:val="24"/>
          <w:highlight w:val="none"/>
        </w:rPr>
        <w:t>虚假响应的，一经采购单位查实，将上报给县政府采购监管部门，建议取消其采购资格。</w:t>
      </w:r>
    </w:p>
    <w:p w14:paraId="49D72E5B">
      <w:pPr>
        <w:spacing w:line="450" w:lineRule="exact"/>
        <w:ind w:firstLine="482" w:firstLineChars="200"/>
        <w:jc w:val="left"/>
        <w:rPr>
          <w:rFonts w:hint="eastAsia"/>
          <w:color w:val="auto"/>
          <w:highlight w:val="none"/>
        </w:rPr>
      </w:pPr>
      <w:r>
        <w:rPr>
          <w:rFonts w:hint="eastAsia" w:ascii="宋体" w:hAnsi="宋体" w:cs="宋体"/>
          <w:b/>
          <w:bCs/>
          <w:color w:val="auto"/>
          <w:sz w:val="24"/>
          <w:highlight w:val="none"/>
        </w:rPr>
        <w:t xml:space="preserve">2.以上评分涉及到证书、证件的均需编入技术商务标中，并加盖单位CA章，并提供彩色扫描件（原文件黑白的除外），否则不得分。 </w:t>
      </w:r>
    </w:p>
    <w:p w14:paraId="2BDC2D7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二、投标报价拆封</w:t>
      </w:r>
    </w:p>
    <w:p w14:paraId="716C0BF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有效投标人确定后，将对有效投标人投标报价进行启封，进入价格评分，报价得分最高</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分。报价超过最高限价的投标无效。投标文件中投标报价不明确的投标无效。</w:t>
      </w:r>
    </w:p>
    <w:p w14:paraId="4EFA57C8">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三、报价部分（</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分）</w:t>
      </w:r>
    </w:p>
    <w:p w14:paraId="3919D3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1.评定评审基准价：对有效投标人的最低报价作为评标基准价，其报价为满分。</w:t>
      </w:r>
    </w:p>
    <w:p w14:paraId="1BD9B00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2.报价得分=（评标基准价/投标报价）×</w:t>
      </w:r>
      <w:r>
        <w:rPr>
          <w:rFonts w:hint="eastAsia" w:ascii="宋体" w:hAnsi="宋体" w:cs="宋体"/>
          <w:color w:val="auto"/>
          <w:sz w:val="24"/>
          <w:highlight w:val="none"/>
          <w:lang w:val="en-US" w:eastAsia="zh-CN"/>
        </w:rPr>
        <w:t>30</w:t>
      </w:r>
    </w:p>
    <w:p w14:paraId="19FD756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计算报价得分保留小数2位。</w:t>
      </w:r>
    </w:p>
    <w:p w14:paraId="2E93424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14:paraId="7CA7B1A4">
      <w:pPr>
        <w:pStyle w:val="107"/>
        <w:keepNext w:val="0"/>
        <w:keepLines w:val="0"/>
        <w:pageBreakBefore w:val="0"/>
        <w:kinsoku/>
        <w:wordWrap/>
        <w:overflowPunct/>
        <w:topLinePunct w:val="0"/>
        <w:autoSpaceDE/>
        <w:autoSpaceDN/>
        <w:bidi w:val="0"/>
        <w:adjustRightInd/>
        <w:spacing w:line="360" w:lineRule="auto"/>
        <w:ind w:left="0" w:firstLine="480" w:firstLineChars="200"/>
        <w:textAlignment w:val="auto"/>
        <w:rPr>
          <w:color w:val="auto"/>
          <w:highlight w:val="none"/>
        </w:rPr>
      </w:pPr>
      <w:r>
        <w:rPr>
          <w:rFonts w:hint="eastAsia" w:ascii="宋体" w:hAnsi="宋体" w:cs="宋体"/>
          <w:color w:val="auto"/>
          <w:kern w:val="2"/>
          <w:sz w:val="24"/>
          <w:szCs w:val="24"/>
          <w:highlight w:val="none"/>
        </w:rPr>
        <w:t>4.报价评审优惠按文件相关规定执行。</w:t>
      </w:r>
    </w:p>
    <w:p w14:paraId="6D8AFA5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四、计算总分（满分为100分）</w:t>
      </w:r>
    </w:p>
    <w:p w14:paraId="691806DF">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计算方法：总分 = 技术商务得分+报价得分</w:t>
      </w:r>
    </w:p>
    <w:p w14:paraId="531B9A1C">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五、授予合同</w:t>
      </w:r>
    </w:p>
    <w:p w14:paraId="60DDCB9B">
      <w:pPr>
        <w:spacing w:line="450" w:lineRule="exact"/>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（一）中标结果公示、中标通知书</w:t>
      </w:r>
    </w:p>
    <w:p w14:paraId="0C9C0A5A">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14:paraId="2E7D97D3">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2.《中标通知书》一经发出即发生法律效力，采购人改变中标结果或中标人放弃中标项目的，应当依法承担法律责任。</w:t>
      </w:r>
    </w:p>
    <w:p w14:paraId="5E23876D">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3.《中标通知书》将作为签订合同的依据。</w:t>
      </w:r>
    </w:p>
    <w:p w14:paraId="74E73F7B">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4.发布评标结果公示的媒体为：浙江省政府采购网</w:t>
      </w:r>
    </w:p>
    <w:p w14:paraId="15D49456">
      <w:pPr>
        <w:spacing w:line="450" w:lineRule="exact"/>
        <w:ind w:left="-141" w:leftChars="-67"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（二）签订合同</w:t>
      </w:r>
    </w:p>
    <w:p w14:paraId="3E8E6056">
      <w:pPr>
        <w:spacing w:line="450" w:lineRule="exact"/>
        <w:ind w:firstLine="458" w:firstLineChars="191"/>
        <w:rPr>
          <w:rFonts w:hint="eastAsia" w:ascii="宋体" w:hAnsi="宋体" w:cs="宋体"/>
          <w:color w:val="auto"/>
          <w:sz w:val="24"/>
          <w:highlight w:val="none"/>
        </w:rPr>
      </w:pPr>
      <w:r>
        <w:rPr>
          <w:rFonts w:hint="eastAsia" w:ascii="宋体" w:hAnsi="宋体" w:cs="宋体"/>
          <w:color w:val="auto"/>
          <w:sz w:val="24"/>
          <w:highlight w:val="none"/>
        </w:rPr>
        <w:t>1.中标人自接到《中标通知书》后应在规定的时间内，按指定的地点与采购人签订合同。</w:t>
      </w:r>
    </w:p>
    <w:p w14:paraId="1F88040C">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2.招标文件、中标人的投标文件、评标过程中投标人在询标时作出的承诺及其澄清文件、中标通知书等，均为合同的组成部分。</w:t>
      </w:r>
    </w:p>
    <w:p w14:paraId="5C2EE46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不遵守招标文件和投标文件的要约及承诺、擅自修改报价，或在接到《中标通知书》后20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14:paraId="3A847871">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4.采购人和采购代理机构对评标结果不负责解释。</w:t>
      </w:r>
    </w:p>
    <w:p w14:paraId="54A329A2">
      <w:pPr>
        <w:snapToGrid w:val="0"/>
        <w:spacing w:before="50" w:after="50" w:line="276" w:lineRule="auto"/>
        <w:rPr>
          <w:rFonts w:ascii="宋体" w:hAnsi="宋体"/>
          <w:b/>
          <w:color w:val="auto"/>
          <w:sz w:val="24"/>
          <w:highlight w:val="none"/>
        </w:rPr>
      </w:pPr>
    </w:p>
    <w:p w14:paraId="69ED069D">
      <w:pPr>
        <w:pStyle w:val="3"/>
        <w:spacing w:line="360" w:lineRule="auto"/>
        <w:jc w:val="center"/>
        <w:rPr>
          <w:rFonts w:hint="eastAsia" w:ascii="黑体" w:hAnsi="宋体" w:eastAsia="黑体"/>
          <w:bCs w:val="0"/>
          <w:color w:val="auto"/>
          <w:sz w:val="30"/>
          <w:szCs w:val="30"/>
          <w:highlight w:val="none"/>
        </w:rPr>
      </w:pPr>
      <w:r>
        <w:rPr>
          <w:rFonts w:hint="eastAsia" w:ascii="黑体" w:hAnsi="宋体" w:eastAsia="黑体"/>
          <w:color w:val="auto"/>
          <w:sz w:val="30"/>
          <w:szCs w:val="30"/>
          <w:highlight w:val="none"/>
        </w:rPr>
        <w:br w:type="page"/>
      </w:r>
      <w:bookmarkStart w:id="317" w:name="_Toc6920"/>
      <w:bookmarkStart w:id="318" w:name="_Toc22538"/>
      <w:bookmarkStart w:id="319" w:name="_Toc32161"/>
      <w:bookmarkStart w:id="320" w:name="_Toc19627"/>
      <w:bookmarkStart w:id="321" w:name="_Toc8707"/>
      <w:bookmarkStart w:id="322" w:name="_Toc23240"/>
      <w:bookmarkStart w:id="323" w:name="_Toc19042"/>
      <w:bookmarkStart w:id="324" w:name="_Toc14958"/>
      <w:bookmarkStart w:id="325" w:name="_Toc7205"/>
      <w:bookmarkStart w:id="326" w:name="_Toc10104"/>
      <w:bookmarkStart w:id="327" w:name="_Toc30214"/>
      <w:bookmarkStart w:id="328" w:name="_Toc19256"/>
      <w:bookmarkStart w:id="329" w:name="_Toc18751"/>
      <w:bookmarkStart w:id="330" w:name="_Toc32133"/>
      <w:bookmarkStart w:id="331" w:name="_Toc9019"/>
      <w:bookmarkStart w:id="332" w:name="_Toc31404"/>
      <w:bookmarkStart w:id="333" w:name="_Toc25439"/>
      <w:bookmarkStart w:id="334" w:name="_Toc5751"/>
      <w:r>
        <w:rPr>
          <w:rFonts w:hint="eastAsia"/>
          <w:color w:val="auto"/>
          <w:highlight w:val="none"/>
        </w:rPr>
        <w:t>第五章  政府采购政策相关说明</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3E17522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eastAsia="黑体"/>
          <w:b/>
          <w:bCs/>
          <w:color w:val="auto"/>
          <w:sz w:val="28"/>
          <w:szCs w:val="28"/>
          <w:highlight w:val="none"/>
        </w:rPr>
      </w:pPr>
      <w:bookmarkStart w:id="335" w:name="_Toc17234"/>
      <w:bookmarkStart w:id="336" w:name="_Toc30418"/>
      <w:bookmarkStart w:id="337" w:name="_Toc9215"/>
      <w:bookmarkStart w:id="338" w:name="_Toc23523"/>
      <w:bookmarkStart w:id="339" w:name="_Toc20757"/>
      <w:bookmarkStart w:id="340" w:name="_Toc19921"/>
      <w:bookmarkStart w:id="341" w:name="_Toc25133"/>
      <w:bookmarkStart w:id="342" w:name="_Toc13627"/>
      <w:bookmarkStart w:id="343" w:name="_Toc5036"/>
      <w:r>
        <w:rPr>
          <w:rFonts w:hint="eastAsia" w:ascii="黑体" w:eastAsia="黑体"/>
          <w:b/>
          <w:bCs/>
          <w:color w:val="auto"/>
          <w:sz w:val="28"/>
          <w:szCs w:val="28"/>
          <w:highlight w:val="none"/>
        </w:rPr>
        <w:t>一、政策优惠说明</w:t>
      </w:r>
      <w:bookmarkEnd w:id="335"/>
      <w:bookmarkEnd w:id="336"/>
      <w:bookmarkEnd w:id="337"/>
      <w:bookmarkEnd w:id="338"/>
      <w:bookmarkEnd w:id="339"/>
      <w:bookmarkEnd w:id="340"/>
    </w:p>
    <w:p w14:paraId="73D241B9">
      <w:pPr>
        <w:widowControl/>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财库（</w:t>
      </w:r>
      <w:r>
        <w:rPr>
          <w:rFonts w:hint="eastAsia" w:ascii="宋体" w:hAnsi="宋体" w:cs="宋体"/>
          <w:color w:val="auto"/>
          <w:sz w:val="24"/>
          <w:highlight w:val="none"/>
          <w:lang w:val="en-US" w:eastAsia="zh-CN"/>
        </w:rPr>
        <w:t>2020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46号、财库（2022）19号、</w:t>
      </w:r>
      <w:r>
        <w:rPr>
          <w:rFonts w:hint="eastAsia" w:ascii="宋体" w:hAnsi="宋体" w:cs="宋体"/>
          <w:color w:val="auto"/>
          <w:sz w:val="24"/>
          <w:highlight w:val="none"/>
        </w:rPr>
        <w:t>浙财采监（2022）3号</w:t>
      </w:r>
      <w:r>
        <w:rPr>
          <w:rFonts w:hint="eastAsia" w:ascii="宋体" w:hAnsi="宋体" w:cs="宋体"/>
          <w:color w:val="auto"/>
          <w:sz w:val="24"/>
          <w:highlight w:val="none"/>
          <w:lang w:eastAsia="zh-CN"/>
        </w:rPr>
        <w:t>和</w:t>
      </w:r>
      <w:r>
        <w:rPr>
          <w:rFonts w:hint="eastAsia" w:ascii="宋体" w:hAnsi="宋体" w:cs="宋体"/>
          <w:color w:val="auto"/>
          <w:sz w:val="24"/>
          <w:highlight w:val="none"/>
        </w:rPr>
        <w:t>浙财采监（2022）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号</w:t>
      </w:r>
      <w:r>
        <w:rPr>
          <w:rFonts w:hint="eastAsia" w:ascii="宋体" w:hAnsi="宋体" w:cs="宋体"/>
          <w:color w:val="auto"/>
          <w:sz w:val="24"/>
          <w:highlight w:val="none"/>
          <w:lang w:eastAsia="zh-CN"/>
        </w:rPr>
        <w:t>等</w:t>
      </w:r>
      <w:r>
        <w:rPr>
          <w:rFonts w:hint="eastAsia" w:ascii="宋体" w:hAnsi="宋体" w:cs="宋体"/>
          <w:color w:val="auto"/>
          <w:sz w:val="24"/>
          <w:highlight w:val="none"/>
        </w:rPr>
        <w:t>相关规定，未预留份额专门面向中小企业采购的采购项目，以及预留份额项目中的非预留部分标段，在评审时享受规定的中小企业扶持政策</w:t>
      </w:r>
      <w:r>
        <w:rPr>
          <w:rFonts w:hint="eastAsia" w:ascii="宋体" w:hAnsi="宋体" w:cs="宋体"/>
          <w:color w:val="auto"/>
          <w:sz w:val="24"/>
          <w:highlight w:val="none"/>
          <w:lang w:eastAsia="zh-CN"/>
        </w:rPr>
        <w:t>。</w:t>
      </w:r>
    </w:p>
    <w:p w14:paraId="448D6DD2">
      <w:pPr>
        <w:widowControl/>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货物、服务采购项目，</w:t>
      </w:r>
      <w:r>
        <w:rPr>
          <w:rFonts w:hint="eastAsia" w:ascii="宋体" w:hAnsi="宋体" w:cs="宋体"/>
          <w:color w:val="auto"/>
          <w:sz w:val="24"/>
          <w:highlight w:val="none"/>
          <w:lang w:eastAsia="zh-CN"/>
        </w:rPr>
        <w:t>对小微企业报价给予</w:t>
      </w:r>
      <w:r>
        <w:rPr>
          <w:rFonts w:hint="eastAsia" w:ascii="宋体" w:hAnsi="宋体" w:cs="宋体"/>
          <w:b/>
          <w:bCs/>
          <w:color w:val="auto"/>
          <w:sz w:val="24"/>
          <w:highlight w:val="none"/>
          <w:lang w:val="en-US" w:eastAsia="zh-CN"/>
        </w:rPr>
        <w:t xml:space="preserve">10% </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cs="宋体"/>
          <w:b/>
          <w:bCs/>
          <w:color w:val="auto"/>
          <w:sz w:val="24"/>
          <w:highlight w:val="none"/>
          <w:lang w:eastAsia="zh-CN"/>
        </w:rPr>
        <w:t>4%</w:t>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lang w:eastAsia="zh-CN"/>
        </w:rPr>
        <w:t>的扣除，用扣除后的价格参加评审。</w:t>
      </w:r>
    </w:p>
    <w:p w14:paraId="54A1E7BD">
      <w:pPr>
        <w:widowControl/>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政府采购工程项目，</w:t>
      </w:r>
      <w:r>
        <w:rPr>
          <w:rFonts w:hint="eastAsia" w:ascii="宋体" w:hAnsi="宋体" w:cs="宋体"/>
          <w:color w:val="auto"/>
          <w:sz w:val="24"/>
          <w:highlight w:val="none"/>
          <w:lang w:eastAsia="zh-CN"/>
        </w:rPr>
        <w:t>对小微企业报价给予</w:t>
      </w:r>
      <w:r>
        <w:rPr>
          <w:rFonts w:hint="eastAsia" w:ascii="宋体" w:hAnsi="宋体" w:eastAsia="宋体" w:cs="宋体"/>
          <w:b/>
          <w:bCs/>
          <w:color w:val="auto"/>
          <w:sz w:val="24"/>
          <w:highlight w:val="none"/>
          <w:lang w:val="en-US" w:eastAsia="zh-CN"/>
        </w:rPr>
        <w:t xml:space="preserve">3% </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 xml:space="preserve"> </w:t>
      </w:r>
      <w:r>
        <w:rPr>
          <w:rFonts w:hint="eastAsia" w:ascii="宋体" w:hAnsi="宋体" w:cs="宋体"/>
          <w:color w:val="auto"/>
          <w:sz w:val="24"/>
          <w:highlight w:val="none"/>
          <w:lang w:eastAsia="zh-CN"/>
        </w:rPr>
        <w:t>的扣除，用扣除后的价格参加评审。</w:t>
      </w:r>
    </w:p>
    <w:p w14:paraId="10ADFED0">
      <w:pPr>
        <w:widowControl/>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取扣除后的价格作为评审投标报价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此评审投标报价仅在评标时使用。</w:t>
      </w:r>
      <w:r>
        <w:rPr>
          <w:rFonts w:hint="eastAsia" w:ascii="宋体" w:hAnsi="宋体" w:cs="宋体"/>
          <w:color w:val="auto"/>
          <w:sz w:val="24"/>
          <w:highlight w:val="none"/>
        </w:rPr>
        <w:t>享受相关中小企业扶持政策的投标人，必须在投标文件中提供《中小企业声明函》。</w:t>
      </w:r>
    </w:p>
    <w:p w14:paraId="72FCF741">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44" w:name="_Toc28014"/>
      <w:bookmarkStart w:id="345" w:name="_Toc2987"/>
      <w:bookmarkStart w:id="346" w:name="_Toc3542"/>
      <w:bookmarkStart w:id="347" w:name="_Toc6325"/>
      <w:bookmarkStart w:id="348" w:name="_Toc27858"/>
      <w:bookmarkStart w:id="349" w:name="_Toc28349"/>
      <w:r>
        <w:rPr>
          <w:rFonts w:hint="eastAsia" w:ascii="黑体" w:hAnsi="Times New Roman" w:eastAsia="黑体" w:cs="Times New Roman"/>
          <w:b/>
          <w:bCs/>
          <w:color w:val="auto"/>
          <w:sz w:val="28"/>
          <w:szCs w:val="28"/>
          <w:highlight w:val="none"/>
        </w:rPr>
        <w:t>二、享受小微企业价格折扣应具备的条件</w:t>
      </w:r>
      <w:bookmarkEnd w:id="344"/>
      <w:bookmarkEnd w:id="345"/>
      <w:bookmarkEnd w:id="346"/>
      <w:bookmarkEnd w:id="347"/>
      <w:bookmarkEnd w:id="348"/>
      <w:bookmarkEnd w:id="349"/>
    </w:p>
    <w:p w14:paraId="660303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《政府采购促进中小企业发展管理办法》第四条　在政府采购活动中，供应商提供的货物、工程或者服务符合下列情形的，享受本办法规定的中小企业扶持政策：</w:t>
      </w:r>
    </w:p>
    <w:p w14:paraId="0B108F0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39804F2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16C9140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（三）在服务采购项目中，服务由中小企业承接，即提供服务的人员为中小企业依照《中华人民共和国劳动合同法》订立劳动合同的从业人员。</w:t>
      </w:r>
    </w:p>
    <w:p w14:paraId="5729CCD8">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在货物采购项目中，供应商提供的货物既有中小企业制造货物，也有大型企业制造货物的，不享受本办法规定的中小企业扶持政策。</w:t>
      </w:r>
    </w:p>
    <w:p w14:paraId="15E455C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4052BA97">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0" w:name="_Toc27379"/>
      <w:bookmarkStart w:id="351" w:name="_Toc29759"/>
      <w:bookmarkStart w:id="352" w:name="_Toc21917"/>
      <w:bookmarkStart w:id="353" w:name="_Toc31075"/>
      <w:bookmarkStart w:id="354" w:name="_Toc14044"/>
      <w:bookmarkStart w:id="355" w:name="_Toc15434"/>
      <w:r>
        <w:rPr>
          <w:rFonts w:hint="eastAsia" w:ascii="黑体" w:hAnsi="Times New Roman" w:eastAsia="黑体" w:cs="Times New Roman"/>
          <w:b/>
          <w:bCs/>
          <w:color w:val="auto"/>
          <w:sz w:val="28"/>
          <w:szCs w:val="28"/>
          <w:highlight w:val="none"/>
        </w:rPr>
        <w:t>三、采购项目涉及中小企业采购的部分内容</w:t>
      </w:r>
      <w:bookmarkEnd w:id="350"/>
      <w:bookmarkEnd w:id="351"/>
      <w:bookmarkEnd w:id="352"/>
      <w:bookmarkEnd w:id="353"/>
      <w:bookmarkEnd w:id="354"/>
      <w:bookmarkEnd w:id="355"/>
    </w:p>
    <w:p w14:paraId="0B75D03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《政府采购促进中小企业发展管理办法》第十二条  采购项目涉及中小企业采购的，采购文件应当明确以下内容：</w:t>
      </w:r>
    </w:p>
    <w:p w14:paraId="543C0D1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（一）预留份额的采购项目或者采购包，明确该项目或相关采购包专门面向中小企业采购，以及相关标的及预算金额；</w:t>
      </w:r>
    </w:p>
    <w:p w14:paraId="2ECC1D2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（二）要求以联合体形式参加或者合同分包的，明确联合协议或者分包意向协议中中小企业合同金额应当达到的比例，并作为供应商资格条件；</w:t>
      </w:r>
    </w:p>
    <w:p w14:paraId="10F640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（三）非预留份额的采购项目或者采购包，明确有关价格扣除比例或者价格分加分比例； </w:t>
      </w:r>
    </w:p>
    <w:p w14:paraId="1FEC034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（四）规定依据本办法规定享受扶持政策获得政府采购合同的，小微企业不得将合同分包给大中型企业，中型企业不得将合同分包给大型企业；</w:t>
      </w:r>
    </w:p>
    <w:p w14:paraId="2E3A77B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（五）采购人认为具备相关条件的，明确对中小企业在资金支付期限、预付款比例等方面的优惠措施；</w:t>
      </w:r>
    </w:p>
    <w:p w14:paraId="7490C42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（六）明确采购标的对应的中小企业划分标准所属行业；</w:t>
      </w:r>
    </w:p>
    <w:p w14:paraId="77403B5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（七）法律法规和省级以上人民政府财政部门规定的其他事项。</w:t>
      </w:r>
    </w:p>
    <w:p w14:paraId="5B3F6126">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6" w:name="_Toc13243"/>
      <w:bookmarkStart w:id="357" w:name="_Toc16467"/>
      <w:r>
        <w:rPr>
          <w:rFonts w:hint="eastAsia" w:ascii="黑体" w:hAnsi="Times New Roman" w:eastAsia="黑体" w:cs="Times New Roman"/>
          <w:b/>
          <w:bCs/>
          <w:color w:val="auto"/>
          <w:sz w:val="28"/>
          <w:szCs w:val="28"/>
          <w:highlight w:val="none"/>
        </w:rPr>
        <w:t>四、投标供应商享受小微企业价格折扣应提供以下材料</w:t>
      </w:r>
      <w:bookmarkEnd w:id="356"/>
      <w:bookmarkEnd w:id="357"/>
    </w:p>
    <w:p w14:paraId="6A610A4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《中小企业声明函》（加盖投标供应商公章，格式见附件）</w:t>
      </w:r>
      <w:r>
        <w:rPr>
          <w:rFonts w:hint="eastAsia" w:ascii="宋体" w:hAnsi="宋体" w:cs="宋体"/>
          <w:b/>
          <w:bCs/>
          <w:color w:val="auto"/>
          <w:sz w:val="24"/>
          <w:highlight w:val="none"/>
        </w:rPr>
        <w:t>（放在报价文件中，不提供的不享受价格折扣）</w:t>
      </w:r>
    </w:p>
    <w:p w14:paraId="041B75C5">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8" w:name="_Toc21336"/>
      <w:bookmarkStart w:id="359" w:name="_Toc21045"/>
      <w:r>
        <w:rPr>
          <w:rFonts w:hint="eastAsia" w:ascii="黑体" w:hAnsi="Times New Roman" w:eastAsia="黑体" w:cs="Times New Roman"/>
          <w:b/>
          <w:bCs/>
          <w:color w:val="auto"/>
          <w:sz w:val="28"/>
          <w:szCs w:val="28"/>
          <w:highlight w:val="none"/>
        </w:rPr>
        <w:t>五、享受监狱企业价格折扣应提供以下材料</w:t>
      </w:r>
      <w:bookmarkEnd w:id="358"/>
      <w:bookmarkEnd w:id="359"/>
    </w:p>
    <w:p w14:paraId="003D81CC">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监狱企业参加政府采购活动时，应当提供由省级及以上监狱管理局、戒毒管理局(含新疆生产建设兵团）出具的属于监狱企业的文件（扫描件加盖投标供应商公章）。</w:t>
      </w:r>
      <w:r>
        <w:rPr>
          <w:rFonts w:hint="eastAsia" w:ascii="宋体" w:hAnsi="宋体" w:cs="宋体"/>
          <w:b/>
          <w:bCs/>
          <w:color w:val="auto"/>
          <w:sz w:val="24"/>
          <w:highlight w:val="none"/>
        </w:rPr>
        <w:t>（放在报价文件中，不提供的不享受价格折扣）</w:t>
      </w:r>
    </w:p>
    <w:p w14:paraId="345BF6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在政府采购活动中，监狱企业视同小型、微型企业，享受评审中价格扣除政策。</w:t>
      </w:r>
    </w:p>
    <w:p w14:paraId="347A8EB6">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60" w:name="_Toc10187"/>
      <w:bookmarkStart w:id="361" w:name="_Toc17973"/>
      <w:r>
        <w:rPr>
          <w:rFonts w:hint="eastAsia" w:ascii="黑体" w:hAnsi="Times New Roman" w:eastAsia="黑体" w:cs="Times New Roman"/>
          <w:b/>
          <w:bCs/>
          <w:color w:val="auto"/>
          <w:sz w:val="28"/>
          <w:szCs w:val="28"/>
          <w:highlight w:val="none"/>
        </w:rPr>
        <w:t>六、享受残疾人福利性单位价格折扣应提供以下材料</w:t>
      </w:r>
      <w:bookmarkEnd w:id="360"/>
      <w:bookmarkEnd w:id="361"/>
    </w:p>
    <w:p w14:paraId="587FABCD">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残疾人福利性单位声明函（加盖投标供应商公章，格式见附件）</w:t>
      </w:r>
      <w:r>
        <w:rPr>
          <w:rFonts w:hint="eastAsia" w:ascii="宋体" w:hAnsi="宋体" w:cs="宋体"/>
          <w:b/>
          <w:bCs/>
          <w:color w:val="auto"/>
          <w:sz w:val="24"/>
          <w:highlight w:val="none"/>
        </w:rPr>
        <w:t>（放在报价文件中，不提供的不享受价格折扣）</w:t>
      </w:r>
    </w:p>
    <w:p w14:paraId="65F3C2FB">
      <w:pPr>
        <w:widowControl/>
        <w:spacing w:line="360" w:lineRule="auto"/>
        <w:ind w:firstLine="480" w:firstLineChars="200"/>
        <w:jc w:val="left"/>
        <w:rPr>
          <w:rFonts w:hint="eastAsia" w:ascii="黑体" w:hAnsi="宋体" w:eastAsia="黑体"/>
          <w:color w:val="auto"/>
          <w:sz w:val="30"/>
          <w:szCs w:val="30"/>
          <w:highlight w:val="none"/>
        </w:rPr>
      </w:pPr>
      <w:r>
        <w:rPr>
          <w:rFonts w:hint="eastAsia" w:ascii="宋体" w:hAnsi="宋体" w:cs="宋体"/>
          <w:color w:val="auto"/>
          <w:sz w:val="24"/>
          <w:highlight w:val="none"/>
        </w:rPr>
        <w:t>在政府采购活动中，残疾人福利性单位视同小型、微型企业，享受评审中价格扣除政策。</w:t>
      </w:r>
    </w:p>
    <w:p w14:paraId="094576E1">
      <w:pPr>
        <w:snapToGrid w:val="0"/>
        <w:spacing w:before="50" w:after="50"/>
        <w:jc w:val="center"/>
        <w:rPr>
          <w:rFonts w:hint="eastAsia" w:ascii="仿宋" w:hAnsi="仿宋" w:eastAsia="仿宋"/>
          <w:b/>
          <w:color w:val="auto"/>
          <w:sz w:val="36"/>
          <w:szCs w:val="36"/>
          <w:highlight w:val="none"/>
        </w:rPr>
        <w:sectPr>
          <w:headerReference r:id="rId6" w:type="default"/>
          <w:footerReference r:id="rId7" w:type="default"/>
          <w:pgSz w:w="11906" w:h="16838"/>
          <w:pgMar w:top="1440" w:right="1106" w:bottom="1440" w:left="1440" w:header="851" w:footer="992" w:gutter="0"/>
          <w:cols w:space="720" w:num="1"/>
          <w:docGrid w:linePitch="312" w:charSpace="0"/>
        </w:sectPr>
      </w:pPr>
    </w:p>
    <w:p w14:paraId="00053565">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中小企业声明函（货物）</w:t>
      </w:r>
    </w:p>
    <w:p w14:paraId="1DAC2E81">
      <w:pPr>
        <w:snapToGrid w:val="0"/>
        <w:spacing w:line="360" w:lineRule="auto"/>
        <w:rPr>
          <w:rFonts w:ascii="仿宋" w:hAnsi="仿宋" w:eastAsia="仿宋"/>
          <w:color w:val="auto"/>
          <w:sz w:val="28"/>
          <w:szCs w:val="28"/>
          <w:highlight w:val="none"/>
        </w:rPr>
      </w:pPr>
    </w:p>
    <w:p w14:paraId="03107C5D">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（单位名称）</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（项目名称）</w:t>
      </w:r>
      <w:r>
        <w:rPr>
          <w:rFonts w:hint="eastAsia" w:ascii="宋体" w:hAnsi="宋体" w:eastAsia="宋体" w:cs="宋体"/>
          <w:color w:val="auto"/>
          <w:sz w:val="28"/>
          <w:szCs w:val="28"/>
          <w:highlight w:val="none"/>
        </w:rPr>
        <w:t xml:space="preserve">采购活动，提供的货物全部由符合政策要求的中小企业制造。相关企业 （含联合体中的中小企业、签订分包意向协议的中小企业） 的具体情况如下： </w:t>
      </w:r>
    </w:p>
    <w:p w14:paraId="3E28E92D">
      <w:pPr>
        <w:numPr>
          <w:ilvl w:val="0"/>
          <w:numId w:val="2"/>
        </w:num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（采购文件中明确的所属行业） 行业</w:t>
      </w:r>
      <w:r>
        <w:rPr>
          <w:rFonts w:hint="eastAsia" w:ascii="宋体" w:hAnsi="宋体" w:eastAsia="宋体" w:cs="宋体"/>
          <w:color w:val="auto"/>
          <w:sz w:val="28"/>
          <w:szCs w:val="28"/>
          <w:highlight w:val="none"/>
        </w:rPr>
        <w:t>；制造商为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vertAlign w:val="superscript"/>
        </w:rPr>
        <w:t xml:space="preserve"> </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 xml:space="preserve">； </w:t>
      </w:r>
    </w:p>
    <w:p w14:paraId="3D09615E">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 xml:space="preserve"> ，属于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（采购文件中明确的所属行业） </w:t>
      </w:r>
      <w:r>
        <w:rPr>
          <w:rFonts w:hint="eastAsia" w:ascii="宋体" w:hAnsi="宋体" w:eastAsia="宋体" w:cs="宋体"/>
          <w:color w:val="auto"/>
          <w:sz w:val="28"/>
          <w:szCs w:val="28"/>
          <w:highlight w:val="none"/>
        </w:rPr>
        <w:t>行业；制造商为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w:t>
      </w:r>
    </w:p>
    <w:p w14:paraId="6F0E6645">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822149A">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以上企业，不属于大企业的分支机构，不存在控股股东为大企业的情形，也不存在与大企业的负责人为同一人的情形。 </w:t>
      </w:r>
    </w:p>
    <w:p w14:paraId="37449598">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本企业对上述声明内容的真实性负责。如有虚假，将依法承担相应责任。</w:t>
      </w:r>
    </w:p>
    <w:p w14:paraId="00DF3893">
      <w:pPr>
        <w:snapToGrid w:val="0"/>
        <w:spacing w:line="360" w:lineRule="auto"/>
        <w:ind w:left="3640" w:firstLine="560" w:firstLineChars="200"/>
        <w:jc w:val="left"/>
        <w:rPr>
          <w:rFonts w:hint="eastAsia" w:ascii="宋体" w:hAnsi="宋体" w:eastAsia="宋体" w:cs="宋体"/>
          <w:color w:val="auto"/>
          <w:sz w:val="28"/>
          <w:szCs w:val="28"/>
          <w:highlight w:val="none"/>
        </w:rPr>
      </w:pPr>
    </w:p>
    <w:p w14:paraId="4B557C22">
      <w:pPr>
        <w:pStyle w:val="3"/>
        <w:rPr>
          <w:rFonts w:hint="eastAsia" w:ascii="宋体" w:hAnsi="宋体" w:eastAsia="宋体" w:cs="宋体"/>
          <w:color w:val="auto"/>
          <w:sz w:val="28"/>
          <w:szCs w:val="28"/>
          <w:highlight w:val="none"/>
        </w:rPr>
      </w:pPr>
      <w:r>
        <w:rPr>
          <w:rFonts w:hint="eastAsia" w:ascii="宋体" w:hAnsi="宋体" w:cs="宋体"/>
          <w:bCs w:val="0"/>
          <w:color w:val="auto"/>
          <w:sz w:val="24"/>
          <w:highlight w:val="none"/>
          <w:lang w:eastAsia="zh-CN"/>
        </w:rPr>
        <w:t>注：中小企业声明函随结果公告一同公示</w:t>
      </w:r>
    </w:p>
    <w:p w14:paraId="4F3C7240">
      <w:pPr>
        <w:widowControl/>
        <w:adjustRightInd w:val="0"/>
        <w:spacing w:line="480" w:lineRule="exact"/>
        <w:ind w:firstLine="560" w:firstLineChars="200"/>
        <w:jc w:val="center"/>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lang w:val="en-US" w:eastAsia="zh-CN"/>
        </w:rPr>
        <w:t>企业名称（盖章）</w:t>
      </w:r>
      <w:r>
        <w:rPr>
          <w:rFonts w:hint="eastAsia" w:ascii="宋体" w:hAnsi="宋体" w:eastAsia="宋体" w:cs="Times New Roman"/>
          <w:color w:val="auto"/>
          <w:sz w:val="28"/>
          <w:szCs w:val="28"/>
          <w:highlight w:val="none"/>
          <w:lang w:eastAsia="zh-CN"/>
        </w:rPr>
        <w:t>：</w:t>
      </w:r>
    </w:p>
    <w:p w14:paraId="125F3587">
      <w:pPr>
        <w:widowControl/>
        <w:adjustRightInd w:val="0"/>
        <w:spacing w:line="480" w:lineRule="exact"/>
        <w:ind w:firstLine="560" w:firstLineChars="20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日  期：</w:t>
      </w:r>
    </w:p>
    <w:p w14:paraId="3AE00FB1">
      <w:pPr>
        <w:jc w:val="center"/>
        <w:rPr>
          <w:rFonts w:hint="eastAsia"/>
          <w:color w:val="auto"/>
          <w:sz w:val="28"/>
          <w:szCs w:val="28"/>
          <w:highlight w:val="none"/>
        </w:rPr>
      </w:pPr>
    </w:p>
    <w:p w14:paraId="1510CB31">
      <w:pPr>
        <w:jc w:val="center"/>
        <w:rPr>
          <w:rFonts w:hint="eastAsia"/>
          <w:color w:val="auto"/>
          <w:sz w:val="28"/>
          <w:szCs w:val="28"/>
          <w:highlight w:val="none"/>
        </w:rPr>
      </w:pPr>
    </w:p>
    <w:p w14:paraId="4111ADE7">
      <w:pPr>
        <w:jc w:val="center"/>
        <w:rPr>
          <w:rFonts w:hint="eastAsia"/>
          <w:color w:val="auto"/>
          <w:sz w:val="28"/>
          <w:szCs w:val="28"/>
          <w:highlight w:val="none"/>
        </w:rPr>
      </w:pPr>
    </w:p>
    <w:p w14:paraId="1420022F">
      <w:pPr>
        <w:jc w:val="center"/>
        <w:rPr>
          <w:rFonts w:hint="eastAsia"/>
          <w:color w:val="auto"/>
          <w:sz w:val="28"/>
          <w:szCs w:val="28"/>
          <w:highlight w:val="none"/>
        </w:rPr>
      </w:pPr>
    </w:p>
    <w:p w14:paraId="10C580C0">
      <w:pPr>
        <w:jc w:val="center"/>
        <w:rPr>
          <w:rFonts w:hint="eastAsia"/>
          <w:color w:val="auto"/>
          <w:sz w:val="28"/>
          <w:szCs w:val="28"/>
          <w:highlight w:val="none"/>
        </w:rPr>
      </w:pPr>
    </w:p>
    <w:p w14:paraId="407A4E15">
      <w:pPr>
        <w:jc w:val="center"/>
        <w:rPr>
          <w:rFonts w:hint="eastAsia"/>
          <w:color w:val="auto"/>
          <w:sz w:val="28"/>
          <w:szCs w:val="28"/>
          <w:highlight w:val="none"/>
        </w:rPr>
        <w:sectPr>
          <w:pgSz w:w="11906" w:h="16838"/>
          <w:pgMar w:top="1440" w:right="1106" w:bottom="1440" w:left="1440" w:header="851" w:footer="992" w:gutter="0"/>
          <w:cols w:space="720" w:num="1"/>
          <w:docGrid w:linePitch="312" w:charSpace="0"/>
        </w:sectPr>
      </w:pPr>
    </w:p>
    <w:p w14:paraId="6761A941">
      <w:pPr>
        <w:snapToGrid w:val="0"/>
        <w:spacing w:before="50" w:after="50"/>
        <w:jc w:val="center"/>
        <w:rPr>
          <w:rFonts w:hint="eastAsia"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中小企业声明函（工程、服务）</w:t>
      </w:r>
    </w:p>
    <w:p w14:paraId="35919761">
      <w:pPr>
        <w:widowControl/>
        <w:adjustRightInd w:val="0"/>
        <w:spacing w:line="360" w:lineRule="auto"/>
        <w:rPr>
          <w:rFonts w:ascii="宋体" w:hAnsi="宋体" w:cs="宋体"/>
          <w:bCs/>
          <w:color w:val="auto"/>
          <w:highlight w:val="none"/>
        </w:rPr>
      </w:pPr>
    </w:p>
    <w:p w14:paraId="756EA77E">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本公司（联合体）郑重声明，根据《政府采购促进中小企业发展管理办法》（财库﹝2020﹞46号）的规定，本公司（联合体）参加</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（单位名称）</w:t>
      </w:r>
      <w:r>
        <w:rPr>
          <w:rFonts w:hint="eastAsia" w:ascii="宋体" w:hAnsi="宋体" w:cs="宋体"/>
          <w:bCs/>
          <w:color w:val="auto"/>
          <w:sz w:val="28"/>
          <w:szCs w:val="28"/>
          <w:highlight w:val="none"/>
        </w:rPr>
        <w:t>的</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（项目名称）</w:t>
      </w:r>
      <w:r>
        <w:rPr>
          <w:rFonts w:hint="eastAsia" w:ascii="宋体" w:hAnsi="宋体" w:cs="宋体"/>
          <w:bCs/>
          <w:color w:val="auto"/>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7B97A3">
      <w:pPr>
        <w:widowControl/>
        <w:numPr>
          <w:ilvl w:val="0"/>
          <w:numId w:val="3"/>
        </w:numPr>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（标的名称）</w:t>
      </w:r>
      <w:r>
        <w:rPr>
          <w:rFonts w:hint="eastAsia" w:ascii="宋体" w:hAnsi="宋体" w:cs="宋体"/>
          <w:bCs/>
          <w:color w:val="auto"/>
          <w:sz w:val="28"/>
          <w:szCs w:val="28"/>
          <w:highlight w:val="none"/>
        </w:rPr>
        <w:t>，属于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rPr>
        <w:t>；承建（承接）企业为</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（企业名称）</w:t>
      </w:r>
      <w:r>
        <w:rPr>
          <w:rFonts w:hint="eastAsia" w:ascii="宋体" w:hAnsi="宋体" w:cs="宋体"/>
          <w:bCs/>
          <w:color w:val="auto"/>
          <w:sz w:val="28"/>
          <w:szCs w:val="28"/>
          <w:highlight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（中型企业、小型企业、微型企业</w:t>
      </w:r>
      <w:r>
        <w:rPr>
          <w:rFonts w:hint="eastAsia" w:ascii="宋体" w:hAnsi="宋体" w:cs="宋体"/>
          <w:bCs/>
          <w:color w:val="auto"/>
          <w:sz w:val="28"/>
          <w:szCs w:val="28"/>
          <w:highlight w:val="none"/>
        </w:rPr>
        <w:t>）；</w:t>
      </w:r>
    </w:p>
    <w:p w14:paraId="55C0CAF0">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w:t>
      </w:r>
      <w:r>
        <w:rPr>
          <w:rFonts w:hint="eastAsia" w:ascii="宋体" w:hAnsi="宋体" w:cs="宋体"/>
          <w:bCs/>
          <w:color w:val="auto"/>
          <w:sz w:val="28"/>
          <w:szCs w:val="28"/>
          <w:highlight w:val="none"/>
          <w:u w:val="none"/>
        </w:rPr>
        <w:t xml:space="preserve"> </w:t>
      </w:r>
      <w:r>
        <w:rPr>
          <w:rFonts w:hint="eastAsia" w:ascii="宋体" w:hAnsi="宋体" w:cs="宋体"/>
          <w:bCs/>
          <w:color w:val="auto"/>
          <w:sz w:val="28"/>
          <w:szCs w:val="28"/>
          <w:highlight w:val="none"/>
          <w:u w:val="single"/>
        </w:rPr>
        <w:t xml:space="preserve">      （标的名称）</w:t>
      </w:r>
      <w:r>
        <w:rPr>
          <w:rFonts w:hint="eastAsia" w:ascii="宋体" w:hAnsi="宋体" w:cs="宋体"/>
          <w:bCs/>
          <w:color w:val="auto"/>
          <w:sz w:val="28"/>
          <w:szCs w:val="28"/>
          <w:highlight w:val="none"/>
          <w:u w:val="none"/>
        </w:rPr>
        <w:t>，属于</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u w:val="none"/>
        </w:rPr>
        <w:t>；承建（承接）企业为</w:t>
      </w:r>
      <w:r>
        <w:rPr>
          <w:rFonts w:hint="eastAsia" w:ascii="宋体" w:hAnsi="宋体" w:cs="宋体"/>
          <w:bCs/>
          <w:color w:val="auto"/>
          <w:sz w:val="28"/>
          <w:szCs w:val="28"/>
          <w:highlight w:val="none"/>
          <w:u w:val="single"/>
        </w:rPr>
        <w:t xml:space="preserve">      （企业名称）</w:t>
      </w:r>
      <w:r>
        <w:rPr>
          <w:rFonts w:hint="eastAsia" w:ascii="宋体" w:hAnsi="宋体" w:cs="宋体"/>
          <w:bCs/>
          <w:color w:val="auto"/>
          <w:sz w:val="28"/>
          <w:szCs w:val="28"/>
          <w:highlight w:val="none"/>
          <w:u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万元，属于</w:t>
      </w:r>
      <w:r>
        <w:rPr>
          <w:rFonts w:hint="eastAsia" w:ascii="宋体" w:hAnsi="宋体" w:cs="宋体"/>
          <w:bCs/>
          <w:color w:val="auto"/>
          <w:sz w:val="28"/>
          <w:szCs w:val="28"/>
          <w:highlight w:val="none"/>
          <w:u w:val="single"/>
        </w:rPr>
        <w:t xml:space="preserve">        （中型企业、小型企业、微型企业）</w:t>
      </w:r>
      <w:r>
        <w:rPr>
          <w:rFonts w:hint="eastAsia" w:ascii="宋体" w:hAnsi="宋体" w:cs="宋体"/>
          <w:bCs/>
          <w:color w:val="auto"/>
          <w:sz w:val="28"/>
          <w:szCs w:val="28"/>
          <w:highlight w:val="none"/>
          <w:u w:val="none"/>
        </w:rPr>
        <w:t>；</w:t>
      </w:r>
    </w:p>
    <w:p w14:paraId="30EFEB3B">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w:t>
      </w:r>
    </w:p>
    <w:p w14:paraId="35753DF5">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以上企业，不属于大企业的分支机构，不存在控股股东为大企业的情形，也不存在与大企业的负责人为同一人的情形。</w:t>
      </w:r>
    </w:p>
    <w:p w14:paraId="2C8BE9E5">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本企业对上述声明内容的真实性负责。如有虚假，将依法承担相应责任。</w:t>
      </w:r>
    </w:p>
    <w:p w14:paraId="65AEEDC5">
      <w:pPr>
        <w:pStyle w:val="3"/>
        <w:rPr>
          <w:rFonts w:hint="eastAsia" w:ascii="宋体" w:hAnsi="宋体" w:cs="宋体"/>
          <w:bCs w:val="0"/>
          <w:color w:val="auto"/>
          <w:sz w:val="24"/>
          <w:highlight w:val="none"/>
          <w:lang w:eastAsia="zh-CN"/>
        </w:rPr>
      </w:pPr>
    </w:p>
    <w:p w14:paraId="76B8F8FB">
      <w:pPr>
        <w:pStyle w:val="3"/>
        <w:rPr>
          <w:rFonts w:hint="eastAsia" w:eastAsia="宋体"/>
          <w:color w:val="auto"/>
          <w:highlight w:val="none"/>
          <w:lang w:val="en-US" w:eastAsia="zh-CN"/>
        </w:rPr>
      </w:pPr>
      <w:r>
        <w:rPr>
          <w:rFonts w:hint="eastAsia" w:ascii="宋体" w:hAnsi="宋体" w:cs="宋体"/>
          <w:bCs w:val="0"/>
          <w:color w:val="auto"/>
          <w:sz w:val="24"/>
          <w:highlight w:val="none"/>
          <w:lang w:eastAsia="zh-CN"/>
        </w:rPr>
        <w:t>注：中小企业声明函随结果公告一同公示</w:t>
      </w:r>
    </w:p>
    <w:p w14:paraId="62096DAA">
      <w:pPr>
        <w:pStyle w:val="3"/>
        <w:rPr>
          <w:rFonts w:ascii="宋体" w:hAnsi="宋体" w:cs="宋体"/>
          <w:bCs w:val="0"/>
          <w:color w:val="auto"/>
          <w:sz w:val="24"/>
          <w:highlight w:val="none"/>
        </w:rPr>
      </w:pPr>
    </w:p>
    <w:p w14:paraId="4B4A4041">
      <w:pPr>
        <w:rPr>
          <w:color w:val="auto"/>
          <w:highlight w:val="none"/>
        </w:rPr>
      </w:pPr>
    </w:p>
    <w:p w14:paraId="1D5235A6">
      <w:pPr>
        <w:widowControl/>
        <w:adjustRightInd w:val="0"/>
        <w:spacing w:line="480" w:lineRule="exact"/>
        <w:ind w:firstLine="560" w:firstLineChars="200"/>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企业名称（盖章）</w:t>
      </w:r>
      <w:r>
        <w:rPr>
          <w:rFonts w:hint="eastAsia" w:ascii="宋体" w:hAnsi="宋体"/>
          <w:color w:val="auto"/>
          <w:sz w:val="28"/>
          <w:szCs w:val="28"/>
          <w:highlight w:val="none"/>
          <w:lang w:eastAsia="zh-CN"/>
        </w:rPr>
        <w:t>：</w:t>
      </w:r>
    </w:p>
    <w:p w14:paraId="5E5705FD">
      <w:pPr>
        <w:widowControl/>
        <w:adjustRightInd w:val="0"/>
        <w:spacing w:line="480" w:lineRule="exact"/>
        <w:ind w:firstLine="560" w:firstLineChars="200"/>
        <w:jc w:val="center"/>
        <w:rPr>
          <w:rFonts w:ascii="宋体" w:hAnsi="宋体" w:cs="宋体"/>
          <w:bCs/>
          <w:color w:val="auto"/>
          <w:sz w:val="28"/>
          <w:szCs w:val="28"/>
          <w:highlight w:val="none"/>
        </w:rPr>
      </w:pPr>
      <w:r>
        <w:rPr>
          <w:rFonts w:hint="eastAsia" w:ascii="宋体" w:hAnsi="宋体" w:cs="宋体"/>
          <w:bCs/>
          <w:color w:val="auto"/>
          <w:sz w:val="28"/>
          <w:szCs w:val="28"/>
          <w:highlight w:val="none"/>
        </w:rPr>
        <w:t>日    期：</w:t>
      </w:r>
    </w:p>
    <w:p w14:paraId="3141EAC0">
      <w:pPr>
        <w:adjustRightInd w:val="0"/>
        <w:spacing w:line="400" w:lineRule="exact"/>
        <w:rPr>
          <w:rFonts w:hint="eastAsia" w:ascii="宋体" w:hAnsi="宋体" w:cs="宋体"/>
          <w:b/>
          <w:bCs/>
          <w:color w:val="auto"/>
          <w:sz w:val="24"/>
          <w:highlight w:val="none"/>
        </w:rPr>
        <w:sectPr>
          <w:pgSz w:w="11906" w:h="16838"/>
          <w:pgMar w:top="1440" w:right="1106" w:bottom="1440" w:left="1440" w:header="851" w:footer="992" w:gutter="0"/>
          <w:cols w:space="720" w:num="1"/>
          <w:docGrid w:linePitch="312" w:charSpace="0"/>
        </w:sectPr>
      </w:pPr>
    </w:p>
    <w:p w14:paraId="6FD10BDF">
      <w:pPr>
        <w:adjustRightInd w:val="0"/>
        <w:spacing w:line="400" w:lineRule="exact"/>
        <w:jc w:val="center"/>
        <w:rPr>
          <w:rFonts w:hint="eastAsia"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rPr>
        <w:t>中小企业声明函</w:t>
      </w:r>
      <w:r>
        <w:rPr>
          <w:rFonts w:hint="eastAsia" w:ascii="仿宋" w:hAnsi="仿宋" w:eastAsia="仿宋" w:cs="Times New Roman"/>
          <w:b/>
          <w:color w:val="auto"/>
          <w:sz w:val="36"/>
          <w:szCs w:val="36"/>
          <w:highlight w:val="none"/>
          <w:lang w:eastAsia="zh-CN"/>
        </w:rPr>
        <w:t>填表说明</w:t>
      </w:r>
    </w:p>
    <w:p w14:paraId="249DAD06">
      <w:pPr>
        <w:adjustRightInd w:val="0"/>
        <w:spacing w:line="400" w:lineRule="exact"/>
        <w:rPr>
          <w:rFonts w:hint="eastAsia" w:ascii="宋体" w:hAnsi="宋体" w:cs="宋体"/>
          <w:b/>
          <w:bCs/>
          <w:color w:val="auto"/>
          <w:sz w:val="24"/>
          <w:highlight w:val="none"/>
        </w:rPr>
      </w:pPr>
    </w:p>
    <w:p w14:paraId="68C5B8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1.中小企业声明函由投标人提供，投标人向制造商或承建（承接）企业咨询相关数据。</w:t>
      </w:r>
    </w:p>
    <w:p w14:paraId="24A381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2.投标人应当按照前附表明确的项目属性选择相对应的中小企业声明函格式进行声明。</w:t>
      </w:r>
      <w:r>
        <w:rPr>
          <w:rFonts w:hint="eastAsia" w:ascii="宋体" w:hAnsi="宋体" w:eastAsia="宋体" w:cs="宋体"/>
          <w:color w:val="auto"/>
          <w:sz w:val="28"/>
          <w:szCs w:val="28"/>
          <w:highlight w:val="none"/>
        </w:rPr>
        <w:t>声明函应按上述内容及格式填写，不得修改。</w:t>
      </w:r>
    </w:p>
    <w:p w14:paraId="323BBA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单位名称和项目名称</w:t>
      </w:r>
      <w:r>
        <w:rPr>
          <w:rFonts w:hint="eastAsia" w:ascii="宋体" w:hAnsi="宋体" w:eastAsia="宋体" w:cs="宋体"/>
          <w:color w:val="auto"/>
          <w:sz w:val="28"/>
          <w:szCs w:val="28"/>
          <w:highlight w:val="none"/>
          <w:lang w:val="en-US" w:eastAsia="zh-CN"/>
        </w:rPr>
        <w:t>根据首页政府采购招标文件确认表填写采购单位名称和招标项目名称。</w:t>
      </w:r>
    </w:p>
    <w:p w14:paraId="0CC2E4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标的名称</w:t>
      </w:r>
      <w:r>
        <w:rPr>
          <w:rFonts w:hint="eastAsia" w:ascii="宋体" w:hAnsi="宋体" w:eastAsia="宋体" w:cs="宋体"/>
          <w:color w:val="auto"/>
          <w:sz w:val="28"/>
          <w:szCs w:val="28"/>
          <w:highlight w:val="none"/>
          <w:lang w:val="en-US" w:eastAsia="zh-CN"/>
        </w:rPr>
        <w:t>应填写第二章中具体的采购的货物或服务名称，应按采购的具体货物或服务逐项罗列，</w:t>
      </w:r>
      <w:r>
        <w:rPr>
          <w:rFonts w:hint="eastAsia" w:ascii="宋体" w:hAnsi="宋体" w:eastAsia="宋体" w:cs="宋体"/>
          <w:b/>
          <w:bCs/>
          <w:color w:val="auto"/>
          <w:sz w:val="28"/>
          <w:szCs w:val="28"/>
          <w:highlight w:val="none"/>
          <w:lang w:val="en-US" w:eastAsia="zh-CN"/>
        </w:rPr>
        <w:t>仅以项目名称代替所有采购标的名称的，评审小组</w:t>
      </w:r>
      <w:r>
        <w:rPr>
          <w:rFonts w:hint="eastAsia" w:ascii="宋体" w:hAnsi="宋体" w:cs="宋体"/>
          <w:b/>
          <w:bCs/>
          <w:color w:val="auto"/>
          <w:sz w:val="28"/>
          <w:szCs w:val="28"/>
          <w:highlight w:val="none"/>
          <w:lang w:val="en-US" w:eastAsia="zh-CN"/>
        </w:rPr>
        <w:t>可</w:t>
      </w:r>
      <w:r>
        <w:rPr>
          <w:rFonts w:hint="eastAsia" w:ascii="宋体" w:hAnsi="宋体" w:eastAsia="宋体" w:cs="宋体"/>
          <w:b/>
          <w:bCs/>
          <w:color w:val="auto"/>
          <w:sz w:val="28"/>
          <w:szCs w:val="28"/>
          <w:highlight w:val="none"/>
          <w:lang w:val="en-US" w:eastAsia="zh-CN"/>
        </w:rPr>
        <w:t>不予认可其声明。</w:t>
      </w:r>
    </w:p>
    <w:p w14:paraId="6B8D40E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采购文件中明确的所属行业</w:t>
      </w:r>
      <w:r>
        <w:rPr>
          <w:rFonts w:hint="eastAsia" w:ascii="宋体" w:hAnsi="宋体" w:eastAsia="宋体" w:cs="宋体"/>
          <w:color w:val="auto"/>
          <w:sz w:val="28"/>
          <w:szCs w:val="28"/>
          <w:highlight w:val="none"/>
          <w:lang w:val="en-US" w:eastAsia="zh-CN"/>
        </w:rPr>
        <w:t>根据第二章中采购的具体货物或服务逐项列明的所属行业填写。</w:t>
      </w:r>
    </w:p>
    <w:p w14:paraId="1D0CF9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企业名称</w:t>
      </w:r>
      <w:r>
        <w:rPr>
          <w:rFonts w:hint="eastAsia" w:ascii="宋体" w:hAnsi="宋体" w:eastAsia="宋体" w:cs="宋体"/>
          <w:color w:val="auto"/>
          <w:sz w:val="28"/>
          <w:szCs w:val="28"/>
          <w:highlight w:val="none"/>
          <w:lang w:val="en-US" w:eastAsia="zh-CN"/>
        </w:rPr>
        <w:t>处填写制造商或承建（承接）企业名称。</w:t>
      </w:r>
    </w:p>
    <w:p w14:paraId="04C317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b/>
          <w:bCs/>
          <w:color w:val="auto"/>
          <w:sz w:val="28"/>
          <w:szCs w:val="28"/>
          <w:highlight w:val="none"/>
        </w:rPr>
        <w:t>从业人员、营业收入、资产总额</w:t>
      </w:r>
      <w:r>
        <w:rPr>
          <w:rFonts w:hint="eastAsia" w:ascii="宋体" w:hAnsi="宋体" w:eastAsia="宋体" w:cs="宋体"/>
          <w:color w:val="auto"/>
          <w:sz w:val="28"/>
          <w:szCs w:val="28"/>
          <w:highlight w:val="none"/>
        </w:rPr>
        <w:t>填报制造商或承建（承接）企业上一年度数据，无上一年度数据的新成立企业可不填报。</w:t>
      </w:r>
    </w:p>
    <w:p w14:paraId="35D858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7.根据实际情况，在</w:t>
      </w:r>
      <w:r>
        <w:rPr>
          <w:rFonts w:hint="eastAsia" w:ascii="宋体" w:hAnsi="宋体" w:eastAsia="宋体" w:cs="宋体"/>
          <w:color w:val="auto"/>
          <w:sz w:val="28"/>
          <w:szCs w:val="28"/>
          <w:highlight w:val="none"/>
        </w:rPr>
        <w:t>中型企业、小型企业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微型企业</w:t>
      </w:r>
      <w:r>
        <w:rPr>
          <w:rFonts w:hint="eastAsia" w:ascii="宋体" w:hAnsi="宋体" w:eastAsia="宋体" w:cs="宋体"/>
          <w:color w:val="auto"/>
          <w:sz w:val="28"/>
          <w:szCs w:val="28"/>
          <w:highlight w:val="none"/>
          <w:lang w:val="en-US" w:eastAsia="zh-CN"/>
        </w:rPr>
        <w:t>三中企业类型中三选一。</w:t>
      </w:r>
    </w:p>
    <w:p w14:paraId="5B6D35F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ascii="宋体" w:hAnsi="宋体" w:cs="宋体"/>
          <w:b/>
          <w:bCs/>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以联合体形式参加政府采购活动，联合体各方均为中小企业的，联合体视同中小企业。其中，联合体各方均为小微企业的，联合体视同小微企业。</w:t>
      </w:r>
    </w:p>
    <w:p w14:paraId="73AC75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1B35AED3">
      <w:pPr>
        <w:adjustRightInd w:val="0"/>
        <w:spacing w:line="400" w:lineRule="exact"/>
        <w:rPr>
          <w:rFonts w:ascii="宋体" w:hAnsi="宋体" w:cs="宋体"/>
          <w:bCs/>
          <w:color w:val="auto"/>
          <w:szCs w:val="22"/>
          <w:highlight w:val="none"/>
        </w:rPr>
      </w:pPr>
      <w:r>
        <w:rPr>
          <w:rFonts w:hint="eastAsia" w:ascii="宋体" w:hAnsi="宋体"/>
          <w:b/>
          <w:color w:val="auto"/>
          <w:highlight w:val="none"/>
        </w:rPr>
        <w:br w:type="page"/>
      </w:r>
      <w:r>
        <w:rPr>
          <w:rFonts w:hint="eastAsia" w:ascii="宋体" w:hAnsi="宋体" w:cs="宋体"/>
          <w:bCs/>
          <w:color w:val="auto"/>
          <w:szCs w:val="22"/>
          <w:highlight w:val="none"/>
        </w:rPr>
        <w:t>附件：根据《中小企业划型标准规定的通知》（工信部联企业〔2011〕300号）规定</w:t>
      </w:r>
    </w:p>
    <w:tbl>
      <w:tblPr>
        <w:tblStyle w:val="53"/>
        <w:tblW w:w="0" w:type="auto"/>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14:paraId="61155900">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0AE2C74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序号</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14:paraId="7291C0B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行业分类</w:t>
            </w:r>
          </w:p>
        </w:tc>
        <w:tc>
          <w:tcPr>
            <w:tcW w:w="1755" w:type="dxa"/>
            <w:tcBorders>
              <w:top w:val="single" w:color="000000" w:sz="4" w:space="0"/>
              <w:left w:val="single" w:color="000000" w:sz="4" w:space="0"/>
              <w:bottom w:val="single" w:color="000000" w:sz="4" w:space="0"/>
              <w:right w:val="single" w:color="000000" w:sz="4" w:space="0"/>
            </w:tcBorders>
            <w:vAlign w:val="center"/>
          </w:tcPr>
          <w:p w14:paraId="5B95E25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中小微型企业总要求</w:t>
            </w:r>
          </w:p>
        </w:tc>
        <w:tc>
          <w:tcPr>
            <w:tcW w:w="1755" w:type="dxa"/>
            <w:tcBorders>
              <w:top w:val="single" w:color="000000" w:sz="4" w:space="0"/>
              <w:left w:val="single" w:color="000000" w:sz="4" w:space="0"/>
              <w:bottom w:val="single" w:color="000000" w:sz="4" w:space="0"/>
              <w:right w:val="single" w:color="000000" w:sz="4" w:space="0"/>
            </w:tcBorders>
            <w:vAlign w:val="center"/>
          </w:tcPr>
          <w:p w14:paraId="1E12D15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中型企业标准</w:t>
            </w:r>
          </w:p>
        </w:tc>
        <w:tc>
          <w:tcPr>
            <w:tcW w:w="1905" w:type="dxa"/>
            <w:tcBorders>
              <w:top w:val="single" w:color="000000" w:sz="4" w:space="0"/>
              <w:left w:val="single" w:color="000000" w:sz="4" w:space="0"/>
              <w:bottom w:val="single" w:color="000000" w:sz="4" w:space="0"/>
              <w:right w:val="single" w:color="000000" w:sz="4" w:space="0"/>
            </w:tcBorders>
            <w:vAlign w:val="center"/>
          </w:tcPr>
          <w:p w14:paraId="42A15EA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小型企业标准</w:t>
            </w:r>
          </w:p>
        </w:tc>
        <w:tc>
          <w:tcPr>
            <w:tcW w:w="1590" w:type="dxa"/>
            <w:tcBorders>
              <w:top w:val="single" w:color="000000" w:sz="4" w:space="0"/>
              <w:left w:val="single" w:color="000000" w:sz="4" w:space="0"/>
              <w:bottom w:val="single" w:color="000000" w:sz="4" w:space="0"/>
              <w:right w:val="single" w:color="000000" w:sz="4" w:space="0"/>
            </w:tcBorders>
            <w:vAlign w:val="center"/>
          </w:tcPr>
          <w:p w14:paraId="7CA4B50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微型企业标准</w:t>
            </w:r>
          </w:p>
        </w:tc>
      </w:tr>
      <w:tr w14:paraId="0C7CF74E">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70C41E">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28F68708">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农、林、牧、渔业</w:t>
            </w:r>
          </w:p>
        </w:tc>
        <w:tc>
          <w:tcPr>
            <w:tcW w:w="1329" w:type="dxa"/>
            <w:tcBorders>
              <w:left w:val="single" w:color="000000" w:sz="4" w:space="0"/>
              <w:bottom w:val="single" w:color="000000" w:sz="4" w:space="0"/>
              <w:right w:val="single" w:color="000000" w:sz="4" w:space="0"/>
            </w:tcBorders>
            <w:vAlign w:val="center"/>
          </w:tcPr>
          <w:p w14:paraId="5836ECD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45F20131">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20000万以下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586C0EFE">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500万及以上</w:t>
            </w:r>
          </w:p>
        </w:tc>
        <w:tc>
          <w:tcPr>
            <w:tcW w:w="1905" w:type="dxa"/>
            <w:tcBorders>
              <w:top w:val="single" w:color="000000" w:sz="4" w:space="0"/>
              <w:left w:val="single" w:color="000000" w:sz="4" w:space="0"/>
              <w:bottom w:val="single" w:color="000000" w:sz="4" w:space="0"/>
              <w:right w:val="single" w:color="000000" w:sz="4" w:space="0"/>
            </w:tcBorders>
            <w:vAlign w:val="center"/>
          </w:tcPr>
          <w:p w14:paraId="05054FE4">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50万元及以上</w:t>
            </w:r>
          </w:p>
        </w:tc>
        <w:tc>
          <w:tcPr>
            <w:tcW w:w="1590" w:type="dxa"/>
            <w:tcBorders>
              <w:top w:val="single" w:color="000000" w:sz="4" w:space="0"/>
              <w:left w:val="single" w:color="000000" w:sz="4" w:space="0"/>
              <w:bottom w:val="single" w:color="000000" w:sz="4" w:space="0"/>
              <w:right w:val="single" w:color="000000" w:sz="4" w:space="0"/>
            </w:tcBorders>
            <w:vAlign w:val="center"/>
          </w:tcPr>
          <w:p w14:paraId="3A249FAC">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bCs/>
                <w:color w:val="auto"/>
                <w:sz w:val="18"/>
                <w:szCs w:val="18"/>
                <w:highlight w:val="none"/>
              </w:rPr>
              <w:t>50万元以下</w:t>
            </w:r>
          </w:p>
        </w:tc>
      </w:tr>
      <w:tr w14:paraId="6AE0920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F84A82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74E0376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w:t>
            </w:r>
          </w:p>
        </w:tc>
        <w:tc>
          <w:tcPr>
            <w:tcW w:w="1329" w:type="dxa"/>
            <w:tcBorders>
              <w:left w:val="single" w:color="000000" w:sz="4" w:space="0"/>
              <w:bottom w:val="single" w:color="000000" w:sz="4" w:space="0"/>
              <w:right w:val="single" w:color="000000" w:sz="4" w:space="0"/>
            </w:tcBorders>
            <w:vAlign w:val="center"/>
          </w:tcPr>
          <w:p w14:paraId="6D79069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617F5C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7F18170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2215D26F">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336FE3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AD2C4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从业人员20人以下或营业收入300万元以下</w:t>
            </w:r>
          </w:p>
        </w:tc>
      </w:tr>
      <w:tr w14:paraId="7740BF6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B5A60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6D99092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建筑业</w:t>
            </w:r>
          </w:p>
        </w:tc>
        <w:tc>
          <w:tcPr>
            <w:tcW w:w="1329" w:type="dxa"/>
            <w:tcBorders>
              <w:left w:val="single" w:color="000000" w:sz="4" w:space="0"/>
              <w:bottom w:val="single" w:color="000000" w:sz="4" w:space="0"/>
              <w:right w:val="single" w:color="000000" w:sz="4" w:space="0"/>
            </w:tcBorders>
            <w:vAlign w:val="center"/>
          </w:tcPr>
          <w:p w14:paraId="05B3EE0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DC334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7E294C1A">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0BDD76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240108A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962874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营业收入300万元以下或资产总额300万元以下的</w:t>
            </w:r>
          </w:p>
        </w:tc>
      </w:tr>
      <w:tr w14:paraId="18384BB2">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CCC2991">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5789B56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批发业</w:t>
            </w:r>
          </w:p>
        </w:tc>
        <w:tc>
          <w:tcPr>
            <w:tcW w:w="1329" w:type="dxa"/>
            <w:tcBorders>
              <w:left w:val="single" w:color="000000" w:sz="4" w:space="0"/>
              <w:bottom w:val="single" w:color="000000" w:sz="4" w:space="0"/>
              <w:right w:val="single" w:color="000000" w:sz="4" w:space="0"/>
            </w:tcBorders>
            <w:vAlign w:val="center"/>
          </w:tcPr>
          <w:p w14:paraId="469DCED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0C783D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B7AEB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BEA7C4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FC0B32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F5F5F0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从业人员5人以下或营业收入1000万元以下的</w:t>
            </w:r>
          </w:p>
        </w:tc>
      </w:tr>
      <w:tr w14:paraId="660173BA">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10AD7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28E8CDD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零售业</w:t>
            </w:r>
          </w:p>
        </w:tc>
        <w:tc>
          <w:tcPr>
            <w:tcW w:w="1329" w:type="dxa"/>
            <w:tcBorders>
              <w:left w:val="single" w:color="000000" w:sz="4" w:space="0"/>
              <w:bottom w:val="single" w:color="000000" w:sz="4" w:space="0"/>
              <w:right w:val="single" w:color="000000" w:sz="4" w:space="0"/>
            </w:tcBorders>
            <w:vAlign w:val="center"/>
          </w:tcPr>
          <w:p w14:paraId="7500688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0DAD22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6807432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3BDFA1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698C77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3A74FD4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0ED08216">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0EEBCB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22D10B78">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交通运输业</w:t>
            </w:r>
          </w:p>
        </w:tc>
        <w:tc>
          <w:tcPr>
            <w:tcW w:w="1329" w:type="dxa"/>
            <w:tcBorders>
              <w:left w:val="single" w:color="000000" w:sz="4" w:space="0"/>
              <w:bottom w:val="single" w:color="000000" w:sz="4" w:space="0"/>
              <w:right w:val="single" w:color="000000" w:sz="4" w:space="0"/>
            </w:tcBorders>
            <w:vAlign w:val="center"/>
          </w:tcPr>
          <w:p w14:paraId="6A2D175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2A1700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DE24A1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8060A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78984B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DDD45D8">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从业人员20人以下或营业收入200万元以下的</w:t>
            </w:r>
          </w:p>
        </w:tc>
      </w:tr>
      <w:tr w14:paraId="1EEBD1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71A035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474CDA3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仓储业</w:t>
            </w:r>
          </w:p>
        </w:tc>
        <w:tc>
          <w:tcPr>
            <w:tcW w:w="1329" w:type="dxa"/>
            <w:tcBorders>
              <w:left w:val="single" w:color="000000" w:sz="4" w:space="0"/>
              <w:bottom w:val="single" w:color="000000" w:sz="4" w:space="0"/>
              <w:right w:val="single" w:color="000000" w:sz="4" w:space="0"/>
            </w:tcBorders>
            <w:vAlign w:val="center"/>
          </w:tcPr>
          <w:p w14:paraId="6997D13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E4C556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95E8B0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EB0B84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71F108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8A60C3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3307F9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1EA094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D1E4B0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邮政业</w:t>
            </w:r>
          </w:p>
        </w:tc>
        <w:tc>
          <w:tcPr>
            <w:tcW w:w="1329" w:type="dxa"/>
            <w:tcBorders>
              <w:left w:val="single" w:color="000000" w:sz="4" w:space="0"/>
              <w:bottom w:val="single" w:color="000000" w:sz="4" w:space="0"/>
              <w:right w:val="single" w:color="000000" w:sz="4" w:space="0"/>
            </w:tcBorders>
            <w:vAlign w:val="center"/>
          </w:tcPr>
          <w:p w14:paraId="6EACBB5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82B5DA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E2F2A3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AE14B9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165FA6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618616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BEAD7E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C50489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3732E85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住宿业</w:t>
            </w:r>
          </w:p>
        </w:tc>
        <w:tc>
          <w:tcPr>
            <w:tcW w:w="1329" w:type="dxa"/>
            <w:tcBorders>
              <w:left w:val="single" w:color="000000" w:sz="4" w:space="0"/>
              <w:bottom w:val="single" w:color="000000" w:sz="4" w:space="0"/>
              <w:right w:val="single" w:color="000000" w:sz="4" w:space="0"/>
            </w:tcBorders>
            <w:vAlign w:val="center"/>
          </w:tcPr>
          <w:p w14:paraId="15A7498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726D37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412D20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C6DFD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4B8682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5EC4807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54FA48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66170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0AF3467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餐饮业</w:t>
            </w:r>
          </w:p>
        </w:tc>
        <w:tc>
          <w:tcPr>
            <w:tcW w:w="1329" w:type="dxa"/>
            <w:tcBorders>
              <w:left w:val="single" w:color="000000" w:sz="4" w:space="0"/>
              <w:bottom w:val="single" w:color="000000" w:sz="4" w:space="0"/>
              <w:right w:val="single" w:color="000000" w:sz="4" w:space="0"/>
            </w:tcBorders>
            <w:vAlign w:val="center"/>
          </w:tcPr>
          <w:p w14:paraId="3F6F175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38D3270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26FBDF1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E03FF6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3EF28FF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EDEB60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77DCBF6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87B16E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7490D0C4">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信息传输业</w:t>
            </w:r>
          </w:p>
        </w:tc>
        <w:tc>
          <w:tcPr>
            <w:tcW w:w="1329" w:type="dxa"/>
            <w:tcBorders>
              <w:left w:val="single" w:color="000000" w:sz="4" w:space="0"/>
              <w:bottom w:val="single" w:color="000000" w:sz="4" w:space="0"/>
              <w:right w:val="single" w:color="000000" w:sz="4" w:space="0"/>
            </w:tcBorders>
            <w:vAlign w:val="center"/>
          </w:tcPr>
          <w:p w14:paraId="6D84ED9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D303D3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97BBC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8B80C3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BD5373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2AAF60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4A2A8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43ABFB2">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24401EC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软件和信息技术服务业</w:t>
            </w:r>
          </w:p>
        </w:tc>
        <w:tc>
          <w:tcPr>
            <w:tcW w:w="1329" w:type="dxa"/>
            <w:tcBorders>
              <w:left w:val="single" w:color="000000" w:sz="4" w:space="0"/>
              <w:bottom w:val="single" w:color="000000" w:sz="4" w:space="0"/>
              <w:right w:val="single" w:color="000000" w:sz="4" w:space="0"/>
            </w:tcBorders>
            <w:vAlign w:val="center"/>
          </w:tcPr>
          <w:p w14:paraId="4E7B8E3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7F08467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D8CC0E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2C252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81F51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E4F26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从业人员10人以下或营业收入50万元以下的</w:t>
            </w:r>
          </w:p>
        </w:tc>
      </w:tr>
      <w:tr w14:paraId="43E1163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9F15F1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74D10B3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房地产开发经营</w:t>
            </w:r>
          </w:p>
        </w:tc>
        <w:tc>
          <w:tcPr>
            <w:tcW w:w="1329" w:type="dxa"/>
            <w:tcBorders>
              <w:left w:val="single" w:color="000000" w:sz="4" w:space="0"/>
              <w:bottom w:val="single" w:color="000000" w:sz="4" w:space="0"/>
              <w:right w:val="single" w:color="000000" w:sz="4" w:space="0"/>
            </w:tcBorders>
            <w:vAlign w:val="center"/>
          </w:tcPr>
          <w:p w14:paraId="1D586CE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B47BD1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1984D41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E7EA01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5EE9B5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C0E96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营业收入100万元以下或资产总额2000万元以下的</w:t>
            </w:r>
          </w:p>
        </w:tc>
      </w:tr>
      <w:tr w14:paraId="1BA0CA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B50204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0B8713F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物业管理</w:t>
            </w:r>
          </w:p>
        </w:tc>
        <w:tc>
          <w:tcPr>
            <w:tcW w:w="1329" w:type="dxa"/>
            <w:tcBorders>
              <w:left w:val="single" w:color="000000" w:sz="4" w:space="0"/>
              <w:bottom w:val="single" w:color="000000" w:sz="4" w:space="0"/>
              <w:right w:val="single" w:color="000000" w:sz="4" w:space="0"/>
            </w:tcBorders>
            <w:vAlign w:val="center"/>
          </w:tcPr>
          <w:p w14:paraId="194B4F2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97F324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2DDD388">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5BFEA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AD7F3B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94D87B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从业人员100人以下或营业收入500万元以下的</w:t>
            </w:r>
          </w:p>
        </w:tc>
      </w:tr>
      <w:tr w14:paraId="68262A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3D209C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6497594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租赁和商务服务业</w:t>
            </w:r>
          </w:p>
        </w:tc>
        <w:tc>
          <w:tcPr>
            <w:tcW w:w="1329" w:type="dxa"/>
            <w:tcBorders>
              <w:left w:val="single" w:color="000000" w:sz="4" w:space="0"/>
              <w:bottom w:val="single" w:color="000000" w:sz="4" w:space="0"/>
              <w:right w:val="single" w:color="000000" w:sz="4" w:space="0"/>
            </w:tcBorders>
            <w:vAlign w:val="center"/>
          </w:tcPr>
          <w:p w14:paraId="7E4E1DC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4FB32E6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6FC0662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2113A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2463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BAEB3D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从业人员10人以下或资产总额100万元以下的</w:t>
            </w:r>
          </w:p>
        </w:tc>
      </w:tr>
      <w:tr w14:paraId="313B748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C83465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4EEB4FF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其他未列明行业</w:t>
            </w:r>
          </w:p>
        </w:tc>
        <w:tc>
          <w:tcPr>
            <w:tcW w:w="1329" w:type="dxa"/>
            <w:tcBorders>
              <w:left w:val="single" w:color="000000" w:sz="4" w:space="0"/>
              <w:bottom w:val="single" w:color="000000" w:sz="4" w:space="0"/>
              <w:right w:val="single" w:color="000000" w:sz="4" w:space="0"/>
            </w:tcBorders>
            <w:vAlign w:val="center"/>
          </w:tcPr>
          <w:p w14:paraId="078C98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tc>
        <w:tc>
          <w:tcPr>
            <w:tcW w:w="1755" w:type="dxa"/>
            <w:tcBorders>
              <w:left w:val="single" w:color="000000" w:sz="4" w:space="0"/>
              <w:bottom w:val="single" w:color="000000" w:sz="4" w:space="0"/>
              <w:right w:val="single" w:color="000000" w:sz="4" w:space="0"/>
            </w:tcBorders>
            <w:vAlign w:val="center"/>
          </w:tcPr>
          <w:p w14:paraId="688D16C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9C8D1A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A22D3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A95617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从业人员10人以下的</w:t>
            </w:r>
          </w:p>
        </w:tc>
      </w:tr>
    </w:tbl>
    <w:p w14:paraId="26C3EDEA">
      <w:pPr>
        <w:rPr>
          <w:rFonts w:hint="eastAsia" w:ascii="宋体" w:hAnsi="宋体"/>
          <w:b/>
          <w:color w:val="auto"/>
          <w:highlight w:val="none"/>
        </w:rPr>
      </w:pPr>
    </w:p>
    <w:p w14:paraId="32EEF4A1">
      <w:pPr>
        <w:pStyle w:val="3"/>
        <w:spacing w:line="360" w:lineRule="auto"/>
        <w:jc w:val="center"/>
        <w:rPr>
          <w:rFonts w:ascii="黑体" w:hAnsi="宋体" w:eastAsia="黑体"/>
          <w:color w:val="auto"/>
          <w:sz w:val="30"/>
          <w:szCs w:val="30"/>
          <w:highlight w:val="none"/>
        </w:rPr>
      </w:pPr>
      <w:r>
        <w:rPr>
          <w:rFonts w:hint="eastAsia" w:ascii="黑体" w:eastAsia="黑体"/>
          <w:color w:val="auto"/>
          <w:sz w:val="30"/>
          <w:szCs w:val="30"/>
          <w:highlight w:val="none"/>
        </w:rPr>
        <w:br w:type="page"/>
      </w:r>
      <w:bookmarkEnd w:id="341"/>
      <w:bookmarkEnd w:id="342"/>
      <w:bookmarkEnd w:id="343"/>
      <w:bookmarkStart w:id="362" w:name="_Toc17300"/>
      <w:bookmarkStart w:id="363" w:name="_Toc12357"/>
      <w:bookmarkStart w:id="364" w:name="_Toc2059"/>
      <w:bookmarkStart w:id="365" w:name="_Toc16359"/>
      <w:r>
        <w:rPr>
          <w:rFonts w:hint="eastAsia"/>
          <w:color w:val="auto"/>
          <w:highlight w:val="none"/>
        </w:rPr>
        <w:t>第六章  拟签订合同主要条款</w:t>
      </w:r>
      <w:bookmarkEnd w:id="362"/>
      <w:bookmarkEnd w:id="363"/>
      <w:bookmarkEnd w:id="364"/>
      <w:bookmarkEnd w:id="365"/>
    </w:p>
    <w:p w14:paraId="3777549B">
      <w:pPr>
        <w:adjustRightInd w:val="0"/>
        <w:snapToGrid w:val="0"/>
        <w:spacing w:line="500" w:lineRule="exact"/>
        <w:ind w:firstLine="482" w:firstLineChars="200"/>
        <w:rPr>
          <w:rFonts w:hint="eastAsia" w:ascii="宋体" w:hAnsi="宋体"/>
          <w:b/>
          <w:sz w:val="24"/>
        </w:rPr>
      </w:pPr>
      <w:r>
        <w:rPr>
          <w:rFonts w:hint="eastAsia" w:ascii="宋体" w:hAnsi="宋体"/>
          <w:b/>
          <w:sz w:val="24"/>
        </w:rPr>
        <w:t>（格式样本仅供参考，在不改变实质性需要的前提下自行修改）</w:t>
      </w:r>
    </w:p>
    <w:p w14:paraId="72BE27A4">
      <w:pPr>
        <w:adjustRightInd w:val="0"/>
        <w:snapToGrid w:val="0"/>
        <w:spacing w:line="500" w:lineRule="exact"/>
        <w:ind w:firstLine="480" w:firstLineChars="200"/>
        <w:rPr>
          <w:rFonts w:hint="eastAsia"/>
          <w:sz w:val="24"/>
          <w:lang w:val="zh-CN"/>
        </w:rPr>
      </w:pPr>
      <w:r>
        <w:rPr>
          <w:rFonts w:hint="eastAsia"/>
          <w:sz w:val="24"/>
          <w:lang w:val="zh-CN"/>
        </w:rPr>
        <w:t>需方：</w:t>
      </w:r>
      <w:r>
        <w:rPr>
          <w:rFonts w:hint="eastAsia" w:ascii="微软雅黑" w:hAnsi="微软雅黑" w:eastAsia="微软雅黑" w:cs="微软雅黑"/>
          <w:color w:val="000000"/>
          <w:sz w:val="24"/>
        </w:rPr>
        <w:t>磐安县人民政府安文街道办事处</w:t>
      </w:r>
      <w:r>
        <w:rPr>
          <w:rFonts w:hint="eastAsia"/>
          <w:sz w:val="24"/>
          <w:lang w:val="zh-CN"/>
        </w:rPr>
        <w:t xml:space="preserve">  （以下简称甲方）</w:t>
      </w:r>
    </w:p>
    <w:p w14:paraId="3ECD1A42">
      <w:pPr>
        <w:adjustRightInd w:val="0"/>
        <w:snapToGrid w:val="0"/>
        <w:spacing w:line="500" w:lineRule="exact"/>
        <w:ind w:firstLine="480" w:firstLineChars="200"/>
        <w:rPr>
          <w:rFonts w:hint="eastAsia"/>
          <w:sz w:val="24"/>
          <w:lang w:val="zh-CN"/>
        </w:rPr>
      </w:pPr>
      <w:r>
        <w:rPr>
          <w:rFonts w:hint="eastAsia"/>
          <w:sz w:val="24"/>
          <w:lang w:val="zh-CN"/>
        </w:rPr>
        <w:t xml:space="preserve">供方：        </w:t>
      </w:r>
      <w:r>
        <w:rPr>
          <w:rFonts w:hint="eastAsia"/>
          <w:sz w:val="24"/>
        </w:rPr>
        <w:t xml:space="preserve">                       </w:t>
      </w:r>
      <w:r>
        <w:rPr>
          <w:rFonts w:hint="eastAsia"/>
          <w:sz w:val="24"/>
          <w:lang w:val="zh-CN"/>
        </w:rPr>
        <w:t>（以下简称乙方）</w:t>
      </w:r>
    </w:p>
    <w:p w14:paraId="7CFC1C34">
      <w:pPr>
        <w:pStyle w:val="545"/>
        <w:spacing w:line="480" w:lineRule="exact"/>
        <w:jc w:val="both"/>
        <w:rPr>
          <w:rFonts w:hint="eastAsia"/>
        </w:rPr>
      </w:pPr>
      <w:r>
        <w:rPr>
          <w:rFonts w:hint="eastAsia"/>
          <w:color w:val="auto"/>
          <w:sz w:val="21"/>
          <w:szCs w:val="21"/>
        </w:rPr>
        <w:t>为有效开展松材线虫病防治工作</w:t>
      </w:r>
      <w:r>
        <w:rPr>
          <w:rFonts w:hint="eastAsia"/>
          <w:color w:val="auto"/>
          <w:sz w:val="21"/>
          <w:szCs w:val="21"/>
          <w:lang w:eastAsia="zh-CN"/>
        </w:rPr>
        <w:t>，</w:t>
      </w:r>
      <w:r>
        <w:rPr>
          <w:rFonts w:hint="eastAsia"/>
          <w:color w:val="auto"/>
          <w:sz w:val="21"/>
          <w:szCs w:val="21"/>
        </w:rPr>
        <w:t>根据《中华人民共和国</w:t>
      </w:r>
      <w:r>
        <w:rPr>
          <w:rFonts w:hint="eastAsia"/>
          <w:color w:val="auto"/>
          <w:sz w:val="21"/>
          <w:szCs w:val="21"/>
          <w:lang w:eastAsia="zh-CN"/>
        </w:rPr>
        <w:t>民法典</w:t>
      </w:r>
      <w:r>
        <w:rPr>
          <w:rFonts w:hint="eastAsia"/>
          <w:color w:val="auto"/>
          <w:sz w:val="21"/>
          <w:szCs w:val="21"/>
        </w:rPr>
        <w:t>》</w:t>
      </w:r>
      <w:r>
        <w:rPr>
          <w:rFonts w:hint="eastAsia"/>
          <w:color w:val="auto"/>
          <w:sz w:val="21"/>
          <w:szCs w:val="21"/>
          <w:lang w:val="en-US" w:eastAsia="zh-CN"/>
        </w:rPr>
        <w:t>《松材线虫病疫区和疫木管理办法》（林生发〔2018〕117 号）、《松材线虫病生态灾害督办追责办法》（林生发〔2019〕55 号）、《国家林业和草原局关于科学防控松材线虫病疫情的指导意见》（林生发〔2021〕30号）、《松材线虫病防治技术方案（2022 年版）》（林生发〔2022〕94 号）、《浙江省松材线虫病防治条例》《浙江省林业局关于印发&lt;浙江省松材线虫病疫情防控五年攻坚行动计划（2021—2025 年）&gt;的通知》（浙林绿〔2021〕77号）、《磐安县2024-2025年度松材线虫病防控实施方案》等有关法律法规和文件规定</w:t>
      </w:r>
      <w:r>
        <w:rPr>
          <w:rFonts w:hint="eastAsia"/>
          <w:color w:val="auto"/>
          <w:sz w:val="21"/>
          <w:szCs w:val="21"/>
        </w:rPr>
        <w:t>，双方秉持自愿平等、公平守信原则，就松材线虫病枯死树除治工程施工有关事项协商一致，订立本合同，具体内容如下：</w:t>
      </w:r>
    </w:p>
    <w:p w14:paraId="65B88443">
      <w:pPr>
        <w:adjustRightInd w:val="0"/>
        <w:snapToGrid w:val="0"/>
        <w:spacing w:line="500" w:lineRule="exact"/>
        <w:ind w:firstLine="480" w:firstLineChars="200"/>
        <w:rPr>
          <w:rFonts w:hint="eastAsia"/>
          <w:sz w:val="24"/>
        </w:rPr>
      </w:pPr>
      <w:r>
        <w:rPr>
          <w:rFonts w:hint="eastAsia"/>
          <w:sz w:val="24"/>
        </w:rPr>
        <w:t>一、服务内容</w:t>
      </w:r>
    </w:p>
    <w:p w14:paraId="0E493AD9">
      <w:pPr>
        <w:adjustRightInd w:val="0"/>
        <w:snapToGrid w:val="0"/>
        <w:spacing w:line="500" w:lineRule="exact"/>
        <w:ind w:firstLine="480" w:firstLineChars="200"/>
        <w:rPr>
          <w:rFonts w:hint="eastAsia"/>
          <w:sz w:val="24"/>
        </w:rPr>
      </w:pPr>
      <w:r>
        <w:rPr>
          <w:rFonts w:hint="eastAsia"/>
          <w:sz w:val="24"/>
        </w:rPr>
        <w:t>1.作业范围：</w:t>
      </w:r>
    </w:p>
    <w:p w14:paraId="501731BC">
      <w:pPr>
        <w:spacing w:line="360" w:lineRule="auto"/>
        <w:ind w:firstLine="360" w:firstLineChars="150"/>
        <w:rPr>
          <w:rFonts w:hint="eastAsia"/>
          <w:sz w:val="24"/>
        </w:rPr>
      </w:pPr>
      <w:r>
        <w:rPr>
          <w:rFonts w:hint="eastAsia"/>
          <w:sz w:val="24"/>
        </w:rPr>
        <w:t>根据</w:t>
      </w:r>
      <w:r>
        <w:rPr>
          <w:rFonts w:hint="eastAsia" w:ascii="宋体" w:hAnsi="宋体" w:cs="宋体"/>
          <w:kern w:val="0"/>
          <w:sz w:val="24"/>
          <w:lang w:eastAsia="zh-CN" w:bidi="ar"/>
        </w:rPr>
        <w:t>2025年安文街道松材线虫病枯死松树清理服务项目(第二次)</w:t>
      </w:r>
      <w:r>
        <w:rPr>
          <w:rFonts w:hint="eastAsia"/>
          <w:sz w:val="24"/>
        </w:rPr>
        <w:t>调查，招标内容为安文街道范围内的病枯死松树进行清理。</w:t>
      </w:r>
    </w:p>
    <w:p w14:paraId="6B9A9D91">
      <w:pPr>
        <w:numPr>
          <w:ilvl w:val="0"/>
          <w:numId w:val="4"/>
        </w:numPr>
        <w:spacing w:line="360" w:lineRule="auto"/>
        <w:ind w:left="0" w:leftChars="0" w:firstLine="480" w:firstLineChars="200"/>
        <w:rPr>
          <w:rFonts w:hint="eastAsia"/>
          <w:sz w:val="24"/>
        </w:rPr>
      </w:pPr>
      <w:r>
        <w:rPr>
          <w:rFonts w:hint="eastAsia"/>
          <w:sz w:val="24"/>
        </w:rPr>
        <w:t>清理对象：清理对象为枯死松树，已腐烂或者枯死1年以上松树不列入清理对象。</w:t>
      </w:r>
    </w:p>
    <w:p w14:paraId="1C673D1E">
      <w:pPr>
        <w:numPr>
          <w:ilvl w:val="0"/>
          <w:numId w:val="0"/>
        </w:numPr>
        <w:spacing w:line="360" w:lineRule="auto"/>
        <w:ind w:leftChars="200"/>
        <w:rPr>
          <w:rFonts w:hint="eastAsia"/>
          <w:sz w:val="24"/>
        </w:rPr>
      </w:pPr>
      <w:r>
        <w:rPr>
          <w:rFonts w:hint="eastAsia"/>
          <w:sz w:val="24"/>
        </w:rPr>
        <w:t>3.清理标准：清理标准为伐桩高度低于5厘米，树干及一公分以上枝丫全部清理下山或烧毁，并运到疫木安全利用定点企业除害处理。</w:t>
      </w:r>
    </w:p>
    <w:p w14:paraId="091EA59B">
      <w:pPr>
        <w:adjustRightInd w:val="0"/>
        <w:snapToGrid w:val="0"/>
        <w:spacing w:line="500" w:lineRule="exact"/>
        <w:ind w:firstLine="480" w:firstLineChars="200"/>
        <w:rPr>
          <w:rFonts w:hint="eastAsia"/>
          <w:sz w:val="24"/>
        </w:rPr>
      </w:pPr>
      <w:r>
        <w:rPr>
          <w:rFonts w:hint="eastAsia"/>
          <w:sz w:val="24"/>
        </w:rPr>
        <w:t>4.清理要求：</w:t>
      </w:r>
    </w:p>
    <w:p w14:paraId="18546818">
      <w:pPr>
        <w:adjustRightInd w:val="0"/>
        <w:snapToGrid w:val="0"/>
        <w:spacing w:line="500" w:lineRule="exact"/>
        <w:ind w:firstLine="480" w:firstLineChars="200"/>
        <w:rPr>
          <w:rFonts w:hint="eastAsia"/>
          <w:sz w:val="24"/>
        </w:rPr>
      </w:pPr>
      <w:r>
        <w:rPr>
          <w:rFonts w:hint="eastAsia"/>
          <w:sz w:val="24"/>
        </w:rPr>
        <w:t>枯死松树，要求彻底清理，不论山高路远、零散孤立，还是采伐困难地带，都不得借故不作清理。严禁借枯死松树清理之名采伐鲜活松木、杉木、杂木。确有清理过程中无法避免砸坏的杉木、杂木，不得混入清理的松材之中。严禁松材、松枝桠让农户运回自行处置。清理队擅自采伐杂木、鲜活松木等，按照盗、滥伐进行调查和处罚。</w:t>
      </w:r>
    </w:p>
    <w:p w14:paraId="0EE31FDB">
      <w:pPr>
        <w:adjustRightInd w:val="0"/>
        <w:snapToGrid w:val="0"/>
        <w:spacing w:line="500" w:lineRule="exact"/>
        <w:ind w:firstLine="480" w:firstLineChars="200"/>
        <w:rPr>
          <w:rFonts w:hint="eastAsia"/>
          <w:sz w:val="24"/>
        </w:rPr>
      </w:pPr>
      <w:r>
        <w:rPr>
          <w:rFonts w:hint="eastAsia"/>
          <w:sz w:val="24"/>
        </w:rPr>
        <w:t>5.清理时间：</w:t>
      </w:r>
    </w:p>
    <w:p w14:paraId="30A0E391">
      <w:pPr>
        <w:widowControl/>
        <w:spacing w:line="400" w:lineRule="exact"/>
        <w:ind w:firstLine="480" w:firstLineChars="200"/>
        <w:jc w:val="left"/>
        <w:rPr>
          <w:rFonts w:hint="eastAsia"/>
          <w:color w:val="000000"/>
          <w:sz w:val="24"/>
        </w:rPr>
      </w:pPr>
      <w:r>
        <w:rPr>
          <w:rFonts w:hint="eastAsia" w:ascii="微软雅黑" w:hAnsi="微软雅黑" w:eastAsia="微软雅黑" w:cs="微软雅黑"/>
          <w:color w:val="FF0000"/>
          <w:sz w:val="24"/>
        </w:rPr>
        <w:t> </w:t>
      </w:r>
      <w:r>
        <w:rPr>
          <w:rFonts w:hint="eastAsia"/>
          <w:color w:val="000000"/>
          <w:sz w:val="24"/>
        </w:rPr>
        <w:t>在2025年12月30日前全面完成枯死松树清理工作（其中</w:t>
      </w:r>
      <w:r>
        <w:rPr>
          <w:rFonts w:hint="eastAsia" w:ascii="宋体" w:hAnsi="宋体" w:cs="宋体"/>
          <w:color w:val="000000"/>
          <w:sz w:val="24"/>
        </w:rPr>
        <w:t>公路主干线、城区周边、大规模成片地块必须在2025年5月30日前完成</w:t>
      </w:r>
      <w:r>
        <w:rPr>
          <w:rFonts w:hint="eastAsia" w:ascii="宋体" w:hAnsi="宋体" w:cs="宋体"/>
          <w:color w:val="000000"/>
          <w:sz w:val="24"/>
          <w:lang w:val="en-US" w:eastAsia="zh-CN"/>
        </w:rPr>
        <w:t>除治</w:t>
      </w:r>
      <w:r>
        <w:rPr>
          <w:rFonts w:hint="eastAsia"/>
          <w:color w:val="000000"/>
          <w:sz w:val="24"/>
        </w:rPr>
        <w:t>），遇不可抗拒的特殊情况，另行协商。中标单位施工方案需报安文街道审核同意后方可实施，要按照“先难后易、先重点后一般、先紧后宽”的要求，合理安排，保证清理进度。</w:t>
      </w:r>
    </w:p>
    <w:p w14:paraId="2B30E030">
      <w:pPr>
        <w:numPr>
          <w:ilvl w:val="0"/>
          <w:numId w:val="5"/>
        </w:numPr>
        <w:adjustRightInd w:val="0"/>
        <w:snapToGrid w:val="0"/>
        <w:spacing w:line="500" w:lineRule="exact"/>
        <w:ind w:firstLine="480" w:firstLineChars="200"/>
        <w:rPr>
          <w:rFonts w:hint="eastAsia"/>
          <w:color w:val="000000"/>
          <w:sz w:val="24"/>
        </w:rPr>
      </w:pPr>
      <w:r>
        <w:rPr>
          <w:rFonts w:hint="eastAsia"/>
          <w:color w:val="000000"/>
          <w:sz w:val="24"/>
        </w:rPr>
        <w:t>除治疫木收购：</w:t>
      </w:r>
    </w:p>
    <w:p w14:paraId="5A4F16D2">
      <w:pPr>
        <w:widowControl/>
        <w:spacing w:line="400" w:lineRule="exact"/>
        <w:ind w:firstLine="480" w:firstLineChars="200"/>
        <w:jc w:val="left"/>
        <w:rPr>
          <w:rFonts w:hint="eastAsia"/>
          <w:color w:val="000000"/>
          <w:sz w:val="24"/>
        </w:rPr>
      </w:pPr>
      <w:r>
        <w:rPr>
          <w:rFonts w:hint="eastAsia" w:cs="宋体"/>
          <w:color w:val="000000"/>
          <w:kern w:val="0"/>
          <w:sz w:val="24"/>
          <w:lang w:bidi="ar"/>
        </w:rPr>
        <w:t>松材线虫病枯死松树</w:t>
      </w:r>
      <w:r>
        <w:rPr>
          <w:rFonts w:hint="eastAsia"/>
          <w:color w:val="000000"/>
          <w:sz w:val="24"/>
        </w:rPr>
        <w:t>清理期间，疫木定点企业（小头直径1厘米（含）以上的疫木松材）按300元/吨予以收购（中标单位按照相关单据与疫木定点企业结算）。</w:t>
      </w:r>
    </w:p>
    <w:p w14:paraId="2C92F015">
      <w:pPr>
        <w:adjustRightInd w:val="0"/>
        <w:snapToGrid w:val="0"/>
        <w:spacing w:line="500" w:lineRule="exact"/>
        <w:ind w:firstLine="480" w:firstLineChars="200"/>
        <w:rPr>
          <w:rFonts w:hint="eastAsia"/>
          <w:sz w:val="24"/>
        </w:rPr>
      </w:pPr>
      <w:r>
        <w:rPr>
          <w:rFonts w:hint="eastAsia"/>
          <w:sz w:val="24"/>
        </w:rPr>
        <w:t>7.疫木调运：</w:t>
      </w:r>
    </w:p>
    <w:p w14:paraId="5A99C7C6">
      <w:pPr>
        <w:adjustRightInd w:val="0"/>
        <w:snapToGrid w:val="0"/>
        <w:spacing w:line="500" w:lineRule="exact"/>
        <w:ind w:firstLine="480" w:firstLineChars="200"/>
        <w:rPr>
          <w:rFonts w:hint="eastAsia"/>
          <w:sz w:val="24"/>
        </w:rPr>
      </w:pPr>
      <w:r>
        <w:rPr>
          <w:rFonts w:hint="eastAsia"/>
          <w:sz w:val="24"/>
        </w:rPr>
        <w:t>疫木处理联系单由甲方林业干部签字盖章。建立清理单位、林业干部、联村干部和村监管干部、专职监督员的监管微信群，将枯死松木清理前、中、后现场对比照片，疫木运送下山、装车、发车（含车牌号）、过磅等图片或视频发群备查。定点处理企业凭随车同行的疫木联系单收购疫木，过磅单净重栏加盖企业公章（疫木入库专用章），注明疫木类型（松材、松枝），并建立收购台账。发现疫木安全利用定点企业混淆清理单位、疫木类型和虚构疫木数量等行动，将按有关规定从严处理。</w:t>
      </w:r>
    </w:p>
    <w:p w14:paraId="72BC6D5C">
      <w:pPr>
        <w:adjustRightInd w:val="0"/>
        <w:snapToGrid w:val="0"/>
        <w:spacing w:line="500" w:lineRule="exact"/>
        <w:ind w:firstLine="480" w:firstLineChars="200"/>
        <w:rPr>
          <w:rFonts w:hint="eastAsia"/>
          <w:sz w:val="24"/>
        </w:rPr>
      </w:pPr>
      <w:r>
        <w:rPr>
          <w:rFonts w:hint="eastAsia"/>
          <w:sz w:val="24"/>
        </w:rPr>
        <w:t>8.清理流水台账：</w:t>
      </w:r>
    </w:p>
    <w:p w14:paraId="3BA169E7">
      <w:pPr>
        <w:adjustRightInd w:val="0"/>
        <w:snapToGrid w:val="0"/>
        <w:spacing w:line="500" w:lineRule="exact"/>
        <w:ind w:firstLine="480" w:firstLineChars="200"/>
        <w:rPr>
          <w:rFonts w:hint="eastAsia"/>
          <w:sz w:val="24"/>
        </w:rPr>
      </w:pPr>
      <w:r>
        <w:rPr>
          <w:rFonts w:hint="eastAsia"/>
          <w:sz w:val="24"/>
        </w:rPr>
        <w:t>清理专业队必须建立枯死松木清理流水台账，每天详细记录清理地点、数量、重量、疫木去向等内容，并由相关责任人员签字确认。</w:t>
      </w:r>
    </w:p>
    <w:p w14:paraId="16E0B6C7">
      <w:pPr>
        <w:adjustRightInd w:val="0"/>
        <w:snapToGrid w:val="0"/>
        <w:spacing w:line="500" w:lineRule="exact"/>
        <w:ind w:firstLine="480" w:firstLineChars="200"/>
        <w:rPr>
          <w:rFonts w:hint="eastAsia"/>
          <w:sz w:val="24"/>
        </w:rPr>
      </w:pPr>
      <w:r>
        <w:rPr>
          <w:rFonts w:hint="eastAsia"/>
          <w:sz w:val="24"/>
        </w:rPr>
        <w:t>9.人员配置要求：</w:t>
      </w:r>
    </w:p>
    <w:p w14:paraId="42989CE7">
      <w:pPr>
        <w:widowControl/>
        <w:spacing w:line="400" w:lineRule="exact"/>
        <w:ind w:firstLine="480" w:firstLineChars="200"/>
        <w:jc w:val="left"/>
        <w:rPr>
          <w:rFonts w:hint="eastAsia"/>
          <w:color w:val="000000"/>
          <w:sz w:val="24"/>
        </w:rPr>
      </w:pPr>
      <w:r>
        <w:rPr>
          <w:rFonts w:hint="eastAsia"/>
          <w:color w:val="000000"/>
          <w:sz w:val="24"/>
        </w:rPr>
        <w:t>中标单位在清理队伍人员配置中，不得少于2支专业组，每支队伍人员不得少于15人正常作业，并要指定2名以上专人负责监督清理质量。采购单位定期检查中标单位施工进度和施工质量，若发现中标单位清理人员少、班组人员搭配不合理、进度缓慢等问题，采购单位责令限期整改，情节严重的可予以罚款或者采购单位可自行增加施工班组加快施工进度。</w:t>
      </w:r>
    </w:p>
    <w:p w14:paraId="23D1CE53">
      <w:pPr>
        <w:adjustRightInd w:val="0"/>
        <w:snapToGrid w:val="0"/>
        <w:spacing w:line="500" w:lineRule="exact"/>
        <w:ind w:firstLine="482" w:firstLineChars="200"/>
        <w:rPr>
          <w:rFonts w:hint="eastAsia"/>
          <w:b/>
          <w:bCs/>
          <w:sz w:val="24"/>
        </w:rPr>
      </w:pPr>
      <w:r>
        <w:rPr>
          <w:rFonts w:hint="eastAsia"/>
          <w:b/>
          <w:bCs/>
          <w:sz w:val="24"/>
        </w:rPr>
        <w:t xml:space="preserve">二、合同金额    </w:t>
      </w:r>
    </w:p>
    <w:tbl>
      <w:tblPr>
        <w:tblStyle w:val="5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562"/>
        <w:gridCol w:w="3551"/>
        <w:gridCol w:w="2701"/>
      </w:tblGrid>
      <w:tr w14:paraId="3FF0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85" w:type="pct"/>
            <w:noWrap w:val="0"/>
            <w:vAlign w:val="center"/>
          </w:tcPr>
          <w:p w14:paraId="63BF01F1">
            <w:pPr>
              <w:adjustRightInd w:val="0"/>
              <w:snapToGrid w:val="0"/>
              <w:spacing w:line="500" w:lineRule="exact"/>
              <w:rPr>
                <w:sz w:val="24"/>
              </w:rPr>
            </w:pPr>
            <w:r>
              <w:rPr>
                <w:rFonts w:hint="eastAsia"/>
                <w:sz w:val="24"/>
              </w:rPr>
              <w:t>序号</w:t>
            </w:r>
          </w:p>
        </w:tc>
        <w:tc>
          <w:tcPr>
            <w:tcW w:w="1342" w:type="pct"/>
            <w:noWrap w:val="0"/>
            <w:vAlign w:val="center"/>
          </w:tcPr>
          <w:p w14:paraId="4C32CF33">
            <w:pPr>
              <w:adjustRightInd w:val="0"/>
              <w:snapToGrid w:val="0"/>
              <w:spacing w:line="500" w:lineRule="exact"/>
              <w:ind w:firstLine="480" w:firstLineChars="200"/>
              <w:rPr>
                <w:rFonts w:hint="eastAsia"/>
                <w:sz w:val="24"/>
              </w:rPr>
            </w:pPr>
            <w:r>
              <w:rPr>
                <w:rFonts w:hint="eastAsia"/>
                <w:sz w:val="24"/>
              </w:rPr>
              <w:t>项目名称</w:t>
            </w:r>
          </w:p>
        </w:tc>
        <w:tc>
          <w:tcPr>
            <w:tcW w:w="1858" w:type="pct"/>
            <w:noWrap w:val="0"/>
            <w:vAlign w:val="center"/>
          </w:tcPr>
          <w:p w14:paraId="59FC34BF">
            <w:pPr>
              <w:adjustRightInd w:val="0"/>
              <w:snapToGrid w:val="0"/>
              <w:spacing w:line="500" w:lineRule="exact"/>
              <w:rPr>
                <w:sz w:val="24"/>
              </w:rPr>
            </w:pPr>
            <w:r>
              <w:rPr>
                <w:rFonts w:hint="eastAsia"/>
                <w:sz w:val="24"/>
              </w:rPr>
              <w:t>成交单价(元/吨)</w:t>
            </w:r>
          </w:p>
        </w:tc>
        <w:tc>
          <w:tcPr>
            <w:tcW w:w="1414" w:type="pct"/>
            <w:noWrap w:val="0"/>
            <w:vAlign w:val="center"/>
          </w:tcPr>
          <w:p w14:paraId="52F144A9">
            <w:pPr>
              <w:adjustRightInd w:val="0"/>
              <w:snapToGrid w:val="0"/>
              <w:spacing w:line="500" w:lineRule="exact"/>
              <w:rPr>
                <w:rFonts w:hint="eastAsia"/>
                <w:sz w:val="24"/>
              </w:rPr>
            </w:pPr>
            <w:r>
              <w:rPr>
                <w:rFonts w:hint="eastAsia"/>
                <w:sz w:val="24"/>
              </w:rPr>
              <w:t>除治范围和除治对象</w:t>
            </w:r>
          </w:p>
        </w:tc>
      </w:tr>
      <w:tr w14:paraId="169A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385" w:type="pct"/>
            <w:noWrap w:val="0"/>
            <w:vAlign w:val="center"/>
          </w:tcPr>
          <w:p w14:paraId="4B971CD2">
            <w:pPr>
              <w:adjustRightInd w:val="0"/>
              <w:snapToGrid w:val="0"/>
              <w:spacing w:line="500" w:lineRule="exact"/>
              <w:ind w:firstLine="480" w:firstLineChars="200"/>
              <w:rPr>
                <w:sz w:val="24"/>
              </w:rPr>
            </w:pPr>
            <w:r>
              <w:rPr>
                <w:rFonts w:hint="eastAsia"/>
                <w:sz w:val="24"/>
              </w:rPr>
              <w:t>1</w:t>
            </w:r>
          </w:p>
        </w:tc>
        <w:tc>
          <w:tcPr>
            <w:tcW w:w="1342" w:type="pct"/>
            <w:noWrap w:val="0"/>
            <w:vAlign w:val="center"/>
          </w:tcPr>
          <w:p w14:paraId="72D4176D">
            <w:pPr>
              <w:adjustRightInd w:val="0"/>
              <w:snapToGrid w:val="0"/>
              <w:spacing w:line="500" w:lineRule="exact"/>
              <w:ind w:firstLine="480" w:firstLineChars="200"/>
              <w:rPr>
                <w:rFonts w:hint="eastAsia"/>
                <w:sz w:val="24"/>
              </w:rPr>
            </w:pPr>
          </w:p>
        </w:tc>
        <w:tc>
          <w:tcPr>
            <w:tcW w:w="1858" w:type="pct"/>
            <w:noWrap w:val="0"/>
            <w:vAlign w:val="center"/>
          </w:tcPr>
          <w:p w14:paraId="413FE27F">
            <w:pPr>
              <w:adjustRightInd w:val="0"/>
              <w:snapToGrid w:val="0"/>
              <w:spacing w:line="500" w:lineRule="exact"/>
              <w:ind w:firstLine="480" w:firstLineChars="200"/>
              <w:rPr>
                <w:rFonts w:hint="eastAsia"/>
                <w:sz w:val="24"/>
              </w:rPr>
            </w:pPr>
            <w:r>
              <w:rPr>
                <w:rFonts w:hint="eastAsia"/>
                <w:sz w:val="24"/>
              </w:rPr>
              <w:t xml:space="preserve">         </w:t>
            </w:r>
          </w:p>
        </w:tc>
        <w:tc>
          <w:tcPr>
            <w:tcW w:w="1414" w:type="pct"/>
            <w:noWrap w:val="0"/>
            <w:vAlign w:val="center"/>
          </w:tcPr>
          <w:p w14:paraId="71D8FD80">
            <w:pPr>
              <w:adjustRightInd w:val="0"/>
              <w:snapToGrid w:val="0"/>
              <w:spacing w:line="500" w:lineRule="exact"/>
              <w:ind w:firstLine="480" w:firstLineChars="200"/>
              <w:rPr>
                <w:rFonts w:hint="eastAsia"/>
                <w:sz w:val="24"/>
              </w:rPr>
            </w:pPr>
          </w:p>
        </w:tc>
      </w:tr>
    </w:tbl>
    <w:p w14:paraId="08E18BE2">
      <w:pPr>
        <w:adjustRightInd w:val="0"/>
        <w:snapToGrid w:val="0"/>
        <w:spacing w:line="500" w:lineRule="exact"/>
        <w:ind w:firstLine="480" w:firstLineChars="200"/>
        <w:rPr>
          <w:rFonts w:hint="eastAsia"/>
          <w:color w:val="292929"/>
          <w:sz w:val="24"/>
          <w:lang w:val="zh-CN"/>
        </w:rPr>
      </w:pPr>
      <w:r>
        <w:rPr>
          <w:rFonts w:hint="eastAsia"/>
          <w:sz w:val="24"/>
        </w:rPr>
        <w:t>注：合同价格包含完成项目范围工作任务所发生的一切费用，包括枯死松树采伐、集材、造材、运输、伐桩处理以及松枝清理费、招标代理费、人员工资、机械材料、利润、税金、测量、勘察、保险（施工人员一律参加工伤保险）等完成合同所需的一切本身和不可或缺的所有工作开支、政策性文件规定及合同包含的所有风险、责任等各项全部费用。</w:t>
      </w:r>
      <w:r>
        <w:rPr>
          <w:rFonts w:hint="eastAsia"/>
          <w:sz w:val="24"/>
          <w:lang w:val="zh-CN"/>
        </w:rPr>
        <w:t>如有漏项，视为已包含在其它项目中。</w:t>
      </w:r>
    </w:p>
    <w:p w14:paraId="437417DE">
      <w:pPr>
        <w:adjustRightInd w:val="0"/>
        <w:snapToGrid w:val="0"/>
        <w:spacing w:line="500" w:lineRule="exact"/>
        <w:ind w:firstLine="482" w:firstLineChars="200"/>
        <w:rPr>
          <w:rFonts w:hint="eastAsia"/>
          <w:b/>
          <w:bCs/>
          <w:sz w:val="24"/>
        </w:rPr>
      </w:pPr>
      <w:r>
        <w:rPr>
          <w:rFonts w:hint="eastAsia"/>
          <w:b/>
          <w:bCs/>
          <w:sz w:val="24"/>
        </w:rPr>
        <w:t>三、履约保证金</w:t>
      </w:r>
    </w:p>
    <w:p w14:paraId="7E574B57">
      <w:pPr>
        <w:adjustRightInd w:val="0"/>
        <w:snapToGrid w:val="0"/>
        <w:spacing w:line="500" w:lineRule="exact"/>
        <w:ind w:firstLine="480" w:firstLineChars="200"/>
        <w:rPr>
          <w:rFonts w:hint="eastAsia"/>
          <w:sz w:val="24"/>
        </w:rPr>
      </w:pPr>
      <w:r>
        <w:rPr>
          <w:rFonts w:hint="eastAsia"/>
          <w:sz w:val="24"/>
        </w:rPr>
        <w:t>签订合同前乙方须向甲方交纳人民币</w:t>
      </w:r>
      <w:r>
        <w:rPr>
          <w:rFonts w:hint="eastAsia"/>
          <w:sz w:val="24"/>
          <w:u w:val="single"/>
        </w:rPr>
        <w:t xml:space="preserve">       </w:t>
      </w:r>
      <w:r>
        <w:rPr>
          <w:rFonts w:hint="eastAsia"/>
          <w:sz w:val="24"/>
        </w:rPr>
        <w:t>元作为本合同的履约保证金（成交金额的1%），履约保证金待项目经验收合格，无服务质量问题，一个月内无息退还。 缴纳形式为转账或以银行、保险公司出具的保函。</w:t>
      </w:r>
    </w:p>
    <w:p w14:paraId="06B1B018">
      <w:pPr>
        <w:adjustRightInd w:val="0"/>
        <w:snapToGrid w:val="0"/>
        <w:spacing w:line="500" w:lineRule="exact"/>
        <w:ind w:firstLine="482" w:firstLineChars="200"/>
        <w:rPr>
          <w:rFonts w:hint="eastAsia"/>
          <w:color w:val="000000"/>
          <w:sz w:val="24"/>
        </w:rPr>
      </w:pPr>
      <w:r>
        <w:rPr>
          <w:rFonts w:hint="eastAsia"/>
          <w:b/>
          <w:bCs/>
          <w:color w:val="000000"/>
          <w:sz w:val="24"/>
        </w:rPr>
        <w:t>四、1.履行时间</w:t>
      </w:r>
      <w:r>
        <w:rPr>
          <w:rFonts w:hint="eastAsia"/>
          <w:color w:val="000000"/>
          <w:sz w:val="24"/>
        </w:rPr>
        <w:t>：2025年12月30日前全面完成枯死松树清理工作（其中</w:t>
      </w:r>
      <w:r>
        <w:rPr>
          <w:rFonts w:hint="eastAsia" w:ascii="宋体" w:hAnsi="宋体" w:cs="宋体"/>
          <w:color w:val="000000"/>
          <w:sz w:val="24"/>
        </w:rPr>
        <w:t>公路主干线、城区周边、大规模成片地块必须在2025年5月30日前完成</w:t>
      </w:r>
      <w:r>
        <w:rPr>
          <w:rFonts w:hint="eastAsia" w:ascii="宋体" w:hAnsi="宋体" w:cs="宋体"/>
          <w:color w:val="000000"/>
          <w:sz w:val="24"/>
          <w:lang w:val="en-US" w:eastAsia="zh-CN"/>
        </w:rPr>
        <w:t>除治</w:t>
      </w:r>
      <w:r>
        <w:rPr>
          <w:rFonts w:hint="eastAsia"/>
          <w:color w:val="000000"/>
          <w:sz w:val="24"/>
        </w:rPr>
        <w:t>），遇不可抗拒的特殊情况，另行协商。</w:t>
      </w:r>
    </w:p>
    <w:p w14:paraId="43D0CCBA">
      <w:pPr>
        <w:adjustRightInd w:val="0"/>
        <w:snapToGrid w:val="0"/>
        <w:spacing w:line="500" w:lineRule="exact"/>
        <w:ind w:firstLine="480" w:firstLineChars="200"/>
        <w:rPr>
          <w:rFonts w:hint="eastAsia"/>
          <w:sz w:val="24"/>
        </w:rPr>
      </w:pPr>
      <w:r>
        <w:rPr>
          <w:rFonts w:hint="eastAsia"/>
          <w:sz w:val="24"/>
        </w:rPr>
        <w:t xml:space="preserve"> 2.履行方式：直接服务。</w:t>
      </w:r>
    </w:p>
    <w:p w14:paraId="63BD1AAD">
      <w:pPr>
        <w:adjustRightInd w:val="0"/>
        <w:snapToGrid w:val="0"/>
        <w:spacing w:line="500" w:lineRule="exact"/>
        <w:ind w:firstLine="480" w:firstLineChars="200"/>
        <w:rPr>
          <w:rFonts w:hint="eastAsia"/>
          <w:sz w:val="24"/>
        </w:rPr>
      </w:pPr>
      <w:r>
        <w:rPr>
          <w:rFonts w:hint="eastAsia"/>
          <w:sz w:val="24"/>
        </w:rPr>
        <w:t xml:space="preserve"> 3.履行地点：见除治范围。</w:t>
      </w:r>
    </w:p>
    <w:p w14:paraId="6F7DB235">
      <w:pPr>
        <w:adjustRightInd w:val="0"/>
        <w:snapToGrid w:val="0"/>
        <w:spacing w:line="500" w:lineRule="exact"/>
        <w:ind w:firstLine="482" w:firstLineChars="200"/>
        <w:rPr>
          <w:rFonts w:hint="eastAsia"/>
          <w:b/>
          <w:bCs/>
          <w:sz w:val="24"/>
        </w:rPr>
      </w:pPr>
      <w:r>
        <w:rPr>
          <w:rFonts w:hint="eastAsia"/>
          <w:b/>
          <w:bCs/>
          <w:sz w:val="24"/>
        </w:rPr>
        <w:t>五、转包或分包</w:t>
      </w:r>
    </w:p>
    <w:p w14:paraId="0C733F71">
      <w:pPr>
        <w:adjustRightInd w:val="0"/>
        <w:snapToGrid w:val="0"/>
        <w:spacing w:line="500" w:lineRule="exact"/>
        <w:ind w:firstLine="480" w:firstLineChars="200"/>
        <w:rPr>
          <w:rFonts w:hint="eastAsia"/>
          <w:sz w:val="24"/>
        </w:rPr>
      </w:pPr>
      <w:r>
        <w:rPr>
          <w:rFonts w:hint="eastAsia"/>
          <w:sz w:val="24"/>
        </w:rPr>
        <w:t>1.本合同范围的服务，应由乙方直接供应，不得转让他人供应；</w:t>
      </w:r>
    </w:p>
    <w:p w14:paraId="1F57CD77">
      <w:pPr>
        <w:adjustRightInd w:val="0"/>
        <w:snapToGrid w:val="0"/>
        <w:spacing w:line="500" w:lineRule="exact"/>
        <w:ind w:firstLine="480" w:firstLineChars="200"/>
        <w:rPr>
          <w:rFonts w:hint="eastAsia"/>
          <w:sz w:val="24"/>
        </w:rPr>
      </w:pPr>
      <w:r>
        <w:rPr>
          <w:rFonts w:hint="eastAsia"/>
          <w:sz w:val="24"/>
        </w:rPr>
        <w:t>2.除非得到甲方的书面同意，乙方不得将本合同范围的服务全部或部分分包给他人供应；</w:t>
      </w:r>
    </w:p>
    <w:p w14:paraId="4C9315A8">
      <w:pPr>
        <w:adjustRightInd w:val="0"/>
        <w:snapToGrid w:val="0"/>
        <w:spacing w:line="500" w:lineRule="exact"/>
        <w:ind w:firstLine="480" w:firstLineChars="200"/>
        <w:rPr>
          <w:rFonts w:hint="eastAsia"/>
          <w:sz w:val="24"/>
        </w:rPr>
      </w:pPr>
      <w:r>
        <w:rPr>
          <w:rFonts w:hint="eastAsia"/>
          <w:sz w:val="24"/>
        </w:rPr>
        <w:t>3.如有转让和未经甲方同意的分包行为，甲方有权解除合同，没收履约保证金并追究乙方的违约责任。</w:t>
      </w:r>
    </w:p>
    <w:p w14:paraId="1EB973DE">
      <w:pPr>
        <w:numPr>
          <w:ilvl w:val="0"/>
          <w:numId w:val="6"/>
        </w:numPr>
        <w:adjustRightInd w:val="0"/>
        <w:snapToGrid w:val="0"/>
        <w:spacing w:line="500" w:lineRule="exact"/>
        <w:rPr>
          <w:rFonts w:hint="eastAsia"/>
          <w:b/>
          <w:bCs/>
          <w:sz w:val="24"/>
        </w:rPr>
      </w:pPr>
      <w:r>
        <w:rPr>
          <w:rFonts w:hint="eastAsia"/>
          <w:b/>
          <w:bCs/>
          <w:sz w:val="24"/>
        </w:rPr>
        <w:t>付款办法</w:t>
      </w:r>
    </w:p>
    <w:p w14:paraId="464293EE">
      <w:pPr>
        <w:adjustRightInd w:val="0"/>
        <w:snapToGrid w:val="0"/>
        <w:spacing w:line="500" w:lineRule="exact"/>
        <w:ind w:firstLine="480" w:firstLineChars="200"/>
        <w:rPr>
          <w:rFonts w:hint="eastAsia"/>
          <w:sz w:val="24"/>
        </w:rPr>
      </w:pPr>
      <w:r>
        <w:rPr>
          <w:rFonts w:hint="eastAsia"/>
          <w:sz w:val="24"/>
        </w:rPr>
        <w:t>付款方式：</w:t>
      </w:r>
    </w:p>
    <w:p w14:paraId="43510440">
      <w:pPr>
        <w:adjustRightInd w:val="0"/>
        <w:snapToGrid w:val="0"/>
        <w:spacing w:line="500" w:lineRule="exact"/>
        <w:ind w:firstLine="480" w:firstLineChars="200"/>
        <w:rPr>
          <w:rFonts w:hint="eastAsia"/>
          <w:color w:val="000000"/>
          <w:sz w:val="24"/>
        </w:rPr>
      </w:pPr>
      <w:r>
        <w:rPr>
          <w:rFonts w:hint="eastAsia"/>
          <w:color w:val="000000"/>
          <w:sz w:val="24"/>
        </w:rPr>
        <w:t>1、签订合同后支付合同价的30%(凭相关单据与疫木定点企业结算)。</w:t>
      </w:r>
    </w:p>
    <w:p w14:paraId="0DEE1158">
      <w:pPr>
        <w:adjustRightInd w:val="0"/>
        <w:snapToGrid w:val="0"/>
        <w:spacing w:line="500" w:lineRule="exact"/>
        <w:ind w:left="480"/>
        <w:rPr>
          <w:rFonts w:hint="eastAsia"/>
          <w:color w:val="000000"/>
          <w:sz w:val="24"/>
        </w:rPr>
      </w:pPr>
      <w:r>
        <w:rPr>
          <w:rFonts w:hint="eastAsia"/>
          <w:color w:val="000000"/>
          <w:sz w:val="24"/>
        </w:rPr>
        <w:t>2、其余资金待相关部门验收通过，财政资金补助到位后予以支付。</w:t>
      </w:r>
    </w:p>
    <w:p w14:paraId="171F5F85">
      <w:pPr>
        <w:adjustRightInd w:val="0"/>
        <w:snapToGrid w:val="0"/>
        <w:spacing w:line="500" w:lineRule="exact"/>
        <w:ind w:left="480"/>
        <w:rPr>
          <w:rFonts w:hint="eastAsia"/>
          <w:sz w:val="24"/>
        </w:rPr>
      </w:pPr>
      <w:r>
        <w:rPr>
          <w:rFonts w:hint="eastAsia"/>
          <w:sz w:val="24"/>
        </w:rPr>
        <w:t>乙方开户银行：</w:t>
      </w:r>
    </w:p>
    <w:p w14:paraId="7CCE309A">
      <w:pPr>
        <w:adjustRightInd w:val="0"/>
        <w:snapToGrid w:val="0"/>
        <w:spacing w:line="500" w:lineRule="exact"/>
        <w:ind w:firstLine="480" w:firstLineChars="200"/>
        <w:rPr>
          <w:rFonts w:hint="eastAsia"/>
          <w:sz w:val="24"/>
        </w:rPr>
      </w:pPr>
      <w:r>
        <w:rPr>
          <w:rFonts w:hint="eastAsia"/>
          <w:sz w:val="24"/>
        </w:rPr>
        <w:t>乙方银行账号：</w:t>
      </w:r>
    </w:p>
    <w:p w14:paraId="6B7ACE91">
      <w:pPr>
        <w:adjustRightInd w:val="0"/>
        <w:snapToGrid w:val="0"/>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结算方式</w:t>
      </w:r>
    </w:p>
    <w:p w14:paraId="73DECE92">
      <w:pPr>
        <w:wordWrap w:val="0"/>
        <w:snapToGrid w:val="0"/>
        <w:spacing w:line="480" w:lineRule="exact"/>
        <w:ind w:firstLine="420" w:firstLineChars="200"/>
        <w:rPr>
          <w:rFonts w:ascii="宋体" w:hAnsi="宋体" w:eastAsia="宋体" w:cs="宋体"/>
        </w:rPr>
      </w:pPr>
      <w:r>
        <w:rPr>
          <w:rFonts w:hint="eastAsia" w:ascii="宋体" w:hAnsi="宋体" w:eastAsia="宋体" w:cs="宋体"/>
        </w:rPr>
        <w:t>1、按照《磐安县松材线虫病枯死木清理除治验收操作细则及补助资金计算规定》进行结算：</w:t>
      </w:r>
    </w:p>
    <w:p w14:paraId="15872A8C">
      <w:pPr>
        <w:wordWrap w:val="0"/>
        <w:snapToGrid w:val="0"/>
        <w:spacing w:line="480" w:lineRule="exact"/>
        <w:ind w:firstLine="420" w:firstLineChars="200"/>
      </w:pPr>
      <w:r>
        <w:rPr>
          <w:rFonts w:hint="eastAsia" w:ascii="宋体" w:hAnsi="宋体" w:eastAsia="宋体" w:cs="宋体"/>
          <w:lang w:val="en-US" w:eastAsia="zh-CN"/>
        </w:rPr>
        <w:t>2、</w:t>
      </w:r>
      <w:r>
        <w:rPr>
          <w:rFonts w:hint="eastAsia" w:ascii="宋体" w:hAnsi="宋体" w:eastAsia="宋体" w:cs="宋体"/>
        </w:rPr>
        <w:t>疫木定点加工企业松树残值：本项资金按乙方清理下山疫木重量，由疫木定点加工企业支付，不受枯死松树清理验收质量等级影响，但须优先用于支付农民工工资。</w:t>
      </w:r>
    </w:p>
    <w:p w14:paraId="0CF5340D">
      <w:pPr>
        <w:adjustRightInd w:val="0"/>
        <w:snapToGrid w:val="0"/>
        <w:spacing w:line="500" w:lineRule="exact"/>
        <w:ind w:firstLine="482" w:firstLineChars="200"/>
        <w:rPr>
          <w:rFonts w:hint="eastAsia"/>
          <w:sz w:val="24"/>
        </w:rPr>
      </w:pPr>
      <w:r>
        <w:rPr>
          <w:rFonts w:hint="eastAsia"/>
          <w:b/>
          <w:bCs/>
          <w:sz w:val="24"/>
          <w:lang w:val="en-US" w:eastAsia="zh-CN"/>
        </w:rPr>
        <w:t>八</w:t>
      </w:r>
      <w:r>
        <w:rPr>
          <w:rFonts w:hint="eastAsia"/>
          <w:b/>
          <w:bCs/>
          <w:sz w:val="24"/>
        </w:rPr>
        <w:t>、违约责任</w:t>
      </w:r>
    </w:p>
    <w:p w14:paraId="06C88AE3">
      <w:pPr>
        <w:adjustRightInd w:val="0"/>
        <w:snapToGrid w:val="0"/>
        <w:spacing w:line="500" w:lineRule="exact"/>
        <w:ind w:firstLine="480" w:firstLineChars="200"/>
        <w:rPr>
          <w:rFonts w:hint="eastAsia"/>
          <w:sz w:val="24"/>
        </w:rPr>
      </w:pPr>
      <w:r>
        <w:rPr>
          <w:rFonts w:hint="eastAsia"/>
          <w:sz w:val="24"/>
        </w:rPr>
        <w:t>1.甲方无正当理由拒收接受服务的，甲方向乙方偿付合同款项百分之五作为违约金。</w:t>
      </w:r>
    </w:p>
    <w:p w14:paraId="326E6C86">
      <w:pPr>
        <w:adjustRightInd w:val="0"/>
        <w:snapToGrid w:val="0"/>
        <w:spacing w:line="500" w:lineRule="exact"/>
        <w:ind w:firstLine="480" w:firstLineChars="200"/>
        <w:rPr>
          <w:rFonts w:hint="eastAsia"/>
          <w:sz w:val="24"/>
        </w:rPr>
      </w:pPr>
      <w:r>
        <w:rPr>
          <w:rFonts w:hint="eastAsia"/>
          <w:sz w:val="24"/>
        </w:rPr>
        <w:t>2.甲方无故逾期验收和办理款项支付手续的,甲方应按逾期付款总额每日万分之五向乙方支付违约金。</w:t>
      </w:r>
    </w:p>
    <w:p w14:paraId="423E40C9">
      <w:pPr>
        <w:adjustRightInd w:val="0"/>
        <w:snapToGrid w:val="0"/>
        <w:spacing w:line="500" w:lineRule="exact"/>
        <w:ind w:firstLine="480" w:firstLineChars="200"/>
        <w:rPr>
          <w:rFonts w:hint="eastAsia"/>
          <w:sz w:val="24"/>
        </w:rPr>
      </w:pPr>
      <w:r>
        <w:rPr>
          <w:rFonts w:hint="eastAsia"/>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甲方造成原因除外）。</w:t>
      </w:r>
    </w:p>
    <w:p w14:paraId="0C0E7A9F">
      <w:pPr>
        <w:adjustRightInd w:val="0"/>
        <w:snapToGrid w:val="0"/>
        <w:spacing w:line="500" w:lineRule="exact"/>
        <w:ind w:firstLine="482" w:firstLineChars="200"/>
        <w:rPr>
          <w:rFonts w:hint="eastAsia"/>
          <w:b/>
          <w:bCs/>
          <w:sz w:val="24"/>
        </w:rPr>
      </w:pPr>
      <w:r>
        <w:rPr>
          <w:rFonts w:hint="eastAsia"/>
          <w:b/>
          <w:bCs/>
          <w:sz w:val="24"/>
          <w:lang w:val="en-US" w:eastAsia="zh-CN"/>
        </w:rPr>
        <w:t>九</w:t>
      </w:r>
      <w:r>
        <w:rPr>
          <w:rFonts w:hint="eastAsia"/>
          <w:b/>
          <w:bCs/>
          <w:sz w:val="24"/>
        </w:rPr>
        <w:t>、税费</w:t>
      </w:r>
    </w:p>
    <w:p w14:paraId="41520ADF">
      <w:pPr>
        <w:adjustRightInd w:val="0"/>
        <w:snapToGrid w:val="0"/>
        <w:spacing w:line="500" w:lineRule="exact"/>
        <w:ind w:firstLine="480" w:firstLineChars="200"/>
        <w:rPr>
          <w:rFonts w:hint="eastAsia"/>
          <w:sz w:val="24"/>
        </w:rPr>
      </w:pPr>
      <w:r>
        <w:rPr>
          <w:rFonts w:hint="eastAsia"/>
          <w:sz w:val="24"/>
        </w:rPr>
        <w:t>本合同执行中相关的一切税费均由乙方负担。</w:t>
      </w:r>
    </w:p>
    <w:p w14:paraId="542E0DC2">
      <w:pPr>
        <w:adjustRightInd w:val="0"/>
        <w:snapToGrid w:val="0"/>
        <w:spacing w:line="500" w:lineRule="exact"/>
        <w:ind w:firstLine="482" w:firstLineChars="200"/>
        <w:rPr>
          <w:rFonts w:hint="eastAsia"/>
          <w:b/>
          <w:bCs/>
          <w:sz w:val="24"/>
        </w:rPr>
      </w:pPr>
      <w:r>
        <w:rPr>
          <w:rFonts w:hint="eastAsia"/>
          <w:b/>
          <w:bCs/>
          <w:sz w:val="24"/>
        </w:rPr>
        <w:t>十、监督验收</w:t>
      </w:r>
    </w:p>
    <w:p w14:paraId="38DB6D8C">
      <w:pPr>
        <w:adjustRightInd w:val="0"/>
        <w:snapToGrid w:val="0"/>
        <w:spacing w:line="500" w:lineRule="exact"/>
        <w:ind w:firstLine="480" w:firstLineChars="200"/>
        <w:rPr>
          <w:rFonts w:hint="eastAsia"/>
          <w:sz w:val="24"/>
        </w:rPr>
      </w:pPr>
      <w:r>
        <w:rPr>
          <w:rFonts w:hint="eastAsia"/>
          <w:sz w:val="24"/>
        </w:rPr>
        <w:t>接受县林业局、乡镇（街道）、村监督检查，落实质量问题整改，做好清理“回头看”。要按合同要求组织开展自查验收，实地抽查不少于</w:t>
      </w:r>
      <w:r>
        <w:rPr>
          <w:rFonts w:hint="eastAsia"/>
          <w:sz w:val="24"/>
          <w:lang w:val="en-US" w:eastAsia="zh-CN"/>
        </w:rPr>
        <w:t>8</w:t>
      </w:r>
      <w:r>
        <w:rPr>
          <w:rFonts w:hint="eastAsia"/>
          <w:sz w:val="24"/>
        </w:rPr>
        <w:t>处清理山场（点），检查路线从山脚至山顶，清理质量不达标或有零星漏清枯死松树的，要责令清理单位返工清理，并每处扣款500元；对成片未清理的，依据枯死松树量每处扣款1000-3000元；对发现砍伐活松木或其他林木的，每发现一处扣款1000元。县林业局委托第三方机构对各乡镇（街道）的自查验收情况进行抽样核查，抽查不少于</w:t>
      </w:r>
      <w:r>
        <w:rPr>
          <w:rFonts w:hint="eastAsia"/>
          <w:sz w:val="24"/>
          <w:lang w:val="en-US" w:eastAsia="zh-CN"/>
        </w:rPr>
        <w:t>8</w:t>
      </w:r>
      <w:r>
        <w:rPr>
          <w:rFonts w:hint="eastAsia"/>
          <w:sz w:val="24"/>
        </w:rPr>
        <w:t>处清理山场（点），具体核验办法按上级标准验收。</w:t>
      </w:r>
    </w:p>
    <w:p w14:paraId="550174C7">
      <w:pPr>
        <w:adjustRightInd w:val="0"/>
        <w:snapToGrid w:val="0"/>
        <w:spacing w:line="500" w:lineRule="exact"/>
        <w:ind w:firstLine="482" w:firstLineChars="200"/>
        <w:rPr>
          <w:rFonts w:hint="eastAsia"/>
          <w:b/>
          <w:bCs/>
          <w:sz w:val="24"/>
        </w:rPr>
      </w:pPr>
      <w:r>
        <w:rPr>
          <w:rFonts w:hint="eastAsia"/>
          <w:b/>
          <w:bCs/>
          <w:sz w:val="24"/>
        </w:rPr>
        <w:t>十</w:t>
      </w:r>
      <w:r>
        <w:rPr>
          <w:rFonts w:hint="eastAsia"/>
          <w:b/>
          <w:bCs/>
          <w:sz w:val="24"/>
          <w:lang w:val="en-US" w:eastAsia="zh-CN"/>
        </w:rPr>
        <w:t>一</w:t>
      </w:r>
      <w:r>
        <w:rPr>
          <w:rFonts w:hint="eastAsia"/>
          <w:b/>
          <w:bCs/>
          <w:sz w:val="24"/>
        </w:rPr>
        <w:t>、安全责任</w:t>
      </w:r>
    </w:p>
    <w:p w14:paraId="0405CB82">
      <w:pPr>
        <w:adjustRightInd w:val="0"/>
        <w:snapToGrid w:val="0"/>
        <w:spacing w:line="500" w:lineRule="exact"/>
        <w:ind w:firstLine="480" w:firstLineChars="200"/>
        <w:rPr>
          <w:rFonts w:hint="eastAsia"/>
          <w:sz w:val="24"/>
        </w:rPr>
      </w:pPr>
      <w:r>
        <w:rPr>
          <w:rFonts w:hint="eastAsia"/>
          <w:sz w:val="24"/>
        </w:rPr>
        <w:t>清理（中标）单位对清理工作的安全负全责，必须落实清理作业人员的意外伤害保险，出现安全问题（包括对第三方造成的安全伤害）均与县林业局、乡镇、村无关。</w:t>
      </w:r>
    </w:p>
    <w:p w14:paraId="71EE5C3F">
      <w:pPr>
        <w:adjustRightInd w:val="0"/>
        <w:snapToGrid w:val="0"/>
        <w:spacing w:line="500" w:lineRule="exact"/>
        <w:ind w:firstLine="482" w:firstLineChars="200"/>
        <w:rPr>
          <w:rFonts w:hint="eastAsia"/>
          <w:b/>
          <w:bCs/>
          <w:sz w:val="24"/>
        </w:rPr>
      </w:pPr>
      <w:r>
        <w:rPr>
          <w:rFonts w:hint="eastAsia"/>
          <w:b/>
          <w:bCs/>
          <w:sz w:val="24"/>
        </w:rPr>
        <w:t>十</w:t>
      </w:r>
      <w:r>
        <w:rPr>
          <w:rFonts w:hint="eastAsia"/>
          <w:b/>
          <w:bCs/>
          <w:sz w:val="24"/>
          <w:lang w:val="en-US" w:eastAsia="zh-CN"/>
        </w:rPr>
        <w:t>二</w:t>
      </w:r>
      <w:r>
        <w:rPr>
          <w:rFonts w:hint="eastAsia"/>
          <w:b/>
          <w:bCs/>
          <w:sz w:val="24"/>
        </w:rPr>
        <w:t>、不可抗力事件处理</w:t>
      </w:r>
    </w:p>
    <w:p w14:paraId="7861E43B">
      <w:pPr>
        <w:adjustRightInd w:val="0"/>
        <w:snapToGrid w:val="0"/>
        <w:spacing w:line="500" w:lineRule="exact"/>
        <w:ind w:firstLine="480" w:firstLineChars="200"/>
        <w:rPr>
          <w:rFonts w:hint="eastAsia"/>
          <w:sz w:val="24"/>
        </w:rPr>
      </w:pPr>
      <w:r>
        <w:rPr>
          <w:rFonts w:hint="eastAsia"/>
          <w:sz w:val="24"/>
        </w:rPr>
        <w:t>1.在合同有效期内，任何一方因不可抗力事件导致不能履行合同，则合同履行期可延长，其延长期与不可抗力影响期相同。</w:t>
      </w:r>
    </w:p>
    <w:p w14:paraId="40270A17">
      <w:pPr>
        <w:adjustRightInd w:val="0"/>
        <w:snapToGrid w:val="0"/>
        <w:spacing w:line="500" w:lineRule="exact"/>
        <w:ind w:firstLine="480" w:firstLineChars="200"/>
        <w:rPr>
          <w:rFonts w:hint="eastAsia"/>
          <w:sz w:val="24"/>
        </w:rPr>
      </w:pPr>
      <w:r>
        <w:rPr>
          <w:rFonts w:hint="eastAsia"/>
          <w:sz w:val="24"/>
        </w:rPr>
        <w:t>2.不可抗力事件发生后，应立即通知对方，并寄送有关权威机构出具的证明。</w:t>
      </w:r>
    </w:p>
    <w:p w14:paraId="37DE47AD">
      <w:pPr>
        <w:adjustRightInd w:val="0"/>
        <w:snapToGrid w:val="0"/>
        <w:spacing w:line="500" w:lineRule="exact"/>
        <w:ind w:firstLine="480" w:firstLineChars="200"/>
        <w:rPr>
          <w:rFonts w:hint="eastAsia"/>
          <w:sz w:val="24"/>
        </w:rPr>
      </w:pPr>
      <w:r>
        <w:rPr>
          <w:rFonts w:hint="eastAsia"/>
          <w:sz w:val="24"/>
        </w:rPr>
        <w:t>3.不可抗力事件延续120天以上，双方应通过友好协商，确定是否继续履行合同。</w:t>
      </w:r>
    </w:p>
    <w:p w14:paraId="49EFC254">
      <w:pPr>
        <w:adjustRightInd w:val="0"/>
        <w:snapToGrid w:val="0"/>
        <w:spacing w:line="500" w:lineRule="exact"/>
        <w:ind w:firstLine="482" w:firstLineChars="200"/>
        <w:rPr>
          <w:rFonts w:hint="eastAsia"/>
          <w:b/>
          <w:bCs/>
          <w:sz w:val="24"/>
        </w:rPr>
      </w:pPr>
      <w:r>
        <w:rPr>
          <w:rFonts w:hint="eastAsia"/>
          <w:b/>
          <w:bCs/>
          <w:sz w:val="24"/>
        </w:rPr>
        <w:t>十</w:t>
      </w:r>
      <w:r>
        <w:rPr>
          <w:rFonts w:hint="eastAsia"/>
          <w:b/>
          <w:bCs/>
          <w:sz w:val="24"/>
          <w:lang w:val="en-US" w:eastAsia="zh-CN"/>
        </w:rPr>
        <w:t>三</w:t>
      </w:r>
      <w:r>
        <w:rPr>
          <w:rFonts w:hint="eastAsia"/>
          <w:b/>
          <w:bCs/>
          <w:sz w:val="24"/>
        </w:rPr>
        <w:t>、诉讼</w:t>
      </w:r>
    </w:p>
    <w:p w14:paraId="112B0255">
      <w:pPr>
        <w:adjustRightInd w:val="0"/>
        <w:snapToGrid w:val="0"/>
        <w:spacing w:line="500" w:lineRule="exact"/>
        <w:ind w:firstLine="480" w:firstLineChars="200"/>
        <w:rPr>
          <w:rFonts w:hint="eastAsia"/>
          <w:sz w:val="24"/>
        </w:rPr>
      </w:pPr>
      <w:r>
        <w:rPr>
          <w:rFonts w:hint="eastAsia"/>
          <w:sz w:val="24"/>
        </w:rPr>
        <w:t>双方在执行合同中所发生的一切争议，应通过协商解决。如协商不成，可向甲方所在地法院起诉。</w:t>
      </w:r>
    </w:p>
    <w:p w14:paraId="7F8B5AC5">
      <w:pPr>
        <w:adjustRightInd w:val="0"/>
        <w:snapToGrid w:val="0"/>
        <w:spacing w:line="500" w:lineRule="exact"/>
        <w:ind w:firstLine="482" w:firstLineChars="200"/>
        <w:rPr>
          <w:rFonts w:hint="eastAsia"/>
          <w:b/>
          <w:bCs/>
          <w:sz w:val="24"/>
          <w:lang w:val="zh-CN"/>
        </w:rPr>
      </w:pPr>
      <w:r>
        <w:rPr>
          <w:rFonts w:hint="eastAsia"/>
          <w:b/>
          <w:bCs/>
          <w:sz w:val="24"/>
          <w:lang w:val="zh-CN"/>
        </w:rPr>
        <w:t>十</w:t>
      </w:r>
      <w:r>
        <w:rPr>
          <w:rFonts w:hint="eastAsia"/>
          <w:b/>
          <w:bCs/>
          <w:sz w:val="24"/>
          <w:lang w:val="en-US" w:eastAsia="zh-CN"/>
        </w:rPr>
        <w:t>四</w:t>
      </w:r>
      <w:r>
        <w:rPr>
          <w:rFonts w:hint="eastAsia"/>
          <w:b/>
          <w:bCs/>
          <w:sz w:val="24"/>
          <w:lang w:val="zh-CN"/>
        </w:rPr>
        <w:t>、合同生效及其它</w:t>
      </w:r>
    </w:p>
    <w:p w14:paraId="77BA55F6">
      <w:pPr>
        <w:adjustRightInd w:val="0"/>
        <w:snapToGrid w:val="0"/>
        <w:spacing w:line="500" w:lineRule="exact"/>
        <w:ind w:firstLine="480" w:firstLineChars="200"/>
        <w:rPr>
          <w:rFonts w:hint="eastAsia"/>
          <w:sz w:val="24"/>
          <w:lang w:val="zh-CN"/>
        </w:rPr>
      </w:pPr>
      <w:r>
        <w:rPr>
          <w:rFonts w:hint="eastAsia"/>
          <w:sz w:val="24"/>
          <w:lang w:val="zh-CN"/>
        </w:rPr>
        <w:t>1.本合同未尽事宜，双方可另行签署补充协议。</w:t>
      </w:r>
    </w:p>
    <w:p w14:paraId="2BE0BC6B">
      <w:pPr>
        <w:adjustRightInd w:val="0"/>
        <w:snapToGrid w:val="0"/>
        <w:spacing w:line="500" w:lineRule="exact"/>
        <w:ind w:firstLine="480" w:firstLineChars="200"/>
        <w:rPr>
          <w:rFonts w:hint="eastAsia"/>
          <w:sz w:val="24"/>
          <w:lang w:val="zh-CN"/>
        </w:rPr>
      </w:pPr>
      <w:r>
        <w:rPr>
          <w:rFonts w:hint="eastAsia"/>
          <w:sz w:val="24"/>
        </w:rPr>
        <w:t>2</w:t>
      </w:r>
      <w:r>
        <w:rPr>
          <w:rFonts w:hint="eastAsia"/>
          <w:sz w:val="24"/>
          <w:lang w:val="zh-CN"/>
        </w:rPr>
        <w:t>.本合同未尽事宜，遵照《合同法》有关条文执行。</w:t>
      </w:r>
    </w:p>
    <w:p w14:paraId="6862DA3F">
      <w:pPr>
        <w:adjustRightInd w:val="0"/>
        <w:snapToGrid w:val="0"/>
        <w:spacing w:line="500" w:lineRule="exact"/>
        <w:ind w:firstLine="480" w:firstLineChars="200"/>
        <w:rPr>
          <w:rFonts w:hint="eastAsia"/>
          <w:sz w:val="24"/>
          <w:lang w:val="zh-CN"/>
        </w:rPr>
      </w:pPr>
      <w:r>
        <w:rPr>
          <w:rFonts w:hint="eastAsia"/>
          <w:sz w:val="24"/>
        </w:rPr>
        <w:t>3</w:t>
      </w:r>
      <w:r>
        <w:rPr>
          <w:rFonts w:hint="eastAsia"/>
          <w:sz w:val="24"/>
          <w:lang w:val="zh-CN"/>
        </w:rPr>
        <w:t>.本合同正本一式</w:t>
      </w:r>
      <w:r>
        <w:rPr>
          <w:rFonts w:hint="eastAsia"/>
          <w:sz w:val="24"/>
        </w:rPr>
        <w:t>柒</w:t>
      </w:r>
      <w:r>
        <w:rPr>
          <w:rFonts w:hint="eastAsia"/>
          <w:sz w:val="24"/>
          <w:lang w:val="zh-CN"/>
        </w:rPr>
        <w:t>份，具有同等法律效力，甲乙双方各执二份。</w:t>
      </w:r>
    </w:p>
    <w:p w14:paraId="6B3B1643">
      <w:pPr>
        <w:tabs>
          <w:tab w:val="left" w:pos="720"/>
          <w:tab w:val="left" w:pos="1154"/>
          <w:tab w:val="center" w:pos="4425"/>
        </w:tabs>
        <w:spacing w:line="440" w:lineRule="exact"/>
        <w:ind w:firstLine="1205" w:firstLineChars="500"/>
        <w:jc w:val="left"/>
        <w:rPr>
          <w:rFonts w:ascii="宋体" w:hAnsi="宋体"/>
          <w:b/>
          <w:sz w:val="24"/>
        </w:rPr>
      </w:pPr>
    </w:p>
    <w:tbl>
      <w:tblPr>
        <w:tblStyle w:val="53"/>
        <w:tblW w:w="92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6"/>
        <w:gridCol w:w="4613"/>
      </w:tblGrid>
      <w:tr w14:paraId="3D805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1" w:hRule="atLeast"/>
          <w:jc w:val="center"/>
        </w:trPr>
        <w:tc>
          <w:tcPr>
            <w:tcW w:w="4626" w:type="dxa"/>
            <w:tcBorders>
              <w:top w:val="single" w:color="auto" w:sz="4" w:space="0"/>
              <w:left w:val="single" w:color="auto" w:sz="4" w:space="0"/>
              <w:bottom w:val="single" w:color="auto" w:sz="4" w:space="0"/>
              <w:right w:val="single" w:color="auto" w:sz="4" w:space="0"/>
            </w:tcBorders>
            <w:noWrap w:val="0"/>
            <w:vAlign w:val="top"/>
          </w:tcPr>
          <w:p w14:paraId="12D09BD7">
            <w:pPr>
              <w:spacing w:line="440" w:lineRule="exact"/>
              <w:ind w:right="-105" w:rightChars="-50"/>
              <w:jc w:val="center"/>
              <w:rPr>
                <w:rFonts w:hint="eastAsia" w:ascii="宋体" w:hAnsi="宋体" w:cs="宋体"/>
                <w:b/>
                <w:bCs/>
                <w:sz w:val="24"/>
              </w:rPr>
            </w:pPr>
            <w:r>
              <w:rPr>
                <w:rFonts w:hint="eastAsia" w:ascii="宋体" w:hAnsi="宋体" w:cs="宋体"/>
                <w:b/>
                <w:bCs/>
                <w:sz w:val="24"/>
              </w:rPr>
              <w:t>甲  方</w:t>
            </w:r>
          </w:p>
          <w:p w14:paraId="57FE4804">
            <w:pPr>
              <w:spacing w:line="440" w:lineRule="exact"/>
              <w:ind w:left="-11" w:right="-105" w:rightChars="-50" w:firstLine="3"/>
              <w:rPr>
                <w:rFonts w:hint="eastAsia" w:ascii="宋体" w:hAnsi="宋体" w:cs="宋体"/>
                <w:sz w:val="24"/>
              </w:rPr>
            </w:pPr>
            <w:r>
              <w:rPr>
                <w:rFonts w:hint="eastAsia" w:ascii="宋体" w:hAnsi="宋体" w:cs="宋体"/>
                <w:sz w:val="24"/>
              </w:rPr>
              <w:t>单位名称（章）：</w:t>
            </w:r>
            <w:r>
              <w:rPr>
                <w:rFonts w:hint="eastAsia" w:ascii="宋体" w:hAnsi="宋体"/>
                <w:b/>
                <w:bCs/>
                <w:sz w:val="24"/>
              </w:rPr>
              <w:t xml:space="preserve"> </w:t>
            </w:r>
          </w:p>
          <w:p w14:paraId="7BCAD19F">
            <w:pPr>
              <w:spacing w:line="440" w:lineRule="exact"/>
              <w:ind w:left="-171" w:right="-105" w:rightChars="-50" w:firstLine="163" w:firstLineChars="68"/>
              <w:rPr>
                <w:rFonts w:hint="eastAsia" w:ascii="宋体" w:hAnsi="宋体" w:cs="宋体"/>
                <w:sz w:val="24"/>
              </w:rPr>
            </w:pPr>
            <w:r>
              <w:rPr>
                <w:rFonts w:hint="eastAsia" w:ascii="宋体" w:hAnsi="宋体" w:cs="宋体"/>
                <w:sz w:val="24"/>
              </w:rPr>
              <w:t>单位地址：</w:t>
            </w:r>
            <w:r>
              <w:rPr>
                <w:rFonts w:hint="eastAsia" w:ascii="宋体" w:hAnsi="宋体"/>
                <w:b/>
                <w:bCs/>
                <w:sz w:val="24"/>
              </w:rPr>
              <w:t xml:space="preserve"> </w:t>
            </w:r>
          </w:p>
          <w:p w14:paraId="77913DF5">
            <w:pPr>
              <w:spacing w:line="440" w:lineRule="exact"/>
              <w:ind w:left="-170" w:right="-105" w:rightChars="-50" w:firstLine="163" w:firstLineChars="68"/>
              <w:rPr>
                <w:rFonts w:hint="eastAsia" w:ascii="宋体" w:hAnsi="宋体" w:cs="宋体"/>
                <w:sz w:val="24"/>
              </w:rPr>
            </w:pPr>
            <w:r>
              <w:rPr>
                <w:rFonts w:hint="eastAsia" w:ascii="宋体" w:hAnsi="宋体" w:cs="宋体"/>
                <w:sz w:val="24"/>
              </w:rPr>
              <w:t>法定代表人或委托代理人（签字）：</w:t>
            </w:r>
          </w:p>
          <w:p w14:paraId="2E90D702">
            <w:pPr>
              <w:pStyle w:val="52"/>
              <w:spacing w:after="0" w:line="440" w:lineRule="exact"/>
              <w:ind w:firstLine="464"/>
              <w:rPr>
                <w:rFonts w:hint="eastAsia" w:ascii="Times New Roman" w:hAnsi="宋体" w:cs="宋体"/>
                <w:sz w:val="24"/>
                <w:szCs w:val="24"/>
              </w:rPr>
            </w:pPr>
          </w:p>
          <w:p w14:paraId="2665477A">
            <w:pPr>
              <w:spacing w:line="440" w:lineRule="exact"/>
              <w:ind w:left="-170" w:right="-105" w:rightChars="-50" w:firstLine="163" w:firstLineChars="68"/>
              <w:rPr>
                <w:rFonts w:hint="eastAsia" w:ascii="宋体" w:hAnsi="宋体" w:cs="宋体"/>
                <w:sz w:val="24"/>
              </w:rPr>
            </w:pPr>
            <w:r>
              <w:rPr>
                <w:rFonts w:hint="eastAsia" w:ascii="宋体" w:hAnsi="宋体" w:cs="宋体"/>
                <w:sz w:val="24"/>
              </w:rPr>
              <w:t>电 话：</w:t>
            </w:r>
          </w:p>
          <w:p w14:paraId="5F4418F0">
            <w:pPr>
              <w:spacing w:line="440" w:lineRule="exact"/>
              <w:ind w:left="-170" w:right="-105" w:rightChars="-50" w:firstLine="163" w:firstLineChars="68"/>
              <w:rPr>
                <w:rFonts w:hint="eastAsia" w:ascii="宋体" w:hAnsi="宋体" w:cs="宋体"/>
                <w:sz w:val="24"/>
              </w:rPr>
            </w:pPr>
            <w:r>
              <w:rPr>
                <w:rFonts w:hint="eastAsia" w:ascii="宋体" w:hAnsi="宋体" w:cs="宋体"/>
                <w:sz w:val="24"/>
              </w:rPr>
              <w:t>开户银行：</w:t>
            </w:r>
          </w:p>
          <w:p w14:paraId="6A242E9B">
            <w:pPr>
              <w:spacing w:line="440" w:lineRule="exact"/>
              <w:ind w:left="-170" w:right="-105" w:rightChars="-50" w:firstLine="163" w:firstLineChars="68"/>
              <w:rPr>
                <w:rFonts w:hint="eastAsia" w:ascii="宋体" w:hAnsi="宋体" w:cs="宋体"/>
                <w:sz w:val="24"/>
              </w:rPr>
            </w:pPr>
            <w:r>
              <w:rPr>
                <w:rFonts w:hint="eastAsia" w:ascii="宋体" w:hAnsi="宋体" w:cs="宋体"/>
                <w:sz w:val="24"/>
              </w:rPr>
              <w:t>账 号：</w:t>
            </w:r>
          </w:p>
          <w:p w14:paraId="533C5893">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 </w:t>
            </w:r>
          </w:p>
        </w:tc>
        <w:tc>
          <w:tcPr>
            <w:tcW w:w="4613" w:type="dxa"/>
            <w:tcBorders>
              <w:top w:val="single" w:color="auto" w:sz="4" w:space="0"/>
              <w:left w:val="single" w:color="auto" w:sz="4" w:space="0"/>
              <w:bottom w:val="single" w:color="auto" w:sz="4" w:space="0"/>
              <w:right w:val="single" w:color="auto" w:sz="4" w:space="0"/>
            </w:tcBorders>
            <w:noWrap w:val="0"/>
            <w:vAlign w:val="top"/>
          </w:tcPr>
          <w:p w14:paraId="7E9D540D">
            <w:pPr>
              <w:spacing w:line="440" w:lineRule="exact"/>
              <w:ind w:right="-105" w:rightChars="-50"/>
              <w:jc w:val="center"/>
              <w:rPr>
                <w:rFonts w:hint="eastAsia" w:ascii="宋体" w:hAnsi="宋体" w:cs="宋体"/>
                <w:b/>
                <w:bCs/>
                <w:sz w:val="24"/>
              </w:rPr>
            </w:pPr>
            <w:r>
              <w:rPr>
                <w:rFonts w:hint="eastAsia" w:ascii="宋体" w:hAnsi="宋体" w:cs="宋体"/>
                <w:b/>
                <w:bCs/>
                <w:sz w:val="24"/>
              </w:rPr>
              <w:t>乙  方</w:t>
            </w:r>
          </w:p>
          <w:p w14:paraId="27142326">
            <w:pPr>
              <w:spacing w:line="440" w:lineRule="exact"/>
              <w:ind w:left="-11" w:right="-105" w:rightChars="-50" w:firstLine="3"/>
              <w:rPr>
                <w:rFonts w:hint="eastAsia" w:ascii="宋体" w:hAnsi="宋体" w:cs="宋体"/>
                <w:sz w:val="24"/>
              </w:rPr>
            </w:pPr>
            <w:r>
              <w:rPr>
                <w:rFonts w:hint="eastAsia" w:ascii="宋体" w:hAnsi="宋体" w:cs="宋体"/>
                <w:sz w:val="24"/>
              </w:rPr>
              <w:t>单位名称（章）：</w:t>
            </w:r>
            <w:r>
              <w:rPr>
                <w:rFonts w:hint="eastAsia" w:ascii="宋体" w:hAnsi="宋体"/>
                <w:b/>
                <w:bCs/>
                <w:sz w:val="24"/>
              </w:rPr>
              <w:t xml:space="preserve"> </w:t>
            </w:r>
          </w:p>
          <w:p w14:paraId="5D74736D">
            <w:pPr>
              <w:spacing w:line="440" w:lineRule="exact"/>
              <w:ind w:left="-11" w:right="-105" w:rightChars="-50" w:firstLine="3"/>
              <w:rPr>
                <w:rFonts w:hint="eastAsia" w:ascii="宋体" w:hAnsi="宋体" w:cs="宋体"/>
                <w:b/>
                <w:bCs/>
                <w:sz w:val="24"/>
              </w:rPr>
            </w:pPr>
            <w:r>
              <w:rPr>
                <w:rFonts w:hint="eastAsia" w:ascii="宋体" w:hAnsi="宋体" w:cs="宋体"/>
                <w:sz w:val="24"/>
              </w:rPr>
              <w:t>单位地址：</w:t>
            </w:r>
            <w:r>
              <w:rPr>
                <w:rFonts w:hint="eastAsia" w:ascii="宋体" w:hAnsi="宋体" w:cs="宋体"/>
                <w:b/>
                <w:bCs/>
                <w:sz w:val="24"/>
              </w:rPr>
              <w:t xml:space="preserve"> </w:t>
            </w:r>
          </w:p>
          <w:p w14:paraId="5A2D5F63">
            <w:pPr>
              <w:spacing w:line="440" w:lineRule="exact"/>
              <w:ind w:left="-170" w:right="-105" w:rightChars="-50" w:firstLine="163" w:firstLineChars="68"/>
              <w:rPr>
                <w:rFonts w:hint="eastAsia" w:ascii="宋体" w:hAnsi="宋体" w:cs="宋体"/>
                <w:sz w:val="24"/>
              </w:rPr>
            </w:pPr>
            <w:r>
              <w:rPr>
                <w:rFonts w:hint="eastAsia" w:ascii="宋体" w:hAnsi="宋体" w:cs="宋体"/>
                <w:sz w:val="24"/>
              </w:rPr>
              <w:t>法定代表人或委托代理人（签字）：</w:t>
            </w:r>
          </w:p>
          <w:p w14:paraId="4A89DC16">
            <w:pPr>
              <w:pStyle w:val="52"/>
              <w:spacing w:after="0" w:line="440" w:lineRule="exact"/>
              <w:ind w:firstLine="464"/>
              <w:rPr>
                <w:rFonts w:hint="eastAsia" w:ascii="Times New Roman" w:hAnsi="宋体" w:cs="宋体"/>
                <w:sz w:val="24"/>
                <w:szCs w:val="24"/>
              </w:rPr>
            </w:pPr>
          </w:p>
          <w:p w14:paraId="457FDD73">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电 话： </w:t>
            </w:r>
          </w:p>
          <w:p w14:paraId="4F883DF0">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开户银行： </w:t>
            </w:r>
          </w:p>
          <w:p w14:paraId="21187CBA">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账 号： </w:t>
            </w:r>
          </w:p>
          <w:p w14:paraId="31192ED9">
            <w:pPr>
              <w:spacing w:line="440" w:lineRule="exact"/>
              <w:ind w:left="-170" w:right="-105" w:rightChars="-50" w:firstLine="146" w:firstLineChars="61"/>
              <w:rPr>
                <w:rFonts w:hint="eastAsia" w:ascii="宋体" w:hAnsi="宋体" w:cs="宋体"/>
                <w:sz w:val="24"/>
              </w:rPr>
            </w:pPr>
            <w:r>
              <w:rPr>
                <w:rFonts w:hint="eastAsia" w:ascii="宋体" w:hAnsi="宋体" w:cs="宋体"/>
                <w:sz w:val="24"/>
              </w:rPr>
              <w:t xml:space="preserve"> </w:t>
            </w:r>
          </w:p>
        </w:tc>
      </w:tr>
    </w:tbl>
    <w:p w14:paraId="3F6AF1C1">
      <w:pPr>
        <w:spacing w:line="440" w:lineRule="exact"/>
        <w:ind w:left="-170" w:right="-105" w:rightChars="-50" w:firstLine="2320" w:firstLineChars="967"/>
        <w:rPr>
          <w:rFonts w:hint="eastAsia" w:ascii="宋体" w:hAnsi="宋体" w:cs="宋体"/>
          <w:sz w:val="24"/>
        </w:rPr>
      </w:pPr>
    </w:p>
    <w:p w14:paraId="5EA49855">
      <w:pPr>
        <w:spacing w:line="400" w:lineRule="exact"/>
        <w:ind w:firstLine="960" w:firstLineChars="400"/>
        <w:rPr>
          <w:rFonts w:hint="eastAsia" w:ascii="宋体" w:hAnsi="宋体" w:cs="宋体"/>
          <w:sz w:val="24"/>
        </w:rPr>
      </w:pPr>
    </w:p>
    <w:p w14:paraId="6B3BBBC2">
      <w:pPr>
        <w:spacing w:line="400" w:lineRule="exact"/>
        <w:ind w:firstLine="960" w:firstLineChars="400"/>
        <w:rPr>
          <w:rFonts w:hint="eastAsia" w:ascii="宋体" w:hAnsi="宋体" w:cs="宋体"/>
          <w:sz w:val="24"/>
        </w:rPr>
      </w:pPr>
      <w:r>
        <w:rPr>
          <w:rFonts w:hint="eastAsia" w:ascii="宋体" w:hAnsi="宋体" w:cs="宋体"/>
          <w:sz w:val="24"/>
        </w:rPr>
        <w:t>签约时间：                  签约地点：</w:t>
      </w:r>
    </w:p>
    <w:p w14:paraId="3F227257">
      <w:pPr>
        <w:spacing w:line="240" w:lineRule="auto"/>
        <w:ind w:firstLine="0" w:firstLineChars="0"/>
        <w:rPr>
          <w:rFonts w:hint="eastAsia" w:ascii="宋体" w:hAnsi="宋体" w:cs="宋体"/>
          <w:color w:val="auto"/>
          <w:sz w:val="24"/>
          <w:szCs w:val="28"/>
          <w:highlight w:val="none"/>
          <w:lang w:eastAsia="zh-CN"/>
        </w:rPr>
      </w:pPr>
      <w:r>
        <w:rPr>
          <w:rFonts w:hint="eastAsia" w:ascii="宋体" w:hAnsi="宋体" w:cs="宋体"/>
          <w:color w:val="auto"/>
          <w:sz w:val="24"/>
          <w:szCs w:val="28"/>
          <w:highlight w:val="none"/>
          <w:lang w:eastAsia="zh-CN"/>
        </w:rPr>
        <w:br w:type="page"/>
      </w:r>
    </w:p>
    <w:p w14:paraId="19383C78">
      <w:pPr>
        <w:pStyle w:val="3"/>
        <w:spacing w:line="360" w:lineRule="auto"/>
        <w:jc w:val="center"/>
        <w:rPr>
          <w:rFonts w:ascii="宋体" w:hAnsi="宋体"/>
          <w:b w:val="0"/>
          <w:color w:val="auto"/>
          <w:sz w:val="24"/>
          <w:highlight w:val="none"/>
        </w:rPr>
      </w:pPr>
      <w:bookmarkStart w:id="366" w:name="_Toc22229"/>
      <w:bookmarkStart w:id="367" w:name="_Toc21393"/>
      <w:bookmarkStart w:id="368" w:name="_Toc26731"/>
      <w:bookmarkStart w:id="369" w:name="_Toc27913"/>
      <w:bookmarkStart w:id="370" w:name="_Toc29138"/>
      <w:bookmarkStart w:id="371" w:name="_Toc10096"/>
      <w:bookmarkStart w:id="372" w:name="_Toc31833"/>
      <w:bookmarkStart w:id="373" w:name="_Toc21549"/>
      <w:bookmarkStart w:id="374" w:name="_Toc1096"/>
      <w:bookmarkStart w:id="375" w:name="_Toc29343"/>
      <w:bookmarkStart w:id="376" w:name="_Toc2043"/>
      <w:bookmarkStart w:id="377" w:name="_Toc26624"/>
      <w:bookmarkStart w:id="378" w:name="_Toc23075"/>
      <w:bookmarkStart w:id="379" w:name="_Toc23553"/>
      <w:bookmarkStart w:id="380" w:name="_Toc27150"/>
      <w:bookmarkStart w:id="381" w:name="_Toc31227"/>
      <w:bookmarkStart w:id="382" w:name="_Toc10817"/>
      <w:bookmarkStart w:id="383" w:name="_Toc24124"/>
      <w:r>
        <w:rPr>
          <w:rFonts w:hint="eastAsia"/>
          <w:color w:val="auto"/>
          <w:highlight w:val="none"/>
        </w:rPr>
        <w:t>第七章  投标文件格式</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Start w:id="384" w:name="_Toc3737"/>
    </w:p>
    <w:p w14:paraId="7F6D4906">
      <w:pPr>
        <w:rPr>
          <w:rFonts w:hint="eastAsia" w:ascii="宋体" w:hAnsi="宋体" w:cs="宋体"/>
          <w:color w:val="auto"/>
          <w:sz w:val="28"/>
          <w:szCs w:val="28"/>
          <w:highlight w:val="none"/>
        </w:rPr>
      </w:pPr>
      <w:bookmarkStart w:id="385" w:name="_Toc7840"/>
      <w:bookmarkStart w:id="386" w:name="_Toc27837"/>
      <w:bookmarkStart w:id="387" w:name="_Toc17813"/>
      <w:r>
        <w:rPr>
          <w:rFonts w:hint="eastAsia" w:ascii="宋体" w:hAnsi="宋体" w:cs="宋体"/>
          <w:color w:val="auto"/>
          <w:sz w:val="28"/>
          <w:szCs w:val="28"/>
          <w:highlight w:val="none"/>
        </w:rPr>
        <w:t>附件1：所有投标文件的外包装封面格式</w:t>
      </w:r>
      <w:bookmarkEnd w:id="384"/>
      <w:bookmarkEnd w:id="385"/>
      <w:bookmarkEnd w:id="386"/>
      <w:bookmarkEnd w:id="387"/>
    </w:p>
    <w:p w14:paraId="066287B3">
      <w:pPr>
        <w:snapToGrid w:val="0"/>
        <w:spacing w:before="120" w:beforeLines="50" w:after="50" w:line="276" w:lineRule="auto"/>
        <w:jc w:val="center"/>
        <w:rPr>
          <w:rFonts w:hint="eastAsia" w:ascii="宋体" w:hAnsi="宋体" w:cs="宋体"/>
          <w:bCs/>
          <w:color w:val="auto"/>
          <w:sz w:val="30"/>
          <w:szCs w:val="30"/>
          <w:highlight w:val="none"/>
        </w:rPr>
      </w:pPr>
    </w:p>
    <w:p w14:paraId="592066F7">
      <w:pPr>
        <w:snapToGrid w:val="0"/>
        <w:spacing w:before="120" w:beforeLines="50" w:after="50" w:line="276" w:lineRule="auto"/>
        <w:jc w:val="center"/>
        <w:rPr>
          <w:rFonts w:hint="eastAsia" w:ascii="宋体" w:hAnsi="宋体" w:cs="宋体"/>
          <w:bCs/>
          <w:color w:val="auto"/>
          <w:sz w:val="30"/>
          <w:szCs w:val="30"/>
          <w:highlight w:val="none"/>
        </w:rPr>
      </w:pPr>
    </w:p>
    <w:p w14:paraId="400BB2D3">
      <w:pPr>
        <w:snapToGrid w:val="0"/>
        <w:spacing w:before="120" w:beforeLines="50" w:after="50" w:line="276" w:lineRule="auto"/>
        <w:jc w:val="center"/>
        <w:rPr>
          <w:rFonts w:hint="eastAsia" w:ascii="宋体" w:hAnsi="宋体" w:cs="宋体"/>
          <w:bCs/>
          <w:color w:val="auto"/>
          <w:sz w:val="30"/>
          <w:szCs w:val="30"/>
          <w:highlight w:val="none"/>
          <w:lang w:eastAsia="zh-CN"/>
        </w:rPr>
      </w:pPr>
      <w:r>
        <w:rPr>
          <w:rFonts w:hint="eastAsia" w:ascii="宋体" w:hAnsi="宋体" w:cs="宋体"/>
          <w:bCs/>
          <w:color w:val="auto"/>
          <w:sz w:val="30"/>
          <w:szCs w:val="30"/>
          <w:highlight w:val="none"/>
          <w:lang w:eastAsia="zh-CN"/>
        </w:rPr>
        <w:t>2025年安文街道松材线虫病枯死松树清理服务项目(第二次)</w:t>
      </w:r>
    </w:p>
    <w:p w14:paraId="49B58240">
      <w:pPr>
        <w:snapToGrid w:val="0"/>
        <w:spacing w:before="120" w:beforeLines="50" w:after="50" w:line="276" w:lineRule="auto"/>
        <w:jc w:val="center"/>
        <w:rPr>
          <w:rFonts w:ascii="宋体" w:hAnsi="宋体"/>
          <w:bCs/>
          <w:color w:val="auto"/>
          <w:sz w:val="24"/>
          <w:szCs w:val="20"/>
          <w:highlight w:val="none"/>
        </w:rPr>
      </w:pPr>
      <w:r>
        <w:rPr>
          <w:rFonts w:hint="eastAsia" w:ascii="宋体" w:hAnsi="宋体"/>
          <w:bCs/>
          <w:color w:val="auto"/>
          <w:sz w:val="24"/>
          <w:highlight w:val="none"/>
        </w:rPr>
        <w:t>投标文件</w:t>
      </w:r>
    </w:p>
    <w:p w14:paraId="4A5EA352">
      <w:pPr>
        <w:snapToGrid w:val="0"/>
        <w:spacing w:before="120" w:beforeLines="50" w:after="50" w:line="276" w:lineRule="auto"/>
        <w:rPr>
          <w:rFonts w:ascii="宋体" w:hAnsi="宋体"/>
          <w:bCs/>
          <w:color w:val="auto"/>
          <w:sz w:val="24"/>
          <w:szCs w:val="20"/>
          <w:highlight w:val="none"/>
        </w:rPr>
      </w:pPr>
    </w:p>
    <w:p w14:paraId="5C5638F7">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321E81A2">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0756AC0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投标文件名称：资格审查文件/技术商务文件/报价文件/电子备份文件......</w:t>
      </w:r>
    </w:p>
    <w:p w14:paraId="472BE479">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4808745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12873936">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在年月日时分之前不得启封</w:t>
      </w:r>
    </w:p>
    <w:p w14:paraId="1B15A12F">
      <w:pPr>
        <w:snapToGrid w:val="0"/>
        <w:spacing w:before="120" w:beforeLines="50" w:after="50" w:line="276" w:lineRule="auto"/>
        <w:ind w:firstLine="4080" w:firstLineChars="1700"/>
        <w:rPr>
          <w:rFonts w:ascii="宋体" w:hAnsi="宋体"/>
          <w:bCs/>
          <w:color w:val="auto"/>
          <w:sz w:val="24"/>
          <w:szCs w:val="20"/>
          <w:highlight w:val="none"/>
        </w:rPr>
      </w:pPr>
    </w:p>
    <w:p w14:paraId="747E5AE6">
      <w:pPr>
        <w:snapToGrid w:val="0"/>
        <w:spacing w:before="120" w:beforeLines="50" w:after="50" w:line="276" w:lineRule="auto"/>
        <w:ind w:firstLine="645"/>
        <w:jc w:val="center"/>
        <w:rPr>
          <w:rFonts w:hint="eastAsia" w:ascii="宋体" w:hAnsi="宋体"/>
          <w:bCs/>
          <w:color w:val="auto"/>
          <w:sz w:val="24"/>
          <w:highlight w:val="none"/>
        </w:rPr>
      </w:pPr>
      <w:r>
        <w:rPr>
          <w:rFonts w:hint="eastAsia" w:ascii="宋体" w:hAnsi="宋体"/>
          <w:bCs/>
          <w:color w:val="auto"/>
          <w:sz w:val="24"/>
          <w:highlight w:val="none"/>
        </w:rPr>
        <w:t>年   月    日</w:t>
      </w:r>
    </w:p>
    <w:p w14:paraId="7A0D683A">
      <w:pPr>
        <w:snapToGrid w:val="0"/>
        <w:spacing w:before="120" w:beforeLines="50" w:after="50" w:line="276" w:lineRule="auto"/>
        <w:outlineLvl w:val="1"/>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bookmarkStart w:id="388" w:name="_Toc10176"/>
      <w:bookmarkStart w:id="389" w:name="_Toc16464"/>
      <w:bookmarkStart w:id="390" w:name="_Toc2787"/>
      <w:bookmarkStart w:id="391" w:name="_Toc9790"/>
    </w:p>
    <w:p w14:paraId="05580850">
      <w:pPr>
        <w:rPr>
          <w:rFonts w:hint="eastAsia" w:ascii="宋体" w:hAnsi="宋体" w:cs="宋体"/>
          <w:color w:val="auto"/>
          <w:sz w:val="28"/>
          <w:szCs w:val="28"/>
          <w:highlight w:val="none"/>
        </w:rPr>
      </w:pPr>
      <w:r>
        <w:rPr>
          <w:rFonts w:hint="eastAsia" w:ascii="宋体" w:hAnsi="宋体" w:cs="宋体"/>
          <w:color w:val="auto"/>
          <w:sz w:val="28"/>
          <w:szCs w:val="28"/>
          <w:highlight w:val="none"/>
        </w:rPr>
        <w:t>附件2：所有投标文件封面格式</w:t>
      </w:r>
      <w:bookmarkEnd w:id="388"/>
      <w:bookmarkEnd w:id="389"/>
      <w:bookmarkEnd w:id="390"/>
      <w:bookmarkEnd w:id="391"/>
    </w:p>
    <w:p w14:paraId="74A98531">
      <w:pPr>
        <w:snapToGrid w:val="0"/>
        <w:spacing w:before="120" w:beforeLines="50" w:after="50" w:line="276" w:lineRule="auto"/>
        <w:jc w:val="center"/>
        <w:outlineLvl w:val="1"/>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14:paraId="52F20FC7">
      <w:pPr>
        <w:snapToGrid w:val="0"/>
        <w:spacing w:before="120" w:beforeLines="50" w:after="50" w:line="276" w:lineRule="auto"/>
        <w:jc w:val="center"/>
        <w:outlineLvl w:val="1"/>
        <w:rPr>
          <w:rFonts w:hint="eastAsia" w:ascii="宋体" w:hAnsi="宋体" w:cs="宋体"/>
          <w:bCs/>
          <w:color w:val="auto"/>
          <w:sz w:val="30"/>
          <w:szCs w:val="30"/>
          <w:highlight w:val="none"/>
        </w:rPr>
      </w:pPr>
    </w:p>
    <w:p w14:paraId="659D4E77">
      <w:pPr>
        <w:snapToGrid w:val="0"/>
        <w:spacing w:before="120" w:beforeLines="50" w:after="50" w:line="276" w:lineRule="auto"/>
        <w:jc w:val="center"/>
        <w:outlineLvl w:val="1"/>
        <w:rPr>
          <w:rFonts w:hint="eastAsia" w:ascii="宋体" w:hAnsi="宋体" w:cs="宋体"/>
          <w:bCs/>
          <w:color w:val="auto"/>
          <w:sz w:val="30"/>
          <w:szCs w:val="30"/>
          <w:highlight w:val="none"/>
        </w:rPr>
      </w:pPr>
    </w:p>
    <w:p w14:paraId="520C9044">
      <w:pPr>
        <w:snapToGrid w:val="0"/>
        <w:spacing w:before="120" w:beforeLines="50" w:after="50" w:line="276" w:lineRule="auto"/>
        <w:jc w:val="center"/>
        <w:outlineLvl w:val="1"/>
        <w:rPr>
          <w:rFonts w:hint="eastAsia" w:ascii="宋体" w:hAnsi="宋体" w:cs="宋体"/>
          <w:b/>
          <w:color w:val="auto"/>
          <w:sz w:val="24"/>
          <w:highlight w:val="none"/>
        </w:rPr>
      </w:pPr>
      <w:r>
        <w:rPr>
          <w:rFonts w:hint="eastAsia" w:ascii="宋体" w:hAnsi="宋体" w:cs="宋体"/>
          <w:bCs/>
          <w:color w:val="auto"/>
          <w:sz w:val="30"/>
          <w:szCs w:val="30"/>
          <w:highlight w:val="none"/>
        </w:rPr>
        <w:t xml:space="preserve">                  </w:t>
      </w:r>
      <w:r>
        <w:rPr>
          <w:rFonts w:hint="eastAsia" w:ascii="宋体" w:hAnsi="宋体" w:cs="宋体"/>
          <w:b/>
          <w:color w:val="auto"/>
          <w:sz w:val="24"/>
          <w:highlight w:val="none"/>
        </w:rPr>
        <w:t xml:space="preserve"> 正本/副本</w:t>
      </w:r>
    </w:p>
    <w:p w14:paraId="7E7BB56A">
      <w:pPr>
        <w:snapToGrid w:val="0"/>
        <w:spacing w:before="120" w:beforeLines="50" w:after="50" w:line="276" w:lineRule="auto"/>
        <w:ind w:firstLine="1335" w:firstLineChars="445"/>
        <w:rPr>
          <w:rFonts w:hint="eastAsia" w:ascii="宋体" w:hAnsi="宋体" w:cs="宋体"/>
          <w:bCs/>
          <w:color w:val="auto"/>
          <w:sz w:val="30"/>
          <w:szCs w:val="30"/>
          <w:highlight w:val="none"/>
          <w:lang w:eastAsia="zh-CN"/>
        </w:rPr>
      </w:pPr>
      <w:r>
        <w:rPr>
          <w:rFonts w:hint="eastAsia" w:ascii="宋体" w:hAnsi="宋体" w:cs="宋体"/>
          <w:bCs/>
          <w:color w:val="auto"/>
          <w:sz w:val="30"/>
          <w:szCs w:val="30"/>
          <w:highlight w:val="none"/>
          <w:lang w:eastAsia="zh-CN"/>
        </w:rPr>
        <w:t>2025年安文街道松材线虫病枯死松树清理服务项目(第二次)</w:t>
      </w:r>
    </w:p>
    <w:p w14:paraId="0AADDA55">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资格审查文件/技术商务文件/报价文件/电子备份文件......</w:t>
      </w:r>
    </w:p>
    <w:p w14:paraId="288C21A1">
      <w:pPr>
        <w:snapToGrid w:val="0"/>
        <w:spacing w:before="120" w:beforeLines="50" w:after="50" w:line="276" w:lineRule="auto"/>
        <w:rPr>
          <w:rFonts w:ascii="宋体" w:hAnsi="宋体"/>
          <w:bCs/>
          <w:color w:val="auto"/>
          <w:sz w:val="24"/>
          <w:highlight w:val="none"/>
        </w:rPr>
      </w:pPr>
    </w:p>
    <w:p w14:paraId="4B933A18">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7EE7259F">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7FFE9DEB">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5D44A1F3">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68A797E2">
      <w:pPr>
        <w:snapToGrid w:val="0"/>
        <w:spacing w:before="120" w:beforeLines="50" w:after="50" w:line="276" w:lineRule="auto"/>
        <w:ind w:firstLine="4080" w:firstLineChars="1700"/>
        <w:rPr>
          <w:rFonts w:ascii="宋体" w:hAnsi="宋体"/>
          <w:color w:val="auto"/>
          <w:sz w:val="24"/>
          <w:szCs w:val="20"/>
          <w:highlight w:val="none"/>
        </w:rPr>
      </w:pPr>
    </w:p>
    <w:p w14:paraId="3F8709AA">
      <w:pPr>
        <w:snapToGrid w:val="0"/>
        <w:spacing w:before="120" w:beforeLines="50" w:after="50" w:line="276" w:lineRule="auto"/>
        <w:ind w:firstLine="645"/>
        <w:jc w:val="center"/>
        <w:rPr>
          <w:rFonts w:ascii="宋体" w:hAnsi="宋体"/>
          <w:color w:val="auto"/>
          <w:sz w:val="24"/>
          <w:highlight w:val="none"/>
        </w:rPr>
      </w:pPr>
      <w:r>
        <w:rPr>
          <w:rFonts w:hint="eastAsia" w:ascii="宋体" w:hAnsi="宋体"/>
          <w:color w:val="auto"/>
          <w:sz w:val="24"/>
          <w:highlight w:val="none"/>
        </w:rPr>
        <w:t>年   月    日</w:t>
      </w:r>
    </w:p>
    <w:p w14:paraId="300CAF79">
      <w:pPr>
        <w:snapToGrid w:val="0"/>
        <w:spacing w:line="360" w:lineRule="exact"/>
        <w:jc w:val="left"/>
        <w:rPr>
          <w:rFonts w:ascii="宋体" w:hAnsi="宋体"/>
          <w:color w:val="auto"/>
          <w:sz w:val="24"/>
          <w:highlight w:val="none"/>
        </w:rPr>
      </w:pPr>
    </w:p>
    <w:p w14:paraId="556AC5D8">
      <w:pPr>
        <w:pStyle w:val="107"/>
        <w:rPr>
          <w:color w:val="auto"/>
          <w:highlight w:val="none"/>
        </w:rPr>
      </w:pPr>
    </w:p>
    <w:p w14:paraId="447778A0">
      <w:pPr>
        <w:snapToGrid w:val="0"/>
        <w:spacing w:line="276" w:lineRule="auto"/>
        <w:jc w:val="left"/>
        <w:rPr>
          <w:rFonts w:ascii="宋体" w:hAnsi="宋体"/>
          <w:color w:val="auto"/>
          <w:sz w:val="24"/>
          <w:highlight w:val="none"/>
        </w:rPr>
      </w:pPr>
    </w:p>
    <w:p w14:paraId="5C5C04A6">
      <w:pPr>
        <w:snapToGrid w:val="0"/>
        <w:spacing w:before="120" w:beforeLines="50" w:after="50"/>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ABEF78C">
      <w:pPr>
        <w:rPr>
          <w:rFonts w:hint="eastAsia" w:ascii="宋体" w:hAnsi="宋体"/>
          <w:b/>
          <w:color w:val="auto"/>
          <w:sz w:val="24"/>
          <w:highlight w:val="none"/>
        </w:rPr>
      </w:pPr>
      <w:r>
        <w:rPr>
          <w:rFonts w:hint="eastAsia" w:ascii="宋体" w:hAnsi="宋体" w:cs="宋体"/>
          <w:color w:val="auto"/>
          <w:sz w:val="28"/>
          <w:szCs w:val="28"/>
          <w:highlight w:val="none"/>
        </w:rPr>
        <w:t>附件3：政府采购供应商诚信承诺书</w:t>
      </w:r>
    </w:p>
    <w:p w14:paraId="1B32F976">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政府采购供应商诚信承诺书</w:t>
      </w:r>
    </w:p>
    <w:p w14:paraId="6E3E6DCB">
      <w:pPr>
        <w:widowControl/>
        <w:spacing w:before="100" w:beforeAutospacing="1" w:after="190"/>
        <w:jc w:val="left"/>
        <w:rPr>
          <w:rFonts w:ascii="Arial" w:hAnsi="Arial" w:cs="Arial"/>
          <w:b/>
          <w:color w:val="auto"/>
          <w:kern w:val="0"/>
          <w:sz w:val="24"/>
          <w:highlight w:val="none"/>
        </w:rPr>
      </w:pPr>
      <w:r>
        <w:rPr>
          <w:rFonts w:hint="eastAsia" w:ascii="Arial" w:hAnsi="Arial" w:cs="Arial"/>
          <w:b/>
          <w:color w:val="auto"/>
          <w:kern w:val="0"/>
          <w:sz w:val="24"/>
          <w:highlight w:val="none"/>
          <w:lang w:eastAsia="zh-CN"/>
        </w:rPr>
        <w:t>浙江诚远工程咨询有限公司</w:t>
      </w:r>
      <w:r>
        <w:rPr>
          <w:rFonts w:ascii="Arial" w:hAnsi="Arial" w:cs="Arial"/>
          <w:b/>
          <w:color w:val="auto"/>
          <w:kern w:val="0"/>
          <w:sz w:val="24"/>
          <w:highlight w:val="none"/>
        </w:rPr>
        <w:t>：</w:t>
      </w:r>
    </w:p>
    <w:p w14:paraId="75D7FEFD">
      <w:pPr>
        <w:spacing w:line="400" w:lineRule="exact"/>
        <w:ind w:firstLine="480" w:firstLineChars="200"/>
        <w:rPr>
          <w:color w:val="auto"/>
          <w:sz w:val="24"/>
          <w:highlight w:val="none"/>
        </w:rPr>
      </w:pPr>
      <w:r>
        <w:rPr>
          <w:color w:val="auto"/>
          <w:kern w:val="0"/>
          <w:sz w:val="24"/>
          <w:highlight w:val="none"/>
        </w:rPr>
        <w:t>我公司自愿参与贵</w:t>
      </w:r>
      <w:r>
        <w:rPr>
          <w:rFonts w:hint="eastAsia"/>
          <w:color w:val="auto"/>
          <w:kern w:val="0"/>
          <w:sz w:val="24"/>
          <w:highlight w:val="none"/>
        </w:rPr>
        <w:t>公司</w:t>
      </w:r>
      <w:r>
        <w:rPr>
          <w:color w:val="auto"/>
          <w:kern w:val="0"/>
          <w:sz w:val="24"/>
          <w:highlight w:val="none"/>
        </w:rPr>
        <w:t>组织的</w:t>
      </w:r>
      <w:r>
        <w:rPr>
          <w:rFonts w:hint="eastAsia"/>
          <w:color w:val="auto"/>
          <w:kern w:val="0"/>
          <w:sz w:val="24"/>
          <w:highlight w:val="none"/>
          <w:u w:val="single"/>
        </w:rPr>
        <w:t xml:space="preserve">            </w:t>
      </w:r>
      <w:r>
        <w:rPr>
          <w:bCs/>
          <w:color w:val="auto"/>
          <w:kern w:val="0"/>
          <w:sz w:val="24"/>
          <w:highlight w:val="none"/>
          <w:u w:val="single"/>
        </w:rPr>
        <w:t>项目</w:t>
      </w:r>
      <w:r>
        <w:rPr>
          <w:rFonts w:hint="eastAsia"/>
          <w:b/>
          <w:color w:val="auto"/>
          <w:kern w:val="0"/>
          <w:sz w:val="24"/>
          <w:highlight w:val="none"/>
          <w:u w:val="single"/>
        </w:rPr>
        <w:t>（招标编号：     ）</w:t>
      </w:r>
      <w:r>
        <w:rPr>
          <w:color w:val="auto"/>
          <w:kern w:val="0"/>
          <w:sz w:val="24"/>
          <w:highlight w:val="none"/>
        </w:rPr>
        <w:t>采购活动，严格遵守《中华人民共和国</w:t>
      </w:r>
      <w:r>
        <w:rPr>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543D420">
      <w:pPr>
        <w:spacing w:line="400" w:lineRule="exact"/>
        <w:ind w:firstLine="480" w:firstLineChars="200"/>
        <w:rPr>
          <w:color w:val="auto"/>
          <w:sz w:val="24"/>
          <w:highlight w:val="none"/>
        </w:rPr>
      </w:pPr>
      <w:r>
        <w:rPr>
          <w:color w:val="auto"/>
          <w:sz w:val="24"/>
          <w:highlight w:val="none"/>
        </w:rPr>
        <w:t>（一）提供虚假材料谋取中标的；</w:t>
      </w:r>
    </w:p>
    <w:p w14:paraId="78A0BD31">
      <w:pPr>
        <w:spacing w:line="400" w:lineRule="exact"/>
        <w:ind w:firstLine="480" w:firstLineChars="200"/>
        <w:rPr>
          <w:color w:val="auto"/>
          <w:sz w:val="24"/>
          <w:highlight w:val="none"/>
        </w:rPr>
      </w:pPr>
      <w:r>
        <w:rPr>
          <w:color w:val="auto"/>
          <w:sz w:val="24"/>
          <w:highlight w:val="none"/>
        </w:rPr>
        <w:t>（二）采取不正当手段诋毁、排挤</w:t>
      </w:r>
      <w:r>
        <w:rPr>
          <w:color w:val="auto"/>
          <w:sz w:val="24"/>
          <w:highlight w:val="none"/>
        </w:rPr>
        <w:fldChar w:fldCharType="begin"/>
      </w:r>
      <w:r>
        <w:rPr>
          <w:color w:val="auto"/>
          <w:sz w:val="24"/>
          <w:highlight w:val="none"/>
        </w:rPr>
        <w:instrText xml:space="preserve"> HYPERLINK "http://www.oh100.com/qita/" \t "_blank"</w:instrText>
      </w:r>
      <w:r>
        <w:rPr>
          <w:color w:val="auto"/>
          <w:sz w:val="24"/>
          <w:highlight w:val="none"/>
        </w:rPr>
        <w:fldChar w:fldCharType="separate"/>
      </w:r>
      <w:r>
        <w:rPr>
          <w:color w:val="auto"/>
          <w:sz w:val="24"/>
          <w:highlight w:val="none"/>
        </w:rPr>
        <w:t>其他</w:t>
      </w:r>
      <w:r>
        <w:rPr>
          <w:color w:val="auto"/>
          <w:sz w:val="24"/>
          <w:highlight w:val="none"/>
        </w:rPr>
        <w:fldChar w:fldCharType="end"/>
      </w:r>
      <w:r>
        <w:rPr>
          <w:color w:val="auto"/>
          <w:sz w:val="24"/>
          <w:highlight w:val="none"/>
        </w:rPr>
        <w:t>供应商的；</w:t>
      </w:r>
    </w:p>
    <w:p w14:paraId="0958CDB2">
      <w:pPr>
        <w:spacing w:line="400" w:lineRule="exact"/>
        <w:ind w:firstLine="480" w:firstLineChars="200"/>
        <w:rPr>
          <w:color w:val="auto"/>
          <w:sz w:val="24"/>
          <w:highlight w:val="none"/>
        </w:rPr>
      </w:pPr>
      <w:r>
        <w:rPr>
          <w:color w:val="auto"/>
          <w:sz w:val="24"/>
          <w:highlight w:val="none"/>
        </w:rPr>
        <w:t>（三）与招标采购单位、其他投标人恶意串通的；</w:t>
      </w:r>
    </w:p>
    <w:p w14:paraId="544E81E9">
      <w:pPr>
        <w:spacing w:line="400" w:lineRule="exact"/>
        <w:ind w:firstLine="480" w:firstLineChars="200"/>
        <w:rPr>
          <w:color w:val="auto"/>
          <w:sz w:val="24"/>
          <w:highlight w:val="none"/>
        </w:rPr>
      </w:pPr>
      <w:r>
        <w:rPr>
          <w:color w:val="auto"/>
          <w:sz w:val="24"/>
          <w:highlight w:val="none"/>
        </w:rPr>
        <w:t>（四）向招标采购单位行贿或提供其他不正当利益的；</w:t>
      </w:r>
    </w:p>
    <w:p w14:paraId="7D1CFC8B">
      <w:pPr>
        <w:spacing w:line="400" w:lineRule="exact"/>
        <w:ind w:firstLine="480" w:firstLineChars="200"/>
        <w:rPr>
          <w:color w:val="auto"/>
          <w:sz w:val="24"/>
          <w:highlight w:val="none"/>
        </w:rPr>
      </w:pPr>
      <w:r>
        <w:rPr>
          <w:color w:val="auto"/>
          <w:sz w:val="24"/>
          <w:highlight w:val="none"/>
        </w:rPr>
        <w:t>（五）在招标过程中与招标采购单位进行协商谈判、不按照招标文件和投标文件订立合同，或者与采购人另立背离合同实质性内容协议的；</w:t>
      </w:r>
    </w:p>
    <w:p w14:paraId="672FB02D">
      <w:pPr>
        <w:spacing w:line="400" w:lineRule="exact"/>
        <w:ind w:firstLine="480" w:firstLineChars="200"/>
        <w:rPr>
          <w:color w:val="auto"/>
          <w:sz w:val="24"/>
          <w:highlight w:val="none"/>
        </w:rPr>
      </w:pPr>
      <w:r>
        <w:rPr>
          <w:color w:val="auto"/>
          <w:sz w:val="24"/>
          <w:highlight w:val="none"/>
        </w:rPr>
        <w:t>（六）开标后擅自撤销投标，影响招标继续进行的；</w:t>
      </w:r>
    </w:p>
    <w:p w14:paraId="5350AF47">
      <w:pPr>
        <w:spacing w:line="400" w:lineRule="exact"/>
        <w:ind w:firstLine="480" w:firstLineChars="200"/>
        <w:rPr>
          <w:color w:val="auto"/>
          <w:sz w:val="24"/>
          <w:highlight w:val="none"/>
        </w:rPr>
      </w:pPr>
      <w:r>
        <w:rPr>
          <w:color w:val="auto"/>
          <w:sz w:val="24"/>
          <w:highlight w:val="none"/>
        </w:rPr>
        <w:t>（七）中标后无正当理由，在规定时间内不与采购单位签订合同的；</w:t>
      </w:r>
    </w:p>
    <w:p w14:paraId="0FF495FC">
      <w:pPr>
        <w:spacing w:line="400" w:lineRule="exact"/>
        <w:ind w:firstLine="480" w:firstLineChars="200"/>
        <w:rPr>
          <w:color w:val="auto"/>
          <w:sz w:val="24"/>
          <w:highlight w:val="none"/>
        </w:rPr>
      </w:pPr>
      <w:r>
        <w:rPr>
          <w:color w:val="auto"/>
          <w:sz w:val="24"/>
          <w:highlight w:val="none"/>
        </w:rPr>
        <w:t>（八）将中标项目转让给他人或非法分包他人的；</w:t>
      </w:r>
    </w:p>
    <w:p w14:paraId="50D47BD5">
      <w:pPr>
        <w:spacing w:line="400" w:lineRule="exact"/>
        <w:ind w:firstLine="480" w:firstLineChars="200"/>
        <w:rPr>
          <w:color w:val="auto"/>
          <w:sz w:val="24"/>
          <w:highlight w:val="none"/>
        </w:rPr>
      </w:pPr>
      <w:r>
        <w:rPr>
          <w:color w:val="auto"/>
          <w:sz w:val="24"/>
          <w:highlight w:val="none"/>
        </w:rPr>
        <w:t>（九）无正当理由，拒绝履行合同义务的；</w:t>
      </w:r>
    </w:p>
    <w:p w14:paraId="279E1557">
      <w:pPr>
        <w:spacing w:line="400" w:lineRule="exact"/>
        <w:ind w:firstLine="480" w:firstLineChars="200"/>
        <w:rPr>
          <w:color w:val="auto"/>
          <w:sz w:val="24"/>
          <w:highlight w:val="none"/>
        </w:rPr>
      </w:pPr>
      <w:r>
        <w:rPr>
          <w:color w:val="auto"/>
          <w:sz w:val="24"/>
          <w:highlight w:val="none"/>
        </w:rPr>
        <w:t>（十）无正当理由放弃中标（成交）项目的；</w:t>
      </w:r>
    </w:p>
    <w:p w14:paraId="5172E408">
      <w:pPr>
        <w:spacing w:line="400" w:lineRule="exact"/>
        <w:ind w:firstLine="480" w:firstLineChars="200"/>
        <w:rPr>
          <w:color w:val="auto"/>
          <w:sz w:val="24"/>
          <w:highlight w:val="none"/>
        </w:rPr>
      </w:pPr>
      <w:r>
        <w:rPr>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0DAE4956">
      <w:pPr>
        <w:spacing w:line="400" w:lineRule="exact"/>
        <w:ind w:firstLine="480" w:firstLineChars="200"/>
        <w:rPr>
          <w:color w:val="auto"/>
          <w:sz w:val="24"/>
          <w:highlight w:val="none"/>
        </w:rPr>
      </w:pPr>
      <w:r>
        <w:rPr>
          <w:color w:val="auto"/>
          <w:sz w:val="24"/>
          <w:highlight w:val="none"/>
        </w:rPr>
        <w:t>（十二）与采购人串通，对尚未履约完毕的采购项目出具虚假验收报告的；</w:t>
      </w:r>
    </w:p>
    <w:p w14:paraId="2D9035D3">
      <w:pPr>
        <w:spacing w:line="400" w:lineRule="exact"/>
        <w:ind w:firstLine="480" w:firstLineChars="200"/>
        <w:rPr>
          <w:color w:val="auto"/>
          <w:sz w:val="24"/>
          <w:highlight w:val="none"/>
        </w:rPr>
      </w:pPr>
      <w:r>
        <w:rPr>
          <w:color w:val="auto"/>
          <w:sz w:val="24"/>
          <w:highlight w:val="none"/>
        </w:rPr>
        <w:t>（十三）无不可抗力因素，拒绝提供售后服务、售后服务态度恶劣、故意提高维修配件价格（高于市场平均价）的；</w:t>
      </w:r>
    </w:p>
    <w:p w14:paraId="717503AE">
      <w:pPr>
        <w:spacing w:line="400" w:lineRule="exact"/>
        <w:ind w:firstLine="480" w:firstLineChars="200"/>
        <w:rPr>
          <w:color w:val="auto"/>
          <w:sz w:val="24"/>
          <w:highlight w:val="none"/>
        </w:rPr>
      </w:pPr>
      <w:r>
        <w:rPr>
          <w:color w:val="auto"/>
          <w:sz w:val="24"/>
          <w:highlight w:val="none"/>
        </w:rPr>
        <w:t>（十四）开标后对招标文件的相关内容再进行质疑的；</w:t>
      </w:r>
    </w:p>
    <w:p w14:paraId="25BC9AC8">
      <w:pPr>
        <w:spacing w:line="400" w:lineRule="exact"/>
        <w:ind w:firstLine="480" w:firstLineChars="200"/>
        <w:rPr>
          <w:color w:val="auto"/>
          <w:sz w:val="24"/>
          <w:highlight w:val="none"/>
        </w:rPr>
      </w:pPr>
      <w:r>
        <w:rPr>
          <w:color w:val="auto"/>
          <w:sz w:val="24"/>
          <w:highlight w:val="none"/>
        </w:rPr>
        <w:t>（十五）恶意投诉的行为：投诉经查无实据的、捏造事实或者提供虚假投诉材料的；</w:t>
      </w:r>
    </w:p>
    <w:p w14:paraId="0E1A75ED">
      <w:pPr>
        <w:spacing w:line="400" w:lineRule="exact"/>
        <w:ind w:firstLine="480" w:firstLineChars="200"/>
        <w:rPr>
          <w:color w:val="auto"/>
          <w:sz w:val="24"/>
          <w:highlight w:val="none"/>
        </w:rPr>
      </w:pPr>
      <w:r>
        <w:rPr>
          <w:color w:val="auto"/>
          <w:sz w:val="24"/>
          <w:highlight w:val="none"/>
        </w:rPr>
        <w:t>（十六）拒绝有关部门监督检查或者提供虚假情况的；</w:t>
      </w:r>
    </w:p>
    <w:p w14:paraId="2060E2B1">
      <w:pPr>
        <w:spacing w:line="400" w:lineRule="exact"/>
        <w:ind w:firstLine="480" w:firstLineChars="200"/>
        <w:rPr>
          <w:color w:val="auto"/>
          <w:sz w:val="24"/>
          <w:highlight w:val="none"/>
        </w:rPr>
      </w:pPr>
      <w:r>
        <w:rPr>
          <w:color w:val="auto"/>
          <w:sz w:val="24"/>
          <w:highlight w:val="none"/>
        </w:rPr>
        <w:t>（十七）财政、监察部门认定的其他不诚信行为。</w:t>
      </w:r>
    </w:p>
    <w:p w14:paraId="3C072828">
      <w:pPr>
        <w:spacing w:line="400" w:lineRule="exact"/>
        <w:ind w:firstLine="480" w:firstLineChars="200"/>
        <w:rPr>
          <w:color w:val="auto"/>
          <w:sz w:val="24"/>
          <w:highlight w:val="none"/>
        </w:rPr>
      </w:pPr>
      <w:r>
        <w:rPr>
          <w:rFonts w:hint="eastAsia"/>
          <w:color w:val="auto"/>
          <w:sz w:val="24"/>
          <w:highlight w:val="none"/>
        </w:rPr>
        <w:t>（十八）招标文件规定的其他不诚信行为。</w:t>
      </w:r>
    </w:p>
    <w:p w14:paraId="418727FF">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2C914E44">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1F2AFC5">
      <w:pPr>
        <w:snapToGrid w:val="0"/>
        <w:spacing w:before="120" w:line="360" w:lineRule="auto"/>
        <w:rPr>
          <w:rFonts w:hAnsi="宋体" w:cs="宋体"/>
          <w:color w:val="auto"/>
          <w:szCs w:val="21"/>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38508A5">
      <w:pPr>
        <w:snapToGrid w:val="0"/>
        <w:spacing w:before="50" w:after="120" w:afterLines="50" w:line="276" w:lineRule="auto"/>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31EF2B2B">
      <w:pPr>
        <w:rPr>
          <w:rFonts w:hint="eastAsia" w:ascii="宋体" w:hAnsi="宋体" w:cs="宋体"/>
          <w:color w:val="auto"/>
          <w:sz w:val="28"/>
          <w:szCs w:val="28"/>
          <w:highlight w:val="none"/>
        </w:rPr>
      </w:pPr>
      <w:r>
        <w:rPr>
          <w:rFonts w:hint="eastAsia" w:ascii="宋体" w:hAnsi="宋体" w:cs="宋体"/>
          <w:color w:val="auto"/>
          <w:sz w:val="28"/>
          <w:szCs w:val="28"/>
          <w:highlight w:val="none"/>
        </w:rPr>
        <w:t>附件4：无围标串标等负面行为承诺书</w:t>
      </w:r>
    </w:p>
    <w:p w14:paraId="6EDFDD05">
      <w:pPr>
        <w:autoSpaceDE w:val="0"/>
        <w:autoSpaceDN w:val="0"/>
        <w:adjustRightInd w:val="0"/>
        <w:spacing w:line="360" w:lineRule="auto"/>
        <w:rPr>
          <w:rFonts w:ascii="黑体" w:hAnsi="黑体" w:eastAsia="黑体"/>
          <w:b/>
          <w:color w:val="auto"/>
          <w:sz w:val="36"/>
          <w:highlight w:val="none"/>
        </w:rPr>
      </w:pPr>
    </w:p>
    <w:p w14:paraId="5043C3B9">
      <w:pPr>
        <w:autoSpaceDE w:val="0"/>
        <w:autoSpaceDN w:val="0"/>
        <w:adjustRightInd w:val="0"/>
        <w:spacing w:line="360" w:lineRule="auto"/>
        <w:jc w:val="center"/>
        <w:rPr>
          <w:rFonts w:ascii="黑体" w:hAnsi="黑体" w:eastAsia="黑体"/>
          <w:b/>
          <w:color w:val="auto"/>
          <w:sz w:val="36"/>
          <w:highlight w:val="none"/>
        </w:rPr>
      </w:pPr>
      <w:r>
        <w:rPr>
          <w:rFonts w:hint="eastAsia" w:ascii="黑体" w:hAnsi="黑体" w:eastAsia="黑体"/>
          <w:b/>
          <w:color w:val="auto"/>
          <w:sz w:val="36"/>
          <w:highlight w:val="none"/>
        </w:rPr>
        <w:t>无围标串标等负面行为承诺书</w:t>
      </w:r>
    </w:p>
    <w:p w14:paraId="52587522">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本人作为经授权的投标人（或供应商、竞拍人等，下同）代表，清楚知晓我单位参与本项目投标（交易，下同），现对以下事项作出郑重承诺并签名：</w:t>
      </w:r>
    </w:p>
    <w:p w14:paraId="52BC0FC8">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一、我单位和本人遵循公开、公平、公正、诚实守信的原则，所提供的一切材料均真实、有效、合法，依法依规参与本项目投标。</w:t>
      </w:r>
    </w:p>
    <w:p w14:paraId="1A5EFB56">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二、我单位和本人在本项目招标投标活动中，拒绝参与围标串标，决不损害其他投标人、招标人（或采购人、拍卖人等，下同）的合法权益。</w:t>
      </w:r>
    </w:p>
    <w:p w14:paraId="691AF36E">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三、我单位如被查实在本项目公共资源交易活动中存在围标串标等行为，本人作为违法行为直接责任人员，将承担被执行失信惩戒并被依法追究相关责任的后果。</w:t>
      </w:r>
    </w:p>
    <w:p w14:paraId="557B81B1">
      <w:pPr>
        <w:spacing w:line="560" w:lineRule="exact"/>
        <w:ind w:firstLine="480"/>
        <w:rPr>
          <w:rFonts w:ascii="宋体" w:hAnsi="宋体" w:cs="宋体"/>
          <w:color w:val="auto"/>
          <w:sz w:val="24"/>
          <w:highlight w:val="none"/>
        </w:rPr>
      </w:pPr>
    </w:p>
    <w:p w14:paraId="4208D700">
      <w:pPr>
        <w:spacing w:line="560" w:lineRule="exact"/>
        <w:ind w:firstLine="480"/>
        <w:rPr>
          <w:rFonts w:ascii="宋体" w:hAnsi="宋体" w:cs="宋体"/>
          <w:color w:val="auto"/>
          <w:sz w:val="24"/>
          <w:highlight w:val="none"/>
        </w:rPr>
      </w:pPr>
    </w:p>
    <w:p w14:paraId="33801B1A">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6BE37AD2">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291891C">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0DD1BFF">
      <w:pPr>
        <w:snapToGrid w:val="0"/>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B61BC80">
      <w:pPr>
        <w:rPr>
          <w:rFonts w:hint="eastAsia" w:ascii="宋体" w:hAnsi="宋体" w:cs="宋体"/>
          <w:color w:val="auto"/>
          <w:sz w:val="28"/>
          <w:szCs w:val="28"/>
          <w:highlight w:val="none"/>
        </w:rPr>
      </w:pPr>
      <w:r>
        <w:rPr>
          <w:rFonts w:hint="eastAsia" w:ascii="宋体" w:hAnsi="宋体" w:cs="宋体"/>
          <w:color w:val="auto"/>
          <w:sz w:val="28"/>
          <w:szCs w:val="28"/>
          <w:highlight w:val="none"/>
        </w:rPr>
        <w:t>附件5：《供应商市场行为信誉情况承诺书》：</w:t>
      </w:r>
    </w:p>
    <w:p w14:paraId="3B76B59D">
      <w:pPr>
        <w:jc w:val="center"/>
        <w:rPr>
          <w:rFonts w:ascii="黑体" w:hAnsi="宋体" w:eastAsia="黑体"/>
          <w:b/>
          <w:bCs/>
          <w:color w:val="auto"/>
          <w:kern w:val="0"/>
          <w:sz w:val="32"/>
          <w:szCs w:val="32"/>
          <w:highlight w:val="none"/>
        </w:rPr>
      </w:pPr>
      <w:r>
        <w:rPr>
          <w:rFonts w:hint="eastAsia" w:ascii="黑体" w:hAnsi="宋体" w:eastAsia="黑体"/>
          <w:b/>
          <w:bCs/>
          <w:color w:val="auto"/>
          <w:kern w:val="0"/>
          <w:sz w:val="32"/>
          <w:szCs w:val="32"/>
          <w:highlight w:val="none"/>
        </w:rPr>
        <w:t>供应商市场行为信誉情况承诺书（申明书）</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14:paraId="63ADE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vAlign w:val="center"/>
          </w:tcPr>
          <w:p w14:paraId="3880F689">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投（竞）标</w:t>
            </w:r>
            <w:r>
              <w:rPr>
                <w:rFonts w:hint="eastAsia"/>
                <w:b/>
                <w:bCs/>
                <w:color w:val="auto"/>
                <w:highlight w:val="none"/>
              </w:rPr>
              <w:t>供应商</w:t>
            </w:r>
            <w:r>
              <w:rPr>
                <w:rFonts w:hint="eastAsia"/>
                <w:color w:val="auto"/>
                <w:highlight w:val="none"/>
              </w:rPr>
              <w:t>名称</w:t>
            </w:r>
            <w:r>
              <w:rPr>
                <w:color w:val="auto"/>
                <w:highlight w:val="none"/>
              </w:rPr>
              <w:t xml:space="preserve"> </w:t>
            </w:r>
          </w:p>
        </w:tc>
        <w:tc>
          <w:tcPr>
            <w:tcW w:w="2974" w:type="dxa"/>
            <w:gridSpan w:val="2"/>
            <w:tcBorders>
              <w:top w:val="single" w:color="auto" w:sz="4" w:space="0"/>
              <w:left w:val="dotted" w:color="auto" w:sz="4" w:space="0"/>
              <w:bottom w:val="dotted" w:color="auto" w:sz="4" w:space="0"/>
              <w:right w:val="dotted" w:color="auto" w:sz="4" w:space="0"/>
            </w:tcBorders>
            <w:vAlign w:val="center"/>
          </w:tcPr>
          <w:p w14:paraId="5155EC3C">
            <w:pPr>
              <w:spacing w:line="260" w:lineRule="exact"/>
              <w:rPr>
                <w:rFonts w:ascii="宋体" w:hAnsi="宋体"/>
                <w:color w:val="auto"/>
                <w:sz w:val="18"/>
                <w:szCs w:val="18"/>
                <w:highlight w:val="none"/>
              </w:rPr>
            </w:pPr>
          </w:p>
        </w:tc>
        <w:tc>
          <w:tcPr>
            <w:tcW w:w="1892" w:type="dxa"/>
            <w:tcBorders>
              <w:top w:val="single" w:color="auto" w:sz="4" w:space="0"/>
              <w:left w:val="dotted" w:color="auto" w:sz="4" w:space="0"/>
              <w:bottom w:val="dotted" w:color="auto" w:sz="4" w:space="0"/>
              <w:right w:val="dotted" w:color="auto" w:sz="4" w:space="0"/>
            </w:tcBorders>
            <w:vAlign w:val="center"/>
          </w:tcPr>
          <w:p w14:paraId="648C7306">
            <w:pPr>
              <w:spacing w:before="100" w:beforeAutospacing="1" w:after="100" w:afterAutospacing="1" w:line="260" w:lineRule="exact"/>
              <w:jc w:val="center"/>
              <w:rPr>
                <w:color w:val="auto"/>
                <w:highlight w:val="none"/>
              </w:rPr>
            </w:pPr>
            <w:r>
              <w:rPr>
                <w:rFonts w:hint="eastAsia"/>
                <w:color w:val="auto"/>
                <w:highlight w:val="none"/>
              </w:rPr>
              <w:t>企业资质等级</w:t>
            </w:r>
          </w:p>
          <w:p w14:paraId="07D6613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（如</w:t>
            </w:r>
            <w:r>
              <w:rPr>
                <w:color w:val="auto"/>
                <w:highlight w:val="none"/>
              </w:rPr>
              <w:t xml:space="preserve"> </w:t>
            </w:r>
            <w:r>
              <w:rPr>
                <w:rFonts w:hint="eastAsia"/>
                <w:color w:val="auto"/>
                <w:highlight w:val="none"/>
              </w:rPr>
              <w:t>有）</w:t>
            </w:r>
            <w:r>
              <w:rPr>
                <w:color w:val="auto"/>
                <w:highlight w:val="none"/>
              </w:rPr>
              <w:t xml:space="preserve"> </w:t>
            </w:r>
          </w:p>
        </w:tc>
        <w:tc>
          <w:tcPr>
            <w:tcW w:w="2373" w:type="dxa"/>
            <w:tcBorders>
              <w:top w:val="single" w:color="auto" w:sz="4" w:space="0"/>
              <w:left w:val="dotted" w:color="auto" w:sz="4" w:space="0"/>
              <w:bottom w:val="dotted" w:color="auto" w:sz="4" w:space="0"/>
              <w:right w:val="single" w:color="auto" w:sz="4" w:space="0"/>
            </w:tcBorders>
            <w:vAlign w:val="center"/>
          </w:tcPr>
          <w:p w14:paraId="50F08074">
            <w:pPr>
              <w:spacing w:line="260" w:lineRule="exact"/>
              <w:rPr>
                <w:rFonts w:ascii="宋体" w:hAnsi="宋体"/>
                <w:color w:val="auto"/>
                <w:sz w:val="18"/>
                <w:szCs w:val="18"/>
                <w:highlight w:val="none"/>
              </w:rPr>
            </w:pPr>
          </w:p>
        </w:tc>
      </w:tr>
      <w:tr w14:paraId="5A22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5F47102E">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企</w:t>
            </w:r>
            <w:r>
              <w:rPr>
                <w:color w:val="auto"/>
                <w:highlight w:val="none"/>
              </w:rPr>
              <w:t xml:space="preserve"> </w:t>
            </w:r>
            <w:r>
              <w:rPr>
                <w:rFonts w:hint="eastAsia"/>
                <w:color w:val="auto"/>
                <w:highlight w:val="none"/>
              </w:rPr>
              <w:t>业</w:t>
            </w:r>
            <w:r>
              <w:rPr>
                <w:color w:val="auto"/>
                <w:highlight w:val="none"/>
              </w:rPr>
              <w:t xml:space="preserve"> </w:t>
            </w: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0F64FC37">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0784DA57">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联</w:t>
            </w:r>
            <w:r>
              <w:rPr>
                <w:color w:val="auto"/>
                <w:highlight w:val="none"/>
              </w:rPr>
              <w:t xml:space="preserve"> </w:t>
            </w:r>
            <w:r>
              <w:rPr>
                <w:rFonts w:hint="eastAsia"/>
                <w:color w:val="auto"/>
                <w:highlight w:val="none"/>
              </w:rPr>
              <w:t>系</w:t>
            </w:r>
            <w:r>
              <w:rPr>
                <w:color w:val="auto"/>
                <w:highlight w:val="none"/>
              </w:rPr>
              <w:t xml:space="preserve"> </w:t>
            </w:r>
            <w:r>
              <w:rPr>
                <w:rFonts w:hint="eastAsia"/>
                <w:color w:val="auto"/>
                <w:highlight w:val="none"/>
              </w:rPr>
              <w:t>电</w:t>
            </w:r>
            <w:r>
              <w:rPr>
                <w:color w:val="auto"/>
                <w:highlight w:val="none"/>
              </w:rPr>
              <w:t xml:space="preserve"> </w:t>
            </w:r>
            <w:r>
              <w:rPr>
                <w:rFonts w:hint="eastAsia"/>
                <w:color w:val="auto"/>
                <w:highlight w:val="none"/>
              </w:rPr>
              <w:t>话</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vAlign w:val="center"/>
          </w:tcPr>
          <w:p w14:paraId="1F0E0FAF">
            <w:pPr>
              <w:spacing w:line="260" w:lineRule="exact"/>
              <w:rPr>
                <w:rFonts w:ascii="宋体" w:hAnsi="宋体"/>
                <w:color w:val="auto"/>
                <w:sz w:val="18"/>
                <w:szCs w:val="18"/>
                <w:highlight w:val="none"/>
              </w:rPr>
            </w:pPr>
          </w:p>
        </w:tc>
      </w:tr>
      <w:tr w14:paraId="5C3C6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45C8CB8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拟投（竞）标项目名称</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16DEFC73">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4D0AD842">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拟投标项目负责人姓名及资质</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tcPr>
          <w:p w14:paraId="027967C4">
            <w:pPr>
              <w:spacing w:line="260" w:lineRule="exact"/>
              <w:rPr>
                <w:rFonts w:ascii="宋体" w:hAnsi="宋体"/>
                <w:color w:val="auto"/>
                <w:sz w:val="18"/>
                <w:szCs w:val="18"/>
                <w:highlight w:val="none"/>
              </w:rPr>
            </w:pPr>
          </w:p>
        </w:tc>
      </w:tr>
      <w:tr w14:paraId="1707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vAlign w:val="center"/>
          </w:tcPr>
          <w:p w14:paraId="70339E34">
            <w:pPr>
              <w:spacing w:before="100" w:beforeAutospacing="1" w:after="100" w:afterAutospacing="1" w:line="260" w:lineRule="exact"/>
              <w:jc w:val="center"/>
              <w:rPr>
                <w:color w:val="auto"/>
                <w:sz w:val="24"/>
                <w:highlight w:val="none"/>
              </w:rPr>
            </w:pPr>
            <w:r>
              <w:rPr>
                <w:rFonts w:hint="eastAsia"/>
                <w:color w:val="auto"/>
                <w:highlight w:val="none"/>
              </w:rPr>
              <w:t>供应商</w:t>
            </w:r>
          </w:p>
          <w:p w14:paraId="729CC700">
            <w:pPr>
              <w:spacing w:before="100" w:beforeAutospacing="1" w:after="100" w:afterAutospacing="1" w:line="260" w:lineRule="exact"/>
              <w:jc w:val="center"/>
              <w:rPr>
                <w:color w:val="auto"/>
                <w:sz w:val="24"/>
                <w:highlight w:val="none"/>
              </w:rPr>
            </w:pPr>
            <w:r>
              <w:rPr>
                <w:rFonts w:hint="eastAsia"/>
                <w:color w:val="auto"/>
                <w:highlight w:val="none"/>
              </w:rPr>
              <w:t>市场</w:t>
            </w:r>
          </w:p>
          <w:p w14:paraId="3FC83882">
            <w:pPr>
              <w:spacing w:before="100" w:beforeAutospacing="1" w:after="100" w:afterAutospacing="1" w:line="260" w:lineRule="exact"/>
              <w:jc w:val="center"/>
              <w:rPr>
                <w:color w:val="auto"/>
                <w:sz w:val="24"/>
                <w:highlight w:val="none"/>
              </w:rPr>
            </w:pPr>
            <w:r>
              <w:rPr>
                <w:rFonts w:hint="eastAsia"/>
                <w:color w:val="auto"/>
                <w:highlight w:val="none"/>
              </w:rPr>
              <w:t>行为</w:t>
            </w:r>
          </w:p>
          <w:p w14:paraId="2F2A3E61">
            <w:pPr>
              <w:spacing w:before="100" w:beforeAutospacing="1" w:after="100" w:afterAutospacing="1" w:line="260" w:lineRule="exact"/>
              <w:jc w:val="center"/>
              <w:rPr>
                <w:color w:val="auto"/>
                <w:sz w:val="24"/>
                <w:highlight w:val="none"/>
              </w:rPr>
            </w:pPr>
            <w:r>
              <w:rPr>
                <w:rFonts w:hint="eastAsia"/>
                <w:color w:val="auto"/>
                <w:highlight w:val="none"/>
              </w:rPr>
              <w:t>信用</w:t>
            </w:r>
          </w:p>
          <w:p w14:paraId="7E414630">
            <w:pPr>
              <w:spacing w:before="100" w:beforeAutospacing="1" w:after="100" w:afterAutospacing="1" w:line="260" w:lineRule="exact"/>
              <w:jc w:val="center"/>
              <w:rPr>
                <w:color w:val="auto"/>
                <w:highlight w:val="none"/>
              </w:rPr>
            </w:pPr>
            <w:r>
              <w:rPr>
                <w:rFonts w:hint="eastAsia"/>
                <w:color w:val="auto"/>
                <w:highlight w:val="none"/>
              </w:rPr>
              <w:t>情况</w:t>
            </w: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3BF5EBDD">
            <w:pPr>
              <w:spacing w:before="100" w:beforeAutospacing="1" w:after="100" w:afterAutospacing="1" w:line="260" w:lineRule="exact"/>
              <w:rPr>
                <w:color w:val="auto"/>
                <w:highlight w:val="none"/>
              </w:rPr>
            </w:pPr>
            <w:r>
              <w:rPr>
                <w:rFonts w:hint="eastAsia"/>
                <w:color w:val="auto"/>
                <w:highlight w:val="none"/>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vAlign w:val="center"/>
          </w:tcPr>
          <w:p w14:paraId="32889594">
            <w:pPr>
              <w:spacing w:line="260" w:lineRule="exact"/>
              <w:jc w:val="center"/>
              <w:rPr>
                <w:rFonts w:ascii="宋体" w:hAnsi="宋体"/>
                <w:color w:val="auto"/>
                <w:sz w:val="18"/>
                <w:szCs w:val="18"/>
                <w:highlight w:val="none"/>
              </w:rPr>
            </w:pPr>
          </w:p>
        </w:tc>
      </w:tr>
      <w:tr w14:paraId="1D3C3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E5C758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420AAD10">
            <w:pPr>
              <w:spacing w:before="100" w:beforeAutospacing="1" w:after="100" w:afterAutospacing="1" w:line="260" w:lineRule="exact"/>
              <w:rPr>
                <w:color w:val="auto"/>
                <w:highlight w:val="none"/>
              </w:rPr>
            </w:pPr>
            <w:r>
              <w:rPr>
                <w:rFonts w:hint="eastAsia"/>
                <w:color w:val="auto"/>
                <w:highlight w:val="none"/>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tcPr>
          <w:p w14:paraId="3372A0F2">
            <w:pPr>
              <w:spacing w:line="260" w:lineRule="exact"/>
              <w:rPr>
                <w:rFonts w:ascii="宋体" w:hAnsi="宋体"/>
                <w:color w:val="auto"/>
                <w:sz w:val="18"/>
                <w:szCs w:val="18"/>
                <w:highlight w:val="none"/>
              </w:rPr>
            </w:pPr>
          </w:p>
        </w:tc>
      </w:tr>
      <w:tr w14:paraId="51D84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5A0B2AC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tcPr>
          <w:p w14:paraId="3FC476DC">
            <w:pPr>
              <w:spacing w:before="100" w:beforeAutospacing="1" w:after="100" w:afterAutospacing="1" w:line="260" w:lineRule="exact"/>
              <w:rPr>
                <w:rFonts w:hint="eastAsia"/>
                <w:color w:val="auto"/>
                <w:highlight w:val="none"/>
              </w:rPr>
            </w:pPr>
            <w:r>
              <w:rPr>
                <w:rFonts w:hint="eastAsia"/>
                <w:color w:val="auto"/>
                <w:highlight w:val="none"/>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tcPr>
          <w:p w14:paraId="0743F0B3">
            <w:pPr>
              <w:spacing w:line="260" w:lineRule="exact"/>
              <w:rPr>
                <w:rFonts w:ascii="宋体" w:hAnsi="宋体"/>
                <w:color w:val="auto"/>
                <w:sz w:val="18"/>
                <w:szCs w:val="18"/>
                <w:highlight w:val="none"/>
              </w:rPr>
            </w:pPr>
          </w:p>
        </w:tc>
      </w:tr>
      <w:tr w14:paraId="0EDAF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F205CDB">
            <w:pPr>
              <w:widowControl/>
              <w:jc w:val="left"/>
              <w:rPr>
                <w:color w:val="auto"/>
                <w:highlight w:val="none"/>
              </w:rPr>
            </w:pPr>
          </w:p>
        </w:tc>
        <w:tc>
          <w:tcPr>
            <w:tcW w:w="3960" w:type="dxa"/>
            <w:gridSpan w:val="3"/>
            <w:tcBorders>
              <w:top w:val="dotted" w:color="auto" w:sz="4" w:space="0"/>
              <w:left w:val="dotted" w:color="auto" w:sz="4" w:space="0"/>
              <w:bottom w:val="nil"/>
              <w:right w:val="dotted" w:color="auto" w:sz="4" w:space="0"/>
            </w:tcBorders>
            <w:vAlign w:val="center"/>
          </w:tcPr>
          <w:p w14:paraId="0543B661">
            <w:pPr>
              <w:spacing w:before="100" w:beforeAutospacing="1" w:after="100" w:afterAutospacing="1" w:line="260" w:lineRule="exact"/>
              <w:rPr>
                <w:rFonts w:ascii="宋体" w:hAnsi="宋体"/>
                <w:color w:val="auto"/>
                <w:sz w:val="24"/>
                <w:highlight w:val="none"/>
              </w:rPr>
            </w:pPr>
            <w:r>
              <w:rPr>
                <w:rFonts w:hint="eastAsia"/>
                <w:color w:val="auto"/>
                <w:highlight w:val="none"/>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tcPr>
          <w:p w14:paraId="2524264B">
            <w:pPr>
              <w:spacing w:line="260" w:lineRule="exact"/>
              <w:rPr>
                <w:rFonts w:ascii="宋体" w:hAnsi="宋体"/>
                <w:color w:val="auto"/>
                <w:sz w:val="18"/>
                <w:szCs w:val="18"/>
                <w:highlight w:val="none"/>
              </w:rPr>
            </w:pPr>
          </w:p>
        </w:tc>
      </w:tr>
      <w:tr w14:paraId="28588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452DEAA7">
            <w:pPr>
              <w:widowControl/>
              <w:jc w:val="left"/>
              <w:rPr>
                <w:color w:val="auto"/>
                <w:highlight w:val="none"/>
              </w:rPr>
            </w:pPr>
          </w:p>
        </w:tc>
        <w:tc>
          <w:tcPr>
            <w:tcW w:w="3960" w:type="dxa"/>
            <w:gridSpan w:val="3"/>
            <w:tcBorders>
              <w:top w:val="dotted" w:color="auto" w:sz="4" w:space="0"/>
              <w:left w:val="dotted" w:color="auto" w:sz="4" w:space="0"/>
              <w:bottom w:val="dotted" w:color="auto" w:sz="4" w:space="0"/>
              <w:right w:val="dotted" w:color="auto" w:sz="4" w:space="0"/>
            </w:tcBorders>
            <w:vAlign w:val="center"/>
          </w:tcPr>
          <w:p w14:paraId="3F47ACAB">
            <w:pPr>
              <w:spacing w:before="100" w:beforeAutospacing="1" w:after="100" w:afterAutospacing="1" w:line="260" w:lineRule="exact"/>
              <w:rPr>
                <w:color w:val="auto"/>
                <w:highlight w:val="none"/>
              </w:rPr>
            </w:pPr>
            <w:r>
              <w:rPr>
                <w:rFonts w:hint="eastAsia"/>
                <w:color w:val="auto"/>
                <w:highlight w:val="none"/>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tcPr>
          <w:p w14:paraId="3A987CCC">
            <w:pPr>
              <w:spacing w:line="260" w:lineRule="exact"/>
              <w:rPr>
                <w:rFonts w:ascii="宋体" w:hAnsi="宋体"/>
                <w:color w:val="auto"/>
                <w:sz w:val="18"/>
                <w:szCs w:val="18"/>
                <w:highlight w:val="none"/>
              </w:rPr>
            </w:pPr>
          </w:p>
        </w:tc>
      </w:tr>
      <w:tr w14:paraId="1A361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vAlign w:val="center"/>
          </w:tcPr>
          <w:p w14:paraId="6433615D">
            <w:pPr>
              <w:spacing w:before="100" w:beforeAutospacing="1" w:after="100" w:afterAutospacing="1" w:line="260" w:lineRule="exact"/>
              <w:jc w:val="center"/>
              <w:rPr>
                <w:color w:val="auto"/>
                <w:highlight w:val="none"/>
              </w:rPr>
            </w:pPr>
            <w:r>
              <w:rPr>
                <w:rFonts w:hint="eastAsia"/>
                <w:color w:val="auto"/>
                <w:highlight w:val="none"/>
              </w:rPr>
              <w:t>投标供应商</w:t>
            </w:r>
          </w:p>
          <w:p w14:paraId="62198815">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声</w:t>
            </w:r>
            <w:r>
              <w:rPr>
                <w:color w:val="auto"/>
                <w:highlight w:val="none"/>
              </w:rPr>
              <w:t xml:space="preserve"> </w:t>
            </w:r>
            <w:r>
              <w:rPr>
                <w:rFonts w:hint="eastAsia"/>
                <w:color w:val="auto"/>
                <w:highlight w:val="none"/>
              </w:rPr>
              <w:t>明</w:t>
            </w:r>
            <w:r>
              <w:rPr>
                <w:color w:val="auto"/>
                <w:highlight w:val="none"/>
              </w:rPr>
              <w:t xml:space="preserve"> </w:t>
            </w:r>
          </w:p>
        </w:tc>
        <w:tc>
          <w:tcPr>
            <w:tcW w:w="7438" w:type="dxa"/>
            <w:gridSpan w:val="5"/>
            <w:tcBorders>
              <w:top w:val="dotted" w:color="auto" w:sz="4" w:space="0"/>
              <w:left w:val="dotted" w:color="auto" w:sz="4" w:space="0"/>
              <w:bottom w:val="single" w:color="auto" w:sz="4" w:space="0"/>
              <w:right w:val="single" w:color="auto" w:sz="4" w:space="0"/>
            </w:tcBorders>
          </w:tcPr>
          <w:p w14:paraId="616A7D09">
            <w:pPr>
              <w:pStyle w:val="14"/>
              <w:spacing w:line="260" w:lineRule="exact"/>
              <w:ind w:left="420" w:firstLine="337" w:firstLineChars="196"/>
              <w:rPr>
                <w:color w:val="auto"/>
                <w:szCs w:val="18"/>
                <w:highlight w:val="none"/>
              </w:rPr>
            </w:pPr>
            <w:r>
              <w:rPr>
                <w:rFonts w:hint="eastAsia"/>
                <w:color w:val="auto"/>
                <w:szCs w:val="18"/>
                <w:highlight w:val="none"/>
              </w:rPr>
              <w:t>以上内容是本企业市场行为信用的真实反映，如有不实，愿取消本项目投标资格。</w:t>
            </w:r>
          </w:p>
          <w:p w14:paraId="214ED649">
            <w:pPr>
              <w:spacing w:before="100" w:beforeAutospacing="1" w:after="100" w:afterAutospacing="1" w:line="260" w:lineRule="exact"/>
              <w:jc w:val="center"/>
              <w:rPr>
                <w:color w:val="auto"/>
                <w:sz w:val="24"/>
                <w:highlight w:val="none"/>
              </w:rPr>
            </w:pPr>
            <w:r>
              <w:rPr>
                <w:rFonts w:hint="eastAsia"/>
                <w:color w:val="auto"/>
                <w:highlight w:val="none"/>
              </w:rPr>
              <w:t>法定代表人签名：</w:t>
            </w:r>
            <w:r>
              <w:rPr>
                <w:rFonts w:hint="eastAsia"/>
                <w:color w:val="auto"/>
                <w:highlight w:val="none"/>
                <w:u w:val="single"/>
              </w:rPr>
              <w:t xml:space="preserve">            </w:t>
            </w:r>
            <w:r>
              <w:rPr>
                <w:color w:val="auto"/>
                <w:highlight w:val="none"/>
              </w:rPr>
              <w:t xml:space="preserve"> </w:t>
            </w:r>
          </w:p>
          <w:p w14:paraId="2BFE08EB">
            <w:pPr>
              <w:spacing w:before="100" w:beforeAutospacing="1" w:after="100" w:afterAutospacing="1" w:line="260" w:lineRule="exact"/>
              <w:jc w:val="center"/>
              <w:rPr>
                <w:color w:val="auto"/>
                <w:sz w:val="24"/>
                <w:highlight w:val="none"/>
              </w:rPr>
            </w:pPr>
            <w:r>
              <w:rPr>
                <w:color w:val="auto"/>
                <w:highlight w:val="none"/>
              </w:rPr>
              <w:t>(</w:t>
            </w:r>
            <w:r>
              <w:rPr>
                <w:rFonts w:hint="eastAsia"/>
                <w:color w:val="auto"/>
                <w:highlight w:val="none"/>
              </w:rPr>
              <w:t>电子签章）</w:t>
            </w:r>
            <w:r>
              <w:rPr>
                <w:color w:val="auto"/>
                <w:highlight w:val="none"/>
              </w:rPr>
              <w:t xml:space="preserve"> </w:t>
            </w:r>
          </w:p>
          <w:p w14:paraId="54B03AE7">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r>
              <w:rPr>
                <w:color w:val="auto"/>
                <w:highlight w:val="none"/>
              </w:rPr>
              <w:t xml:space="preserve"> </w:t>
            </w:r>
          </w:p>
        </w:tc>
      </w:tr>
    </w:tbl>
    <w:p w14:paraId="365CFBB1">
      <w:pPr>
        <w:rPr>
          <w:rFonts w:hint="eastAsia"/>
          <w:color w:val="auto"/>
          <w:highlight w:val="none"/>
        </w:rPr>
      </w:pPr>
      <w:r>
        <w:rPr>
          <w:rFonts w:hint="eastAsia"/>
          <w:color w:val="auto"/>
          <w:highlight w:val="none"/>
        </w:rPr>
        <w:t>注：</w:t>
      </w:r>
      <w:r>
        <w:rPr>
          <w:color w:val="auto"/>
          <w:highlight w:val="none"/>
        </w:rPr>
        <w:t>1</w:t>
      </w:r>
      <w:r>
        <w:rPr>
          <w:rFonts w:hint="eastAsia"/>
          <w:color w:val="auto"/>
          <w:highlight w:val="none"/>
        </w:rPr>
        <w:t>.本表格内容须如实填写；</w:t>
      </w:r>
    </w:p>
    <w:p w14:paraId="5D286B9E">
      <w:pPr>
        <w:ind w:firstLine="420" w:firstLineChars="200"/>
        <w:rPr>
          <w:rFonts w:hint="eastAsia"/>
          <w:color w:val="auto"/>
          <w:highlight w:val="none"/>
        </w:rPr>
      </w:pPr>
      <w:r>
        <w:rPr>
          <w:rFonts w:hint="eastAsia"/>
          <w:color w:val="auto"/>
          <w:highlight w:val="none"/>
        </w:rPr>
        <w:t>2.本表格由供应商自己填写，若无表中所列情况，则在相应栏中写“无”，若有，须按具体次数分别说明（包括处罚时间、事由、处罚主体等）；</w:t>
      </w:r>
    </w:p>
    <w:p w14:paraId="0C58807A">
      <w:pPr>
        <w:snapToGrid w:val="0"/>
        <w:spacing w:before="50" w:after="120" w:afterLines="50" w:line="276" w:lineRule="auto"/>
        <w:jc w:val="left"/>
        <w:rPr>
          <w:rFonts w:hint="eastAsia" w:ascii="宋体" w:hAnsi="宋体"/>
          <w:b/>
          <w:color w:val="auto"/>
          <w:sz w:val="24"/>
          <w:highlight w:val="none"/>
        </w:rPr>
      </w:pPr>
    </w:p>
    <w:p w14:paraId="068C6E84">
      <w:pPr>
        <w:snapToGrid w:val="0"/>
        <w:spacing w:before="50" w:after="120" w:afterLines="50" w:line="276" w:lineRule="auto"/>
        <w:jc w:val="left"/>
        <w:rPr>
          <w:rFonts w:hint="eastAsia" w:ascii="宋体" w:hAnsi="宋体"/>
          <w:b/>
          <w:color w:val="auto"/>
          <w:sz w:val="24"/>
          <w:highlight w:val="none"/>
        </w:rPr>
      </w:pPr>
    </w:p>
    <w:p w14:paraId="26C23225">
      <w:pPr>
        <w:snapToGrid w:val="0"/>
        <w:spacing w:before="50" w:after="120" w:afterLines="50" w:line="276" w:lineRule="auto"/>
        <w:jc w:val="left"/>
        <w:rPr>
          <w:rFonts w:hint="eastAsia" w:ascii="宋体" w:hAnsi="宋体"/>
          <w:b/>
          <w:color w:val="auto"/>
          <w:sz w:val="24"/>
          <w:highlight w:val="none"/>
        </w:rPr>
      </w:pPr>
    </w:p>
    <w:p w14:paraId="46C83CDD">
      <w:pPr>
        <w:rPr>
          <w:rFonts w:hint="eastAsia" w:ascii="宋体" w:hAnsi="宋体" w:cs="宋体"/>
          <w:color w:val="auto"/>
          <w:sz w:val="28"/>
          <w:szCs w:val="28"/>
          <w:highlight w:val="none"/>
        </w:rPr>
      </w:pPr>
      <w:r>
        <w:rPr>
          <w:rFonts w:hint="eastAsia" w:ascii="宋体" w:hAnsi="宋体" w:cs="宋体"/>
          <w:color w:val="auto"/>
          <w:sz w:val="28"/>
          <w:szCs w:val="28"/>
          <w:highlight w:val="none"/>
        </w:rPr>
        <w:t>附件6：投标单位情况表：</w:t>
      </w:r>
    </w:p>
    <w:p w14:paraId="57C51C0C">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投标单位情况表</w:t>
      </w:r>
    </w:p>
    <w:p w14:paraId="2F7F75F0">
      <w:pPr>
        <w:pStyle w:val="29"/>
        <w:spacing w:before="120" w:after="120" w:line="276" w:lineRule="auto"/>
        <w:rPr>
          <w:rFonts w:ascii="Times New Roman" w:hAnsi="Times New Roman"/>
          <w:color w:val="auto"/>
          <w:highlight w:val="none"/>
        </w:rPr>
      </w:pPr>
      <w:r>
        <w:rPr>
          <w:rFonts w:hint="eastAsia" w:ascii="Times New Roman" w:hAnsi="Times New Roman"/>
          <w:color w:val="auto"/>
          <w:highlight w:val="none"/>
        </w:rPr>
        <w:t>投标单位：                                        填表日期：</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14:paraId="126D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vAlign w:val="center"/>
          </w:tcPr>
          <w:p w14:paraId="73025FB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单位名称</w:t>
            </w:r>
          </w:p>
        </w:tc>
        <w:tc>
          <w:tcPr>
            <w:tcW w:w="3385" w:type="dxa"/>
            <w:vAlign w:val="center"/>
          </w:tcPr>
          <w:p w14:paraId="356BA1B0">
            <w:pPr>
              <w:widowControl/>
              <w:spacing w:line="276" w:lineRule="auto"/>
              <w:jc w:val="center"/>
              <w:rPr>
                <w:rFonts w:ascii="宋体" w:hAnsi="宋体"/>
                <w:color w:val="auto"/>
                <w:szCs w:val="21"/>
                <w:highlight w:val="none"/>
              </w:rPr>
            </w:pPr>
          </w:p>
        </w:tc>
        <w:tc>
          <w:tcPr>
            <w:tcW w:w="1418" w:type="dxa"/>
            <w:gridSpan w:val="2"/>
            <w:vAlign w:val="center"/>
          </w:tcPr>
          <w:p w14:paraId="24CC5AF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电话</w:t>
            </w:r>
          </w:p>
        </w:tc>
        <w:tc>
          <w:tcPr>
            <w:tcW w:w="2627" w:type="dxa"/>
            <w:vAlign w:val="center"/>
          </w:tcPr>
          <w:p w14:paraId="562468C6">
            <w:pPr>
              <w:pStyle w:val="29"/>
              <w:spacing w:before="120" w:after="120" w:line="276" w:lineRule="auto"/>
              <w:jc w:val="center"/>
              <w:rPr>
                <w:rFonts w:hAnsi="宋体"/>
                <w:color w:val="auto"/>
                <w:sz w:val="21"/>
                <w:szCs w:val="21"/>
                <w:highlight w:val="none"/>
              </w:rPr>
            </w:pPr>
          </w:p>
        </w:tc>
      </w:tr>
      <w:tr w14:paraId="3604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vAlign w:val="center"/>
          </w:tcPr>
          <w:p w14:paraId="4DF4796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地址</w:t>
            </w:r>
          </w:p>
        </w:tc>
        <w:tc>
          <w:tcPr>
            <w:tcW w:w="3385" w:type="dxa"/>
            <w:vAlign w:val="center"/>
          </w:tcPr>
          <w:p w14:paraId="76C8DFBE">
            <w:pPr>
              <w:pStyle w:val="29"/>
              <w:spacing w:before="120" w:after="120" w:line="276" w:lineRule="auto"/>
              <w:jc w:val="center"/>
              <w:rPr>
                <w:rFonts w:hAnsi="宋体"/>
                <w:color w:val="auto"/>
                <w:sz w:val="21"/>
                <w:szCs w:val="21"/>
                <w:highlight w:val="none"/>
              </w:rPr>
            </w:pPr>
          </w:p>
        </w:tc>
        <w:tc>
          <w:tcPr>
            <w:tcW w:w="1418" w:type="dxa"/>
            <w:gridSpan w:val="2"/>
            <w:vAlign w:val="center"/>
          </w:tcPr>
          <w:p w14:paraId="6158C8A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传真</w:t>
            </w:r>
          </w:p>
        </w:tc>
        <w:tc>
          <w:tcPr>
            <w:tcW w:w="2627" w:type="dxa"/>
            <w:vAlign w:val="center"/>
          </w:tcPr>
          <w:p w14:paraId="318517DF">
            <w:pPr>
              <w:pStyle w:val="29"/>
              <w:spacing w:before="120" w:after="120" w:line="276" w:lineRule="auto"/>
              <w:jc w:val="center"/>
              <w:rPr>
                <w:rFonts w:hAnsi="宋体"/>
                <w:color w:val="auto"/>
                <w:sz w:val="21"/>
                <w:szCs w:val="21"/>
                <w:highlight w:val="none"/>
              </w:rPr>
            </w:pPr>
          </w:p>
        </w:tc>
      </w:tr>
      <w:tr w14:paraId="6E5D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vAlign w:val="center"/>
          </w:tcPr>
          <w:p w14:paraId="5752D72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主管部门</w:t>
            </w:r>
          </w:p>
        </w:tc>
        <w:tc>
          <w:tcPr>
            <w:tcW w:w="3385" w:type="dxa"/>
            <w:vAlign w:val="center"/>
          </w:tcPr>
          <w:p w14:paraId="6DE7DCC4">
            <w:pPr>
              <w:pStyle w:val="29"/>
              <w:spacing w:before="120" w:after="120" w:line="276" w:lineRule="auto"/>
              <w:jc w:val="center"/>
              <w:rPr>
                <w:rFonts w:hAnsi="宋体"/>
                <w:color w:val="auto"/>
                <w:sz w:val="21"/>
                <w:szCs w:val="21"/>
                <w:highlight w:val="none"/>
              </w:rPr>
            </w:pPr>
          </w:p>
        </w:tc>
        <w:tc>
          <w:tcPr>
            <w:tcW w:w="1418" w:type="dxa"/>
            <w:gridSpan w:val="2"/>
            <w:vAlign w:val="center"/>
          </w:tcPr>
          <w:p w14:paraId="238F2ED1">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企业性质</w:t>
            </w:r>
          </w:p>
        </w:tc>
        <w:tc>
          <w:tcPr>
            <w:tcW w:w="2627" w:type="dxa"/>
            <w:vAlign w:val="center"/>
          </w:tcPr>
          <w:p w14:paraId="368E7D2F">
            <w:pPr>
              <w:pStyle w:val="29"/>
              <w:spacing w:before="120" w:after="120" w:line="276" w:lineRule="auto"/>
              <w:jc w:val="center"/>
              <w:rPr>
                <w:rFonts w:hAnsi="宋体"/>
                <w:color w:val="auto"/>
                <w:sz w:val="21"/>
                <w:szCs w:val="21"/>
                <w:highlight w:val="none"/>
              </w:rPr>
            </w:pPr>
          </w:p>
        </w:tc>
      </w:tr>
      <w:tr w14:paraId="102A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vAlign w:val="center"/>
          </w:tcPr>
          <w:p w14:paraId="129DE299">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企业法人</w:t>
            </w:r>
          </w:p>
        </w:tc>
        <w:tc>
          <w:tcPr>
            <w:tcW w:w="3385" w:type="dxa"/>
            <w:vAlign w:val="center"/>
          </w:tcPr>
          <w:p w14:paraId="05D32396">
            <w:pPr>
              <w:pStyle w:val="29"/>
              <w:spacing w:before="120" w:after="120" w:line="276" w:lineRule="auto"/>
              <w:jc w:val="center"/>
              <w:rPr>
                <w:rFonts w:hAnsi="宋体"/>
                <w:color w:val="auto"/>
                <w:sz w:val="21"/>
                <w:szCs w:val="21"/>
                <w:highlight w:val="none"/>
              </w:rPr>
            </w:pPr>
          </w:p>
        </w:tc>
        <w:tc>
          <w:tcPr>
            <w:tcW w:w="1418" w:type="dxa"/>
            <w:gridSpan w:val="2"/>
            <w:vAlign w:val="center"/>
          </w:tcPr>
          <w:p w14:paraId="53598B2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资质等级</w:t>
            </w:r>
          </w:p>
        </w:tc>
        <w:tc>
          <w:tcPr>
            <w:tcW w:w="2627" w:type="dxa"/>
            <w:vAlign w:val="center"/>
          </w:tcPr>
          <w:p w14:paraId="2B3573FD">
            <w:pPr>
              <w:pStyle w:val="29"/>
              <w:spacing w:before="120" w:after="120" w:line="276" w:lineRule="auto"/>
              <w:jc w:val="center"/>
              <w:rPr>
                <w:rFonts w:hAnsi="宋体"/>
                <w:color w:val="auto"/>
                <w:sz w:val="21"/>
                <w:szCs w:val="21"/>
                <w:highlight w:val="none"/>
              </w:rPr>
            </w:pPr>
          </w:p>
        </w:tc>
      </w:tr>
      <w:tr w14:paraId="01AD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vAlign w:val="center"/>
          </w:tcPr>
          <w:p w14:paraId="6AD33C53">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授权代表</w:t>
            </w:r>
          </w:p>
        </w:tc>
        <w:tc>
          <w:tcPr>
            <w:tcW w:w="3385" w:type="dxa"/>
            <w:vAlign w:val="center"/>
          </w:tcPr>
          <w:p w14:paraId="11AB7715">
            <w:pPr>
              <w:pStyle w:val="29"/>
              <w:spacing w:before="120" w:after="120" w:line="276" w:lineRule="auto"/>
              <w:jc w:val="center"/>
              <w:rPr>
                <w:rFonts w:hAnsi="宋体"/>
                <w:color w:val="auto"/>
                <w:sz w:val="21"/>
                <w:szCs w:val="21"/>
                <w:highlight w:val="none"/>
              </w:rPr>
            </w:pPr>
          </w:p>
        </w:tc>
        <w:tc>
          <w:tcPr>
            <w:tcW w:w="1418" w:type="dxa"/>
            <w:gridSpan w:val="2"/>
            <w:vAlign w:val="center"/>
          </w:tcPr>
          <w:p w14:paraId="6923136F">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职务</w:t>
            </w:r>
          </w:p>
        </w:tc>
        <w:tc>
          <w:tcPr>
            <w:tcW w:w="2627" w:type="dxa"/>
            <w:vAlign w:val="center"/>
          </w:tcPr>
          <w:p w14:paraId="13F570EF">
            <w:pPr>
              <w:pStyle w:val="29"/>
              <w:spacing w:before="120" w:after="120" w:line="276" w:lineRule="auto"/>
              <w:jc w:val="center"/>
              <w:rPr>
                <w:rFonts w:hAnsi="宋体"/>
                <w:color w:val="auto"/>
                <w:sz w:val="21"/>
                <w:szCs w:val="21"/>
                <w:highlight w:val="none"/>
              </w:rPr>
            </w:pPr>
          </w:p>
        </w:tc>
      </w:tr>
      <w:tr w14:paraId="052B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vAlign w:val="center"/>
          </w:tcPr>
          <w:p w14:paraId="6F0E9479">
            <w:pPr>
              <w:pStyle w:val="29"/>
              <w:spacing w:before="120" w:after="120" w:line="276" w:lineRule="auto"/>
              <w:ind w:firstLine="630" w:firstLineChars="300"/>
              <w:jc w:val="center"/>
              <w:rPr>
                <w:rFonts w:hAnsi="宋体"/>
                <w:color w:val="auto"/>
                <w:sz w:val="21"/>
                <w:szCs w:val="21"/>
                <w:highlight w:val="none"/>
              </w:rPr>
            </w:pPr>
          </w:p>
          <w:p w14:paraId="435296D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w:t>
            </w:r>
          </w:p>
          <w:p w14:paraId="2EF5AAB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概况</w:t>
            </w:r>
          </w:p>
          <w:p w14:paraId="0A5CC4A2">
            <w:pPr>
              <w:pStyle w:val="29"/>
              <w:spacing w:before="120" w:after="120" w:line="276" w:lineRule="auto"/>
              <w:ind w:firstLine="630" w:firstLineChars="300"/>
              <w:jc w:val="center"/>
              <w:rPr>
                <w:rFonts w:hAnsi="宋体"/>
                <w:color w:val="auto"/>
                <w:sz w:val="21"/>
                <w:szCs w:val="21"/>
                <w:highlight w:val="none"/>
              </w:rPr>
            </w:pPr>
          </w:p>
          <w:p w14:paraId="64481EE7">
            <w:pPr>
              <w:pStyle w:val="29"/>
              <w:spacing w:before="120" w:after="120" w:line="276" w:lineRule="auto"/>
              <w:ind w:firstLine="630" w:firstLineChars="300"/>
              <w:jc w:val="center"/>
              <w:rPr>
                <w:rFonts w:hAnsi="宋体"/>
                <w:color w:val="auto"/>
                <w:sz w:val="21"/>
                <w:szCs w:val="21"/>
                <w:highlight w:val="none"/>
              </w:rPr>
            </w:pPr>
          </w:p>
          <w:p w14:paraId="0CB2ACCC">
            <w:pPr>
              <w:pStyle w:val="29"/>
              <w:spacing w:before="120" w:after="120" w:line="276" w:lineRule="auto"/>
              <w:ind w:firstLine="630" w:firstLineChars="300"/>
              <w:jc w:val="center"/>
              <w:rPr>
                <w:rFonts w:hAnsi="宋体"/>
                <w:color w:val="auto"/>
                <w:sz w:val="21"/>
                <w:szCs w:val="21"/>
                <w:highlight w:val="none"/>
              </w:rPr>
            </w:pPr>
          </w:p>
          <w:p w14:paraId="0BE51C0B">
            <w:pPr>
              <w:pStyle w:val="29"/>
              <w:spacing w:before="120" w:after="120" w:line="276" w:lineRule="auto"/>
              <w:ind w:firstLine="630" w:firstLineChars="300"/>
              <w:jc w:val="center"/>
              <w:rPr>
                <w:rFonts w:hAnsi="宋体"/>
                <w:color w:val="auto"/>
                <w:sz w:val="21"/>
                <w:szCs w:val="21"/>
                <w:highlight w:val="none"/>
              </w:rPr>
            </w:pPr>
          </w:p>
        </w:tc>
        <w:tc>
          <w:tcPr>
            <w:tcW w:w="1300" w:type="dxa"/>
            <w:vMerge w:val="restart"/>
            <w:vAlign w:val="center"/>
          </w:tcPr>
          <w:p w14:paraId="6C89FF9B">
            <w:pPr>
              <w:spacing w:line="276" w:lineRule="auto"/>
              <w:jc w:val="center"/>
              <w:rPr>
                <w:rFonts w:ascii="宋体" w:hAnsi="宋体"/>
                <w:color w:val="auto"/>
                <w:szCs w:val="21"/>
                <w:highlight w:val="none"/>
              </w:rPr>
            </w:pPr>
            <w:r>
              <w:rPr>
                <w:rFonts w:hint="eastAsia" w:ascii="宋体" w:hAnsi="宋体"/>
                <w:color w:val="auto"/>
                <w:szCs w:val="21"/>
                <w:highlight w:val="none"/>
              </w:rPr>
              <w:t>职工总数</w:t>
            </w:r>
          </w:p>
        </w:tc>
        <w:tc>
          <w:tcPr>
            <w:tcW w:w="3385" w:type="dxa"/>
            <w:vAlign w:val="center"/>
          </w:tcPr>
          <w:p w14:paraId="614E53D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员工：           人</w:t>
            </w:r>
          </w:p>
        </w:tc>
        <w:tc>
          <w:tcPr>
            <w:tcW w:w="4045" w:type="dxa"/>
            <w:gridSpan w:val="3"/>
            <w:vAlign w:val="center"/>
          </w:tcPr>
          <w:p w14:paraId="49DCE8D2">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技术工人：          人</w:t>
            </w:r>
          </w:p>
        </w:tc>
      </w:tr>
      <w:tr w14:paraId="17CB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vAlign w:val="center"/>
          </w:tcPr>
          <w:p w14:paraId="1772CB2D">
            <w:pPr>
              <w:pStyle w:val="29"/>
              <w:spacing w:before="120" w:after="120" w:line="276" w:lineRule="auto"/>
              <w:ind w:firstLine="630" w:firstLineChars="300"/>
              <w:jc w:val="center"/>
              <w:rPr>
                <w:rFonts w:hAnsi="宋体"/>
                <w:color w:val="auto"/>
                <w:sz w:val="21"/>
                <w:szCs w:val="21"/>
                <w:highlight w:val="none"/>
              </w:rPr>
            </w:pPr>
          </w:p>
        </w:tc>
        <w:tc>
          <w:tcPr>
            <w:tcW w:w="1300" w:type="dxa"/>
            <w:vMerge w:val="continue"/>
            <w:vAlign w:val="center"/>
          </w:tcPr>
          <w:p w14:paraId="056B7F38">
            <w:pPr>
              <w:widowControl/>
              <w:spacing w:line="276" w:lineRule="auto"/>
              <w:jc w:val="center"/>
              <w:rPr>
                <w:rFonts w:ascii="宋体" w:hAnsi="宋体"/>
                <w:color w:val="auto"/>
                <w:szCs w:val="21"/>
                <w:highlight w:val="none"/>
              </w:rPr>
            </w:pPr>
          </w:p>
        </w:tc>
        <w:tc>
          <w:tcPr>
            <w:tcW w:w="3385" w:type="dxa"/>
            <w:vAlign w:val="center"/>
          </w:tcPr>
          <w:p w14:paraId="6C50C14A">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高级技师：       人</w:t>
            </w:r>
          </w:p>
        </w:tc>
        <w:tc>
          <w:tcPr>
            <w:tcW w:w="4045" w:type="dxa"/>
            <w:gridSpan w:val="3"/>
            <w:vAlign w:val="center"/>
          </w:tcPr>
          <w:p w14:paraId="03399631">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工程师：            人</w:t>
            </w:r>
          </w:p>
        </w:tc>
      </w:tr>
      <w:tr w14:paraId="0EAB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vAlign w:val="center"/>
          </w:tcPr>
          <w:p w14:paraId="575E9BCE">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16E5235C">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流动资金</w:t>
            </w:r>
          </w:p>
        </w:tc>
        <w:tc>
          <w:tcPr>
            <w:tcW w:w="3385" w:type="dxa"/>
            <w:vAlign w:val="center"/>
          </w:tcPr>
          <w:p w14:paraId="74468EB8">
            <w:pPr>
              <w:pStyle w:val="29"/>
              <w:spacing w:before="120" w:after="120" w:line="276" w:lineRule="auto"/>
              <w:jc w:val="center"/>
              <w:rPr>
                <w:rFonts w:hAnsi="宋体"/>
                <w:color w:val="auto"/>
                <w:sz w:val="21"/>
                <w:szCs w:val="21"/>
                <w:highlight w:val="none"/>
              </w:rPr>
            </w:pPr>
          </w:p>
        </w:tc>
        <w:tc>
          <w:tcPr>
            <w:tcW w:w="1260" w:type="dxa"/>
            <w:vAlign w:val="center"/>
          </w:tcPr>
          <w:p w14:paraId="725A7CB9">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营业面积</w:t>
            </w:r>
          </w:p>
        </w:tc>
        <w:tc>
          <w:tcPr>
            <w:tcW w:w="2785" w:type="dxa"/>
            <w:gridSpan w:val="2"/>
            <w:vAlign w:val="center"/>
          </w:tcPr>
          <w:p w14:paraId="753D0DD5">
            <w:pPr>
              <w:pStyle w:val="29"/>
              <w:spacing w:before="120" w:after="120" w:line="276" w:lineRule="auto"/>
              <w:jc w:val="center"/>
              <w:rPr>
                <w:rFonts w:hAnsi="宋体"/>
                <w:color w:val="auto"/>
                <w:sz w:val="21"/>
                <w:szCs w:val="21"/>
                <w:highlight w:val="none"/>
              </w:rPr>
            </w:pPr>
          </w:p>
        </w:tc>
      </w:tr>
      <w:tr w14:paraId="49EF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vAlign w:val="center"/>
          </w:tcPr>
          <w:p w14:paraId="3A4A1D71">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05CC21A2">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固定资金</w:t>
            </w:r>
          </w:p>
        </w:tc>
        <w:tc>
          <w:tcPr>
            <w:tcW w:w="3385" w:type="dxa"/>
            <w:vAlign w:val="center"/>
          </w:tcPr>
          <w:p w14:paraId="67472C4F">
            <w:pPr>
              <w:widowControl/>
              <w:spacing w:line="276" w:lineRule="auto"/>
              <w:jc w:val="center"/>
              <w:rPr>
                <w:rFonts w:ascii="宋体" w:hAnsi="宋体"/>
                <w:color w:val="auto"/>
                <w:szCs w:val="21"/>
                <w:highlight w:val="none"/>
              </w:rPr>
            </w:pPr>
          </w:p>
        </w:tc>
        <w:tc>
          <w:tcPr>
            <w:tcW w:w="1260" w:type="dxa"/>
            <w:vAlign w:val="center"/>
          </w:tcPr>
          <w:p w14:paraId="1B8A9E59">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维修网点</w:t>
            </w:r>
          </w:p>
        </w:tc>
        <w:tc>
          <w:tcPr>
            <w:tcW w:w="2785" w:type="dxa"/>
            <w:gridSpan w:val="2"/>
            <w:vAlign w:val="center"/>
          </w:tcPr>
          <w:p w14:paraId="3E450091">
            <w:pPr>
              <w:widowControl/>
              <w:spacing w:line="276" w:lineRule="auto"/>
              <w:jc w:val="center"/>
              <w:rPr>
                <w:rFonts w:ascii="宋体" w:hAnsi="宋体"/>
                <w:color w:val="auto"/>
                <w:szCs w:val="21"/>
                <w:highlight w:val="none"/>
              </w:rPr>
            </w:pPr>
          </w:p>
        </w:tc>
      </w:tr>
      <w:tr w14:paraId="642F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vAlign w:val="center"/>
          </w:tcPr>
          <w:p w14:paraId="02EB9BC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单位简历</w:t>
            </w:r>
          </w:p>
        </w:tc>
        <w:tc>
          <w:tcPr>
            <w:tcW w:w="8730" w:type="dxa"/>
            <w:gridSpan w:val="5"/>
          </w:tcPr>
          <w:p w14:paraId="444C6B69">
            <w:pPr>
              <w:spacing w:line="276" w:lineRule="auto"/>
              <w:jc w:val="left"/>
              <w:rPr>
                <w:rFonts w:ascii="宋体" w:hAnsi="宋体"/>
                <w:color w:val="auto"/>
                <w:szCs w:val="21"/>
                <w:highlight w:val="none"/>
              </w:rPr>
            </w:pPr>
          </w:p>
        </w:tc>
      </w:tr>
      <w:tr w14:paraId="7767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vAlign w:val="center"/>
          </w:tcPr>
          <w:p w14:paraId="0D13817D">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优势及特长</w:t>
            </w:r>
          </w:p>
        </w:tc>
        <w:tc>
          <w:tcPr>
            <w:tcW w:w="8730" w:type="dxa"/>
            <w:gridSpan w:val="5"/>
          </w:tcPr>
          <w:p w14:paraId="226FEDEC">
            <w:pPr>
              <w:spacing w:line="276" w:lineRule="auto"/>
              <w:jc w:val="left"/>
              <w:rPr>
                <w:rFonts w:ascii="宋体" w:hAnsi="宋体"/>
                <w:color w:val="auto"/>
                <w:szCs w:val="21"/>
                <w:highlight w:val="none"/>
              </w:rPr>
            </w:pPr>
          </w:p>
        </w:tc>
      </w:tr>
    </w:tbl>
    <w:p w14:paraId="02C85151">
      <w:pPr>
        <w:snapToGrid w:val="0"/>
        <w:spacing w:before="50" w:after="120" w:afterLines="50" w:line="276" w:lineRule="auto"/>
        <w:jc w:val="left"/>
        <w:rPr>
          <w:rFonts w:ascii="宋体" w:hAnsi="宋体"/>
          <w:b/>
          <w:color w:val="auto"/>
          <w:sz w:val="24"/>
          <w:highlight w:val="none"/>
        </w:rPr>
      </w:pPr>
    </w:p>
    <w:p w14:paraId="72E1B5C0">
      <w:pPr>
        <w:snapToGrid w:val="0"/>
        <w:spacing w:before="50" w:after="120" w:afterLines="50" w:line="276" w:lineRule="auto"/>
        <w:jc w:val="left"/>
        <w:rPr>
          <w:rFonts w:hint="eastAsia" w:ascii="宋体" w:hAnsi="宋体"/>
          <w:b/>
          <w:color w:val="auto"/>
          <w:sz w:val="24"/>
          <w:highlight w:val="none"/>
        </w:rPr>
      </w:pPr>
    </w:p>
    <w:p w14:paraId="18A8703A">
      <w:pPr>
        <w:rPr>
          <w:rFonts w:ascii="宋体" w:hAnsi="宋体"/>
          <w:b/>
          <w:color w:val="auto"/>
          <w:sz w:val="24"/>
          <w:highlight w:val="none"/>
        </w:rPr>
      </w:pPr>
      <w:r>
        <w:rPr>
          <w:rFonts w:hint="eastAsia" w:ascii="宋体" w:hAnsi="宋体"/>
          <w:b/>
          <w:color w:val="auto"/>
          <w:sz w:val="24"/>
          <w:highlight w:val="none"/>
        </w:rPr>
        <w:br w:type="page"/>
      </w:r>
      <w:bookmarkStart w:id="392" w:name="_Toc8679"/>
      <w:r>
        <w:rPr>
          <w:rFonts w:hint="eastAsia" w:ascii="宋体" w:hAnsi="宋体" w:cs="宋体"/>
          <w:color w:val="auto"/>
          <w:sz w:val="28"/>
          <w:szCs w:val="28"/>
          <w:highlight w:val="none"/>
        </w:rPr>
        <w:t>附件7：法定代表人授权委托书格式</w:t>
      </w:r>
      <w:bookmarkEnd w:id="392"/>
    </w:p>
    <w:p w14:paraId="2F44D900">
      <w:pPr>
        <w:snapToGrid w:val="0"/>
        <w:spacing w:before="120" w:beforeLines="50" w:after="50" w:line="276" w:lineRule="auto"/>
        <w:jc w:val="center"/>
        <w:rPr>
          <w:rFonts w:ascii="宋体" w:hAnsi="宋体"/>
          <w:color w:val="auto"/>
          <w:sz w:val="30"/>
          <w:szCs w:val="20"/>
          <w:highlight w:val="none"/>
        </w:rPr>
      </w:pPr>
    </w:p>
    <w:p w14:paraId="40E365B0">
      <w:pPr>
        <w:snapToGrid w:val="0"/>
        <w:spacing w:before="120" w:beforeLines="50" w:after="50" w:line="276"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2BFB5E03">
      <w:pPr>
        <w:snapToGrid w:val="0"/>
        <w:spacing w:line="360" w:lineRule="auto"/>
        <w:rPr>
          <w:rFonts w:ascii="宋体" w:hAnsi="宋体"/>
          <w:bCs/>
          <w:color w:val="auto"/>
          <w:sz w:val="24"/>
          <w:highlight w:val="none"/>
        </w:rPr>
      </w:pPr>
    </w:p>
    <w:p w14:paraId="322D7C7E">
      <w:pPr>
        <w:snapToGrid w:val="0"/>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u w:val="single"/>
        </w:rPr>
        <w:t xml:space="preserve">                   </w:t>
      </w:r>
      <w:r>
        <w:rPr>
          <w:rFonts w:hint="eastAsia" w:ascii="宋体" w:hAnsi="宋体"/>
          <w:color w:val="auto"/>
          <w:sz w:val="24"/>
          <w:highlight w:val="none"/>
        </w:rPr>
        <w:t>（招标采购单位名称）：</w:t>
      </w:r>
    </w:p>
    <w:p w14:paraId="0A95B5F0">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6FEC0FCE">
      <w:pPr>
        <w:snapToGrid w:val="0"/>
        <w:spacing w:line="360" w:lineRule="auto"/>
        <w:rPr>
          <w:rFonts w:ascii="宋体" w:hAnsi="宋体"/>
          <w:color w:val="auto"/>
          <w:sz w:val="24"/>
          <w:highlight w:val="none"/>
        </w:rPr>
      </w:pPr>
      <w:r>
        <w:rPr>
          <w:rFonts w:hint="eastAsia" w:ascii="宋体" w:hAnsi="宋体"/>
          <w:color w:val="auto"/>
          <w:sz w:val="24"/>
          <w:highlight w:val="none"/>
        </w:rPr>
        <w:t>我方对被授权人的签名事项负全部责任。</w:t>
      </w:r>
    </w:p>
    <w:p w14:paraId="459DEBB3">
      <w:pPr>
        <w:snapToGrid w:val="0"/>
        <w:spacing w:line="360" w:lineRule="auto"/>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29CF65E3">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28944407">
      <w:pPr>
        <w:snapToGrid w:val="0"/>
        <w:spacing w:line="360" w:lineRule="auto"/>
        <w:rPr>
          <w:rFonts w:ascii="宋体" w:hAnsi="宋体"/>
          <w:color w:val="auto"/>
          <w:sz w:val="24"/>
          <w:highlight w:val="none"/>
        </w:rPr>
      </w:pPr>
    </w:p>
    <w:p w14:paraId="4AD9686A">
      <w:pPr>
        <w:snapToGrid w:val="0"/>
        <w:spacing w:line="360" w:lineRule="auto"/>
        <w:rPr>
          <w:rFonts w:ascii="宋体" w:hAnsi="宋体"/>
          <w:color w:val="auto"/>
          <w:sz w:val="24"/>
          <w:highlight w:val="none"/>
          <w:u w:val="single"/>
        </w:rPr>
      </w:pPr>
      <w:r>
        <w:rPr>
          <w:rFonts w:hint="eastAsia" w:ascii="宋体" w:hAnsi="宋体"/>
          <w:color w:val="auto"/>
          <w:sz w:val="24"/>
          <w:highlight w:val="none"/>
        </w:rPr>
        <w:t>被授权人签名：                          法定代表人签名：</w:t>
      </w:r>
    </w:p>
    <w:p w14:paraId="2BD0CB57">
      <w:pPr>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职务：                          职务：</w:t>
      </w:r>
    </w:p>
    <w:p w14:paraId="543F5F08">
      <w:pPr>
        <w:snapToGrid w:val="0"/>
        <w:spacing w:line="360" w:lineRule="auto"/>
        <w:rPr>
          <w:rFonts w:hint="eastAsia" w:ascii="宋体" w:hAnsi="宋体"/>
          <w:color w:val="auto"/>
          <w:sz w:val="24"/>
          <w:highlight w:val="none"/>
        </w:rPr>
      </w:pPr>
    </w:p>
    <w:p w14:paraId="01B6903D">
      <w:pPr>
        <w:snapToGrid w:val="0"/>
        <w:spacing w:line="360" w:lineRule="auto"/>
        <w:rPr>
          <w:rFonts w:ascii="宋体" w:hAnsi="宋体"/>
          <w:color w:val="auto"/>
          <w:sz w:val="24"/>
          <w:highlight w:val="none"/>
        </w:rPr>
      </w:pPr>
      <w:r>
        <w:rPr>
          <w:rFonts w:hint="eastAsia" w:ascii="宋体" w:hAnsi="宋体"/>
          <w:color w:val="auto"/>
          <w:sz w:val="24"/>
          <w:highlight w:val="none"/>
        </w:rPr>
        <w:t>被授权人身份证扫描件：</w:t>
      </w:r>
    </w:p>
    <w:p w14:paraId="65C87387">
      <w:pPr>
        <w:snapToGrid w:val="0"/>
        <w:spacing w:line="360" w:lineRule="auto"/>
        <w:rPr>
          <w:rFonts w:ascii="宋体" w:hAnsi="宋体"/>
          <w:color w:val="auto"/>
          <w:sz w:val="24"/>
          <w:highlight w:val="none"/>
        </w:rPr>
      </w:pPr>
    </w:p>
    <w:p w14:paraId="031C5651">
      <w:pPr>
        <w:snapToGrid w:val="0"/>
        <w:rPr>
          <w:rFonts w:ascii="宋体" w:hAnsi="宋体"/>
          <w:color w:val="auto"/>
          <w:sz w:val="24"/>
          <w:highlight w:val="none"/>
        </w:rPr>
      </w:pPr>
    </w:p>
    <w:p w14:paraId="4B5241CB">
      <w:pPr>
        <w:snapToGrid w:val="0"/>
        <w:rPr>
          <w:rFonts w:ascii="宋体" w:hAnsi="宋体"/>
          <w:color w:val="auto"/>
          <w:sz w:val="24"/>
          <w:highlight w:val="none"/>
        </w:rPr>
      </w:pPr>
    </w:p>
    <w:p w14:paraId="27E3B769">
      <w:pPr>
        <w:pStyle w:val="34"/>
        <w:rPr>
          <w:color w:val="auto"/>
          <w:sz w:val="24"/>
          <w:highlight w:val="none"/>
        </w:rPr>
      </w:pPr>
    </w:p>
    <w:p w14:paraId="6097AD5C">
      <w:pPr>
        <w:pStyle w:val="34"/>
        <w:rPr>
          <w:color w:val="auto"/>
          <w:sz w:val="24"/>
          <w:highlight w:val="none"/>
        </w:rPr>
      </w:pPr>
    </w:p>
    <w:p w14:paraId="4921C565">
      <w:pPr>
        <w:pStyle w:val="34"/>
        <w:rPr>
          <w:color w:val="auto"/>
          <w:sz w:val="24"/>
          <w:highlight w:val="none"/>
        </w:rPr>
      </w:pPr>
    </w:p>
    <w:p w14:paraId="5681813A">
      <w:pPr>
        <w:snapToGrid w:val="0"/>
        <w:spacing w:line="360" w:lineRule="auto"/>
        <w:rPr>
          <w:rFonts w:ascii="宋体" w:hAnsi="宋体"/>
          <w:color w:val="auto"/>
          <w:sz w:val="24"/>
          <w:highlight w:val="none"/>
        </w:rPr>
      </w:pPr>
    </w:p>
    <w:p w14:paraId="71C5B93E">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      投标人电子签章：</w:t>
      </w:r>
    </w:p>
    <w:p w14:paraId="58530AFC">
      <w:pPr>
        <w:pStyle w:val="22"/>
        <w:rPr>
          <w:color w:val="auto"/>
          <w:highlight w:val="none"/>
        </w:rPr>
      </w:pPr>
    </w:p>
    <w:p w14:paraId="1B205889">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34122FB4">
      <w:pPr>
        <w:snapToGrid w:val="0"/>
        <w:spacing w:line="360" w:lineRule="auto"/>
        <w:rPr>
          <w:rFonts w:ascii="宋体" w:hAnsi="宋体"/>
          <w:bCs/>
          <w:color w:val="auto"/>
          <w:sz w:val="24"/>
          <w:highlight w:val="none"/>
        </w:rPr>
      </w:pPr>
    </w:p>
    <w:p w14:paraId="5946EBE2">
      <w:pPr>
        <w:snapToGrid w:val="0"/>
        <w:spacing w:before="50" w:after="120" w:afterLines="50" w:line="276" w:lineRule="auto"/>
        <w:jc w:val="left"/>
        <w:rPr>
          <w:rFonts w:hint="eastAsia" w:ascii="宋体" w:hAnsi="宋体"/>
          <w:b/>
          <w:color w:val="auto"/>
          <w:sz w:val="24"/>
          <w:highlight w:val="none"/>
        </w:rPr>
      </w:pPr>
    </w:p>
    <w:p w14:paraId="4254D324">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br w:type="page"/>
      </w:r>
      <w:bookmarkStart w:id="393" w:name="_Toc11297"/>
      <w:r>
        <w:rPr>
          <w:rFonts w:hint="eastAsia" w:ascii="宋体" w:hAnsi="宋体" w:cs="宋体"/>
          <w:color w:val="auto"/>
          <w:sz w:val="28"/>
          <w:szCs w:val="28"/>
          <w:highlight w:val="none"/>
        </w:rPr>
        <w:t>附件8：法人身份证相关材料</w:t>
      </w:r>
      <w:bookmarkEnd w:id="393"/>
    </w:p>
    <w:p w14:paraId="34343815">
      <w:pPr>
        <w:spacing w:line="400" w:lineRule="exact"/>
        <w:ind w:firstLine="482" w:firstLineChars="200"/>
        <w:rPr>
          <w:rFonts w:hint="eastAsia" w:ascii="宋体" w:hAnsi="宋体"/>
          <w:b/>
          <w:color w:val="auto"/>
          <w:sz w:val="24"/>
          <w:highlight w:val="none"/>
        </w:rPr>
      </w:pPr>
    </w:p>
    <w:p w14:paraId="5C496600">
      <w:pPr>
        <w:spacing w:line="400" w:lineRule="exact"/>
        <w:ind w:firstLine="482" w:firstLineChars="200"/>
        <w:jc w:val="center"/>
        <w:rPr>
          <w:rFonts w:ascii="宋体" w:hAnsi="宋体"/>
          <w:b/>
          <w:color w:val="auto"/>
          <w:sz w:val="24"/>
          <w:highlight w:val="none"/>
        </w:rPr>
      </w:pPr>
      <w:r>
        <w:rPr>
          <w:rFonts w:hint="eastAsia" w:ascii="宋体" w:hAnsi="宋体"/>
          <w:b/>
          <w:color w:val="auto"/>
          <w:sz w:val="24"/>
          <w:highlight w:val="none"/>
        </w:rPr>
        <w:t>法人身份证相关材料</w:t>
      </w:r>
    </w:p>
    <w:p w14:paraId="11E66B27">
      <w:pPr>
        <w:spacing w:line="400" w:lineRule="exact"/>
        <w:ind w:firstLine="480" w:firstLineChars="200"/>
        <w:rPr>
          <w:rFonts w:hint="eastAsia" w:ascii="宋体" w:hAnsi="宋体" w:cs="宋体"/>
          <w:color w:val="auto"/>
          <w:sz w:val="24"/>
          <w:highlight w:val="none"/>
        </w:rPr>
      </w:pPr>
    </w:p>
    <w:p w14:paraId="39EF3BB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单位名称：</w:t>
      </w:r>
    </w:p>
    <w:p w14:paraId="733247A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单位性质：</w:t>
      </w:r>
    </w:p>
    <w:p w14:paraId="6832EB17">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p>
    <w:p w14:paraId="6CEBCEF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成立时间： 年 月 日</w:t>
      </w:r>
    </w:p>
    <w:p w14:paraId="1494B3B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经营期限：</w:t>
      </w:r>
    </w:p>
    <w:p w14:paraId="50E51D9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    名：    性别：     年龄：      职务：</w:t>
      </w:r>
    </w:p>
    <w:p w14:paraId="5B46D3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系 </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的法定代表人／负责人。</w:t>
      </w:r>
    </w:p>
    <w:p w14:paraId="6441E0F2">
      <w:pPr>
        <w:spacing w:line="400" w:lineRule="exact"/>
        <w:ind w:firstLine="480" w:firstLineChars="200"/>
        <w:rPr>
          <w:rFonts w:ascii="宋体" w:hAnsi="宋体" w:cs="宋体"/>
          <w:color w:val="auto"/>
          <w:sz w:val="24"/>
          <w:highlight w:val="none"/>
        </w:rPr>
      </w:pPr>
    </w:p>
    <w:p w14:paraId="1581A65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079BA10">
      <w:pPr>
        <w:spacing w:line="400" w:lineRule="exact"/>
        <w:rPr>
          <w:rFonts w:ascii="宋体" w:hAnsi="宋体" w:cs="宋体"/>
          <w:color w:val="auto"/>
          <w:sz w:val="24"/>
          <w:highlight w:val="none"/>
        </w:rPr>
      </w:pPr>
    </w:p>
    <w:p w14:paraId="29222308">
      <w:pPr>
        <w:spacing w:line="400" w:lineRule="exact"/>
        <w:rPr>
          <w:rFonts w:ascii="宋体" w:hAnsi="宋体" w:cs="宋体"/>
          <w:color w:val="auto"/>
          <w:sz w:val="24"/>
          <w:highlight w:val="none"/>
        </w:rPr>
      </w:pPr>
    </w:p>
    <w:p w14:paraId="4EC05F33">
      <w:pPr>
        <w:spacing w:line="400" w:lineRule="exact"/>
        <w:ind w:firstLine="3360" w:firstLineChars="1400"/>
        <w:rPr>
          <w:rFonts w:ascii="宋体" w:hAnsi="宋体" w:cs="宋体"/>
          <w:color w:val="auto"/>
          <w:sz w:val="24"/>
          <w:highlight w:val="none"/>
          <w:u w:val="singl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(盖章）      </w:t>
      </w:r>
    </w:p>
    <w:p w14:paraId="4F37B55C">
      <w:pPr>
        <w:snapToGrid w:val="0"/>
        <w:spacing w:line="400" w:lineRule="exact"/>
        <w:jc w:val="left"/>
        <w:rPr>
          <w:rFonts w:ascii="宋体" w:hAnsi="宋体"/>
          <w:color w:val="auto"/>
          <w:sz w:val="24"/>
          <w:highlight w:val="none"/>
        </w:rPr>
      </w:pPr>
      <w:r>
        <w:rPr>
          <w:rFonts w:hint="eastAsia" w:ascii="宋体" w:hAnsi="宋体" w:cs="宋体"/>
          <w:color w:val="auto"/>
          <w:sz w:val="24"/>
          <w:highlight w:val="none"/>
        </w:rPr>
        <w:t xml:space="preserve">                              日  期：   年   月   日</w:t>
      </w:r>
    </w:p>
    <w:p w14:paraId="2809F47B">
      <w:pPr>
        <w:snapToGrid w:val="0"/>
        <w:spacing w:line="400" w:lineRule="exact"/>
        <w:rPr>
          <w:rFonts w:ascii="宋体" w:hAnsi="宋体"/>
          <w:color w:val="auto"/>
          <w:sz w:val="24"/>
          <w:highlight w:val="none"/>
        </w:rPr>
      </w:pPr>
    </w:p>
    <w:p w14:paraId="2ED4338D">
      <w:pPr>
        <w:rPr>
          <w:color w:val="auto"/>
          <w:sz w:val="24"/>
          <w:highlight w:val="none"/>
        </w:rPr>
      </w:pPr>
    </w:p>
    <w:p w14:paraId="78112EEE">
      <w:pPr>
        <w:snapToGrid w:val="0"/>
        <w:spacing w:before="120" w:beforeLines="50" w:after="50"/>
        <w:jc w:val="left"/>
        <w:rPr>
          <w:rFonts w:hAnsi="宋体" w:cs="宋体"/>
          <w:color w:val="auto"/>
          <w:sz w:val="24"/>
          <w:highlight w:val="none"/>
        </w:rPr>
      </w:pPr>
      <w:r>
        <w:rPr>
          <w:rFonts w:hint="eastAsia" w:hAnsi="宋体"/>
          <w:b/>
          <w:color w:val="auto"/>
          <w:sz w:val="24"/>
          <w:highlight w:val="none"/>
          <w:lang w:val="zh-CN"/>
        </w:rPr>
        <w:t>法定代表人身份证扫描件</w:t>
      </w:r>
    </w:p>
    <w:p w14:paraId="3CF05451">
      <w:pPr>
        <w:snapToGrid w:val="0"/>
        <w:spacing w:before="120" w:beforeLines="50" w:after="50"/>
        <w:jc w:val="left"/>
        <w:rPr>
          <w:rFonts w:hAnsi="宋体" w:cs="宋体"/>
          <w:color w:val="auto"/>
          <w:sz w:val="24"/>
          <w:highlight w:val="none"/>
        </w:rPr>
      </w:pPr>
    </w:p>
    <w:tbl>
      <w:tblPr>
        <w:tblStyle w:val="53"/>
        <w:tblpPr w:leftFromText="180" w:rightFromText="180" w:vertAnchor="text" w:tblpXSpec="left" w:tblpY="1"/>
        <w:tblOverlap w:val="never"/>
        <w:tblW w:w="0" w:type="auto"/>
        <w:tblInd w:w="0" w:type="dxa"/>
        <w:tblLayout w:type="fixed"/>
        <w:tblCellMar>
          <w:top w:w="0" w:type="dxa"/>
          <w:left w:w="108" w:type="dxa"/>
          <w:bottom w:w="0" w:type="dxa"/>
          <w:right w:w="108" w:type="dxa"/>
        </w:tblCellMar>
      </w:tblPr>
      <w:tblGrid>
        <w:gridCol w:w="3917"/>
      </w:tblGrid>
      <w:tr w14:paraId="4BE19C20">
        <w:trPr>
          <w:trHeight w:val="2359" w:hRule="atLeast"/>
        </w:trPr>
        <w:tc>
          <w:tcPr>
            <w:tcW w:w="3917" w:type="dxa"/>
            <w:vAlign w:val="center"/>
          </w:tcPr>
          <w:p w14:paraId="2C5BE909">
            <w:pPr>
              <w:snapToGrid w:val="0"/>
              <w:spacing w:before="120" w:beforeLines="50" w:after="50" w:line="200" w:lineRule="exact"/>
              <w:jc w:val="center"/>
              <w:rPr>
                <w:rFonts w:hAnsi="宋体" w:cs="宋体"/>
                <w:color w:val="auto"/>
                <w:sz w:val="24"/>
                <w:highlight w:val="none"/>
              </w:rPr>
            </w:pPr>
            <w:r>
              <w:rPr>
                <w:rFonts w:hint="eastAsia" w:hAnsi="宋体" w:cs="宋体"/>
                <w:color w:val="auto"/>
                <w:sz w:val="24"/>
                <w:highlight w:val="none"/>
              </w:rPr>
              <w:t>国徽面粘贴处</w:t>
            </w:r>
          </w:p>
        </w:tc>
      </w:tr>
    </w:tbl>
    <w:p w14:paraId="6FB5ECDA">
      <w:pPr>
        <w:rPr>
          <w:vanish/>
          <w:color w:val="auto"/>
          <w:sz w:val="24"/>
          <w:highlight w:val="none"/>
        </w:rPr>
      </w:pPr>
    </w:p>
    <w:tbl>
      <w:tblPr>
        <w:tblStyle w:val="53"/>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14:paraId="02707942">
        <w:tblPrEx>
          <w:tblCellMar>
            <w:top w:w="0" w:type="dxa"/>
            <w:left w:w="108" w:type="dxa"/>
            <w:bottom w:w="0" w:type="dxa"/>
            <w:right w:w="108" w:type="dxa"/>
          </w:tblCellMar>
        </w:tblPrEx>
        <w:trPr>
          <w:trHeight w:val="2359" w:hRule="atLeast"/>
        </w:trPr>
        <w:tc>
          <w:tcPr>
            <w:tcW w:w="3917" w:type="dxa"/>
            <w:vAlign w:val="center"/>
          </w:tcPr>
          <w:p w14:paraId="76E9D421">
            <w:pPr>
              <w:snapToGrid w:val="0"/>
              <w:spacing w:before="120" w:beforeLines="50" w:after="50"/>
              <w:jc w:val="center"/>
              <w:rPr>
                <w:rFonts w:hAnsi="宋体" w:cs="宋体"/>
                <w:color w:val="auto"/>
                <w:sz w:val="24"/>
                <w:highlight w:val="none"/>
              </w:rPr>
            </w:pPr>
            <w:r>
              <w:rPr>
                <w:rFonts w:hint="eastAsia" w:hAnsi="宋体"/>
                <w:color w:val="auto"/>
                <w:sz w:val="24"/>
                <w:highlight w:val="none"/>
              </w:rPr>
              <w:t>个人信息面粘贴处</w:t>
            </w:r>
          </w:p>
        </w:tc>
      </w:tr>
    </w:tbl>
    <w:p w14:paraId="2FD1FC7F">
      <w:pPr>
        <w:snapToGrid w:val="0"/>
        <w:spacing w:before="50" w:after="120" w:afterLines="50" w:line="276" w:lineRule="auto"/>
        <w:jc w:val="left"/>
        <w:rPr>
          <w:rFonts w:hint="eastAsia" w:ascii="宋体" w:hAnsi="宋体"/>
          <w:b/>
          <w:color w:val="auto"/>
          <w:sz w:val="24"/>
          <w:highlight w:val="none"/>
        </w:rPr>
      </w:pPr>
      <w:bookmarkStart w:id="394" w:name="_Toc16897"/>
    </w:p>
    <w:p w14:paraId="0E79F676">
      <w:pPr>
        <w:pStyle w:val="47"/>
        <w:adjustRightInd w:val="0"/>
        <w:snapToGrid w:val="0"/>
        <w:spacing w:beforeAutospacing="0" w:afterAutospacing="0" w:line="360" w:lineRule="auto"/>
        <w:rPr>
          <w:rFonts w:hint="eastAsia"/>
          <w:b/>
          <w:color w:val="auto"/>
          <w:highlight w:val="none"/>
        </w:rPr>
      </w:pPr>
      <w:r>
        <w:rPr>
          <w:rFonts w:hint="eastAsia"/>
          <w:b/>
          <w:color w:val="auto"/>
          <w:highlight w:val="none"/>
        </w:rPr>
        <w:br w:type="page"/>
      </w:r>
      <w:r>
        <w:rPr>
          <w:rFonts w:hint="eastAsia" w:cs="宋体"/>
          <w:color w:val="auto"/>
          <w:kern w:val="2"/>
          <w:sz w:val="28"/>
          <w:szCs w:val="28"/>
          <w:highlight w:val="none"/>
        </w:rPr>
        <w:t>附件9</w:t>
      </w:r>
    </w:p>
    <w:p w14:paraId="5893FDEC">
      <w:pPr>
        <w:pStyle w:val="47"/>
        <w:adjustRightInd w:val="0"/>
        <w:snapToGrid w:val="0"/>
        <w:spacing w:beforeAutospacing="0" w:afterAutospacing="0" w:line="360" w:lineRule="auto"/>
        <w:ind w:left="419"/>
        <w:rPr>
          <w:rFonts w:hint="eastAsia"/>
          <w:b/>
          <w:color w:val="auto"/>
          <w:highlight w:val="none"/>
        </w:rPr>
      </w:pPr>
    </w:p>
    <w:p w14:paraId="2DC71E9F">
      <w:pPr>
        <w:pStyle w:val="47"/>
        <w:adjustRightInd w:val="0"/>
        <w:snapToGrid w:val="0"/>
        <w:spacing w:beforeAutospacing="0" w:afterAutospacing="0" w:line="360" w:lineRule="auto"/>
        <w:ind w:left="419"/>
        <w:jc w:val="center"/>
        <w:rPr>
          <w:rFonts w:hint="eastAsia" w:ascii="黑体" w:hAnsi="黑体" w:eastAsia="黑体" w:cs="黑体"/>
          <w:color w:val="auto"/>
          <w:sz w:val="27"/>
          <w:szCs w:val="27"/>
          <w:highlight w:val="none"/>
        </w:rPr>
      </w:pPr>
      <w:r>
        <w:rPr>
          <w:rFonts w:hint="eastAsia" w:ascii="黑体" w:hAnsi="黑体" w:eastAsia="黑体" w:cs="黑体"/>
          <w:b/>
          <w:bCs/>
          <w:color w:val="auto"/>
          <w:sz w:val="27"/>
          <w:szCs w:val="27"/>
          <w:highlight w:val="none"/>
        </w:rPr>
        <w:t>符合参加政府采购活动应当具备的一般条件的承诺函</w:t>
      </w:r>
    </w:p>
    <w:p w14:paraId="4AD6041A">
      <w:pPr>
        <w:tabs>
          <w:tab w:val="left" w:pos="0"/>
        </w:tabs>
        <w:snapToGrid w:val="0"/>
        <w:spacing w:line="360" w:lineRule="auto"/>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（采购人）、（采购代理机构）：</w:t>
      </w:r>
    </w:p>
    <w:p w14:paraId="7B322C62">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我方参与</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rPr>
        <w:t>项目【项目编号：</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lang w:val="en-US" w:eastAsia="zh-CN"/>
        </w:rPr>
        <w:t xml:space="preserve"> </w:t>
      </w:r>
      <w:r>
        <w:rPr>
          <w:rFonts w:hint="eastAsia" w:ascii="仿宋" w:hAnsi="仿宋" w:eastAsia="仿宋" w:cs="Helvetica"/>
          <w:color w:val="auto"/>
          <w:kern w:val="0"/>
          <w:sz w:val="24"/>
          <w:highlight w:val="none"/>
        </w:rPr>
        <w:t>】政府采购活动，郑重承诺：</w:t>
      </w:r>
    </w:p>
    <w:p w14:paraId="78149440">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（一）具备《中华人民共和国政府采购法》第二十二条第一款规定的条件：</w:t>
      </w:r>
    </w:p>
    <w:p w14:paraId="6C9E72E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1.具有独立承担民事责任的能力；</w:t>
      </w:r>
    </w:p>
    <w:p w14:paraId="755361D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2.具有良好的商业信誉和健全的财务会计制度； </w:t>
      </w:r>
    </w:p>
    <w:p w14:paraId="7D5ADB4A">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3.具有履行合同所必需的设备和专业技术能力；</w:t>
      </w:r>
    </w:p>
    <w:p w14:paraId="466512D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4.有依法缴纳税收和社会保障资金的良好记录；</w:t>
      </w:r>
    </w:p>
    <w:p w14:paraId="1211DD46">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5.参加政府采购活动前三年内，在经营活动中没有重大违法记录；</w:t>
      </w:r>
    </w:p>
    <w:p w14:paraId="6F81BA7E">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6.具有法律、行政法规规定的其他条件。</w:t>
      </w:r>
    </w:p>
    <w:p w14:paraId="21E4AB88">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（二）未被信用中国(www.creditchina.gov.cn)、中国政府采购网（www.ccgp.gov.cn）列入失信被执行人、重大税收违法案件当事人名单、政府采购严重违法失信行为记录名单。</w:t>
      </w:r>
    </w:p>
    <w:p w14:paraId="4157344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（三）不存在以下情况：</w:t>
      </w:r>
    </w:p>
    <w:p w14:paraId="1C7B5FA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1.单位负责人为同一人或者存在直接控股、管理关系的不同供应商参加同一合同项下的政府采购活动的；</w:t>
      </w:r>
    </w:p>
    <w:p w14:paraId="29DFC95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2.为采购项目提供整体设计、规范编制或者项目管理、监理、检测等服务后再参加该采购项目的其他采购活动的。</w:t>
      </w:r>
    </w:p>
    <w:p w14:paraId="0A71DA89">
      <w:pPr>
        <w:tabs>
          <w:tab w:val="left" w:pos="0"/>
        </w:tabs>
        <w:snapToGrid w:val="0"/>
        <w:spacing w:line="360" w:lineRule="auto"/>
        <w:ind w:firstLine="480"/>
        <w:rPr>
          <w:rFonts w:hint="eastAsia" w:ascii="仿宋" w:hAnsi="仿宋" w:eastAsia="仿宋" w:cs="Helvetica"/>
          <w:color w:val="auto"/>
          <w:kern w:val="0"/>
          <w:sz w:val="24"/>
          <w:highlight w:val="none"/>
        </w:rPr>
      </w:pPr>
    </w:p>
    <w:p w14:paraId="61049C7B">
      <w:pPr>
        <w:tabs>
          <w:tab w:val="left" w:pos="0"/>
        </w:tabs>
        <w:snapToGrid w:val="0"/>
        <w:spacing w:line="360" w:lineRule="auto"/>
        <w:ind w:firstLine="480"/>
        <w:rPr>
          <w:rFonts w:hint="eastAsia" w:ascii="仿宋" w:hAnsi="仿宋" w:eastAsia="仿宋" w:cs="Helvetica"/>
          <w:color w:val="auto"/>
          <w:kern w:val="0"/>
          <w:sz w:val="24"/>
          <w:highlight w:val="none"/>
        </w:rPr>
      </w:pPr>
    </w:p>
    <w:p w14:paraId="6095C4E0">
      <w:pPr>
        <w:tabs>
          <w:tab w:val="left" w:pos="0"/>
        </w:tabs>
        <w:snapToGrid w:val="0"/>
        <w:spacing w:line="360" w:lineRule="auto"/>
        <w:ind w:firstLine="480"/>
        <w:rPr>
          <w:rFonts w:hint="eastAsia" w:ascii="仿宋" w:hAnsi="仿宋" w:eastAsia="仿宋" w:cs="Helvetica"/>
          <w:color w:val="auto"/>
          <w:kern w:val="0"/>
          <w:sz w:val="24"/>
          <w:highlight w:val="none"/>
        </w:rPr>
      </w:pPr>
    </w:p>
    <w:p w14:paraId="2D89999B">
      <w:pPr>
        <w:tabs>
          <w:tab w:val="left" w:pos="0"/>
        </w:tabs>
        <w:snapToGrid w:val="0"/>
        <w:spacing w:line="360" w:lineRule="auto"/>
        <w:ind w:firstLine="480"/>
        <w:rPr>
          <w:rFonts w:hint="eastAsia" w:ascii="仿宋" w:hAnsi="仿宋" w:eastAsia="仿宋" w:cs="Helvetica"/>
          <w:color w:val="auto"/>
          <w:kern w:val="0"/>
          <w:sz w:val="24"/>
          <w:highlight w:val="none"/>
        </w:rPr>
      </w:pPr>
    </w:p>
    <w:p w14:paraId="08F66DE4">
      <w:pPr>
        <w:tabs>
          <w:tab w:val="left" w:pos="0"/>
        </w:tabs>
        <w:snapToGrid w:val="0"/>
        <w:spacing w:line="360" w:lineRule="auto"/>
        <w:ind w:firstLine="5040" w:firstLineChars="210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投标人名称(电子签名）：</w:t>
      </w:r>
    </w:p>
    <w:p w14:paraId="7CD6007F">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                                       日期：  年  月   日</w:t>
      </w:r>
    </w:p>
    <w:p w14:paraId="144F1535">
      <w:pPr>
        <w:snapToGrid w:val="0"/>
        <w:spacing w:line="400" w:lineRule="exact"/>
        <w:jc w:val="left"/>
        <w:rPr>
          <w:rFonts w:hint="eastAsia" w:ascii="宋体" w:hAnsi="宋体"/>
          <w:color w:val="auto"/>
          <w:sz w:val="24"/>
          <w:highlight w:val="none"/>
        </w:rPr>
      </w:pPr>
      <w:r>
        <w:rPr>
          <w:rFonts w:hint="eastAsia" w:ascii="宋体" w:hAnsi="宋体"/>
          <w:b/>
          <w:color w:val="auto"/>
          <w:sz w:val="24"/>
          <w:highlight w:val="none"/>
        </w:rPr>
        <w:br w:type="page"/>
      </w:r>
      <w:r>
        <w:rPr>
          <w:rFonts w:hint="eastAsia" w:ascii="宋体" w:hAnsi="宋体" w:cs="宋体"/>
          <w:color w:val="auto"/>
          <w:sz w:val="28"/>
          <w:szCs w:val="28"/>
          <w:highlight w:val="none"/>
        </w:rPr>
        <w:t>附件10:联合投标</w:t>
      </w:r>
      <w:r>
        <w:rPr>
          <w:rFonts w:hint="eastAsia" w:ascii="宋体" w:hAnsi="宋体" w:cs="宋体"/>
          <w:color w:val="auto"/>
          <w:sz w:val="28"/>
          <w:szCs w:val="28"/>
          <w:highlight w:val="none"/>
          <w:lang w:eastAsia="zh-CN"/>
        </w:rPr>
        <w:t>相关文件格式</w:t>
      </w:r>
      <w:r>
        <w:rPr>
          <w:rFonts w:hint="eastAsia" w:ascii="宋体" w:hAnsi="宋体" w:cs="宋体"/>
          <w:color w:val="auto"/>
          <w:sz w:val="28"/>
          <w:szCs w:val="28"/>
          <w:highlight w:val="none"/>
        </w:rPr>
        <w:t>（本表允许联合体投标时适用）</w:t>
      </w:r>
    </w:p>
    <w:p w14:paraId="0C5A56BE">
      <w:pPr>
        <w:snapToGrid w:val="0"/>
        <w:spacing w:line="460" w:lineRule="atLeast"/>
        <w:ind w:firstLine="538" w:firstLineChars="200"/>
        <w:jc w:val="center"/>
        <w:rPr>
          <w:rFonts w:ascii="宋体" w:hAnsi="宋体"/>
          <w:color w:val="auto"/>
          <w:spacing w:val="14"/>
          <w:kern w:val="24"/>
          <w:sz w:val="24"/>
          <w:highlight w:val="none"/>
        </w:rPr>
      </w:pPr>
      <w:r>
        <w:rPr>
          <w:rFonts w:ascii="宋体" w:hAnsi="宋体"/>
          <w:b/>
          <w:bCs/>
          <w:color w:val="auto"/>
          <w:spacing w:val="14"/>
          <w:kern w:val="24"/>
          <w:sz w:val="24"/>
          <w:highlight w:val="none"/>
        </w:rPr>
        <w:t>联合投标协议书</w:t>
      </w:r>
    </w:p>
    <w:p w14:paraId="5C520C7A">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甲方：</w:t>
      </w:r>
    </w:p>
    <w:p w14:paraId="47DFA8B7">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乙方：</w:t>
      </w:r>
    </w:p>
    <w:p w14:paraId="0E58608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（如果有的话，可按甲、乙、丙、丁…序列增加）</w:t>
      </w:r>
    </w:p>
    <w:p w14:paraId="12DAD90D">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各方经协商，就响应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组织实施的编号为</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号的招标活动联合进行投标之事宜，达成如下协议：</w:t>
      </w:r>
    </w:p>
    <w:p w14:paraId="63F7508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一、各方一致决定，以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 xml:space="preserve"> 为主办人进行投标，并按照招标文件的规定分别提交资格文件。</w:t>
      </w:r>
    </w:p>
    <w:p w14:paraId="59EBB513">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二、在本次投标过程中，主办人的</w:t>
      </w:r>
      <w:r>
        <w:rPr>
          <w:rFonts w:ascii="宋体" w:hAnsi="宋体"/>
          <w:color w:val="auto"/>
          <w:spacing w:val="14"/>
          <w:kern w:val="24"/>
          <w:sz w:val="24"/>
          <w:highlight w:val="none"/>
          <w:u w:val="single"/>
        </w:rPr>
        <w:t>法定代表人或授权代理人</w:t>
      </w:r>
      <w:r>
        <w:rPr>
          <w:rFonts w:ascii="宋体" w:hAnsi="宋体"/>
          <w:color w:val="auto"/>
          <w:spacing w:val="14"/>
          <w:kern w:val="24"/>
          <w:sz w:val="24"/>
          <w:highlight w:val="none"/>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BA50D4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三、联合投标其余各方保证对主办人为响应本次招标而提供的产品和服务提供全部质量保证及售后服务支持。</w:t>
      </w:r>
    </w:p>
    <w:p w14:paraId="6034031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四、本次联合投标中，</w:t>
      </w:r>
    </w:p>
    <w:p w14:paraId="3C5031A2">
      <w:pPr>
        <w:snapToGrid w:val="0"/>
        <w:spacing w:line="460" w:lineRule="atLeast"/>
        <w:ind w:firstLine="1072" w:firstLineChars="400"/>
        <w:rPr>
          <w:rFonts w:ascii="宋体" w:hAnsi="宋体"/>
          <w:color w:val="auto"/>
          <w:spacing w:val="14"/>
          <w:sz w:val="24"/>
          <w:highlight w:val="none"/>
        </w:rPr>
      </w:pPr>
      <w:r>
        <w:rPr>
          <w:rFonts w:ascii="宋体" w:hAnsi="宋体"/>
          <w:color w:val="auto"/>
          <w:spacing w:val="14"/>
          <w:kern w:val="24"/>
          <w:sz w:val="24"/>
          <w:highlight w:val="none"/>
        </w:rPr>
        <w:t>甲方承担的工作和义务为</w:t>
      </w:r>
      <w:r>
        <w:rPr>
          <w:rFonts w:hint="eastAsia" w:ascii="宋体" w:hAnsi="宋体"/>
          <w:color w:val="auto"/>
          <w:spacing w:val="14"/>
          <w:kern w:val="24"/>
          <w:sz w:val="24"/>
          <w:highlight w:val="none"/>
        </w:rPr>
        <w:t>：</w:t>
      </w:r>
    </w:p>
    <w:p w14:paraId="33C0C3F1">
      <w:pPr>
        <w:snapToGrid w:val="0"/>
        <w:spacing w:line="460" w:lineRule="atLeast"/>
        <w:ind w:firstLine="536" w:firstLineChars="200"/>
        <w:rPr>
          <w:rFonts w:ascii="宋体" w:hAnsi="宋体"/>
          <w:color w:val="auto"/>
          <w:spacing w:val="14"/>
          <w:sz w:val="24"/>
          <w:highlight w:val="none"/>
        </w:rPr>
      </w:pPr>
      <w:r>
        <w:rPr>
          <w:rFonts w:ascii="宋体" w:hAnsi="宋体"/>
          <w:color w:val="auto"/>
          <w:spacing w:val="14"/>
          <w:kern w:val="24"/>
          <w:sz w:val="24"/>
          <w:highlight w:val="none"/>
        </w:rPr>
        <w:t xml:space="preserve">   乙方承担的工作和义务为：</w:t>
      </w:r>
    </w:p>
    <w:p w14:paraId="7F02ACAF">
      <w:pPr>
        <w:snapToGrid w:val="0"/>
        <w:spacing w:line="460" w:lineRule="atLeast"/>
        <w:ind w:firstLine="538" w:firstLineChars="200"/>
        <w:rPr>
          <w:rFonts w:ascii="宋体" w:hAnsi="宋体"/>
          <w:b/>
          <w:bCs/>
          <w:color w:val="auto"/>
          <w:spacing w:val="14"/>
          <w:sz w:val="24"/>
          <w:highlight w:val="none"/>
        </w:rPr>
      </w:pP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方为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企业（此处填中型、小型、微型），预计本次承当的合同金额为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w:t>
      </w:r>
    </w:p>
    <w:p w14:paraId="4EB34D4C">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五、有关本次联合投标的其他事宜：</w:t>
      </w:r>
    </w:p>
    <w:p w14:paraId="0853729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六、本协议提交招标方后，联合投标各方不得以任何形式对上述实质内容进行修改或撤销。</w:t>
      </w:r>
    </w:p>
    <w:p w14:paraId="17386DA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七、本协议</w:t>
      </w:r>
      <w:r>
        <w:rPr>
          <w:rFonts w:hint="eastAsia" w:ascii="宋体" w:hAnsi="宋体"/>
          <w:color w:val="auto"/>
          <w:spacing w:val="14"/>
          <w:kern w:val="24"/>
          <w:sz w:val="24"/>
          <w:highlight w:val="none"/>
        </w:rPr>
        <w:t>一式四份</w:t>
      </w:r>
      <w:r>
        <w:rPr>
          <w:rFonts w:ascii="宋体" w:hAnsi="宋体"/>
          <w:color w:val="auto"/>
          <w:spacing w:val="14"/>
          <w:kern w:val="24"/>
          <w:sz w:val="24"/>
          <w:highlight w:val="none"/>
        </w:rPr>
        <w:t>，签约各方各持一份，交政府采购管理部门及招标机构各一份。</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14:paraId="7878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vAlign w:val="center"/>
          </w:tcPr>
          <w:p w14:paraId="7B72F15E">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甲方单位：          （公章）</w:t>
            </w:r>
          </w:p>
          <w:p w14:paraId="21C393B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4662FD35">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c>
          <w:tcPr>
            <w:tcW w:w="4260" w:type="dxa"/>
            <w:tcBorders>
              <w:top w:val="nil"/>
              <w:left w:val="nil"/>
              <w:bottom w:val="nil"/>
              <w:right w:val="nil"/>
            </w:tcBorders>
            <w:vAlign w:val="center"/>
          </w:tcPr>
          <w:p w14:paraId="006EC74B">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乙方单位：           （公章）</w:t>
            </w:r>
          </w:p>
          <w:p w14:paraId="13B5DEC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6E7C8E3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r>
    </w:tbl>
    <w:p w14:paraId="228485E8">
      <w:pPr>
        <w:pStyle w:val="13"/>
        <w:overflowPunct w:val="0"/>
        <w:spacing w:line="460" w:lineRule="exact"/>
        <w:jc w:val="left"/>
        <w:rPr>
          <w:rFonts w:hint="default" w:ascii="宋体" w:hAnsi="宋体" w:eastAsia="宋体" w:cs="宋体"/>
          <w:color w:val="auto"/>
          <w:sz w:val="28"/>
          <w:szCs w:val="28"/>
          <w:highlight w:val="none"/>
          <w:lang w:val="en-US" w:eastAsia="zh-CN"/>
        </w:rPr>
      </w:pPr>
      <w:bookmarkStart w:id="395" w:name="_Toc6151"/>
      <w:bookmarkStart w:id="396" w:name="_Toc19072"/>
      <w:bookmarkStart w:id="397" w:name="_Toc25790"/>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11:</w:t>
      </w:r>
    </w:p>
    <w:p w14:paraId="150F86EC">
      <w:pPr>
        <w:pStyle w:val="13"/>
        <w:overflowPunct w:val="0"/>
        <w:spacing w:line="460" w:lineRule="exact"/>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联合投标授权委托书</w:t>
      </w:r>
    </w:p>
    <w:p w14:paraId="0BEB6D9F">
      <w:pPr>
        <w:pStyle w:val="13"/>
        <w:overflowPunct w:val="0"/>
        <w:spacing w:line="460" w:lineRule="exact"/>
        <w:rPr>
          <w:rFonts w:ascii="仿宋" w:hAnsi="仿宋" w:eastAsia="仿宋"/>
          <w:color w:val="auto"/>
          <w:sz w:val="30"/>
          <w:szCs w:val="30"/>
          <w:highlight w:val="none"/>
        </w:rPr>
      </w:pPr>
    </w:p>
    <w:p w14:paraId="71F02C28">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本授权委托书声明：根据</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与</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rPr>
        <w:t>签订的《联合投标协议书》的内容，主办人的法定代表人现授权</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为联合投标代理人，代理人在投标、开标、评标、合同谈判过程中所签署的一切文件和处理与这有关的一切事务， 联合投标各方均予以认可并遵守。</w:t>
      </w:r>
    </w:p>
    <w:p w14:paraId="2047A8DA">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特此委托。</w:t>
      </w:r>
    </w:p>
    <w:p w14:paraId="226636C8">
      <w:pPr>
        <w:pStyle w:val="13"/>
        <w:overflowPunct w:val="0"/>
        <w:spacing w:line="460" w:lineRule="exact"/>
        <w:rPr>
          <w:rFonts w:ascii="仿宋" w:hAnsi="仿宋" w:eastAsia="仿宋"/>
          <w:color w:val="auto"/>
          <w:sz w:val="30"/>
          <w:szCs w:val="30"/>
          <w:highlight w:val="none"/>
        </w:rPr>
      </w:pPr>
    </w:p>
    <w:p w14:paraId="3B44B837">
      <w:pPr>
        <w:pStyle w:val="13"/>
        <w:overflowPunct w:val="0"/>
        <w:spacing w:line="460" w:lineRule="exact"/>
        <w:ind w:firstLine="600" w:firstLineChars="2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授权人（签名）：</w:t>
      </w:r>
      <w:r>
        <w:rPr>
          <w:rFonts w:hint="eastAsia" w:ascii="仿宋" w:hAnsi="仿宋" w:eastAsia="仿宋"/>
          <w:color w:val="auto"/>
          <w:sz w:val="30"/>
          <w:szCs w:val="30"/>
          <w:highlight w:val="none"/>
          <w:u w:val="single"/>
        </w:rPr>
        <w:t xml:space="preserve">               </w:t>
      </w:r>
    </w:p>
    <w:p w14:paraId="2661D4DA">
      <w:pPr>
        <w:pStyle w:val="13"/>
        <w:overflowPunct w:val="0"/>
        <w:spacing w:line="460" w:lineRule="exact"/>
        <w:ind w:firstLine="600" w:firstLineChars="200"/>
        <w:rPr>
          <w:rFonts w:ascii="仿宋" w:hAnsi="仿宋" w:eastAsia="仿宋"/>
          <w:color w:val="auto"/>
          <w:sz w:val="30"/>
          <w:szCs w:val="30"/>
          <w:highlight w:val="none"/>
        </w:rPr>
      </w:pPr>
    </w:p>
    <w:p w14:paraId="5EDB4047">
      <w:pPr>
        <w:pStyle w:val="13"/>
        <w:overflowPunct w:val="0"/>
        <w:spacing w:line="460" w:lineRule="exact"/>
        <w:ind w:left="420" w:leftChars="2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2D0D6AE0">
      <w:pPr>
        <w:pStyle w:val="13"/>
        <w:overflowPunct w:val="0"/>
        <w:spacing w:line="460" w:lineRule="exact"/>
        <w:rPr>
          <w:rFonts w:ascii="仿宋" w:hAnsi="仿宋" w:eastAsia="仿宋"/>
          <w:color w:val="auto"/>
          <w:sz w:val="30"/>
          <w:szCs w:val="30"/>
          <w:highlight w:val="none"/>
        </w:rPr>
      </w:pPr>
    </w:p>
    <w:p w14:paraId="1184B4BF">
      <w:pPr>
        <w:pStyle w:val="13"/>
        <w:overflowPunct w:val="0"/>
        <w:spacing w:line="460" w:lineRule="exact"/>
        <w:ind w:firstLine="570" w:firstLineChars="19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w:t>
      </w:r>
      <w:r>
        <w:rPr>
          <w:rFonts w:hint="eastAsia" w:ascii="仿宋" w:hAnsi="仿宋" w:eastAsia="仿宋"/>
          <w:color w:val="auto"/>
          <w:sz w:val="30"/>
          <w:szCs w:val="30"/>
          <w:highlight w:val="none"/>
          <w:u w:val="single"/>
        </w:rPr>
        <w:t xml:space="preserve">              </w:t>
      </w:r>
    </w:p>
    <w:p w14:paraId="55F1360B">
      <w:pPr>
        <w:pStyle w:val="13"/>
        <w:overflowPunct w:val="0"/>
        <w:spacing w:line="460" w:lineRule="exact"/>
        <w:ind w:firstLine="570" w:firstLineChars="190"/>
        <w:rPr>
          <w:rFonts w:ascii="仿宋" w:hAnsi="仿宋" w:eastAsia="仿宋"/>
          <w:color w:val="auto"/>
          <w:sz w:val="30"/>
          <w:szCs w:val="30"/>
          <w:highlight w:val="none"/>
        </w:rPr>
      </w:pPr>
    </w:p>
    <w:p w14:paraId="29F60645">
      <w:pPr>
        <w:pStyle w:val="13"/>
        <w:overflowPunct w:val="0"/>
        <w:spacing w:line="460" w:lineRule="exact"/>
        <w:ind w:firstLine="570" w:firstLineChars="19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6455EA45">
      <w:pPr>
        <w:tabs>
          <w:tab w:val="left" w:pos="606"/>
        </w:tabs>
        <w:spacing w:line="460" w:lineRule="exact"/>
        <w:rPr>
          <w:rFonts w:ascii="仿宋" w:hAnsi="仿宋" w:eastAsia="仿宋"/>
          <w:color w:val="auto"/>
          <w:spacing w:val="20"/>
          <w:sz w:val="30"/>
          <w:szCs w:val="30"/>
          <w:highlight w:val="none"/>
        </w:rPr>
      </w:pPr>
    </w:p>
    <w:p w14:paraId="7F6499B1">
      <w:pPr>
        <w:tabs>
          <w:tab w:val="left" w:pos="606"/>
        </w:tabs>
        <w:spacing w:line="460" w:lineRule="exact"/>
        <w:rPr>
          <w:rFonts w:ascii="仿宋" w:hAnsi="仿宋" w:eastAsia="仿宋"/>
          <w:color w:val="auto"/>
          <w:spacing w:val="20"/>
          <w:sz w:val="30"/>
          <w:szCs w:val="30"/>
          <w:highlight w:val="none"/>
        </w:rPr>
      </w:pPr>
    </w:p>
    <w:tbl>
      <w:tblPr>
        <w:tblStyle w:val="53"/>
        <w:tblW w:w="8530" w:type="dxa"/>
        <w:jc w:val="center"/>
        <w:tblLayout w:type="fixed"/>
        <w:tblCellMar>
          <w:top w:w="0" w:type="dxa"/>
          <w:left w:w="108" w:type="dxa"/>
          <w:bottom w:w="0" w:type="dxa"/>
          <w:right w:w="108" w:type="dxa"/>
        </w:tblCellMar>
      </w:tblPr>
      <w:tblGrid>
        <w:gridCol w:w="4265"/>
        <w:gridCol w:w="4265"/>
      </w:tblGrid>
      <w:tr w14:paraId="0CE24EFD">
        <w:trPr>
          <w:trHeight w:val="1635" w:hRule="atLeast"/>
          <w:jc w:val="center"/>
        </w:trPr>
        <w:tc>
          <w:tcPr>
            <w:tcW w:w="4264" w:type="dxa"/>
          </w:tcPr>
          <w:p w14:paraId="01F98CAB">
            <w:pPr>
              <w:pStyle w:val="13"/>
              <w:overflowPunct w:val="0"/>
              <w:spacing w:line="460" w:lineRule="exact"/>
              <w:ind w:firstLine="0"/>
              <w:rPr>
                <w:rFonts w:ascii="仿宋" w:hAnsi="仿宋" w:eastAsia="仿宋"/>
                <w:color w:val="auto"/>
                <w:sz w:val="30"/>
                <w:szCs w:val="30"/>
                <w:highlight w:val="none"/>
              </w:rPr>
            </w:pPr>
          </w:p>
          <w:p w14:paraId="68AECEC7">
            <w:pPr>
              <w:pStyle w:val="13"/>
              <w:overflowPunct w:val="0"/>
              <w:spacing w:line="460" w:lineRule="exact"/>
              <w:ind w:firstLine="0"/>
              <w:rPr>
                <w:rFonts w:ascii="仿宋" w:hAnsi="仿宋" w:eastAsia="仿宋"/>
                <w:color w:val="auto"/>
                <w:sz w:val="30"/>
                <w:szCs w:val="30"/>
                <w:highlight w:val="none"/>
              </w:rPr>
            </w:pPr>
          </w:p>
          <w:p w14:paraId="1E28A17B">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联合体甲方单位：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7339ABC7">
            <w:pPr>
              <w:pStyle w:val="13"/>
              <w:overflowPunct w:val="0"/>
              <w:spacing w:line="460" w:lineRule="exact"/>
              <w:ind w:firstLine="0"/>
              <w:rPr>
                <w:rFonts w:ascii="仿宋" w:hAnsi="仿宋" w:eastAsia="仿宋"/>
                <w:color w:val="auto"/>
                <w:sz w:val="30"/>
                <w:szCs w:val="30"/>
                <w:highlight w:val="none"/>
              </w:rPr>
            </w:pPr>
          </w:p>
          <w:p w14:paraId="643FCB35">
            <w:pPr>
              <w:pStyle w:val="13"/>
              <w:overflowPunct w:val="0"/>
              <w:spacing w:line="460" w:lineRule="exact"/>
              <w:ind w:firstLine="0"/>
              <w:rPr>
                <w:rFonts w:ascii="仿宋" w:hAnsi="仿宋" w:eastAsia="仿宋"/>
                <w:color w:val="auto"/>
                <w:sz w:val="30"/>
                <w:szCs w:val="30"/>
                <w:highlight w:val="none"/>
              </w:rPr>
            </w:pPr>
          </w:p>
          <w:p w14:paraId="4363F5E3">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1984B55D">
            <w:pPr>
              <w:pStyle w:val="13"/>
              <w:overflowPunct w:val="0"/>
              <w:spacing w:line="460" w:lineRule="exact"/>
              <w:ind w:firstLine="0"/>
              <w:rPr>
                <w:rFonts w:ascii="仿宋" w:hAnsi="仿宋" w:eastAsia="仿宋"/>
                <w:color w:val="auto"/>
                <w:sz w:val="30"/>
                <w:szCs w:val="30"/>
                <w:highlight w:val="none"/>
              </w:rPr>
            </w:pPr>
          </w:p>
          <w:p w14:paraId="598533E3">
            <w:pPr>
              <w:pStyle w:val="13"/>
              <w:overflowPunct w:val="0"/>
              <w:spacing w:line="460" w:lineRule="exact"/>
              <w:ind w:firstLine="0"/>
              <w:rPr>
                <w:rFonts w:ascii="仿宋" w:hAnsi="仿宋" w:eastAsia="仿宋"/>
                <w:color w:val="auto"/>
                <w:sz w:val="30"/>
                <w:szCs w:val="30"/>
                <w:highlight w:val="none"/>
              </w:rPr>
            </w:pPr>
          </w:p>
          <w:p w14:paraId="41D8C205">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c>
          <w:tcPr>
            <w:tcW w:w="4264" w:type="dxa"/>
          </w:tcPr>
          <w:p w14:paraId="5E14D2D5">
            <w:pPr>
              <w:pStyle w:val="13"/>
              <w:overflowPunct w:val="0"/>
              <w:spacing w:line="460" w:lineRule="exact"/>
              <w:ind w:firstLine="0"/>
              <w:rPr>
                <w:rFonts w:ascii="仿宋" w:hAnsi="仿宋" w:eastAsia="仿宋"/>
                <w:color w:val="auto"/>
                <w:sz w:val="30"/>
                <w:szCs w:val="30"/>
                <w:highlight w:val="none"/>
              </w:rPr>
            </w:pPr>
          </w:p>
          <w:p w14:paraId="56527B23">
            <w:pPr>
              <w:pStyle w:val="13"/>
              <w:overflowPunct w:val="0"/>
              <w:spacing w:line="460" w:lineRule="exact"/>
              <w:ind w:firstLine="0"/>
              <w:rPr>
                <w:rFonts w:ascii="仿宋" w:hAnsi="仿宋" w:eastAsia="仿宋"/>
                <w:color w:val="auto"/>
                <w:sz w:val="30"/>
                <w:szCs w:val="30"/>
                <w:highlight w:val="none"/>
              </w:rPr>
            </w:pPr>
          </w:p>
          <w:p w14:paraId="16C5722B">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联合体乙方单位：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5735F38A">
            <w:pPr>
              <w:pStyle w:val="13"/>
              <w:overflowPunct w:val="0"/>
              <w:spacing w:line="460" w:lineRule="exact"/>
              <w:ind w:firstLine="0"/>
              <w:rPr>
                <w:rFonts w:ascii="仿宋" w:hAnsi="仿宋" w:eastAsia="仿宋"/>
                <w:color w:val="auto"/>
                <w:sz w:val="30"/>
                <w:szCs w:val="30"/>
                <w:highlight w:val="none"/>
              </w:rPr>
            </w:pPr>
          </w:p>
          <w:p w14:paraId="6CBCD652">
            <w:pPr>
              <w:pStyle w:val="13"/>
              <w:overflowPunct w:val="0"/>
              <w:spacing w:line="460" w:lineRule="exact"/>
              <w:ind w:firstLine="0"/>
              <w:rPr>
                <w:rFonts w:ascii="仿宋" w:hAnsi="仿宋" w:eastAsia="仿宋"/>
                <w:color w:val="auto"/>
                <w:sz w:val="30"/>
                <w:szCs w:val="30"/>
                <w:highlight w:val="none"/>
              </w:rPr>
            </w:pPr>
          </w:p>
          <w:p w14:paraId="1C07C11E">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524A2FE9">
            <w:pPr>
              <w:pStyle w:val="13"/>
              <w:overflowPunct w:val="0"/>
              <w:spacing w:line="460" w:lineRule="exact"/>
              <w:ind w:firstLine="0"/>
              <w:rPr>
                <w:rFonts w:ascii="仿宋" w:hAnsi="仿宋" w:eastAsia="仿宋"/>
                <w:color w:val="auto"/>
                <w:sz w:val="30"/>
                <w:szCs w:val="30"/>
                <w:highlight w:val="none"/>
              </w:rPr>
            </w:pPr>
          </w:p>
          <w:p w14:paraId="55F61753">
            <w:pPr>
              <w:pStyle w:val="13"/>
              <w:overflowPunct w:val="0"/>
              <w:spacing w:line="460" w:lineRule="exact"/>
              <w:ind w:firstLine="0"/>
              <w:rPr>
                <w:rFonts w:ascii="仿宋" w:hAnsi="仿宋" w:eastAsia="仿宋"/>
                <w:color w:val="auto"/>
                <w:sz w:val="30"/>
                <w:szCs w:val="30"/>
                <w:highlight w:val="none"/>
              </w:rPr>
            </w:pPr>
          </w:p>
          <w:p w14:paraId="0C4C8F8C">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r>
    </w:tbl>
    <w:p w14:paraId="2C0F5274">
      <w:pPr>
        <w:snapToGrid w:val="0"/>
        <w:spacing w:before="50" w:after="120" w:afterLines="50" w:line="276" w:lineRule="auto"/>
        <w:jc w:val="left"/>
        <w:rPr>
          <w:rFonts w:hint="eastAsia" w:ascii="宋体" w:hAnsi="宋体"/>
          <w:b/>
          <w:color w:val="auto"/>
          <w:sz w:val="24"/>
          <w:highlight w:val="none"/>
        </w:rPr>
      </w:pPr>
    </w:p>
    <w:p w14:paraId="1A0F0906">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7BAAAFDE">
      <w:pPr>
        <w:snapToGrid w:val="0"/>
        <w:spacing w:line="400" w:lineRule="exact"/>
        <w:jc w:val="left"/>
        <w:rPr>
          <w:rFonts w:ascii="宋体" w:hAnsi="宋体"/>
          <w:color w:val="auto"/>
          <w:sz w:val="24"/>
          <w:highlight w:val="none"/>
        </w:rPr>
      </w:pPr>
      <w:bookmarkStart w:id="398" w:name="_Toc7510"/>
      <w:r>
        <w:rPr>
          <w:rFonts w:hint="eastAsia" w:ascii="宋体" w:hAnsi="宋体" w:cs="宋体"/>
          <w:color w:val="auto"/>
          <w:sz w:val="28"/>
          <w:szCs w:val="28"/>
          <w:highlight w:val="none"/>
        </w:rPr>
        <w:t>附件12</w:t>
      </w:r>
      <w:bookmarkEnd w:id="398"/>
    </w:p>
    <w:p w14:paraId="7F7FDF75">
      <w:pPr>
        <w:jc w:val="center"/>
        <w:rPr>
          <w:rFonts w:hint="eastAsia" w:ascii="黑体" w:hAnsi="宋体" w:eastAsia="黑体"/>
          <w:b/>
          <w:bCs/>
          <w:color w:val="auto"/>
          <w:kern w:val="0"/>
          <w:sz w:val="32"/>
          <w:szCs w:val="32"/>
          <w:highlight w:val="none"/>
          <w:lang w:val="zh-CN"/>
        </w:rPr>
      </w:pPr>
      <w:bookmarkStart w:id="399" w:name="_Toc2674"/>
      <w:bookmarkStart w:id="400" w:name="_Toc1258"/>
      <w:bookmarkStart w:id="401" w:name="_Toc9710"/>
      <w:bookmarkStart w:id="402" w:name="_Toc16470"/>
      <w:r>
        <w:rPr>
          <w:rFonts w:hint="eastAsia" w:ascii="黑体" w:hAnsi="宋体" w:eastAsia="黑体"/>
          <w:b/>
          <w:bCs/>
          <w:color w:val="auto"/>
          <w:kern w:val="0"/>
          <w:sz w:val="32"/>
          <w:szCs w:val="32"/>
          <w:highlight w:val="none"/>
          <w:lang w:val="zh-CN"/>
        </w:rPr>
        <w:t>残疾人福利性单位声明函</w:t>
      </w:r>
      <w:bookmarkEnd w:id="399"/>
      <w:bookmarkEnd w:id="400"/>
      <w:bookmarkEnd w:id="401"/>
      <w:bookmarkEnd w:id="402"/>
    </w:p>
    <w:p w14:paraId="167617B2">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FDE62A3">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B90B814">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单位名称（盖章）：</w:t>
      </w:r>
    </w:p>
    <w:p w14:paraId="4118162D">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日  期：</w:t>
      </w:r>
    </w:p>
    <w:p w14:paraId="60F65FB7">
      <w:pPr>
        <w:spacing w:line="400" w:lineRule="exact"/>
        <w:rPr>
          <w:rFonts w:hint="eastAsia" w:ascii="宋体" w:hAnsi="宋体" w:cs="宋体"/>
          <w:b/>
          <w:bCs/>
          <w:color w:val="auto"/>
          <w:szCs w:val="21"/>
          <w:highlight w:val="none"/>
        </w:rPr>
      </w:pPr>
      <w:bookmarkStart w:id="403" w:name="_Toc15107"/>
      <w:bookmarkStart w:id="404" w:name="_Toc27597"/>
      <w:bookmarkStart w:id="405" w:name="_Toc22028"/>
      <w:bookmarkStart w:id="406" w:name="_Toc12139"/>
      <w:r>
        <w:rPr>
          <w:rFonts w:hint="eastAsia" w:ascii="宋体" w:hAnsi="宋体" w:cs="宋体"/>
          <w:b/>
          <w:bCs/>
          <w:color w:val="auto"/>
          <w:szCs w:val="21"/>
          <w:highlight w:val="none"/>
        </w:rPr>
        <w:t>说明：1.声明函应按上述内容及格式填写，不得修改。</w:t>
      </w:r>
      <w:bookmarkEnd w:id="403"/>
      <w:bookmarkEnd w:id="404"/>
      <w:bookmarkEnd w:id="405"/>
      <w:bookmarkEnd w:id="406"/>
    </w:p>
    <w:p w14:paraId="62D6716E">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w:t>
      </w:r>
      <w:r>
        <w:rPr>
          <w:rFonts w:hint="eastAsia" w:ascii="宋体" w:hAnsi="宋体" w:cs="宋体"/>
          <w:bCs/>
          <w:color w:val="auto"/>
          <w:szCs w:val="21"/>
          <w:highlight w:val="none"/>
        </w:rPr>
        <w:t>残疾人福利性单位参与政府采购活动的，提供《残疾人福利性单位声明函》相关材料的，视为小微企业，报价分计算时对投标报价给予相应的扣除。</w:t>
      </w:r>
      <w:r>
        <w:rPr>
          <w:rFonts w:hint="eastAsia" w:ascii="宋体" w:hAnsi="宋体" w:cs="宋体"/>
          <w:b/>
          <w:color w:val="auto"/>
          <w:szCs w:val="21"/>
          <w:highlight w:val="none"/>
          <w:u w:val="single"/>
        </w:rPr>
        <w:t>如中标，《残疾人福利性单位声明函》将随中标结果公告一同公告</w:t>
      </w:r>
      <w:r>
        <w:rPr>
          <w:rFonts w:hint="eastAsia" w:ascii="宋体" w:hAnsi="宋体" w:cs="宋体"/>
          <w:b/>
          <w:color w:val="auto"/>
          <w:szCs w:val="21"/>
          <w:highlight w:val="none"/>
        </w:rPr>
        <w:t>。</w:t>
      </w:r>
    </w:p>
    <w:p w14:paraId="7AF32CD2">
      <w:pPr>
        <w:spacing w:line="400" w:lineRule="exact"/>
        <w:rPr>
          <w:rFonts w:hint="eastAsia" w:ascii="宋体" w:hAnsi="宋体" w:cs="宋体"/>
          <w:b/>
          <w:bCs/>
          <w:color w:val="auto"/>
          <w:szCs w:val="21"/>
          <w:highlight w:val="none"/>
        </w:rPr>
      </w:pPr>
      <w:r>
        <w:rPr>
          <w:rFonts w:hint="eastAsia" w:ascii="宋体" w:hAnsi="宋体" w:cs="宋体"/>
          <w:b/>
          <w:color w:val="auto"/>
          <w:szCs w:val="21"/>
          <w:highlight w:val="none"/>
        </w:rPr>
        <w:t xml:space="preserve">      3.享</w:t>
      </w:r>
      <w:r>
        <w:rPr>
          <w:rFonts w:hint="eastAsia" w:ascii="宋体" w:hAnsi="宋体" w:cs="宋体"/>
          <w:b/>
          <w:bCs/>
          <w:color w:val="auto"/>
          <w:szCs w:val="21"/>
          <w:highlight w:val="none"/>
        </w:rPr>
        <w:t>受政府采购支持政策的残疾人福利性单位应当同时满足以下条件：</w:t>
      </w:r>
    </w:p>
    <w:p w14:paraId="4D7616F4">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（一）安置的残疾人占本单位在职职工人数的比例不低于25%（含25%），并且安置的残疾人人数不少于10人（含10人）；</w:t>
      </w:r>
    </w:p>
    <w:p w14:paraId="24E93675">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（二）依法与安置的每位残疾人签订了一年以上（含一年）的劳动合同或服务协议；</w:t>
      </w:r>
    </w:p>
    <w:p w14:paraId="27113B31">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（三）为安置的每位残疾人按月足额缴纳了基本养老保险、基本医疗保险、失业保险、工伤保险和生育保险等社会保险费；</w:t>
      </w:r>
    </w:p>
    <w:p w14:paraId="54DF50A9">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（四）通过银行等金融机构向安置的每位残疾人，按月支付了不低于单位所在区县适用的经省级人民政府批准的月最低工资标准的工资；</w:t>
      </w:r>
    </w:p>
    <w:p w14:paraId="4DC5BDE7">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75E68DB">
      <w:pPr>
        <w:widowControl/>
        <w:adjustRightIn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D084F4">
      <w:pPr>
        <w:snapToGrid w:val="0"/>
        <w:spacing w:line="400" w:lineRule="exact"/>
        <w:jc w:val="left"/>
        <w:rPr>
          <w:rFonts w:ascii="宋体" w:hAnsi="宋体"/>
          <w:color w:val="auto"/>
          <w:sz w:val="24"/>
          <w:highlight w:val="none"/>
        </w:rPr>
      </w:pPr>
    </w:p>
    <w:p w14:paraId="0AE35C7A">
      <w:pPr>
        <w:snapToGrid w:val="0"/>
        <w:spacing w:line="400" w:lineRule="exact"/>
        <w:jc w:val="left"/>
        <w:rPr>
          <w:rFonts w:ascii="宋体" w:hAnsi="宋体"/>
          <w:color w:val="auto"/>
          <w:sz w:val="24"/>
          <w:highlight w:val="none"/>
        </w:rPr>
      </w:pPr>
      <w:r>
        <w:rPr>
          <w:rFonts w:ascii="宋体" w:hAnsi="宋体"/>
          <w:color w:val="auto"/>
          <w:szCs w:val="21"/>
          <w:highlight w:val="none"/>
        </w:rPr>
        <w:br w:type="page"/>
      </w:r>
      <w:bookmarkStart w:id="407" w:name="_Toc25467"/>
      <w:r>
        <w:rPr>
          <w:rFonts w:hint="eastAsia" w:ascii="宋体" w:hAnsi="宋体" w:cs="宋体"/>
          <w:color w:val="auto"/>
          <w:sz w:val="28"/>
          <w:szCs w:val="28"/>
          <w:highlight w:val="none"/>
        </w:rPr>
        <w:t>附件13</w:t>
      </w:r>
      <w:bookmarkEnd w:id="407"/>
    </w:p>
    <w:p w14:paraId="6A40530F">
      <w:pPr>
        <w:snapToGrid w:val="0"/>
        <w:spacing w:line="600" w:lineRule="exact"/>
        <w:jc w:val="left"/>
        <w:rPr>
          <w:rFonts w:ascii="宋体" w:hAnsi="宋体"/>
          <w:color w:val="auto"/>
          <w:sz w:val="24"/>
          <w:highlight w:val="none"/>
        </w:rPr>
      </w:pPr>
      <w:r>
        <w:rPr>
          <w:rFonts w:hint="eastAsia" w:ascii="宋体" w:hAnsi="宋体"/>
          <w:color w:val="auto"/>
          <w:sz w:val="24"/>
          <w:highlight w:val="none"/>
        </w:rPr>
        <w:t>省级以上监狱管理局、戒毒管理局（含新疆生产建设兵团）出具的属于监狱企业的有效文件。</w:t>
      </w:r>
    </w:p>
    <w:bookmarkEnd w:id="394"/>
    <w:bookmarkEnd w:id="395"/>
    <w:bookmarkEnd w:id="396"/>
    <w:bookmarkEnd w:id="397"/>
    <w:p w14:paraId="294098B4">
      <w:pPr>
        <w:snapToGrid w:val="0"/>
        <w:spacing w:before="50" w:after="120" w:afterLines="50" w:line="276" w:lineRule="auto"/>
        <w:jc w:val="left"/>
        <w:rPr>
          <w:rFonts w:ascii="宋体" w:hAnsi="宋体"/>
          <w:b/>
          <w:color w:val="auto"/>
          <w:sz w:val="24"/>
          <w:highlight w:val="none"/>
        </w:rPr>
      </w:pPr>
      <w:r>
        <w:rPr>
          <w:rFonts w:hint="eastAsia" w:ascii="宋体" w:hAnsi="宋体"/>
          <w:b/>
          <w:color w:val="auto"/>
          <w:sz w:val="24"/>
          <w:highlight w:val="none"/>
        </w:rPr>
        <w:br w:type="page"/>
      </w:r>
      <w:bookmarkStart w:id="408" w:name="_Toc10093"/>
      <w:r>
        <w:rPr>
          <w:rFonts w:hint="eastAsia" w:ascii="宋体" w:hAnsi="宋体" w:cs="宋体"/>
          <w:color w:val="auto"/>
          <w:sz w:val="28"/>
          <w:szCs w:val="28"/>
          <w:highlight w:val="none"/>
        </w:rPr>
        <w:t>附件14:评分响应表格式</w:t>
      </w:r>
      <w:bookmarkEnd w:id="408"/>
    </w:p>
    <w:p w14:paraId="006C102F">
      <w:pPr>
        <w:snapToGrid w:val="0"/>
        <w:spacing w:before="120" w:beforeLines="50" w:after="50" w:line="276" w:lineRule="auto"/>
        <w:rPr>
          <w:rFonts w:ascii="宋体" w:hAnsi="宋体"/>
          <w:b/>
          <w:color w:val="auto"/>
          <w:sz w:val="24"/>
          <w:highlight w:val="none"/>
        </w:rPr>
      </w:pPr>
    </w:p>
    <w:p w14:paraId="28F66501">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评分响应表</w:t>
      </w:r>
    </w:p>
    <w:p w14:paraId="3E596B7C">
      <w:pPr>
        <w:snapToGrid w:val="0"/>
        <w:spacing w:before="50" w:after="50" w:line="276" w:lineRule="auto"/>
        <w:rPr>
          <w:rFonts w:ascii="宋体" w:hAnsi="宋体"/>
          <w:b/>
          <w:color w:val="auto"/>
          <w:sz w:val="24"/>
          <w:highlight w:val="none"/>
        </w:rPr>
      </w:pPr>
    </w:p>
    <w:p w14:paraId="24AAB1BF">
      <w:pPr>
        <w:snapToGrid w:val="0"/>
        <w:spacing w:before="50" w:after="50" w:line="276"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14:paraId="33F79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11F4ED8">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序号</w:t>
            </w:r>
          </w:p>
        </w:tc>
        <w:tc>
          <w:tcPr>
            <w:tcW w:w="1390" w:type="dxa"/>
            <w:tcBorders>
              <w:top w:val="single" w:color="auto" w:sz="4" w:space="0"/>
              <w:left w:val="single" w:color="auto" w:sz="4" w:space="0"/>
              <w:bottom w:val="single" w:color="auto" w:sz="4" w:space="0"/>
              <w:right w:val="single" w:color="auto" w:sz="4" w:space="0"/>
            </w:tcBorders>
            <w:vAlign w:val="center"/>
          </w:tcPr>
          <w:p w14:paraId="3328934E">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评审项目</w:t>
            </w:r>
          </w:p>
        </w:tc>
        <w:tc>
          <w:tcPr>
            <w:tcW w:w="3294" w:type="dxa"/>
            <w:tcBorders>
              <w:top w:val="single" w:color="auto" w:sz="4" w:space="0"/>
              <w:left w:val="single" w:color="auto" w:sz="4" w:space="0"/>
              <w:bottom w:val="single" w:color="auto" w:sz="4" w:space="0"/>
              <w:right w:val="single" w:color="auto" w:sz="4" w:space="0"/>
            </w:tcBorders>
            <w:vAlign w:val="center"/>
          </w:tcPr>
          <w:p w14:paraId="71A879D9">
            <w:pPr>
              <w:pStyle w:val="43"/>
              <w:spacing w:line="276" w:lineRule="auto"/>
              <w:ind w:firstLine="442"/>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评审细则</w:t>
            </w:r>
          </w:p>
        </w:tc>
        <w:tc>
          <w:tcPr>
            <w:tcW w:w="1218" w:type="dxa"/>
            <w:tcBorders>
              <w:top w:val="single" w:color="auto" w:sz="4" w:space="0"/>
              <w:left w:val="single" w:color="auto" w:sz="4" w:space="0"/>
              <w:bottom w:val="single" w:color="auto" w:sz="4" w:space="0"/>
              <w:right w:val="single" w:color="auto" w:sz="4" w:space="0"/>
            </w:tcBorders>
            <w:vAlign w:val="center"/>
          </w:tcPr>
          <w:p w14:paraId="6DE88825">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自评得分</w:t>
            </w:r>
          </w:p>
        </w:tc>
        <w:tc>
          <w:tcPr>
            <w:tcW w:w="2846" w:type="dxa"/>
            <w:tcBorders>
              <w:top w:val="single" w:color="auto" w:sz="4" w:space="0"/>
              <w:left w:val="single" w:color="auto" w:sz="4" w:space="0"/>
              <w:bottom w:val="single" w:color="auto" w:sz="4" w:space="0"/>
              <w:right w:val="single" w:color="auto" w:sz="4" w:space="0"/>
            </w:tcBorders>
            <w:vAlign w:val="center"/>
          </w:tcPr>
          <w:p w14:paraId="26098073">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页码</w:t>
            </w:r>
          </w:p>
        </w:tc>
      </w:tr>
      <w:tr w14:paraId="14E6B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E58FC67">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1</w:t>
            </w:r>
          </w:p>
        </w:tc>
        <w:tc>
          <w:tcPr>
            <w:tcW w:w="1390" w:type="dxa"/>
            <w:tcBorders>
              <w:top w:val="single" w:color="auto" w:sz="4" w:space="0"/>
              <w:left w:val="single" w:color="auto" w:sz="4" w:space="0"/>
              <w:bottom w:val="single" w:color="auto" w:sz="4" w:space="0"/>
              <w:right w:val="single" w:color="auto" w:sz="4" w:space="0"/>
            </w:tcBorders>
            <w:vAlign w:val="center"/>
          </w:tcPr>
          <w:p w14:paraId="56143253">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7B1FEDFF">
            <w:pPr>
              <w:spacing w:line="276" w:lineRule="auto"/>
              <w:rPr>
                <w:rFonts w:ascii="宋体" w:hAnsi="宋体"/>
                <w:color w:val="auto"/>
                <w:sz w:val="22"/>
                <w:szCs w:val="22"/>
                <w:highlight w:val="none"/>
              </w:rPr>
            </w:pPr>
          </w:p>
        </w:tc>
        <w:tc>
          <w:tcPr>
            <w:tcW w:w="1218" w:type="dxa"/>
            <w:tcBorders>
              <w:top w:val="single" w:color="auto" w:sz="4" w:space="0"/>
              <w:left w:val="single" w:color="auto" w:sz="4" w:space="0"/>
              <w:right w:val="single" w:color="auto" w:sz="4" w:space="0"/>
            </w:tcBorders>
            <w:vAlign w:val="center"/>
          </w:tcPr>
          <w:p w14:paraId="3AE6B585">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689429D2">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详见第几页</w:t>
            </w:r>
          </w:p>
        </w:tc>
      </w:tr>
      <w:tr w14:paraId="2B162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5409FE8">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2</w:t>
            </w:r>
          </w:p>
        </w:tc>
        <w:tc>
          <w:tcPr>
            <w:tcW w:w="1390" w:type="dxa"/>
            <w:tcBorders>
              <w:top w:val="single" w:color="auto" w:sz="4" w:space="0"/>
              <w:left w:val="single" w:color="auto" w:sz="4" w:space="0"/>
              <w:bottom w:val="single" w:color="auto" w:sz="4" w:space="0"/>
              <w:right w:val="single" w:color="auto" w:sz="4" w:space="0"/>
            </w:tcBorders>
            <w:vAlign w:val="center"/>
          </w:tcPr>
          <w:p w14:paraId="26B3AFAD">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1FA3C574">
            <w:pPr>
              <w:widowControl/>
              <w:spacing w:line="276" w:lineRule="auto"/>
              <w:rPr>
                <w:rFonts w:ascii="宋体" w:hAnsi="宋体" w:cs="宋体"/>
                <w:color w:val="auto"/>
                <w:kern w:val="0"/>
                <w:sz w:val="22"/>
                <w:szCs w:val="22"/>
                <w:highlight w:val="none"/>
              </w:rPr>
            </w:pPr>
          </w:p>
        </w:tc>
        <w:tc>
          <w:tcPr>
            <w:tcW w:w="1218" w:type="dxa"/>
            <w:tcBorders>
              <w:top w:val="single" w:color="auto" w:sz="4" w:space="0"/>
              <w:left w:val="single" w:color="auto" w:sz="4" w:space="0"/>
              <w:right w:val="single" w:color="auto" w:sz="4" w:space="0"/>
            </w:tcBorders>
            <w:vAlign w:val="center"/>
          </w:tcPr>
          <w:p w14:paraId="5FD82C39">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166BB051">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w:t>
            </w:r>
          </w:p>
        </w:tc>
      </w:tr>
      <w:tr w14:paraId="15905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831012D">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2545ED9C">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07D1AF5B">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538F88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8CDC41A">
            <w:pPr>
              <w:spacing w:line="276" w:lineRule="auto"/>
              <w:jc w:val="center"/>
              <w:rPr>
                <w:rFonts w:ascii="宋体" w:hAnsi="宋体"/>
                <w:bCs/>
                <w:color w:val="auto"/>
                <w:sz w:val="22"/>
                <w:szCs w:val="22"/>
                <w:highlight w:val="none"/>
              </w:rPr>
            </w:pPr>
          </w:p>
        </w:tc>
      </w:tr>
      <w:tr w14:paraId="203F4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7B4B255">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4DE261A4">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15F34E4A">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40B1A9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7F2D776">
            <w:pPr>
              <w:spacing w:line="276" w:lineRule="auto"/>
              <w:jc w:val="center"/>
              <w:rPr>
                <w:rFonts w:ascii="宋体" w:hAnsi="宋体"/>
                <w:bCs/>
                <w:color w:val="auto"/>
                <w:sz w:val="22"/>
                <w:szCs w:val="22"/>
                <w:highlight w:val="none"/>
              </w:rPr>
            </w:pPr>
          </w:p>
        </w:tc>
      </w:tr>
      <w:tr w14:paraId="03296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77A60366">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w:t>
            </w:r>
          </w:p>
        </w:tc>
        <w:tc>
          <w:tcPr>
            <w:tcW w:w="1390" w:type="dxa"/>
            <w:tcBorders>
              <w:left w:val="single" w:color="auto" w:sz="4" w:space="0"/>
              <w:bottom w:val="single" w:color="auto" w:sz="4" w:space="0"/>
              <w:right w:val="single" w:color="auto" w:sz="4" w:space="0"/>
            </w:tcBorders>
            <w:vAlign w:val="center"/>
          </w:tcPr>
          <w:p w14:paraId="37D2EE7F">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7F743250">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69775F4">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54EE9F80">
            <w:pPr>
              <w:spacing w:line="276" w:lineRule="auto"/>
              <w:jc w:val="center"/>
              <w:rPr>
                <w:rFonts w:ascii="宋体" w:hAnsi="宋体"/>
                <w:bCs/>
                <w:color w:val="auto"/>
                <w:sz w:val="22"/>
                <w:szCs w:val="22"/>
                <w:highlight w:val="none"/>
              </w:rPr>
            </w:pPr>
          </w:p>
        </w:tc>
      </w:tr>
    </w:tbl>
    <w:p w14:paraId="7FC7C1CE">
      <w:pPr>
        <w:snapToGrid w:val="0"/>
        <w:spacing w:before="50" w:after="50" w:line="400" w:lineRule="exact"/>
        <w:rPr>
          <w:rFonts w:ascii="宋体" w:hAnsi="宋体"/>
          <w:color w:val="auto"/>
          <w:sz w:val="24"/>
          <w:highlight w:val="none"/>
        </w:rPr>
      </w:pPr>
      <w:r>
        <w:rPr>
          <w:rFonts w:hint="eastAsia" w:ascii="宋体" w:hAnsi="宋体"/>
          <w:color w:val="auto"/>
          <w:sz w:val="24"/>
          <w:highlight w:val="none"/>
        </w:rPr>
        <w:t>注：1.投标单位根据所投标项的评分表内容，按此格式提供评分响应表，每本技术商务文件一份，置于技术商务文件第1页。</w:t>
      </w:r>
    </w:p>
    <w:p w14:paraId="643DAA4D">
      <w:pPr>
        <w:snapToGrid w:val="0"/>
        <w:spacing w:line="312" w:lineRule="auto"/>
        <w:ind w:firstLine="480" w:firstLineChars="200"/>
        <w:jc w:val="left"/>
        <w:rPr>
          <w:rFonts w:ascii="宋体" w:hAnsi="宋体"/>
          <w:color w:val="auto"/>
          <w:sz w:val="24"/>
          <w:highlight w:val="none"/>
        </w:rPr>
      </w:pPr>
      <w:r>
        <w:rPr>
          <w:rFonts w:hint="eastAsia" w:ascii="宋体" w:hAnsi="宋体"/>
          <w:color w:val="auto"/>
          <w:sz w:val="24"/>
          <w:highlight w:val="none"/>
        </w:rPr>
        <w:t>2.投标人在标注页码时，应如实准确地标注“详见哪一页”，因投标人页码标注错误，导致专家误评、漏评的风险由投标人承担。</w:t>
      </w:r>
    </w:p>
    <w:p w14:paraId="3B387C34">
      <w:pPr>
        <w:snapToGrid w:val="0"/>
        <w:spacing w:before="50" w:after="120" w:afterLines="50" w:line="276" w:lineRule="auto"/>
        <w:jc w:val="left"/>
        <w:rPr>
          <w:rFonts w:ascii="宋体" w:hAnsi="宋体"/>
          <w:b/>
          <w:color w:val="auto"/>
          <w:sz w:val="24"/>
          <w:szCs w:val="20"/>
          <w:highlight w:val="none"/>
        </w:rPr>
      </w:pPr>
      <w:r>
        <w:rPr>
          <w:rFonts w:hint="eastAsia" w:ascii="宋体" w:hAnsi="宋体"/>
          <w:b/>
          <w:color w:val="auto"/>
          <w:sz w:val="24"/>
          <w:highlight w:val="none"/>
        </w:rPr>
        <w:br w:type="page"/>
      </w:r>
      <w:bookmarkStart w:id="409" w:name="_Toc11621"/>
      <w:r>
        <w:rPr>
          <w:rFonts w:hint="eastAsia" w:ascii="宋体" w:hAnsi="宋体" w:cs="宋体"/>
          <w:color w:val="auto"/>
          <w:sz w:val="28"/>
          <w:szCs w:val="28"/>
          <w:highlight w:val="none"/>
        </w:rPr>
        <w:t>附件15:投标声明书格式</w:t>
      </w:r>
      <w:bookmarkEnd w:id="409"/>
    </w:p>
    <w:p w14:paraId="0C03F916">
      <w:pPr>
        <w:snapToGrid w:val="0"/>
        <w:spacing w:before="120" w:beforeLines="50" w:after="50" w:line="400" w:lineRule="exact"/>
        <w:jc w:val="center"/>
        <w:rPr>
          <w:rFonts w:hint="eastAsia" w:ascii="宋体" w:hAnsi="宋体" w:cs="宋体"/>
          <w:color w:val="auto"/>
          <w:sz w:val="24"/>
          <w:highlight w:val="none"/>
        </w:rPr>
      </w:pPr>
      <w:r>
        <w:rPr>
          <w:rFonts w:hint="eastAsia" w:ascii="宋体" w:hAnsi="宋体"/>
          <w:b/>
          <w:color w:val="auto"/>
          <w:sz w:val="24"/>
          <w:highlight w:val="none"/>
        </w:rPr>
        <w:t>投标声明书</w:t>
      </w:r>
    </w:p>
    <w:p w14:paraId="1937283B">
      <w:pPr>
        <w:snapToGrid w:val="0"/>
        <w:spacing w:before="120" w:beforeLines="50" w:after="50" w:line="400" w:lineRule="exact"/>
        <w:rPr>
          <w:rFonts w:hint="eastAsia" w:ascii="宋体" w:hAnsi="宋体" w:cs="宋体"/>
          <w:color w:val="auto"/>
          <w:sz w:val="24"/>
          <w:highlight w:val="none"/>
        </w:rPr>
      </w:pPr>
    </w:p>
    <w:p w14:paraId="64BCB41D">
      <w:pPr>
        <w:snapToGrid w:val="0"/>
        <w:spacing w:line="480" w:lineRule="exact"/>
        <w:rPr>
          <w:rFonts w:hint="eastAsia" w:ascii="宋体" w:hAnsi="宋体" w:cs="宋体"/>
          <w:color w:val="auto"/>
          <w:sz w:val="24"/>
          <w:highlight w:val="none"/>
        </w:rPr>
      </w:pPr>
      <w:r>
        <w:rPr>
          <w:rFonts w:hint="eastAsia" w:ascii="宋体" w:hAnsi="宋体" w:cs="宋体"/>
          <w:color w:val="auto"/>
          <w:sz w:val="24"/>
          <w:highlight w:val="none"/>
        </w:rPr>
        <w:t>致（采购人）：</w:t>
      </w:r>
    </w:p>
    <w:p w14:paraId="14A1FD6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D065BA">
      <w:pPr>
        <w:snapToGrid w:val="0"/>
        <w:spacing w:line="480" w:lineRule="exact"/>
        <w:ind w:firstLine="645"/>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w:t>
      </w:r>
      <w:r>
        <w:rPr>
          <w:rFonts w:hint="eastAsia" w:ascii="宋体" w:hAnsi="宋体" w:cs="宋体"/>
          <w:color w:val="auto"/>
          <w:sz w:val="24"/>
          <w:highlight w:val="none"/>
        </w:rPr>
        <w:t>（姓名）系</w:t>
      </w:r>
      <w:r>
        <w:rPr>
          <w:rFonts w:hint="eastAsia" w:ascii="宋体" w:hAnsi="宋体" w:cs="宋体"/>
          <w:color w:val="auto"/>
          <w:sz w:val="24"/>
          <w:highlight w:val="none"/>
          <w:u w:val="single"/>
        </w:rPr>
        <w:t>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rPr>
        <w:t>的投标，为便于贵方公正、择优地确定中标人及其投标产品和服务，我方就本次投标有关事项郑重声明如下：</w:t>
      </w:r>
    </w:p>
    <w:p w14:paraId="05FA7C9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031819A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7F05C04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；该型号产品我方有现货可供，并已于</w:t>
      </w:r>
      <w:r>
        <w:rPr>
          <w:rFonts w:hint="eastAsia" w:ascii="宋体" w:hAnsi="宋体" w:cs="宋体"/>
          <w:color w:val="auto"/>
          <w:sz w:val="24"/>
          <w:highlight w:val="none"/>
          <w:u w:val="single"/>
        </w:rPr>
        <w:t>/</w:t>
      </w:r>
      <w:r>
        <w:rPr>
          <w:rFonts w:hint="eastAsia" w:ascii="宋体" w:hAnsi="宋体" w:cs="宋体"/>
          <w:color w:val="auto"/>
          <w:sz w:val="24"/>
          <w:highlight w:val="none"/>
        </w:rPr>
        <w:t>年</w:t>
      </w:r>
      <w:r>
        <w:rPr>
          <w:rFonts w:hint="eastAsia" w:ascii="宋体" w:hAnsi="宋体" w:cs="宋体"/>
          <w:color w:val="auto"/>
          <w:sz w:val="24"/>
          <w:highlight w:val="none"/>
          <w:u w:val="single"/>
        </w:rPr>
        <w:t>/</w:t>
      </w:r>
      <w:r>
        <w:rPr>
          <w:rFonts w:hint="eastAsia" w:ascii="宋体" w:hAnsi="宋体" w:cs="宋体"/>
          <w:color w:val="auto"/>
          <w:sz w:val="24"/>
          <w:highlight w:val="none"/>
        </w:rPr>
        <w:t>月生产完工或向</w:t>
      </w:r>
      <w:r>
        <w:rPr>
          <w:rFonts w:hint="eastAsia" w:ascii="宋体" w:hAnsi="宋体" w:cs="宋体"/>
          <w:color w:val="auto"/>
          <w:sz w:val="24"/>
          <w:highlight w:val="none"/>
          <w:u w:val="single"/>
        </w:rPr>
        <w:t>　　/</w:t>
      </w:r>
      <w:r>
        <w:rPr>
          <w:rFonts w:hint="eastAsia" w:ascii="宋体" w:hAnsi="宋体" w:cs="宋体"/>
          <w:color w:val="auto"/>
          <w:sz w:val="24"/>
          <w:highlight w:val="none"/>
        </w:rPr>
        <w:t>（原厂商名称）购进［</w:t>
      </w:r>
      <w:r>
        <w:rPr>
          <w:rFonts w:hint="eastAsia" w:ascii="宋体" w:hAnsi="宋体" w:cs="宋体"/>
          <w:bCs/>
          <w:color w:val="auto"/>
          <w:sz w:val="24"/>
          <w:highlight w:val="none"/>
        </w:rPr>
        <w:t>或</w:t>
      </w:r>
      <w:r>
        <w:rPr>
          <w:rFonts w:hint="eastAsia" w:ascii="宋体" w:hAnsi="宋体" w:cs="宋体"/>
          <w:color w:val="auto"/>
          <w:sz w:val="24"/>
          <w:highlight w:val="none"/>
        </w:rPr>
        <w:t>需在中标后向</w:t>
      </w:r>
      <w:r>
        <w:rPr>
          <w:rFonts w:hint="eastAsia" w:ascii="宋体" w:hAnsi="宋体" w:cs="宋体"/>
          <w:color w:val="auto"/>
          <w:sz w:val="24"/>
          <w:highlight w:val="none"/>
          <w:u w:val="single"/>
        </w:rPr>
        <w:t>/</w:t>
      </w:r>
      <w:r>
        <w:rPr>
          <w:rFonts w:hint="eastAsia" w:ascii="宋体" w:hAnsi="宋体" w:cs="宋体"/>
          <w:color w:val="auto"/>
          <w:sz w:val="24"/>
          <w:highlight w:val="none"/>
        </w:rPr>
        <w:t>订购］。</w:t>
      </w:r>
    </w:p>
    <w:p w14:paraId="09AF77F0">
      <w:pPr>
        <w:pStyle w:val="14"/>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rPr>
        <w:t>4.我方及由本人担任法定代表人的其他机构最近三年内被通报或者被处罚的违法行为有：（若有，请如实填写；若无，请做出“参加政府采购活动前三年内，在经营活动中没有重大违法记录”的承诺）</w:t>
      </w:r>
    </w:p>
    <w:p w14:paraId="6B3C8BDA">
      <w:pPr>
        <w:snapToGrid w:val="0"/>
        <w:spacing w:line="48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w:t>
      </w:r>
    </w:p>
    <w:p w14:paraId="087CC92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6989D4C2">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4F8492EA">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6B724D5A">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492536C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5E9D6E5F">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0AE0DBB2">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7283F79">
      <w:pPr>
        <w:tabs>
          <w:tab w:val="left" w:pos="1418"/>
        </w:tabs>
        <w:snapToGrid w:val="0"/>
        <w:spacing w:line="400" w:lineRule="exact"/>
        <w:jc w:val="left"/>
        <w:rPr>
          <w:rFonts w:ascii="宋体" w:hAnsi="宋体"/>
          <w:b/>
          <w:color w:val="auto"/>
          <w:spacing w:val="20"/>
          <w:sz w:val="24"/>
          <w:highlight w:val="none"/>
        </w:rPr>
      </w:pPr>
    </w:p>
    <w:p w14:paraId="70FAA1EB">
      <w:pPr>
        <w:rPr>
          <w:rFonts w:hint="eastAsia" w:ascii="宋体" w:hAnsi="宋体"/>
          <w:b/>
          <w:color w:val="auto"/>
          <w:sz w:val="24"/>
          <w:highlight w:val="none"/>
        </w:rPr>
      </w:pPr>
    </w:p>
    <w:p w14:paraId="5F4542B4">
      <w:pPr>
        <w:tabs>
          <w:tab w:val="left" w:pos="1418"/>
        </w:tabs>
        <w:snapToGrid w:val="0"/>
        <w:spacing w:line="400" w:lineRule="exact"/>
        <w:jc w:val="left"/>
        <w:rPr>
          <w:rFonts w:ascii="宋体" w:hAnsi="宋体"/>
          <w:b/>
          <w:color w:val="auto"/>
          <w:spacing w:val="20"/>
          <w:sz w:val="24"/>
          <w:highlight w:val="none"/>
        </w:rPr>
      </w:pPr>
    </w:p>
    <w:p w14:paraId="547DA948">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2B8A255C">
      <w:pPr>
        <w:rPr>
          <w:rFonts w:hint="eastAsia" w:ascii="宋体" w:hAnsi="宋体" w:cs="宋体"/>
          <w:color w:val="auto"/>
          <w:sz w:val="28"/>
          <w:szCs w:val="28"/>
          <w:highlight w:val="none"/>
        </w:rPr>
      </w:pPr>
      <w:r>
        <w:rPr>
          <w:rFonts w:hint="eastAsia" w:ascii="宋体" w:hAnsi="宋体" w:cs="宋体"/>
          <w:color w:val="auto"/>
          <w:sz w:val="28"/>
          <w:szCs w:val="28"/>
          <w:highlight w:val="none"/>
        </w:rPr>
        <w:t>附件16:产品技术指标响应情况</w:t>
      </w:r>
    </w:p>
    <w:p w14:paraId="280B8F16">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技术指标偏离表</w:t>
      </w:r>
    </w:p>
    <w:p w14:paraId="0659900B">
      <w:pPr>
        <w:spacing w:line="500" w:lineRule="exact"/>
        <w:jc w:val="center"/>
        <w:rPr>
          <w:rFonts w:hint="eastAsia" w:ascii="宋体" w:hAnsi="宋体" w:cs="宋体"/>
          <w:b/>
          <w:bCs/>
          <w:color w:val="auto"/>
          <w:sz w:val="28"/>
          <w:szCs w:val="28"/>
          <w:highlight w:val="none"/>
        </w:rPr>
      </w:pPr>
    </w:p>
    <w:p w14:paraId="6D359147">
      <w:pPr>
        <w:snapToGrid w:val="0"/>
        <w:spacing w:line="300" w:lineRule="auto"/>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151"/>
        <w:gridCol w:w="2531"/>
        <w:gridCol w:w="2811"/>
        <w:gridCol w:w="1964"/>
      </w:tblGrid>
      <w:tr w14:paraId="5FAA0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643" w:type="dxa"/>
            <w:vAlign w:val="center"/>
          </w:tcPr>
          <w:p w14:paraId="432E34BD">
            <w:pPr>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151" w:type="dxa"/>
            <w:tcBorders>
              <w:right w:val="single" w:color="auto" w:sz="4" w:space="0"/>
            </w:tcBorders>
            <w:vAlign w:val="center"/>
          </w:tcPr>
          <w:p w14:paraId="6640D2CC">
            <w:pPr>
              <w:snapToGrid w:val="0"/>
              <w:jc w:val="center"/>
              <w:rPr>
                <w:rFonts w:hint="eastAsia" w:ascii="宋体" w:hAnsi="宋体" w:cs="宋体"/>
                <w:color w:val="auto"/>
                <w:highlight w:val="none"/>
              </w:rPr>
            </w:pPr>
            <w:r>
              <w:rPr>
                <w:rFonts w:hint="eastAsia" w:ascii="宋体" w:hAnsi="宋体" w:cs="宋体"/>
                <w:color w:val="auto"/>
                <w:highlight w:val="none"/>
              </w:rPr>
              <w:t>设备名称</w:t>
            </w:r>
          </w:p>
        </w:tc>
        <w:tc>
          <w:tcPr>
            <w:tcW w:w="2531" w:type="dxa"/>
            <w:tcBorders>
              <w:left w:val="single" w:color="auto" w:sz="4" w:space="0"/>
            </w:tcBorders>
            <w:vAlign w:val="center"/>
          </w:tcPr>
          <w:p w14:paraId="0A262143">
            <w:pPr>
              <w:snapToGrid w:val="0"/>
              <w:jc w:val="center"/>
              <w:rPr>
                <w:rFonts w:hint="eastAsia" w:ascii="宋体" w:hAnsi="宋体" w:cs="宋体"/>
                <w:color w:val="auto"/>
                <w:highlight w:val="none"/>
              </w:rPr>
            </w:pPr>
            <w:r>
              <w:rPr>
                <w:rFonts w:hint="eastAsia" w:ascii="宋体" w:hAnsi="宋体" w:cs="宋体"/>
                <w:color w:val="auto"/>
                <w:highlight w:val="none"/>
              </w:rPr>
              <w:t>采购需求技术规格要求</w:t>
            </w:r>
          </w:p>
        </w:tc>
        <w:tc>
          <w:tcPr>
            <w:tcW w:w="2811" w:type="dxa"/>
            <w:vAlign w:val="center"/>
          </w:tcPr>
          <w:p w14:paraId="17C87340">
            <w:pPr>
              <w:snapToGrid w:val="0"/>
              <w:jc w:val="center"/>
              <w:rPr>
                <w:rFonts w:hint="eastAsia" w:ascii="宋体" w:hAnsi="宋体" w:cs="宋体"/>
                <w:color w:val="auto"/>
                <w:highlight w:val="none"/>
              </w:rPr>
            </w:pPr>
            <w:r>
              <w:rPr>
                <w:rFonts w:hint="eastAsia" w:ascii="宋体" w:hAnsi="宋体" w:cs="宋体"/>
                <w:color w:val="auto"/>
                <w:highlight w:val="none"/>
              </w:rPr>
              <w:t>响应文件响应内容</w:t>
            </w:r>
          </w:p>
        </w:tc>
        <w:tc>
          <w:tcPr>
            <w:tcW w:w="1964" w:type="dxa"/>
            <w:vAlign w:val="center"/>
          </w:tcPr>
          <w:p w14:paraId="7C96EBD9">
            <w:pPr>
              <w:snapToGrid w:val="0"/>
              <w:jc w:val="center"/>
              <w:rPr>
                <w:rFonts w:hint="eastAsia" w:ascii="宋体" w:hAnsi="宋体" w:cs="宋体"/>
                <w:color w:val="auto"/>
                <w:highlight w:val="none"/>
              </w:rPr>
            </w:pPr>
            <w:r>
              <w:rPr>
                <w:rFonts w:hint="eastAsia" w:ascii="宋体" w:hAnsi="宋体" w:cs="宋体"/>
                <w:color w:val="auto"/>
                <w:highlight w:val="none"/>
              </w:rPr>
              <w:t>偏离情况</w:t>
            </w:r>
          </w:p>
        </w:tc>
      </w:tr>
      <w:tr w14:paraId="6F675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F98F534">
            <w:pPr>
              <w:snapToGrid w:val="0"/>
              <w:jc w:val="center"/>
              <w:rPr>
                <w:rFonts w:hint="eastAsia" w:ascii="宋体" w:hAnsi="宋体" w:cs="宋体"/>
                <w:color w:val="auto"/>
                <w:highlight w:val="none"/>
              </w:rPr>
            </w:pPr>
            <w:r>
              <w:rPr>
                <w:rFonts w:hint="eastAsia" w:ascii="宋体" w:hAnsi="宋体" w:cs="宋体"/>
                <w:color w:val="auto"/>
                <w:highlight w:val="none"/>
              </w:rPr>
              <w:t>1</w:t>
            </w:r>
          </w:p>
        </w:tc>
        <w:tc>
          <w:tcPr>
            <w:tcW w:w="1151" w:type="dxa"/>
            <w:tcBorders>
              <w:right w:val="single" w:color="auto" w:sz="4" w:space="0"/>
            </w:tcBorders>
            <w:vAlign w:val="center"/>
          </w:tcPr>
          <w:p w14:paraId="21B67BFA">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3AD1898">
            <w:pPr>
              <w:snapToGrid w:val="0"/>
              <w:jc w:val="center"/>
              <w:rPr>
                <w:rFonts w:hint="eastAsia" w:ascii="宋体" w:hAnsi="宋体" w:cs="宋体"/>
                <w:color w:val="auto"/>
                <w:highlight w:val="none"/>
              </w:rPr>
            </w:pPr>
          </w:p>
        </w:tc>
        <w:tc>
          <w:tcPr>
            <w:tcW w:w="2811" w:type="dxa"/>
            <w:vAlign w:val="center"/>
          </w:tcPr>
          <w:p w14:paraId="4737482E">
            <w:pPr>
              <w:snapToGrid w:val="0"/>
              <w:jc w:val="center"/>
              <w:rPr>
                <w:rFonts w:hint="eastAsia" w:ascii="宋体" w:hAnsi="宋体" w:cs="宋体"/>
                <w:color w:val="auto"/>
                <w:highlight w:val="none"/>
              </w:rPr>
            </w:pPr>
          </w:p>
        </w:tc>
        <w:tc>
          <w:tcPr>
            <w:tcW w:w="1964" w:type="dxa"/>
            <w:vAlign w:val="center"/>
          </w:tcPr>
          <w:p w14:paraId="0C03DB29">
            <w:pPr>
              <w:snapToGrid w:val="0"/>
              <w:jc w:val="center"/>
              <w:rPr>
                <w:rFonts w:hint="eastAsia" w:ascii="宋体" w:hAnsi="宋体" w:cs="宋体"/>
                <w:color w:val="auto"/>
                <w:highlight w:val="none"/>
              </w:rPr>
            </w:pPr>
          </w:p>
        </w:tc>
      </w:tr>
      <w:tr w14:paraId="77BD6D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566BBB3C">
            <w:pPr>
              <w:snapToGrid w:val="0"/>
              <w:jc w:val="center"/>
              <w:rPr>
                <w:rFonts w:hint="eastAsia" w:ascii="宋体" w:hAnsi="宋体" w:cs="宋体"/>
                <w:color w:val="auto"/>
                <w:highlight w:val="none"/>
              </w:rPr>
            </w:pPr>
            <w:r>
              <w:rPr>
                <w:rFonts w:hint="eastAsia" w:ascii="宋体" w:hAnsi="宋体" w:cs="宋体"/>
                <w:color w:val="auto"/>
                <w:highlight w:val="none"/>
              </w:rPr>
              <w:t>2</w:t>
            </w:r>
          </w:p>
        </w:tc>
        <w:tc>
          <w:tcPr>
            <w:tcW w:w="1151" w:type="dxa"/>
            <w:tcBorders>
              <w:right w:val="single" w:color="auto" w:sz="4" w:space="0"/>
            </w:tcBorders>
            <w:vAlign w:val="center"/>
          </w:tcPr>
          <w:p w14:paraId="7C560443">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6373DE55">
            <w:pPr>
              <w:snapToGrid w:val="0"/>
              <w:jc w:val="center"/>
              <w:rPr>
                <w:rFonts w:hint="eastAsia" w:ascii="宋体" w:hAnsi="宋体" w:cs="宋体"/>
                <w:color w:val="auto"/>
                <w:highlight w:val="none"/>
              </w:rPr>
            </w:pPr>
          </w:p>
        </w:tc>
        <w:tc>
          <w:tcPr>
            <w:tcW w:w="2811" w:type="dxa"/>
            <w:vAlign w:val="center"/>
          </w:tcPr>
          <w:p w14:paraId="0A88940B">
            <w:pPr>
              <w:snapToGrid w:val="0"/>
              <w:jc w:val="center"/>
              <w:rPr>
                <w:rFonts w:hint="eastAsia" w:ascii="宋体" w:hAnsi="宋体" w:cs="宋体"/>
                <w:color w:val="auto"/>
                <w:highlight w:val="none"/>
              </w:rPr>
            </w:pPr>
          </w:p>
        </w:tc>
        <w:tc>
          <w:tcPr>
            <w:tcW w:w="1964" w:type="dxa"/>
            <w:vAlign w:val="center"/>
          </w:tcPr>
          <w:p w14:paraId="70C0B859">
            <w:pPr>
              <w:snapToGrid w:val="0"/>
              <w:jc w:val="center"/>
              <w:rPr>
                <w:rFonts w:hint="eastAsia" w:ascii="宋体" w:hAnsi="宋体" w:cs="宋体"/>
                <w:color w:val="auto"/>
                <w:highlight w:val="none"/>
              </w:rPr>
            </w:pPr>
          </w:p>
        </w:tc>
      </w:tr>
      <w:tr w14:paraId="53C6C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9C2D391">
            <w:pPr>
              <w:snapToGrid w:val="0"/>
              <w:jc w:val="center"/>
              <w:rPr>
                <w:rFonts w:hint="eastAsia" w:ascii="宋体" w:hAnsi="宋体" w:cs="宋体"/>
                <w:color w:val="auto"/>
                <w:highlight w:val="none"/>
              </w:rPr>
            </w:pPr>
            <w:r>
              <w:rPr>
                <w:rFonts w:hint="eastAsia" w:ascii="宋体" w:hAnsi="宋体" w:cs="宋体"/>
                <w:color w:val="auto"/>
                <w:highlight w:val="none"/>
              </w:rPr>
              <w:t>3</w:t>
            </w:r>
          </w:p>
        </w:tc>
        <w:tc>
          <w:tcPr>
            <w:tcW w:w="1151" w:type="dxa"/>
            <w:tcBorders>
              <w:right w:val="single" w:color="auto" w:sz="4" w:space="0"/>
            </w:tcBorders>
            <w:vAlign w:val="center"/>
          </w:tcPr>
          <w:p w14:paraId="5B026660">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09E229BF">
            <w:pPr>
              <w:snapToGrid w:val="0"/>
              <w:jc w:val="center"/>
              <w:rPr>
                <w:rFonts w:hint="eastAsia" w:ascii="宋体" w:hAnsi="宋体" w:cs="宋体"/>
                <w:color w:val="auto"/>
                <w:highlight w:val="none"/>
              </w:rPr>
            </w:pPr>
          </w:p>
        </w:tc>
        <w:tc>
          <w:tcPr>
            <w:tcW w:w="2811" w:type="dxa"/>
            <w:vAlign w:val="center"/>
          </w:tcPr>
          <w:p w14:paraId="5F90F47A">
            <w:pPr>
              <w:snapToGrid w:val="0"/>
              <w:jc w:val="center"/>
              <w:rPr>
                <w:rFonts w:hint="eastAsia" w:ascii="宋体" w:hAnsi="宋体" w:cs="宋体"/>
                <w:color w:val="auto"/>
                <w:highlight w:val="none"/>
              </w:rPr>
            </w:pPr>
          </w:p>
        </w:tc>
        <w:tc>
          <w:tcPr>
            <w:tcW w:w="1964" w:type="dxa"/>
            <w:vAlign w:val="center"/>
          </w:tcPr>
          <w:p w14:paraId="0E58C361">
            <w:pPr>
              <w:snapToGrid w:val="0"/>
              <w:jc w:val="center"/>
              <w:rPr>
                <w:rFonts w:hint="eastAsia" w:ascii="宋体" w:hAnsi="宋体" w:cs="宋体"/>
                <w:color w:val="auto"/>
                <w:highlight w:val="none"/>
              </w:rPr>
            </w:pPr>
          </w:p>
        </w:tc>
      </w:tr>
      <w:tr w14:paraId="0779C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AB23047">
            <w:pPr>
              <w:snapToGrid w:val="0"/>
              <w:jc w:val="center"/>
              <w:rPr>
                <w:rFonts w:hint="eastAsia" w:ascii="宋体" w:hAnsi="宋体" w:cs="宋体"/>
                <w:color w:val="auto"/>
                <w:highlight w:val="none"/>
              </w:rPr>
            </w:pPr>
            <w:r>
              <w:rPr>
                <w:rFonts w:hint="eastAsia" w:ascii="宋体" w:hAnsi="宋体" w:cs="宋体"/>
                <w:color w:val="auto"/>
                <w:highlight w:val="none"/>
              </w:rPr>
              <w:t>4</w:t>
            </w:r>
          </w:p>
        </w:tc>
        <w:tc>
          <w:tcPr>
            <w:tcW w:w="1151" w:type="dxa"/>
            <w:tcBorders>
              <w:right w:val="single" w:color="auto" w:sz="4" w:space="0"/>
            </w:tcBorders>
            <w:vAlign w:val="center"/>
          </w:tcPr>
          <w:p w14:paraId="6A76F4E7">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904BE90">
            <w:pPr>
              <w:snapToGrid w:val="0"/>
              <w:jc w:val="center"/>
              <w:rPr>
                <w:rFonts w:hint="eastAsia" w:ascii="宋体" w:hAnsi="宋体" w:cs="宋体"/>
                <w:color w:val="auto"/>
                <w:highlight w:val="none"/>
              </w:rPr>
            </w:pPr>
          </w:p>
        </w:tc>
        <w:tc>
          <w:tcPr>
            <w:tcW w:w="2811" w:type="dxa"/>
            <w:vAlign w:val="center"/>
          </w:tcPr>
          <w:p w14:paraId="52FE1C7E">
            <w:pPr>
              <w:snapToGrid w:val="0"/>
              <w:jc w:val="center"/>
              <w:rPr>
                <w:rFonts w:hint="eastAsia" w:ascii="宋体" w:hAnsi="宋体" w:cs="宋体"/>
                <w:color w:val="auto"/>
                <w:highlight w:val="none"/>
              </w:rPr>
            </w:pPr>
          </w:p>
        </w:tc>
        <w:tc>
          <w:tcPr>
            <w:tcW w:w="1964" w:type="dxa"/>
            <w:vAlign w:val="center"/>
          </w:tcPr>
          <w:p w14:paraId="584940B2">
            <w:pPr>
              <w:snapToGrid w:val="0"/>
              <w:jc w:val="center"/>
              <w:rPr>
                <w:rFonts w:hint="eastAsia" w:ascii="宋体" w:hAnsi="宋体" w:cs="宋体"/>
                <w:color w:val="auto"/>
                <w:highlight w:val="none"/>
              </w:rPr>
            </w:pPr>
          </w:p>
        </w:tc>
      </w:tr>
      <w:tr w14:paraId="3FDD4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DA54050">
            <w:pPr>
              <w:snapToGrid w:val="0"/>
              <w:jc w:val="center"/>
              <w:rPr>
                <w:rFonts w:hint="eastAsia" w:ascii="宋体" w:hAnsi="宋体" w:cs="宋体"/>
                <w:color w:val="auto"/>
                <w:highlight w:val="none"/>
              </w:rPr>
            </w:pPr>
            <w:r>
              <w:rPr>
                <w:rFonts w:hint="eastAsia" w:ascii="宋体" w:hAnsi="宋体" w:cs="宋体"/>
                <w:color w:val="auto"/>
                <w:highlight w:val="none"/>
              </w:rPr>
              <w:t>5</w:t>
            </w:r>
          </w:p>
        </w:tc>
        <w:tc>
          <w:tcPr>
            <w:tcW w:w="1151" w:type="dxa"/>
            <w:tcBorders>
              <w:right w:val="single" w:color="auto" w:sz="4" w:space="0"/>
            </w:tcBorders>
            <w:vAlign w:val="center"/>
          </w:tcPr>
          <w:p w14:paraId="3C5507F4">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79540CE5">
            <w:pPr>
              <w:snapToGrid w:val="0"/>
              <w:jc w:val="center"/>
              <w:rPr>
                <w:rFonts w:hint="eastAsia" w:ascii="宋体" w:hAnsi="宋体" w:cs="宋体"/>
                <w:color w:val="auto"/>
                <w:highlight w:val="none"/>
              </w:rPr>
            </w:pPr>
          </w:p>
        </w:tc>
        <w:tc>
          <w:tcPr>
            <w:tcW w:w="2811" w:type="dxa"/>
            <w:vAlign w:val="center"/>
          </w:tcPr>
          <w:p w14:paraId="32518CB6">
            <w:pPr>
              <w:snapToGrid w:val="0"/>
              <w:jc w:val="center"/>
              <w:rPr>
                <w:rFonts w:hint="eastAsia" w:ascii="宋体" w:hAnsi="宋体" w:cs="宋体"/>
                <w:color w:val="auto"/>
                <w:highlight w:val="none"/>
              </w:rPr>
            </w:pPr>
          </w:p>
        </w:tc>
        <w:tc>
          <w:tcPr>
            <w:tcW w:w="1964" w:type="dxa"/>
            <w:vAlign w:val="center"/>
          </w:tcPr>
          <w:p w14:paraId="49A18244">
            <w:pPr>
              <w:snapToGrid w:val="0"/>
              <w:jc w:val="center"/>
              <w:rPr>
                <w:rFonts w:hint="eastAsia" w:ascii="宋体" w:hAnsi="宋体" w:cs="宋体"/>
                <w:color w:val="auto"/>
                <w:highlight w:val="none"/>
              </w:rPr>
            </w:pPr>
          </w:p>
        </w:tc>
      </w:tr>
      <w:tr w14:paraId="1D333C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795C588B">
            <w:pPr>
              <w:snapToGrid w:val="0"/>
              <w:jc w:val="center"/>
              <w:rPr>
                <w:rFonts w:hint="eastAsia" w:ascii="宋体" w:hAnsi="宋体" w:cs="宋体"/>
                <w:color w:val="auto"/>
                <w:highlight w:val="none"/>
              </w:rPr>
            </w:pPr>
            <w:r>
              <w:rPr>
                <w:rFonts w:hint="eastAsia" w:ascii="宋体" w:hAnsi="宋体" w:cs="宋体"/>
                <w:color w:val="auto"/>
                <w:highlight w:val="none"/>
              </w:rPr>
              <w:t>6</w:t>
            </w:r>
          </w:p>
        </w:tc>
        <w:tc>
          <w:tcPr>
            <w:tcW w:w="1151" w:type="dxa"/>
            <w:vAlign w:val="center"/>
          </w:tcPr>
          <w:p w14:paraId="16251742">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57F2F7A5">
            <w:pPr>
              <w:snapToGrid w:val="0"/>
              <w:jc w:val="center"/>
              <w:rPr>
                <w:rFonts w:hint="eastAsia" w:ascii="宋体" w:hAnsi="宋体" w:cs="宋体"/>
                <w:color w:val="auto"/>
                <w:highlight w:val="none"/>
              </w:rPr>
            </w:pPr>
          </w:p>
        </w:tc>
        <w:tc>
          <w:tcPr>
            <w:tcW w:w="2811" w:type="dxa"/>
            <w:tcBorders>
              <w:left w:val="single" w:color="auto" w:sz="4" w:space="0"/>
            </w:tcBorders>
            <w:vAlign w:val="center"/>
          </w:tcPr>
          <w:p w14:paraId="05F17AC4">
            <w:pPr>
              <w:snapToGrid w:val="0"/>
              <w:jc w:val="center"/>
              <w:rPr>
                <w:rFonts w:hint="eastAsia" w:ascii="宋体" w:hAnsi="宋体" w:cs="宋体"/>
                <w:color w:val="auto"/>
                <w:highlight w:val="none"/>
              </w:rPr>
            </w:pPr>
          </w:p>
        </w:tc>
        <w:tc>
          <w:tcPr>
            <w:tcW w:w="1964" w:type="dxa"/>
            <w:vAlign w:val="center"/>
          </w:tcPr>
          <w:p w14:paraId="4E713320">
            <w:pPr>
              <w:snapToGrid w:val="0"/>
              <w:jc w:val="center"/>
              <w:rPr>
                <w:rFonts w:hint="eastAsia" w:ascii="宋体" w:hAnsi="宋体" w:cs="宋体"/>
                <w:color w:val="auto"/>
                <w:highlight w:val="none"/>
              </w:rPr>
            </w:pPr>
          </w:p>
        </w:tc>
      </w:tr>
      <w:tr w14:paraId="50DBC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22D534A9">
            <w:pPr>
              <w:snapToGrid w:val="0"/>
              <w:jc w:val="center"/>
              <w:rPr>
                <w:rFonts w:hint="eastAsia" w:ascii="宋体" w:hAnsi="宋体" w:cs="宋体"/>
                <w:color w:val="auto"/>
                <w:highlight w:val="none"/>
              </w:rPr>
            </w:pPr>
            <w:r>
              <w:rPr>
                <w:rFonts w:hint="eastAsia" w:ascii="宋体" w:hAnsi="宋体" w:cs="宋体"/>
                <w:color w:val="auto"/>
                <w:highlight w:val="none"/>
              </w:rPr>
              <w:t>7</w:t>
            </w:r>
          </w:p>
        </w:tc>
        <w:tc>
          <w:tcPr>
            <w:tcW w:w="1151" w:type="dxa"/>
            <w:vAlign w:val="center"/>
          </w:tcPr>
          <w:p w14:paraId="12F608E1">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0FAFEA79">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58C87977">
            <w:pPr>
              <w:snapToGrid w:val="0"/>
              <w:jc w:val="center"/>
              <w:rPr>
                <w:rFonts w:hint="eastAsia" w:ascii="宋体" w:hAnsi="宋体" w:cs="宋体"/>
                <w:b/>
                <w:color w:val="auto"/>
                <w:highlight w:val="none"/>
              </w:rPr>
            </w:pPr>
          </w:p>
        </w:tc>
        <w:tc>
          <w:tcPr>
            <w:tcW w:w="1964" w:type="dxa"/>
            <w:vAlign w:val="center"/>
          </w:tcPr>
          <w:p w14:paraId="2F765E05">
            <w:pPr>
              <w:snapToGrid w:val="0"/>
              <w:jc w:val="center"/>
              <w:rPr>
                <w:rFonts w:hint="eastAsia" w:ascii="宋体" w:hAnsi="宋体" w:cs="宋体"/>
                <w:color w:val="auto"/>
                <w:highlight w:val="none"/>
              </w:rPr>
            </w:pPr>
          </w:p>
        </w:tc>
      </w:tr>
      <w:tr w14:paraId="13553B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138B950">
            <w:pPr>
              <w:snapToGrid w:val="0"/>
              <w:jc w:val="center"/>
              <w:rPr>
                <w:rFonts w:hint="eastAsia" w:ascii="宋体" w:hAnsi="宋体" w:cs="宋体"/>
                <w:color w:val="auto"/>
                <w:highlight w:val="none"/>
              </w:rPr>
            </w:pPr>
            <w:r>
              <w:rPr>
                <w:rFonts w:hint="eastAsia" w:ascii="宋体" w:hAnsi="宋体" w:cs="宋体"/>
                <w:color w:val="auto"/>
                <w:highlight w:val="none"/>
              </w:rPr>
              <w:t>8</w:t>
            </w:r>
          </w:p>
        </w:tc>
        <w:tc>
          <w:tcPr>
            <w:tcW w:w="1151" w:type="dxa"/>
            <w:vAlign w:val="center"/>
          </w:tcPr>
          <w:p w14:paraId="157A66E5">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75F3C16C">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0C197869">
            <w:pPr>
              <w:snapToGrid w:val="0"/>
              <w:jc w:val="center"/>
              <w:rPr>
                <w:rFonts w:hint="eastAsia" w:ascii="宋体" w:hAnsi="宋体" w:cs="宋体"/>
                <w:b/>
                <w:color w:val="auto"/>
                <w:highlight w:val="none"/>
              </w:rPr>
            </w:pPr>
          </w:p>
        </w:tc>
        <w:tc>
          <w:tcPr>
            <w:tcW w:w="1964" w:type="dxa"/>
            <w:vAlign w:val="center"/>
          </w:tcPr>
          <w:p w14:paraId="14C0828B">
            <w:pPr>
              <w:snapToGrid w:val="0"/>
              <w:jc w:val="center"/>
              <w:rPr>
                <w:rFonts w:hint="eastAsia" w:ascii="宋体" w:hAnsi="宋体" w:cs="宋体"/>
                <w:color w:val="auto"/>
                <w:highlight w:val="none"/>
              </w:rPr>
            </w:pPr>
          </w:p>
        </w:tc>
      </w:tr>
      <w:tr w14:paraId="020D48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643" w:type="dxa"/>
            <w:vAlign w:val="center"/>
          </w:tcPr>
          <w:p w14:paraId="7EDBC601">
            <w:pPr>
              <w:snapToGrid w:val="0"/>
              <w:jc w:val="center"/>
              <w:rPr>
                <w:rFonts w:hint="eastAsia" w:ascii="宋体" w:hAnsi="宋体" w:cs="宋体"/>
                <w:color w:val="auto"/>
                <w:highlight w:val="none"/>
              </w:rPr>
            </w:pPr>
            <w:r>
              <w:rPr>
                <w:rFonts w:hint="eastAsia" w:ascii="宋体" w:hAnsi="宋体" w:cs="宋体"/>
                <w:color w:val="auto"/>
                <w:highlight w:val="none"/>
              </w:rPr>
              <w:t>……</w:t>
            </w:r>
          </w:p>
        </w:tc>
        <w:tc>
          <w:tcPr>
            <w:tcW w:w="1151" w:type="dxa"/>
            <w:vAlign w:val="center"/>
          </w:tcPr>
          <w:p w14:paraId="7E3E83E0">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28665DBB">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7F094E19">
            <w:pPr>
              <w:snapToGrid w:val="0"/>
              <w:jc w:val="center"/>
              <w:rPr>
                <w:rFonts w:hint="eastAsia" w:ascii="宋体" w:hAnsi="宋体" w:cs="宋体"/>
                <w:b/>
                <w:color w:val="auto"/>
                <w:highlight w:val="none"/>
              </w:rPr>
            </w:pPr>
          </w:p>
        </w:tc>
        <w:tc>
          <w:tcPr>
            <w:tcW w:w="1964" w:type="dxa"/>
            <w:vAlign w:val="center"/>
          </w:tcPr>
          <w:p w14:paraId="64135F15">
            <w:pPr>
              <w:snapToGrid w:val="0"/>
              <w:jc w:val="center"/>
              <w:rPr>
                <w:rFonts w:hint="eastAsia" w:ascii="宋体" w:hAnsi="宋体" w:cs="宋体"/>
                <w:color w:val="auto"/>
                <w:highlight w:val="none"/>
              </w:rPr>
            </w:pPr>
          </w:p>
        </w:tc>
      </w:tr>
    </w:tbl>
    <w:p w14:paraId="727A31DC">
      <w:pPr>
        <w:pStyle w:val="29"/>
        <w:spacing w:before="120" w:after="120" w:line="440" w:lineRule="exact"/>
        <w:jc w:val="left"/>
        <w:rPr>
          <w:rFonts w:hint="eastAsia" w:hAnsi="宋体" w:cs="宋体"/>
          <w:b/>
          <w:bCs/>
          <w:color w:val="auto"/>
          <w:szCs w:val="21"/>
          <w:highlight w:val="none"/>
        </w:rPr>
      </w:pPr>
      <w:r>
        <w:rPr>
          <w:rFonts w:hint="eastAsia" w:hAnsi="宋体" w:cs="宋体"/>
          <w:b/>
          <w:bCs/>
          <w:color w:val="auto"/>
          <w:szCs w:val="21"/>
          <w:highlight w:val="none"/>
        </w:rPr>
        <w:t>说明：</w:t>
      </w:r>
    </w:p>
    <w:p w14:paraId="03E2E260">
      <w:pPr>
        <w:pStyle w:val="29"/>
        <w:spacing w:before="120" w:after="120" w:line="440" w:lineRule="exact"/>
        <w:ind w:firstLine="480" w:firstLineChars="200"/>
        <w:jc w:val="left"/>
        <w:rPr>
          <w:rFonts w:hint="eastAsia" w:hAnsi="宋体" w:cs="宋体"/>
          <w:color w:val="auto"/>
          <w:szCs w:val="21"/>
          <w:highlight w:val="none"/>
        </w:rPr>
      </w:pPr>
      <w:r>
        <w:rPr>
          <w:rFonts w:hint="eastAsia" w:hAnsi="宋体" w:cs="宋体"/>
          <w:color w:val="auto"/>
          <w:szCs w:val="21"/>
          <w:highlight w:val="none"/>
        </w:rPr>
        <w:t>1.供应商应对采购需求的各项技术指标要求逐一做出明确响应，并在“偏离情况”栏注明“正偏离”“负偏离”或“无偏离”。行数不够可按原格式扩展。</w:t>
      </w:r>
    </w:p>
    <w:p w14:paraId="3914BBEE">
      <w:pPr>
        <w:pStyle w:val="29"/>
        <w:spacing w:before="120" w:after="120" w:line="440" w:lineRule="exact"/>
        <w:ind w:firstLine="470" w:firstLineChars="196"/>
        <w:rPr>
          <w:rFonts w:hint="eastAsia" w:hAnsi="宋体" w:cs="宋体"/>
          <w:color w:val="auto"/>
          <w:szCs w:val="21"/>
          <w:highlight w:val="none"/>
        </w:rPr>
      </w:pPr>
      <w:r>
        <w:rPr>
          <w:rFonts w:hint="eastAsia" w:hAnsi="宋体" w:cs="宋体"/>
          <w:color w:val="auto"/>
          <w:szCs w:val="21"/>
          <w:highlight w:val="none"/>
        </w:rPr>
        <w:t>2.供应商未按要求填写、标注偏离情况的，视为完全响应采购文件各采购需求。若成交后提供的服务（货物）不满足采购需求的，将认定为提供虚假材料、谋取中标（成交）。采购人有权单方面解除合同并追究其违约责任。</w:t>
      </w:r>
    </w:p>
    <w:p w14:paraId="1B3AF21C">
      <w:pPr>
        <w:pStyle w:val="29"/>
        <w:spacing w:before="120" w:after="120" w:line="540" w:lineRule="exact"/>
        <w:jc w:val="left"/>
        <w:rPr>
          <w:rFonts w:hint="eastAsia" w:ascii="仿宋_GB2312" w:hAnsi="宋体"/>
          <w:color w:val="auto"/>
          <w:highlight w:val="none"/>
        </w:rPr>
      </w:pPr>
      <w:r>
        <w:rPr>
          <w:rFonts w:hint="eastAsia" w:ascii="仿宋_GB2312" w:hAnsi="宋体"/>
          <w:color w:val="auto"/>
          <w:highlight w:val="none"/>
        </w:rPr>
        <w:t xml:space="preserve"> </w:t>
      </w:r>
    </w:p>
    <w:p w14:paraId="38F4E06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3F9FFA6">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5F20A87">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793BC0F">
      <w:pPr>
        <w:spacing w:line="500" w:lineRule="exact"/>
        <w:rPr>
          <w:rFonts w:hint="eastAsia" w:ascii="宋体" w:hAnsi="宋体" w:cs="宋体"/>
          <w:color w:val="auto"/>
          <w:sz w:val="24"/>
          <w:highlight w:val="none"/>
        </w:rPr>
      </w:pPr>
    </w:p>
    <w:p w14:paraId="760325E0">
      <w:pPr>
        <w:spacing w:line="500" w:lineRule="exact"/>
        <w:rPr>
          <w:rFonts w:hint="eastAsia" w:ascii="宋体" w:hAnsi="宋体" w:cs="宋体"/>
          <w:color w:val="auto"/>
          <w:sz w:val="24"/>
          <w:highlight w:val="none"/>
        </w:rPr>
      </w:pPr>
    </w:p>
    <w:p w14:paraId="37F97D05">
      <w:pPr>
        <w:rPr>
          <w:rFonts w:hint="eastAsia" w:ascii="宋体" w:hAnsi="宋体" w:cs="宋体"/>
          <w:color w:val="auto"/>
          <w:sz w:val="28"/>
          <w:szCs w:val="28"/>
          <w:highlight w:val="none"/>
        </w:rPr>
      </w:pPr>
      <w:r>
        <w:rPr>
          <w:rFonts w:hint="eastAsia" w:ascii="宋体" w:hAnsi="宋体" w:cs="宋体"/>
          <w:color w:val="auto"/>
          <w:sz w:val="28"/>
          <w:szCs w:val="28"/>
          <w:highlight w:val="none"/>
        </w:rPr>
        <w:t>附件17:类似业绩</w:t>
      </w:r>
    </w:p>
    <w:p w14:paraId="0BB7CB3D">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同类项目业绩汇总表</w:t>
      </w:r>
    </w:p>
    <w:tbl>
      <w:tblPr>
        <w:tblStyle w:val="53"/>
        <w:tblpPr w:leftFromText="180" w:rightFromText="180" w:vertAnchor="text" w:horzAnchor="page" w:tblpX="1420"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14:paraId="4F4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vAlign w:val="center"/>
          </w:tcPr>
          <w:p w14:paraId="079C7290">
            <w:pPr>
              <w:spacing w:line="276" w:lineRule="auto"/>
              <w:jc w:val="center"/>
              <w:rPr>
                <w:rFonts w:ascii="宋体" w:hAnsi="宋体"/>
                <w:color w:val="auto"/>
                <w:sz w:val="24"/>
                <w:highlight w:val="none"/>
              </w:rPr>
            </w:pPr>
            <w:r>
              <w:rPr>
                <w:rFonts w:hint="eastAsia" w:ascii="宋体" w:hAnsi="宋体"/>
                <w:color w:val="auto"/>
                <w:sz w:val="24"/>
                <w:highlight w:val="none"/>
              </w:rPr>
              <w:t>项目名称</w:t>
            </w:r>
          </w:p>
        </w:tc>
        <w:tc>
          <w:tcPr>
            <w:tcW w:w="1453" w:type="dxa"/>
            <w:vAlign w:val="center"/>
          </w:tcPr>
          <w:p w14:paraId="706CC24E">
            <w:pPr>
              <w:spacing w:line="276" w:lineRule="auto"/>
              <w:jc w:val="center"/>
              <w:rPr>
                <w:rFonts w:ascii="宋体" w:hAnsi="宋体"/>
                <w:color w:val="auto"/>
                <w:sz w:val="24"/>
                <w:highlight w:val="none"/>
              </w:rPr>
            </w:pPr>
            <w:r>
              <w:rPr>
                <w:rFonts w:hint="eastAsia" w:ascii="宋体" w:hAnsi="宋体"/>
                <w:color w:val="auto"/>
                <w:sz w:val="24"/>
                <w:highlight w:val="none"/>
              </w:rPr>
              <w:t>项目规模</w:t>
            </w:r>
          </w:p>
        </w:tc>
        <w:tc>
          <w:tcPr>
            <w:tcW w:w="1207" w:type="dxa"/>
            <w:vAlign w:val="center"/>
          </w:tcPr>
          <w:p w14:paraId="4CE58AB7">
            <w:pPr>
              <w:spacing w:line="276" w:lineRule="auto"/>
              <w:jc w:val="center"/>
              <w:rPr>
                <w:rFonts w:ascii="宋体" w:hAnsi="宋体"/>
                <w:color w:val="auto"/>
                <w:sz w:val="24"/>
                <w:highlight w:val="none"/>
              </w:rPr>
            </w:pPr>
            <w:r>
              <w:rPr>
                <w:rFonts w:hint="eastAsia" w:ascii="宋体" w:hAnsi="宋体"/>
                <w:color w:val="auto"/>
                <w:sz w:val="24"/>
                <w:highlight w:val="none"/>
              </w:rPr>
              <w:t>合同金额</w:t>
            </w:r>
          </w:p>
        </w:tc>
        <w:tc>
          <w:tcPr>
            <w:tcW w:w="1660" w:type="dxa"/>
            <w:vAlign w:val="center"/>
          </w:tcPr>
          <w:p w14:paraId="6174E908">
            <w:pPr>
              <w:spacing w:line="276" w:lineRule="auto"/>
              <w:jc w:val="center"/>
              <w:rPr>
                <w:rFonts w:ascii="宋体" w:hAnsi="宋体"/>
                <w:color w:val="auto"/>
                <w:sz w:val="24"/>
                <w:highlight w:val="none"/>
              </w:rPr>
            </w:pPr>
            <w:r>
              <w:rPr>
                <w:rFonts w:hint="eastAsia" w:ascii="宋体" w:hAnsi="宋体"/>
                <w:color w:val="auto"/>
                <w:sz w:val="24"/>
                <w:highlight w:val="none"/>
              </w:rPr>
              <w:t>项目建设单位</w:t>
            </w:r>
          </w:p>
        </w:tc>
        <w:tc>
          <w:tcPr>
            <w:tcW w:w="2208" w:type="dxa"/>
            <w:vAlign w:val="center"/>
          </w:tcPr>
          <w:p w14:paraId="71739BBF">
            <w:pPr>
              <w:spacing w:line="276" w:lineRule="auto"/>
              <w:jc w:val="center"/>
              <w:rPr>
                <w:rFonts w:ascii="宋体" w:hAnsi="宋体"/>
                <w:color w:val="auto"/>
                <w:sz w:val="24"/>
                <w:highlight w:val="none"/>
              </w:rPr>
            </w:pPr>
            <w:r>
              <w:rPr>
                <w:rFonts w:hint="eastAsia" w:ascii="宋体" w:hAnsi="宋体"/>
                <w:color w:val="auto"/>
                <w:sz w:val="24"/>
                <w:highlight w:val="none"/>
              </w:rPr>
              <w:t>项目单位联系人及联系电话</w:t>
            </w:r>
          </w:p>
        </w:tc>
        <w:tc>
          <w:tcPr>
            <w:tcW w:w="1452" w:type="dxa"/>
            <w:vAlign w:val="center"/>
          </w:tcPr>
          <w:p w14:paraId="40A814BE">
            <w:pPr>
              <w:spacing w:line="276" w:lineRule="auto"/>
              <w:jc w:val="center"/>
              <w:rPr>
                <w:rFonts w:hint="eastAsia" w:ascii="宋体" w:hAnsi="宋体"/>
                <w:color w:val="auto"/>
                <w:sz w:val="24"/>
                <w:highlight w:val="none"/>
              </w:rPr>
            </w:pPr>
            <w:r>
              <w:rPr>
                <w:rFonts w:hint="eastAsia" w:ascii="宋体" w:hAnsi="宋体"/>
                <w:color w:val="auto"/>
                <w:sz w:val="24"/>
                <w:highlight w:val="none"/>
              </w:rPr>
              <w:t>签订日期</w:t>
            </w:r>
          </w:p>
        </w:tc>
      </w:tr>
      <w:tr w14:paraId="6672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4B9245">
            <w:pPr>
              <w:spacing w:line="276" w:lineRule="auto"/>
              <w:rPr>
                <w:rFonts w:ascii="宋体" w:hAnsi="宋体"/>
                <w:color w:val="auto"/>
                <w:sz w:val="24"/>
                <w:highlight w:val="none"/>
              </w:rPr>
            </w:pPr>
          </w:p>
        </w:tc>
        <w:tc>
          <w:tcPr>
            <w:tcW w:w="1453" w:type="dxa"/>
            <w:vAlign w:val="center"/>
          </w:tcPr>
          <w:p w14:paraId="3B80DF93">
            <w:pPr>
              <w:spacing w:line="276" w:lineRule="auto"/>
              <w:rPr>
                <w:rFonts w:ascii="宋体" w:hAnsi="宋体"/>
                <w:color w:val="auto"/>
                <w:sz w:val="24"/>
                <w:highlight w:val="none"/>
              </w:rPr>
            </w:pPr>
          </w:p>
        </w:tc>
        <w:tc>
          <w:tcPr>
            <w:tcW w:w="1207" w:type="dxa"/>
            <w:vAlign w:val="center"/>
          </w:tcPr>
          <w:p w14:paraId="55876978">
            <w:pPr>
              <w:spacing w:line="276" w:lineRule="auto"/>
              <w:rPr>
                <w:rFonts w:ascii="宋体" w:hAnsi="宋体"/>
                <w:color w:val="auto"/>
                <w:sz w:val="24"/>
                <w:highlight w:val="none"/>
              </w:rPr>
            </w:pPr>
          </w:p>
        </w:tc>
        <w:tc>
          <w:tcPr>
            <w:tcW w:w="1660" w:type="dxa"/>
          </w:tcPr>
          <w:p w14:paraId="2FD765B6">
            <w:pPr>
              <w:spacing w:line="276" w:lineRule="auto"/>
              <w:rPr>
                <w:rFonts w:ascii="宋体" w:hAnsi="宋体"/>
                <w:color w:val="auto"/>
                <w:sz w:val="24"/>
                <w:highlight w:val="none"/>
              </w:rPr>
            </w:pPr>
          </w:p>
        </w:tc>
        <w:tc>
          <w:tcPr>
            <w:tcW w:w="2208" w:type="dxa"/>
          </w:tcPr>
          <w:p w14:paraId="6F1CE8F1">
            <w:pPr>
              <w:spacing w:line="276" w:lineRule="auto"/>
              <w:rPr>
                <w:rFonts w:ascii="宋体" w:hAnsi="宋体"/>
                <w:color w:val="auto"/>
                <w:sz w:val="24"/>
                <w:highlight w:val="none"/>
              </w:rPr>
            </w:pPr>
          </w:p>
        </w:tc>
        <w:tc>
          <w:tcPr>
            <w:tcW w:w="1452" w:type="dxa"/>
            <w:vAlign w:val="center"/>
          </w:tcPr>
          <w:p w14:paraId="5EF1E1F9">
            <w:pPr>
              <w:spacing w:line="276" w:lineRule="auto"/>
              <w:rPr>
                <w:rFonts w:ascii="宋体" w:hAnsi="宋体"/>
                <w:color w:val="auto"/>
                <w:sz w:val="24"/>
                <w:highlight w:val="none"/>
              </w:rPr>
            </w:pPr>
          </w:p>
        </w:tc>
      </w:tr>
      <w:tr w14:paraId="0BA2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vAlign w:val="center"/>
          </w:tcPr>
          <w:p w14:paraId="6C3B022A">
            <w:pPr>
              <w:spacing w:line="276" w:lineRule="auto"/>
              <w:rPr>
                <w:rFonts w:ascii="宋体" w:hAnsi="宋体"/>
                <w:color w:val="auto"/>
                <w:sz w:val="24"/>
                <w:highlight w:val="none"/>
              </w:rPr>
            </w:pPr>
          </w:p>
        </w:tc>
        <w:tc>
          <w:tcPr>
            <w:tcW w:w="1453" w:type="dxa"/>
            <w:vAlign w:val="center"/>
          </w:tcPr>
          <w:p w14:paraId="1A21EC45">
            <w:pPr>
              <w:spacing w:line="276" w:lineRule="auto"/>
              <w:rPr>
                <w:rFonts w:ascii="宋体" w:hAnsi="宋体"/>
                <w:color w:val="auto"/>
                <w:sz w:val="24"/>
                <w:highlight w:val="none"/>
              </w:rPr>
            </w:pPr>
          </w:p>
        </w:tc>
        <w:tc>
          <w:tcPr>
            <w:tcW w:w="1207" w:type="dxa"/>
            <w:vAlign w:val="center"/>
          </w:tcPr>
          <w:p w14:paraId="72024F8D">
            <w:pPr>
              <w:spacing w:line="276" w:lineRule="auto"/>
              <w:rPr>
                <w:rFonts w:ascii="宋体" w:hAnsi="宋体"/>
                <w:color w:val="auto"/>
                <w:sz w:val="24"/>
                <w:highlight w:val="none"/>
              </w:rPr>
            </w:pPr>
          </w:p>
        </w:tc>
        <w:tc>
          <w:tcPr>
            <w:tcW w:w="1660" w:type="dxa"/>
          </w:tcPr>
          <w:p w14:paraId="5C62D29F">
            <w:pPr>
              <w:spacing w:line="276" w:lineRule="auto"/>
              <w:rPr>
                <w:rFonts w:ascii="宋体" w:hAnsi="宋体"/>
                <w:color w:val="auto"/>
                <w:sz w:val="24"/>
                <w:highlight w:val="none"/>
              </w:rPr>
            </w:pPr>
          </w:p>
        </w:tc>
        <w:tc>
          <w:tcPr>
            <w:tcW w:w="2208" w:type="dxa"/>
          </w:tcPr>
          <w:p w14:paraId="4975990A">
            <w:pPr>
              <w:spacing w:line="276" w:lineRule="auto"/>
              <w:rPr>
                <w:rFonts w:ascii="宋体" w:hAnsi="宋体"/>
                <w:color w:val="auto"/>
                <w:sz w:val="24"/>
                <w:highlight w:val="none"/>
              </w:rPr>
            </w:pPr>
          </w:p>
        </w:tc>
        <w:tc>
          <w:tcPr>
            <w:tcW w:w="1452" w:type="dxa"/>
            <w:vAlign w:val="center"/>
          </w:tcPr>
          <w:p w14:paraId="1F7F0650">
            <w:pPr>
              <w:spacing w:line="276" w:lineRule="auto"/>
              <w:rPr>
                <w:rFonts w:ascii="宋体" w:hAnsi="宋体"/>
                <w:color w:val="auto"/>
                <w:sz w:val="24"/>
                <w:highlight w:val="none"/>
              </w:rPr>
            </w:pPr>
          </w:p>
        </w:tc>
      </w:tr>
      <w:tr w14:paraId="7B77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64B332B0">
            <w:pPr>
              <w:spacing w:line="276" w:lineRule="auto"/>
              <w:rPr>
                <w:rFonts w:ascii="宋体" w:hAnsi="宋体"/>
                <w:color w:val="auto"/>
                <w:sz w:val="24"/>
                <w:highlight w:val="none"/>
              </w:rPr>
            </w:pPr>
          </w:p>
        </w:tc>
        <w:tc>
          <w:tcPr>
            <w:tcW w:w="1453" w:type="dxa"/>
            <w:vAlign w:val="center"/>
          </w:tcPr>
          <w:p w14:paraId="1A89055C">
            <w:pPr>
              <w:spacing w:line="276" w:lineRule="auto"/>
              <w:rPr>
                <w:rFonts w:ascii="宋体" w:hAnsi="宋体"/>
                <w:color w:val="auto"/>
                <w:sz w:val="24"/>
                <w:highlight w:val="none"/>
              </w:rPr>
            </w:pPr>
          </w:p>
        </w:tc>
        <w:tc>
          <w:tcPr>
            <w:tcW w:w="1207" w:type="dxa"/>
            <w:vAlign w:val="center"/>
          </w:tcPr>
          <w:p w14:paraId="09E2DA8A">
            <w:pPr>
              <w:spacing w:line="276" w:lineRule="auto"/>
              <w:rPr>
                <w:rFonts w:ascii="宋体" w:hAnsi="宋体"/>
                <w:color w:val="auto"/>
                <w:sz w:val="24"/>
                <w:highlight w:val="none"/>
              </w:rPr>
            </w:pPr>
          </w:p>
        </w:tc>
        <w:tc>
          <w:tcPr>
            <w:tcW w:w="1660" w:type="dxa"/>
          </w:tcPr>
          <w:p w14:paraId="1FEEE7A3">
            <w:pPr>
              <w:spacing w:line="276" w:lineRule="auto"/>
              <w:rPr>
                <w:rFonts w:ascii="宋体" w:hAnsi="宋体"/>
                <w:color w:val="auto"/>
                <w:sz w:val="24"/>
                <w:highlight w:val="none"/>
              </w:rPr>
            </w:pPr>
          </w:p>
        </w:tc>
        <w:tc>
          <w:tcPr>
            <w:tcW w:w="2208" w:type="dxa"/>
          </w:tcPr>
          <w:p w14:paraId="13FD64C7">
            <w:pPr>
              <w:spacing w:line="276" w:lineRule="auto"/>
              <w:rPr>
                <w:rFonts w:ascii="宋体" w:hAnsi="宋体"/>
                <w:color w:val="auto"/>
                <w:sz w:val="24"/>
                <w:highlight w:val="none"/>
              </w:rPr>
            </w:pPr>
          </w:p>
        </w:tc>
        <w:tc>
          <w:tcPr>
            <w:tcW w:w="1452" w:type="dxa"/>
            <w:vAlign w:val="center"/>
          </w:tcPr>
          <w:p w14:paraId="1D96CE79">
            <w:pPr>
              <w:spacing w:line="276" w:lineRule="auto"/>
              <w:rPr>
                <w:rFonts w:ascii="宋体" w:hAnsi="宋体"/>
                <w:color w:val="auto"/>
                <w:sz w:val="24"/>
                <w:highlight w:val="none"/>
              </w:rPr>
            </w:pPr>
          </w:p>
        </w:tc>
      </w:tr>
      <w:tr w14:paraId="2FC2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A609117">
            <w:pPr>
              <w:spacing w:line="276" w:lineRule="auto"/>
              <w:rPr>
                <w:rFonts w:ascii="宋体" w:hAnsi="宋体"/>
                <w:color w:val="auto"/>
                <w:sz w:val="24"/>
                <w:highlight w:val="none"/>
              </w:rPr>
            </w:pPr>
          </w:p>
        </w:tc>
        <w:tc>
          <w:tcPr>
            <w:tcW w:w="1453" w:type="dxa"/>
            <w:vAlign w:val="center"/>
          </w:tcPr>
          <w:p w14:paraId="362F5613">
            <w:pPr>
              <w:spacing w:line="276" w:lineRule="auto"/>
              <w:rPr>
                <w:rFonts w:ascii="宋体" w:hAnsi="宋体"/>
                <w:color w:val="auto"/>
                <w:sz w:val="24"/>
                <w:highlight w:val="none"/>
              </w:rPr>
            </w:pPr>
          </w:p>
        </w:tc>
        <w:tc>
          <w:tcPr>
            <w:tcW w:w="1207" w:type="dxa"/>
            <w:vAlign w:val="center"/>
          </w:tcPr>
          <w:p w14:paraId="726446AC">
            <w:pPr>
              <w:spacing w:line="276" w:lineRule="auto"/>
              <w:rPr>
                <w:rFonts w:ascii="宋体" w:hAnsi="宋体"/>
                <w:color w:val="auto"/>
                <w:sz w:val="24"/>
                <w:highlight w:val="none"/>
              </w:rPr>
            </w:pPr>
          </w:p>
        </w:tc>
        <w:tc>
          <w:tcPr>
            <w:tcW w:w="1660" w:type="dxa"/>
          </w:tcPr>
          <w:p w14:paraId="27F8A14A">
            <w:pPr>
              <w:spacing w:line="276" w:lineRule="auto"/>
              <w:rPr>
                <w:rFonts w:ascii="宋体" w:hAnsi="宋体"/>
                <w:color w:val="auto"/>
                <w:sz w:val="24"/>
                <w:highlight w:val="none"/>
              </w:rPr>
            </w:pPr>
          </w:p>
        </w:tc>
        <w:tc>
          <w:tcPr>
            <w:tcW w:w="2208" w:type="dxa"/>
          </w:tcPr>
          <w:p w14:paraId="64462E8F">
            <w:pPr>
              <w:spacing w:line="276" w:lineRule="auto"/>
              <w:rPr>
                <w:rFonts w:ascii="宋体" w:hAnsi="宋体"/>
                <w:color w:val="auto"/>
                <w:sz w:val="24"/>
                <w:highlight w:val="none"/>
              </w:rPr>
            </w:pPr>
          </w:p>
        </w:tc>
        <w:tc>
          <w:tcPr>
            <w:tcW w:w="1452" w:type="dxa"/>
            <w:vAlign w:val="center"/>
          </w:tcPr>
          <w:p w14:paraId="6133F978">
            <w:pPr>
              <w:spacing w:line="276" w:lineRule="auto"/>
              <w:rPr>
                <w:rFonts w:ascii="宋体" w:hAnsi="宋体"/>
                <w:color w:val="auto"/>
                <w:sz w:val="24"/>
                <w:highlight w:val="none"/>
              </w:rPr>
            </w:pPr>
          </w:p>
        </w:tc>
      </w:tr>
      <w:tr w14:paraId="00A1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0298932B">
            <w:pPr>
              <w:spacing w:line="276" w:lineRule="auto"/>
              <w:rPr>
                <w:rFonts w:ascii="宋体" w:hAnsi="宋体"/>
                <w:color w:val="auto"/>
                <w:sz w:val="24"/>
                <w:highlight w:val="none"/>
              </w:rPr>
            </w:pPr>
          </w:p>
        </w:tc>
        <w:tc>
          <w:tcPr>
            <w:tcW w:w="1453" w:type="dxa"/>
            <w:vAlign w:val="center"/>
          </w:tcPr>
          <w:p w14:paraId="112E7AEA">
            <w:pPr>
              <w:spacing w:line="276" w:lineRule="auto"/>
              <w:rPr>
                <w:rFonts w:ascii="宋体" w:hAnsi="宋体"/>
                <w:color w:val="auto"/>
                <w:sz w:val="24"/>
                <w:highlight w:val="none"/>
              </w:rPr>
            </w:pPr>
          </w:p>
        </w:tc>
        <w:tc>
          <w:tcPr>
            <w:tcW w:w="1207" w:type="dxa"/>
            <w:vAlign w:val="center"/>
          </w:tcPr>
          <w:p w14:paraId="25C7EEF9">
            <w:pPr>
              <w:spacing w:line="276" w:lineRule="auto"/>
              <w:rPr>
                <w:rFonts w:ascii="宋体" w:hAnsi="宋体"/>
                <w:color w:val="auto"/>
                <w:sz w:val="24"/>
                <w:highlight w:val="none"/>
              </w:rPr>
            </w:pPr>
          </w:p>
        </w:tc>
        <w:tc>
          <w:tcPr>
            <w:tcW w:w="1660" w:type="dxa"/>
          </w:tcPr>
          <w:p w14:paraId="7BFE074B">
            <w:pPr>
              <w:spacing w:line="276" w:lineRule="auto"/>
              <w:rPr>
                <w:rFonts w:ascii="宋体" w:hAnsi="宋体"/>
                <w:color w:val="auto"/>
                <w:sz w:val="24"/>
                <w:highlight w:val="none"/>
              </w:rPr>
            </w:pPr>
          </w:p>
        </w:tc>
        <w:tc>
          <w:tcPr>
            <w:tcW w:w="2208" w:type="dxa"/>
          </w:tcPr>
          <w:p w14:paraId="3035AED1">
            <w:pPr>
              <w:spacing w:line="276" w:lineRule="auto"/>
              <w:rPr>
                <w:rFonts w:ascii="宋体" w:hAnsi="宋体"/>
                <w:color w:val="auto"/>
                <w:sz w:val="24"/>
                <w:highlight w:val="none"/>
              </w:rPr>
            </w:pPr>
          </w:p>
        </w:tc>
        <w:tc>
          <w:tcPr>
            <w:tcW w:w="1452" w:type="dxa"/>
            <w:vAlign w:val="center"/>
          </w:tcPr>
          <w:p w14:paraId="0E7ECE8D">
            <w:pPr>
              <w:spacing w:line="276" w:lineRule="auto"/>
              <w:rPr>
                <w:rFonts w:ascii="宋体" w:hAnsi="宋体"/>
                <w:color w:val="auto"/>
                <w:sz w:val="24"/>
                <w:highlight w:val="none"/>
              </w:rPr>
            </w:pPr>
          </w:p>
        </w:tc>
      </w:tr>
      <w:tr w14:paraId="519A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33B28240">
            <w:pPr>
              <w:spacing w:line="276" w:lineRule="auto"/>
              <w:rPr>
                <w:rFonts w:ascii="宋体" w:hAnsi="宋体"/>
                <w:color w:val="auto"/>
                <w:sz w:val="24"/>
                <w:highlight w:val="none"/>
              </w:rPr>
            </w:pPr>
          </w:p>
        </w:tc>
        <w:tc>
          <w:tcPr>
            <w:tcW w:w="1453" w:type="dxa"/>
            <w:vAlign w:val="center"/>
          </w:tcPr>
          <w:p w14:paraId="75526FA9">
            <w:pPr>
              <w:spacing w:line="276" w:lineRule="auto"/>
              <w:rPr>
                <w:rFonts w:ascii="宋体" w:hAnsi="宋体"/>
                <w:color w:val="auto"/>
                <w:sz w:val="24"/>
                <w:highlight w:val="none"/>
              </w:rPr>
            </w:pPr>
          </w:p>
        </w:tc>
        <w:tc>
          <w:tcPr>
            <w:tcW w:w="1207" w:type="dxa"/>
            <w:vAlign w:val="center"/>
          </w:tcPr>
          <w:p w14:paraId="7629A3C6">
            <w:pPr>
              <w:spacing w:line="276" w:lineRule="auto"/>
              <w:rPr>
                <w:rFonts w:ascii="宋体" w:hAnsi="宋体"/>
                <w:color w:val="auto"/>
                <w:sz w:val="24"/>
                <w:highlight w:val="none"/>
              </w:rPr>
            </w:pPr>
          </w:p>
        </w:tc>
        <w:tc>
          <w:tcPr>
            <w:tcW w:w="1660" w:type="dxa"/>
          </w:tcPr>
          <w:p w14:paraId="77206B75">
            <w:pPr>
              <w:spacing w:line="276" w:lineRule="auto"/>
              <w:rPr>
                <w:rFonts w:ascii="宋体" w:hAnsi="宋体"/>
                <w:color w:val="auto"/>
                <w:sz w:val="24"/>
                <w:highlight w:val="none"/>
              </w:rPr>
            </w:pPr>
          </w:p>
        </w:tc>
        <w:tc>
          <w:tcPr>
            <w:tcW w:w="2208" w:type="dxa"/>
          </w:tcPr>
          <w:p w14:paraId="2818E834">
            <w:pPr>
              <w:spacing w:line="276" w:lineRule="auto"/>
              <w:rPr>
                <w:rFonts w:ascii="宋体" w:hAnsi="宋体"/>
                <w:color w:val="auto"/>
                <w:sz w:val="24"/>
                <w:highlight w:val="none"/>
              </w:rPr>
            </w:pPr>
          </w:p>
        </w:tc>
        <w:tc>
          <w:tcPr>
            <w:tcW w:w="1452" w:type="dxa"/>
            <w:vAlign w:val="center"/>
          </w:tcPr>
          <w:p w14:paraId="1B42FEF9">
            <w:pPr>
              <w:spacing w:line="276" w:lineRule="auto"/>
              <w:rPr>
                <w:rFonts w:ascii="宋体" w:hAnsi="宋体"/>
                <w:color w:val="auto"/>
                <w:sz w:val="24"/>
                <w:highlight w:val="none"/>
              </w:rPr>
            </w:pPr>
          </w:p>
        </w:tc>
      </w:tr>
      <w:tr w14:paraId="2304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CBCC99">
            <w:pPr>
              <w:spacing w:line="276" w:lineRule="auto"/>
              <w:rPr>
                <w:rFonts w:ascii="宋体" w:hAnsi="宋体"/>
                <w:color w:val="auto"/>
                <w:sz w:val="24"/>
                <w:highlight w:val="none"/>
              </w:rPr>
            </w:pPr>
          </w:p>
        </w:tc>
        <w:tc>
          <w:tcPr>
            <w:tcW w:w="1453" w:type="dxa"/>
            <w:vAlign w:val="center"/>
          </w:tcPr>
          <w:p w14:paraId="3D1A6DBD">
            <w:pPr>
              <w:spacing w:line="276" w:lineRule="auto"/>
              <w:rPr>
                <w:rFonts w:ascii="宋体" w:hAnsi="宋体"/>
                <w:color w:val="auto"/>
                <w:sz w:val="24"/>
                <w:highlight w:val="none"/>
              </w:rPr>
            </w:pPr>
          </w:p>
        </w:tc>
        <w:tc>
          <w:tcPr>
            <w:tcW w:w="1207" w:type="dxa"/>
            <w:vAlign w:val="center"/>
          </w:tcPr>
          <w:p w14:paraId="3266C978">
            <w:pPr>
              <w:spacing w:line="276" w:lineRule="auto"/>
              <w:rPr>
                <w:rFonts w:ascii="宋体" w:hAnsi="宋体"/>
                <w:color w:val="auto"/>
                <w:sz w:val="24"/>
                <w:highlight w:val="none"/>
              </w:rPr>
            </w:pPr>
          </w:p>
        </w:tc>
        <w:tc>
          <w:tcPr>
            <w:tcW w:w="1660" w:type="dxa"/>
          </w:tcPr>
          <w:p w14:paraId="58A0D43B">
            <w:pPr>
              <w:spacing w:line="276" w:lineRule="auto"/>
              <w:rPr>
                <w:rFonts w:ascii="宋体" w:hAnsi="宋体"/>
                <w:color w:val="auto"/>
                <w:sz w:val="24"/>
                <w:highlight w:val="none"/>
              </w:rPr>
            </w:pPr>
          </w:p>
        </w:tc>
        <w:tc>
          <w:tcPr>
            <w:tcW w:w="2208" w:type="dxa"/>
          </w:tcPr>
          <w:p w14:paraId="2AB2DA4F">
            <w:pPr>
              <w:spacing w:line="276" w:lineRule="auto"/>
              <w:rPr>
                <w:rFonts w:ascii="宋体" w:hAnsi="宋体"/>
                <w:color w:val="auto"/>
                <w:sz w:val="24"/>
                <w:highlight w:val="none"/>
              </w:rPr>
            </w:pPr>
          </w:p>
        </w:tc>
        <w:tc>
          <w:tcPr>
            <w:tcW w:w="1452" w:type="dxa"/>
            <w:vAlign w:val="center"/>
          </w:tcPr>
          <w:p w14:paraId="1FE4240A">
            <w:pPr>
              <w:spacing w:line="276" w:lineRule="auto"/>
              <w:rPr>
                <w:rFonts w:ascii="宋体" w:hAnsi="宋体"/>
                <w:color w:val="auto"/>
                <w:sz w:val="24"/>
                <w:highlight w:val="none"/>
              </w:rPr>
            </w:pPr>
          </w:p>
        </w:tc>
      </w:tr>
      <w:tr w14:paraId="5A4D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75B32A3C">
            <w:pPr>
              <w:spacing w:line="276" w:lineRule="auto"/>
              <w:rPr>
                <w:rFonts w:ascii="宋体" w:hAnsi="宋体"/>
                <w:color w:val="auto"/>
                <w:sz w:val="24"/>
                <w:highlight w:val="none"/>
              </w:rPr>
            </w:pPr>
          </w:p>
        </w:tc>
        <w:tc>
          <w:tcPr>
            <w:tcW w:w="1453" w:type="dxa"/>
            <w:vAlign w:val="center"/>
          </w:tcPr>
          <w:p w14:paraId="72E1F364">
            <w:pPr>
              <w:spacing w:line="276" w:lineRule="auto"/>
              <w:rPr>
                <w:rFonts w:ascii="宋体" w:hAnsi="宋体"/>
                <w:color w:val="auto"/>
                <w:sz w:val="24"/>
                <w:highlight w:val="none"/>
              </w:rPr>
            </w:pPr>
          </w:p>
        </w:tc>
        <w:tc>
          <w:tcPr>
            <w:tcW w:w="1207" w:type="dxa"/>
            <w:vAlign w:val="center"/>
          </w:tcPr>
          <w:p w14:paraId="55F13315">
            <w:pPr>
              <w:spacing w:line="276" w:lineRule="auto"/>
              <w:rPr>
                <w:rFonts w:ascii="宋体" w:hAnsi="宋体"/>
                <w:color w:val="auto"/>
                <w:sz w:val="24"/>
                <w:highlight w:val="none"/>
              </w:rPr>
            </w:pPr>
          </w:p>
        </w:tc>
        <w:tc>
          <w:tcPr>
            <w:tcW w:w="1660" w:type="dxa"/>
          </w:tcPr>
          <w:p w14:paraId="31A67E9E">
            <w:pPr>
              <w:spacing w:line="276" w:lineRule="auto"/>
              <w:rPr>
                <w:rFonts w:ascii="宋体" w:hAnsi="宋体"/>
                <w:color w:val="auto"/>
                <w:sz w:val="24"/>
                <w:highlight w:val="none"/>
              </w:rPr>
            </w:pPr>
          </w:p>
        </w:tc>
        <w:tc>
          <w:tcPr>
            <w:tcW w:w="2208" w:type="dxa"/>
          </w:tcPr>
          <w:p w14:paraId="186C6471">
            <w:pPr>
              <w:spacing w:line="276" w:lineRule="auto"/>
              <w:rPr>
                <w:rFonts w:ascii="宋体" w:hAnsi="宋体"/>
                <w:color w:val="auto"/>
                <w:sz w:val="24"/>
                <w:highlight w:val="none"/>
              </w:rPr>
            </w:pPr>
          </w:p>
        </w:tc>
        <w:tc>
          <w:tcPr>
            <w:tcW w:w="1452" w:type="dxa"/>
            <w:vAlign w:val="center"/>
          </w:tcPr>
          <w:p w14:paraId="3B111052">
            <w:pPr>
              <w:spacing w:line="276" w:lineRule="auto"/>
              <w:rPr>
                <w:rFonts w:ascii="宋体" w:hAnsi="宋体"/>
                <w:color w:val="auto"/>
                <w:sz w:val="24"/>
                <w:highlight w:val="none"/>
              </w:rPr>
            </w:pPr>
          </w:p>
        </w:tc>
      </w:tr>
      <w:tr w14:paraId="1251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84F0F3A">
            <w:pPr>
              <w:spacing w:line="276" w:lineRule="auto"/>
              <w:rPr>
                <w:rFonts w:ascii="宋体" w:hAnsi="宋体"/>
                <w:color w:val="auto"/>
                <w:sz w:val="24"/>
                <w:highlight w:val="none"/>
              </w:rPr>
            </w:pPr>
          </w:p>
        </w:tc>
        <w:tc>
          <w:tcPr>
            <w:tcW w:w="1453" w:type="dxa"/>
            <w:vAlign w:val="center"/>
          </w:tcPr>
          <w:p w14:paraId="119C6050">
            <w:pPr>
              <w:spacing w:line="276" w:lineRule="auto"/>
              <w:rPr>
                <w:rFonts w:ascii="宋体" w:hAnsi="宋体"/>
                <w:color w:val="auto"/>
                <w:sz w:val="24"/>
                <w:highlight w:val="none"/>
              </w:rPr>
            </w:pPr>
          </w:p>
        </w:tc>
        <w:tc>
          <w:tcPr>
            <w:tcW w:w="1207" w:type="dxa"/>
            <w:vAlign w:val="center"/>
          </w:tcPr>
          <w:p w14:paraId="3C56A4DA">
            <w:pPr>
              <w:spacing w:line="276" w:lineRule="auto"/>
              <w:rPr>
                <w:rFonts w:ascii="宋体" w:hAnsi="宋体"/>
                <w:color w:val="auto"/>
                <w:sz w:val="24"/>
                <w:highlight w:val="none"/>
              </w:rPr>
            </w:pPr>
          </w:p>
        </w:tc>
        <w:tc>
          <w:tcPr>
            <w:tcW w:w="1660" w:type="dxa"/>
          </w:tcPr>
          <w:p w14:paraId="738D674F">
            <w:pPr>
              <w:spacing w:line="276" w:lineRule="auto"/>
              <w:rPr>
                <w:rFonts w:ascii="宋体" w:hAnsi="宋体"/>
                <w:color w:val="auto"/>
                <w:sz w:val="24"/>
                <w:highlight w:val="none"/>
              </w:rPr>
            </w:pPr>
          </w:p>
        </w:tc>
        <w:tc>
          <w:tcPr>
            <w:tcW w:w="2208" w:type="dxa"/>
          </w:tcPr>
          <w:p w14:paraId="3FE81865">
            <w:pPr>
              <w:spacing w:line="276" w:lineRule="auto"/>
              <w:rPr>
                <w:rFonts w:ascii="宋体" w:hAnsi="宋体"/>
                <w:color w:val="auto"/>
                <w:sz w:val="24"/>
                <w:highlight w:val="none"/>
              </w:rPr>
            </w:pPr>
          </w:p>
        </w:tc>
        <w:tc>
          <w:tcPr>
            <w:tcW w:w="1452" w:type="dxa"/>
            <w:vAlign w:val="center"/>
          </w:tcPr>
          <w:p w14:paraId="6A796D59">
            <w:pPr>
              <w:spacing w:line="276" w:lineRule="auto"/>
              <w:rPr>
                <w:rFonts w:ascii="宋体" w:hAnsi="宋体"/>
                <w:color w:val="auto"/>
                <w:sz w:val="24"/>
                <w:highlight w:val="none"/>
              </w:rPr>
            </w:pPr>
          </w:p>
        </w:tc>
      </w:tr>
      <w:tr w14:paraId="1D0B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7521418">
            <w:pPr>
              <w:spacing w:line="276" w:lineRule="auto"/>
              <w:rPr>
                <w:rFonts w:ascii="宋体" w:hAnsi="宋体"/>
                <w:color w:val="auto"/>
                <w:sz w:val="24"/>
                <w:highlight w:val="none"/>
              </w:rPr>
            </w:pPr>
          </w:p>
        </w:tc>
        <w:tc>
          <w:tcPr>
            <w:tcW w:w="1453" w:type="dxa"/>
            <w:vAlign w:val="center"/>
          </w:tcPr>
          <w:p w14:paraId="335DB646">
            <w:pPr>
              <w:spacing w:line="276" w:lineRule="auto"/>
              <w:rPr>
                <w:rFonts w:ascii="宋体" w:hAnsi="宋体"/>
                <w:color w:val="auto"/>
                <w:sz w:val="24"/>
                <w:highlight w:val="none"/>
              </w:rPr>
            </w:pPr>
          </w:p>
        </w:tc>
        <w:tc>
          <w:tcPr>
            <w:tcW w:w="1207" w:type="dxa"/>
            <w:vAlign w:val="center"/>
          </w:tcPr>
          <w:p w14:paraId="4ECDB06F">
            <w:pPr>
              <w:spacing w:line="276" w:lineRule="auto"/>
              <w:rPr>
                <w:rFonts w:ascii="宋体" w:hAnsi="宋体"/>
                <w:color w:val="auto"/>
                <w:sz w:val="24"/>
                <w:highlight w:val="none"/>
              </w:rPr>
            </w:pPr>
          </w:p>
        </w:tc>
        <w:tc>
          <w:tcPr>
            <w:tcW w:w="1660" w:type="dxa"/>
          </w:tcPr>
          <w:p w14:paraId="5B554DD4">
            <w:pPr>
              <w:spacing w:line="276" w:lineRule="auto"/>
              <w:rPr>
                <w:rFonts w:ascii="宋体" w:hAnsi="宋体"/>
                <w:color w:val="auto"/>
                <w:sz w:val="24"/>
                <w:highlight w:val="none"/>
              </w:rPr>
            </w:pPr>
          </w:p>
        </w:tc>
        <w:tc>
          <w:tcPr>
            <w:tcW w:w="2208" w:type="dxa"/>
          </w:tcPr>
          <w:p w14:paraId="0751C924">
            <w:pPr>
              <w:spacing w:line="276" w:lineRule="auto"/>
              <w:rPr>
                <w:rFonts w:ascii="宋体" w:hAnsi="宋体"/>
                <w:color w:val="auto"/>
                <w:sz w:val="24"/>
                <w:highlight w:val="none"/>
              </w:rPr>
            </w:pPr>
          </w:p>
        </w:tc>
        <w:tc>
          <w:tcPr>
            <w:tcW w:w="1452" w:type="dxa"/>
            <w:vAlign w:val="center"/>
          </w:tcPr>
          <w:p w14:paraId="3AEA52E8">
            <w:pPr>
              <w:spacing w:line="276" w:lineRule="auto"/>
              <w:rPr>
                <w:rFonts w:ascii="宋体" w:hAnsi="宋体"/>
                <w:color w:val="auto"/>
                <w:sz w:val="24"/>
                <w:highlight w:val="none"/>
              </w:rPr>
            </w:pPr>
          </w:p>
        </w:tc>
      </w:tr>
    </w:tbl>
    <w:p w14:paraId="7122FD45">
      <w:pPr>
        <w:pStyle w:val="323"/>
        <w:spacing w:before="120" w:after="120" w:line="276" w:lineRule="auto"/>
        <w:rPr>
          <w:rFonts w:ascii="仿宋_GB2312" w:hAnsi="宋体"/>
          <w:color w:val="auto"/>
          <w:highlight w:val="none"/>
        </w:rPr>
      </w:pPr>
    </w:p>
    <w:p w14:paraId="1EA8114A">
      <w:pPr>
        <w:pStyle w:val="323"/>
        <w:spacing w:before="120" w:after="120" w:line="276" w:lineRule="auto"/>
        <w:ind w:left="430" w:leftChars="205" w:firstLine="4320" w:firstLineChars="1800"/>
        <w:rPr>
          <w:rFonts w:hint="eastAsia" w:ascii="仿宋_GB2312" w:hAnsi="宋体"/>
          <w:color w:val="auto"/>
          <w:highlight w:val="none"/>
        </w:rPr>
      </w:pPr>
      <w:r>
        <w:rPr>
          <w:rFonts w:hint="eastAsia" w:ascii="仿宋_GB2312" w:hAnsi="宋体"/>
          <w:color w:val="auto"/>
          <w:highlight w:val="none"/>
        </w:rPr>
        <w:t xml:space="preserve">  </w:t>
      </w:r>
    </w:p>
    <w:p w14:paraId="389BC775">
      <w:pPr>
        <w:pStyle w:val="323"/>
        <w:spacing w:before="120" w:after="120" w:line="276" w:lineRule="auto"/>
        <w:rPr>
          <w:rFonts w:ascii="仿宋_GB2312" w:hAnsi="宋体"/>
          <w:color w:val="auto"/>
          <w:highlight w:val="none"/>
        </w:rPr>
      </w:pPr>
      <w:r>
        <w:rPr>
          <w:rFonts w:hint="eastAsia" w:ascii="仿宋_GB2312" w:hAnsi="宋体"/>
          <w:color w:val="auto"/>
          <w:highlight w:val="none"/>
        </w:rPr>
        <w:t>注：</w:t>
      </w:r>
      <w:r>
        <w:rPr>
          <w:rFonts w:hint="eastAsia" w:ascii="宋体" w:hAnsi="宋体" w:cs="宋体"/>
          <w:color w:val="auto"/>
          <w:highlight w:val="none"/>
        </w:rPr>
        <w:t>提供合同扫描件、网上中标公示页截图及网址连接并加盖公章。</w:t>
      </w:r>
    </w:p>
    <w:p w14:paraId="116E8AAA">
      <w:pPr>
        <w:pStyle w:val="323"/>
        <w:spacing w:before="120" w:after="120" w:line="276" w:lineRule="auto"/>
        <w:ind w:left="430" w:leftChars="205" w:firstLine="4320" w:firstLineChars="1800"/>
        <w:rPr>
          <w:rFonts w:hint="eastAsia" w:ascii="仿宋_GB2312" w:hAnsi="宋体"/>
          <w:color w:val="auto"/>
          <w:highlight w:val="none"/>
        </w:rPr>
      </w:pPr>
    </w:p>
    <w:p w14:paraId="052CC358">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15B852FC">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E1C4419">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04101458">
      <w:pPr>
        <w:rPr>
          <w:rFonts w:hint="eastAsia" w:ascii="宋体" w:hAnsi="宋体" w:cs="宋体"/>
          <w:color w:val="auto"/>
          <w:sz w:val="24"/>
          <w:highlight w:val="none"/>
        </w:rPr>
      </w:pPr>
    </w:p>
    <w:p w14:paraId="622D9818">
      <w:pPr>
        <w:rPr>
          <w:rFonts w:hint="eastAsia" w:ascii="宋体" w:hAnsi="宋体" w:cs="宋体"/>
          <w:color w:val="auto"/>
          <w:sz w:val="24"/>
          <w:highlight w:val="none"/>
        </w:rPr>
      </w:pPr>
    </w:p>
    <w:p w14:paraId="410998A9">
      <w:pPr>
        <w:rPr>
          <w:rFonts w:hint="eastAsia" w:ascii="宋体" w:hAnsi="宋体" w:cs="宋体"/>
          <w:color w:val="auto"/>
          <w:sz w:val="24"/>
          <w:highlight w:val="none"/>
        </w:rPr>
      </w:pPr>
    </w:p>
    <w:p w14:paraId="491A84FB">
      <w:pPr>
        <w:rPr>
          <w:rFonts w:hint="eastAsia" w:ascii="宋体" w:hAnsi="宋体" w:cs="宋体"/>
          <w:color w:val="auto"/>
          <w:sz w:val="24"/>
          <w:highlight w:val="none"/>
        </w:rPr>
      </w:pPr>
    </w:p>
    <w:p w14:paraId="4FDD786C">
      <w:pPr>
        <w:rPr>
          <w:rFonts w:hint="eastAsia" w:ascii="宋体" w:hAnsi="宋体" w:cs="宋体"/>
          <w:color w:val="auto"/>
          <w:sz w:val="24"/>
          <w:highlight w:val="none"/>
        </w:rPr>
      </w:pPr>
    </w:p>
    <w:p w14:paraId="6C074E22">
      <w:pPr>
        <w:rPr>
          <w:rFonts w:ascii="宋体" w:hAnsi="宋体" w:cs="宋体"/>
          <w:color w:val="auto"/>
          <w:sz w:val="28"/>
          <w:szCs w:val="28"/>
          <w:highlight w:val="none"/>
        </w:rPr>
      </w:pPr>
      <w:r>
        <w:rPr>
          <w:rFonts w:hint="eastAsia" w:ascii="宋体" w:hAnsi="宋体" w:cs="宋体"/>
          <w:color w:val="auto"/>
          <w:sz w:val="28"/>
          <w:szCs w:val="28"/>
          <w:highlight w:val="none"/>
        </w:rPr>
        <w:t>附件18</w:t>
      </w:r>
    </w:p>
    <w:p w14:paraId="1E57B6D2">
      <w:pPr>
        <w:tabs>
          <w:tab w:val="left" w:pos="780"/>
        </w:tabs>
        <w:spacing w:line="400" w:lineRule="exact"/>
        <w:ind w:left="180"/>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项目经理情况表</w:t>
      </w:r>
    </w:p>
    <w:tbl>
      <w:tblPr>
        <w:tblStyle w:val="53"/>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4D48028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588A044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1、一般情况</w:t>
            </w:r>
          </w:p>
        </w:tc>
      </w:tr>
      <w:tr w14:paraId="0B20F86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75B71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   名</w:t>
            </w:r>
          </w:p>
        </w:tc>
        <w:tc>
          <w:tcPr>
            <w:tcW w:w="1799" w:type="dxa"/>
            <w:tcBorders>
              <w:top w:val="single" w:color="auto" w:sz="4" w:space="0"/>
              <w:bottom w:val="single" w:color="auto" w:sz="4" w:space="0"/>
            </w:tcBorders>
            <w:vAlign w:val="center"/>
          </w:tcPr>
          <w:p w14:paraId="6D3F9B3E">
            <w:pPr>
              <w:spacing w:line="360" w:lineRule="exact"/>
              <w:jc w:val="center"/>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2E95EE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  龄</w:t>
            </w:r>
          </w:p>
        </w:tc>
        <w:tc>
          <w:tcPr>
            <w:tcW w:w="1062" w:type="dxa"/>
            <w:tcBorders>
              <w:top w:val="single" w:color="auto" w:sz="4" w:space="0"/>
              <w:bottom w:val="single" w:color="auto" w:sz="4" w:space="0"/>
            </w:tcBorders>
            <w:vAlign w:val="center"/>
          </w:tcPr>
          <w:p w14:paraId="1E1701EC">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23308C6">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学  历</w:t>
            </w:r>
          </w:p>
        </w:tc>
        <w:tc>
          <w:tcPr>
            <w:tcW w:w="1568" w:type="dxa"/>
            <w:tcBorders>
              <w:top w:val="single" w:color="auto" w:sz="4" w:space="0"/>
              <w:bottom w:val="single" w:color="auto" w:sz="4" w:space="0"/>
            </w:tcBorders>
            <w:vAlign w:val="center"/>
          </w:tcPr>
          <w:p w14:paraId="2AE0ECE5">
            <w:pPr>
              <w:spacing w:line="360" w:lineRule="exact"/>
              <w:jc w:val="center"/>
              <w:rPr>
                <w:rFonts w:hint="eastAsia" w:ascii="新宋体" w:hAnsi="新宋体" w:eastAsia="新宋体" w:cs="新宋体"/>
                <w:color w:val="auto"/>
                <w:sz w:val="22"/>
                <w:szCs w:val="22"/>
                <w:highlight w:val="none"/>
              </w:rPr>
            </w:pPr>
          </w:p>
        </w:tc>
      </w:tr>
      <w:tr w14:paraId="1341C7B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3C757E7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毕业学校</w:t>
            </w:r>
          </w:p>
        </w:tc>
        <w:tc>
          <w:tcPr>
            <w:tcW w:w="1799" w:type="dxa"/>
            <w:tcBorders>
              <w:top w:val="single" w:color="auto" w:sz="4" w:space="0"/>
              <w:bottom w:val="single" w:color="auto" w:sz="4" w:space="0"/>
            </w:tcBorders>
            <w:vAlign w:val="center"/>
          </w:tcPr>
          <w:p w14:paraId="4B8B4414">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6AC0F6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  业</w:t>
            </w:r>
          </w:p>
        </w:tc>
        <w:tc>
          <w:tcPr>
            <w:tcW w:w="1062" w:type="dxa"/>
            <w:tcBorders>
              <w:top w:val="single" w:color="auto" w:sz="4" w:space="0"/>
              <w:bottom w:val="single" w:color="auto" w:sz="4" w:space="0"/>
            </w:tcBorders>
            <w:vAlign w:val="center"/>
          </w:tcPr>
          <w:p w14:paraId="2D9FBA98">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3B8B41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务</w:t>
            </w:r>
          </w:p>
        </w:tc>
        <w:tc>
          <w:tcPr>
            <w:tcW w:w="1568" w:type="dxa"/>
            <w:tcBorders>
              <w:top w:val="single" w:color="auto" w:sz="4" w:space="0"/>
              <w:bottom w:val="single" w:color="auto" w:sz="4" w:space="0"/>
            </w:tcBorders>
            <w:vAlign w:val="center"/>
          </w:tcPr>
          <w:p w14:paraId="0D1DEC7D">
            <w:pPr>
              <w:spacing w:line="360" w:lineRule="exact"/>
              <w:jc w:val="center"/>
              <w:rPr>
                <w:rFonts w:hint="eastAsia" w:ascii="新宋体" w:hAnsi="新宋体" w:eastAsia="新宋体" w:cs="新宋体"/>
                <w:color w:val="auto"/>
                <w:sz w:val="22"/>
                <w:szCs w:val="22"/>
                <w:highlight w:val="none"/>
              </w:rPr>
            </w:pPr>
          </w:p>
        </w:tc>
      </w:tr>
      <w:tr w14:paraId="0BB23C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46B95CE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称</w:t>
            </w:r>
          </w:p>
        </w:tc>
        <w:tc>
          <w:tcPr>
            <w:tcW w:w="1799" w:type="dxa"/>
            <w:tcBorders>
              <w:top w:val="single" w:color="auto" w:sz="4" w:space="0"/>
              <w:bottom w:val="single" w:color="auto" w:sz="4" w:space="0"/>
            </w:tcBorders>
            <w:vAlign w:val="center"/>
          </w:tcPr>
          <w:p w14:paraId="0349EDC6">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31E77CA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拟任何职</w:t>
            </w:r>
          </w:p>
        </w:tc>
        <w:tc>
          <w:tcPr>
            <w:tcW w:w="1062" w:type="dxa"/>
            <w:tcBorders>
              <w:top w:val="single" w:color="auto" w:sz="4" w:space="0"/>
              <w:bottom w:val="single" w:color="auto" w:sz="4" w:space="0"/>
            </w:tcBorders>
            <w:vAlign w:val="center"/>
          </w:tcPr>
          <w:p w14:paraId="304064A9">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8D66C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参加工作</w:t>
            </w:r>
          </w:p>
          <w:p w14:paraId="1FC5E762">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p>
        </w:tc>
        <w:tc>
          <w:tcPr>
            <w:tcW w:w="1568" w:type="dxa"/>
            <w:tcBorders>
              <w:top w:val="single" w:color="auto" w:sz="4" w:space="0"/>
              <w:bottom w:val="single" w:color="auto" w:sz="4" w:space="0"/>
            </w:tcBorders>
            <w:vAlign w:val="center"/>
          </w:tcPr>
          <w:p w14:paraId="7EAB7BE0">
            <w:pPr>
              <w:spacing w:line="360" w:lineRule="exact"/>
              <w:jc w:val="center"/>
              <w:rPr>
                <w:rFonts w:hint="eastAsia" w:ascii="新宋体" w:hAnsi="新宋体" w:eastAsia="新宋体" w:cs="新宋体"/>
                <w:color w:val="auto"/>
                <w:sz w:val="22"/>
                <w:szCs w:val="22"/>
                <w:highlight w:val="none"/>
              </w:rPr>
            </w:pPr>
          </w:p>
        </w:tc>
      </w:tr>
      <w:tr w14:paraId="1734F67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BF3AB5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2、个人简历</w:t>
            </w:r>
          </w:p>
        </w:tc>
      </w:tr>
      <w:tr w14:paraId="3E3D9C0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BC1A28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2395940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专业工作经历</w:t>
            </w:r>
          </w:p>
        </w:tc>
      </w:tr>
      <w:tr w14:paraId="43ECAEA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F5EE32F">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704B6319">
            <w:pPr>
              <w:spacing w:line="360" w:lineRule="exact"/>
              <w:rPr>
                <w:rFonts w:hint="eastAsia" w:ascii="新宋体" w:hAnsi="新宋体" w:eastAsia="新宋体" w:cs="新宋体"/>
                <w:color w:val="auto"/>
                <w:sz w:val="22"/>
                <w:szCs w:val="22"/>
                <w:highlight w:val="none"/>
              </w:rPr>
            </w:pPr>
          </w:p>
        </w:tc>
      </w:tr>
      <w:tr w14:paraId="35982C4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3C5E29C">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2BA8A6F0">
            <w:pPr>
              <w:spacing w:line="360" w:lineRule="exact"/>
              <w:rPr>
                <w:rFonts w:hint="eastAsia" w:ascii="新宋体" w:hAnsi="新宋体" w:eastAsia="新宋体" w:cs="新宋体"/>
                <w:color w:val="auto"/>
                <w:sz w:val="22"/>
                <w:szCs w:val="22"/>
                <w:highlight w:val="none"/>
              </w:rPr>
            </w:pPr>
          </w:p>
        </w:tc>
      </w:tr>
      <w:tr w14:paraId="246EBC4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2DC067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3、项目经理业绩</w:t>
            </w:r>
          </w:p>
        </w:tc>
      </w:tr>
      <w:tr w14:paraId="28B5FD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2686B7D1">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1E404974">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637493D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0F6D331F">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获奖情况</w:t>
            </w:r>
          </w:p>
        </w:tc>
      </w:tr>
      <w:tr w14:paraId="2A0F1D9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D8221D6">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256CA4D1">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1907F56">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36A7054F">
            <w:pPr>
              <w:spacing w:line="360" w:lineRule="exact"/>
              <w:rPr>
                <w:rFonts w:hint="eastAsia" w:ascii="新宋体" w:hAnsi="新宋体" w:eastAsia="新宋体" w:cs="新宋体"/>
                <w:color w:val="auto"/>
                <w:sz w:val="22"/>
                <w:szCs w:val="22"/>
                <w:highlight w:val="none"/>
              </w:rPr>
            </w:pPr>
          </w:p>
        </w:tc>
      </w:tr>
      <w:tr w14:paraId="59AC04E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51BD5A2A">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42D7B110">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6FB646D">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EA2F4B6">
            <w:pPr>
              <w:spacing w:line="360" w:lineRule="exact"/>
              <w:rPr>
                <w:rFonts w:hint="eastAsia" w:ascii="新宋体" w:hAnsi="新宋体" w:eastAsia="新宋体" w:cs="新宋体"/>
                <w:color w:val="auto"/>
                <w:sz w:val="22"/>
                <w:szCs w:val="22"/>
                <w:highlight w:val="none"/>
              </w:rPr>
            </w:pPr>
          </w:p>
        </w:tc>
      </w:tr>
      <w:tr w14:paraId="0E74B1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C468BBD">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515C3E89">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4CE072EA">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2DB4D6E">
            <w:pPr>
              <w:spacing w:line="360" w:lineRule="exact"/>
              <w:rPr>
                <w:rFonts w:hint="eastAsia" w:ascii="新宋体" w:hAnsi="新宋体" w:eastAsia="新宋体" w:cs="新宋体"/>
                <w:color w:val="auto"/>
                <w:sz w:val="22"/>
                <w:szCs w:val="22"/>
                <w:highlight w:val="none"/>
              </w:rPr>
            </w:pPr>
          </w:p>
        </w:tc>
      </w:tr>
      <w:tr w14:paraId="52212DF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66A73784">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12" w:space="0"/>
            </w:tcBorders>
            <w:vAlign w:val="center"/>
          </w:tcPr>
          <w:p w14:paraId="0E605F65">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12" w:space="0"/>
            </w:tcBorders>
            <w:vAlign w:val="center"/>
          </w:tcPr>
          <w:p w14:paraId="14F68C3F">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12" w:space="0"/>
            </w:tcBorders>
            <w:vAlign w:val="center"/>
          </w:tcPr>
          <w:p w14:paraId="1C61571D">
            <w:pPr>
              <w:spacing w:line="360" w:lineRule="exact"/>
              <w:rPr>
                <w:rFonts w:hint="eastAsia" w:ascii="新宋体" w:hAnsi="新宋体" w:eastAsia="新宋体" w:cs="新宋体"/>
                <w:color w:val="auto"/>
                <w:sz w:val="22"/>
                <w:szCs w:val="22"/>
                <w:highlight w:val="none"/>
              </w:rPr>
            </w:pPr>
          </w:p>
        </w:tc>
      </w:tr>
    </w:tbl>
    <w:p w14:paraId="0C34966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注：1.此表所列人员如需更换，须经采购人同意。</w:t>
      </w:r>
    </w:p>
    <w:p w14:paraId="7EBFBE9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2794A3E1">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BC817AA">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DCE5CE1">
      <w:pPr>
        <w:snapToGrid w:val="0"/>
        <w:spacing w:before="120" w:line="360" w:lineRule="auto"/>
        <w:rPr>
          <w:rFonts w:hAnsi="宋体"/>
          <w:b/>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r>
        <w:rPr>
          <w:rFonts w:hAnsi="宋体"/>
          <w:color w:val="auto"/>
          <w:highlight w:val="none"/>
        </w:rPr>
        <w:br w:type="page"/>
      </w:r>
      <w:r>
        <w:rPr>
          <w:rFonts w:hint="eastAsia" w:ascii="宋体" w:hAnsi="宋体" w:cs="宋体"/>
          <w:color w:val="auto"/>
          <w:sz w:val="28"/>
          <w:szCs w:val="28"/>
          <w:highlight w:val="none"/>
        </w:rPr>
        <w:t xml:space="preserve">附件19:项目组成员   </w:t>
      </w:r>
      <w:r>
        <w:rPr>
          <w:rFonts w:hint="eastAsia" w:hAnsi="宋体"/>
          <w:b/>
          <w:color w:val="auto"/>
          <w:highlight w:val="none"/>
        </w:rPr>
        <w:t xml:space="preserve">                </w:t>
      </w:r>
    </w:p>
    <w:p w14:paraId="4C07A84A">
      <w:pPr>
        <w:pStyle w:val="29"/>
        <w:spacing w:before="120" w:after="120" w:line="360" w:lineRule="auto"/>
        <w:ind w:right="-48" w:rightChars="-23"/>
        <w:jc w:val="center"/>
        <w:rPr>
          <w:rFonts w:hAnsi="宋体"/>
          <w:b/>
          <w:color w:val="auto"/>
          <w:highlight w:val="none"/>
        </w:rPr>
      </w:pPr>
      <w:r>
        <w:rPr>
          <w:rFonts w:hint="eastAsia" w:hAnsi="宋体"/>
          <w:b/>
          <w:color w:val="auto"/>
          <w:highlight w:val="none"/>
        </w:rPr>
        <w:t>项目组成员情况表</w:t>
      </w:r>
    </w:p>
    <w:p w14:paraId="73DA0AE3">
      <w:pPr>
        <w:spacing w:line="0" w:lineRule="atLeast"/>
        <w:rPr>
          <w:rFonts w:ascii="宋体" w:hAnsi="宋体"/>
          <w:color w:val="auto"/>
          <w:sz w:val="24"/>
          <w:highlight w:val="none"/>
        </w:rPr>
      </w:pPr>
      <w:r>
        <w:rPr>
          <w:rFonts w:hint="eastAsia" w:ascii="宋体" w:hAnsi="宋体"/>
          <w:color w:val="auto"/>
          <w:sz w:val="24"/>
          <w:highlight w:val="none"/>
        </w:rPr>
        <w:t>项目名称：                                            招标编号：</w:t>
      </w:r>
    </w:p>
    <w:p w14:paraId="05182F70">
      <w:pPr>
        <w:spacing w:line="0" w:lineRule="atLeast"/>
        <w:rPr>
          <w:rFonts w:ascii="宋体" w:hAnsi="宋体"/>
          <w:color w:val="auto"/>
          <w:sz w:val="24"/>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14:paraId="20FE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060832D">
            <w:pPr>
              <w:spacing w:line="0" w:lineRule="atLeast"/>
              <w:jc w:val="center"/>
              <w:rPr>
                <w:rFonts w:ascii="宋体" w:hAnsi="宋体"/>
                <w:color w:val="auto"/>
                <w:sz w:val="24"/>
                <w:highlight w:val="none"/>
              </w:rPr>
            </w:pPr>
            <w:r>
              <w:rPr>
                <w:rFonts w:hint="eastAsia" w:ascii="宋体" w:hAnsi="宋体"/>
                <w:color w:val="auto"/>
                <w:sz w:val="24"/>
                <w:highlight w:val="none"/>
              </w:rPr>
              <w:t>序号</w:t>
            </w:r>
          </w:p>
        </w:tc>
        <w:tc>
          <w:tcPr>
            <w:tcW w:w="1126" w:type="dxa"/>
            <w:vAlign w:val="center"/>
          </w:tcPr>
          <w:p w14:paraId="311943F5">
            <w:pPr>
              <w:spacing w:line="0" w:lineRule="atLeast"/>
              <w:jc w:val="center"/>
              <w:rPr>
                <w:rFonts w:ascii="宋体" w:hAnsi="宋体"/>
                <w:color w:val="auto"/>
                <w:sz w:val="24"/>
                <w:highlight w:val="none"/>
              </w:rPr>
            </w:pPr>
            <w:r>
              <w:rPr>
                <w:rFonts w:hint="eastAsia" w:ascii="宋体" w:hAnsi="宋体"/>
                <w:color w:val="auto"/>
                <w:sz w:val="24"/>
                <w:highlight w:val="none"/>
              </w:rPr>
              <w:t>姓名</w:t>
            </w:r>
          </w:p>
        </w:tc>
        <w:tc>
          <w:tcPr>
            <w:tcW w:w="992" w:type="dxa"/>
            <w:vAlign w:val="center"/>
          </w:tcPr>
          <w:p w14:paraId="68ADFC7C">
            <w:pPr>
              <w:spacing w:line="0" w:lineRule="atLeast"/>
              <w:jc w:val="center"/>
              <w:rPr>
                <w:rFonts w:ascii="宋体" w:hAnsi="宋体"/>
                <w:color w:val="auto"/>
                <w:sz w:val="24"/>
                <w:highlight w:val="none"/>
              </w:rPr>
            </w:pPr>
            <w:r>
              <w:rPr>
                <w:rFonts w:hint="eastAsia" w:ascii="宋体" w:hAnsi="宋体"/>
                <w:color w:val="auto"/>
                <w:sz w:val="24"/>
                <w:highlight w:val="none"/>
              </w:rPr>
              <w:t>年龄</w:t>
            </w:r>
          </w:p>
        </w:tc>
        <w:tc>
          <w:tcPr>
            <w:tcW w:w="993" w:type="dxa"/>
            <w:vAlign w:val="center"/>
          </w:tcPr>
          <w:p w14:paraId="5D875D90">
            <w:pPr>
              <w:spacing w:line="0" w:lineRule="atLeast"/>
              <w:jc w:val="center"/>
              <w:rPr>
                <w:rFonts w:ascii="宋体" w:hAnsi="宋体"/>
                <w:color w:val="auto"/>
                <w:sz w:val="24"/>
                <w:highlight w:val="none"/>
              </w:rPr>
            </w:pPr>
            <w:r>
              <w:rPr>
                <w:rFonts w:hint="eastAsia" w:ascii="宋体" w:hAnsi="宋体"/>
                <w:color w:val="auto"/>
                <w:sz w:val="24"/>
                <w:highlight w:val="none"/>
              </w:rPr>
              <w:t>职务</w:t>
            </w:r>
          </w:p>
        </w:tc>
        <w:tc>
          <w:tcPr>
            <w:tcW w:w="1661" w:type="dxa"/>
            <w:vAlign w:val="center"/>
          </w:tcPr>
          <w:p w14:paraId="10DE1B6D">
            <w:pPr>
              <w:spacing w:line="0" w:lineRule="atLeast"/>
              <w:jc w:val="center"/>
              <w:rPr>
                <w:rFonts w:ascii="宋体" w:hAnsi="宋体"/>
                <w:color w:val="auto"/>
                <w:sz w:val="24"/>
                <w:highlight w:val="none"/>
              </w:rPr>
            </w:pPr>
            <w:r>
              <w:rPr>
                <w:rFonts w:hint="eastAsia" w:ascii="宋体" w:hAnsi="宋体"/>
                <w:color w:val="auto"/>
                <w:sz w:val="24"/>
                <w:highlight w:val="none"/>
              </w:rPr>
              <w:t>资格证书</w:t>
            </w:r>
          </w:p>
        </w:tc>
        <w:tc>
          <w:tcPr>
            <w:tcW w:w="1950" w:type="dxa"/>
            <w:vAlign w:val="center"/>
          </w:tcPr>
          <w:p w14:paraId="3B9ADDB0">
            <w:pPr>
              <w:spacing w:line="0" w:lineRule="atLeast"/>
              <w:jc w:val="center"/>
              <w:rPr>
                <w:rFonts w:ascii="宋体" w:hAnsi="宋体"/>
                <w:color w:val="auto"/>
                <w:sz w:val="24"/>
                <w:highlight w:val="none"/>
              </w:rPr>
            </w:pPr>
            <w:r>
              <w:rPr>
                <w:rFonts w:hint="eastAsia" w:ascii="宋体" w:hAnsi="宋体"/>
                <w:color w:val="auto"/>
                <w:sz w:val="24"/>
                <w:highlight w:val="none"/>
              </w:rPr>
              <w:t>经验及承担过的相关服务的项目</w:t>
            </w:r>
          </w:p>
        </w:tc>
        <w:tc>
          <w:tcPr>
            <w:tcW w:w="2055" w:type="dxa"/>
            <w:vAlign w:val="center"/>
          </w:tcPr>
          <w:p w14:paraId="53153A4B">
            <w:pPr>
              <w:spacing w:line="0" w:lineRule="atLeast"/>
              <w:jc w:val="center"/>
              <w:rPr>
                <w:rFonts w:ascii="宋体" w:hAnsi="宋体"/>
                <w:color w:val="auto"/>
                <w:sz w:val="24"/>
                <w:highlight w:val="none"/>
              </w:rPr>
            </w:pPr>
            <w:r>
              <w:rPr>
                <w:rFonts w:hint="eastAsia" w:ascii="宋体" w:hAnsi="宋体"/>
                <w:color w:val="auto"/>
                <w:sz w:val="24"/>
                <w:highlight w:val="none"/>
              </w:rPr>
              <w:t>拟担工作岗位</w:t>
            </w:r>
          </w:p>
        </w:tc>
      </w:tr>
      <w:tr w14:paraId="09D6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7F6563">
            <w:pPr>
              <w:rPr>
                <w:rFonts w:ascii="宋体" w:hAnsi="宋体"/>
                <w:color w:val="auto"/>
                <w:kern w:val="0"/>
                <w:sz w:val="24"/>
                <w:highlight w:val="none"/>
              </w:rPr>
            </w:pPr>
          </w:p>
          <w:p w14:paraId="4FF8F06C">
            <w:pPr>
              <w:rPr>
                <w:rFonts w:ascii="宋体" w:hAnsi="宋体"/>
                <w:color w:val="auto"/>
                <w:kern w:val="0"/>
                <w:sz w:val="24"/>
                <w:highlight w:val="none"/>
              </w:rPr>
            </w:pPr>
          </w:p>
        </w:tc>
        <w:tc>
          <w:tcPr>
            <w:tcW w:w="1126" w:type="dxa"/>
            <w:vAlign w:val="center"/>
          </w:tcPr>
          <w:p w14:paraId="7A6EE631">
            <w:pPr>
              <w:rPr>
                <w:rFonts w:ascii="宋体" w:hAnsi="宋体"/>
                <w:color w:val="auto"/>
                <w:kern w:val="0"/>
                <w:sz w:val="24"/>
                <w:highlight w:val="none"/>
              </w:rPr>
            </w:pPr>
          </w:p>
        </w:tc>
        <w:tc>
          <w:tcPr>
            <w:tcW w:w="992" w:type="dxa"/>
            <w:vAlign w:val="center"/>
          </w:tcPr>
          <w:p w14:paraId="05919FFE">
            <w:pPr>
              <w:rPr>
                <w:rFonts w:ascii="宋体" w:hAnsi="宋体"/>
                <w:color w:val="auto"/>
                <w:kern w:val="0"/>
                <w:sz w:val="24"/>
                <w:highlight w:val="none"/>
              </w:rPr>
            </w:pPr>
          </w:p>
        </w:tc>
        <w:tc>
          <w:tcPr>
            <w:tcW w:w="993" w:type="dxa"/>
            <w:vAlign w:val="center"/>
          </w:tcPr>
          <w:p w14:paraId="24C009C5">
            <w:pPr>
              <w:rPr>
                <w:rFonts w:ascii="宋体" w:hAnsi="宋体"/>
                <w:color w:val="auto"/>
                <w:kern w:val="0"/>
                <w:sz w:val="24"/>
                <w:highlight w:val="none"/>
              </w:rPr>
            </w:pPr>
          </w:p>
        </w:tc>
        <w:tc>
          <w:tcPr>
            <w:tcW w:w="1661" w:type="dxa"/>
            <w:vAlign w:val="center"/>
          </w:tcPr>
          <w:p w14:paraId="29E27EB1">
            <w:pPr>
              <w:rPr>
                <w:rFonts w:ascii="宋体" w:hAnsi="宋体"/>
                <w:color w:val="auto"/>
                <w:kern w:val="0"/>
                <w:sz w:val="24"/>
                <w:highlight w:val="none"/>
              </w:rPr>
            </w:pPr>
          </w:p>
        </w:tc>
        <w:tc>
          <w:tcPr>
            <w:tcW w:w="1950" w:type="dxa"/>
            <w:vAlign w:val="center"/>
          </w:tcPr>
          <w:p w14:paraId="2512835E">
            <w:pPr>
              <w:rPr>
                <w:rFonts w:ascii="宋体" w:hAnsi="宋体"/>
                <w:color w:val="auto"/>
                <w:kern w:val="0"/>
                <w:sz w:val="24"/>
                <w:highlight w:val="none"/>
              </w:rPr>
            </w:pPr>
          </w:p>
        </w:tc>
        <w:tc>
          <w:tcPr>
            <w:tcW w:w="2055" w:type="dxa"/>
            <w:vAlign w:val="center"/>
          </w:tcPr>
          <w:p w14:paraId="33513F43">
            <w:pPr>
              <w:rPr>
                <w:rFonts w:ascii="宋体" w:hAnsi="宋体"/>
                <w:color w:val="auto"/>
                <w:kern w:val="0"/>
                <w:sz w:val="24"/>
                <w:highlight w:val="none"/>
              </w:rPr>
            </w:pPr>
          </w:p>
        </w:tc>
      </w:tr>
      <w:tr w14:paraId="31AF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10C6D83">
            <w:pPr>
              <w:rPr>
                <w:rFonts w:ascii="宋体" w:hAnsi="宋体"/>
                <w:color w:val="auto"/>
                <w:kern w:val="0"/>
                <w:sz w:val="24"/>
                <w:highlight w:val="none"/>
              </w:rPr>
            </w:pPr>
          </w:p>
          <w:p w14:paraId="3210591F">
            <w:pPr>
              <w:rPr>
                <w:rFonts w:ascii="宋体" w:hAnsi="宋体"/>
                <w:color w:val="auto"/>
                <w:kern w:val="0"/>
                <w:sz w:val="24"/>
                <w:highlight w:val="none"/>
              </w:rPr>
            </w:pPr>
          </w:p>
        </w:tc>
        <w:tc>
          <w:tcPr>
            <w:tcW w:w="1126" w:type="dxa"/>
            <w:vAlign w:val="center"/>
          </w:tcPr>
          <w:p w14:paraId="670AD4D4">
            <w:pPr>
              <w:rPr>
                <w:rFonts w:ascii="宋体" w:hAnsi="宋体"/>
                <w:color w:val="auto"/>
                <w:kern w:val="0"/>
                <w:sz w:val="24"/>
                <w:highlight w:val="none"/>
              </w:rPr>
            </w:pPr>
          </w:p>
        </w:tc>
        <w:tc>
          <w:tcPr>
            <w:tcW w:w="992" w:type="dxa"/>
            <w:vAlign w:val="center"/>
          </w:tcPr>
          <w:p w14:paraId="03F73AC1">
            <w:pPr>
              <w:rPr>
                <w:rFonts w:ascii="宋体" w:hAnsi="宋体"/>
                <w:color w:val="auto"/>
                <w:kern w:val="0"/>
                <w:sz w:val="24"/>
                <w:highlight w:val="none"/>
              </w:rPr>
            </w:pPr>
          </w:p>
        </w:tc>
        <w:tc>
          <w:tcPr>
            <w:tcW w:w="993" w:type="dxa"/>
            <w:vAlign w:val="center"/>
          </w:tcPr>
          <w:p w14:paraId="0DC19200">
            <w:pPr>
              <w:rPr>
                <w:rFonts w:ascii="宋体" w:hAnsi="宋体"/>
                <w:color w:val="auto"/>
                <w:kern w:val="0"/>
                <w:sz w:val="24"/>
                <w:highlight w:val="none"/>
              </w:rPr>
            </w:pPr>
          </w:p>
        </w:tc>
        <w:tc>
          <w:tcPr>
            <w:tcW w:w="1661" w:type="dxa"/>
            <w:vAlign w:val="center"/>
          </w:tcPr>
          <w:p w14:paraId="05B36EF9">
            <w:pPr>
              <w:rPr>
                <w:rFonts w:ascii="宋体" w:hAnsi="宋体"/>
                <w:color w:val="auto"/>
                <w:kern w:val="0"/>
                <w:sz w:val="24"/>
                <w:highlight w:val="none"/>
              </w:rPr>
            </w:pPr>
          </w:p>
        </w:tc>
        <w:tc>
          <w:tcPr>
            <w:tcW w:w="1950" w:type="dxa"/>
            <w:vAlign w:val="center"/>
          </w:tcPr>
          <w:p w14:paraId="5605DF26">
            <w:pPr>
              <w:rPr>
                <w:rFonts w:ascii="宋体" w:hAnsi="宋体"/>
                <w:color w:val="auto"/>
                <w:kern w:val="0"/>
                <w:sz w:val="24"/>
                <w:highlight w:val="none"/>
              </w:rPr>
            </w:pPr>
          </w:p>
        </w:tc>
        <w:tc>
          <w:tcPr>
            <w:tcW w:w="2055" w:type="dxa"/>
            <w:vAlign w:val="center"/>
          </w:tcPr>
          <w:p w14:paraId="557ABC61">
            <w:pPr>
              <w:rPr>
                <w:rFonts w:ascii="宋体" w:hAnsi="宋体"/>
                <w:color w:val="auto"/>
                <w:kern w:val="0"/>
                <w:sz w:val="24"/>
                <w:highlight w:val="none"/>
              </w:rPr>
            </w:pPr>
          </w:p>
        </w:tc>
      </w:tr>
      <w:tr w14:paraId="131E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31A23EC">
            <w:pPr>
              <w:rPr>
                <w:rFonts w:ascii="宋体" w:hAnsi="宋体"/>
                <w:color w:val="auto"/>
                <w:kern w:val="0"/>
                <w:sz w:val="24"/>
                <w:highlight w:val="none"/>
              </w:rPr>
            </w:pPr>
          </w:p>
          <w:p w14:paraId="2CE84C36">
            <w:pPr>
              <w:rPr>
                <w:rFonts w:ascii="宋体" w:hAnsi="宋体"/>
                <w:color w:val="auto"/>
                <w:kern w:val="0"/>
                <w:sz w:val="24"/>
                <w:highlight w:val="none"/>
              </w:rPr>
            </w:pPr>
          </w:p>
        </w:tc>
        <w:tc>
          <w:tcPr>
            <w:tcW w:w="1126" w:type="dxa"/>
            <w:vAlign w:val="center"/>
          </w:tcPr>
          <w:p w14:paraId="3170EF82">
            <w:pPr>
              <w:rPr>
                <w:rFonts w:ascii="宋体" w:hAnsi="宋体"/>
                <w:color w:val="auto"/>
                <w:kern w:val="0"/>
                <w:sz w:val="24"/>
                <w:highlight w:val="none"/>
              </w:rPr>
            </w:pPr>
          </w:p>
        </w:tc>
        <w:tc>
          <w:tcPr>
            <w:tcW w:w="992" w:type="dxa"/>
            <w:vAlign w:val="center"/>
          </w:tcPr>
          <w:p w14:paraId="089FD1D4">
            <w:pPr>
              <w:rPr>
                <w:rFonts w:ascii="宋体" w:hAnsi="宋体"/>
                <w:color w:val="auto"/>
                <w:kern w:val="0"/>
                <w:sz w:val="24"/>
                <w:highlight w:val="none"/>
              </w:rPr>
            </w:pPr>
          </w:p>
        </w:tc>
        <w:tc>
          <w:tcPr>
            <w:tcW w:w="993" w:type="dxa"/>
            <w:vAlign w:val="center"/>
          </w:tcPr>
          <w:p w14:paraId="1474288C">
            <w:pPr>
              <w:rPr>
                <w:rFonts w:ascii="宋体" w:hAnsi="宋体"/>
                <w:color w:val="auto"/>
                <w:kern w:val="0"/>
                <w:sz w:val="24"/>
                <w:highlight w:val="none"/>
              </w:rPr>
            </w:pPr>
          </w:p>
        </w:tc>
        <w:tc>
          <w:tcPr>
            <w:tcW w:w="1661" w:type="dxa"/>
            <w:vAlign w:val="center"/>
          </w:tcPr>
          <w:p w14:paraId="44B70B04">
            <w:pPr>
              <w:rPr>
                <w:rFonts w:ascii="宋体" w:hAnsi="宋体"/>
                <w:color w:val="auto"/>
                <w:kern w:val="0"/>
                <w:sz w:val="24"/>
                <w:highlight w:val="none"/>
              </w:rPr>
            </w:pPr>
          </w:p>
        </w:tc>
        <w:tc>
          <w:tcPr>
            <w:tcW w:w="1950" w:type="dxa"/>
            <w:vAlign w:val="center"/>
          </w:tcPr>
          <w:p w14:paraId="523BA30D">
            <w:pPr>
              <w:rPr>
                <w:rFonts w:ascii="宋体" w:hAnsi="宋体"/>
                <w:color w:val="auto"/>
                <w:kern w:val="0"/>
                <w:sz w:val="24"/>
                <w:highlight w:val="none"/>
              </w:rPr>
            </w:pPr>
          </w:p>
        </w:tc>
        <w:tc>
          <w:tcPr>
            <w:tcW w:w="2055" w:type="dxa"/>
            <w:vAlign w:val="center"/>
          </w:tcPr>
          <w:p w14:paraId="00D6B7AC">
            <w:pPr>
              <w:rPr>
                <w:rFonts w:ascii="宋体" w:hAnsi="宋体"/>
                <w:color w:val="auto"/>
                <w:kern w:val="0"/>
                <w:sz w:val="24"/>
                <w:highlight w:val="none"/>
              </w:rPr>
            </w:pPr>
          </w:p>
        </w:tc>
      </w:tr>
      <w:tr w14:paraId="0A08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234AA7">
            <w:pPr>
              <w:rPr>
                <w:rFonts w:ascii="宋体" w:hAnsi="宋体"/>
                <w:color w:val="auto"/>
                <w:kern w:val="0"/>
                <w:sz w:val="24"/>
                <w:highlight w:val="none"/>
              </w:rPr>
            </w:pPr>
          </w:p>
          <w:p w14:paraId="2C9B08A5">
            <w:pPr>
              <w:rPr>
                <w:rFonts w:ascii="宋体" w:hAnsi="宋体"/>
                <w:color w:val="auto"/>
                <w:kern w:val="0"/>
                <w:sz w:val="24"/>
                <w:highlight w:val="none"/>
              </w:rPr>
            </w:pPr>
          </w:p>
        </w:tc>
        <w:tc>
          <w:tcPr>
            <w:tcW w:w="1126" w:type="dxa"/>
            <w:vAlign w:val="center"/>
          </w:tcPr>
          <w:p w14:paraId="5624A00C">
            <w:pPr>
              <w:rPr>
                <w:rFonts w:ascii="宋体" w:hAnsi="宋体"/>
                <w:color w:val="auto"/>
                <w:kern w:val="0"/>
                <w:sz w:val="24"/>
                <w:highlight w:val="none"/>
              </w:rPr>
            </w:pPr>
          </w:p>
        </w:tc>
        <w:tc>
          <w:tcPr>
            <w:tcW w:w="992" w:type="dxa"/>
            <w:vAlign w:val="center"/>
          </w:tcPr>
          <w:p w14:paraId="4CEB0F77">
            <w:pPr>
              <w:rPr>
                <w:rFonts w:ascii="宋体" w:hAnsi="宋体"/>
                <w:color w:val="auto"/>
                <w:kern w:val="0"/>
                <w:sz w:val="24"/>
                <w:highlight w:val="none"/>
              </w:rPr>
            </w:pPr>
          </w:p>
        </w:tc>
        <w:tc>
          <w:tcPr>
            <w:tcW w:w="993" w:type="dxa"/>
            <w:vAlign w:val="center"/>
          </w:tcPr>
          <w:p w14:paraId="7EA011F7">
            <w:pPr>
              <w:rPr>
                <w:rFonts w:ascii="宋体" w:hAnsi="宋体"/>
                <w:color w:val="auto"/>
                <w:kern w:val="0"/>
                <w:sz w:val="24"/>
                <w:highlight w:val="none"/>
              </w:rPr>
            </w:pPr>
          </w:p>
        </w:tc>
        <w:tc>
          <w:tcPr>
            <w:tcW w:w="1661" w:type="dxa"/>
            <w:vAlign w:val="center"/>
          </w:tcPr>
          <w:p w14:paraId="41A986F7">
            <w:pPr>
              <w:rPr>
                <w:rFonts w:ascii="宋体" w:hAnsi="宋体"/>
                <w:color w:val="auto"/>
                <w:kern w:val="0"/>
                <w:sz w:val="24"/>
                <w:highlight w:val="none"/>
              </w:rPr>
            </w:pPr>
          </w:p>
        </w:tc>
        <w:tc>
          <w:tcPr>
            <w:tcW w:w="1950" w:type="dxa"/>
            <w:vAlign w:val="center"/>
          </w:tcPr>
          <w:p w14:paraId="4AC5D9A7">
            <w:pPr>
              <w:rPr>
                <w:rFonts w:ascii="宋体" w:hAnsi="宋体"/>
                <w:color w:val="auto"/>
                <w:kern w:val="0"/>
                <w:sz w:val="24"/>
                <w:highlight w:val="none"/>
              </w:rPr>
            </w:pPr>
          </w:p>
        </w:tc>
        <w:tc>
          <w:tcPr>
            <w:tcW w:w="2055" w:type="dxa"/>
            <w:vAlign w:val="center"/>
          </w:tcPr>
          <w:p w14:paraId="6E13307F">
            <w:pPr>
              <w:rPr>
                <w:rFonts w:ascii="宋体" w:hAnsi="宋体"/>
                <w:color w:val="auto"/>
                <w:kern w:val="0"/>
                <w:sz w:val="24"/>
                <w:highlight w:val="none"/>
              </w:rPr>
            </w:pPr>
          </w:p>
        </w:tc>
      </w:tr>
      <w:tr w14:paraId="2FDF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35CBD128">
            <w:pPr>
              <w:rPr>
                <w:rFonts w:ascii="宋体" w:hAnsi="宋体"/>
                <w:color w:val="auto"/>
                <w:kern w:val="0"/>
                <w:sz w:val="24"/>
                <w:highlight w:val="none"/>
              </w:rPr>
            </w:pPr>
          </w:p>
          <w:p w14:paraId="14028360">
            <w:pPr>
              <w:rPr>
                <w:rFonts w:ascii="宋体" w:hAnsi="宋体"/>
                <w:color w:val="auto"/>
                <w:kern w:val="0"/>
                <w:sz w:val="24"/>
                <w:highlight w:val="none"/>
              </w:rPr>
            </w:pPr>
          </w:p>
        </w:tc>
        <w:tc>
          <w:tcPr>
            <w:tcW w:w="1126" w:type="dxa"/>
            <w:vAlign w:val="center"/>
          </w:tcPr>
          <w:p w14:paraId="526E89A6">
            <w:pPr>
              <w:rPr>
                <w:rFonts w:ascii="宋体" w:hAnsi="宋体"/>
                <w:color w:val="auto"/>
                <w:kern w:val="0"/>
                <w:sz w:val="24"/>
                <w:highlight w:val="none"/>
              </w:rPr>
            </w:pPr>
          </w:p>
        </w:tc>
        <w:tc>
          <w:tcPr>
            <w:tcW w:w="992" w:type="dxa"/>
            <w:vAlign w:val="center"/>
          </w:tcPr>
          <w:p w14:paraId="26361854">
            <w:pPr>
              <w:rPr>
                <w:rFonts w:ascii="宋体" w:hAnsi="宋体"/>
                <w:color w:val="auto"/>
                <w:kern w:val="0"/>
                <w:sz w:val="24"/>
                <w:highlight w:val="none"/>
              </w:rPr>
            </w:pPr>
          </w:p>
        </w:tc>
        <w:tc>
          <w:tcPr>
            <w:tcW w:w="993" w:type="dxa"/>
            <w:vAlign w:val="center"/>
          </w:tcPr>
          <w:p w14:paraId="284837B5">
            <w:pPr>
              <w:rPr>
                <w:rFonts w:ascii="宋体" w:hAnsi="宋体"/>
                <w:color w:val="auto"/>
                <w:kern w:val="0"/>
                <w:sz w:val="24"/>
                <w:highlight w:val="none"/>
              </w:rPr>
            </w:pPr>
          </w:p>
        </w:tc>
        <w:tc>
          <w:tcPr>
            <w:tcW w:w="1661" w:type="dxa"/>
            <w:vAlign w:val="center"/>
          </w:tcPr>
          <w:p w14:paraId="10C2674D">
            <w:pPr>
              <w:rPr>
                <w:rFonts w:ascii="宋体" w:hAnsi="宋体"/>
                <w:color w:val="auto"/>
                <w:kern w:val="0"/>
                <w:sz w:val="24"/>
                <w:highlight w:val="none"/>
              </w:rPr>
            </w:pPr>
          </w:p>
        </w:tc>
        <w:tc>
          <w:tcPr>
            <w:tcW w:w="1950" w:type="dxa"/>
            <w:vAlign w:val="center"/>
          </w:tcPr>
          <w:p w14:paraId="420CDB61">
            <w:pPr>
              <w:rPr>
                <w:rFonts w:ascii="宋体" w:hAnsi="宋体"/>
                <w:color w:val="auto"/>
                <w:kern w:val="0"/>
                <w:sz w:val="24"/>
                <w:highlight w:val="none"/>
              </w:rPr>
            </w:pPr>
          </w:p>
        </w:tc>
        <w:tc>
          <w:tcPr>
            <w:tcW w:w="2055" w:type="dxa"/>
            <w:vAlign w:val="center"/>
          </w:tcPr>
          <w:p w14:paraId="7D61881E">
            <w:pPr>
              <w:rPr>
                <w:rFonts w:ascii="宋体" w:hAnsi="宋体"/>
                <w:color w:val="auto"/>
                <w:kern w:val="0"/>
                <w:sz w:val="24"/>
                <w:highlight w:val="none"/>
              </w:rPr>
            </w:pPr>
          </w:p>
        </w:tc>
      </w:tr>
      <w:tr w14:paraId="7F69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C237190">
            <w:pPr>
              <w:rPr>
                <w:rFonts w:ascii="宋体" w:hAnsi="宋体"/>
                <w:color w:val="auto"/>
                <w:kern w:val="0"/>
                <w:sz w:val="24"/>
                <w:highlight w:val="none"/>
              </w:rPr>
            </w:pPr>
          </w:p>
          <w:p w14:paraId="5BDBC39A">
            <w:pPr>
              <w:rPr>
                <w:rFonts w:ascii="宋体" w:hAnsi="宋体"/>
                <w:color w:val="auto"/>
                <w:kern w:val="0"/>
                <w:sz w:val="24"/>
                <w:highlight w:val="none"/>
              </w:rPr>
            </w:pPr>
          </w:p>
        </w:tc>
        <w:tc>
          <w:tcPr>
            <w:tcW w:w="1126" w:type="dxa"/>
            <w:vAlign w:val="center"/>
          </w:tcPr>
          <w:p w14:paraId="725BB23F">
            <w:pPr>
              <w:rPr>
                <w:rFonts w:ascii="宋体" w:hAnsi="宋体"/>
                <w:color w:val="auto"/>
                <w:kern w:val="0"/>
                <w:sz w:val="24"/>
                <w:highlight w:val="none"/>
              </w:rPr>
            </w:pPr>
          </w:p>
        </w:tc>
        <w:tc>
          <w:tcPr>
            <w:tcW w:w="992" w:type="dxa"/>
            <w:vAlign w:val="center"/>
          </w:tcPr>
          <w:p w14:paraId="150A1562">
            <w:pPr>
              <w:rPr>
                <w:rFonts w:ascii="宋体" w:hAnsi="宋体"/>
                <w:color w:val="auto"/>
                <w:kern w:val="0"/>
                <w:sz w:val="24"/>
                <w:highlight w:val="none"/>
              </w:rPr>
            </w:pPr>
          </w:p>
        </w:tc>
        <w:tc>
          <w:tcPr>
            <w:tcW w:w="993" w:type="dxa"/>
            <w:vAlign w:val="center"/>
          </w:tcPr>
          <w:p w14:paraId="122F03EB">
            <w:pPr>
              <w:rPr>
                <w:rFonts w:ascii="宋体" w:hAnsi="宋体"/>
                <w:color w:val="auto"/>
                <w:kern w:val="0"/>
                <w:sz w:val="24"/>
                <w:highlight w:val="none"/>
              </w:rPr>
            </w:pPr>
          </w:p>
        </w:tc>
        <w:tc>
          <w:tcPr>
            <w:tcW w:w="1661" w:type="dxa"/>
            <w:vAlign w:val="center"/>
          </w:tcPr>
          <w:p w14:paraId="29F93888">
            <w:pPr>
              <w:rPr>
                <w:rFonts w:ascii="宋体" w:hAnsi="宋体"/>
                <w:color w:val="auto"/>
                <w:kern w:val="0"/>
                <w:sz w:val="24"/>
                <w:highlight w:val="none"/>
              </w:rPr>
            </w:pPr>
          </w:p>
        </w:tc>
        <w:tc>
          <w:tcPr>
            <w:tcW w:w="1950" w:type="dxa"/>
            <w:vAlign w:val="center"/>
          </w:tcPr>
          <w:p w14:paraId="520F8B5C">
            <w:pPr>
              <w:rPr>
                <w:rFonts w:ascii="宋体" w:hAnsi="宋体"/>
                <w:color w:val="auto"/>
                <w:kern w:val="0"/>
                <w:sz w:val="24"/>
                <w:highlight w:val="none"/>
              </w:rPr>
            </w:pPr>
          </w:p>
        </w:tc>
        <w:tc>
          <w:tcPr>
            <w:tcW w:w="2055" w:type="dxa"/>
            <w:vAlign w:val="center"/>
          </w:tcPr>
          <w:p w14:paraId="4AD9E89B">
            <w:pPr>
              <w:rPr>
                <w:rFonts w:ascii="宋体" w:hAnsi="宋体"/>
                <w:color w:val="auto"/>
                <w:kern w:val="0"/>
                <w:sz w:val="24"/>
                <w:highlight w:val="none"/>
              </w:rPr>
            </w:pPr>
          </w:p>
        </w:tc>
      </w:tr>
    </w:tbl>
    <w:p w14:paraId="374CC79C">
      <w:pPr>
        <w:rPr>
          <w:rFonts w:ascii="宋体" w:hAnsi="宋体"/>
          <w:color w:val="auto"/>
          <w:kern w:val="0"/>
          <w:sz w:val="24"/>
          <w:highlight w:val="none"/>
        </w:rPr>
      </w:pPr>
    </w:p>
    <w:p w14:paraId="6CB2299B">
      <w:pPr>
        <w:spacing w:line="360" w:lineRule="auto"/>
        <w:rPr>
          <w:rFonts w:ascii="宋体" w:hAnsi="宋体"/>
          <w:b/>
          <w:color w:val="auto"/>
          <w:sz w:val="24"/>
          <w:highlight w:val="none"/>
        </w:rPr>
      </w:pPr>
      <w:r>
        <w:rPr>
          <w:rFonts w:hint="eastAsia" w:ascii="宋体" w:hAnsi="宋体"/>
          <w:b/>
          <w:color w:val="auto"/>
          <w:sz w:val="24"/>
          <w:highlight w:val="none"/>
        </w:rPr>
        <w:t>注：1.此表可以根据人数进行增减调整。</w:t>
      </w:r>
    </w:p>
    <w:p w14:paraId="504C37EF">
      <w:pPr>
        <w:snapToGrid w:val="0"/>
        <w:spacing w:line="360" w:lineRule="auto"/>
        <w:ind w:firstLine="480" w:firstLineChars="200"/>
        <w:rPr>
          <w:rFonts w:ascii="宋体" w:hAnsi="宋体"/>
          <w:color w:val="auto"/>
          <w:sz w:val="24"/>
          <w:highlight w:val="none"/>
        </w:rPr>
      </w:pPr>
      <w:r>
        <w:rPr>
          <w:rFonts w:hint="eastAsia" w:ascii="新宋体" w:hAnsi="新宋体" w:eastAsia="新宋体" w:cs="新宋体"/>
          <w:color w:val="auto"/>
          <w:sz w:val="24"/>
          <w:highlight w:val="none"/>
        </w:rPr>
        <w:t>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4D51EDF3">
      <w:pPr>
        <w:snapToGrid w:val="0"/>
        <w:rPr>
          <w:rFonts w:ascii="宋体" w:hAnsi="宋体"/>
          <w:color w:val="auto"/>
          <w:sz w:val="24"/>
          <w:highlight w:val="none"/>
        </w:rPr>
      </w:pPr>
    </w:p>
    <w:p w14:paraId="75DE2592">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7F54A04E">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9579DFE">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30FF90E">
      <w:pPr>
        <w:snapToGrid w:val="0"/>
        <w:spacing w:before="50" w:after="120" w:afterLines="50"/>
        <w:jc w:val="left"/>
        <w:rPr>
          <w:rFonts w:ascii="宋体" w:hAnsi="宋体"/>
          <w:b/>
          <w:color w:val="auto"/>
          <w:sz w:val="24"/>
          <w:highlight w:val="none"/>
        </w:rPr>
      </w:pPr>
    </w:p>
    <w:p w14:paraId="60DD0AAD">
      <w:pPr>
        <w:snapToGrid w:val="0"/>
        <w:spacing w:before="50" w:after="120" w:afterLines="50"/>
        <w:jc w:val="left"/>
        <w:rPr>
          <w:rFonts w:ascii="宋体" w:hAnsi="宋体"/>
          <w:b/>
          <w:color w:val="auto"/>
          <w:sz w:val="24"/>
          <w:highlight w:val="none"/>
        </w:rPr>
      </w:pPr>
    </w:p>
    <w:p w14:paraId="4B66B6D9">
      <w:pPr>
        <w:snapToGrid w:val="0"/>
        <w:spacing w:before="50" w:after="120" w:afterLines="50"/>
        <w:jc w:val="left"/>
        <w:rPr>
          <w:rFonts w:ascii="宋体" w:hAnsi="宋体"/>
          <w:b/>
          <w:color w:val="auto"/>
          <w:sz w:val="24"/>
          <w:highlight w:val="none"/>
        </w:rPr>
      </w:pPr>
    </w:p>
    <w:p w14:paraId="1015A1F1">
      <w:pPr>
        <w:snapToGrid w:val="0"/>
        <w:spacing w:before="50" w:after="120" w:afterLines="50"/>
        <w:jc w:val="left"/>
        <w:rPr>
          <w:rFonts w:ascii="宋体" w:hAnsi="宋体"/>
          <w:b/>
          <w:color w:val="auto"/>
          <w:sz w:val="24"/>
          <w:highlight w:val="none"/>
        </w:rPr>
      </w:pPr>
    </w:p>
    <w:p w14:paraId="1E39A367">
      <w:pPr>
        <w:snapToGrid w:val="0"/>
        <w:spacing w:before="50" w:after="120" w:afterLines="50"/>
        <w:jc w:val="left"/>
        <w:rPr>
          <w:rFonts w:ascii="宋体" w:hAnsi="宋体"/>
          <w:b/>
          <w:color w:val="auto"/>
          <w:sz w:val="24"/>
          <w:highlight w:val="none"/>
        </w:rPr>
      </w:pPr>
    </w:p>
    <w:p w14:paraId="140D53F2">
      <w:pPr>
        <w:snapToGrid w:val="0"/>
        <w:spacing w:before="50" w:after="120" w:afterLines="50"/>
        <w:jc w:val="left"/>
        <w:rPr>
          <w:rFonts w:ascii="宋体" w:hAnsi="宋体"/>
          <w:b/>
          <w:color w:val="auto"/>
          <w:sz w:val="24"/>
          <w:highlight w:val="none"/>
        </w:rPr>
      </w:pPr>
    </w:p>
    <w:p w14:paraId="4EC22005">
      <w:pPr>
        <w:snapToGrid w:val="0"/>
        <w:spacing w:before="50" w:after="120" w:afterLines="50"/>
        <w:jc w:val="left"/>
        <w:rPr>
          <w:rFonts w:ascii="宋体" w:hAnsi="宋体"/>
          <w:b/>
          <w:color w:val="auto"/>
          <w:sz w:val="24"/>
          <w:highlight w:val="none"/>
        </w:rPr>
      </w:pPr>
    </w:p>
    <w:p w14:paraId="570236A8">
      <w:pPr>
        <w:snapToGrid w:val="0"/>
        <w:spacing w:before="50" w:after="120" w:afterLines="50"/>
        <w:jc w:val="left"/>
        <w:rPr>
          <w:rFonts w:ascii="宋体" w:hAnsi="宋体"/>
          <w:b/>
          <w:color w:val="auto"/>
          <w:sz w:val="24"/>
          <w:highlight w:val="none"/>
        </w:rPr>
      </w:pPr>
    </w:p>
    <w:p w14:paraId="3D77712A">
      <w:pPr>
        <w:snapToGrid w:val="0"/>
        <w:spacing w:before="50" w:after="120" w:afterLines="50"/>
        <w:jc w:val="left"/>
        <w:rPr>
          <w:rFonts w:ascii="宋体" w:hAnsi="宋体"/>
          <w:b/>
          <w:color w:val="auto"/>
          <w:sz w:val="24"/>
          <w:highlight w:val="none"/>
        </w:rPr>
      </w:pPr>
    </w:p>
    <w:p w14:paraId="79AC3BD2">
      <w:pPr>
        <w:snapToGrid w:val="0"/>
        <w:spacing w:before="120" w:beforeLines="50" w:after="50"/>
        <w:rPr>
          <w:rFonts w:ascii="宋体" w:hAnsi="宋体"/>
          <w:b/>
          <w:color w:val="auto"/>
          <w:sz w:val="24"/>
          <w:highlight w:val="none"/>
        </w:rPr>
      </w:pPr>
      <w:r>
        <w:rPr>
          <w:rFonts w:hint="eastAsia" w:ascii="宋体" w:hAnsi="宋体"/>
          <w:b/>
          <w:color w:val="auto"/>
          <w:sz w:val="24"/>
          <w:highlight w:val="none"/>
        </w:rPr>
        <w:br w:type="page"/>
      </w:r>
      <w:bookmarkStart w:id="410" w:name="_Toc10049"/>
      <w:r>
        <w:rPr>
          <w:rFonts w:hint="eastAsia" w:ascii="宋体" w:hAnsi="宋体" w:cs="宋体"/>
          <w:color w:val="auto"/>
          <w:sz w:val="28"/>
          <w:szCs w:val="28"/>
          <w:highlight w:val="none"/>
        </w:rPr>
        <w:t>附件20</w:t>
      </w:r>
      <w:bookmarkEnd w:id="410"/>
    </w:p>
    <w:p w14:paraId="125E056D">
      <w:pPr>
        <w:snapToGrid w:val="0"/>
        <w:spacing w:before="120" w:beforeLines="50" w:after="50"/>
        <w:jc w:val="center"/>
        <w:rPr>
          <w:rFonts w:hint="eastAsia" w:ascii="宋体" w:hAnsi="宋体"/>
          <w:b/>
          <w:color w:val="auto"/>
          <w:sz w:val="24"/>
          <w:highlight w:val="none"/>
        </w:rPr>
      </w:pPr>
    </w:p>
    <w:p w14:paraId="496116A7">
      <w:pPr>
        <w:pStyle w:val="13"/>
        <w:spacing w:line="360" w:lineRule="auto"/>
        <w:ind w:firstLine="0"/>
        <w:jc w:val="center"/>
        <w:rPr>
          <w:rFonts w:hint="eastAsia" w:ascii="仿宋_GB2312" w:hAnsi="仿宋_GB2312" w:eastAsia="仿宋_GB2312" w:cs="仿宋_GB2312"/>
          <w:b/>
          <w:color w:val="auto"/>
          <w:sz w:val="32"/>
          <w:szCs w:val="32"/>
          <w:highlight w:val="none"/>
        </w:rPr>
      </w:pPr>
      <w:bookmarkStart w:id="411" w:name="_Toc21200"/>
      <w:r>
        <w:rPr>
          <w:rFonts w:hint="eastAsia" w:ascii="仿宋_GB2312" w:hAnsi="仿宋_GB2312" w:eastAsia="仿宋_GB2312" w:cs="仿宋_GB2312"/>
          <w:b/>
          <w:color w:val="auto"/>
          <w:sz w:val="32"/>
          <w:szCs w:val="32"/>
          <w:highlight w:val="none"/>
        </w:rPr>
        <w:t>投标函</w:t>
      </w:r>
      <w:bookmarkEnd w:id="411"/>
    </w:p>
    <w:p w14:paraId="49FE26F9">
      <w:pPr>
        <w:pStyle w:val="384"/>
        <w:tabs>
          <w:tab w:val="left" w:pos="0"/>
        </w:tabs>
        <w:spacing w:line="480" w:lineRule="exact"/>
        <w:rPr>
          <w:rFonts w:hint="eastAsia" w:hAnsi="宋体" w:cs="宋体"/>
          <w:color w:val="auto"/>
          <w:sz w:val="24"/>
          <w:highlight w:val="none"/>
        </w:rPr>
      </w:pPr>
      <w:r>
        <w:rPr>
          <w:rFonts w:hint="eastAsia" w:hAnsi="宋体" w:cs="宋体"/>
          <w:color w:val="auto"/>
          <w:sz w:val="24"/>
          <w:highlight w:val="none"/>
        </w:rPr>
        <w:t>致：</w:t>
      </w:r>
      <w:r>
        <w:rPr>
          <w:rFonts w:hint="eastAsia" w:hAnsi="宋体" w:cs="宋体"/>
          <w:color w:val="auto"/>
          <w:kern w:val="2"/>
          <w:sz w:val="24"/>
          <w:szCs w:val="24"/>
          <w:highlight w:val="none"/>
          <w:u w:val="single"/>
        </w:rPr>
        <w:t>（采购人名称）</w:t>
      </w:r>
      <w:r>
        <w:rPr>
          <w:rFonts w:hint="eastAsia" w:hAnsi="宋体" w:cs="宋体"/>
          <w:color w:val="auto"/>
          <w:sz w:val="24"/>
          <w:highlight w:val="none"/>
        </w:rPr>
        <w:t>：</w:t>
      </w:r>
    </w:p>
    <w:p w14:paraId="2B871D0C">
      <w:pPr>
        <w:pStyle w:val="384"/>
        <w:tabs>
          <w:tab w:val="left" w:pos="0"/>
        </w:tabs>
        <w:spacing w:line="480" w:lineRule="exact"/>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根据贵方</w:t>
      </w:r>
      <w:r>
        <w:rPr>
          <w:rFonts w:hint="eastAsia" w:hAnsi="宋体" w:cs="宋体"/>
          <w:color w:val="auto"/>
          <w:kern w:val="2"/>
          <w:sz w:val="24"/>
          <w:szCs w:val="24"/>
          <w:highlight w:val="none"/>
          <w:u w:val="single"/>
        </w:rPr>
        <w:t>（项目名称）（项目编号）（标项）</w:t>
      </w:r>
      <w:r>
        <w:rPr>
          <w:rFonts w:hint="eastAsia" w:hAnsi="宋体" w:cs="宋体"/>
          <w:color w:val="auto"/>
          <w:sz w:val="24"/>
          <w:szCs w:val="21"/>
          <w:highlight w:val="none"/>
          <w:u w:val="single"/>
        </w:rPr>
        <w:t xml:space="preserve"> </w:t>
      </w:r>
      <w:r>
        <w:rPr>
          <w:rFonts w:hint="eastAsia" w:hAnsi="宋体" w:cs="宋体"/>
          <w:color w:val="auto"/>
          <w:kern w:val="2"/>
          <w:sz w:val="24"/>
          <w:szCs w:val="24"/>
          <w:highlight w:val="none"/>
        </w:rPr>
        <w:t>的招标文件要求，正式授权下述签字人（</w:t>
      </w:r>
      <w:r>
        <w:rPr>
          <w:rFonts w:hint="eastAsia" w:hAnsi="宋体" w:cs="宋体"/>
          <w:color w:val="auto"/>
          <w:kern w:val="2"/>
          <w:sz w:val="24"/>
          <w:szCs w:val="24"/>
          <w:highlight w:val="none"/>
          <w:u w:val="single"/>
        </w:rPr>
        <w:t>姓名和职务）</w:t>
      </w:r>
      <w:r>
        <w:rPr>
          <w:rFonts w:hint="eastAsia" w:hAnsi="宋体" w:cs="宋体"/>
          <w:color w:val="auto"/>
          <w:kern w:val="2"/>
          <w:sz w:val="24"/>
          <w:szCs w:val="24"/>
          <w:highlight w:val="none"/>
        </w:rPr>
        <w:t>全权代表投标人（</w:t>
      </w:r>
      <w:r>
        <w:rPr>
          <w:rFonts w:hint="eastAsia" w:hAnsi="宋体" w:cs="宋体"/>
          <w:color w:val="auto"/>
          <w:kern w:val="2"/>
          <w:sz w:val="24"/>
          <w:szCs w:val="24"/>
          <w:highlight w:val="none"/>
          <w:u w:val="single"/>
        </w:rPr>
        <w:t>投标人全称</w:t>
      </w:r>
      <w:r>
        <w:rPr>
          <w:rFonts w:hint="eastAsia" w:hAnsi="宋体" w:cs="宋体"/>
          <w:color w:val="auto"/>
          <w:kern w:val="2"/>
          <w:sz w:val="24"/>
          <w:szCs w:val="24"/>
          <w:highlight w:val="none"/>
        </w:rPr>
        <w:t>）参加贵方组织的有关招标活动，并提交下述文件：</w:t>
      </w:r>
    </w:p>
    <w:p w14:paraId="74D07DD6">
      <w:pPr>
        <w:pStyle w:val="384"/>
        <w:tabs>
          <w:tab w:val="left" w:pos="0"/>
        </w:tabs>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1"/>
          <w:highlight w:val="none"/>
        </w:rPr>
        <w:t>政府采购云系统提交电子加密投标文件</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29EFA447">
      <w:pPr>
        <w:pStyle w:val="384"/>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4"/>
          <w:highlight w:val="none"/>
        </w:rPr>
        <w:t>提交备份电子投标文件（打包压缩加密）</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4DFAAC94">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据此函我方就本次投标有关事项郑重承诺如下：</w:t>
      </w:r>
    </w:p>
    <w:p w14:paraId="0E31DDE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305586FA">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2.我方承诺已经具备《中华人民共和国政府采购法》《中华人民共和国政府采购法实施条例》中规定的参加政府采购活动的投标人应当具备的条件，并真实提供相关材料。</w:t>
      </w:r>
    </w:p>
    <w:p w14:paraId="6049740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3.如果我方中标，将派出</w:t>
      </w:r>
      <w:r>
        <w:rPr>
          <w:rFonts w:hint="eastAsia" w:ascii="宋体" w:hAnsi="宋体" w:cs="宋体"/>
          <w:color w:val="auto"/>
          <w:sz w:val="24"/>
          <w:highlight w:val="none"/>
          <w:u w:val="single"/>
        </w:rPr>
        <w:t>（姓名及身份证号码）</w:t>
      </w:r>
      <w:r>
        <w:rPr>
          <w:rFonts w:hint="eastAsia" w:ascii="宋体" w:hAnsi="宋体" w:cs="宋体"/>
          <w:color w:val="auto"/>
          <w:sz w:val="24"/>
          <w:szCs w:val="21"/>
          <w:highlight w:val="none"/>
          <w:u w:val="single"/>
        </w:rPr>
        <w:t>，</w:t>
      </w:r>
      <w:r>
        <w:rPr>
          <w:rFonts w:hint="eastAsia" w:ascii="宋体" w:hAnsi="宋体" w:cs="宋体"/>
          <w:color w:val="auto"/>
          <w:sz w:val="24"/>
          <w:highlight w:val="none"/>
        </w:rPr>
        <w:t>作为本项目与采购单位联系的项目实施负责人，联系手机号码：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。在项目实施过程中，并承诺项目实施负责人不更换，若确需要更换的，书面征得采购人同意后才准予更换。</w:t>
      </w:r>
    </w:p>
    <w:p w14:paraId="3A2C2C9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4.我方的投标有效期自在开标日起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天内有效。如果在开标后规定的投标有效期内撤回投标，贵方可按相关规定处理我方。</w:t>
      </w:r>
    </w:p>
    <w:p w14:paraId="6872CA9C">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5.我方在投标之前已经与贵方进行了充分的沟通，完全理解并接受招标文件的各项规定和要求，对招标文件的合理性、合法性不再有异议。</w:t>
      </w:r>
    </w:p>
    <w:p w14:paraId="16F3EAF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我方愿意向贵方提供真实完整的任何与该项投标有关的数据、情况和技术资料。若贵方需要，我方愿意提供我方作出的一切承诺的相关材料。</w:t>
      </w:r>
    </w:p>
    <w:p w14:paraId="3993BB0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6.我方已详细审核全部招标文件，包括招标文件的澄清或修改文件（如有的话）、参考资料及有关附件，已经了解我方对于招标文件、采购过程、采购结果有依法进行询问、质疑、投诉的权利及相关渠道和要求。</w:t>
      </w:r>
    </w:p>
    <w:p w14:paraId="3A478E87">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7.我方不是采购人的附属机构，并未为本项目提供整体设计、规范编制或者项目管理、监理、监测等服务。</w:t>
      </w:r>
    </w:p>
    <w:p w14:paraId="1A9B64B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B30E7D">
      <w:pPr>
        <w:spacing w:line="480" w:lineRule="exact"/>
        <w:ind w:firstLine="480"/>
        <w:rPr>
          <w:rFonts w:hint="eastAsia" w:ascii="宋体" w:hAnsi="宋体" w:cs="宋体"/>
          <w:color w:val="auto"/>
          <w:sz w:val="24"/>
          <w:highlight w:val="none"/>
        </w:rPr>
      </w:pPr>
      <w:bookmarkStart w:id="412" w:name="_Toc3948"/>
      <w:r>
        <w:rPr>
          <w:rFonts w:hint="eastAsia" w:ascii="宋体" w:hAnsi="宋体" w:cs="宋体"/>
          <w:color w:val="auto"/>
          <w:sz w:val="24"/>
          <w:highlight w:val="none"/>
        </w:rPr>
        <w:t>（一）提供虚假材料谋取中标、中标的；</w:t>
      </w:r>
      <w:bookmarkEnd w:id="412"/>
    </w:p>
    <w:p w14:paraId="287943F6">
      <w:pPr>
        <w:spacing w:line="480" w:lineRule="exact"/>
        <w:ind w:firstLine="480"/>
        <w:rPr>
          <w:rFonts w:hint="eastAsia" w:ascii="宋体" w:hAnsi="宋体" w:cs="宋体"/>
          <w:color w:val="auto"/>
          <w:sz w:val="24"/>
          <w:highlight w:val="none"/>
        </w:rPr>
      </w:pPr>
      <w:bookmarkStart w:id="413" w:name="_Toc15281"/>
      <w:r>
        <w:rPr>
          <w:rFonts w:hint="eastAsia" w:ascii="宋体" w:hAnsi="宋体" w:cs="宋体"/>
          <w:color w:val="auto"/>
          <w:sz w:val="24"/>
          <w:highlight w:val="none"/>
        </w:rPr>
        <w:t>（二）采取不正当手段诋毁、排挤其他投标人的；</w:t>
      </w:r>
      <w:bookmarkEnd w:id="413"/>
    </w:p>
    <w:p w14:paraId="3C54909D">
      <w:pPr>
        <w:spacing w:line="480" w:lineRule="exact"/>
        <w:ind w:firstLine="480"/>
        <w:rPr>
          <w:rFonts w:hint="eastAsia" w:ascii="宋体" w:hAnsi="宋体" w:cs="宋体"/>
          <w:color w:val="auto"/>
          <w:sz w:val="24"/>
          <w:highlight w:val="none"/>
        </w:rPr>
      </w:pPr>
      <w:bookmarkStart w:id="414" w:name="_Toc28866"/>
      <w:r>
        <w:rPr>
          <w:rFonts w:hint="eastAsia" w:ascii="宋体" w:hAnsi="宋体" w:cs="宋体"/>
          <w:color w:val="auto"/>
          <w:sz w:val="24"/>
          <w:highlight w:val="none"/>
        </w:rPr>
        <w:t>（三）与采购人、其他投标人或者采购代理机构恶意串通的；</w:t>
      </w:r>
      <w:bookmarkEnd w:id="414"/>
    </w:p>
    <w:p w14:paraId="66C98793">
      <w:pPr>
        <w:spacing w:line="480" w:lineRule="exact"/>
        <w:ind w:firstLine="480"/>
        <w:rPr>
          <w:rFonts w:hint="eastAsia" w:ascii="宋体" w:hAnsi="宋体" w:cs="宋体"/>
          <w:color w:val="auto"/>
          <w:sz w:val="24"/>
          <w:highlight w:val="none"/>
        </w:rPr>
      </w:pPr>
      <w:bookmarkStart w:id="415" w:name="_Toc17244"/>
      <w:r>
        <w:rPr>
          <w:rFonts w:hint="eastAsia" w:ascii="宋体" w:hAnsi="宋体" w:cs="宋体"/>
          <w:color w:val="auto"/>
          <w:sz w:val="24"/>
          <w:highlight w:val="none"/>
        </w:rPr>
        <w:t>（四）向采购人、采购代理机构行贿或者提供其他不正当利益的；</w:t>
      </w:r>
      <w:bookmarkEnd w:id="415"/>
    </w:p>
    <w:p w14:paraId="3F41FD99">
      <w:pPr>
        <w:spacing w:line="480" w:lineRule="exact"/>
        <w:ind w:firstLine="480"/>
        <w:rPr>
          <w:rFonts w:hint="eastAsia" w:ascii="宋体" w:hAnsi="宋体" w:cs="宋体"/>
          <w:color w:val="auto"/>
          <w:sz w:val="24"/>
          <w:highlight w:val="none"/>
        </w:rPr>
      </w:pPr>
      <w:bookmarkStart w:id="416" w:name="_Toc22488"/>
      <w:r>
        <w:rPr>
          <w:rFonts w:hint="eastAsia" w:ascii="宋体" w:hAnsi="宋体" w:cs="宋体"/>
          <w:color w:val="auto"/>
          <w:sz w:val="24"/>
          <w:highlight w:val="none"/>
        </w:rPr>
        <w:t>（五）在招标采购过程中与采购人进行协商谈判的；</w:t>
      </w:r>
      <w:bookmarkEnd w:id="416"/>
    </w:p>
    <w:p w14:paraId="1FA4DA85">
      <w:pPr>
        <w:spacing w:line="480" w:lineRule="exact"/>
        <w:ind w:firstLine="480"/>
        <w:rPr>
          <w:rFonts w:hint="eastAsia" w:ascii="宋体" w:hAnsi="宋体" w:cs="宋体"/>
          <w:color w:val="auto"/>
          <w:sz w:val="24"/>
          <w:highlight w:val="none"/>
        </w:rPr>
      </w:pPr>
      <w:bookmarkStart w:id="417" w:name="_Toc4216"/>
      <w:r>
        <w:rPr>
          <w:rFonts w:hint="eastAsia" w:ascii="宋体" w:hAnsi="宋体" w:cs="宋体"/>
          <w:color w:val="auto"/>
          <w:sz w:val="24"/>
          <w:highlight w:val="none"/>
        </w:rPr>
        <w:t>（六）拒绝有关部门监督检查或提供虚假情况的。</w:t>
      </w:r>
      <w:bookmarkEnd w:id="417"/>
    </w:p>
    <w:p w14:paraId="352BCB58">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9.如中标，本投标文件至本项目合同履行完毕止均保持有效，我方将按招标文件及政府采购法律、法规的规定履行合同责任和义务。</w:t>
      </w:r>
    </w:p>
    <w:p w14:paraId="201084C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10.以上事项如有虚假或隐瞒，我方愿意承担一切不利后果，并不再寻求任何旨在减轻或免除法律责任。</w:t>
      </w:r>
    </w:p>
    <w:p w14:paraId="2A719BD0">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与本次投标有关的一切正式往来信函请寄：</w:t>
      </w:r>
    </w:p>
    <w:p w14:paraId="1A757493">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                  邮编：           </w:t>
      </w:r>
    </w:p>
    <w:p w14:paraId="339C8E01">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电话：                  传真：           </w:t>
      </w:r>
    </w:p>
    <w:p w14:paraId="1DBC91A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kern w:val="0"/>
          <w:sz w:val="24"/>
          <w:highlight w:val="none"/>
          <w:lang w:val="zh-CN"/>
        </w:rPr>
        <w:t>(电子签名）</w:t>
      </w:r>
      <w:r>
        <w:rPr>
          <w:rFonts w:hint="eastAsia" w:ascii="宋体" w:hAnsi="宋体" w:cs="宋体"/>
          <w:color w:val="auto"/>
          <w:sz w:val="24"/>
          <w:highlight w:val="none"/>
        </w:rPr>
        <w:t xml:space="preserve">：                </w:t>
      </w:r>
    </w:p>
    <w:p w14:paraId="3BDD50C9">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日      期：                </w:t>
      </w:r>
    </w:p>
    <w:p w14:paraId="5A1A8C64">
      <w:pPr>
        <w:snapToGrid w:val="0"/>
        <w:spacing w:before="50" w:after="120" w:afterLines="50"/>
        <w:jc w:val="left"/>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s="宋体"/>
          <w:color w:val="auto"/>
          <w:sz w:val="28"/>
          <w:szCs w:val="28"/>
          <w:highlight w:val="none"/>
        </w:rPr>
        <w:t>附件21</w:t>
      </w:r>
    </w:p>
    <w:p w14:paraId="1D2CE0F2">
      <w:pPr>
        <w:jc w:val="center"/>
        <w:rPr>
          <w:rFonts w:hint="eastAsia" w:ascii="黑体" w:hAnsi="宋体" w:eastAsia="黑体"/>
          <w:b/>
          <w:bCs/>
          <w:kern w:val="0"/>
          <w:sz w:val="32"/>
          <w:szCs w:val="32"/>
          <w:lang w:val="zh-CN"/>
        </w:rPr>
      </w:pPr>
      <w:bookmarkStart w:id="418" w:name="_Toc25044"/>
      <w:bookmarkStart w:id="419" w:name="_Toc2411"/>
      <w:bookmarkStart w:id="420" w:name="_Toc5493"/>
      <w:bookmarkStart w:id="421" w:name="_Toc18821"/>
      <w:r>
        <w:rPr>
          <w:rFonts w:hint="eastAsia" w:ascii="黑体" w:hAnsi="宋体" w:eastAsia="黑体"/>
          <w:b/>
          <w:bCs/>
          <w:kern w:val="0"/>
          <w:sz w:val="32"/>
          <w:szCs w:val="32"/>
          <w:lang w:val="zh-CN"/>
        </w:rPr>
        <w:t>开标一览表</w:t>
      </w:r>
    </w:p>
    <w:p w14:paraId="57F9D0EF">
      <w:pPr>
        <w:jc w:val="center"/>
        <w:rPr>
          <w:sz w:val="24"/>
        </w:rPr>
      </w:pPr>
      <w:r>
        <w:rPr>
          <w:rFonts w:hint="eastAsia" w:ascii="宋体" w:hAnsi="宋体" w:cs="宋体"/>
          <w:sz w:val="24"/>
        </w:rPr>
        <w:t xml:space="preserve"> 标项一:  </w:t>
      </w:r>
      <w:r>
        <w:rPr>
          <w:rFonts w:hint="eastAsia"/>
          <w:sz w:val="24"/>
        </w:rPr>
        <w:t xml:space="preserve">                                          单位：人民币（元）</w:t>
      </w:r>
    </w:p>
    <w:tbl>
      <w:tblPr>
        <w:tblStyle w:val="5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1831"/>
        <w:gridCol w:w="4868"/>
      </w:tblGrid>
      <w:tr w14:paraId="5EAE5A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249" w:type="dxa"/>
            <w:noWrap w:val="0"/>
            <w:vAlign w:val="center"/>
          </w:tcPr>
          <w:p w14:paraId="3F239EA3">
            <w:pPr>
              <w:adjustRightInd w:val="0"/>
              <w:snapToGrid w:val="0"/>
              <w:spacing w:line="312" w:lineRule="auto"/>
              <w:ind w:firstLine="480" w:firstLineChars="200"/>
              <w:rPr>
                <w:rFonts w:hint="eastAsia"/>
                <w:sz w:val="24"/>
              </w:rPr>
            </w:pPr>
            <w:r>
              <w:rPr>
                <w:rFonts w:hint="eastAsia"/>
                <w:sz w:val="24"/>
                <w:lang w:val="zh-CN"/>
              </w:rPr>
              <w:t>项目</w:t>
            </w:r>
            <w:r>
              <w:rPr>
                <w:rFonts w:hint="eastAsia"/>
                <w:sz w:val="24"/>
              </w:rPr>
              <w:t>名称</w:t>
            </w:r>
          </w:p>
        </w:tc>
        <w:tc>
          <w:tcPr>
            <w:tcW w:w="1831" w:type="dxa"/>
            <w:noWrap w:val="0"/>
            <w:vAlign w:val="center"/>
          </w:tcPr>
          <w:p w14:paraId="6F50D9D1">
            <w:pPr>
              <w:adjustRightInd w:val="0"/>
              <w:snapToGrid w:val="0"/>
              <w:spacing w:line="312" w:lineRule="auto"/>
              <w:jc w:val="center"/>
              <w:rPr>
                <w:rFonts w:hint="eastAsia"/>
                <w:sz w:val="24"/>
                <w:lang w:val="zh-CN"/>
              </w:rPr>
            </w:pPr>
            <w:r>
              <w:rPr>
                <w:rFonts w:hint="eastAsia"/>
                <w:sz w:val="24"/>
                <w:lang w:val="zh-CN"/>
              </w:rPr>
              <w:t>数量（吨）</w:t>
            </w:r>
          </w:p>
        </w:tc>
        <w:tc>
          <w:tcPr>
            <w:tcW w:w="4868" w:type="dxa"/>
            <w:noWrap w:val="0"/>
            <w:vAlign w:val="center"/>
          </w:tcPr>
          <w:p w14:paraId="23AE0534">
            <w:pPr>
              <w:adjustRightInd w:val="0"/>
              <w:snapToGrid w:val="0"/>
              <w:spacing w:line="312" w:lineRule="auto"/>
              <w:jc w:val="center"/>
              <w:rPr>
                <w:rFonts w:hint="eastAsia"/>
                <w:sz w:val="24"/>
                <w:lang w:val="zh-CN"/>
              </w:rPr>
            </w:pPr>
            <w:r>
              <w:rPr>
                <w:rFonts w:hint="eastAsia"/>
                <w:sz w:val="24"/>
              </w:rPr>
              <w:t>单价:（元/吨）</w:t>
            </w:r>
          </w:p>
        </w:tc>
      </w:tr>
      <w:tr w14:paraId="61B92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3249" w:type="dxa"/>
            <w:noWrap w:val="0"/>
            <w:vAlign w:val="center"/>
          </w:tcPr>
          <w:p w14:paraId="5A17CB46">
            <w:pPr>
              <w:pStyle w:val="29"/>
              <w:snapToGrid w:val="0"/>
              <w:spacing w:before="120" w:after="120" w:line="360" w:lineRule="auto"/>
              <w:jc w:val="left"/>
              <w:rPr>
                <w:rFonts w:hAnsi="宋体"/>
                <w:b/>
                <w:bCs/>
                <w:color w:val="000000"/>
              </w:rPr>
            </w:pPr>
            <w:r>
              <w:rPr>
                <w:rFonts w:hint="eastAsia" w:hAnsi="宋体" w:cs="宋体"/>
                <w:kern w:val="0"/>
                <w:lang w:eastAsia="zh-CN" w:bidi="ar"/>
              </w:rPr>
              <w:t>2025年安文街道松材线虫病枯死松树清理服务项目(第二次)</w:t>
            </w:r>
          </w:p>
        </w:tc>
        <w:tc>
          <w:tcPr>
            <w:tcW w:w="1831" w:type="dxa"/>
            <w:noWrap w:val="0"/>
            <w:vAlign w:val="center"/>
          </w:tcPr>
          <w:p w14:paraId="6CA41BDB">
            <w:pPr>
              <w:adjustRightInd w:val="0"/>
              <w:snapToGrid w:val="0"/>
              <w:spacing w:line="312" w:lineRule="auto"/>
              <w:jc w:val="center"/>
              <w:rPr>
                <w:sz w:val="24"/>
              </w:rPr>
            </w:pPr>
            <w:r>
              <w:rPr>
                <w:rFonts w:hint="eastAsia"/>
                <w:sz w:val="24"/>
              </w:rPr>
              <w:t>1.3万</w:t>
            </w:r>
          </w:p>
        </w:tc>
        <w:tc>
          <w:tcPr>
            <w:tcW w:w="4868" w:type="dxa"/>
            <w:noWrap w:val="0"/>
            <w:vAlign w:val="center"/>
          </w:tcPr>
          <w:p w14:paraId="0A63C3FA">
            <w:pPr>
              <w:adjustRightInd w:val="0"/>
              <w:snapToGrid w:val="0"/>
              <w:spacing w:line="312" w:lineRule="auto"/>
              <w:jc w:val="left"/>
              <w:rPr>
                <w:rFonts w:hint="eastAsia"/>
                <w:sz w:val="24"/>
              </w:rPr>
            </w:pPr>
            <w:r>
              <w:rPr>
                <w:rFonts w:hint="eastAsia"/>
                <w:sz w:val="24"/>
                <w:lang w:val="zh-CN"/>
              </w:rPr>
              <w:t>人民币大写：</w:t>
            </w:r>
            <w:r>
              <w:rPr>
                <w:rFonts w:hint="eastAsia"/>
                <w:sz w:val="24"/>
                <w:u w:val="single"/>
                <w:lang w:val="zh-CN"/>
              </w:rPr>
              <w:t xml:space="preserve">               </w:t>
            </w:r>
            <w:r>
              <w:rPr>
                <w:rFonts w:hint="eastAsia"/>
                <w:sz w:val="24"/>
                <w:lang w:val="zh-CN"/>
              </w:rPr>
              <w:t>元</w:t>
            </w:r>
            <w:r>
              <w:rPr>
                <w:rFonts w:hint="eastAsia"/>
                <w:sz w:val="24"/>
              </w:rPr>
              <w:t>/吨</w:t>
            </w:r>
          </w:p>
          <w:p w14:paraId="02C93379">
            <w:pPr>
              <w:adjustRightInd w:val="0"/>
              <w:snapToGrid w:val="0"/>
              <w:spacing w:line="312" w:lineRule="auto"/>
              <w:jc w:val="left"/>
              <w:rPr>
                <w:rFonts w:hint="eastAsia"/>
                <w:sz w:val="24"/>
              </w:rPr>
            </w:pPr>
          </w:p>
          <w:p w14:paraId="0304A4BB">
            <w:pPr>
              <w:adjustRightInd w:val="0"/>
              <w:snapToGrid w:val="0"/>
              <w:spacing w:line="312" w:lineRule="auto"/>
              <w:jc w:val="left"/>
              <w:rPr>
                <w:sz w:val="24"/>
                <w:u w:val="single"/>
              </w:rPr>
            </w:pPr>
            <w:r>
              <w:rPr>
                <w:rFonts w:hint="eastAsia"/>
                <w:sz w:val="24"/>
              </w:rPr>
              <w:t>小写：</w:t>
            </w:r>
            <w:r>
              <w:rPr>
                <w:rFonts w:hint="eastAsia"/>
                <w:sz w:val="24"/>
                <w:u w:val="single"/>
              </w:rPr>
              <w:t xml:space="preserve">                     </w:t>
            </w:r>
            <w:r>
              <w:rPr>
                <w:rFonts w:hint="eastAsia"/>
                <w:sz w:val="24"/>
              </w:rPr>
              <w:t>元/吨</w:t>
            </w:r>
          </w:p>
        </w:tc>
      </w:tr>
    </w:tbl>
    <w:p w14:paraId="25248794">
      <w:pPr>
        <w:widowControl/>
        <w:spacing w:line="400" w:lineRule="exact"/>
        <w:jc w:val="left"/>
        <w:rPr>
          <w:rFonts w:hint="eastAsia" w:ascii="宋体" w:hAnsi="宋体" w:cs="宋体"/>
          <w:lang w:val="zh-CN"/>
        </w:rPr>
      </w:pPr>
      <w:r>
        <w:rPr>
          <w:rFonts w:hint="eastAsia" w:ascii="宋体" w:hAnsi="宋体" w:cs="宋体"/>
        </w:rPr>
        <w:t>注：</w:t>
      </w:r>
      <w:r>
        <w:rPr>
          <w:rFonts w:hint="eastAsia" w:ascii="宋体" w:hAnsi="宋体" w:cs="宋体"/>
          <w:lang w:val="zh-CN"/>
        </w:rPr>
        <w:t>1、</w:t>
      </w:r>
      <w:r>
        <w:rPr>
          <w:rFonts w:hint="eastAsia" w:ascii="宋体" w:hAnsi="宋体" w:cs="宋体"/>
        </w:rPr>
        <w:t>报价应</w:t>
      </w:r>
      <w:r>
        <w:rPr>
          <w:rFonts w:hint="eastAsia" w:cs="宋体"/>
        </w:rPr>
        <w:t>包括自疫木采伐至运入疫木定点处理企业整个清理过程所发生的一切费用，包括枯死松树采伐、造材、伐桩处理、枝桠处理、人工搬运、运输、安全（保险）、税收及源头监管费、人员工资、机械材料、利润、税金、测量、勘察、保险（施工人员一律参加工伤保险）等完成合同所需的一切本身和不可或缺的所有工作开支、政策性文件规定及合同包含的所有风险、责任等各项全部费用。如有漏项，视为已包含在其它项目中。</w:t>
      </w:r>
    </w:p>
    <w:p w14:paraId="1F4CC8F7">
      <w:pPr>
        <w:spacing w:line="400" w:lineRule="exact"/>
        <w:ind w:firstLine="480"/>
        <w:rPr>
          <w:rFonts w:hint="eastAsia" w:ascii="宋体" w:hAnsi="宋体" w:cs="宋体"/>
          <w:lang w:val="zh-CN"/>
        </w:rPr>
      </w:pPr>
      <w:r>
        <w:rPr>
          <w:rFonts w:hint="eastAsia" w:ascii="宋体" w:hAnsi="宋体" w:cs="宋体"/>
        </w:rPr>
        <w:t>2</w:t>
      </w:r>
      <w:r>
        <w:rPr>
          <w:rFonts w:hint="eastAsia" w:ascii="宋体" w:hAnsi="宋体" w:cs="宋体"/>
          <w:lang w:val="zh-CN"/>
        </w:rPr>
        <w:t>、本表由招标响应供应商填写，供评标委员会参考所用。</w:t>
      </w:r>
      <w:r>
        <w:rPr>
          <w:rFonts w:hint="eastAsia" w:ascii="宋体" w:hAnsi="宋体" w:cs="宋体"/>
        </w:rPr>
        <w:t>▲报价填写必须为印刷体打印，手写无效报价</w:t>
      </w:r>
      <w:r>
        <w:rPr>
          <w:rFonts w:hint="eastAsia" w:ascii="宋体" w:hAnsi="宋体" w:cs="宋体"/>
          <w:lang w:val="zh-CN"/>
        </w:rPr>
        <w:t>。</w:t>
      </w:r>
    </w:p>
    <w:p w14:paraId="2BC2845A">
      <w:pPr>
        <w:spacing w:line="400" w:lineRule="exact"/>
        <w:ind w:firstLine="480"/>
        <w:rPr>
          <w:rFonts w:hint="eastAsia" w:ascii="宋体" w:hAnsi="宋体" w:cs="宋体"/>
          <w:lang w:val="zh-CN"/>
        </w:rPr>
      </w:pPr>
      <w:r>
        <w:rPr>
          <w:rFonts w:hint="eastAsia" w:ascii="宋体" w:hAnsi="宋体" w:cs="宋体"/>
          <w:lang w:val="zh-CN"/>
        </w:rPr>
        <w:t>3、本次报价仅做招标参考，不做成交依据。</w:t>
      </w:r>
    </w:p>
    <w:p w14:paraId="5DE7250D">
      <w:pPr>
        <w:spacing w:line="400" w:lineRule="exact"/>
        <w:ind w:firstLine="480"/>
        <w:rPr>
          <w:rFonts w:hint="eastAsia" w:ascii="宋体" w:hAnsi="宋体" w:cs="宋体"/>
          <w:lang w:val="zh-CN"/>
        </w:rPr>
      </w:pPr>
      <w:r>
        <w:rPr>
          <w:rFonts w:hint="eastAsia" w:ascii="宋体" w:hAnsi="宋体" w:cs="宋体"/>
          <w:lang w:val="zh-CN"/>
        </w:rPr>
        <w:t>4、报价不得超过总限价。</w:t>
      </w:r>
    </w:p>
    <w:p w14:paraId="436431E6">
      <w:pPr>
        <w:pStyle w:val="535"/>
        <w:snapToGrid w:val="0"/>
        <w:spacing w:before="120" w:line="360" w:lineRule="auto"/>
        <w:rPr>
          <w:rFonts w:hint="eastAsia" w:ascii="宋体" w:hAnsi="宋体" w:cs="宋体"/>
          <w:color w:val="000000"/>
          <w:szCs w:val="24"/>
        </w:rPr>
      </w:pPr>
    </w:p>
    <w:p w14:paraId="7C23EBD1">
      <w:pPr>
        <w:pStyle w:val="535"/>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14:paraId="458910A5">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14:paraId="6E1D2B4F">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14:paraId="45A77A70">
      <w:pPr>
        <w:snapToGrid w:val="0"/>
        <w:spacing w:line="400" w:lineRule="exact"/>
        <w:jc w:val="left"/>
        <w:rPr>
          <w:rFonts w:hint="eastAsia" w:ascii="宋体" w:hAnsi="宋体"/>
          <w:sz w:val="24"/>
        </w:rPr>
      </w:pPr>
    </w:p>
    <w:p w14:paraId="46201834">
      <w:pPr>
        <w:snapToGrid w:val="0"/>
        <w:spacing w:line="400" w:lineRule="exact"/>
        <w:jc w:val="left"/>
        <w:rPr>
          <w:rFonts w:hint="eastAsia" w:ascii="宋体" w:hAnsi="宋体"/>
          <w:sz w:val="24"/>
        </w:rPr>
      </w:pPr>
    </w:p>
    <w:p w14:paraId="2037F6B2">
      <w:pPr>
        <w:snapToGrid w:val="0"/>
        <w:spacing w:line="400" w:lineRule="exact"/>
        <w:jc w:val="left"/>
        <w:rPr>
          <w:rFonts w:hint="eastAsia" w:ascii="宋体" w:hAnsi="宋体"/>
          <w:sz w:val="24"/>
        </w:rPr>
      </w:pPr>
    </w:p>
    <w:p w14:paraId="753B6FA4">
      <w:pPr>
        <w:snapToGrid w:val="0"/>
        <w:spacing w:line="400" w:lineRule="exact"/>
        <w:jc w:val="left"/>
        <w:rPr>
          <w:rFonts w:hint="eastAsia" w:ascii="宋体" w:hAnsi="宋体"/>
          <w:sz w:val="24"/>
        </w:rPr>
      </w:pPr>
    </w:p>
    <w:p w14:paraId="10528D69">
      <w:pPr>
        <w:snapToGrid w:val="0"/>
        <w:spacing w:line="400" w:lineRule="exact"/>
        <w:jc w:val="left"/>
        <w:rPr>
          <w:rFonts w:hint="eastAsia" w:ascii="宋体" w:hAnsi="宋体"/>
          <w:sz w:val="24"/>
        </w:rPr>
      </w:pPr>
    </w:p>
    <w:p w14:paraId="2C1C04DB">
      <w:pPr>
        <w:snapToGrid w:val="0"/>
        <w:spacing w:line="400" w:lineRule="exact"/>
        <w:jc w:val="left"/>
        <w:rPr>
          <w:rFonts w:hint="eastAsia" w:ascii="宋体" w:hAnsi="宋体"/>
          <w:sz w:val="24"/>
        </w:rPr>
      </w:pPr>
    </w:p>
    <w:p w14:paraId="0404519E">
      <w:pPr>
        <w:snapToGrid w:val="0"/>
        <w:spacing w:line="400" w:lineRule="exact"/>
        <w:jc w:val="left"/>
        <w:rPr>
          <w:rFonts w:hint="eastAsia" w:ascii="宋体" w:hAnsi="宋体"/>
          <w:sz w:val="24"/>
        </w:rPr>
      </w:pPr>
    </w:p>
    <w:bookmarkEnd w:id="418"/>
    <w:bookmarkEnd w:id="419"/>
    <w:bookmarkEnd w:id="420"/>
    <w:bookmarkEnd w:id="421"/>
    <w:p w14:paraId="2A44D948">
      <w:pPr>
        <w:pStyle w:val="22"/>
        <w:rPr>
          <w:color w:val="auto"/>
          <w:highlight w:val="none"/>
        </w:rPr>
      </w:pPr>
    </w:p>
    <w:p w14:paraId="3A35978D">
      <w:pPr>
        <w:pStyle w:val="25"/>
        <w:framePr w:hSpace="180" w:wrap="around" w:vAnchor="text" w:hAnchor="text" w:y="1"/>
        <w:rPr>
          <w:color w:val="auto"/>
          <w:highlight w:val="none"/>
        </w:rPr>
      </w:pPr>
    </w:p>
    <w:p w14:paraId="031D88C9">
      <w:pPr>
        <w:pStyle w:val="25"/>
        <w:framePr w:hSpace="180" w:wrap="around" w:vAnchor="text" w:hAnchor="text" w:y="1"/>
        <w:rPr>
          <w:color w:val="auto"/>
          <w:highlight w:val="none"/>
        </w:rPr>
      </w:pPr>
    </w:p>
    <w:p w14:paraId="4E253764">
      <w:pPr>
        <w:pStyle w:val="34"/>
        <w:rPr>
          <w:color w:val="auto"/>
          <w:highlight w:val="none"/>
        </w:rPr>
      </w:pPr>
    </w:p>
    <w:p w14:paraId="7D43DF0B">
      <w:pPr>
        <w:pStyle w:val="3"/>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附件23</w:t>
      </w:r>
    </w:p>
    <w:p w14:paraId="386C5BC6">
      <w:pPr>
        <w:pageBreakBefore w:val="0"/>
        <w:widowControl w:val="0"/>
        <w:kinsoku/>
        <w:wordWrap/>
        <w:overflowPunct/>
        <w:topLinePunct w:val="0"/>
        <w:autoSpaceDE/>
        <w:autoSpaceDN/>
        <w:bidi w:val="0"/>
        <w:adjustRightInd/>
        <w:snapToGrid/>
        <w:spacing w:before="157" w:beforeLines="50" w:after="157" w:afterLines="50" w:line="588" w:lineRule="exact"/>
        <w:jc w:val="center"/>
        <w:textAlignment w:val="auto"/>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1916AA28">
      <w:pPr>
        <w:pStyle w:val="52"/>
        <w:spacing w:line="400" w:lineRule="exact"/>
        <w:rPr>
          <w:color w:val="auto"/>
          <w:highlight w:val="none"/>
        </w:rPr>
      </w:pPr>
    </w:p>
    <w:p w14:paraId="574642B8">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若成为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项目名称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招标编号：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的中标供应商，将依法采取分包方式履行合同。</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）达成分包意向协议</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）负责签署投标文件，（</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）的所有承诺均认为代表了（</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）意愿。</w:t>
      </w:r>
    </w:p>
    <w:p w14:paraId="6B006B5B">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一、分包内容在采购文件分包要求的范围内，并符合相关法律规定等</w:t>
      </w:r>
    </w:p>
    <w:p w14:paraId="4E818BE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二、分包标的及数量</w:t>
      </w:r>
    </w:p>
    <w:p w14:paraId="45B8F26C">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将</w:t>
      </w:r>
      <w:r>
        <w:rPr>
          <w:rFonts w:hint="eastAsia" w:ascii="仿宋" w:hAnsi="仿宋" w:eastAsia="仿宋"/>
          <w:color w:val="auto"/>
          <w:sz w:val="28"/>
          <w:szCs w:val="28"/>
          <w:highlight w:val="none"/>
          <w:u w:val="single"/>
        </w:rPr>
        <w:t xml:space="preserve">   工作内容   </w:t>
      </w:r>
      <w:r>
        <w:rPr>
          <w:rFonts w:hint="eastAsia" w:ascii="仿宋" w:hAnsi="仿宋" w:eastAsia="仿宋"/>
          <w:color w:val="auto"/>
          <w:sz w:val="28"/>
          <w:szCs w:val="28"/>
          <w:highlight w:val="none"/>
        </w:rPr>
        <w:t>分包给（</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具备承</w:t>
      </w:r>
      <w:r>
        <w:rPr>
          <w:rFonts w:hint="eastAsia" w:ascii="仿宋" w:hAnsi="仿宋" w:eastAsia="仿宋"/>
          <w:color w:val="auto"/>
          <w:sz w:val="28"/>
          <w:szCs w:val="28"/>
          <w:highlight w:val="none"/>
        </w:rPr>
        <w:t>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zh-CN"/>
        </w:rPr>
        <w:t xml:space="preserve">工作内容  </w:t>
      </w:r>
      <w:r>
        <w:rPr>
          <w:rFonts w:hint="eastAsia" w:ascii="仿宋" w:hAnsi="仿宋" w:eastAsia="仿宋"/>
          <w:color w:val="auto"/>
          <w:sz w:val="28"/>
          <w:szCs w:val="28"/>
          <w:highlight w:val="none"/>
          <w:lang w:val="zh-CN"/>
        </w:rPr>
        <w:t>相应资质条件且不得再次分包；</w:t>
      </w:r>
    </w:p>
    <w:p w14:paraId="14167371">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w:t>
      </w:r>
    </w:p>
    <w:p w14:paraId="7B863064">
      <w:pPr>
        <w:snapToGrid w:val="0"/>
        <w:spacing w:line="3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三、分包工作履行期限、地点、方式</w:t>
      </w:r>
      <w:r>
        <w:rPr>
          <w:rFonts w:hint="eastAsia" w:ascii="仿宋" w:hAnsi="仿宋" w:eastAsia="仿宋"/>
          <w:color w:val="auto"/>
          <w:sz w:val="28"/>
          <w:szCs w:val="28"/>
          <w:highlight w:val="none"/>
        </w:rPr>
        <w:t xml:space="preserve"> </w:t>
      </w:r>
    </w:p>
    <w:p w14:paraId="6CD98018">
      <w:pPr>
        <w:snapToGrid w:val="0"/>
        <w:spacing w:line="36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39D47316">
      <w:pPr>
        <w:snapToGrid w:val="0"/>
        <w:spacing w:line="360" w:lineRule="exact"/>
        <w:ind w:left="84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四、质量 </w:t>
      </w:r>
    </w:p>
    <w:p w14:paraId="4DBA54F8">
      <w:pPr>
        <w:snapToGrid w:val="0"/>
        <w:spacing w:line="360" w:lineRule="exact"/>
        <w:ind w:left="630" w:left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15A376C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五、价款或者报酬</w:t>
      </w:r>
    </w:p>
    <w:p w14:paraId="5EA18986">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097326CC">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六、违约责任</w:t>
      </w:r>
    </w:p>
    <w:p w14:paraId="04A36FEA">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5F2C48E9">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七、争议解决的办法 </w:t>
      </w:r>
    </w:p>
    <w:p w14:paraId="08EBEB45">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1A791684">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八、其他</w:t>
      </w:r>
    </w:p>
    <w:p w14:paraId="4C292362">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）的合同份额占到合同总金额</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D3FACE7">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   </w:t>
      </w:r>
    </w:p>
    <w:p w14:paraId="50A04AD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5964E44F">
      <w:pPr>
        <w:snapToGrid w:val="0"/>
        <w:spacing w:line="360" w:lineRule="exact"/>
        <w:ind w:firstLine="840" w:firstLineChars="300"/>
        <w:rPr>
          <w:rFonts w:ascii="仿宋" w:hAnsi="仿宋" w:eastAsia="仿宋"/>
          <w:color w:val="auto"/>
          <w:sz w:val="28"/>
          <w:szCs w:val="28"/>
          <w:highlight w:val="none"/>
          <w:lang w:val="zh-CN"/>
        </w:rPr>
      </w:pPr>
    </w:p>
    <w:p w14:paraId="07A8A010">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18245D41">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w:t>
      </w:r>
    </w:p>
    <w:p w14:paraId="721613D1">
      <w:pPr>
        <w:snapToGrid w:val="0"/>
        <w:spacing w:line="400" w:lineRule="exact"/>
        <w:ind w:firstLine="840" w:firstLineChars="300"/>
        <w:rPr>
          <w:color w:val="auto"/>
          <w:highlight w:val="none"/>
        </w:rPr>
      </w:pPr>
      <w:r>
        <w:rPr>
          <w:rFonts w:hint="eastAsia" w:ascii="仿宋" w:hAnsi="仿宋" w:eastAsia="仿宋"/>
          <w:color w:val="auto"/>
          <w:sz w:val="28"/>
          <w:szCs w:val="28"/>
          <w:highlight w:val="none"/>
          <w:lang w:val="zh-CN"/>
        </w:rPr>
        <w:t xml:space="preserve">                                 日期：</w:t>
      </w:r>
      <w:r>
        <w:rPr>
          <w:rFonts w:hint="eastAsia" w:ascii="仿宋" w:hAnsi="仿宋" w:eastAsia="仿宋"/>
          <w:color w:val="auto"/>
          <w:sz w:val="28"/>
          <w:szCs w:val="28"/>
          <w:highlight w:val="none"/>
          <w:u w:val="single"/>
          <w:lang w:val="zh-CN"/>
        </w:rPr>
        <w:t xml:space="preserve">  年  月   日</w:t>
      </w:r>
    </w:p>
    <w:sectPr>
      <w:pgSz w:w="11906" w:h="16838"/>
      <w:pgMar w:top="1440" w:right="1106"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Kai-SB">
    <w:panose1 w:val="03000509000000000000"/>
    <w:charset w:val="88"/>
    <w:family w:val="script"/>
    <w:pitch w:val="default"/>
    <w:sig w:usb0="00000003" w:usb1="082E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 w:name="CG Times">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47BE">
    <w:pPr>
      <w:pStyle w:val="34"/>
      <w:ind w:right="720" w:firstLine="180" w:firstLineChars="100"/>
      <w:jc w:val="right"/>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FB63C6">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rect id="文本框 10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y8CJ98YBAACKAwAADgAAAAAAAAABACAAAAAfAQAAZHJzL2Uyb0RvYy54&#10;bWxQSwUGAAAAAAYABgBZAQAAVwUAAAAA&#10;">
              <v:fill on="f" focussize="0,0"/>
              <v:stroke on="f"/>
              <v:imagedata o:title=""/>
              <o:lock v:ext="edit" aspectratio="f"/>
              <v:textbox inset="0mm,0mm,0mm,0mm" style="mso-fit-shape-to-text:t;">
                <w:txbxContent>
                  <w:p w14:paraId="7AFB63C6">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v:textbox>
            </v:rect>
          </w:pict>
        </mc:Fallback>
      </mc:AlternateContent>
    </w:r>
  </w:p>
  <w:p w14:paraId="6FC9F568">
    <w:pPr>
      <w:pStyle w:val="34"/>
      <w:tabs>
        <w:tab w:val="left" w:pos="5361"/>
      </w:tabs>
      <w:ind w:right="720" w:firstLine="180" w:firstLineChars="100"/>
      <w:rPr>
        <w:rFonts w:hint="eastAsia"/>
      </w:rPr>
    </w:pP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20BF">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5693">
    <w:pPr>
      <w:pStyle w:val="3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08B2C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6YIZodIBAACfAwAADgAAAAAAAAABACAAAAAfAQAA&#10;ZHJzL2Uyb0RvYy54bWxQSwUGAAAAAAYABgBZAQAAYwUAAAAA&#10;">
              <v:fill on="f" focussize="0,0"/>
              <v:stroke on="f"/>
              <v:imagedata o:title=""/>
              <o:lock v:ext="edit" aspectratio="f"/>
              <v:textbox inset="0mm,0mm,0mm,0mm" style="mso-fit-shape-to-text:t;">
                <w:txbxContent>
                  <w:p w14:paraId="0E08B2C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7031">
    <w:pPr>
      <w:pStyle w:val="486"/>
      <w:jc w:val="center"/>
      <w:rPr>
        <w:rFonts w:hint="eastAsia" w:ascii="宋体" w:hAnsi="宋体" w:cs="宋体"/>
        <w:bCs/>
        <w:color w:val="000000"/>
        <w:sz w:val="21"/>
        <w:szCs w:val="21"/>
      </w:rPr>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DE5B">
    <w:pPr>
      <w:pStyle w:val="36"/>
      <w:rPr>
        <w:rFonts w:hint="default"/>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DA95A"/>
    <w:multiLevelType w:val="singleLevel"/>
    <w:tmpl w:val="D8ADA95A"/>
    <w:lvl w:ilvl="0" w:tentative="0">
      <w:start w:val="1"/>
      <w:numFmt w:val="decimal"/>
      <w:suff w:val="space"/>
      <w:lvlText w:val="%1."/>
      <w:lvlJc w:val="left"/>
    </w:lvl>
  </w:abstractNum>
  <w:abstractNum w:abstractNumId="1">
    <w:nsid w:val="00000002"/>
    <w:multiLevelType w:val="singleLevel"/>
    <w:tmpl w:val="00000002"/>
    <w:lvl w:ilvl="0" w:tentative="0">
      <w:start w:val="5"/>
      <w:numFmt w:val="decimal"/>
      <w:suff w:val="nothing"/>
      <w:lvlText w:val="（%1）"/>
      <w:lvlJc w:val="left"/>
    </w:lvl>
  </w:abstractNum>
  <w:abstractNum w:abstractNumId="2">
    <w:nsid w:val="00000003"/>
    <w:multiLevelType w:val="singleLevel"/>
    <w:tmpl w:val="00000003"/>
    <w:lvl w:ilvl="0" w:tentative="0">
      <w:start w:val="1"/>
      <w:numFmt w:val="decimal"/>
      <w:suff w:val="space"/>
      <w:lvlText w:val="%1."/>
      <w:lvlJc w:val="left"/>
    </w:lvl>
  </w:abstractNum>
  <w:abstractNum w:abstractNumId="3">
    <w:nsid w:val="00000006"/>
    <w:multiLevelType w:val="singleLevel"/>
    <w:tmpl w:val="00000006"/>
    <w:lvl w:ilvl="0" w:tentative="0">
      <w:start w:val="1"/>
      <w:numFmt w:val="decimal"/>
      <w:suff w:val="space"/>
      <w:lvlText w:val="%1."/>
      <w:lvlJc w:val="left"/>
    </w:lvl>
  </w:abstractNum>
  <w:abstractNum w:abstractNumId="4">
    <w:nsid w:val="0A410586"/>
    <w:multiLevelType w:val="multilevel"/>
    <w:tmpl w:val="0A410586"/>
    <w:lvl w:ilvl="0" w:tentative="0">
      <w:start w:val="6"/>
      <w:numFmt w:val="japaneseCounting"/>
      <w:lvlText w:val="%1、"/>
      <w:lvlJc w:val="left"/>
      <w:pPr>
        <w:ind w:left="977" w:hanging="49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40E7462"/>
    <w:multiLevelType w:val="singleLevel"/>
    <w:tmpl w:val="640E7462"/>
    <w:lvl w:ilvl="0" w:tentative="0">
      <w:start w:val="6"/>
      <w:numFmt w:val="decimal"/>
      <w:lvlText w:val="%1."/>
      <w:lvlJc w:val="left"/>
      <w:pPr>
        <w:tabs>
          <w:tab w:val="left" w:pos="312"/>
        </w:tabs>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48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2Q5MjRlNmExOTdkMDM4MzhjZTM2Mjc0OGM4MTEifQ=="/>
  </w:docVars>
  <w:rsids>
    <w:rsidRoot w:val="00000000"/>
    <w:rsid w:val="026F7CDB"/>
    <w:rsid w:val="03876D6B"/>
    <w:rsid w:val="03B169AD"/>
    <w:rsid w:val="04B81E61"/>
    <w:rsid w:val="04C063D7"/>
    <w:rsid w:val="059A1C9A"/>
    <w:rsid w:val="063607F1"/>
    <w:rsid w:val="06C65CA6"/>
    <w:rsid w:val="076E27BD"/>
    <w:rsid w:val="082066F6"/>
    <w:rsid w:val="08A20D04"/>
    <w:rsid w:val="0B01794E"/>
    <w:rsid w:val="0D782A7C"/>
    <w:rsid w:val="0E9C32EC"/>
    <w:rsid w:val="0F2729AB"/>
    <w:rsid w:val="10CA5E49"/>
    <w:rsid w:val="122907E8"/>
    <w:rsid w:val="12477B58"/>
    <w:rsid w:val="136E0A24"/>
    <w:rsid w:val="164D3B25"/>
    <w:rsid w:val="186B5368"/>
    <w:rsid w:val="19DE635C"/>
    <w:rsid w:val="1A8446CF"/>
    <w:rsid w:val="1AB23A71"/>
    <w:rsid w:val="1BD619E1"/>
    <w:rsid w:val="1D861831"/>
    <w:rsid w:val="1DBC4C07"/>
    <w:rsid w:val="1EEA0C04"/>
    <w:rsid w:val="1F6D2C39"/>
    <w:rsid w:val="1F941EB0"/>
    <w:rsid w:val="21932099"/>
    <w:rsid w:val="234436D4"/>
    <w:rsid w:val="23700025"/>
    <w:rsid w:val="23B960C2"/>
    <w:rsid w:val="278F3A45"/>
    <w:rsid w:val="27AD45EA"/>
    <w:rsid w:val="2ABB2A2D"/>
    <w:rsid w:val="2B9C061A"/>
    <w:rsid w:val="2BCF440F"/>
    <w:rsid w:val="2C506C46"/>
    <w:rsid w:val="30FC727B"/>
    <w:rsid w:val="31046251"/>
    <w:rsid w:val="32E26284"/>
    <w:rsid w:val="33215423"/>
    <w:rsid w:val="33A01380"/>
    <w:rsid w:val="37F60FE9"/>
    <w:rsid w:val="3B605478"/>
    <w:rsid w:val="3BFA6BCE"/>
    <w:rsid w:val="3C543CC3"/>
    <w:rsid w:val="3D5567B2"/>
    <w:rsid w:val="3EBE1EF8"/>
    <w:rsid w:val="3F991294"/>
    <w:rsid w:val="3FCB17B4"/>
    <w:rsid w:val="425A6618"/>
    <w:rsid w:val="427B20EB"/>
    <w:rsid w:val="441647C1"/>
    <w:rsid w:val="46153EA2"/>
    <w:rsid w:val="465B1773"/>
    <w:rsid w:val="486317FC"/>
    <w:rsid w:val="48BD520B"/>
    <w:rsid w:val="4A38723F"/>
    <w:rsid w:val="4B047FAD"/>
    <w:rsid w:val="4C2511A1"/>
    <w:rsid w:val="4D0A301F"/>
    <w:rsid w:val="4DE62AF9"/>
    <w:rsid w:val="519B61D1"/>
    <w:rsid w:val="52F145DB"/>
    <w:rsid w:val="541E108B"/>
    <w:rsid w:val="55D80A52"/>
    <w:rsid w:val="56373A45"/>
    <w:rsid w:val="56EB3C0A"/>
    <w:rsid w:val="57213857"/>
    <w:rsid w:val="57E948DE"/>
    <w:rsid w:val="58DD7FD9"/>
    <w:rsid w:val="59EA1BD8"/>
    <w:rsid w:val="5C0668B1"/>
    <w:rsid w:val="5DD6AD61"/>
    <w:rsid w:val="5F056BF5"/>
    <w:rsid w:val="5F221E14"/>
    <w:rsid w:val="5F797390"/>
    <w:rsid w:val="5FB762F8"/>
    <w:rsid w:val="627B1D3B"/>
    <w:rsid w:val="630C3F05"/>
    <w:rsid w:val="63975814"/>
    <w:rsid w:val="64AF84C6"/>
    <w:rsid w:val="65631607"/>
    <w:rsid w:val="66A15D14"/>
    <w:rsid w:val="66AA7FB2"/>
    <w:rsid w:val="6880545C"/>
    <w:rsid w:val="69AD3625"/>
    <w:rsid w:val="6C383807"/>
    <w:rsid w:val="70734EFA"/>
    <w:rsid w:val="70E14F12"/>
    <w:rsid w:val="71334131"/>
    <w:rsid w:val="72DD0C5B"/>
    <w:rsid w:val="759727BC"/>
    <w:rsid w:val="78153E6C"/>
    <w:rsid w:val="78727B97"/>
    <w:rsid w:val="795F14E6"/>
    <w:rsid w:val="79667075"/>
    <w:rsid w:val="798E1D1D"/>
    <w:rsid w:val="7A70182E"/>
    <w:rsid w:val="7AF729C0"/>
    <w:rsid w:val="7B09761E"/>
    <w:rsid w:val="7B7315D6"/>
    <w:rsid w:val="7BAA5C96"/>
    <w:rsid w:val="7CF72A56"/>
    <w:rsid w:val="7D8C7EAD"/>
    <w:rsid w:val="7E9E2E0E"/>
    <w:rsid w:val="B1FF9501"/>
    <w:rsid w:val="ECEE1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9"/>
    <w:pPr>
      <w:keepNext/>
      <w:keepLines/>
      <w:spacing w:before="340" w:after="330" w:line="576" w:lineRule="auto"/>
      <w:outlineLvl w:val="0"/>
    </w:pPr>
    <w:rPr>
      <w:b/>
      <w:bCs/>
      <w:kern w:val="44"/>
      <w:sz w:val="44"/>
      <w:szCs w:val="44"/>
    </w:rPr>
  </w:style>
  <w:style w:type="paragraph" w:styleId="2">
    <w:name w:val="heading 2"/>
    <w:basedOn w:val="1"/>
    <w:next w:val="1"/>
    <w:link w:val="100"/>
    <w:qFormat/>
    <w:uiPriority w:val="0"/>
    <w:pPr>
      <w:keepNext/>
      <w:keepLines/>
      <w:spacing w:before="260" w:after="260" w:line="413" w:lineRule="auto"/>
      <w:outlineLvl w:val="1"/>
    </w:pPr>
    <w:rPr>
      <w:b/>
      <w:bCs/>
      <w:kern w:val="44"/>
      <w:sz w:val="44"/>
      <w:szCs w:val="44"/>
    </w:rPr>
  </w:style>
  <w:style w:type="paragraph" w:styleId="4">
    <w:name w:val="heading 3"/>
    <w:basedOn w:val="1"/>
    <w:next w:val="1"/>
    <w:link w:val="76"/>
    <w:qFormat/>
    <w:uiPriority w:val="0"/>
    <w:pPr>
      <w:keepNext/>
      <w:keepLines/>
      <w:autoSpaceDE w:val="0"/>
      <w:autoSpaceDN w:val="0"/>
      <w:adjustRightInd w:val="0"/>
      <w:spacing w:before="360" w:after="120"/>
      <w:jc w:val="left"/>
      <w:outlineLvl w:val="2"/>
    </w:pPr>
    <w:rPr>
      <w:rFonts w:ascii="宋体" w:hAnsi="宋体"/>
      <w:b/>
      <w:kern w:val="0"/>
      <w:sz w:val="24"/>
      <w:szCs w:val="20"/>
    </w:rPr>
  </w:style>
  <w:style w:type="paragraph" w:styleId="5">
    <w:name w:val="heading 4"/>
    <w:basedOn w:val="1"/>
    <w:next w:val="1"/>
    <w:link w:val="77"/>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78"/>
    <w:qFormat/>
    <w:uiPriority w:val="0"/>
    <w:pPr>
      <w:keepNext/>
      <w:keepLines/>
      <w:spacing w:before="280" w:after="290" w:line="372" w:lineRule="auto"/>
      <w:outlineLvl w:val="4"/>
    </w:pPr>
    <w:rPr>
      <w:b/>
      <w:bCs/>
      <w:sz w:val="28"/>
      <w:szCs w:val="28"/>
    </w:rPr>
  </w:style>
  <w:style w:type="paragraph" w:styleId="7">
    <w:name w:val="heading 6"/>
    <w:basedOn w:val="1"/>
    <w:next w:val="1"/>
    <w:link w:val="79"/>
    <w:qFormat/>
    <w:uiPriority w:val="0"/>
    <w:pPr>
      <w:keepNext/>
      <w:keepLines/>
      <w:spacing w:before="240" w:after="64" w:line="317" w:lineRule="auto"/>
      <w:outlineLvl w:val="5"/>
    </w:pPr>
    <w:rPr>
      <w:rFonts w:ascii="Arial" w:hAnsi="Arial" w:eastAsia="黑体"/>
      <w:b/>
      <w:bCs/>
      <w:sz w:val="24"/>
      <w:szCs w:val="20"/>
    </w:rPr>
  </w:style>
  <w:style w:type="paragraph" w:styleId="8">
    <w:name w:val="heading 7"/>
    <w:basedOn w:val="1"/>
    <w:next w:val="1"/>
    <w:link w:val="80"/>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link w:val="8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82"/>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qFormat/>
    <w:uiPriority w:val="0"/>
  </w:style>
  <w:style w:type="table" w:default="1" w:styleId="53">
    <w:name w:val="Normal Table"/>
    <w:qFormat/>
    <w:uiPriority w:val="99"/>
    <w:tblPr>
      <w:tblCellMar>
        <w:top w:w="0" w:type="dxa"/>
        <w:left w:w="108" w:type="dxa"/>
        <w:bottom w:w="0" w:type="dxa"/>
        <w:right w:w="108" w:type="dxa"/>
      </w:tblCellMar>
    </w:tblPr>
  </w:style>
  <w:style w:type="paragraph" w:styleId="11">
    <w:name w:val="Note Heading"/>
    <w:basedOn w:val="1"/>
    <w:next w:val="1"/>
    <w:link w:val="83"/>
    <w:qFormat/>
    <w:uiPriority w:val="0"/>
    <w:pPr>
      <w:jc w:val="center"/>
    </w:pPr>
    <w:rPr>
      <w:rFonts w:ascii="DFKai-SB" w:hAnsi="DFKai-SB" w:eastAsia="DFKai-SB"/>
      <w:kern w:val="0"/>
      <w:sz w:val="20"/>
      <w:szCs w:val="20"/>
    </w:rPr>
  </w:style>
  <w:style w:type="paragraph" w:styleId="12">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3">
    <w:name w:val="Normal Indent"/>
    <w:basedOn w:val="1"/>
    <w:next w:val="14"/>
    <w:link w:val="84"/>
    <w:qFormat/>
    <w:uiPriority w:val="0"/>
    <w:pPr>
      <w:ind w:firstLine="420"/>
    </w:pPr>
    <w:rPr>
      <w:szCs w:val="20"/>
    </w:rPr>
  </w:style>
  <w:style w:type="paragraph" w:styleId="14">
    <w:name w:val="Body Text Indent"/>
    <w:basedOn w:val="1"/>
    <w:next w:val="1"/>
    <w:link w:val="88"/>
    <w:qFormat/>
    <w:uiPriority w:val="0"/>
    <w:pPr>
      <w:spacing w:line="200" w:lineRule="exact"/>
      <w:ind w:firstLine="301"/>
    </w:pPr>
    <w:rPr>
      <w:rFonts w:ascii="宋体" w:hAnsi="Courier New"/>
      <w:spacing w:val="-4"/>
      <w:sz w:val="18"/>
      <w:szCs w:val="20"/>
    </w:rPr>
  </w:style>
  <w:style w:type="paragraph" w:styleId="15">
    <w:name w:val="caption"/>
    <w:basedOn w:val="1"/>
    <w:next w:val="1"/>
    <w:link w:val="85"/>
    <w:qFormat/>
    <w:uiPriority w:val="0"/>
    <w:pPr>
      <w:spacing w:before="152" w:after="160"/>
    </w:pPr>
    <w:rPr>
      <w:rFonts w:ascii="Arial" w:hAnsi="Arial" w:eastAsia="黑体"/>
      <w:sz w:val="20"/>
      <w:szCs w:val="20"/>
    </w:rPr>
  </w:style>
  <w:style w:type="paragraph" w:styleId="16">
    <w:name w:val="List Bullet"/>
    <w:basedOn w:val="1"/>
    <w:qFormat/>
    <w:uiPriority w:val="0"/>
    <w:pPr>
      <w:widowControl/>
      <w:tabs>
        <w:tab w:val="left" w:pos="900"/>
      </w:tabs>
      <w:spacing w:before="100" w:beforeAutospacing="1" w:after="100" w:afterLines="50" w:afterAutospacing="1"/>
      <w:ind w:left="900" w:hanging="420"/>
      <w:jc w:val="left"/>
    </w:pPr>
    <w:rPr>
      <w:kern w:val="0"/>
      <w:szCs w:val="20"/>
    </w:rPr>
  </w:style>
  <w:style w:type="paragraph" w:styleId="17">
    <w:name w:val="Document Map"/>
    <w:basedOn w:val="1"/>
    <w:link w:val="86"/>
    <w:qFormat/>
    <w:uiPriority w:val="0"/>
    <w:pPr>
      <w:shd w:val="clear" w:color="auto" w:fill="000080"/>
    </w:pPr>
    <w:rPr>
      <w:shd w:val="clear" w:color="auto" w:fill="000080"/>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7"/>
    <w:qFormat/>
    <w:uiPriority w:val="0"/>
    <w:pPr>
      <w:jc w:val="left"/>
    </w:pPr>
  </w:style>
  <w:style w:type="paragraph" w:styleId="20">
    <w:name w:val="Salutation"/>
    <w:basedOn w:val="1"/>
    <w:next w:val="1"/>
    <w:qFormat/>
    <w:uiPriority w:val="0"/>
    <w:rPr>
      <w:sz w:val="24"/>
    </w:rPr>
  </w:style>
  <w:style w:type="paragraph" w:styleId="21">
    <w:name w:val="Body Text 3"/>
    <w:basedOn w:val="1"/>
    <w:qFormat/>
    <w:uiPriority w:val="0"/>
    <w:pPr>
      <w:snapToGrid w:val="0"/>
      <w:spacing w:before="50" w:after="50"/>
    </w:pPr>
    <w:rPr>
      <w:rFonts w:hAnsi="宋体" w:eastAsia="仿宋_GB2312"/>
      <w:b/>
      <w:bCs/>
      <w:sz w:val="24"/>
      <w:szCs w:val="20"/>
    </w:rPr>
  </w:style>
  <w:style w:type="paragraph" w:styleId="22">
    <w:name w:val="Body Text"/>
    <w:basedOn w:val="1"/>
    <w:next w:val="1"/>
    <w:link w:val="73"/>
    <w:qFormat/>
    <w:uiPriority w:val="0"/>
    <w:pPr>
      <w:spacing w:after="120"/>
    </w:pPr>
    <w:rPr>
      <w:rFonts w:ascii="宋体" w:hAnsi="宋体"/>
      <w:kern w:val="0"/>
      <w:sz w:val="24"/>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ind w:left="113" w:right="113"/>
      <w:jc w:val="center"/>
    </w:pPr>
    <w:rPr>
      <w:sz w:val="18"/>
    </w:rPr>
  </w:style>
  <w:style w:type="paragraph" w:styleId="26">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7">
    <w:name w:val="HTML Address"/>
    <w:basedOn w:val="1"/>
    <w:qFormat/>
    <w:uiPriority w:val="0"/>
    <w:rPr>
      <w:rFonts w:ascii="宋体" w:hAnsi="宋体"/>
      <w:i/>
      <w:iCs/>
      <w:kern w:val="0"/>
      <w:sz w:val="20"/>
    </w:rPr>
  </w:style>
  <w:style w:type="paragraph" w:styleId="28">
    <w:name w:val="toc 3"/>
    <w:basedOn w:val="1"/>
    <w:next w:val="1"/>
    <w:qFormat/>
    <w:uiPriority w:val="0"/>
    <w:pPr>
      <w:ind w:left="420"/>
      <w:jc w:val="left"/>
    </w:pPr>
    <w:rPr>
      <w:iCs/>
      <w:sz w:val="20"/>
      <w:szCs w:val="20"/>
    </w:rPr>
  </w:style>
  <w:style w:type="paragraph" w:styleId="29">
    <w:name w:val="Plain Text"/>
    <w:basedOn w:val="1"/>
    <w:next w:val="1"/>
    <w:link w:val="89"/>
    <w:qFormat/>
    <w:uiPriority w:val="0"/>
    <w:pPr>
      <w:spacing w:before="156" w:beforeLines="50" w:after="156" w:afterLines="50" w:line="400" w:lineRule="exact"/>
    </w:pPr>
    <w:rPr>
      <w:rFonts w:ascii="宋体" w:hAnsi="Courier New"/>
      <w:sz w:val="24"/>
    </w:rPr>
  </w:style>
  <w:style w:type="paragraph" w:styleId="30">
    <w:name w:val="Date"/>
    <w:basedOn w:val="1"/>
    <w:next w:val="1"/>
    <w:link w:val="90"/>
    <w:qFormat/>
    <w:uiPriority w:val="0"/>
    <w:pPr>
      <w:ind w:left="2500"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endnote text"/>
    <w:basedOn w:val="1"/>
    <w:qFormat/>
    <w:uiPriority w:val="0"/>
    <w:pPr>
      <w:snapToGrid w:val="0"/>
      <w:spacing w:after="156" w:afterLines="50"/>
      <w:jc w:val="left"/>
    </w:pPr>
    <w:rPr>
      <w:rFonts w:ascii="宋体"/>
      <w:snapToGrid w:val="0"/>
      <w:kern w:val="0"/>
      <w:szCs w:val="20"/>
    </w:rPr>
  </w:style>
  <w:style w:type="paragraph" w:styleId="33">
    <w:name w:val="Balloon Text"/>
    <w:basedOn w:val="1"/>
    <w:link w:val="91"/>
    <w:qFormat/>
    <w:uiPriority w:val="0"/>
    <w:rPr>
      <w:sz w:val="18"/>
      <w:szCs w:val="18"/>
    </w:rPr>
  </w:style>
  <w:style w:type="paragraph" w:styleId="34">
    <w:name w:val="footer"/>
    <w:basedOn w:val="1"/>
    <w:qFormat/>
    <w:uiPriority w:val="0"/>
    <w:pPr>
      <w:tabs>
        <w:tab w:val="center" w:pos="4153"/>
        <w:tab w:val="right" w:pos="8306"/>
      </w:tabs>
      <w:snapToGrid w:val="0"/>
      <w:jc w:val="left"/>
    </w:pPr>
    <w:rPr>
      <w:rFonts w:ascii="宋体" w:hAnsi="宋体" w:eastAsia="宋体" w:cs="Times New Roman"/>
      <w:sz w:val="18"/>
      <w:szCs w:val="20"/>
    </w:rPr>
  </w:style>
  <w:style w:type="paragraph" w:styleId="35">
    <w:name w:val="envelope return"/>
    <w:basedOn w:val="1"/>
    <w:qFormat/>
    <w:uiPriority w:val="99"/>
    <w:pPr>
      <w:snapToGrid w:val="0"/>
      <w:spacing w:line="360" w:lineRule="auto"/>
      <w:ind w:firstLine="200" w:firstLineChars="200"/>
    </w:pPr>
    <w:rPr>
      <w:rFonts w:ascii="Arial" w:hAnsi="Arial" w:eastAsia="等线" w:cs="等线"/>
      <w:spacing w:val="-10"/>
      <w:szCs w:val="20"/>
    </w:rPr>
  </w:style>
  <w:style w:type="paragraph" w:styleId="36">
    <w:name w:val="header"/>
    <w:basedOn w:val="1"/>
    <w:link w:val="92"/>
    <w:qFormat/>
    <w:uiPriority w:val="0"/>
    <w:pPr>
      <w:pBdr>
        <w:bottom w:val="single" w:color="auto" w:sz="6" w:space="1"/>
      </w:pBdr>
      <w:tabs>
        <w:tab w:val="center" w:pos="4153"/>
        <w:tab w:val="right" w:pos="8306"/>
      </w:tabs>
      <w:snapToGrid w:val="0"/>
      <w:jc w:val="center"/>
    </w:pPr>
    <w:rPr>
      <w:rFonts w:ascii="宋体" w:hAnsi="宋体"/>
      <w:kern w:val="0"/>
      <w:sz w:val="18"/>
      <w:szCs w:val="20"/>
    </w:rPr>
  </w:style>
  <w:style w:type="paragraph" w:styleId="37">
    <w:name w:val="toc 1"/>
    <w:basedOn w:val="1"/>
    <w:next w:val="1"/>
    <w:qFormat/>
    <w:uiPriority w:val="0"/>
  </w:style>
  <w:style w:type="paragraph" w:styleId="38">
    <w:name w:val="toc 4"/>
    <w:basedOn w:val="1"/>
    <w:next w:val="1"/>
    <w:qFormat/>
    <w:uiPriority w:val="39"/>
    <w:pPr>
      <w:ind w:left="840"/>
    </w:pPr>
  </w:style>
  <w:style w:type="paragraph" w:styleId="39">
    <w:name w:val="Subtitle"/>
    <w:basedOn w:val="1"/>
    <w:qFormat/>
    <w:uiPriority w:val="0"/>
    <w:pPr>
      <w:spacing w:after="156" w:afterLines="50"/>
      <w:jc w:val="center"/>
    </w:pPr>
    <w:rPr>
      <w:rFonts w:ascii="宋体"/>
      <w:i/>
      <w:snapToGrid w:val="0"/>
      <w:kern w:val="0"/>
      <w:sz w:val="36"/>
      <w:szCs w:val="20"/>
      <w:lang w:val="en-AU"/>
    </w:rPr>
  </w:style>
  <w:style w:type="paragraph" w:styleId="40">
    <w:name w:val="List"/>
    <w:basedOn w:val="1"/>
    <w:next w:val="1"/>
    <w:qFormat/>
    <w:uiPriority w:val="0"/>
    <w:pPr>
      <w:ind w:left="200" w:hanging="200" w:hangingChars="200"/>
    </w:pPr>
    <w:rPr>
      <w:sz w:val="28"/>
    </w:rPr>
  </w:style>
  <w:style w:type="paragraph" w:styleId="41">
    <w:name w:val="footnote text"/>
    <w:basedOn w:val="1"/>
    <w:qFormat/>
    <w:uiPriority w:val="0"/>
    <w:pPr>
      <w:snapToGrid w:val="0"/>
      <w:jc w:val="left"/>
    </w:pPr>
    <w:rPr>
      <w:rFonts w:ascii="宋体" w:hAnsi="宋体"/>
      <w:kern w:val="0"/>
      <w:sz w:val="18"/>
      <w:szCs w:val="18"/>
    </w:rPr>
  </w:style>
  <w:style w:type="paragraph" w:styleId="42">
    <w:name w:val="toc 6"/>
    <w:basedOn w:val="1"/>
    <w:next w:val="1"/>
    <w:qFormat/>
    <w:uiPriority w:val="0"/>
    <w:pPr>
      <w:ind w:left="1050"/>
      <w:jc w:val="left"/>
    </w:pPr>
    <w:rPr>
      <w:rFonts w:ascii="Calibri" w:hAnsi="Calibri" w:cs="Calibri"/>
      <w:sz w:val="18"/>
      <w:szCs w:val="18"/>
    </w:rPr>
  </w:style>
  <w:style w:type="paragraph" w:styleId="43">
    <w:name w:val="Body Text Indent 3"/>
    <w:basedOn w:val="1"/>
    <w:link w:val="93"/>
    <w:qFormat/>
    <w:uiPriority w:val="0"/>
    <w:pPr>
      <w:snapToGrid w:val="0"/>
      <w:ind w:firstLine="480" w:firstLineChars="200"/>
      <w:jc w:val="left"/>
    </w:pPr>
    <w:rPr>
      <w:rFonts w:ascii="仿宋_GB2312" w:hAnsi="宋体" w:eastAsia="仿宋_GB2312"/>
      <w:color w:val="000000"/>
      <w:sz w:val="24"/>
    </w:rPr>
  </w:style>
  <w:style w:type="paragraph" w:styleId="44">
    <w:name w:val="toc 2"/>
    <w:basedOn w:val="1"/>
    <w:next w:val="1"/>
    <w:qFormat/>
    <w:uiPriority w:val="0"/>
    <w:pPr>
      <w:ind w:left="210"/>
      <w:jc w:val="left"/>
    </w:pPr>
    <w:rPr>
      <w:smallCaps/>
      <w:sz w:val="20"/>
      <w:szCs w:val="20"/>
    </w:rPr>
  </w:style>
  <w:style w:type="paragraph" w:styleId="45">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46">
    <w:name w:val="HTML Preformatted"/>
    <w:basedOn w:val="1"/>
    <w:link w:val="94"/>
    <w:qFormat/>
    <w:uiPriority w:val="0"/>
    <w:rPr>
      <w:rFonts w:ascii="Courier New" w:hAnsi="Courier New"/>
      <w:sz w:val="20"/>
      <w:szCs w:val="20"/>
    </w:rPr>
  </w:style>
  <w:style w:type="paragraph" w:styleId="47">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48">
    <w:name w:val="index 1"/>
    <w:basedOn w:val="1"/>
    <w:next w:val="1"/>
    <w:qFormat/>
    <w:uiPriority w:val="0"/>
    <w:pPr>
      <w:adjustRightInd w:val="0"/>
      <w:spacing w:line="360" w:lineRule="atLeast"/>
      <w:jc w:val="center"/>
      <w:textAlignment w:val="baseline"/>
    </w:pPr>
    <w:rPr>
      <w:rFonts w:ascii="Arial" w:hAnsi="Arial"/>
      <w:szCs w:val="21"/>
    </w:rPr>
  </w:style>
  <w:style w:type="paragraph" w:styleId="49">
    <w:name w:val="Title"/>
    <w:basedOn w:val="1"/>
    <w:next w:val="1"/>
    <w:link w:val="95"/>
    <w:qFormat/>
    <w:uiPriority w:val="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19"/>
    <w:next w:val="19"/>
    <w:link w:val="96"/>
    <w:qFormat/>
    <w:uiPriority w:val="0"/>
    <w:rPr>
      <w:b/>
      <w:bCs/>
    </w:rPr>
  </w:style>
  <w:style w:type="paragraph" w:styleId="51">
    <w:name w:val="Body Text First Indent"/>
    <w:basedOn w:val="22"/>
    <w:next w:val="1"/>
    <w:qFormat/>
    <w:uiPriority w:val="0"/>
    <w:pPr>
      <w:ind w:firstLine="420"/>
    </w:pPr>
    <w:rPr>
      <w:rFonts w:hAnsi="Calibri" w:cs="Times New Roman"/>
      <w:snapToGrid/>
      <w:szCs w:val="20"/>
    </w:rPr>
  </w:style>
  <w:style w:type="paragraph" w:styleId="52">
    <w:name w:val="Body Text First Indent 2"/>
    <w:basedOn w:val="14"/>
    <w:next w:val="1"/>
    <w:link w:val="98"/>
    <w:qFormat/>
    <w:uiPriority w:val="0"/>
    <w:pPr>
      <w:spacing w:after="120" w:line="240" w:lineRule="auto"/>
      <w:ind w:left="420" w:leftChars="200" w:firstLine="420" w:firstLineChars="200"/>
    </w:pPr>
    <w:rPr>
      <w:rFonts w:ascii="Calibri" w:hAnsi="Calibri"/>
      <w:sz w:val="21"/>
      <w:szCs w:val="22"/>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99"/>
    <w:rPr>
      <w:color w:val="333333"/>
      <w:u w:val="none"/>
    </w:rPr>
  </w:style>
  <w:style w:type="character" w:styleId="59">
    <w:name w:val="Emphasis"/>
    <w:qFormat/>
    <w:uiPriority w:val="0"/>
    <w:rPr>
      <w:i/>
      <w:iCs/>
    </w:rPr>
  </w:style>
  <w:style w:type="character" w:styleId="60">
    <w:name w:val="HTML Definition"/>
    <w:qFormat/>
    <w:uiPriority w:val="0"/>
    <w:rPr>
      <w:i/>
      <w:iCs/>
    </w:rPr>
  </w:style>
  <w:style w:type="character" w:styleId="61">
    <w:name w:val="HTML Typewriter"/>
    <w:qFormat/>
    <w:uiPriority w:val="0"/>
    <w:rPr>
      <w:rFonts w:ascii="Courier New" w:hAnsi="Courier New"/>
      <w:sz w:val="20"/>
      <w:szCs w:val="20"/>
    </w:rPr>
  </w:style>
  <w:style w:type="character" w:styleId="62">
    <w:name w:val="HTML Acronym"/>
    <w:qFormat/>
    <w:uiPriority w:val="0"/>
  </w:style>
  <w:style w:type="character" w:styleId="63">
    <w:name w:val="HTML Variable"/>
    <w:qFormat/>
    <w:uiPriority w:val="0"/>
    <w:rPr>
      <w:i/>
      <w:iCs/>
    </w:rPr>
  </w:style>
  <w:style w:type="character" w:styleId="64">
    <w:name w:val="Hyperlink"/>
    <w:qFormat/>
    <w:uiPriority w:val="99"/>
    <w:rPr>
      <w:color w:val="333333"/>
      <w:u w:val="none"/>
    </w:rPr>
  </w:style>
  <w:style w:type="character" w:styleId="65">
    <w:name w:val="HTML Code"/>
    <w:qFormat/>
    <w:uiPriority w:val="0"/>
    <w:rPr>
      <w:rFonts w:ascii="Courier New" w:hAnsi="Courier New"/>
      <w:sz w:val="20"/>
      <w:szCs w:val="20"/>
    </w:rPr>
  </w:style>
  <w:style w:type="character" w:styleId="66">
    <w:name w:val="annotation reference"/>
    <w:qFormat/>
    <w:uiPriority w:val="0"/>
    <w:rPr>
      <w:sz w:val="21"/>
      <w:szCs w:val="21"/>
    </w:rPr>
  </w:style>
  <w:style w:type="character" w:styleId="67">
    <w:name w:val="HTML Cite"/>
    <w:qFormat/>
    <w:uiPriority w:val="0"/>
    <w:rPr>
      <w:i/>
      <w:iCs/>
    </w:rPr>
  </w:style>
  <w:style w:type="character" w:styleId="68">
    <w:name w:val="HTML Keyboard"/>
    <w:qFormat/>
    <w:uiPriority w:val="0"/>
    <w:rPr>
      <w:rFonts w:ascii="Courier New" w:hAnsi="Courier New"/>
      <w:sz w:val="20"/>
      <w:szCs w:val="20"/>
    </w:rPr>
  </w:style>
  <w:style w:type="character" w:styleId="69">
    <w:name w:val="HTML Sample"/>
    <w:qFormat/>
    <w:uiPriority w:val="0"/>
    <w:rPr>
      <w:rFonts w:ascii="Courier New" w:hAnsi="Courier New"/>
    </w:rPr>
  </w:style>
  <w:style w:type="paragraph" w:customStyle="1" w:styleId="70">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71">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72">
    <w:name w:val="Body Text First Indent1"/>
    <w:basedOn w:val="1"/>
    <w:next w:val="1"/>
    <w:qFormat/>
    <w:uiPriority w:val="0"/>
    <w:pPr>
      <w:spacing w:line="360" w:lineRule="auto"/>
      <w:ind w:firstLine="200" w:firstLineChars="200"/>
      <w:jc w:val="left"/>
    </w:pPr>
    <w:rPr>
      <w:bCs/>
      <w:sz w:val="24"/>
    </w:rPr>
  </w:style>
  <w:style w:type="character" w:customStyle="1" w:styleId="73">
    <w:name w:val="正文文本 字符"/>
    <w:link w:val="22"/>
    <w:qFormat/>
    <w:uiPriority w:val="0"/>
    <w:rPr>
      <w:rFonts w:ascii="宋体" w:hAnsi="宋体" w:eastAsia="宋体" w:cs="Times New Roman"/>
      <w:sz w:val="24"/>
      <w:szCs w:val="24"/>
    </w:rPr>
  </w:style>
  <w:style w:type="character" w:customStyle="1" w:styleId="74">
    <w:name w:val="标题 1 字符"/>
    <w:link w:val="3"/>
    <w:qFormat/>
    <w:uiPriority w:val="0"/>
    <w:rPr>
      <w:rFonts w:ascii="Times New Roman" w:hAnsi="Times New Roman" w:eastAsia="宋体" w:cs="Times New Roman"/>
      <w:b/>
      <w:bCs/>
      <w:kern w:val="44"/>
      <w:sz w:val="44"/>
      <w:szCs w:val="44"/>
      <w:lang w:val="en-US" w:eastAsia="zh-CN" w:bidi="ar-SA"/>
    </w:rPr>
  </w:style>
  <w:style w:type="character" w:customStyle="1" w:styleId="75">
    <w:name w:val="标题 2 Char"/>
    <w:link w:val="2"/>
    <w:qFormat/>
    <w:uiPriority w:val="0"/>
    <w:rPr>
      <w:rFonts w:ascii="Arial" w:hAnsi="Arial" w:eastAsia="黑体"/>
      <w:b/>
      <w:bCs/>
      <w:kern w:val="2"/>
      <w:sz w:val="32"/>
      <w:szCs w:val="32"/>
      <w:lang w:val="en-US" w:eastAsia="zh-CN" w:bidi="ar-SA"/>
    </w:rPr>
  </w:style>
  <w:style w:type="character" w:customStyle="1" w:styleId="76">
    <w:name w:val="标题 3 字符"/>
    <w:link w:val="4"/>
    <w:qFormat/>
    <w:uiPriority w:val="0"/>
    <w:rPr>
      <w:rFonts w:ascii="宋体" w:hAnsi="宋体" w:eastAsia="宋体" w:cs="Times New Roman"/>
      <w:b/>
      <w:sz w:val="24"/>
      <w:u w:val="none"/>
      <w:lang w:val="en-US" w:eastAsia="zh-CN" w:bidi="ar-SA"/>
    </w:rPr>
  </w:style>
  <w:style w:type="character" w:customStyle="1" w:styleId="77">
    <w:name w:val="标题 4 字符"/>
    <w:link w:val="5"/>
    <w:qFormat/>
    <w:uiPriority w:val="0"/>
    <w:rPr>
      <w:rFonts w:ascii="Arial" w:hAnsi="Arial" w:eastAsia="黑体"/>
      <w:b/>
      <w:bCs/>
      <w:kern w:val="2"/>
      <w:sz w:val="28"/>
      <w:szCs w:val="28"/>
      <w:lang w:val="en-US" w:eastAsia="zh-CN" w:bidi="ar-SA"/>
    </w:rPr>
  </w:style>
  <w:style w:type="character" w:customStyle="1" w:styleId="78">
    <w:name w:val="标题 5 字符"/>
    <w:link w:val="6"/>
    <w:qFormat/>
    <w:uiPriority w:val="0"/>
    <w:rPr>
      <w:rFonts w:eastAsia="宋体"/>
      <w:b/>
      <w:bCs/>
      <w:kern w:val="2"/>
      <w:sz w:val="28"/>
      <w:szCs w:val="28"/>
      <w:lang w:val="en-US" w:eastAsia="zh-CN" w:bidi="ar-SA"/>
    </w:rPr>
  </w:style>
  <w:style w:type="character" w:customStyle="1" w:styleId="79">
    <w:name w:val="标题 6 字符"/>
    <w:link w:val="7"/>
    <w:qFormat/>
    <w:uiPriority w:val="0"/>
    <w:rPr>
      <w:rFonts w:ascii="Arial" w:hAnsi="Arial" w:eastAsia="黑体"/>
      <w:b/>
      <w:bCs/>
      <w:kern w:val="2"/>
      <w:sz w:val="24"/>
      <w:lang w:val="en-US" w:eastAsia="zh-CN" w:bidi="ar-SA"/>
    </w:rPr>
  </w:style>
  <w:style w:type="character" w:customStyle="1" w:styleId="80">
    <w:name w:val="标题 7 字符"/>
    <w:link w:val="8"/>
    <w:qFormat/>
    <w:uiPriority w:val="0"/>
    <w:rPr>
      <w:rFonts w:ascii="宋体" w:eastAsia="仿宋_GB2312"/>
      <w:b/>
      <w:sz w:val="24"/>
    </w:rPr>
  </w:style>
  <w:style w:type="character" w:customStyle="1" w:styleId="81">
    <w:name w:val="标题 8 字符"/>
    <w:link w:val="9"/>
    <w:qFormat/>
    <w:uiPriority w:val="0"/>
    <w:rPr>
      <w:rFonts w:ascii="Arial" w:hAnsi="Arial" w:eastAsia="黑体"/>
      <w:sz w:val="24"/>
    </w:rPr>
  </w:style>
  <w:style w:type="character" w:customStyle="1" w:styleId="82">
    <w:name w:val="标题 9 字符"/>
    <w:link w:val="10"/>
    <w:qFormat/>
    <w:uiPriority w:val="0"/>
    <w:rPr>
      <w:rFonts w:ascii="Arial" w:hAnsi="Arial" w:eastAsia="黑体"/>
      <w:sz w:val="28"/>
    </w:rPr>
  </w:style>
  <w:style w:type="character" w:customStyle="1" w:styleId="83">
    <w:name w:val="注释标题 字符"/>
    <w:link w:val="11"/>
    <w:qFormat/>
    <w:uiPriority w:val="0"/>
    <w:rPr>
      <w:rFonts w:ascii="DFKai-SB" w:hAnsi="DFKai-SB" w:eastAsia="DFKai-SB"/>
      <w:lang w:bidi="ar-SA"/>
    </w:rPr>
  </w:style>
  <w:style w:type="character" w:customStyle="1" w:styleId="84">
    <w:name w:val="正文缩进 字符"/>
    <w:link w:val="13"/>
    <w:qFormat/>
    <w:uiPriority w:val="0"/>
    <w:rPr>
      <w:rFonts w:eastAsia="宋体"/>
      <w:kern w:val="2"/>
      <w:sz w:val="21"/>
      <w:lang w:val="en-US" w:eastAsia="zh-CN" w:bidi="ar-SA"/>
    </w:rPr>
  </w:style>
  <w:style w:type="character" w:customStyle="1" w:styleId="85">
    <w:name w:val="题注 字符"/>
    <w:link w:val="15"/>
    <w:qFormat/>
    <w:uiPriority w:val="0"/>
    <w:rPr>
      <w:rFonts w:ascii="Arial" w:hAnsi="Arial" w:eastAsia="黑体" w:cs="Arial"/>
      <w:kern w:val="2"/>
    </w:rPr>
  </w:style>
  <w:style w:type="character" w:customStyle="1" w:styleId="86">
    <w:name w:val="文档结构图 字符"/>
    <w:link w:val="17"/>
    <w:qFormat/>
    <w:uiPriority w:val="0"/>
    <w:rPr>
      <w:kern w:val="2"/>
      <w:sz w:val="21"/>
      <w:szCs w:val="24"/>
      <w:shd w:val="clear" w:color="auto" w:fill="000080"/>
    </w:rPr>
  </w:style>
  <w:style w:type="character" w:customStyle="1" w:styleId="87">
    <w:name w:val="批注文字 字符"/>
    <w:link w:val="19"/>
    <w:qFormat/>
    <w:uiPriority w:val="0"/>
    <w:rPr>
      <w:rFonts w:eastAsia="宋体"/>
      <w:kern w:val="2"/>
      <w:sz w:val="21"/>
      <w:szCs w:val="24"/>
      <w:lang w:val="en-US" w:eastAsia="zh-CN" w:bidi="ar-SA"/>
    </w:rPr>
  </w:style>
  <w:style w:type="character" w:customStyle="1" w:styleId="88">
    <w:name w:val="正文文本缩进 字符"/>
    <w:link w:val="14"/>
    <w:qFormat/>
    <w:uiPriority w:val="0"/>
    <w:rPr>
      <w:rFonts w:ascii="宋体" w:hAnsi="Courier New" w:eastAsia="宋体"/>
      <w:spacing w:val="-4"/>
      <w:kern w:val="2"/>
      <w:sz w:val="18"/>
      <w:lang w:val="en-US" w:eastAsia="zh-CN" w:bidi="ar-SA"/>
    </w:rPr>
  </w:style>
  <w:style w:type="character" w:customStyle="1" w:styleId="89">
    <w:name w:val="纯文本 字符"/>
    <w:link w:val="29"/>
    <w:qFormat/>
    <w:uiPriority w:val="0"/>
    <w:rPr>
      <w:rFonts w:ascii="宋体" w:hAnsi="Courier New" w:eastAsia="宋体"/>
      <w:kern w:val="2"/>
      <w:sz w:val="24"/>
      <w:szCs w:val="24"/>
      <w:lang w:val="en-US" w:eastAsia="zh-CN" w:bidi="ar-SA"/>
    </w:rPr>
  </w:style>
  <w:style w:type="character" w:customStyle="1" w:styleId="90">
    <w:name w:val="日期 字符"/>
    <w:link w:val="30"/>
    <w:qFormat/>
    <w:uiPriority w:val="0"/>
    <w:rPr>
      <w:rFonts w:eastAsia="楷体_GB2312"/>
      <w:kern w:val="2"/>
      <w:sz w:val="32"/>
    </w:rPr>
  </w:style>
  <w:style w:type="character" w:customStyle="1" w:styleId="91">
    <w:name w:val="批注框文本 字符"/>
    <w:link w:val="33"/>
    <w:qFormat/>
    <w:uiPriority w:val="0"/>
    <w:rPr>
      <w:kern w:val="2"/>
      <w:sz w:val="18"/>
      <w:szCs w:val="18"/>
    </w:rPr>
  </w:style>
  <w:style w:type="character" w:customStyle="1" w:styleId="92">
    <w:name w:val="页眉 字符"/>
    <w:link w:val="36"/>
    <w:qFormat/>
    <w:uiPriority w:val="0"/>
    <w:rPr>
      <w:rFonts w:ascii="宋体" w:hAnsi="宋体" w:eastAsia="宋体" w:cs="Times New Roman"/>
      <w:sz w:val="18"/>
      <w:szCs w:val="20"/>
    </w:rPr>
  </w:style>
  <w:style w:type="character" w:customStyle="1" w:styleId="93">
    <w:name w:val="正文文本缩进 3 字符"/>
    <w:link w:val="43"/>
    <w:qFormat/>
    <w:uiPriority w:val="0"/>
    <w:rPr>
      <w:rFonts w:ascii="仿宋_GB2312" w:hAnsi="宋体" w:eastAsia="仿宋_GB2312"/>
      <w:color w:val="000000"/>
      <w:kern w:val="2"/>
      <w:sz w:val="24"/>
      <w:szCs w:val="24"/>
      <w:lang w:val="en-US" w:eastAsia="zh-CN" w:bidi="ar-SA"/>
    </w:rPr>
  </w:style>
  <w:style w:type="character" w:customStyle="1" w:styleId="94">
    <w:name w:val="HTML 预设格式 字符"/>
    <w:link w:val="46"/>
    <w:qFormat/>
    <w:uiPriority w:val="0"/>
    <w:rPr>
      <w:rFonts w:ascii="Courier New" w:hAnsi="Courier New" w:cs="Courier New"/>
      <w:kern w:val="2"/>
    </w:rPr>
  </w:style>
  <w:style w:type="character" w:customStyle="1" w:styleId="95">
    <w:name w:val="标题 字符"/>
    <w:link w:val="49"/>
    <w:qFormat/>
    <w:uiPriority w:val="0"/>
    <w:rPr>
      <w:rFonts w:eastAsia="宋体"/>
      <w:b/>
      <w:sz w:val="24"/>
      <w:lang w:val="en-GB" w:eastAsia="zh-CN" w:bidi="ar-SA"/>
    </w:rPr>
  </w:style>
  <w:style w:type="character" w:customStyle="1" w:styleId="96">
    <w:name w:val="批注主题 字符"/>
    <w:link w:val="50"/>
    <w:qFormat/>
    <w:uiPriority w:val="0"/>
    <w:rPr>
      <w:rFonts w:eastAsia="宋体"/>
      <w:b/>
      <w:bCs/>
      <w:kern w:val="2"/>
      <w:sz w:val="21"/>
      <w:szCs w:val="24"/>
      <w:lang w:val="en-US" w:eastAsia="zh-CN" w:bidi="ar-SA"/>
    </w:rPr>
  </w:style>
  <w:style w:type="character" w:customStyle="1" w:styleId="97">
    <w:name w:val="正文文本首行缩进 字符"/>
    <w:qFormat/>
    <w:uiPriority w:val="0"/>
    <w:rPr>
      <w:rFonts w:ascii="宋体" w:hAnsi="宋体" w:eastAsia="宋体" w:cs="Times New Roman"/>
      <w:bCs/>
      <w:kern w:val="2"/>
      <w:sz w:val="24"/>
      <w:szCs w:val="24"/>
      <w:lang w:val="en-US" w:eastAsia="zh-CN" w:bidi="ar-SA"/>
    </w:rPr>
  </w:style>
  <w:style w:type="character" w:customStyle="1" w:styleId="98">
    <w:name w:val="正文文本首行缩进 2 字符"/>
    <w:link w:val="52"/>
    <w:qFormat/>
    <w:uiPriority w:val="0"/>
    <w:rPr>
      <w:rFonts w:ascii="Calibri" w:hAnsi="Calibri" w:eastAsia="宋体"/>
      <w:spacing w:val="-4"/>
      <w:kern w:val="2"/>
      <w:sz w:val="21"/>
      <w:szCs w:val="22"/>
      <w:lang w:val="en-US" w:eastAsia="zh-CN" w:bidi="ar-SA"/>
    </w:rPr>
  </w:style>
  <w:style w:type="character" w:customStyle="1" w:styleId="99">
    <w:name w:val="标题 1 Char"/>
    <w:link w:val="3"/>
    <w:qFormat/>
    <w:uiPriority w:val="9"/>
    <w:rPr>
      <w:b/>
      <w:bCs/>
      <w:kern w:val="44"/>
      <w:sz w:val="44"/>
      <w:szCs w:val="44"/>
    </w:rPr>
  </w:style>
  <w:style w:type="character" w:customStyle="1" w:styleId="100">
    <w:name w:val="标题 2 字符"/>
    <w:link w:val="2"/>
    <w:qFormat/>
    <w:uiPriority w:val="0"/>
    <w:rPr>
      <w:b/>
      <w:bCs/>
      <w:kern w:val="44"/>
      <w:sz w:val="44"/>
      <w:szCs w:val="44"/>
    </w:rPr>
  </w:style>
  <w:style w:type="paragraph" w:styleId="101">
    <w:name w:val="List Paragraph"/>
    <w:basedOn w:val="1"/>
    <w:link w:val="102"/>
    <w:qFormat/>
    <w:uiPriority w:val="0"/>
    <w:pPr>
      <w:ind w:firstLine="420" w:firstLineChars="200"/>
    </w:pPr>
  </w:style>
  <w:style w:type="character" w:customStyle="1" w:styleId="102">
    <w:name w:val="列表段落 字符"/>
    <w:link w:val="101"/>
    <w:qFormat/>
    <w:uiPriority w:val="0"/>
    <w:rPr>
      <w:rFonts w:eastAsia="宋体"/>
      <w:kern w:val="2"/>
      <w:sz w:val="21"/>
      <w:szCs w:val="24"/>
      <w:lang w:val="en-US" w:eastAsia="zh-CN" w:bidi="ar-SA"/>
    </w:rPr>
  </w:style>
  <w:style w:type="paragraph" w:customStyle="1" w:styleId="10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4">
    <w:name w:val="Body Text First Indent 2_8e46f345-1b7b-4616-b3eb-043bf4b0bb15"/>
    <w:basedOn w:val="105"/>
    <w:qFormat/>
    <w:uiPriority w:val="0"/>
    <w:pPr>
      <w:spacing w:after="120" w:line="240" w:lineRule="auto"/>
      <w:ind w:left="420" w:leftChars="200" w:firstLine="420"/>
    </w:pPr>
    <w:rPr>
      <w:rFonts w:cs="宋体"/>
      <w:sz w:val="21"/>
      <w:szCs w:val="21"/>
    </w:rPr>
  </w:style>
  <w:style w:type="paragraph" w:customStyle="1" w:styleId="105">
    <w:name w:val="Body Text Indent_4b70765f-8401-42c6-8eb6-5ffee982d488"/>
    <w:basedOn w:val="1"/>
    <w:qFormat/>
    <w:uiPriority w:val="0"/>
    <w:pPr>
      <w:spacing w:line="200" w:lineRule="exact"/>
      <w:ind w:firstLine="301"/>
    </w:pPr>
    <w:rPr>
      <w:rFonts w:ascii="宋体" w:hAnsi="Courier New"/>
      <w:spacing w:val="-4"/>
      <w:sz w:val="18"/>
      <w:szCs w:val="20"/>
    </w:rPr>
  </w:style>
  <w:style w:type="paragraph" w:customStyle="1" w:styleId="106">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font312"/>
    <w:qFormat/>
    <w:uiPriority w:val="0"/>
    <w:rPr>
      <w:rFonts w:hint="eastAsia" w:ascii="宋体" w:hAnsi="宋体" w:eastAsia="宋体" w:cs="宋体"/>
      <w:color w:val="000000"/>
      <w:sz w:val="20"/>
      <w:szCs w:val="20"/>
      <w:u w:val="none"/>
    </w:rPr>
  </w:style>
  <w:style w:type="character" w:customStyle="1" w:styleId="109">
    <w:name w:val="17"/>
    <w:qFormat/>
    <w:uiPriority w:val="0"/>
    <w:rPr>
      <w:rFonts w:hint="default" w:ascii="Arial" w:hAnsi="Arial" w:cs="Arial"/>
      <w:color w:val="000000"/>
      <w:sz w:val="18"/>
      <w:szCs w:val="18"/>
    </w:rPr>
  </w:style>
  <w:style w:type="character" w:customStyle="1" w:styleId="110">
    <w:name w:val="font161"/>
    <w:qFormat/>
    <w:uiPriority w:val="0"/>
    <w:rPr>
      <w:rFonts w:hint="eastAsia" w:ascii="宋体" w:hAnsi="宋体" w:eastAsia="宋体" w:cs="宋体"/>
      <w:color w:val="000000"/>
      <w:sz w:val="18"/>
      <w:szCs w:val="18"/>
      <w:u w:val="none"/>
    </w:rPr>
  </w:style>
  <w:style w:type="character" w:customStyle="1" w:styleId="111">
    <w:name w:val="font412"/>
    <w:qFormat/>
    <w:uiPriority w:val="0"/>
    <w:rPr>
      <w:rFonts w:hint="default" w:ascii="Arial" w:hAnsi="Arial" w:cs="Arial"/>
      <w:color w:val="000000"/>
      <w:sz w:val="18"/>
      <w:szCs w:val="18"/>
      <w:u w:val="none"/>
    </w:rPr>
  </w:style>
  <w:style w:type="character" w:customStyle="1" w:styleId="112">
    <w:name w:val="font212"/>
    <w:qFormat/>
    <w:uiPriority w:val="0"/>
    <w:rPr>
      <w:rFonts w:hint="eastAsia" w:ascii="宋体" w:hAnsi="宋体" w:eastAsia="宋体" w:cs="宋体"/>
      <w:color w:val="000000"/>
      <w:sz w:val="20"/>
      <w:szCs w:val="20"/>
      <w:u w:val="none"/>
    </w:rPr>
  </w:style>
  <w:style w:type="character" w:customStyle="1" w:styleId="113">
    <w:name w:val="font251"/>
    <w:qFormat/>
    <w:uiPriority w:val="0"/>
    <w:rPr>
      <w:rFonts w:hint="default" w:ascii="Arial" w:hAnsi="Arial" w:cs="Arial"/>
      <w:color w:val="000000"/>
      <w:sz w:val="20"/>
      <w:szCs w:val="20"/>
      <w:u w:val="none"/>
    </w:rPr>
  </w:style>
  <w:style w:type="character" w:customStyle="1" w:styleId="114">
    <w:name w:val="apple-converted-space"/>
    <w:qFormat/>
    <w:uiPriority w:val="0"/>
  </w:style>
  <w:style w:type="character" w:customStyle="1" w:styleId="115">
    <w:name w:val="tw4winMark"/>
    <w:qFormat/>
    <w:uiPriority w:val="0"/>
    <w:rPr>
      <w:rFonts w:ascii="Courier New" w:hAnsi="Courier New"/>
      <w:vanish/>
      <w:color w:val="800080"/>
      <w:vertAlign w:val="subscript"/>
    </w:rPr>
  </w:style>
  <w:style w:type="character" w:customStyle="1" w:styleId="116">
    <w:name w:val="para"/>
    <w:qFormat/>
    <w:uiPriority w:val="0"/>
  </w:style>
  <w:style w:type="character" w:customStyle="1" w:styleId="117">
    <w:name w:val="Char Char13"/>
    <w:qFormat/>
    <w:uiPriority w:val="0"/>
    <w:rPr>
      <w:rFonts w:ascii="宋体" w:hAnsi="宋体" w:eastAsia="宋体" w:cs="Times New Roman"/>
      <w:szCs w:val="24"/>
      <w:shd w:val="clear" w:color="auto" w:fill="000080"/>
    </w:rPr>
  </w:style>
  <w:style w:type="character" w:customStyle="1" w:styleId="118">
    <w:name w:val="页脚 Char Char"/>
    <w:qFormat/>
    <w:uiPriority w:val="0"/>
    <w:rPr>
      <w:rFonts w:ascii="宋体" w:hAnsi="宋体" w:eastAsia="宋体" w:cs="Times New Roman"/>
      <w:sz w:val="18"/>
      <w:szCs w:val="20"/>
    </w:rPr>
  </w:style>
  <w:style w:type="character" w:customStyle="1" w:styleId="119">
    <w:name w:val="五级条标题 Char Char"/>
    <w:link w:val="120"/>
    <w:qFormat/>
    <w:uiPriority w:val="0"/>
    <w:rPr>
      <w:lang w:val="en-US" w:eastAsia="zh-CN" w:bidi="ar-SA"/>
    </w:rPr>
  </w:style>
  <w:style w:type="paragraph" w:customStyle="1" w:styleId="120">
    <w:name w:val="五级条标题"/>
    <w:basedOn w:val="121"/>
    <w:next w:val="1"/>
    <w:link w:val="119"/>
    <w:qFormat/>
    <w:uiPriority w:val="0"/>
    <w:pPr>
      <w:tabs>
        <w:tab w:val="left" w:pos="420"/>
      </w:tabs>
      <w:ind w:left="420" w:hanging="420"/>
      <w:outlineLvl w:val="6"/>
    </w:pPr>
  </w:style>
  <w:style w:type="paragraph" w:customStyle="1" w:styleId="121">
    <w:name w:val="四级条标题"/>
    <w:basedOn w:val="122"/>
    <w:next w:val="1"/>
    <w:link w:val="128"/>
    <w:qFormat/>
    <w:uiPriority w:val="0"/>
    <w:pPr>
      <w:ind w:left="420"/>
      <w:outlineLvl w:val="5"/>
    </w:pPr>
  </w:style>
  <w:style w:type="paragraph" w:customStyle="1" w:styleId="122">
    <w:name w:val="三级条标题"/>
    <w:basedOn w:val="123"/>
    <w:next w:val="1"/>
    <w:link w:val="127"/>
    <w:qFormat/>
    <w:uiPriority w:val="0"/>
    <w:pPr>
      <w:ind w:left="420"/>
      <w:outlineLvl w:val="4"/>
    </w:pPr>
    <w:rPr>
      <w:rFonts w:ascii="Times New Roman" w:eastAsia="宋体"/>
      <w:sz w:val="20"/>
    </w:rPr>
  </w:style>
  <w:style w:type="paragraph" w:customStyle="1" w:styleId="123">
    <w:name w:val="二级条标题"/>
    <w:basedOn w:val="124"/>
    <w:next w:val="1"/>
    <w:qFormat/>
    <w:uiPriority w:val="0"/>
    <w:pPr>
      <w:ind w:left="420"/>
      <w:outlineLvl w:val="3"/>
    </w:pPr>
    <w:rPr>
      <w:lang w:val="en-US" w:eastAsia="zh-CN" w:bidi="ar-SA"/>
    </w:rPr>
  </w:style>
  <w:style w:type="paragraph" w:customStyle="1" w:styleId="124">
    <w:name w:val="一级条标题"/>
    <w:basedOn w:val="125"/>
    <w:next w:val="1"/>
    <w:qFormat/>
    <w:uiPriority w:val="0"/>
    <w:pPr>
      <w:ind w:left="420"/>
      <w:outlineLvl w:val="2"/>
    </w:pPr>
  </w:style>
  <w:style w:type="paragraph" w:customStyle="1" w:styleId="125">
    <w:name w:val="章标题"/>
    <w:next w:val="1"/>
    <w:link w:val="126"/>
    <w:qFormat/>
    <w:uiPriority w:val="0"/>
    <w:pPr>
      <w:spacing w:before="156" w:beforeLines="50" w:after="156" w:afterLines="50" w:line="400" w:lineRule="exact"/>
      <w:jc w:val="both"/>
      <w:outlineLvl w:val="1"/>
    </w:pPr>
    <w:rPr>
      <w:rFonts w:ascii="黑体" w:hAnsi="Times New Roman" w:eastAsia="黑体" w:cs="Times New Roman"/>
      <w:sz w:val="21"/>
      <w:lang w:val="en-US" w:eastAsia="zh-CN" w:bidi="ar-SA"/>
    </w:rPr>
  </w:style>
  <w:style w:type="character" w:customStyle="1" w:styleId="126">
    <w:name w:val="章标题 Char Char Char Char Char"/>
    <w:link w:val="125"/>
    <w:qFormat/>
    <w:uiPriority w:val="0"/>
    <w:rPr>
      <w:rFonts w:ascii="黑体" w:eastAsia="黑体"/>
      <w:sz w:val="21"/>
      <w:lang w:val="en-US" w:eastAsia="zh-CN" w:bidi="ar-SA"/>
    </w:rPr>
  </w:style>
  <w:style w:type="character" w:customStyle="1" w:styleId="127">
    <w:name w:val="三级条标题 Char Char"/>
    <w:link w:val="122"/>
    <w:qFormat/>
    <w:uiPriority w:val="0"/>
    <w:rPr>
      <w:lang w:val="en-US" w:eastAsia="zh-CN" w:bidi="ar-SA"/>
    </w:rPr>
  </w:style>
  <w:style w:type="character" w:customStyle="1" w:styleId="128">
    <w:name w:val="四级条标题 Char Char"/>
    <w:link w:val="121"/>
    <w:qFormat/>
    <w:uiPriority w:val="0"/>
    <w:rPr>
      <w:lang w:val="en-US" w:eastAsia="zh-CN" w:bidi="ar-SA"/>
    </w:rPr>
  </w:style>
  <w:style w:type="character" w:customStyle="1" w:styleId="129">
    <w:name w:val="样式 小四"/>
    <w:qFormat/>
    <w:uiPriority w:val="0"/>
    <w:rPr>
      <w:sz w:val="21"/>
    </w:rPr>
  </w:style>
  <w:style w:type="character" w:customStyle="1" w:styleId="130">
    <w:name w:val="一级条标题 Char Char Char Char"/>
    <w:qFormat/>
    <w:uiPriority w:val="0"/>
    <w:rPr>
      <w:lang w:val="en-US" w:eastAsia="zh-CN" w:bidi="ar-SA"/>
    </w:rPr>
  </w:style>
  <w:style w:type="character" w:customStyle="1" w:styleId="131">
    <w:name w:val="H1 Char1"/>
    <w:qFormat/>
    <w:uiPriority w:val="0"/>
    <w:rPr>
      <w:rFonts w:eastAsia="宋体"/>
      <w:b/>
      <w:bCs/>
      <w:kern w:val="44"/>
      <w:sz w:val="44"/>
      <w:szCs w:val="44"/>
      <w:lang w:bidi="ar-SA"/>
    </w:rPr>
  </w:style>
  <w:style w:type="character" w:customStyle="1" w:styleId="132">
    <w:name w:val="t91"/>
    <w:qFormat/>
    <w:uiPriority w:val="0"/>
  </w:style>
  <w:style w:type="character" w:customStyle="1" w:styleId="133">
    <w:name w:val="Char Char27"/>
    <w:qFormat/>
    <w:uiPriority w:val="0"/>
    <w:rPr>
      <w:rFonts w:ascii="宋体" w:hAnsi="宋体" w:eastAsia="黑体"/>
      <w:b/>
      <w:kern w:val="44"/>
      <w:sz w:val="36"/>
    </w:rPr>
  </w:style>
  <w:style w:type="character" w:customStyle="1" w:styleId="134">
    <w:name w:val="正文小标题 Char Char"/>
    <w:qFormat/>
    <w:uiPriority w:val="0"/>
    <w:rPr>
      <w:rFonts w:ascii="楷体_GB2312" w:eastAsia="楷体_GB2312"/>
      <w:kern w:val="2"/>
      <w:sz w:val="32"/>
      <w:lang w:bidi="ar-SA"/>
    </w:rPr>
  </w:style>
  <w:style w:type="character" w:customStyle="1" w:styleId="135">
    <w:name w:val="样式 样式3 + 宋体 五号 Char Char Char Char Char"/>
    <w:qFormat/>
    <w:uiPriority w:val="0"/>
    <w:rPr>
      <w:rFonts w:hint="eastAsia" w:ascii="宋体" w:hAnsi="宋体" w:eastAsia="宋体"/>
      <w:b/>
      <w:bCs/>
      <w:kern w:val="2"/>
      <w:sz w:val="21"/>
      <w:szCs w:val="24"/>
      <w:lang w:val="en-US" w:eastAsia="zh-CN" w:bidi="ar-SA"/>
    </w:rPr>
  </w:style>
  <w:style w:type="character" w:customStyle="1" w:styleId="136">
    <w:name w:val="font41"/>
    <w:qFormat/>
    <w:uiPriority w:val="0"/>
    <w:rPr>
      <w:rFonts w:hint="eastAsia" w:ascii="宋体" w:hAnsi="宋体" w:eastAsia="宋体" w:cs="宋体"/>
      <w:color w:val="000000"/>
      <w:sz w:val="20"/>
      <w:szCs w:val="20"/>
      <w:u w:val="none"/>
    </w:rPr>
  </w:style>
  <w:style w:type="character" w:customStyle="1" w:styleId="137">
    <w:name w:val="Char Char8"/>
    <w:qFormat/>
    <w:uiPriority w:val="0"/>
    <w:rPr>
      <w:rFonts w:ascii="宋体" w:hAnsi="宋体"/>
      <w:kern w:val="2"/>
      <w:sz w:val="18"/>
    </w:rPr>
  </w:style>
  <w:style w:type="character" w:customStyle="1" w:styleId="138">
    <w:name w:val="huide001"/>
    <w:qFormat/>
    <w:uiPriority w:val="0"/>
    <w:rPr>
      <w:rFonts w:hint="default" w:ascii="Arial" w:hAnsi="Arial" w:cs="Arial"/>
      <w:color w:val="666666"/>
      <w:sz w:val="18"/>
      <w:szCs w:val="18"/>
    </w:rPr>
  </w:style>
  <w:style w:type="character" w:customStyle="1" w:styleId="139">
    <w:name w:val="A C"/>
    <w:qFormat/>
    <w:uiPriority w:val="0"/>
    <w:rPr>
      <w:rFonts w:ascii="仿宋_GB2312"/>
      <w:bCs/>
      <w:iCs/>
      <w:sz w:val="24"/>
    </w:rPr>
  </w:style>
  <w:style w:type="character" w:customStyle="1" w:styleId="140">
    <w:name w:val="point_normal1"/>
    <w:qFormat/>
    <w:uiPriority w:val="0"/>
    <w:rPr>
      <w:rFonts w:hint="default" w:ascii="Arial" w:hAnsi="Arial" w:cs="Arial"/>
      <w:sz w:val="18"/>
      <w:szCs w:val="18"/>
    </w:rPr>
  </w:style>
  <w:style w:type="character" w:customStyle="1" w:styleId="141">
    <w:name w:val="个人撰写风格"/>
    <w:qFormat/>
    <w:uiPriority w:val="0"/>
    <w:rPr>
      <w:rFonts w:ascii="Arial" w:hAnsi="Arial" w:eastAsia="宋体" w:cs="Arial"/>
      <w:color w:val="auto"/>
      <w:sz w:val="20"/>
    </w:rPr>
  </w:style>
  <w:style w:type="character" w:customStyle="1" w:styleId="142">
    <w:name w:val="_Style 141"/>
    <w:qFormat/>
    <w:uiPriority w:val="0"/>
    <w:rPr>
      <w:color w:val="605E5C"/>
      <w:shd w:val="clear" w:color="auto" w:fill="E1DFDD"/>
    </w:rPr>
  </w:style>
  <w:style w:type="character" w:customStyle="1" w:styleId="143">
    <w:name w:val="正文缩进2字符 Char Char"/>
    <w:link w:val="144"/>
    <w:qFormat/>
    <w:uiPriority w:val="0"/>
    <w:rPr>
      <w:rFonts w:eastAsia="宋体"/>
      <w:kern w:val="2"/>
      <w:sz w:val="24"/>
      <w:szCs w:val="24"/>
      <w:lang w:bidi="ar-SA"/>
    </w:rPr>
  </w:style>
  <w:style w:type="paragraph" w:customStyle="1" w:styleId="144">
    <w:name w:val="正文缩进2字符"/>
    <w:basedOn w:val="1"/>
    <w:link w:val="143"/>
    <w:qFormat/>
    <w:uiPriority w:val="0"/>
    <w:pPr>
      <w:spacing w:line="360" w:lineRule="auto"/>
      <w:ind w:firstLine="480" w:firstLineChars="200"/>
    </w:pPr>
    <w:rPr>
      <w:sz w:val="24"/>
    </w:rPr>
  </w:style>
  <w:style w:type="character" w:customStyle="1" w:styleId="145">
    <w:name w:val="Normal Indent Char"/>
    <w:qFormat/>
    <w:uiPriority w:val="0"/>
    <w:rPr>
      <w:rFonts w:ascii="Calibri" w:hAnsi="Calibri" w:eastAsia="宋体"/>
      <w:kern w:val="0"/>
      <w:sz w:val="20"/>
    </w:rPr>
  </w:style>
  <w:style w:type="character" w:customStyle="1" w:styleId="146">
    <w:name w:val="unnamed24"/>
    <w:qFormat/>
    <w:uiPriority w:val="0"/>
  </w:style>
  <w:style w:type="character" w:customStyle="1" w:styleId="147">
    <w:name w:val="fontblank12"/>
    <w:qFormat/>
    <w:uiPriority w:val="0"/>
  </w:style>
  <w:style w:type="character" w:customStyle="1" w:styleId="148">
    <w:name w:val="Char Char15"/>
    <w:qFormat/>
    <w:uiPriority w:val="0"/>
    <w:rPr>
      <w:rFonts w:ascii="宋体" w:hAnsi="Courier New" w:eastAsia="宋体" w:cs="Times New Roman"/>
      <w:sz w:val="28"/>
      <w:szCs w:val="20"/>
    </w:rPr>
  </w:style>
  <w:style w:type="character" w:customStyle="1" w:styleId="149">
    <w:name w:val="正文文本 Char1"/>
    <w:qFormat/>
    <w:uiPriority w:val="0"/>
    <w:rPr>
      <w:rFonts w:ascii="Times New Roman" w:hAnsi="Times New Roman" w:eastAsia="宋体" w:cs="Times New Roman"/>
      <w:szCs w:val="24"/>
    </w:rPr>
  </w:style>
  <w:style w:type="character" w:customStyle="1" w:styleId="150">
    <w:name w:val="Char Char18"/>
    <w:qFormat/>
    <w:uiPriority w:val="0"/>
    <w:rPr>
      <w:rFonts w:ascii="宋体" w:hAnsi="宋体"/>
      <w:kern w:val="2"/>
      <w:sz w:val="18"/>
    </w:rPr>
  </w:style>
  <w:style w:type="character" w:customStyle="1" w:styleId="151">
    <w:name w:val="标题 3 Char2"/>
    <w:qFormat/>
    <w:uiPriority w:val="0"/>
    <w:rPr>
      <w:rFonts w:ascii="宋体" w:eastAsia="宋体"/>
      <w:b/>
      <w:sz w:val="24"/>
      <w:u w:val="single"/>
      <w:lang w:val="en-US" w:eastAsia="zh-CN" w:bidi="ar-SA"/>
    </w:rPr>
  </w:style>
  <w:style w:type="character" w:customStyle="1" w:styleId="152">
    <w:name w:val="Char Char9"/>
    <w:qFormat/>
    <w:uiPriority w:val="0"/>
    <w:rPr>
      <w:rFonts w:ascii="宋体" w:hAnsi="宋体" w:eastAsia="宋体" w:cs="Times New Roman"/>
      <w:sz w:val="28"/>
      <w:szCs w:val="24"/>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b titlename wangputoptitle"/>
    <w:qFormat/>
    <w:uiPriority w:val="0"/>
  </w:style>
  <w:style w:type="character" w:customStyle="1" w:styleId="155">
    <w:name w:val="font71"/>
    <w:qFormat/>
    <w:uiPriority w:val="0"/>
    <w:rPr>
      <w:rFonts w:hint="default" w:ascii="Calibri" w:hAnsi="Calibri" w:cs="Calibri"/>
      <w:color w:val="000000"/>
      <w:sz w:val="18"/>
      <w:szCs w:val="18"/>
      <w:u w:val="none"/>
    </w:rPr>
  </w:style>
  <w:style w:type="character" w:customStyle="1" w:styleId="156">
    <w:name w:val="font31"/>
    <w:basedOn w:val="55"/>
    <w:qFormat/>
    <w:uiPriority w:val="0"/>
    <w:rPr>
      <w:rFonts w:hint="eastAsia" w:ascii="宋体" w:hAnsi="宋体" w:eastAsia="宋体" w:cs="宋体"/>
      <w:color w:val="000000"/>
      <w:sz w:val="21"/>
      <w:szCs w:val="21"/>
      <w:u w:val="none"/>
    </w:rPr>
  </w:style>
  <w:style w:type="character" w:customStyle="1" w:styleId="157">
    <w:name w:val="tw4winJump"/>
    <w:qFormat/>
    <w:uiPriority w:val="0"/>
    <w:rPr>
      <w:rFonts w:ascii="Courier New" w:hAnsi="Courier New"/>
      <w:color w:val="008080"/>
    </w:rPr>
  </w:style>
  <w:style w:type="character" w:customStyle="1" w:styleId="158">
    <w:name w:val="specinfo"/>
    <w:qFormat/>
    <w:uiPriority w:val="0"/>
  </w:style>
  <w:style w:type="character" w:customStyle="1" w:styleId="159">
    <w:name w:val="Char Char17"/>
    <w:qFormat/>
    <w:uiPriority w:val="0"/>
    <w:rPr>
      <w:rFonts w:ascii="宋体" w:hAnsi="宋体" w:eastAsia="宋体" w:cs="Times New Roman"/>
      <w:szCs w:val="20"/>
    </w:rPr>
  </w:style>
  <w:style w:type="character" w:customStyle="1" w:styleId="160">
    <w:name w:val="Char Char11"/>
    <w:qFormat/>
    <w:uiPriority w:val="0"/>
    <w:rPr>
      <w:rFonts w:ascii="宋体" w:hAnsi="宋体" w:eastAsia="宋体" w:cs="Times New Roman"/>
      <w:sz w:val="28"/>
      <w:szCs w:val="20"/>
    </w:rPr>
  </w:style>
  <w:style w:type="character" w:customStyle="1" w:styleId="161">
    <w:name w:val="style60"/>
    <w:qFormat/>
    <w:uiPriority w:val="0"/>
  </w:style>
  <w:style w:type="character" w:customStyle="1" w:styleId="162">
    <w:name w:val="Char Char26"/>
    <w:qFormat/>
    <w:uiPriority w:val="0"/>
    <w:rPr>
      <w:rFonts w:ascii="CG Times" w:hAnsi="CG Times"/>
      <w:b/>
      <w:kern w:val="2"/>
      <w:sz w:val="30"/>
    </w:rPr>
  </w:style>
  <w:style w:type="character" w:customStyle="1" w:styleId="163">
    <w:name w:val="正文（缩进） Char Char"/>
    <w:link w:val="164"/>
    <w:qFormat/>
    <w:uiPriority w:val="0"/>
    <w:rPr>
      <w:sz w:val="24"/>
      <w:szCs w:val="24"/>
    </w:rPr>
  </w:style>
  <w:style w:type="paragraph" w:customStyle="1" w:styleId="164">
    <w:name w:val="正文（缩进）"/>
    <w:basedOn w:val="1"/>
    <w:link w:val="163"/>
    <w:qFormat/>
    <w:uiPriority w:val="0"/>
    <w:pPr>
      <w:spacing w:before="156" w:beforeLines="50" w:after="156" w:afterLines="50" w:line="360" w:lineRule="auto"/>
      <w:ind w:firstLine="480" w:firstLineChars="200"/>
    </w:pPr>
    <w:rPr>
      <w:kern w:val="0"/>
      <w:sz w:val="24"/>
    </w:rPr>
  </w:style>
  <w:style w:type="character" w:customStyle="1" w:styleId="165">
    <w:name w:val="arial1"/>
    <w:qFormat/>
    <w:uiPriority w:val="0"/>
    <w:rPr>
      <w:rFonts w:hint="default" w:ascii="Arial" w:hAnsi="Arial" w:cs="Arial"/>
    </w:rPr>
  </w:style>
  <w:style w:type="character" w:customStyle="1" w:styleId="166">
    <w:name w:val="unnamed31"/>
    <w:qFormat/>
    <w:uiPriority w:val="0"/>
    <w:rPr>
      <w:sz w:val="30"/>
      <w:szCs w:val="30"/>
    </w:rPr>
  </w:style>
  <w:style w:type="character" w:customStyle="1" w:styleId="167">
    <w:name w:val="正文表标题 Char Char"/>
    <w:link w:val="168"/>
    <w:qFormat/>
    <w:uiPriority w:val="0"/>
    <w:rPr>
      <w:rFonts w:ascii="黑体" w:hAnsi="宋体" w:eastAsia="黑体"/>
      <w:kern w:val="2"/>
      <w:sz w:val="21"/>
      <w:szCs w:val="24"/>
      <w:lang w:val="en-US" w:eastAsia="zh-CN" w:bidi="ar-SA"/>
    </w:rPr>
  </w:style>
  <w:style w:type="paragraph" w:customStyle="1" w:styleId="168">
    <w:name w:val="正文表标题"/>
    <w:next w:val="169"/>
    <w:link w:val="167"/>
    <w:qFormat/>
    <w:uiPriority w:val="0"/>
    <w:pPr>
      <w:tabs>
        <w:tab w:val="left" w:pos="360"/>
      </w:tabs>
      <w:ind w:left="3780"/>
      <w:jc w:val="center"/>
    </w:pPr>
    <w:rPr>
      <w:rFonts w:ascii="黑体" w:hAnsi="宋体" w:eastAsia="黑体" w:cs="Times New Roman"/>
      <w:kern w:val="2"/>
      <w:sz w:val="21"/>
      <w:szCs w:val="24"/>
      <w:lang w:val="en-US" w:eastAsia="zh-CN" w:bidi="ar-SA"/>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0">
    <w:name w:val="style11"/>
    <w:qFormat/>
    <w:uiPriority w:val="0"/>
    <w:rPr>
      <w:rFonts w:eastAsia="宋体"/>
      <w:kern w:val="2"/>
      <w:sz w:val="21"/>
      <w:szCs w:val="21"/>
      <w:lang w:val="en-US" w:eastAsia="zh-CN"/>
    </w:rPr>
  </w:style>
  <w:style w:type="character" w:customStyle="1" w:styleId="171">
    <w:name w:val="章标题 Char Char Char Char"/>
    <w:link w:val="172"/>
    <w:qFormat/>
    <w:uiPriority w:val="0"/>
    <w:rPr>
      <w:rFonts w:ascii="黑体" w:hAnsi="宋体" w:eastAsia="黑体"/>
      <w:kern w:val="2"/>
      <w:sz w:val="21"/>
      <w:szCs w:val="24"/>
      <w:lang w:val="en-US" w:eastAsia="zh-CN" w:bidi="ar-SA"/>
    </w:rPr>
  </w:style>
  <w:style w:type="paragraph" w:customStyle="1" w:styleId="172">
    <w:name w:val="章标题 Char Char"/>
    <w:next w:val="1"/>
    <w:link w:val="171"/>
    <w:qFormat/>
    <w:uiPriority w:val="0"/>
    <w:pPr>
      <w:spacing w:before="156" w:beforeLines="50" w:after="156" w:afterLines="50"/>
      <w:ind w:left="840" w:hanging="420"/>
      <w:jc w:val="both"/>
      <w:outlineLvl w:val="1"/>
    </w:pPr>
    <w:rPr>
      <w:rFonts w:ascii="黑体" w:hAnsi="宋体" w:eastAsia="黑体" w:cs="Times New Roman"/>
      <w:kern w:val="2"/>
      <w:sz w:val="21"/>
      <w:szCs w:val="24"/>
      <w:lang w:val="en-US" w:eastAsia="zh-CN" w:bidi="ar-SA"/>
    </w:rPr>
  </w:style>
  <w:style w:type="character" w:customStyle="1" w:styleId="173">
    <w:name w:val="ask-title"/>
    <w:qFormat/>
    <w:uiPriority w:val="0"/>
  </w:style>
  <w:style w:type="character" w:customStyle="1" w:styleId="174">
    <w:name w:val="font11"/>
    <w:qFormat/>
    <w:uiPriority w:val="0"/>
    <w:rPr>
      <w:rFonts w:hint="eastAsia" w:ascii="宋体" w:hAnsi="宋体" w:eastAsia="宋体" w:cs="宋体"/>
      <w:color w:val="000000"/>
      <w:sz w:val="20"/>
      <w:szCs w:val="20"/>
      <w:u w:val="none"/>
    </w:rPr>
  </w:style>
  <w:style w:type="character" w:customStyle="1" w:styleId="175">
    <w:name w:val="!我的正文 Ctr+Q Char Char"/>
    <w:link w:val="176"/>
    <w:qFormat/>
    <w:uiPriority w:val="0"/>
    <w:rPr>
      <w:rFonts w:ascii="Arial" w:hAnsi="Arial" w:eastAsia="宋体"/>
      <w:kern w:val="2"/>
      <w:sz w:val="24"/>
      <w:szCs w:val="21"/>
      <w:lang w:val="en-US" w:eastAsia="zh-CN" w:bidi="ar-SA"/>
    </w:rPr>
  </w:style>
  <w:style w:type="paragraph" w:customStyle="1" w:styleId="176">
    <w:name w:val="!我的正文 Ctr+Q"/>
    <w:basedOn w:val="1"/>
    <w:link w:val="175"/>
    <w:qFormat/>
    <w:uiPriority w:val="0"/>
    <w:pPr>
      <w:adjustRightInd w:val="0"/>
      <w:snapToGrid w:val="0"/>
      <w:spacing w:line="360" w:lineRule="auto"/>
      <w:ind w:firstLine="480" w:firstLineChars="200"/>
    </w:pPr>
    <w:rPr>
      <w:rFonts w:ascii="Arial" w:hAnsi="Arial"/>
      <w:sz w:val="24"/>
      <w:szCs w:val="21"/>
    </w:rPr>
  </w:style>
  <w:style w:type="character" w:customStyle="1" w:styleId="177">
    <w:name w:val="big14"/>
    <w:qFormat/>
    <w:uiPriority w:val="0"/>
  </w:style>
  <w:style w:type="character" w:customStyle="1" w:styleId="178">
    <w:name w:val="h2 Char"/>
    <w:qFormat/>
    <w:uiPriority w:val="0"/>
    <w:rPr>
      <w:rFonts w:ascii="宋体" w:hAnsi="宋体" w:eastAsia="宋体"/>
      <w:bCs/>
      <w:kern w:val="24"/>
      <w:sz w:val="24"/>
      <w:szCs w:val="24"/>
      <w:lang w:val="en-US" w:eastAsia="zh-CN" w:bidi="ar-SA"/>
    </w:rPr>
  </w:style>
  <w:style w:type="character" w:customStyle="1" w:styleId="179">
    <w:name w:val="二级条标题 Char Char Char"/>
    <w:qFormat/>
    <w:uiPriority w:val="0"/>
    <w:rPr>
      <w:lang w:val="en-US" w:eastAsia="zh-CN" w:bidi="ar-SA"/>
    </w:rPr>
  </w:style>
  <w:style w:type="character" w:customStyle="1" w:styleId="180">
    <w:name w:val="pagetitle"/>
    <w:qFormat/>
    <w:uiPriority w:val="0"/>
  </w:style>
  <w:style w:type="character" w:customStyle="1" w:styleId="181">
    <w:name w:val="一级无标题条 Char Char"/>
    <w:link w:val="182"/>
    <w:qFormat/>
    <w:uiPriority w:val="0"/>
    <w:rPr>
      <w:rFonts w:ascii="宋体" w:hAnsi="宋体" w:eastAsia="宋体"/>
      <w:szCs w:val="24"/>
      <w:lang w:bidi="ar-SA"/>
    </w:rPr>
  </w:style>
  <w:style w:type="paragraph" w:customStyle="1" w:styleId="182">
    <w:name w:val="一级无标题条"/>
    <w:basedOn w:val="1"/>
    <w:link w:val="181"/>
    <w:qFormat/>
    <w:uiPriority w:val="0"/>
    <w:rPr>
      <w:rFonts w:ascii="宋体" w:hAnsi="宋体"/>
      <w:kern w:val="0"/>
      <w:sz w:val="20"/>
    </w:rPr>
  </w:style>
  <w:style w:type="character" w:customStyle="1" w:styleId="183">
    <w:name w:val="tw4winError"/>
    <w:qFormat/>
    <w:uiPriority w:val="0"/>
    <w:rPr>
      <w:rFonts w:ascii="Courier New" w:hAnsi="Courier New"/>
      <w:color w:val="00FF00"/>
      <w:sz w:val="40"/>
    </w:rPr>
  </w:style>
  <w:style w:type="character" w:customStyle="1" w:styleId="184">
    <w:name w:val="normal91"/>
    <w:qFormat/>
    <w:uiPriority w:val="0"/>
    <w:rPr>
      <w:sz w:val="20"/>
      <w:szCs w:val="20"/>
    </w:rPr>
  </w:style>
  <w:style w:type="character" w:customStyle="1" w:styleId="185">
    <w:name w:val="line1"/>
    <w:qFormat/>
    <w:uiPriority w:val="0"/>
    <w:rPr>
      <w:u w:val="none"/>
    </w:rPr>
  </w:style>
  <w:style w:type="character" w:customStyle="1" w:styleId="186">
    <w:name w:val="个人答复风格"/>
    <w:qFormat/>
    <w:uiPriority w:val="0"/>
    <w:rPr>
      <w:rFonts w:ascii="Arial" w:hAnsi="Arial" w:eastAsia="宋体" w:cs="Arial"/>
      <w:color w:val="auto"/>
      <w:sz w:val="20"/>
    </w:rPr>
  </w:style>
  <w:style w:type="character" w:customStyle="1" w:styleId="187">
    <w:name w:val="font121"/>
    <w:qFormat/>
    <w:uiPriority w:val="0"/>
    <w:rPr>
      <w:rFonts w:hint="eastAsia" w:ascii="宋体" w:hAnsi="宋体" w:eastAsia="宋体" w:cs="宋体"/>
      <w:color w:val="000000"/>
      <w:sz w:val="22"/>
      <w:szCs w:val="22"/>
      <w:u w:val="none"/>
    </w:rPr>
  </w:style>
  <w:style w:type="character" w:customStyle="1" w:styleId="188">
    <w:name w:val="标题 3 Char"/>
    <w:qFormat/>
    <w:uiPriority w:val="0"/>
    <w:rPr>
      <w:rFonts w:ascii="宋体" w:eastAsia="宋体"/>
      <w:b/>
      <w:sz w:val="24"/>
      <w:u w:val="single"/>
      <w:lang w:val="en-US" w:eastAsia="zh-CN" w:bidi="ar-SA"/>
    </w:rPr>
  </w:style>
  <w:style w:type="character" w:customStyle="1" w:styleId="189">
    <w:name w:val="font81"/>
    <w:qFormat/>
    <w:uiPriority w:val="0"/>
    <w:rPr>
      <w:rFonts w:ascii="Calibri" w:hAnsi="Calibri" w:cs="Calibri"/>
      <w:color w:val="000000"/>
      <w:sz w:val="20"/>
      <w:szCs w:val="20"/>
      <w:u w:val="none"/>
    </w:rPr>
  </w:style>
  <w:style w:type="character" w:customStyle="1" w:styleId="190">
    <w:name w:val="font01"/>
    <w:qFormat/>
    <w:uiPriority w:val="0"/>
    <w:rPr>
      <w:rFonts w:hint="default" w:ascii="Arial" w:hAnsi="Arial" w:cs="Arial"/>
      <w:color w:val="000000"/>
      <w:sz w:val="20"/>
      <w:szCs w:val="20"/>
      <w:u w:val="none"/>
    </w:rPr>
  </w:style>
  <w:style w:type="character" w:customStyle="1" w:styleId="191">
    <w:name w:val="font151"/>
    <w:qFormat/>
    <w:uiPriority w:val="0"/>
    <w:rPr>
      <w:rFonts w:hint="eastAsia" w:ascii="宋体" w:hAnsi="宋体" w:eastAsia="宋体" w:cs="宋体"/>
      <w:color w:val="000000"/>
      <w:sz w:val="18"/>
      <w:szCs w:val="18"/>
      <w:u w:val="none"/>
    </w:rPr>
  </w:style>
  <w:style w:type="character" w:customStyle="1" w:styleId="192">
    <w:name w:val="无间隔 字符"/>
    <w:link w:val="193"/>
    <w:qFormat/>
    <w:uiPriority w:val="0"/>
    <w:rPr>
      <w:sz w:val="22"/>
      <w:szCs w:val="22"/>
      <w:lang w:val="en-US" w:eastAsia="en-US" w:bidi="ar-SA"/>
    </w:rPr>
  </w:style>
  <w:style w:type="paragraph" w:styleId="193">
    <w:name w:val="No Spacing"/>
    <w:link w:val="192"/>
    <w:qFormat/>
    <w:uiPriority w:val="0"/>
    <w:rPr>
      <w:rFonts w:ascii="Times New Roman" w:hAnsi="Times New Roman" w:eastAsia="宋体" w:cs="Times New Roman"/>
      <w:sz w:val="22"/>
      <w:szCs w:val="22"/>
      <w:lang w:val="en-US" w:eastAsia="en-US" w:bidi="ar-SA"/>
    </w:rPr>
  </w:style>
  <w:style w:type="character" w:customStyle="1" w:styleId="194">
    <w:name w:val="Char Char1"/>
    <w:qFormat/>
    <w:uiPriority w:val="0"/>
    <w:rPr>
      <w:kern w:val="2"/>
      <w:sz w:val="21"/>
      <w:szCs w:val="21"/>
    </w:rPr>
  </w:style>
  <w:style w:type="character" w:customStyle="1" w:styleId="195">
    <w:name w:val="font2"/>
    <w:qFormat/>
    <w:uiPriority w:val="0"/>
    <w:rPr>
      <w:rFonts w:hint="default" w:ascii="Arial" w:hAnsi="Arial" w:cs="Arial"/>
      <w:color w:val="333333"/>
      <w:spacing w:val="0"/>
      <w:sz w:val="18"/>
      <w:szCs w:val="18"/>
    </w:rPr>
  </w:style>
  <w:style w:type="character" w:customStyle="1" w:styleId="196">
    <w:name w:val="text11"/>
    <w:qFormat/>
    <w:uiPriority w:val="0"/>
    <w:rPr>
      <w:rFonts w:hint="default" w:ascii="Verdana" w:hAnsi="Verdana"/>
      <w:color w:val="4E4E4E"/>
      <w:sz w:val="18"/>
      <w:szCs w:val="18"/>
    </w:rPr>
  </w:style>
  <w:style w:type="character" w:customStyle="1" w:styleId="197">
    <w:name w:val="UH正文 Char Char"/>
    <w:link w:val="198"/>
    <w:qFormat/>
    <w:uiPriority w:val="0"/>
    <w:rPr>
      <w:rFonts w:ascii="Arial" w:hAnsi="Arial"/>
      <w:sz w:val="24"/>
      <w:szCs w:val="21"/>
      <w:lang w:val="en-US" w:eastAsia="zh-CN" w:bidi="ar-SA"/>
    </w:rPr>
  </w:style>
  <w:style w:type="paragraph" w:customStyle="1" w:styleId="198">
    <w:name w:val="UH正文"/>
    <w:link w:val="197"/>
    <w:qFormat/>
    <w:uiPriority w:val="0"/>
    <w:pPr>
      <w:spacing w:line="360" w:lineRule="auto"/>
      <w:ind w:firstLine="200" w:firstLineChars="200"/>
    </w:pPr>
    <w:rPr>
      <w:rFonts w:ascii="Arial" w:hAnsi="Arial" w:eastAsia="宋体" w:cs="Times New Roman"/>
      <w:sz w:val="24"/>
      <w:szCs w:val="21"/>
      <w:lang w:val="en-US" w:eastAsia="zh-CN" w:bidi="ar-SA"/>
    </w:rPr>
  </w:style>
  <w:style w:type="character" w:customStyle="1" w:styleId="199">
    <w:name w:val="newsitemtitle1"/>
    <w:qFormat/>
    <w:uiPriority w:val="0"/>
    <w:rPr>
      <w:b/>
      <w:bCs/>
      <w:color w:val="0000CD"/>
      <w:sz w:val="28"/>
      <w:szCs w:val="28"/>
    </w:rPr>
  </w:style>
  <w:style w:type="character" w:customStyle="1" w:styleId="200">
    <w:name w:val="concon2007"/>
    <w:qFormat/>
    <w:uiPriority w:val="0"/>
  </w:style>
  <w:style w:type="character" w:customStyle="1" w:styleId="201">
    <w:name w:val="NormalCharacter"/>
    <w:qFormat/>
    <w:uiPriority w:val="0"/>
    <w:rPr>
      <w:kern w:val="2"/>
      <w:sz w:val="21"/>
      <w:szCs w:val="24"/>
      <w:lang w:val="en-US" w:eastAsia="zh-CN" w:bidi="ar-SA"/>
    </w:rPr>
  </w:style>
  <w:style w:type="character" w:customStyle="1" w:styleId="202">
    <w:name w:val="font3"/>
    <w:qFormat/>
    <w:uiPriority w:val="0"/>
  </w:style>
  <w:style w:type="character" w:customStyle="1" w:styleId="203">
    <w:name w:val="font61"/>
    <w:qFormat/>
    <w:uiPriority w:val="0"/>
    <w:rPr>
      <w:rFonts w:hint="default" w:ascii="Times New Roman" w:hAnsi="Times New Roman" w:cs="Times New Roman"/>
      <w:color w:val="000000"/>
      <w:sz w:val="20"/>
      <w:szCs w:val="20"/>
      <w:u w:val="none"/>
    </w:rPr>
  </w:style>
  <w:style w:type="character" w:customStyle="1" w:styleId="204">
    <w:name w:val="H1 Char"/>
    <w:qFormat/>
    <w:uiPriority w:val="0"/>
    <w:rPr>
      <w:rFonts w:eastAsia="宋体"/>
      <w:b/>
      <w:bCs/>
      <w:kern w:val="44"/>
      <w:sz w:val="44"/>
      <w:szCs w:val="44"/>
      <w:lang w:val="en-US" w:eastAsia="zh-CN" w:bidi="ar-SA"/>
    </w:rPr>
  </w:style>
  <w:style w:type="character" w:customStyle="1" w:styleId="205">
    <w:name w:val="style31"/>
    <w:qFormat/>
    <w:uiPriority w:val="0"/>
    <w:rPr>
      <w:color w:val="4B4B4B"/>
    </w:rPr>
  </w:style>
  <w:style w:type="character" w:customStyle="1" w:styleId="206">
    <w:name w:val="标题 2 Char2"/>
    <w:qFormat/>
    <w:uiPriority w:val="0"/>
    <w:rPr>
      <w:rFonts w:ascii="Arial" w:hAnsi="Arial" w:eastAsia="宋体"/>
      <w:b/>
      <w:bCs/>
      <w:kern w:val="2"/>
      <w:sz w:val="28"/>
      <w:szCs w:val="32"/>
      <w:lang w:val="en-US" w:eastAsia="zh-CN" w:bidi="ar-SA"/>
    </w:rPr>
  </w:style>
  <w:style w:type="character" w:customStyle="1" w:styleId="207">
    <w:name w:val="font421"/>
    <w:qFormat/>
    <w:uiPriority w:val="0"/>
    <w:rPr>
      <w:rFonts w:hint="default" w:ascii="Arial" w:hAnsi="Arial" w:cs="Arial"/>
      <w:color w:val="000000"/>
      <w:sz w:val="18"/>
      <w:szCs w:val="18"/>
      <w:u w:val="none"/>
    </w:rPr>
  </w:style>
  <w:style w:type="character" w:customStyle="1" w:styleId="208">
    <w:name w:val="普通文字 Char Char1"/>
    <w:qFormat/>
    <w:uiPriority w:val="0"/>
    <w:rPr>
      <w:rFonts w:ascii="宋体" w:hAnsi="Courier New" w:eastAsia="宋体"/>
      <w:kern w:val="2"/>
      <w:sz w:val="24"/>
      <w:szCs w:val="24"/>
      <w:lang w:val="en-US" w:eastAsia="zh-CN" w:bidi="ar-SA"/>
    </w:rPr>
  </w:style>
  <w:style w:type="character" w:customStyle="1" w:styleId="209">
    <w:name w:val="unnamed11"/>
    <w:qFormat/>
    <w:uiPriority w:val="0"/>
    <w:rPr>
      <w:sz w:val="20"/>
      <w:szCs w:val="20"/>
    </w:rPr>
  </w:style>
  <w:style w:type="character" w:customStyle="1" w:styleId="210">
    <w:name w:val="font112"/>
    <w:qFormat/>
    <w:uiPriority w:val="0"/>
    <w:rPr>
      <w:rFonts w:hint="default" w:ascii="Times New Roman" w:hAnsi="Times New Roman" w:cs="Times New Roman"/>
      <w:color w:val="000000"/>
      <w:sz w:val="18"/>
      <w:szCs w:val="18"/>
      <w:u w:val="none"/>
    </w:rPr>
  </w:style>
  <w:style w:type="character" w:customStyle="1" w:styleId="211">
    <w:name w:val="tw4winPopup"/>
    <w:qFormat/>
    <w:uiPriority w:val="0"/>
    <w:rPr>
      <w:rFonts w:ascii="Courier New" w:hAnsi="Courier New"/>
      <w:color w:val="008000"/>
    </w:rPr>
  </w:style>
  <w:style w:type="character" w:customStyle="1" w:styleId="212">
    <w:name w:val="1111 字符"/>
    <w:link w:val="213"/>
    <w:qFormat/>
    <w:uiPriority w:val="0"/>
    <w:rPr>
      <w:rFonts w:ascii="宋体" w:hAnsi="宋体"/>
      <w:kern w:val="2"/>
      <w:sz w:val="21"/>
      <w:szCs w:val="21"/>
    </w:rPr>
  </w:style>
  <w:style w:type="paragraph" w:customStyle="1" w:styleId="213">
    <w:name w:val="1111"/>
    <w:basedOn w:val="214"/>
    <w:link w:val="212"/>
    <w:qFormat/>
    <w:uiPriority w:val="0"/>
    <w:pPr>
      <w:adjustRightInd w:val="0"/>
      <w:snapToGrid w:val="0"/>
      <w:spacing w:line="276" w:lineRule="auto"/>
      <w:ind w:firstLine="0" w:firstLineChars="0"/>
    </w:pPr>
    <w:rPr>
      <w:rFonts w:ascii="宋体" w:hAnsi="宋体"/>
      <w:szCs w:val="21"/>
    </w:rPr>
  </w:style>
  <w:style w:type="paragraph" w:customStyle="1" w:styleId="214">
    <w:name w:val="列表段落1"/>
    <w:basedOn w:val="1"/>
    <w:link w:val="215"/>
    <w:qFormat/>
    <w:uiPriority w:val="0"/>
    <w:pPr>
      <w:ind w:firstLine="420" w:firstLineChars="200"/>
    </w:pPr>
    <w:rPr>
      <w:rFonts w:ascii="Calibri" w:hAnsi="Calibri"/>
    </w:rPr>
  </w:style>
  <w:style w:type="character" w:customStyle="1" w:styleId="215">
    <w:name w:val="列表段落1 字符"/>
    <w:link w:val="214"/>
    <w:qFormat/>
    <w:uiPriority w:val="0"/>
    <w:rPr>
      <w:rFonts w:ascii="Calibri" w:hAnsi="Calibri"/>
      <w:kern w:val="2"/>
      <w:sz w:val="21"/>
      <w:szCs w:val="24"/>
    </w:rPr>
  </w:style>
  <w:style w:type="character" w:customStyle="1" w:styleId="216">
    <w:name w:val="zbggmain style9"/>
    <w:qFormat/>
    <w:uiPriority w:val="0"/>
  </w:style>
  <w:style w:type="character" w:customStyle="1" w:styleId="217">
    <w:name w:val="style101"/>
    <w:qFormat/>
    <w:uiPriority w:val="0"/>
    <w:rPr>
      <w:color w:val="FFFFFF"/>
    </w:rPr>
  </w:style>
  <w:style w:type="character" w:customStyle="1" w:styleId="218">
    <w:name w:val="font191"/>
    <w:qFormat/>
    <w:uiPriority w:val="0"/>
    <w:rPr>
      <w:rFonts w:hint="default" w:ascii="Arial" w:hAnsi="Arial" w:cs="Arial"/>
      <w:color w:val="000000"/>
      <w:sz w:val="18"/>
      <w:szCs w:val="18"/>
      <w:u w:val="none"/>
    </w:rPr>
  </w:style>
  <w:style w:type="character" w:customStyle="1" w:styleId="219">
    <w:name w:val="font91"/>
    <w:qFormat/>
    <w:uiPriority w:val="0"/>
    <w:rPr>
      <w:rFonts w:hint="default" w:ascii="Times New Roman" w:hAnsi="Times New Roman" w:cs="Times New Roman"/>
      <w:color w:val="000000"/>
      <w:sz w:val="18"/>
      <w:szCs w:val="18"/>
      <w:u w:val="none"/>
    </w:rPr>
  </w:style>
  <w:style w:type="character" w:customStyle="1" w:styleId="220">
    <w:name w:val="正文缩进 Char1"/>
    <w:qFormat/>
    <w:uiPriority w:val="0"/>
    <w:rPr>
      <w:rFonts w:eastAsia="宋体"/>
      <w:kern w:val="2"/>
      <w:sz w:val="21"/>
      <w:szCs w:val="24"/>
      <w:lang w:val="en-US" w:eastAsia="zh-CN" w:bidi="ar-SA"/>
    </w:rPr>
  </w:style>
  <w:style w:type="character" w:customStyle="1" w:styleId="221">
    <w:name w:val="font301"/>
    <w:qFormat/>
    <w:uiPriority w:val="0"/>
    <w:rPr>
      <w:rFonts w:hint="default" w:ascii="Arial" w:hAnsi="Arial" w:cs="Arial"/>
      <w:color w:val="000000"/>
      <w:sz w:val="18"/>
      <w:szCs w:val="18"/>
      <w:u w:val="none"/>
    </w:rPr>
  </w:style>
  <w:style w:type="character" w:customStyle="1" w:styleId="22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3">
    <w:name w:val="样式 正文缩进 + 首行缩进:  2 字符 Char Char"/>
    <w:link w:val="224"/>
    <w:qFormat/>
    <w:uiPriority w:val="0"/>
    <w:rPr>
      <w:rFonts w:eastAsia="宋体"/>
      <w:kern w:val="2"/>
      <w:sz w:val="24"/>
      <w:lang w:bidi="ar-SA"/>
    </w:rPr>
  </w:style>
  <w:style w:type="paragraph" w:customStyle="1" w:styleId="224">
    <w:name w:val="样式 正文缩进 + 首行缩进:  2 字符"/>
    <w:basedOn w:val="13"/>
    <w:link w:val="223"/>
    <w:qFormat/>
    <w:uiPriority w:val="0"/>
    <w:pPr>
      <w:spacing w:line="360" w:lineRule="auto"/>
      <w:ind w:firstLine="200" w:firstLineChars="200"/>
    </w:pPr>
    <w:rPr>
      <w:sz w:val="24"/>
    </w:rPr>
  </w:style>
  <w:style w:type="character" w:customStyle="1" w:styleId="225">
    <w:name w:val="tw4winExternal"/>
    <w:qFormat/>
    <w:uiPriority w:val="0"/>
    <w:rPr>
      <w:rFonts w:ascii="Courier New" w:hAnsi="Courier New"/>
      <w:color w:val="808080"/>
    </w:rPr>
  </w:style>
  <w:style w:type="character" w:customStyle="1" w:styleId="226">
    <w:name w:val="发布"/>
    <w:qFormat/>
    <w:uiPriority w:val="0"/>
    <w:rPr>
      <w:rFonts w:ascii="黑体" w:eastAsia="黑体"/>
      <w:spacing w:val="22"/>
      <w:w w:val="100"/>
      <w:position w:val="3"/>
      <w:sz w:val="28"/>
    </w:rPr>
  </w:style>
  <w:style w:type="character" w:customStyle="1" w:styleId="227">
    <w:name w:val="font141"/>
    <w:qFormat/>
    <w:uiPriority w:val="0"/>
    <w:rPr>
      <w:rFonts w:hint="eastAsia" w:ascii="宋体" w:hAnsi="宋体" w:eastAsia="宋体" w:cs="宋体"/>
      <w:color w:val="000000"/>
      <w:sz w:val="18"/>
      <w:szCs w:val="18"/>
      <w:u w:val="none"/>
    </w:rPr>
  </w:style>
  <w:style w:type="character" w:customStyle="1" w:styleId="228">
    <w:name w:val="font131"/>
    <w:qFormat/>
    <w:uiPriority w:val="0"/>
    <w:rPr>
      <w:rFonts w:hint="eastAsia" w:ascii="宋体" w:hAnsi="宋体" w:eastAsia="宋体" w:cs="宋体"/>
      <w:color w:val="000000"/>
      <w:sz w:val="18"/>
      <w:szCs w:val="18"/>
      <w:u w:val="none"/>
    </w:rPr>
  </w:style>
  <w:style w:type="character" w:customStyle="1" w:styleId="229">
    <w:name w:val="arial111"/>
    <w:qFormat/>
    <w:uiPriority w:val="0"/>
    <w:rPr>
      <w:rFonts w:hint="default" w:ascii="Arial" w:hAnsi="Arial" w:cs="Arial"/>
      <w:sz w:val="17"/>
      <w:szCs w:val="17"/>
    </w:rPr>
  </w:style>
  <w:style w:type="character" w:customStyle="1" w:styleId="230">
    <w:name w:val="段落 Char Char"/>
    <w:link w:val="231"/>
    <w:qFormat/>
    <w:uiPriority w:val="0"/>
    <w:rPr>
      <w:rFonts w:eastAsia="仿宋_GB2312"/>
      <w:kern w:val="2"/>
      <w:sz w:val="24"/>
      <w:szCs w:val="22"/>
      <w:lang w:val="en-US" w:eastAsia="zh-CN" w:bidi="ar-SA"/>
    </w:rPr>
  </w:style>
  <w:style w:type="paragraph" w:customStyle="1" w:styleId="231">
    <w:name w:val="段落"/>
    <w:link w:val="230"/>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character" w:customStyle="1" w:styleId="232">
    <w:name w:val="15"/>
    <w:qFormat/>
    <w:uiPriority w:val="0"/>
    <w:rPr>
      <w:rFonts w:hint="default" w:ascii="Times New Roman" w:hAnsi="Times New Roman" w:cs="Times New Roman"/>
      <w:color w:val="000000"/>
      <w:sz w:val="18"/>
      <w:szCs w:val="18"/>
    </w:rPr>
  </w:style>
  <w:style w:type="character" w:customStyle="1" w:styleId="233">
    <w:name w:val="tw4winInternal"/>
    <w:qFormat/>
    <w:uiPriority w:val="0"/>
    <w:rPr>
      <w:rFonts w:ascii="Courier New" w:hAnsi="Courier New"/>
      <w:color w:val="FF0000"/>
    </w:rPr>
  </w:style>
  <w:style w:type="character" w:customStyle="1" w:styleId="234">
    <w:name w:val="标题 3 Char Char"/>
    <w:qFormat/>
    <w:uiPriority w:val="0"/>
    <w:rPr>
      <w:rFonts w:eastAsia="宋体"/>
      <w:b/>
      <w:kern w:val="2"/>
      <w:sz w:val="32"/>
      <w:lang w:val="en-US" w:eastAsia="zh-CN"/>
    </w:rPr>
  </w:style>
  <w:style w:type="character" w:customStyle="1" w:styleId="235">
    <w:name w:val="font341"/>
    <w:qFormat/>
    <w:uiPriority w:val="0"/>
    <w:rPr>
      <w:rFonts w:hint="default" w:ascii="Arial" w:hAnsi="Arial" w:cs="Arial"/>
      <w:color w:val="000000"/>
      <w:sz w:val="18"/>
      <w:szCs w:val="18"/>
      <w:u w:val="none"/>
    </w:rPr>
  </w:style>
  <w:style w:type="character" w:customStyle="1" w:styleId="236">
    <w:name w:val="Char Char36"/>
    <w:qFormat/>
    <w:uiPriority w:val="0"/>
    <w:rPr>
      <w:rFonts w:ascii="Arial" w:hAnsi="Arial" w:eastAsia="黑体"/>
      <w:b/>
      <w:bCs/>
      <w:kern w:val="2"/>
      <w:sz w:val="32"/>
      <w:szCs w:val="32"/>
    </w:rPr>
  </w:style>
  <w:style w:type="character" w:customStyle="1" w:styleId="237">
    <w:name w:val="16"/>
    <w:qFormat/>
    <w:uiPriority w:val="0"/>
    <w:rPr>
      <w:rFonts w:hint="eastAsia" w:ascii="宋体" w:hAnsi="宋体" w:eastAsia="宋体"/>
      <w:color w:val="000000"/>
      <w:sz w:val="20"/>
      <w:szCs w:val="20"/>
    </w:rPr>
  </w:style>
  <w:style w:type="character" w:customStyle="1" w:styleId="238">
    <w:name w:val="paramlista1"/>
    <w:qFormat/>
    <w:uiPriority w:val="0"/>
    <w:rPr>
      <w:sz w:val="18"/>
      <w:szCs w:val="18"/>
    </w:rPr>
  </w:style>
  <w:style w:type="character" w:customStyle="1" w:styleId="239">
    <w:name w:val="font101"/>
    <w:qFormat/>
    <w:uiPriority w:val="0"/>
    <w:rPr>
      <w:rFonts w:hint="eastAsia" w:ascii="宋体" w:hAnsi="宋体" w:eastAsia="宋体" w:cs="宋体"/>
      <w:color w:val="000000"/>
      <w:sz w:val="20"/>
      <w:szCs w:val="20"/>
      <w:u w:val="none"/>
    </w:rPr>
  </w:style>
  <w:style w:type="character" w:customStyle="1" w:styleId="240">
    <w:name w:val="纯文本[858D7CFB-ED40-4347-BF05-701D383B685F]"/>
    <w:qFormat/>
    <w:uiPriority w:val="0"/>
    <w:rPr>
      <w:rFonts w:ascii="宋体" w:hAnsi="Courier New"/>
      <w:szCs w:val="20"/>
    </w:rPr>
  </w:style>
  <w:style w:type="character" w:customStyle="1" w:styleId="241">
    <w:name w:val="tw4winTerm"/>
    <w:qFormat/>
    <w:uiPriority w:val="0"/>
    <w:rPr>
      <w:color w:val="0000FF"/>
    </w:rPr>
  </w:style>
  <w:style w:type="character" w:customStyle="1" w:styleId="242">
    <w:name w:val="font21"/>
    <w:basedOn w:val="55"/>
    <w:qFormat/>
    <w:uiPriority w:val="0"/>
    <w:rPr>
      <w:rFonts w:hint="eastAsia" w:ascii="宋体" w:hAnsi="宋体" w:eastAsia="宋体" w:cs="宋体"/>
      <w:color w:val="000000"/>
      <w:sz w:val="18"/>
      <w:szCs w:val="18"/>
      <w:u w:val="none"/>
    </w:rPr>
  </w:style>
  <w:style w:type="paragraph" w:customStyle="1" w:styleId="243">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44">
    <w:name w:val="表格标题"/>
    <w:basedOn w:val="245"/>
    <w:qFormat/>
    <w:uiPriority w:val="0"/>
    <w:pPr>
      <w:jc w:val="center"/>
    </w:pPr>
    <w:rPr>
      <w:b/>
      <w:bCs/>
      <w:i/>
      <w:iCs/>
    </w:rPr>
  </w:style>
  <w:style w:type="paragraph" w:customStyle="1" w:styleId="245">
    <w:name w:val="表格内容"/>
    <w:basedOn w:val="22"/>
    <w:qFormat/>
    <w:uiPriority w:val="0"/>
    <w:pPr>
      <w:suppressLineNumbers/>
      <w:suppressAutoHyphens/>
    </w:pPr>
    <w:rPr>
      <w:kern w:val="1"/>
      <w:lang w:eastAsia="ar-SA"/>
    </w:rPr>
  </w:style>
  <w:style w:type="paragraph" w:customStyle="1" w:styleId="24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Char3 Char Char Char"/>
    <w:basedOn w:val="1"/>
    <w:qFormat/>
    <w:uiPriority w:val="0"/>
    <w:pPr>
      <w:tabs>
        <w:tab w:val="left" w:pos="1440"/>
      </w:tabs>
      <w:ind w:left="1440" w:hanging="1275"/>
    </w:pPr>
    <w:rPr>
      <w:sz w:val="24"/>
    </w:rPr>
  </w:style>
  <w:style w:type="paragraph" w:customStyle="1" w:styleId="248">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249">
    <w:name w:val="font16"/>
    <w:basedOn w:val="1"/>
    <w:qFormat/>
    <w:uiPriority w:val="0"/>
    <w:pPr>
      <w:widowControl/>
      <w:spacing w:before="100" w:beforeAutospacing="1" w:after="100" w:afterAutospacing="1"/>
      <w:jc w:val="left"/>
    </w:pPr>
    <w:rPr>
      <w:color w:val="000000"/>
      <w:kern w:val="0"/>
      <w:sz w:val="18"/>
      <w:szCs w:val="18"/>
    </w:rPr>
  </w:style>
  <w:style w:type="paragraph" w:customStyle="1" w:styleId="250">
    <w:name w:val="BH-03"/>
    <w:basedOn w:val="1"/>
    <w:next w:val="1"/>
    <w:qFormat/>
    <w:uiPriority w:val="0"/>
    <w:pPr>
      <w:spacing w:line="360" w:lineRule="auto"/>
      <w:outlineLvl w:val="2"/>
    </w:pPr>
    <w:rPr>
      <w:rFonts w:ascii="Arial" w:hAnsi="Arial"/>
      <w:b/>
      <w:szCs w:val="21"/>
    </w:rPr>
  </w:style>
  <w:style w:type="paragraph" w:customStyle="1" w:styleId="251">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2">
    <w:name w:val="沈标题四"/>
    <w:basedOn w:val="5"/>
    <w:next w:val="1"/>
    <w:qFormat/>
    <w:uiPriority w:val="0"/>
    <w:pPr>
      <w:keepNext w:val="0"/>
      <w:keepLines w:val="0"/>
      <w:spacing w:line="377" w:lineRule="auto"/>
    </w:pPr>
    <w:rPr>
      <w:rFonts w:ascii="Arial Narrow" w:hAnsi="Arial Narrow" w:eastAsia="方正姚体"/>
      <w:b w:val="0"/>
      <w:sz w:val="24"/>
      <w:szCs w:val="24"/>
    </w:rPr>
  </w:style>
  <w:style w:type="paragraph" w:customStyle="1" w:styleId="253">
    <w:name w:val="Char1 Char Char Char Char Char Char Char Char1 Char Char"/>
    <w:basedOn w:val="1"/>
    <w:qFormat/>
    <w:uiPriority w:val="0"/>
    <w:rPr>
      <w:b/>
      <w:bCs/>
      <w:sz w:val="36"/>
      <w:szCs w:val="32"/>
    </w:rPr>
  </w:style>
  <w:style w:type="paragraph" w:customStyle="1" w:styleId="2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55">
    <w:name w:val="样式 左侧:  1 厘米 段后: 0.5 行"/>
    <w:basedOn w:val="1"/>
    <w:qFormat/>
    <w:uiPriority w:val="0"/>
    <w:pPr>
      <w:spacing w:after="156" w:afterLines="50"/>
      <w:ind w:firstLine="425"/>
      <w:jc w:val="left"/>
    </w:pPr>
    <w:rPr>
      <w:rFonts w:ascii="宋体" w:cs="宋体"/>
      <w:snapToGrid w:val="0"/>
      <w:kern w:val="0"/>
      <w:szCs w:val="20"/>
    </w:rPr>
  </w:style>
  <w:style w:type="paragraph" w:customStyle="1" w:styleId="25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8">
    <w:name w:val="features1"/>
    <w:basedOn w:val="1"/>
    <w:qFormat/>
    <w:uiPriority w:val="0"/>
    <w:pPr>
      <w:widowControl/>
      <w:spacing w:before="100" w:beforeAutospacing="1" w:after="100" w:afterAutospacing="1" w:line="400" w:lineRule="exact"/>
      <w:jc w:val="left"/>
    </w:pPr>
    <w:rPr>
      <w:rFonts w:ascii="宋体" w:hAnsi="宋体" w:cs="宋体"/>
      <w:b/>
      <w:bCs/>
      <w:kern w:val="0"/>
      <w:sz w:val="18"/>
      <w:szCs w:val="18"/>
    </w:rPr>
  </w:style>
  <w:style w:type="paragraph" w:customStyle="1" w:styleId="2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0">
    <w:name w:val="features"/>
    <w:basedOn w:val="1"/>
    <w:qFormat/>
    <w:uiPriority w:val="0"/>
    <w:pPr>
      <w:widowControl/>
      <w:spacing w:before="100" w:beforeAutospacing="1" w:after="100" w:afterAutospacing="1" w:line="400" w:lineRule="exact"/>
      <w:jc w:val="left"/>
    </w:pPr>
    <w:rPr>
      <w:rFonts w:ascii="宋体" w:hAnsi="宋体" w:cs="宋体"/>
      <w:kern w:val="0"/>
      <w:sz w:val="24"/>
    </w:rPr>
  </w:style>
  <w:style w:type="paragraph" w:customStyle="1" w:styleId="26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样式 标题 4 + 非加粗"/>
    <w:basedOn w:val="5"/>
    <w:qFormat/>
    <w:uiPriority w:val="0"/>
    <w:pPr>
      <w:spacing w:before="120" w:after="120" w:line="500" w:lineRule="exact"/>
    </w:pPr>
    <w:rPr>
      <w:rFonts w:eastAsia="宋体"/>
      <w:bCs w:val="0"/>
      <w:spacing w:val="4"/>
      <w:sz w:val="24"/>
      <w:szCs w:val="24"/>
    </w:rPr>
  </w:style>
  <w:style w:type="paragraph" w:customStyle="1" w:styleId="263">
    <w:name w:val="默认段落字体 Para Char Char Char Char Char Char Char"/>
    <w:basedOn w:val="1"/>
    <w:qFormat/>
    <w:uiPriority w:val="0"/>
    <w:pPr>
      <w:spacing w:line="360" w:lineRule="auto"/>
      <w:ind w:firstLine="200" w:firstLineChars="200"/>
    </w:pPr>
    <w:rPr>
      <w:rFonts w:ascii="Tahoma" w:hAnsi="Tahoma"/>
      <w:sz w:val="24"/>
    </w:rPr>
  </w:style>
  <w:style w:type="paragraph" w:customStyle="1" w:styleId="264">
    <w:name w:val="Table Paragraph"/>
    <w:basedOn w:val="1"/>
    <w:qFormat/>
    <w:uiPriority w:val="0"/>
  </w:style>
  <w:style w:type="paragraph" w:customStyle="1" w:styleId="265">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6">
    <w:name w:val="标题1"/>
    <w:basedOn w:val="29"/>
    <w:qFormat/>
    <w:uiPriority w:val="0"/>
    <w:pPr>
      <w:spacing w:line="360" w:lineRule="auto"/>
    </w:pPr>
    <w:rPr>
      <w:b/>
      <w:sz w:val="30"/>
      <w:szCs w:val="20"/>
    </w:rPr>
  </w:style>
  <w:style w:type="paragraph" w:customStyle="1" w:styleId="26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268">
    <w:name w:val="样式 正文文本缩进 + 仿宋_GB2312 小四 首行缩进:  0 厘米 行距: 1.5 倍行距"/>
    <w:basedOn w:val="14"/>
    <w:qFormat/>
    <w:uiPriority w:val="0"/>
    <w:pPr>
      <w:spacing w:line="360" w:lineRule="auto"/>
      <w:ind w:firstLine="0"/>
    </w:pPr>
    <w:rPr>
      <w:rFonts w:ascii="仿宋_GB2312" w:hAnsi="Times New Roman" w:eastAsia="新宋体"/>
      <w:spacing w:val="0"/>
      <w:sz w:val="24"/>
    </w:rPr>
  </w:style>
  <w:style w:type="paragraph" w:customStyle="1" w:styleId="269">
    <w:name w:val="封面标准代替信息"/>
    <w:basedOn w:val="270"/>
    <w:qFormat/>
    <w:uiPriority w:val="0"/>
    <w:pPr>
      <w:spacing w:before="57"/>
    </w:pPr>
    <w:rPr>
      <w:sz w:val="21"/>
    </w:rPr>
  </w:style>
  <w:style w:type="paragraph" w:customStyle="1" w:styleId="270">
    <w:name w:val="封面标准号2"/>
    <w:basedOn w:val="271"/>
    <w:qFormat/>
    <w:uiPriority w:val="0"/>
    <w:pPr>
      <w:adjustRightInd w:val="0"/>
      <w:spacing w:before="357" w:line="280" w:lineRule="exact"/>
    </w:pPr>
  </w:style>
  <w:style w:type="paragraph" w:customStyle="1" w:styleId="271">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272">
    <w:name w:val="三级无标题条"/>
    <w:basedOn w:val="1"/>
    <w:qFormat/>
    <w:uiPriority w:val="0"/>
    <w:rPr>
      <w:rFonts w:ascii="宋体" w:hAnsi="宋体"/>
    </w:rPr>
  </w:style>
  <w:style w:type="paragraph" w:customStyle="1" w:styleId="273">
    <w:name w:val="Blockquote"/>
    <w:basedOn w:val="1"/>
    <w:qFormat/>
    <w:uiPriority w:val="0"/>
    <w:pPr>
      <w:widowControl/>
      <w:spacing w:before="100" w:after="156" w:afterLines="50"/>
      <w:ind w:left="360" w:right="360"/>
      <w:jc w:val="left"/>
    </w:pPr>
    <w:rPr>
      <w:rFonts w:ascii="宋体"/>
      <w:snapToGrid w:val="0"/>
      <w:kern w:val="0"/>
      <w:sz w:val="24"/>
      <w:szCs w:val="20"/>
      <w:lang w:val="en-CA"/>
    </w:rPr>
  </w:style>
  <w:style w:type="paragraph" w:customStyle="1" w:styleId="274">
    <w:name w:val="样式 标题 3Chapter X.X.X. + 段后: 0.5 行1"/>
    <w:basedOn w:val="4"/>
    <w:next w:val="1"/>
    <w:qFormat/>
    <w:uiPriority w:val="0"/>
    <w:pPr>
      <w:keepLines w:val="0"/>
      <w:autoSpaceDE/>
      <w:autoSpaceDN/>
      <w:adjustRightInd/>
      <w:spacing w:before="120" w:after="156" w:afterLines="50"/>
    </w:pPr>
    <w:rPr>
      <w:rFonts w:cs="宋体"/>
      <w:bCs/>
      <w:snapToGrid w:val="0"/>
      <w:u w:val="none"/>
    </w:rPr>
  </w:style>
  <w:style w:type="paragraph" w:customStyle="1" w:styleId="27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76">
    <w:name w:val="标准标题1"/>
    <w:basedOn w:val="3"/>
    <w:qFormat/>
    <w:uiPriority w:val="0"/>
    <w:pPr>
      <w:pageBreakBefore/>
      <w:tabs>
        <w:tab w:val="left" w:pos="1080"/>
      </w:tabs>
      <w:ind w:left="425" w:hanging="425"/>
    </w:pPr>
    <w:rPr>
      <w:rFonts w:eastAsia="仿宋_GB2312"/>
      <w:sz w:val="32"/>
    </w:rPr>
  </w:style>
  <w:style w:type="paragraph" w:customStyle="1" w:styleId="277">
    <w:name w:val="Char Char Char Char Char Char Char Char Char Char Char Char"/>
    <w:basedOn w:val="1"/>
    <w:qFormat/>
    <w:uiPriority w:val="0"/>
    <w:rPr>
      <w:rFonts w:ascii="宋体" w:hAnsi="宋体"/>
      <w:szCs w:val="20"/>
    </w:rPr>
  </w:style>
  <w:style w:type="paragraph" w:customStyle="1" w:styleId="27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79">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80">
    <w:name w:val="Style-正文"/>
    <w:basedOn w:val="1"/>
    <w:qFormat/>
    <w:uiPriority w:val="0"/>
    <w:pPr>
      <w:spacing w:line="360" w:lineRule="auto"/>
      <w:ind w:firstLine="420"/>
    </w:pPr>
    <w:rPr>
      <w:rFonts w:ascii="宋体" w:hAnsi="宋体"/>
      <w:sz w:val="24"/>
    </w:rPr>
  </w:style>
  <w:style w:type="paragraph" w:customStyle="1" w:styleId="281">
    <w:name w:val="样式6"/>
    <w:basedOn w:val="1"/>
    <w:qFormat/>
    <w:uiPriority w:val="0"/>
    <w:pPr>
      <w:adjustRightInd w:val="0"/>
      <w:spacing w:before="156" w:beforeLines="50" w:after="156" w:afterLines="50"/>
      <w:ind w:firstLine="669"/>
      <w:textAlignment w:val="baseline"/>
    </w:pPr>
    <w:rPr>
      <w:rFonts w:ascii="宋体" w:hAnsi="宋体"/>
      <w:kern w:val="0"/>
      <w:sz w:val="28"/>
      <w:szCs w:val="20"/>
    </w:rPr>
  </w:style>
  <w:style w:type="paragraph" w:customStyle="1" w:styleId="282">
    <w:name w:val="样式 标题 2Chapter X.X. Statementh22Header 2l2Level 2 Headhea...1"/>
    <w:basedOn w:val="4"/>
    <w:qFormat/>
    <w:uiPriority w:val="0"/>
    <w:pPr>
      <w:keepLines w:val="0"/>
      <w:autoSpaceDE/>
      <w:autoSpaceDN/>
      <w:adjustRightInd/>
      <w:spacing w:before="120" w:after="156" w:afterLines="50"/>
    </w:pPr>
    <w:rPr>
      <w:rFonts w:cs="宋体"/>
      <w:bCs/>
      <w:snapToGrid w:val="0"/>
      <w:u w:val="none"/>
    </w:rPr>
  </w:style>
  <w:style w:type="paragraph" w:customStyle="1" w:styleId="283">
    <w:name w:val="标准书眉_偶数页"/>
    <w:basedOn w:val="284"/>
    <w:next w:val="1"/>
    <w:qFormat/>
    <w:uiPriority w:val="0"/>
    <w:pPr>
      <w:tabs>
        <w:tab w:val="center" w:pos="4154"/>
        <w:tab w:val="right" w:pos="8306"/>
      </w:tabs>
      <w:jc w:val="left"/>
    </w:pPr>
  </w:style>
  <w:style w:type="paragraph" w:customStyle="1" w:styleId="284">
    <w:name w:val="标准书眉_奇数页"/>
    <w:next w:val="1"/>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2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8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288">
    <w:name w:val="潘"/>
    <w:basedOn w:val="1"/>
    <w:qFormat/>
    <w:uiPriority w:val="0"/>
    <w:pPr>
      <w:snapToGrid w:val="0"/>
      <w:spacing w:line="240" w:lineRule="atLeast"/>
    </w:pPr>
    <w:rPr>
      <w:rFonts w:ascii="Arial" w:hAnsi="Arial" w:eastAsia="楷体_GB2312"/>
      <w:b/>
      <w:bCs/>
    </w:rPr>
  </w:style>
  <w:style w:type="paragraph" w:customStyle="1" w:styleId="28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90">
    <w:name w:val="Default"/>
    <w:next w:val="29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2">
    <w:name w:val="Char1 Char Char Char Char Char Char Char Char1 Char Char1"/>
    <w:basedOn w:val="1"/>
    <w:qFormat/>
    <w:uiPriority w:val="0"/>
    <w:rPr>
      <w:b/>
      <w:bCs/>
      <w:sz w:val="36"/>
      <w:szCs w:val="32"/>
    </w:rPr>
  </w:style>
  <w:style w:type="paragraph" w:customStyle="1" w:styleId="293">
    <w:name w:val="font12"/>
    <w:basedOn w:val="1"/>
    <w:qFormat/>
    <w:uiPriority w:val="0"/>
    <w:pPr>
      <w:widowControl/>
      <w:spacing w:before="100" w:beforeAutospacing="1" w:after="100" w:afterAutospacing="1"/>
      <w:jc w:val="left"/>
    </w:pPr>
    <w:rPr>
      <w:color w:val="000000"/>
      <w:kern w:val="0"/>
      <w:sz w:val="18"/>
      <w:szCs w:val="18"/>
    </w:rPr>
  </w:style>
  <w:style w:type="paragraph" w:customStyle="1" w:styleId="29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5">
    <w:name w:val="Char1"/>
    <w:basedOn w:val="1"/>
    <w:qFormat/>
    <w:uiPriority w:val="0"/>
    <w:rPr>
      <w:rFonts w:ascii="仿宋_GB2312" w:eastAsia="仿宋_GB2312"/>
      <w:b/>
      <w:sz w:val="32"/>
      <w:szCs w:val="32"/>
    </w:rPr>
  </w:style>
  <w:style w:type="paragraph" w:customStyle="1" w:styleId="296">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297">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9">
    <w:name w:val="style3"/>
    <w:basedOn w:val="1"/>
    <w:qFormat/>
    <w:uiPriority w:val="0"/>
    <w:pPr>
      <w:widowControl/>
      <w:spacing w:before="100" w:beforeAutospacing="1" w:after="100" w:afterAutospacing="1" w:line="360" w:lineRule="auto"/>
      <w:jc w:val="left"/>
    </w:pPr>
    <w:rPr>
      <w:rFonts w:ascii="宋体" w:hAnsi="宋体"/>
      <w:color w:val="666666"/>
      <w:kern w:val="0"/>
      <w:sz w:val="24"/>
    </w:rPr>
  </w:style>
  <w:style w:type="paragraph" w:customStyle="1" w:styleId="3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1">
    <w:name w:val="BH-02"/>
    <w:basedOn w:val="1"/>
    <w:next w:val="1"/>
    <w:qFormat/>
    <w:uiPriority w:val="0"/>
    <w:pPr>
      <w:spacing w:line="360" w:lineRule="auto"/>
      <w:outlineLvl w:val="1"/>
    </w:pPr>
    <w:rPr>
      <w:rFonts w:ascii="Arial" w:hAnsi="Arial"/>
      <w:b/>
      <w:sz w:val="24"/>
    </w:rPr>
  </w:style>
  <w:style w:type="paragraph" w:customStyle="1" w:styleId="302">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0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szCs w:val="20"/>
    </w:rPr>
  </w:style>
  <w:style w:type="paragraph" w:customStyle="1" w:styleId="304">
    <w:name w:val="附录标识"/>
    <w:basedOn w:val="305"/>
    <w:qFormat/>
    <w:uiPriority w:val="0"/>
    <w:pPr>
      <w:tabs>
        <w:tab w:val="left" w:pos="360"/>
        <w:tab w:val="left" w:pos="6405"/>
      </w:tabs>
      <w:spacing w:after="200" w:line="240" w:lineRule="auto"/>
    </w:pPr>
    <w:rPr>
      <w:rFonts w:hAnsi="宋体"/>
      <w:kern w:val="2"/>
      <w:sz w:val="21"/>
      <w:szCs w:val="24"/>
    </w:rPr>
  </w:style>
  <w:style w:type="paragraph" w:customStyle="1" w:styleId="305">
    <w:name w:val="前言、引言标题"/>
    <w:next w:val="1"/>
    <w:qFormat/>
    <w:uiPriority w:val="0"/>
    <w:pPr>
      <w:shd w:val="clear" w:color="FFFFFF" w:fill="FFFFFF"/>
      <w:spacing w:before="640" w:after="560" w:line="400" w:lineRule="exact"/>
      <w:jc w:val="center"/>
      <w:outlineLvl w:val="0"/>
    </w:pPr>
    <w:rPr>
      <w:rFonts w:ascii="黑体" w:hAnsi="Times New Roman" w:eastAsia="黑体" w:cs="Times New Roman"/>
      <w:sz w:val="32"/>
      <w:lang w:val="en-US" w:eastAsia="zh-CN" w:bidi="ar-SA"/>
    </w:rPr>
  </w:style>
  <w:style w:type="paragraph" w:customStyle="1" w:styleId="306">
    <w:name w:val="P1"/>
    <w:basedOn w:val="1"/>
    <w:qFormat/>
    <w:uiPriority w:val="0"/>
    <w:pPr>
      <w:widowControl/>
      <w:spacing w:before="240" w:line="240" w:lineRule="atLeast"/>
      <w:jc w:val="left"/>
    </w:pPr>
    <w:rPr>
      <w:b/>
      <w:kern w:val="0"/>
      <w:szCs w:val="21"/>
      <w:lang w:val="en-AU" w:eastAsia="en-US"/>
    </w:rPr>
  </w:style>
  <w:style w:type="paragraph" w:customStyle="1" w:styleId="30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309">
    <w:name w:val="Bullet2"/>
    <w:basedOn w:val="1"/>
    <w:qFormat/>
    <w:uiPriority w:val="0"/>
    <w:pPr>
      <w:spacing w:after="156" w:afterLines="50"/>
      <w:ind w:left="1440" w:hanging="360"/>
      <w:jc w:val="left"/>
    </w:pPr>
    <w:rPr>
      <w:rFonts w:ascii="宋体"/>
      <w:snapToGrid w:val="0"/>
      <w:color w:val="000080"/>
      <w:kern w:val="0"/>
      <w:szCs w:val="20"/>
    </w:rPr>
  </w:style>
  <w:style w:type="paragraph" w:customStyle="1" w:styleId="310">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31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13">
    <w:name w:val="表格1"/>
    <w:basedOn w:val="1"/>
    <w:qFormat/>
    <w:uiPriority w:val="0"/>
    <w:pPr>
      <w:jc w:val="center"/>
    </w:pPr>
    <w:rPr>
      <w:rFonts w:ascii="Calibri" w:hAnsi="Calibri"/>
      <w:szCs w:val="22"/>
    </w:rPr>
  </w:style>
  <w:style w:type="paragraph" w:customStyle="1" w:styleId="314">
    <w:name w:val="Char Char Char"/>
    <w:basedOn w:val="1"/>
    <w:qFormat/>
    <w:uiPriority w:val="0"/>
    <w:rPr>
      <w:rFonts w:ascii="Tahoma" w:hAnsi="Tahoma"/>
      <w:sz w:val="24"/>
      <w:szCs w:val="20"/>
    </w:rPr>
  </w:style>
  <w:style w:type="paragraph" w:customStyle="1" w:styleId="31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16">
    <w:name w:val="S4-L15-C"/>
    <w:basedOn w:val="1"/>
    <w:qFormat/>
    <w:uiPriority w:val="0"/>
    <w:pPr>
      <w:spacing w:after="120" w:line="360" w:lineRule="auto"/>
      <w:jc w:val="center"/>
    </w:pPr>
    <w:rPr>
      <w:szCs w:val="21"/>
    </w:rPr>
  </w:style>
  <w:style w:type="paragraph" w:customStyle="1" w:styleId="31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18">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表头1"/>
    <w:basedOn w:val="22"/>
    <w:qFormat/>
    <w:uiPriority w:val="0"/>
    <w:pPr>
      <w:adjustRightInd w:val="0"/>
      <w:spacing w:after="0"/>
      <w:jc w:val="center"/>
      <w:textAlignment w:val="baseline"/>
    </w:pPr>
    <w:rPr>
      <w:kern w:val="0"/>
      <w:sz w:val="24"/>
      <w:szCs w:val="20"/>
    </w:rPr>
  </w:style>
  <w:style w:type="paragraph" w:customStyle="1" w:styleId="3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Char11"/>
    <w:basedOn w:val="1"/>
    <w:qFormat/>
    <w:uiPriority w:val="0"/>
    <w:pPr>
      <w:tabs>
        <w:tab w:val="left" w:pos="432"/>
      </w:tabs>
      <w:spacing w:before="156" w:beforeLines="50" w:after="156" w:afterLines="50"/>
      <w:ind w:left="432" w:hanging="432"/>
    </w:pPr>
    <w:rPr>
      <w:sz w:val="24"/>
    </w:rPr>
  </w:style>
  <w:style w:type="paragraph" w:customStyle="1" w:styleId="324">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325">
    <w:name w:val="Bullet"/>
    <w:basedOn w:val="1"/>
    <w:qFormat/>
    <w:uiPriority w:val="0"/>
    <w:pPr>
      <w:widowControl/>
      <w:tabs>
        <w:tab w:val="left" w:pos="720"/>
        <w:tab w:val="left" w:pos="964"/>
      </w:tabs>
      <w:spacing w:before="120" w:after="156" w:afterLines="50"/>
      <w:ind w:left="720" w:right="360" w:hanging="482"/>
    </w:pPr>
    <w:rPr>
      <w:rFonts w:ascii="宋体"/>
      <w:snapToGrid w:val="0"/>
      <w:kern w:val="0"/>
      <w:szCs w:val="20"/>
    </w:rPr>
  </w:style>
  <w:style w:type="paragraph" w:customStyle="1" w:styleId="3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329">
    <w:name w:val="样式 标题 4H4sect 1.2.3.4Ref Heading 1rh1Heading sqlh4h41h42..."/>
    <w:basedOn w:val="5"/>
    <w:qFormat/>
    <w:uiPriority w:val="0"/>
    <w:pPr>
      <w:tabs>
        <w:tab w:val="left" w:pos="425"/>
      </w:tabs>
      <w:spacing w:before="0" w:after="156" w:afterLines="50" w:line="360" w:lineRule="auto"/>
    </w:pPr>
    <w:rPr>
      <w:rFonts w:ascii="Times New Roman" w:hAnsi="宋体" w:eastAsia="宋体" w:cs="宋体"/>
      <w:sz w:val="24"/>
      <w:szCs w:val="20"/>
    </w:rPr>
  </w:style>
  <w:style w:type="paragraph" w:customStyle="1" w:styleId="330">
    <w:name w:val="S4-I-L15-U"/>
    <w:basedOn w:val="1"/>
    <w:qFormat/>
    <w:uiPriority w:val="0"/>
    <w:pPr>
      <w:spacing w:line="360" w:lineRule="auto"/>
    </w:pPr>
    <w:rPr>
      <w:b/>
      <w:i/>
      <w:sz w:val="24"/>
      <w:u w:val="single"/>
    </w:rPr>
  </w:style>
  <w:style w:type="paragraph" w:customStyle="1" w:styleId="331">
    <w:name w:val="样式 标题 2"/>
    <w:basedOn w:val="2"/>
    <w:next w:val="332"/>
    <w:qFormat/>
    <w:uiPriority w:val="0"/>
    <w:pPr>
      <w:keepLines w:val="0"/>
      <w:spacing w:before="120" w:after="156" w:afterLines="50" w:line="240" w:lineRule="auto"/>
      <w:ind w:left="380" w:hanging="380"/>
      <w:jc w:val="left"/>
    </w:pPr>
    <w:rPr>
      <w:rFonts w:ascii="宋体" w:hAnsi="Times New Roman" w:eastAsia="宋体" w:cs="宋体"/>
      <w:snapToGrid w:val="0"/>
      <w:kern w:val="0"/>
      <w:sz w:val="28"/>
      <w:szCs w:val="20"/>
    </w:rPr>
  </w:style>
  <w:style w:type="paragraph" w:customStyle="1" w:styleId="332">
    <w:name w:val="最新标题3"/>
    <w:basedOn w:val="333"/>
    <w:next w:val="334"/>
    <w:qFormat/>
    <w:uiPriority w:val="0"/>
  </w:style>
  <w:style w:type="paragraph" w:customStyle="1" w:styleId="333">
    <w:name w:val="样式 标题 3"/>
    <w:basedOn w:val="4"/>
    <w:next w:val="334"/>
    <w:qFormat/>
    <w:uiPriority w:val="0"/>
    <w:pPr>
      <w:keepLines w:val="0"/>
      <w:autoSpaceDE/>
      <w:autoSpaceDN/>
      <w:adjustRightInd/>
      <w:spacing w:before="120" w:after="156" w:afterLines="50"/>
    </w:pPr>
    <w:rPr>
      <w:rFonts w:cs="宋体"/>
      <w:bCs/>
      <w:snapToGrid w:val="0"/>
      <w:u w:val="none"/>
    </w:rPr>
  </w:style>
  <w:style w:type="paragraph" w:customStyle="1" w:styleId="334">
    <w:name w:val="最新标题4"/>
    <w:basedOn w:val="335"/>
    <w:next w:val="1"/>
    <w:qFormat/>
    <w:uiPriority w:val="0"/>
    <w:pPr>
      <w:tabs>
        <w:tab w:val="left" w:pos="2100"/>
      </w:tabs>
      <w:spacing w:after="120"/>
      <w:ind w:left="0" w:firstLine="0"/>
    </w:pPr>
  </w:style>
  <w:style w:type="paragraph" w:customStyle="1" w:styleId="335">
    <w:name w:val="样式 标题 4"/>
    <w:basedOn w:val="336"/>
    <w:next w:val="338"/>
    <w:qFormat/>
    <w:uiPriority w:val="0"/>
    <w:pPr>
      <w:tabs>
        <w:tab w:val="left" w:pos="2100"/>
      </w:tabs>
      <w:spacing w:after="50"/>
      <w:ind w:left="2100" w:hanging="420"/>
    </w:pPr>
  </w:style>
  <w:style w:type="paragraph" w:customStyle="1" w:styleId="336">
    <w:name w:val="样式 标题 4Chapter X.X.X.X. + 段后: 0.5 行1"/>
    <w:basedOn w:val="337"/>
    <w:qFormat/>
    <w:uiPriority w:val="0"/>
    <w:pPr>
      <w:spacing w:after="120"/>
    </w:pPr>
  </w:style>
  <w:style w:type="paragraph" w:customStyle="1" w:styleId="337">
    <w:name w:val="样式 标题 4 + 段后: 0.5 行"/>
    <w:basedOn w:val="5"/>
    <w:qFormat/>
    <w:uiPriority w:val="0"/>
    <w:pPr>
      <w:keepLines w:val="0"/>
      <w:spacing w:before="120" w:after="156" w:afterLines="50" w:line="240" w:lineRule="auto"/>
      <w:jc w:val="left"/>
    </w:pPr>
    <w:rPr>
      <w:rFonts w:ascii="宋体" w:hAnsi="Times New Roman" w:eastAsia="宋体" w:cs="宋体"/>
      <w:snapToGrid w:val="0"/>
      <w:kern w:val="0"/>
      <w:sz w:val="21"/>
      <w:szCs w:val="20"/>
    </w:rPr>
  </w:style>
  <w:style w:type="paragraph" w:customStyle="1" w:styleId="338">
    <w:name w:val="样式 正文"/>
    <w:basedOn w:val="1"/>
    <w:next w:val="1"/>
    <w:qFormat/>
    <w:uiPriority w:val="0"/>
    <w:pPr>
      <w:spacing w:after="156" w:afterLines="50"/>
      <w:jc w:val="left"/>
    </w:pPr>
    <w:rPr>
      <w:rFonts w:ascii="宋体" w:cs="宋体"/>
      <w:snapToGrid w:val="0"/>
      <w:kern w:val="0"/>
      <w:szCs w:val="20"/>
    </w:rPr>
  </w:style>
  <w:style w:type="paragraph" w:customStyle="1" w:styleId="339">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340">
    <w:name w:val="标准小四"/>
    <w:basedOn w:val="1"/>
    <w:qFormat/>
    <w:uiPriority w:val="0"/>
    <w:pPr>
      <w:spacing w:line="360" w:lineRule="auto"/>
      <w:ind w:firstLine="480" w:firstLineChars="200"/>
    </w:pPr>
    <w:rPr>
      <w:rFonts w:ascii="Arial" w:hAnsi="Arial"/>
      <w:sz w:val="24"/>
      <w:szCs w:val="21"/>
    </w:rPr>
  </w:style>
  <w:style w:type="paragraph" w:customStyle="1" w:styleId="3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2">
    <w:name w:val="样式 标题 1 + 段后: 0.5 行"/>
    <w:basedOn w:val="3"/>
    <w:qFormat/>
    <w:uiPriority w:val="0"/>
    <w:pPr>
      <w:keepLines w:val="0"/>
      <w:spacing w:before="120" w:after="156" w:afterLines="50" w:line="240" w:lineRule="auto"/>
      <w:jc w:val="left"/>
    </w:pPr>
    <w:rPr>
      <w:rFonts w:ascii="宋体" w:cs="宋体"/>
      <w:snapToGrid w:val="0"/>
      <w:kern w:val="0"/>
      <w:sz w:val="28"/>
      <w:szCs w:val="20"/>
    </w:rPr>
  </w:style>
  <w:style w:type="paragraph" w:customStyle="1" w:styleId="343">
    <w:name w:val="样式 标题1"/>
    <w:basedOn w:val="342"/>
    <w:next w:val="344"/>
    <w:qFormat/>
    <w:uiPriority w:val="0"/>
    <w:pPr>
      <w:tabs>
        <w:tab w:val="left" w:pos="1140"/>
      </w:tabs>
      <w:spacing w:after="50"/>
      <w:ind w:left="1140" w:hanging="720"/>
    </w:pPr>
    <w:rPr>
      <w:bCs w:val="0"/>
      <w:sz w:val="32"/>
    </w:rPr>
  </w:style>
  <w:style w:type="paragraph" w:customStyle="1" w:styleId="344">
    <w:name w:val="最新标题2"/>
    <w:basedOn w:val="331"/>
    <w:next w:val="332"/>
    <w:qFormat/>
    <w:uiPriority w:val="0"/>
    <w:pPr>
      <w:spacing w:after="120"/>
    </w:pPr>
  </w:style>
  <w:style w:type="paragraph" w:customStyle="1" w:styleId="34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6">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34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8">
    <w:name w:val="样式 标题 1 + 五号"/>
    <w:basedOn w:val="3"/>
    <w:qFormat/>
    <w:uiPriority w:val="0"/>
    <w:pPr>
      <w:spacing w:before="0" w:after="0" w:line="240" w:lineRule="auto"/>
      <w:jc w:val="center"/>
    </w:pPr>
    <w:rPr>
      <w:sz w:val="32"/>
      <w:szCs w:val="32"/>
    </w:rPr>
  </w:style>
  <w:style w:type="paragraph" w:customStyle="1" w:styleId="349">
    <w:name w:val="font7"/>
    <w:basedOn w:val="1"/>
    <w:qFormat/>
    <w:uiPriority w:val="0"/>
    <w:pPr>
      <w:widowControl/>
      <w:spacing w:before="100" w:beforeAutospacing="1" w:after="100" w:afterAutospacing="1"/>
      <w:jc w:val="left"/>
    </w:pPr>
    <w:rPr>
      <w:kern w:val="0"/>
      <w:sz w:val="20"/>
      <w:szCs w:val="20"/>
    </w:rPr>
  </w:style>
  <w:style w:type="paragraph" w:customStyle="1" w:styleId="350">
    <w:name w:val="正文－恩普"/>
    <w:basedOn w:val="13"/>
    <w:qFormat/>
    <w:uiPriority w:val="0"/>
    <w:pPr>
      <w:widowControl/>
      <w:spacing w:after="156" w:afterLines="50" w:line="360" w:lineRule="auto"/>
      <w:ind w:firstLine="480" w:firstLineChars="200"/>
      <w:jc w:val="left"/>
    </w:pPr>
    <w:rPr>
      <w:kern w:val="0"/>
      <w:sz w:val="24"/>
    </w:rPr>
  </w:style>
  <w:style w:type="paragraph" w:customStyle="1" w:styleId="3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2">
    <w:name w:val="条文脚注"/>
    <w:basedOn w:val="41"/>
    <w:qFormat/>
    <w:uiPriority w:val="0"/>
    <w:pPr>
      <w:ind w:left="780" w:leftChars="200" w:hanging="360" w:hangingChars="200"/>
      <w:jc w:val="both"/>
    </w:pPr>
  </w:style>
  <w:style w:type="paragraph" w:customStyle="1" w:styleId="35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4">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355">
    <w:name w:val="Main Title"/>
    <w:basedOn w:val="1"/>
    <w:qFormat/>
    <w:uiPriority w:val="0"/>
    <w:pPr>
      <w:spacing w:before="480" w:after="156" w:afterLines="50"/>
      <w:jc w:val="center"/>
    </w:pPr>
    <w:rPr>
      <w:rFonts w:ascii="宋体"/>
      <w:b/>
      <w:snapToGrid w:val="0"/>
      <w:kern w:val="28"/>
      <w:sz w:val="32"/>
      <w:szCs w:val="20"/>
    </w:rPr>
  </w:style>
  <w:style w:type="paragraph" w:customStyle="1" w:styleId="356">
    <w:name w:val="Char Char Char Char Char Char Char Char1 Char"/>
    <w:basedOn w:val="1"/>
    <w:qFormat/>
    <w:uiPriority w:val="0"/>
    <w:rPr>
      <w:szCs w:val="20"/>
    </w:rPr>
  </w:style>
  <w:style w:type="paragraph" w:customStyle="1" w:styleId="357">
    <w:name w:val="样式 样式 标题 4 + 段后: 0.5 行 + 段后: 0.5 行"/>
    <w:basedOn w:val="337"/>
    <w:qFormat/>
    <w:uiPriority w:val="0"/>
  </w:style>
  <w:style w:type="paragraph" w:customStyle="1" w:styleId="358">
    <w:name w:val="表格(五号)"/>
    <w:basedOn w:val="1"/>
    <w:qFormat/>
    <w:uiPriority w:val="0"/>
    <w:pPr>
      <w:adjustRightInd w:val="0"/>
      <w:snapToGrid w:val="0"/>
      <w:spacing w:line="300" w:lineRule="auto"/>
      <w:jc w:val="center"/>
    </w:pPr>
    <w:rPr>
      <w:snapToGrid w:val="0"/>
      <w:kern w:val="0"/>
      <w:sz w:val="18"/>
      <w:szCs w:val="20"/>
    </w:rPr>
  </w:style>
  <w:style w:type="paragraph" w:customStyle="1" w:styleId="35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3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61">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362">
    <w:name w:val="Char Char Char Char Char Char Char"/>
    <w:basedOn w:val="1"/>
    <w:qFormat/>
    <w:uiPriority w:val="0"/>
    <w:pPr>
      <w:widowControl/>
      <w:snapToGrid w:val="0"/>
      <w:spacing w:before="312" w:beforeLines="100" w:after="156" w:afterLines="50" w:line="500" w:lineRule="atLeast"/>
      <w:ind w:firstLine="200" w:firstLineChars="200"/>
    </w:pPr>
    <w:rPr>
      <w:rFonts w:cs="Arial"/>
      <w:b/>
      <w:sz w:val="24"/>
    </w:rPr>
  </w:style>
  <w:style w:type="paragraph" w:customStyle="1" w:styleId="363">
    <w:name w:val="Char21"/>
    <w:basedOn w:val="1"/>
    <w:qFormat/>
    <w:uiPriority w:val="0"/>
    <w:pPr>
      <w:tabs>
        <w:tab w:val="left" w:pos="432"/>
      </w:tabs>
      <w:spacing w:before="156" w:beforeLines="50" w:after="156" w:afterLines="50"/>
      <w:ind w:left="432" w:hanging="432"/>
    </w:pPr>
    <w:rPr>
      <w:sz w:val="24"/>
    </w:rPr>
  </w:style>
  <w:style w:type="paragraph" w:customStyle="1" w:styleId="364">
    <w:name w:val="标准有序列表（L1）"/>
    <w:basedOn w:val="13"/>
    <w:qFormat/>
    <w:uiPriority w:val="0"/>
    <w:pPr>
      <w:tabs>
        <w:tab w:val="left" w:pos="0"/>
      </w:tabs>
      <w:spacing w:line="360" w:lineRule="auto"/>
      <w:ind w:firstLine="0"/>
    </w:pPr>
    <w:rPr>
      <w:rFonts w:ascii="黑体" w:eastAsia="黑体"/>
      <w:color w:val="000000"/>
      <w:sz w:val="24"/>
    </w:rPr>
  </w:style>
  <w:style w:type="paragraph" w:customStyle="1" w:styleId="365">
    <w:name w:val="样式 样式 正文文本缩进 + 仿宋_GB2312 小四 首行缩进:  0 厘米 行距: 1.5 倍行距 + (中文) 仿宋_GB..."/>
    <w:basedOn w:val="268"/>
    <w:qFormat/>
    <w:uiPriority w:val="0"/>
    <w:pPr>
      <w:ind w:firstLine="480" w:firstLineChars="200"/>
    </w:pPr>
  </w:style>
  <w:style w:type="paragraph" w:customStyle="1" w:styleId="366">
    <w:name w:val="正文段"/>
    <w:basedOn w:val="1"/>
    <w:qFormat/>
    <w:uiPriority w:val="0"/>
    <w:pPr>
      <w:widowControl/>
      <w:snapToGrid w:val="0"/>
      <w:spacing w:after="156" w:afterLines="50"/>
      <w:ind w:firstLine="200" w:firstLineChars="200"/>
    </w:pPr>
    <w:rPr>
      <w:kern w:val="0"/>
      <w:sz w:val="24"/>
      <w:szCs w:val="20"/>
    </w:rPr>
  </w:style>
  <w:style w:type="paragraph" w:customStyle="1" w:styleId="367">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368">
    <w:name w:val="样式 标题 4Chapter X.X.X. + 段后: 0.5 行1"/>
    <w:basedOn w:val="5"/>
    <w:next w:val="5"/>
    <w:qFormat/>
    <w:uiPriority w:val="0"/>
    <w:pPr>
      <w:keepLines w:val="0"/>
      <w:spacing w:before="120" w:after="156" w:afterLines="50" w:line="240" w:lineRule="auto"/>
      <w:ind w:left="425" w:hanging="425"/>
      <w:jc w:val="left"/>
    </w:pPr>
    <w:rPr>
      <w:rFonts w:ascii="宋体" w:hAnsi="Times New Roman" w:eastAsia="宋体" w:cs="宋体"/>
      <w:snapToGrid w:val="0"/>
      <w:kern w:val="0"/>
      <w:sz w:val="21"/>
      <w:szCs w:val="20"/>
    </w:rPr>
  </w:style>
  <w:style w:type="paragraph" w:customStyle="1" w:styleId="369">
    <w:name w:val="Char4"/>
    <w:basedOn w:val="1"/>
    <w:qFormat/>
    <w:uiPriority w:val="0"/>
  </w:style>
  <w:style w:type="paragraph" w:customStyle="1" w:styleId="3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Char Char Char Char1"/>
    <w:basedOn w:val="1"/>
    <w:qFormat/>
    <w:uiPriority w:val="0"/>
    <w:pPr>
      <w:spacing w:line="360" w:lineRule="auto"/>
      <w:ind w:firstLine="200" w:firstLineChars="200"/>
    </w:pPr>
    <w:rPr>
      <w:rFonts w:ascii="Tahoma" w:hAnsi="Tahoma"/>
      <w:sz w:val="24"/>
    </w:rPr>
  </w:style>
  <w:style w:type="paragraph" w:customStyle="1" w:styleId="372">
    <w:name w:val="附录五级条标题"/>
    <w:basedOn w:val="373"/>
    <w:next w:val="169"/>
    <w:qFormat/>
    <w:uiPriority w:val="0"/>
    <w:pPr>
      <w:tabs>
        <w:tab w:val="left" w:pos="360"/>
      </w:tabs>
      <w:outlineLvl w:val="6"/>
    </w:pPr>
  </w:style>
  <w:style w:type="paragraph" w:customStyle="1" w:styleId="373">
    <w:name w:val="附录四级条标题"/>
    <w:basedOn w:val="374"/>
    <w:next w:val="169"/>
    <w:qFormat/>
    <w:uiPriority w:val="0"/>
    <w:pPr>
      <w:tabs>
        <w:tab w:val="left" w:pos="360"/>
      </w:tabs>
      <w:outlineLvl w:val="5"/>
    </w:pPr>
  </w:style>
  <w:style w:type="paragraph" w:customStyle="1" w:styleId="374">
    <w:name w:val="附录三级条标题"/>
    <w:basedOn w:val="375"/>
    <w:next w:val="169"/>
    <w:qFormat/>
    <w:uiPriority w:val="0"/>
    <w:pPr>
      <w:tabs>
        <w:tab w:val="left" w:pos="360"/>
      </w:tabs>
      <w:outlineLvl w:val="4"/>
    </w:pPr>
  </w:style>
  <w:style w:type="paragraph" w:customStyle="1" w:styleId="375">
    <w:name w:val="附录二级条标题"/>
    <w:basedOn w:val="376"/>
    <w:next w:val="169"/>
    <w:qFormat/>
    <w:uiPriority w:val="0"/>
    <w:pPr>
      <w:tabs>
        <w:tab w:val="left" w:pos="360"/>
      </w:tabs>
      <w:outlineLvl w:val="3"/>
    </w:pPr>
  </w:style>
  <w:style w:type="paragraph" w:customStyle="1" w:styleId="376">
    <w:name w:val="附录一级条标题"/>
    <w:basedOn w:val="377"/>
    <w:next w:val="169"/>
    <w:qFormat/>
    <w:uiPriority w:val="0"/>
    <w:pPr>
      <w:tabs>
        <w:tab w:val="left" w:pos="360"/>
      </w:tabs>
      <w:autoSpaceDN w:val="0"/>
      <w:ind w:left="0"/>
      <w:outlineLvl w:val="2"/>
    </w:pPr>
  </w:style>
  <w:style w:type="paragraph" w:customStyle="1" w:styleId="377">
    <w:name w:val="附录章标题"/>
    <w:next w:val="169"/>
    <w:qFormat/>
    <w:uiPriority w:val="0"/>
    <w:pPr>
      <w:tabs>
        <w:tab w:val="left" w:pos="360"/>
      </w:tabs>
      <w:wordWrap w:val="0"/>
      <w:overflowPunct w:val="0"/>
      <w:autoSpaceDE w:val="0"/>
      <w:spacing w:before="156" w:beforeLines="50" w:after="156"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78">
    <w:name w:val="Paragraph3"/>
    <w:basedOn w:val="1"/>
    <w:qFormat/>
    <w:uiPriority w:val="0"/>
    <w:pPr>
      <w:spacing w:before="80" w:after="156" w:afterLines="50"/>
      <w:ind w:left="1530"/>
    </w:pPr>
    <w:rPr>
      <w:rFonts w:ascii="宋体"/>
      <w:snapToGrid w:val="0"/>
      <w:kern w:val="0"/>
      <w:szCs w:val="20"/>
    </w:rPr>
  </w:style>
  <w:style w:type="paragraph" w:customStyle="1" w:styleId="379">
    <w:name w:val="普通(Web)1"/>
    <w:basedOn w:val="1"/>
    <w:next w:val="47"/>
    <w:qFormat/>
    <w:uiPriority w:val="0"/>
    <w:pPr>
      <w:widowControl/>
      <w:spacing w:before="100" w:beforeAutospacing="1" w:after="100" w:afterAutospacing="1"/>
      <w:jc w:val="left"/>
    </w:pPr>
    <w:rPr>
      <w:rFonts w:ascii="宋体" w:hAnsi="宋体"/>
      <w:color w:val="000000"/>
      <w:kern w:val="0"/>
      <w:sz w:val="24"/>
    </w:rPr>
  </w:style>
  <w:style w:type="paragraph" w:customStyle="1" w:styleId="380">
    <w:name w:val="Char Char Char Char Char Char Char Char Char Char Char Char Char Char Char Char"/>
    <w:basedOn w:val="1"/>
    <w:qFormat/>
    <w:uiPriority w:val="0"/>
    <w:pPr>
      <w:tabs>
        <w:tab w:val="left" w:pos="360"/>
      </w:tabs>
    </w:pPr>
    <w:rPr>
      <w:sz w:val="24"/>
    </w:rPr>
  </w:style>
  <w:style w:type="paragraph" w:customStyle="1" w:styleId="3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2">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83">
    <w:name w:val="*正文"/>
    <w:basedOn w:val="1"/>
    <w:qFormat/>
    <w:uiPriority w:val="0"/>
    <w:pPr>
      <w:spacing w:line="360" w:lineRule="auto"/>
      <w:ind w:firstLine="200" w:firstLineChars="200"/>
    </w:pPr>
    <w:rPr>
      <w:rFonts w:ascii="宋体" w:hAnsi="宋体" w:cs="Times New Roman"/>
      <w:sz w:val="22"/>
    </w:rPr>
  </w:style>
  <w:style w:type="paragraph" w:customStyle="1" w:styleId="384">
    <w:name w:val="纯文本_0"/>
    <w:basedOn w:val="246"/>
    <w:qFormat/>
    <w:uiPriority w:val="0"/>
    <w:rPr>
      <w:rFonts w:ascii="宋体" w:hAnsi="Courier New"/>
      <w:kern w:val="0"/>
      <w:sz w:val="20"/>
      <w:szCs w:val="20"/>
    </w:rPr>
  </w:style>
  <w:style w:type="paragraph" w:customStyle="1" w:styleId="385">
    <w:name w:val="附录表标题"/>
    <w:next w:val="169"/>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386">
    <w:name w:val="样式7"/>
    <w:basedOn w:val="1"/>
    <w:qFormat/>
    <w:uiPriority w:val="0"/>
    <w:pPr>
      <w:adjustRightInd w:val="0"/>
      <w:spacing w:before="156" w:beforeLines="50" w:after="156" w:afterLines="50" w:line="360" w:lineRule="auto"/>
      <w:ind w:firstLine="669"/>
      <w:textAlignment w:val="baseline"/>
    </w:pPr>
    <w:rPr>
      <w:rFonts w:ascii="宋体" w:hAnsi="宋体"/>
      <w:kern w:val="0"/>
      <w:sz w:val="28"/>
      <w:szCs w:val="20"/>
    </w:rPr>
  </w:style>
  <w:style w:type="paragraph" w:customStyle="1" w:styleId="387">
    <w:name w:val="此正文"/>
    <w:basedOn w:val="1"/>
    <w:qFormat/>
    <w:uiPriority w:val="0"/>
    <w:pPr>
      <w:spacing w:line="360" w:lineRule="auto"/>
      <w:ind w:firstLine="200" w:firstLineChars="200"/>
    </w:pPr>
    <w:rPr>
      <w:sz w:val="24"/>
      <w:szCs w:val="20"/>
    </w:rPr>
  </w:style>
  <w:style w:type="paragraph" w:customStyle="1" w:styleId="3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9">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390">
    <w:name w:val="样式 标题 2Chapter X.X. Statementh22Header 2l2Level 2 Headhea..."/>
    <w:basedOn w:val="2"/>
    <w:qFormat/>
    <w:uiPriority w:val="0"/>
    <w:pPr>
      <w:keepLines w:val="0"/>
      <w:spacing w:before="120" w:after="156" w:afterLines="50" w:line="240" w:lineRule="auto"/>
      <w:jc w:val="left"/>
    </w:pPr>
    <w:rPr>
      <w:rFonts w:ascii="宋体" w:hAnsi="Times New Roman" w:eastAsia="宋体" w:cs="宋体"/>
      <w:snapToGrid w:val="0"/>
      <w:kern w:val="0"/>
      <w:sz w:val="24"/>
      <w:szCs w:val="24"/>
    </w:rPr>
  </w:style>
  <w:style w:type="paragraph" w:customStyle="1" w:styleId="391">
    <w:name w:val="Char1 Char Char Char Char Char Char"/>
    <w:basedOn w:val="1"/>
    <w:qFormat/>
    <w:uiPriority w:val="0"/>
    <w:rPr>
      <w:rFonts w:ascii="Tahoma" w:hAnsi="Tahoma"/>
      <w:sz w:val="24"/>
      <w:szCs w:val="20"/>
    </w:rPr>
  </w:style>
  <w:style w:type="paragraph" w:customStyle="1" w:styleId="39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393">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94">
    <w:name w:val="正文首行缩进2字符"/>
    <w:basedOn w:val="1"/>
    <w:qFormat/>
    <w:uiPriority w:val="0"/>
    <w:pPr>
      <w:spacing w:line="360" w:lineRule="auto"/>
      <w:ind w:firstLine="200" w:firstLineChars="200"/>
    </w:pPr>
    <w:rPr>
      <w:rFonts w:eastAsia="仿宋"/>
      <w:sz w:val="28"/>
      <w:szCs w:val="20"/>
    </w:rPr>
  </w:style>
  <w:style w:type="paragraph" w:customStyle="1" w:styleId="395">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396">
    <w:name w:val="WPSOffice手动目录 1"/>
    <w:qFormat/>
    <w:uiPriority w:val="0"/>
    <w:rPr>
      <w:rFonts w:ascii="Times New Roman" w:hAnsi="Times New Roman" w:eastAsia="宋体" w:cs="Times New Roman"/>
      <w:lang w:val="en-US" w:eastAsia="zh-CN" w:bidi="ar-SA"/>
    </w:rPr>
  </w:style>
  <w:style w:type="paragraph" w:customStyle="1" w:styleId="397">
    <w:name w:val="示例"/>
    <w:next w:val="169"/>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398">
    <w:name w:val="其他发布部门"/>
    <w:basedOn w:val="399"/>
    <w:qFormat/>
    <w:uiPriority w:val="0"/>
    <w:pPr>
      <w:spacing w:line="0" w:lineRule="atLeast"/>
    </w:pPr>
    <w:rPr>
      <w:rFonts w:ascii="黑体" w:eastAsia="黑体"/>
      <w:b w:val="0"/>
    </w:rPr>
  </w:style>
  <w:style w:type="paragraph" w:customStyle="1" w:styleId="399">
    <w:name w:val="发布部门"/>
    <w:next w:val="169"/>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00">
    <w:name w:val="表文字"/>
    <w:basedOn w:val="13"/>
    <w:qFormat/>
    <w:uiPriority w:val="0"/>
    <w:pPr>
      <w:widowControl/>
      <w:overflowPunct w:val="0"/>
      <w:autoSpaceDE w:val="0"/>
      <w:autoSpaceDN w:val="0"/>
      <w:adjustRightInd w:val="0"/>
      <w:snapToGrid w:val="0"/>
      <w:spacing w:line="360" w:lineRule="auto"/>
      <w:ind w:firstLine="0"/>
    </w:pPr>
    <w:rPr>
      <w:rFonts w:ascii="宋体" w:hAnsi="宋体" w:eastAsia="幼圆"/>
      <w:snapToGrid w:val="0"/>
      <w:color w:val="000000"/>
      <w:kern w:val="28"/>
      <w:sz w:val="28"/>
    </w:rPr>
  </w:style>
  <w:style w:type="paragraph" w:customStyle="1" w:styleId="401">
    <w:name w:val="标准标题3"/>
    <w:basedOn w:val="4"/>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402">
    <w:name w:val="Char"/>
    <w:basedOn w:val="1"/>
    <w:qFormat/>
    <w:uiPriority w:val="0"/>
    <w:rPr>
      <w:szCs w:val="20"/>
    </w:rPr>
  </w:style>
  <w:style w:type="paragraph" w:customStyle="1" w:styleId="40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0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0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06">
    <w:name w:val="样式 标题 2 + 五号"/>
    <w:basedOn w:val="2"/>
    <w:qFormat/>
    <w:uiPriority w:val="0"/>
    <w:pPr>
      <w:spacing w:before="0" w:after="0" w:line="240" w:lineRule="auto"/>
    </w:pPr>
    <w:rPr>
      <w:rFonts w:ascii="宋体" w:hAnsi="宋体" w:eastAsia="宋体"/>
      <w:sz w:val="21"/>
    </w:rPr>
  </w:style>
  <w:style w:type="paragraph" w:customStyle="1" w:styleId="407">
    <w:name w:val="样式　标题4"/>
    <w:basedOn w:val="368"/>
    <w:next w:val="1"/>
    <w:qFormat/>
    <w:uiPriority w:val="0"/>
  </w:style>
  <w:style w:type="paragraph" w:customStyle="1" w:styleId="408">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09">
    <w:name w:val="1"/>
    <w:basedOn w:val="1"/>
    <w:next w:val="45"/>
    <w:qFormat/>
    <w:uiPriority w:val="0"/>
    <w:pPr>
      <w:tabs>
        <w:tab w:val="left" w:pos="840"/>
      </w:tabs>
      <w:spacing w:line="360" w:lineRule="auto"/>
      <w:ind w:left="840" w:hanging="420"/>
    </w:pPr>
    <w:rPr>
      <w:rFonts w:eastAsia="仿宋_GB2312"/>
      <w:sz w:val="24"/>
    </w:rPr>
  </w:style>
  <w:style w:type="paragraph" w:customStyle="1" w:styleId="410">
    <w:name w:val="font10"/>
    <w:basedOn w:val="1"/>
    <w:qFormat/>
    <w:uiPriority w:val="0"/>
    <w:pPr>
      <w:widowControl/>
      <w:spacing w:before="100" w:beforeAutospacing="1" w:after="100" w:afterAutospacing="1"/>
      <w:jc w:val="left"/>
    </w:pPr>
    <w:rPr>
      <w:color w:val="000000"/>
      <w:kern w:val="0"/>
      <w:sz w:val="20"/>
      <w:szCs w:val="20"/>
    </w:rPr>
  </w:style>
  <w:style w:type="paragraph" w:customStyle="1" w:styleId="411">
    <w:name w:val="font1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12">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13">
    <w:name w:val="正文1"/>
    <w:qFormat/>
    <w:uiPriority w:val="0"/>
    <w:rPr>
      <w:rFonts w:ascii="Calibri" w:hAnsi="Calibri" w:eastAsia="Times New Roman" w:cs="Times New Roman"/>
      <w:sz w:val="24"/>
      <w:szCs w:val="24"/>
      <w:lang w:val="en-US" w:eastAsia="zh-CN" w:bidi="ar-SA"/>
    </w:rPr>
  </w:style>
  <w:style w:type="paragraph" w:customStyle="1" w:styleId="4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5">
    <w:name w:val="Table - Text"/>
    <w:basedOn w:val="1"/>
    <w:qFormat/>
    <w:uiPriority w:val="0"/>
    <w:pPr>
      <w:widowControl/>
      <w:spacing w:before="60" w:after="156" w:afterLines="50"/>
      <w:jc w:val="left"/>
    </w:pPr>
    <w:rPr>
      <w:kern w:val="0"/>
      <w:szCs w:val="20"/>
      <w:lang w:eastAsia="en-US"/>
    </w:rPr>
  </w:style>
  <w:style w:type="paragraph" w:customStyle="1" w:styleId="416">
    <w:name w:val="图表脚注"/>
    <w:next w:val="169"/>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17">
    <w:name w:val="Char2"/>
    <w:basedOn w:val="1"/>
    <w:qFormat/>
    <w:uiPriority w:val="0"/>
    <w:pPr>
      <w:widowControl/>
      <w:spacing w:line="400" w:lineRule="exact"/>
      <w:jc w:val="center"/>
    </w:pPr>
    <w:rPr>
      <w:rFonts w:ascii="Verdana" w:hAnsi="Verdana" w:cs="Verdana"/>
      <w:kern w:val="0"/>
      <w:szCs w:val="21"/>
      <w:lang w:eastAsia="en-US"/>
    </w:rPr>
  </w:style>
  <w:style w:type="paragraph" w:customStyle="1" w:styleId="41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19">
    <w:name w:val="Char3"/>
    <w:basedOn w:val="1"/>
    <w:qFormat/>
    <w:uiPriority w:val="0"/>
    <w:rPr>
      <w:rFonts w:ascii="Tahoma" w:hAnsi="Tahoma"/>
      <w:sz w:val="24"/>
      <w:szCs w:val="20"/>
    </w:rPr>
  </w:style>
  <w:style w:type="paragraph" w:customStyle="1" w:styleId="420">
    <w:name w:val="P2"/>
    <w:basedOn w:val="1"/>
    <w:qFormat/>
    <w:uiPriority w:val="0"/>
    <w:pPr>
      <w:widowControl/>
      <w:spacing w:before="240" w:line="240" w:lineRule="atLeast"/>
      <w:ind w:left="578"/>
      <w:jc w:val="left"/>
    </w:pPr>
    <w:rPr>
      <w:b/>
      <w:kern w:val="0"/>
      <w:szCs w:val="21"/>
      <w:lang w:val="en-AU" w:eastAsia="en-US"/>
    </w:rPr>
  </w:style>
  <w:style w:type="paragraph" w:customStyle="1" w:styleId="421">
    <w:name w:val="样式 三号 加粗 段后: 0.5 行"/>
    <w:basedOn w:val="1"/>
    <w:qFormat/>
    <w:uiPriority w:val="0"/>
    <w:pPr>
      <w:spacing w:after="156" w:afterLines="50"/>
      <w:jc w:val="left"/>
    </w:pPr>
    <w:rPr>
      <w:rFonts w:ascii="宋体" w:cs="宋体"/>
      <w:b/>
      <w:bCs/>
      <w:snapToGrid w:val="0"/>
      <w:kern w:val="0"/>
      <w:sz w:val="32"/>
      <w:szCs w:val="20"/>
    </w:rPr>
  </w:style>
  <w:style w:type="paragraph" w:customStyle="1" w:styleId="422">
    <w:name w:val="Char Char Char1 Char Char Char Char"/>
    <w:basedOn w:val="1"/>
    <w:qFormat/>
    <w:uiPriority w:val="0"/>
    <w:rPr>
      <w:rFonts w:ascii="仿宋_GB2312" w:eastAsia="仿宋_GB2312"/>
      <w:b/>
      <w:sz w:val="32"/>
      <w:szCs w:val="32"/>
    </w:rPr>
  </w:style>
  <w:style w:type="paragraph" w:customStyle="1" w:styleId="423">
    <w:name w:val="四级无标题条"/>
    <w:basedOn w:val="1"/>
    <w:qFormat/>
    <w:uiPriority w:val="0"/>
    <w:rPr>
      <w:rFonts w:ascii="宋体" w:hAnsi="宋体"/>
    </w:rPr>
  </w:style>
  <w:style w:type="paragraph" w:customStyle="1" w:styleId="424">
    <w:name w:val="实施日期"/>
    <w:basedOn w:val="425"/>
    <w:qFormat/>
    <w:uiPriority w:val="0"/>
    <w:pPr>
      <w:jc w:val="right"/>
    </w:pPr>
  </w:style>
  <w:style w:type="paragraph" w:customStyle="1" w:styleId="425">
    <w:name w:val="发布日期"/>
    <w:qFormat/>
    <w:uiPriority w:val="0"/>
    <w:rPr>
      <w:rFonts w:ascii="宋体" w:hAnsi="宋体" w:eastAsia="黑体" w:cs="Times New Roman"/>
      <w:kern w:val="2"/>
      <w:sz w:val="28"/>
      <w:szCs w:val="24"/>
      <w:lang w:val="en-US" w:eastAsia="zh-CN" w:bidi="ar-SA"/>
    </w:rPr>
  </w:style>
  <w:style w:type="paragraph" w:customStyle="1" w:styleId="426">
    <w:name w:val="表格"/>
    <w:basedOn w:val="1"/>
    <w:next w:val="1"/>
    <w:qFormat/>
    <w:uiPriority w:val="0"/>
    <w:pPr>
      <w:widowControl/>
      <w:jc w:val="center"/>
    </w:pPr>
    <w:rPr>
      <w:rFonts w:ascii="宋体" w:cs="宋体"/>
      <w:bCs/>
      <w:kern w:val="0"/>
    </w:rPr>
  </w:style>
  <w:style w:type="paragraph" w:customStyle="1" w:styleId="4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4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29">
    <w:name w:val="Char Char6 Char Char"/>
    <w:basedOn w:val="1"/>
    <w:qFormat/>
    <w:uiPriority w:val="0"/>
    <w:pPr>
      <w:tabs>
        <w:tab w:val="right" w:pos="-2120"/>
      </w:tabs>
      <w:snapToGrid w:val="0"/>
    </w:pPr>
    <w:rPr>
      <w:rFonts w:ascii="Tahoma" w:hAnsi="Tahoma"/>
      <w:spacing w:val="6"/>
      <w:sz w:val="24"/>
      <w:szCs w:val="20"/>
    </w:rPr>
  </w:style>
  <w:style w:type="paragraph" w:customStyle="1" w:styleId="430">
    <w:name w:val="修订1"/>
    <w:qFormat/>
    <w:uiPriority w:val="0"/>
    <w:rPr>
      <w:rFonts w:ascii="Times New Roman" w:hAnsi="Times New Roman" w:eastAsia="宋体" w:cs="Times New Roman"/>
      <w:kern w:val="2"/>
      <w:sz w:val="21"/>
      <w:szCs w:val="24"/>
      <w:lang w:val="en-US" w:eastAsia="zh-CN" w:bidi="ar-SA"/>
    </w:rPr>
  </w:style>
  <w:style w:type="paragraph" w:customStyle="1" w:styleId="431">
    <w:name w:val="样式 模板描述"/>
    <w:basedOn w:val="1"/>
    <w:next w:val="338"/>
    <w:qFormat/>
    <w:uiPriority w:val="0"/>
    <w:pPr>
      <w:spacing w:after="156" w:afterLines="50"/>
      <w:jc w:val="left"/>
    </w:pPr>
    <w:rPr>
      <w:rFonts w:ascii="宋体" w:cs="宋体"/>
      <w:i/>
      <w:iCs/>
      <w:snapToGrid w:val="0"/>
      <w:color w:val="0000FF"/>
      <w:kern w:val="0"/>
      <w:szCs w:val="21"/>
    </w:rPr>
  </w:style>
  <w:style w:type="paragraph" w:customStyle="1" w:styleId="432">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433">
    <w:name w:val="List Paragraph1"/>
    <w:basedOn w:val="1"/>
    <w:qFormat/>
    <w:uiPriority w:val="0"/>
    <w:pPr>
      <w:ind w:firstLine="420" w:firstLineChars="200"/>
    </w:pPr>
    <w:rPr>
      <w:rFonts w:ascii="Calibri" w:hAnsi="Calibri"/>
      <w:szCs w:val="22"/>
    </w:rPr>
  </w:style>
  <w:style w:type="paragraph" w:customStyle="1" w:styleId="434">
    <w:name w:val="二级无标题条"/>
    <w:basedOn w:val="1"/>
    <w:qFormat/>
    <w:uiPriority w:val="0"/>
    <w:rPr>
      <w:rFonts w:ascii="宋体" w:hAnsi="宋体"/>
    </w:rPr>
  </w:style>
  <w:style w:type="paragraph" w:customStyle="1" w:styleId="435">
    <w:name w:val="样式 标题 3Chapter X.X.X"/>
    <w:basedOn w:val="436"/>
    <w:qFormat/>
    <w:uiPriority w:val="0"/>
  </w:style>
  <w:style w:type="paragraph" w:customStyle="1" w:styleId="436">
    <w:name w:val="标题 3Chapter X.X.X. + 段后: 0.5 行 + 段后: 0.5 行 + 段后: 0.5 行1"/>
    <w:basedOn w:val="437"/>
    <w:qFormat/>
    <w:uiPriority w:val="0"/>
  </w:style>
  <w:style w:type="paragraph" w:customStyle="1" w:styleId="437">
    <w:name w:val="样式 样式 标题 3Chapter X.X.X. + 段后: 0.5 行 + 段后: 0.5 行"/>
    <w:basedOn w:val="438"/>
    <w:qFormat/>
    <w:uiPriority w:val="0"/>
  </w:style>
  <w:style w:type="paragraph" w:customStyle="1" w:styleId="438">
    <w:name w:val="样式 标题 3Chapter X.X.X. + 段后: 0.5 行"/>
    <w:basedOn w:val="4"/>
    <w:qFormat/>
    <w:uiPriority w:val="0"/>
    <w:pPr>
      <w:keepLines w:val="0"/>
      <w:autoSpaceDE/>
      <w:autoSpaceDN/>
      <w:adjustRightInd/>
      <w:spacing w:before="120" w:after="156" w:afterLines="50"/>
    </w:pPr>
    <w:rPr>
      <w:rFonts w:cs="宋体"/>
      <w:bCs/>
      <w:snapToGrid w:val="0"/>
      <w:u w:val="none"/>
    </w:rPr>
  </w:style>
  <w:style w:type="paragraph" w:customStyle="1" w:styleId="4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41">
    <w:name w:val="样式 样式 正文文本缩进 + 仿宋_GB2312 小四 首行缩进:  0 厘米 行距: 1.5 倍行距 + (中文) 仿宋_GB... Char Char"/>
    <w:basedOn w:val="268"/>
    <w:qFormat/>
    <w:uiPriority w:val="0"/>
    <w:pPr>
      <w:ind w:firstLine="480" w:firstLineChars="200"/>
    </w:pPr>
  </w:style>
  <w:style w:type="paragraph" w:customStyle="1" w:styleId="442">
    <w:name w:val="paramlista"/>
    <w:basedOn w:val="1"/>
    <w:qFormat/>
    <w:uiPriority w:val="0"/>
    <w:pPr>
      <w:widowControl/>
      <w:tabs>
        <w:tab w:val="left" w:pos="600"/>
      </w:tabs>
      <w:spacing w:before="100" w:beforeAutospacing="1" w:after="100" w:afterAutospacing="1" w:line="240" w:lineRule="atLeast"/>
      <w:ind w:hanging="420"/>
      <w:jc w:val="left"/>
    </w:pPr>
    <w:rPr>
      <w:rFonts w:ascii="宋体" w:hAnsi="宋体" w:cs="宋体"/>
      <w:kern w:val="0"/>
      <w:sz w:val="18"/>
      <w:szCs w:val="18"/>
    </w:rPr>
  </w:style>
  <w:style w:type="paragraph" w:customStyle="1" w:styleId="443">
    <w:name w:val="1 Char Char Char Char"/>
    <w:basedOn w:val="1"/>
    <w:qFormat/>
    <w:uiPriority w:val="0"/>
    <w:rPr>
      <w:rFonts w:ascii="Tahoma" w:hAnsi="Tahoma"/>
      <w:sz w:val="24"/>
      <w:szCs w:val="20"/>
    </w:rPr>
  </w:style>
  <w:style w:type="paragraph" w:customStyle="1" w:styleId="444">
    <w:name w:val="BodyText1I"/>
    <w:basedOn w:val="1"/>
    <w:next w:val="1"/>
    <w:qFormat/>
    <w:uiPriority w:val="0"/>
    <w:pPr>
      <w:spacing w:line="360" w:lineRule="auto"/>
      <w:ind w:firstLine="200" w:firstLineChars="200"/>
      <w:jc w:val="left"/>
      <w:textAlignment w:val="baseline"/>
    </w:pPr>
    <w:rPr>
      <w:rFonts w:ascii="宋体" w:hAnsi="宋体" w:cs="Times New Roman"/>
      <w:bCs/>
      <w:kern w:val="2"/>
      <w:sz w:val="24"/>
      <w:szCs w:val="24"/>
      <w:lang w:val="en-US" w:eastAsia="zh-CN" w:bidi="ar-SA"/>
    </w:rPr>
  </w:style>
  <w:style w:type="paragraph" w:customStyle="1" w:styleId="445">
    <w:name w:val="Char1 Char Char Char"/>
    <w:basedOn w:val="1"/>
    <w:qFormat/>
    <w:uiPriority w:val="0"/>
    <w:pPr>
      <w:tabs>
        <w:tab w:val="left" w:pos="432"/>
      </w:tabs>
      <w:spacing w:before="156" w:beforeLines="50" w:after="156" w:afterLines="50" w:line="400" w:lineRule="exact"/>
      <w:ind w:left="432" w:hanging="432"/>
    </w:pPr>
    <w:rPr>
      <w:rFonts w:ascii="宋体" w:hAnsi="宋体"/>
      <w:sz w:val="24"/>
    </w:rPr>
  </w:style>
  <w:style w:type="paragraph" w:customStyle="1" w:styleId="446">
    <w:name w:val="S4-L15-No"/>
    <w:basedOn w:val="447"/>
    <w:qFormat/>
    <w:uiPriority w:val="0"/>
    <w:pPr>
      <w:tabs>
        <w:tab w:val="left" w:pos="720"/>
      </w:tabs>
      <w:ind w:hanging="720"/>
    </w:pPr>
  </w:style>
  <w:style w:type="paragraph" w:customStyle="1" w:styleId="447">
    <w:name w:val="S4-L15"/>
    <w:basedOn w:val="1"/>
    <w:qFormat/>
    <w:uiPriority w:val="0"/>
    <w:pPr>
      <w:spacing w:after="120" w:line="360" w:lineRule="auto"/>
      <w:ind w:left="720" w:firstLine="392"/>
    </w:pPr>
    <w:rPr>
      <w:szCs w:val="21"/>
      <w:lang w:val="fr-FR"/>
    </w:rPr>
  </w:style>
  <w:style w:type="paragraph" w:customStyle="1" w:styleId="448">
    <w:name w:val="样式 标题 3Chapter X.X.X. + 五号 段后: 0.5 行"/>
    <w:basedOn w:val="4"/>
    <w:qFormat/>
    <w:uiPriority w:val="0"/>
    <w:pPr>
      <w:keepLines w:val="0"/>
      <w:autoSpaceDE/>
      <w:autoSpaceDN/>
      <w:adjustRightInd/>
      <w:spacing w:before="120" w:after="156" w:afterLines="50"/>
    </w:pPr>
    <w:rPr>
      <w:rFonts w:cs="宋体"/>
      <w:bCs/>
      <w:snapToGrid w:val="0"/>
      <w:sz w:val="21"/>
      <w:u w:val="none"/>
    </w:rPr>
  </w:style>
  <w:style w:type="paragraph" w:customStyle="1" w:styleId="449">
    <w:name w:val="最新标题1"/>
    <w:basedOn w:val="343"/>
    <w:next w:val="344"/>
    <w:qFormat/>
    <w:uiPriority w:val="0"/>
    <w:pPr>
      <w:spacing w:after="120"/>
    </w:pPr>
    <w:rPr>
      <w:bCs/>
    </w:rPr>
  </w:style>
  <w:style w:type="paragraph" w:customStyle="1" w:styleId="4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51">
    <w:name w:val="样式 正文（首行缩进两字） + 首行缩进:  2 字符"/>
    <w:basedOn w:val="13"/>
    <w:qFormat/>
    <w:uiPriority w:val="0"/>
    <w:pPr>
      <w:spacing w:line="460" w:lineRule="exact"/>
      <w:ind w:firstLine="536" w:firstLineChars="200"/>
    </w:pPr>
    <w:rPr>
      <w:rFonts w:cs="宋体"/>
      <w:spacing w:val="6"/>
      <w:kern w:val="24"/>
      <w:sz w:val="24"/>
      <w:szCs w:val="24"/>
    </w:rPr>
  </w:style>
  <w:style w:type="paragraph" w:customStyle="1" w:styleId="452">
    <w:name w:val="样式 标题 4Chapter X.X.X. + 段后: 0.5 行1 + 段后: 0.5 行"/>
    <w:basedOn w:val="368"/>
    <w:qFormat/>
    <w:uiPriority w:val="0"/>
    <w:rPr>
      <w:szCs w:val="21"/>
    </w:rPr>
  </w:style>
  <w:style w:type="paragraph" w:customStyle="1" w:styleId="453">
    <w:name w:val="Paragraph4"/>
    <w:basedOn w:val="1"/>
    <w:qFormat/>
    <w:uiPriority w:val="0"/>
    <w:pPr>
      <w:spacing w:before="80" w:after="156" w:afterLines="50"/>
      <w:ind w:left="2250"/>
    </w:pPr>
    <w:rPr>
      <w:rFonts w:ascii="宋体"/>
      <w:snapToGrid w:val="0"/>
      <w:kern w:val="0"/>
      <w:szCs w:val="20"/>
    </w:rPr>
  </w:style>
  <w:style w:type="paragraph" w:customStyle="1" w:styleId="454">
    <w:name w:val="五级无标题条"/>
    <w:basedOn w:val="1"/>
    <w:qFormat/>
    <w:uiPriority w:val="0"/>
    <w:rPr>
      <w:rFonts w:ascii="宋体" w:hAnsi="宋体"/>
    </w:rPr>
  </w:style>
  <w:style w:type="paragraph" w:customStyle="1" w:styleId="455">
    <w:name w:val="标准标题2"/>
    <w:basedOn w:val="2"/>
    <w:qFormat/>
    <w:uiPriority w:val="0"/>
    <w:pPr>
      <w:spacing w:line="360" w:lineRule="auto"/>
    </w:pPr>
    <w:rPr>
      <w:rFonts w:eastAsia="仿宋_GB2312"/>
      <w:bCs w:val="0"/>
      <w:sz w:val="28"/>
    </w:rPr>
  </w:style>
  <w:style w:type="paragraph" w:customStyle="1" w:styleId="456">
    <w:name w:val="Note Heading1"/>
    <w:basedOn w:val="1"/>
    <w:next w:val="1"/>
    <w:qFormat/>
    <w:uiPriority w:val="0"/>
    <w:pPr>
      <w:jc w:val="center"/>
    </w:pPr>
    <w:rPr>
      <w:rFonts w:ascii="DFKai-SB" w:hAnsi="DFKai-SB" w:eastAsia="DFKai-SB"/>
      <w:sz w:val="20"/>
      <w:szCs w:val="20"/>
    </w:rPr>
  </w:style>
  <w:style w:type="paragraph" w:customStyle="1" w:styleId="457">
    <w:name w:val="附录性质"/>
    <w:basedOn w:val="1"/>
    <w:qFormat/>
    <w:uiPriority w:val="0"/>
    <w:pPr>
      <w:jc w:val="center"/>
    </w:pPr>
    <w:rPr>
      <w:rFonts w:ascii="黑体" w:hAnsi="宋体" w:eastAsia="黑体"/>
    </w:rPr>
  </w:style>
  <w:style w:type="paragraph" w:customStyle="1" w:styleId="458">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9">
    <w:name w:val="附录图标题"/>
    <w:next w:val="169"/>
    <w:qFormat/>
    <w:uiPriority w:val="0"/>
    <w:pPr>
      <w:jc w:val="center"/>
    </w:pPr>
    <w:rPr>
      <w:rFonts w:ascii="黑体" w:hAnsi="宋体" w:eastAsia="黑体" w:cs="Times New Roman"/>
      <w:kern w:val="2"/>
      <w:sz w:val="21"/>
      <w:szCs w:val="24"/>
      <w:lang w:val="en-US" w:eastAsia="zh-CN" w:bidi="ar-SA"/>
    </w:rPr>
  </w:style>
  <w:style w:type="paragraph" w:customStyle="1" w:styleId="460">
    <w:name w:val="目次、标准名称标题"/>
    <w:basedOn w:val="305"/>
    <w:next w:val="1"/>
    <w:qFormat/>
    <w:uiPriority w:val="0"/>
    <w:pPr>
      <w:spacing w:line="460" w:lineRule="exact"/>
    </w:pPr>
    <w:rPr>
      <w:rFonts w:hAnsi="宋体"/>
      <w:kern w:val="2"/>
      <w:szCs w:val="24"/>
    </w:rPr>
  </w:style>
  <w:style w:type="paragraph" w:customStyle="1" w:styleId="461">
    <w:name w:val="样式1"/>
    <w:basedOn w:val="3"/>
    <w:qFormat/>
    <w:uiPriority w:val="0"/>
    <w:pPr>
      <w:spacing w:line="0" w:lineRule="atLeast"/>
      <w:jc w:val="center"/>
    </w:pPr>
    <w:rPr>
      <w:rFonts w:ascii="宋体" w:hAnsi="宋体" w:eastAsia="黑体"/>
      <w:b w:val="0"/>
      <w:bCs w:val="0"/>
      <w:sz w:val="36"/>
      <w:szCs w:val="20"/>
    </w:rPr>
  </w:style>
  <w:style w:type="paragraph" w:customStyle="1" w:styleId="462">
    <w:name w:val="正文图标题"/>
    <w:next w:val="169"/>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63">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464">
    <w:name w:val="Plain Text_5d4b503d-331e-4e98-946a-c245bef629af"/>
    <w:basedOn w:val="1"/>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465">
    <w:name w:val="Tabletext"/>
    <w:basedOn w:val="1"/>
    <w:qFormat/>
    <w:uiPriority w:val="0"/>
    <w:pPr>
      <w:keepLines/>
      <w:spacing w:after="156" w:afterLines="50"/>
      <w:jc w:val="left"/>
    </w:pPr>
    <w:rPr>
      <w:rFonts w:ascii="宋体"/>
      <w:snapToGrid w:val="0"/>
      <w:kern w:val="0"/>
      <w:szCs w:val="20"/>
    </w:rPr>
  </w:style>
  <w:style w:type="paragraph" w:customStyle="1" w:styleId="466">
    <w:name w:val="Paragraph2"/>
    <w:basedOn w:val="1"/>
    <w:qFormat/>
    <w:uiPriority w:val="0"/>
    <w:pPr>
      <w:spacing w:before="80" w:after="156" w:afterLines="50"/>
      <w:ind w:left="720"/>
    </w:pPr>
    <w:rPr>
      <w:rFonts w:ascii="宋体"/>
      <w:snapToGrid w:val="0"/>
      <w:color w:val="000000"/>
      <w:kern w:val="0"/>
      <w:szCs w:val="20"/>
      <w:lang w:val="en-AU"/>
    </w:rPr>
  </w:style>
  <w:style w:type="paragraph" w:customStyle="1" w:styleId="467">
    <w:name w:val="列出段落1"/>
    <w:basedOn w:val="1"/>
    <w:qFormat/>
    <w:uiPriority w:val="0"/>
    <w:pPr>
      <w:ind w:firstLine="420" w:firstLineChars="200"/>
    </w:pPr>
    <w:rPr>
      <w:rFonts w:ascii="Calibri" w:hAnsi="Calibri"/>
      <w:szCs w:val="22"/>
    </w:rPr>
  </w:style>
  <w:style w:type="paragraph" w:customStyle="1" w:styleId="468">
    <w:name w:val="样式 样式 标题 4 + 段后: 0.5 行1"/>
    <w:basedOn w:val="337"/>
    <w:next w:val="32"/>
    <w:qFormat/>
    <w:uiPriority w:val="0"/>
    <w:pPr>
      <w:spacing w:after="120"/>
    </w:pPr>
  </w:style>
  <w:style w:type="paragraph" w:customStyle="1" w:styleId="469">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70">
    <w:name w:val="S4-I-U-L15-No-dot"/>
    <w:basedOn w:val="1"/>
    <w:qFormat/>
    <w:uiPriority w:val="0"/>
    <w:pPr>
      <w:tabs>
        <w:tab w:val="left" w:pos="1112"/>
      </w:tabs>
      <w:spacing w:after="120" w:line="360" w:lineRule="auto"/>
      <w:ind w:left="1112" w:hanging="420"/>
    </w:pPr>
    <w:rPr>
      <w:i/>
      <w:sz w:val="24"/>
      <w:u w:val="single"/>
    </w:rPr>
  </w:style>
  <w:style w:type="paragraph" w:customStyle="1" w:styleId="471">
    <w:name w:val="Note Heading2"/>
    <w:basedOn w:val="1"/>
    <w:next w:val="1"/>
    <w:qFormat/>
    <w:uiPriority w:val="0"/>
    <w:pPr>
      <w:jc w:val="center"/>
    </w:pPr>
    <w:rPr>
      <w:rFonts w:ascii="DFKai-SB" w:hAnsi="DFKai-SB" w:eastAsia="DFKai-SB"/>
      <w:sz w:val="20"/>
      <w:szCs w:val="20"/>
    </w:rPr>
  </w:style>
  <w:style w:type="paragraph" w:customStyle="1" w:styleId="4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7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7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475">
    <w:name w:val="样式 样式 样式 标题 3Chapter X.X.X. + 段后: 0.5 行 + 段后: 0.5 行 + 段后: 0.5 行"/>
    <w:basedOn w:val="437"/>
    <w:qFormat/>
    <w:uiPriority w:val="0"/>
  </w:style>
  <w:style w:type="paragraph" w:customStyle="1" w:styleId="476">
    <w:name w:val="列表内容"/>
    <w:basedOn w:val="1"/>
    <w:next w:val="1"/>
    <w:qFormat/>
    <w:uiPriority w:val="0"/>
    <w:pPr>
      <w:widowControl/>
      <w:tabs>
        <w:tab w:val="left" w:pos="840"/>
        <w:tab w:val="left" w:pos="3645"/>
      </w:tabs>
      <w:ind w:left="3645" w:hanging="1965"/>
      <w:jc w:val="left"/>
    </w:pPr>
    <w:rPr>
      <w:kern w:val="0"/>
      <w:sz w:val="18"/>
    </w:rPr>
  </w:style>
  <w:style w:type="paragraph" w:customStyle="1" w:styleId="477">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78">
    <w:name w:val="文本框内文字"/>
    <w:basedOn w:val="1"/>
    <w:qFormat/>
    <w:uiPriority w:val="0"/>
    <w:pPr>
      <w:spacing w:line="0" w:lineRule="atLeast"/>
    </w:pPr>
    <w:rPr>
      <w:rFonts w:eastAsia="仿宋_GB2312"/>
      <w:sz w:val="22"/>
    </w:rPr>
  </w:style>
  <w:style w:type="paragraph" w:customStyle="1" w:styleId="479">
    <w:name w:val="Bullet1"/>
    <w:basedOn w:val="1"/>
    <w:qFormat/>
    <w:uiPriority w:val="0"/>
    <w:pPr>
      <w:spacing w:after="156" w:afterLines="50"/>
      <w:ind w:left="720" w:hanging="432"/>
      <w:jc w:val="left"/>
    </w:pPr>
    <w:rPr>
      <w:rFonts w:ascii="宋体"/>
      <w:snapToGrid w:val="0"/>
      <w:kern w:val="0"/>
      <w:szCs w:val="20"/>
    </w:rPr>
  </w:style>
  <w:style w:type="paragraph" w:customStyle="1" w:styleId="480">
    <w:name w:val="Char Char4"/>
    <w:basedOn w:val="1"/>
    <w:qFormat/>
    <w:uiPriority w:val="0"/>
  </w:style>
  <w:style w:type="paragraph" w:customStyle="1" w:styleId="481">
    <w:name w:val="Table - Col. Head"/>
    <w:basedOn w:val="1"/>
    <w:qFormat/>
    <w:uiPriority w:val="0"/>
    <w:pPr>
      <w:keepNext/>
      <w:widowControl/>
      <w:spacing w:before="60" w:after="156" w:afterLines="50"/>
      <w:jc w:val="left"/>
    </w:pPr>
    <w:rPr>
      <w:rFonts w:ascii="Arial" w:hAnsi="Arial"/>
      <w:b/>
      <w:kern w:val="0"/>
      <w:sz w:val="18"/>
      <w:szCs w:val="20"/>
      <w:lang w:eastAsia="en-US"/>
    </w:rPr>
  </w:style>
  <w:style w:type="paragraph" w:customStyle="1" w:styleId="48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3">
    <w:name w:val="Char Char 字元 字元 字元 Char Char Char Char"/>
    <w:basedOn w:val="1"/>
    <w:qFormat/>
    <w:uiPriority w:val="0"/>
    <w:pPr>
      <w:adjustRightInd w:val="0"/>
      <w:spacing w:line="360" w:lineRule="auto"/>
    </w:pPr>
    <w:rPr>
      <w:rFonts w:ascii="宋体" w:hAnsi="宋体"/>
      <w:kern w:val="0"/>
      <w:sz w:val="20"/>
      <w:szCs w:val="20"/>
    </w:rPr>
  </w:style>
  <w:style w:type="paragraph" w:customStyle="1" w:styleId="484">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4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86">
    <w:name w:val="p0"/>
    <w:basedOn w:val="1"/>
    <w:qFormat/>
    <w:uiPriority w:val="0"/>
    <w:pPr>
      <w:widowControl/>
      <w:spacing w:line="360" w:lineRule="auto"/>
      <w:jc w:val="left"/>
    </w:pPr>
    <w:rPr>
      <w:rFonts w:ascii="Calibri" w:hAnsi="Calibri"/>
      <w:kern w:val="0"/>
      <w:sz w:val="24"/>
    </w:rPr>
  </w:style>
  <w:style w:type="paragraph" w:customStyle="1" w:styleId="487">
    <w:name w:val="样式 标题 3标题 3 CharH3h33rd level3Level 3 Headlevel_3PIM 3s..."/>
    <w:basedOn w:val="4"/>
    <w:qFormat/>
    <w:uiPriority w:val="0"/>
    <w:pPr>
      <w:tabs>
        <w:tab w:val="left" w:pos="425"/>
      </w:tabs>
      <w:autoSpaceDE/>
      <w:autoSpaceDN/>
      <w:adjustRightInd/>
      <w:spacing w:before="260" w:after="156" w:afterLines="50" w:line="416" w:lineRule="auto"/>
      <w:jc w:val="both"/>
    </w:pPr>
    <w:rPr>
      <w:rFonts w:hAnsi="宋体" w:cs="宋体"/>
      <w:bCs/>
      <w:kern w:val="2"/>
      <w:sz w:val="28"/>
      <w:u w:val="none"/>
    </w:rPr>
  </w:style>
  <w:style w:type="paragraph" w:customStyle="1" w:styleId="488">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4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1">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9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4">
    <w:name w:val="项目编号1"/>
    <w:basedOn w:val="1"/>
    <w:next w:val="1"/>
    <w:qFormat/>
    <w:uiPriority w:val="0"/>
    <w:pPr>
      <w:tabs>
        <w:tab w:val="left" w:pos="644"/>
      </w:tabs>
      <w:spacing w:line="360" w:lineRule="auto"/>
      <w:ind w:firstLine="200" w:firstLineChars="200"/>
      <w:jc w:val="left"/>
    </w:pPr>
    <w:rPr>
      <w:rFonts w:ascii="宋体"/>
      <w:sz w:val="24"/>
    </w:rPr>
  </w:style>
  <w:style w:type="paragraph" w:customStyle="1" w:styleId="495">
    <w:name w:val="样式 宋体 小四 加粗 居中 行距: 1.5 倍行距"/>
    <w:basedOn w:val="1"/>
    <w:qFormat/>
    <w:uiPriority w:val="0"/>
    <w:pPr>
      <w:spacing w:line="360" w:lineRule="auto"/>
      <w:jc w:val="center"/>
      <w:outlineLvl w:val="1"/>
    </w:pPr>
    <w:rPr>
      <w:rFonts w:ascii="宋体" w:hAnsi="宋体" w:cs="宋体"/>
      <w:b/>
      <w:bCs/>
      <w:sz w:val="24"/>
      <w:szCs w:val="20"/>
    </w:rPr>
  </w:style>
  <w:style w:type="paragraph" w:customStyle="1" w:styleId="496">
    <w:name w:val="样式 标题 3Level 3 Headsect1.2.3H3l3CTh3heading 33rd levelH..."/>
    <w:basedOn w:val="4"/>
    <w:qFormat/>
    <w:uiPriority w:val="0"/>
    <w:pPr>
      <w:tabs>
        <w:tab w:val="left" w:pos="709"/>
      </w:tabs>
      <w:autoSpaceDE/>
      <w:autoSpaceDN/>
      <w:spacing w:before="120" w:line="520" w:lineRule="atLeast"/>
      <w:ind w:left="709" w:hanging="709"/>
      <w:jc w:val="both"/>
      <w:textAlignment w:val="baseline"/>
    </w:pPr>
    <w:rPr>
      <w:rFonts w:hAnsi="宋体" w:cs="宋体"/>
      <w:bCs/>
      <w:kern w:val="2"/>
      <w:szCs w:val="24"/>
      <w:u w:val="none"/>
    </w:rPr>
  </w:style>
  <w:style w:type="paragraph" w:customStyle="1" w:styleId="497">
    <w:name w:val="BodyText"/>
    <w:basedOn w:val="1"/>
    <w:next w:val="444"/>
    <w:qFormat/>
    <w:uiPriority w:val="0"/>
    <w:pPr>
      <w:spacing w:after="120"/>
      <w:jc w:val="both"/>
      <w:textAlignment w:val="baseline"/>
    </w:pPr>
  </w:style>
  <w:style w:type="paragraph" w:customStyle="1" w:styleId="4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499">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500">
    <w:name w:val="注："/>
    <w:next w:val="169"/>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501">
    <w:name w:val="表内1"/>
    <w:basedOn w:val="22"/>
    <w:qFormat/>
    <w:uiPriority w:val="0"/>
    <w:pPr>
      <w:adjustRightInd w:val="0"/>
      <w:spacing w:after="0"/>
      <w:jc w:val="left"/>
      <w:textAlignment w:val="baseline"/>
    </w:pPr>
    <w:rPr>
      <w:kern w:val="0"/>
      <w:szCs w:val="20"/>
    </w:rPr>
  </w:style>
  <w:style w:type="paragraph" w:customStyle="1" w:styleId="502">
    <w:name w:val="Paragraph1"/>
    <w:basedOn w:val="1"/>
    <w:qFormat/>
    <w:uiPriority w:val="0"/>
    <w:pPr>
      <w:spacing w:before="80" w:after="156" w:afterLines="50"/>
    </w:pPr>
    <w:rPr>
      <w:rFonts w:ascii="宋体"/>
      <w:snapToGrid w:val="0"/>
      <w:kern w:val="0"/>
      <w:szCs w:val="20"/>
    </w:rPr>
  </w:style>
  <w:style w:type="paragraph" w:customStyle="1" w:styleId="503">
    <w:name w:val="Char Char Char Char Char Char Char Char Char"/>
    <w:basedOn w:val="1"/>
    <w:qFormat/>
    <w:uiPriority w:val="0"/>
    <w:rPr>
      <w:rFonts w:ascii="Tahoma" w:hAnsi="Tahoma" w:eastAsia="仿宋_GB2312"/>
      <w:sz w:val="24"/>
      <w:szCs w:val="20"/>
    </w:rPr>
  </w:style>
  <w:style w:type="paragraph" w:customStyle="1" w:styleId="50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506">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50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0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5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10">
    <w:name w:val="S4-B-L15"/>
    <w:basedOn w:val="1"/>
    <w:qFormat/>
    <w:uiPriority w:val="0"/>
    <w:pPr>
      <w:spacing w:line="360" w:lineRule="auto"/>
    </w:pPr>
    <w:rPr>
      <w:b/>
      <w:bCs/>
      <w:sz w:val="24"/>
    </w:rPr>
  </w:style>
  <w:style w:type="paragraph" w:customStyle="1" w:styleId="511">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512">
    <w:name w:val="Char Char Char Char"/>
    <w:basedOn w:val="1"/>
    <w:qFormat/>
    <w:uiPriority w:val="0"/>
    <w:rPr>
      <w:rFonts w:ascii="Tahoma" w:hAnsi="Tahoma"/>
      <w:sz w:val="24"/>
      <w:szCs w:val="20"/>
    </w:rPr>
  </w:style>
  <w:style w:type="paragraph" w:customStyle="1" w:styleId="5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14">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15">
    <w:name w:val="样式 标题 3(A-3)sect1.2.3h3H3level_3PIM 3Level 3 HeadHeading..."/>
    <w:basedOn w:val="4"/>
    <w:qFormat/>
    <w:uiPriority w:val="0"/>
    <w:pPr>
      <w:autoSpaceDE/>
      <w:autoSpaceDN/>
      <w:adjustRightInd/>
      <w:spacing w:before="260" w:after="260" w:line="413" w:lineRule="auto"/>
      <w:jc w:val="both"/>
    </w:pPr>
    <w:rPr>
      <w:rFonts w:ascii="Arial" w:hAnsi="Arial"/>
      <w:bCs/>
      <w:kern w:val="2"/>
      <w:sz w:val="30"/>
      <w:szCs w:val="32"/>
      <w:u w:val="none"/>
    </w:rPr>
  </w:style>
  <w:style w:type="paragraph" w:customStyle="1" w:styleId="516">
    <w:name w:val="小标题"/>
    <w:basedOn w:val="22"/>
    <w:qFormat/>
    <w:uiPriority w:val="0"/>
    <w:pPr>
      <w:tabs>
        <w:tab w:val="left" w:pos="420"/>
      </w:tabs>
      <w:spacing w:before="60" w:after="60" w:line="360" w:lineRule="auto"/>
      <w:ind w:left="420" w:hanging="420"/>
    </w:pPr>
    <w:rPr>
      <w:rFonts w:ascii="宋体" w:hAnsi="宋体" w:eastAsia="黑体"/>
      <w:i/>
      <w:sz w:val="24"/>
      <w:szCs w:val="20"/>
    </w:rPr>
  </w:style>
  <w:style w:type="paragraph" w:customStyle="1" w:styleId="51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8">
    <w:name w:val="模板普通正文"/>
    <w:basedOn w:val="14"/>
    <w:qFormat/>
    <w:uiPriority w:val="0"/>
    <w:pPr>
      <w:spacing w:beforeLines="50" w:after="10"/>
      <w:ind w:firstLine="490" w:firstLineChars="175"/>
      <w:jc w:val="left"/>
    </w:pPr>
  </w:style>
  <w:style w:type="paragraph" w:customStyle="1" w:styleId="519">
    <w:name w:val="样式3"/>
    <w:basedOn w:val="29"/>
    <w:qFormat/>
    <w:uiPriority w:val="0"/>
    <w:pPr>
      <w:spacing w:line="0" w:lineRule="atLeast"/>
      <w:outlineLvl w:val="0"/>
    </w:pPr>
    <w:rPr>
      <w:kern w:val="0"/>
      <w:sz w:val="28"/>
      <w:szCs w:val="21"/>
    </w:rPr>
  </w:style>
  <w:style w:type="paragraph" w:customStyle="1" w:styleId="520">
    <w:name w:val="xl8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21">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522">
    <w:name w:val="c封面发布日期"/>
    <w:basedOn w:val="1"/>
    <w:qFormat/>
    <w:uiPriority w:val="0"/>
    <w:pPr>
      <w:adjustRightInd w:val="0"/>
    </w:pPr>
    <w:rPr>
      <w:rFonts w:ascii="宋体" w:hAnsi="宋体" w:eastAsia="黑体"/>
      <w:kern w:val="0"/>
      <w:sz w:val="28"/>
      <w:szCs w:val="20"/>
    </w:rPr>
  </w:style>
  <w:style w:type="paragraph" w:customStyle="1" w:styleId="523">
    <w:name w:val="样式 标题 2 + (中文) 黑体 四号 黑色"/>
    <w:basedOn w:val="2"/>
    <w:qFormat/>
    <w:uiPriority w:val="0"/>
    <w:pPr>
      <w:spacing w:line="520" w:lineRule="exact"/>
      <w:jc w:val="left"/>
    </w:pPr>
    <w:rPr>
      <w:color w:val="000000"/>
      <w:kern w:val="24"/>
      <w:sz w:val="28"/>
      <w:szCs w:val="20"/>
    </w:rPr>
  </w:style>
  <w:style w:type="paragraph" w:customStyle="1" w:styleId="524">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5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526">
    <w:name w:val="参考文献、索引标题"/>
    <w:basedOn w:val="305"/>
    <w:next w:val="1"/>
    <w:qFormat/>
    <w:uiPriority w:val="0"/>
    <w:pPr>
      <w:spacing w:after="200" w:line="240" w:lineRule="auto"/>
    </w:pPr>
    <w:rPr>
      <w:rFonts w:hAnsi="宋体"/>
      <w:kern w:val="2"/>
      <w:sz w:val="21"/>
      <w:szCs w:val="24"/>
    </w:rPr>
  </w:style>
  <w:style w:type="paragraph" w:customStyle="1" w:styleId="527">
    <w:name w:val="纯文本1"/>
    <w:basedOn w:val="432"/>
    <w:qFormat/>
    <w:uiPriority w:val="0"/>
    <w:rPr>
      <w:rFonts w:ascii="Arial Unicode MS" w:hAnsi="等线" w:eastAsia="Arial Unicode MS" w:cs="方正姚体"/>
    </w:rPr>
  </w:style>
  <w:style w:type="paragraph" w:customStyle="1" w:styleId="528">
    <w:name w:val="表格文字"/>
    <w:basedOn w:val="29"/>
    <w:next w:val="22"/>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529">
    <w:name w:val="IBM 正文"/>
    <w:basedOn w:val="1"/>
    <w:qFormat/>
    <w:uiPriority w:val="0"/>
    <w:pPr>
      <w:spacing w:line="360" w:lineRule="atLeast"/>
    </w:pPr>
    <w:rPr>
      <w:sz w:val="24"/>
      <w:szCs w:val="20"/>
    </w:rPr>
  </w:style>
  <w:style w:type="paragraph" w:customStyle="1" w:styleId="530">
    <w:name w:val="样式2"/>
    <w:basedOn w:val="2"/>
    <w:qFormat/>
    <w:uiPriority w:val="0"/>
    <w:pPr>
      <w:tabs>
        <w:tab w:val="left" w:pos="600"/>
      </w:tabs>
      <w:ind w:left="600" w:hanging="600"/>
    </w:pPr>
    <w:rPr>
      <w:rFonts w:eastAsia="宋体"/>
    </w:rPr>
  </w:style>
  <w:style w:type="paragraph" w:customStyle="1" w:styleId="531">
    <w:name w:val="Body"/>
    <w:basedOn w:val="1"/>
    <w:qFormat/>
    <w:uiPriority w:val="0"/>
    <w:pPr>
      <w:widowControl/>
      <w:spacing w:before="120" w:after="156" w:afterLines="50"/>
    </w:pPr>
    <w:rPr>
      <w:rFonts w:ascii="宋体"/>
      <w:snapToGrid w:val="0"/>
      <w:kern w:val="0"/>
      <w:szCs w:val="20"/>
    </w:rPr>
  </w:style>
  <w:style w:type="paragraph" w:customStyle="1" w:styleId="532">
    <w:name w:val="InfoBlue"/>
    <w:basedOn w:val="1"/>
    <w:next w:val="22"/>
    <w:qFormat/>
    <w:uiPriority w:val="0"/>
    <w:pPr>
      <w:spacing w:after="156" w:afterLines="50"/>
      <w:ind w:left="720"/>
      <w:jc w:val="left"/>
    </w:pPr>
    <w:rPr>
      <w:rFonts w:ascii="宋体"/>
      <w:i/>
      <w:snapToGrid w:val="0"/>
      <w:color w:val="0000FF"/>
      <w:kern w:val="0"/>
      <w:szCs w:val="20"/>
    </w:rPr>
  </w:style>
  <w:style w:type="paragraph" w:customStyle="1" w:styleId="533">
    <w:name w:val="P3"/>
    <w:basedOn w:val="1"/>
    <w:qFormat/>
    <w:uiPriority w:val="0"/>
    <w:pPr>
      <w:widowControl/>
      <w:spacing w:before="240" w:line="240" w:lineRule="atLeast"/>
      <w:ind w:left="1152"/>
      <w:jc w:val="left"/>
    </w:pPr>
    <w:rPr>
      <w:b/>
      <w:kern w:val="0"/>
      <w:szCs w:val="21"/>
      <w:lang w:val="en-AU" w:eastAsia="en-US"/>
    </w:rPr>
  </w:style>
  <w:style w:type="paragraph" w:customStyle="1" w:styleId="534">
    <w:name w:val="样式 标题 2h2sect 1.2H22nd level2Header 2UNDERRUBRIK 1-2l2T..."/>
    <w:basedOn w:val="2"/>
    <w:qFormat/>
    <w:uiPriority w:val="0"/>
    <w:pPr>
      <w:spacing w:before="0" w:after="0" w:line="360" w:lineRule="auto"/>
      <w:jc w:val="center"/>
      <w:outlineLvl w:val="0"/>
    </w:pPr>
    <w:rPr>
      <w:rFonts w:ascii="宋体" w:hAnsi="宋体" w:eastAsia="宋体" w:cs="宋体"/>
      <w:sz w:val="24"/>
      <w:szCs w:val="20"/>
    </w:rPr>
  </w:style>
  <w:style w:type="paragraph" w:customStyle="1" w:styleId="535">
    <w:name w:val="默认段落字体 Para Char Char Char Char Char Char Char Char Char1 Char Char Char Char"/>
    <w:basedOn w:val="1"/>
    <w:qFormat/>
    <w:uiPriority w:val="0"/>
    <w:rPr>
      <w:rFonts w:ascii="Tahoma" w:hAnsi="Tahoma"/>
      <w:sz w:val="24"/>
      <w:szCs w:val="20"/>
    </w:rPr>
  </w:style>
  <w:style w:type="paragraph" w:customStyle="1" w:styleId="536">
    <w:name w:val="无标题条"/>
    <w:next w:val="169"/>
    <w:qFormat/>
    <w:uiPriority w:val="0"/>
    <w:pPr>
      <w:jc w:val="both"/>
    </w:pPr>
    <w:rPr>
      <w:rFonts w:ascii="宋体" w:hAnsi="宋体" w:eastAsia="宋体" w:cs="Times New Roman"/>
      <w:kern w:val="2"/>
      <w:sz w:val="21"/>
      <w:szCs w:val="24"/>
      <w:lang w:val="en-US" w:eastAsia="zh-CN" w:bidi="ar-SA"/>
    </w:rPr>
  </w:style>
  <w:style w:type="paragraph" w:customStyle="1" w:styleId="537">
    <w:name w:val="哈哈正文"/>
    <w:basedOn w:val="1"/>
    <w:qFormat/>
    <w:uiPriority w:val="0"/>
    <w:pPr>
      <w:spacing w:line="360" w:lineRule="auto"/>
      <w:ind w:firstLine="200" w:firstLineChars="200"/>
    </w:pPr>
    <w:rPr>
      <w:rFonts w:ascii="宋体" w:hAnsi="宋体" w:cs="宋体"/>
      <w:sz w:val="24"/>
    </w:rPr>
  </w:style>
  <w:style w:type="paragraph" w:customStyle="1" w:styleId="538">
    <w:name w:val="正文格式"/>
    <w:qFormat/>
    <w:uiPriority w:val="99"/>
    <w:pPr>
      <w:spacing w:line="360" w:lineRule="auto"/>
      <w:ind w:firstLine="200" w:firstLineChars="200"/>
    </w:pPr>
    <w:rPr>
      <w:rFonts w:ascii="宋体" w:hAnsi="宋体" w:eastAsia="宋体" w:cs="Times New Roman"/>
      <w:sz w:val="28"/>
      <w:szCs w:val="22"/>
      <w:lang w:val="en-US" w:eastAsia="zh-CN" w:bidi="ar-SA"/>
    </w:rPr>
  </w:style>
  <w:style w:type="paragraph" w:customStyle="1" w:styleId="53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540">
    <w:name w:val="表格文字1"/>
    <w:basedOn w:val="1"/>
    <w:qFormat/>
    <w:uiPriority w:val="0"/>
    <w:pPr>
      <w:widowControl w:val="0"/>
      <w:spacing w:line="300" w:lineRule="exact"/>
      <w:ind w:left="120" w:leftChars="50" w:firstLine="0" w:firstLineChars="0"/>
      <w:jc w:val="left"/>
      <w:textAlignment w:val="center"/>
    </w:pPr>
    <w:rPr>
      <w:rFonts w:hint="eastAsia" w:ascii="宋体" w:hAnsi="宋体" w:eastAsia="宋体" w:cs="宋体"/>
      <w:color w:val="000000"/>
      <w:kern w:val="0"/>
      <w:sz w:val="21"/>
      <w:szCs w:val="22"/>
      <w:u w:val="none"/>
    </w:rPr>
  </w:style>
  <w:style w:type="paragraph" w:customStyle="1" w:styleId="541">
    <w:name w:val="正文文字 Char"/>
    <w:basedOn w:val="1"/>
    <w:next w:val="4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character" w:customStyle="1" w:styleId="542">
    <w:name w:val="page number_c13d1022-a779-489b-a15d-4398209c8395"/>
    <w:basedOn w:val="55"/>
    <w:qFormat/>
    <w:uiPriority w:val="0"/>
  </w:style>
  <w:style w:type="paragraph" w:customStyle="1" w:styleId="543">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paragraph" w:customStyle="1" w:styleId="544">
    <w:name w:val="Heading #3|1"/>
    <w:basedOn w:val="1"/>
    <w:autoRedefine/>
    <w:qFormat/>
    <w:uiPriority w:val="0"/>
    <w:pPr>
      <w:spacing w:line="580" w:lineRule="exact"/>
      <w:ind w:firstLine="520"/>
      <w:outlineLvl w:val="2"/>
    </w:pPr>
    <w:rPr>
      <w:rFonts w:ascii="宋体" w:hAnsi="宋体" w:eastAsia="宋体" w:cs="宋体"/>
      <w:lang w:val="zh-TW" w:eastAsia="zh-TW" w:bidi="zh-TW"/>
    </w:rPr>
  </w:style>
  <w:style w:type="paragraph" w:customStyle="1" w:styleId="545">
    <w:name w:val="Body text|1"/>
    <w:qFormat/>
    <w:uiPriority w:val="0"/>
    <w:pPr>
      <w:widowControl w:val="0"/>
      <w:spacing w:line="398" w:lineRule="auto"/>
      <w:ind w:firstLine="400"/>
    </w:pPr>
    <w:rPr>
      <w:rFonts w:ascii="宋体" w:hAnsi="宋体" w:eastAsia="宋体" w:cs="宋体"/>
      <w:color w:val="00000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69</Pages>
  <Words>14097</Words>
  <Characters>14858</Characters>
  <Paragraphs>2058</Paragraphs>
  <TotalTime>4</TotalTime>
  <ScaleCrop>false</ScaleCrop>
  <LinksUpToDate>false</LinksUpToDate>
  <CharactersWithSpaces>14991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2023-06-11T02:46:00Z</dcterms:created>
  <dc:creator>dell</dc:creator>
  <cp:lastModifiedBy>徐晓燕</cp:lastModifiedBy>
  <cp:lastPrinted>2024-12-25T06:07:00Z</cp:lastPrinted>
  <dcterms:modified xsi:type="dcterms:W3CDTF">2025-01-10T05:54:35Z</dcterms:modified>
  <dc:title>政府采购招标文件确认表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5E8CD75B6F6948E0849ACE448FBC6BDA_13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eyJoZGlkIjoiYTZkMjM1NTkzNzc5OWZmNjdhOWUwY2UyMDI4ODhkZDkiLCJ1c2VySWQiOiIzNDQzMjE3NzUifQ==</vt:lpwstr>
  </property>
</Properties>
</file>