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759D0023">
      <w:pPr>
        <w:bidi w:val="0"/>
        <w:rPr>
          <w:rFonts w:hint="eastAsia" w:eastAsia="宋体"/>
          <w:color w:val="auto"/>
          <w:sz w:val="48"/>
          <w:szCs w:val="56"/>
          <w:highlight w:val="none"/>
          <w:lang w:eastAsia="zh-CN"/>
        </w:rPr>
      </w:pPr>
    </w:p>
    <w:p w14:paraId="75233A3D">
      <w:pPr>
        <w:spacing w:line="360" w:lineRule="auto"/>
        <w:jc w:val="center"/>
        <w:rPr>
          <w:rFonts w:hint="eastAsia" w:ascii="宋体" w:hAnsi="宋体" w:eastAsia="宋体" w:cs="宋体"/>
          <w:color w:val="auto"/>
          <w:sz w:val="44"/>
          <w:szCs w:val="44"/>
          <w:highlight w:val="none"/>
          <w:lang w:eastAsia="zh-CN"/>
        </w:rPr>
      </w:pPr>
      <w:r>
        <w:rPr>
          <w:rFonts w:hint="eastAsia" w:ascii="宋体" w:hAnsi="宋体" w:cs="宋体"/>
          <w:b/>
          <w:color w:val="auto"/>
          <w:sz w:val="52"/>
          <w:szCs w:val="52"/>
          <w:highlight w:val="none"/>
          <w:lang w:eastAsia="zh-CN"/>
        </w:rPr>
        <w:t>浙江诚远工程咨询有限公司</w:t>
      </w:r>
      <w:r>
        <w:rPr>
          <w:rFonts w:hint="eastAsia" w:ascii="宋体" w:hAnsi="宋体" w:eastAsia="宋体" w:cs="宋体"/>
          <w:b/>
          <w:color w:val="auto"/>
          <w:sz w:val="52"/>
          <w:szCs w:val="52"/>
          <w:highlight w:val="none"/>
          <w:lang w:eastAsia="zh-CN"/>
        </w:rPr>
        <w:t>关于</w:t>
      </w:r>
      <w:r>
        <w:rPr>
          <w:rFonts w:hint="eastAsia" w:ascii="宋体" w:hAnsi="宋体" w:cs="宋体"/>
          <w:b/>
          <w:color w:val="auto"/>
          <w:sz w:val="52"/>
          <w:szCs w:val="52"/>
          <w:highlight w:val="none"/>
          <w:lang w:eastAsia="zh-CN"/>
        </w:rPr>
        <w:t>笠里小区环村路道路工程项目</w:t>
      </w:r>
    </w:p>
    <w:p w14:paraId="1F79B1B7">
      <w:pPr>
        <w:bidi w:val="0"/>
        <w:rPr>
          <w:color w:val="auto"/>
          <w:highlight w:val="none"/>
        </w:rPr>
      </w:pPr>
    </w:p>
    <w:p w14:paraId="5730FB1E">
      <w:pPr>
        <w:bidi w:val="0"/>
        <w:rPr>
          <w:color w:val="auto"/>
          <w:highlight w:val="none"/>
        </w:rPr>
      </w:pPr>
    </w:p>
    <w:p w14:paraId="6A8F3803">
      <w:pPr>
        <w:bidi w:val="0"/>
        <w:rPr>
          <w:color w:val="auto"/>
          <w:highlight w:val="none"/>
        </w:rPr>
      </w:pPr>
    </w:p>
    <w:p w14:paraId="4B6EE070">
      <w:pPr>
        <w:bidi w:val="0"/>
        <w:rPr>
          <w:color w:val="auto"/>
          <w:highlight w:val="none"/>
        </w:rPr>
      </w:pPr>
    </w:p>
    <w:p w14:paraId="4AD50AFF">
      <w:pPr>
        <w:bidi w:val="0"/>
        <w:rPr>
          <w:color w:val="auto"/>
          <w:highlight w:val="none"/>
        </w:rPr>
      </w:pPr>
    </w:p>
    <w:p w14:paraId="6A098776">
      <w:pPr>
        <w:bidi w:val="0"/>
        <w:rPr>
          <w:color w:val="auto"/>
          <w:highlight w:val="none"/>
        </w:rPr>
      </w:pPr>
    </w:p>
    <w:p w14:paraId="5820D540">
      <w:pPr>
        <w:bidi w:val="0"/>
        <w:rPr>
          <w:color w:val="auto"/>
          <w:highlight w:val="none"/>
        </w:rPr>
      </w:pPr>
    </w:p>
    <w:p w14:paraId="2333AEE5">
      <w:pPr>
        <w:bidi w:val="0"/>
        <w:rPr>
          <w:color w:val="auto"/>
          <w:highlight w:val="none"/>
        </w:rPr>
      </w:pPr>
    </w:p>
    <w:p w14:paraId="02F4CAAE">
      <w:pPr>
        <w:bidi w:val="0"/>
        <w:rPr>
          <w:color w:val="auto"/>
          <w:highlight w:val="none"/>
        </w:rPr>
      </w:pPr>
    </w:p>
    <w:p w14:paraId="54B67E8B">
      <w:pPr>
        <w:bidi w:val="0"/>
        <w:rPr>
          <w:color w:val="auto"/>
          <w:highlight w:val="none"/>
        </w:rPr>
      </w:pPr>
    </w:p>
    <w:p w14:paraId="5B671A7A">
      <w:pPr>
        <w:bidi w:val="0"/>
        <w:rPr>
          <w:color w:val="auto"/>
          <w:highlight w:val="none"/>
        </w:rPr>
      </w:pPr>
    </w:p>
    <w:p w14:paraId="6ECF890B">
      <w:pPr>
        <w:bidi w:val="0"/>
        <w:rPr>
          <w:color w:val="auto"/>
          <w:highlight w:val="none"/>
        </w:rPr>
      </w:pPr>
    </w:p>
    <w:p w14:paraId="6B493362">
      <w:pPr>
        <w:pStyle w:val="16"/>
        <w:jc w:val="center"/>
        <w:rPr>
          <w:color w:val="auto"/>
          <w:highlight w:val="none"/>
        </w:rPr>
      </w:pPr>
      <w:r>
        <w:rPr>
          <w:rFonts w:hint="eastAsia" w:ascii="宋体" w:hAnsi="宋体" w:cs="宋体"/>
          <w:b/>
          <w:bCs/>
          <w:color w:val="auto"/>
          <w:sz w:val="72"/>
          <w:szCs w:val="72"/>
          <w:highlight w:val="none"/>
          <w:lang w:val="en-US" w:eastAsia="zh-CN"/>
        </w:rPr>
        <w:t>竞争性磋商文件</w:t>
      </w:r>
    </w:p>
    <w:p w14:paraId="4E2935E6">
      <w:pPr>
        <w:bidi w:val="0"/>
        <w:rPr>
          <w:color w:val="auto"/>
          <w:highlight w:val="none"/>
        </w:rPr>
      </w:pPr>
    </w:p>
    <w:p w14:paraId="4B8F9FA4">
      <w:pPr>
        <w:bidi w:val="0"/>
        <w:rPr>
          <w:color w:val="auto"/>
          <w:highlight w:val="none"/>
        </w:rPr>
      </w:pPr>
    </w:p>
    <w:p w14:paraId="04AAE078">
      <w:pPr>
        <w:bidi w:val="0"/>
        <w:rPr>
          <w:color w:val="auto"/>
          <w:highlight w:val="none"/>
        </w:rPr>
      </w:pPr>
    </w:p>
    <w:p w14:paraId="0754D0D1">
      <w:pPr>
        <w:bidi w:val="0"/>
        <w:rPr>
          <w:color w:val="auto"/>
          <w:highlight w:val="none"/>
        </w:rPr>
      </w:pPr>
    </w:p>
    <w:p w14:paraId="0EC8E828">
      <w:pPr>
        <w:bidi w:val="0"/>
        <w:rPr>
          <w:color w:val="auto"/>
          <w:highlight w:val="none"/>
        </w:rPr>
      </w:pPr>
    </w:p>
    <w:p w14:paraId="0A6BA75B">
      <w:pPr>
        <w:bidi w:val="0"/>
        <w:rPr>
          <w:color w:val="auto"/>
          <w:highlight w:val="none"/>
        </w:rPr>
      </w:pPr>
    </w:p>
    <w:p w14:paraId="70314DEC">
      <w:pPr>
        <w:bidi w:val="0"/>
        <w:rPr>
          <w:color w:val="auto"/>
          <w:highlight w:val="none"/>
        </w:rPr>
      </w:pPr>
    </w:p>
    <w:p w14:paraId="2AF5B114">
      <w:pPr>
        <w:bidi w:val="0"/>
        <w:rPr>
          <w:color w:val="auto"/>
          <w:highlight w:val="none"/>
        </w:rPr>
      </w:pPr>
    </w:p>
    <w:p w14:paraId="60CD1AF0">
      <w:pPr>
        <w:bidi w:val="0"/>
        <w:rPr>
          <w:color w:val="auto"/>
          <w:highlight w:val="none"/>
        </w:rPr>
      </w:pPr>
    </w:p>
    <w:p w14:paraId="43320994">
      <w:pPr>
        <w:bidi w:val="0"/>
        <w:rPr>
          <w:color w:val="auto"/>
          <w:highlight w:val="none"/>
        </w:rPr>
      </w:pPr>
    </w:p>
    <w:p w14:paraId="41CFE057">
      <w:pPr>
        <w:bidi w:val="0"/>
        <w:rPr>
          <w:color w:val="auto"/>
          <w:highlight w:val="none"/>
        </w:rPr>
      </w:pPr>
    </w:p>
    <w:p w14:paraId="129A7CE8">
      <w:pPr>
        <w:bidi w:val="0"/>
        <w:rPr>
          <w:color w:val="auto"/>
          <w:highlight w:val="none"/>
        </w:rPr>
      </w:pPr>
    </w:p>
    <w:p w14:paraId="58337B1B">
      <w:pPr>
        <w:spacing w:line="480" w:lineRule="auto"/>
        <w:ind w:firstLine="643" w:firstLineChars="200"/>
        <w:jc w:val="left"/>
        <w:rPr>
          <w:rFonts w:hint="eastAsia" w:ascii="宋体" w:hAnsi="宋体" w:eastAsia="宋体" w:cs="宋体"/>
          <w:b/>
          <w:bCs/>
          <w:color w:val="auto"/>
          <w:sz w:val="32"/>
          <w:szCs w:val="32"/>
          <w:highlight w:val="none"/>
          <w:lang w:eastAsia="zh-CN"/>
        </w:rPr>
      </w:pPr>
      <w:r>
        <w:rPr>
          <w:rFonts w:hint="eastAsia" w:ascii="宋体" w:hAnsi="宋体" w:cs="宋体"/>
          <w:b/>
          <w:bCs/>
          <w:color w:val="auto"/>
          <w:kern w:val="0"/>
          <w:sz w:val="32"/>
          <w:szCs w:val="32"/>
          <w:highlight w:val="none"/>
        </w:rPr>
        <w:t>磋商编号：</w:t>
      </w:r>
      <w:r>
        <w:rPr>
          <w:rFonts w:hint="eastAsia" w:ascii="宋体" w:hAnsi="宋体" w:cs="宋体"/>
          <w:b/>
          <w:bCs/>
          <w:color w:val="auto"/>
          <w:sz w:val="32"/>
          <w:szCs w:val="32"/>
          <w:highlight w:val="none"/>
          <w:lang w:eastAsia="zh-CN"/>
        </w:rPr>
        <w:t>DYCYCG2025-GK-07</w:t>
      </w:r>
    </w:p>
    <w:p w14:paraId="3BF55D14">
      <w:pPr>
        <w:spacing w:line="480" w:lineRule="auto"/>
        <w:ind w:left="2244" w:leftChars="304" w:hanging="1606" w:hangingChars="500"/>
        <w:jc w:val="left"/>
        <w:rPr>
          <w:rFonts w:hint="eastAsia" w:ascii="宋体" w:hAnsi="宋体" w:cs="宋体"/>
          <w:b/>
          <w:bCs/>
          <w:color w:val="auto"/>
          <w:kern w:val="0"/>
          <w:sz w:val="32"/>
          <w:szCs w:val="32"/>
          <w:highlight w:val="none"/>
          <w:lang w:eastAsia="zh-CN"/>
        </w:rPr>
      </w:pPr>
      <w:r>
        <w:rPr>
          <w:rFonts w:hint="eastAsia" w:ascii="宋体" w:hAnsi="宋体" w:cs="宋体"/>
          <w:b/>
          <w:bCs/>
          <w:color w:val="auto"/>
          <w:kern w:val="0"/>
          <w:sz w:val="32"/>
          <w:szCs w:val="32"/>
          <w:highlight w:val="none"/>
        </w:rPr>
        <w:t>项目名称：</w:t>
      </w:r>
      <w:r>
        <w:rPr>
          <w:rFonts w:hint="eastAsia" w:ascii="宋体" w:hAnsi="宋体" w:cs="宋体"/>
          <w:b/>
          <w:bCs/>
          <w:color w:val="auto"/>
          <w:kern w:val="0"/>
          <w:sz w:val="32"/>
          <w:szCs w:val="32"/>
          <w:highlight w:val="none"/>
          <w:lang w:eastAsia="zh-CN"/>
        </w:rPr>
        <w:t>笠里小区环村路道路工程项目</w:t>
      </w:r>
    </w:p>
    <w:p w14:paraId="3D1580DA">
      <w:pPr>
        <w:spacing w:line="480" w:lineRule="auto"/>
        <w:ind w:firstLine="643" w:firstLineChars="200"/>
        <w:jc w:val="left"/>
        <w:rPr>
          <w:rFonts w:hint="eastAsia" w:ascii="宋体" w:hAnsi="宋体" w:eastAsia="宋体" w:cs="宋体"/>
          <w:b/>
          <w:bCs/>
          <w:color w:val="auto"/>
          <w:kern w:val="0"/>
          <w:sz w:val="28"/>
          <w:szCs w:val="28"/>
          <w:highlight w:val="none"/>
          <w:lang w:eastAsia="zh-CN"/>
        </w:rPr>
      </w:pPr>
      <w:r>
        <w:rPr>
          <w:rFonts w:hint="eastAsia" w:ascii="宋体" w:hAnsi="宋体" w:cs="宋体"/>
          <w:b/>
          <w:bCs/>
          <w:color w:val="auto"/>
          <w:kern w:val="0"/>
          <w:sz w:val="32"/>
          <w:szCs w:val="32"/>
          <w:highlight w:val="none"/>
        </w:rPr>
        <w:t>采购单位：</w:t>
      </w:r>
      <w:r>
        <w:rPr>
          <w:rFonts w:hint="eastAsia" w:ascii="宋体" w:hAnsi="宋体" w:cs="宋体"/>
          <w:b/>
          <w:bCs/>
          <w:color w:val="auto"/>
          <w:kern w:val="0"/>
          <w:sz w:val="32"/>
          <w:szCs w:val="32"/>
          <w:highlight w:val="none"/>
          <w:lang w:eastAsia="zh-CN"/>
        </w:rPr>
        <w:t xml:space="preserve">东阳市白云街道办事处 </w:t>
      </w:r>
    </w:p>
    <w:p w14:paraId="342518A2">
      <w:pPr>
        <w:spacing w:line="480" w:lineRule="auto"/>
        <w:ind w:firstLine="643" w:firstLineChars="200"/>
        <w:jc w:val="left"/>
        <w:rPr>
          <w:rFonts w:hint="eastAsia" w:ascii="宋体" w:hAnsi="宋体" w:eastAsia="宋体" w:cs="宋体"/>
          <w:b/>
          <w:bCs/>
          <w:color w:val="auto"/>
          <w:w w:val="95"/>
          <w:sz w:val="30"/>
          <w:szCs w:val="30"/>
          <w:highlight w:val="none"/>
          <w:lang w:eastAsia="zh-CN"/>
        </w:rPr>
      </w:pPr>
      <w:r>
        <w:rPr>
          <w:rFonts w:hint="eastAsia" w:ascii="宋体" w:hAnsi="宋体" w:cs="宋体"/>
          <w:b/>
          <w:bCs/>
          <w:color w:val="auto"/>
          <w:kern w:val="0"/>
          <w:sz w:val="32"/>
          <w:szCs w:val="32"/>
          <w:highlight w:val="none"/>
        </w:rPr>
        <w:t>招标机构：</w:t>
      </w:r>
      <w:r>
        <w:rPr>
          <w:rFonts w:hint="eastAsia" w:ascii="宋体" w:hAnsi="宋体" w:cs="宋体"/>
          <w:b/>
          <w:bCs/>
          <w:color w:val="auto"/>
          <w:kern w:val="0"/>
          <w:sz w:val="32"/>
          <w:szCs w:val="32"/>
          <w:highlight w:val="none"/>
          <w:lang w:eastAsia="zh-CN"/>
        </w:rPr>
        <w:t>浙江诚远工程咨询有限公司</w:t>
      </w:r>
    </w:p>
    <w:p w14:paraId="6776B006">
      <w:pPr>
        <w:pStyle w:val="68"/>
        <w:spacing w:line="240" w:lineRule="auto"/>
        <w:rPr>
          <w:rFonts w:ascii="宋体" w:hAnsi="宋体" w:cs="宋体"/>
          <w:color w:val="auto"/>
          <w:sz w:val="20"/>
          <w:szCs w:val="20"/>
          <w:highlight w:val="none"/>
        </w:rPr>
      </w:pPr>
    </w:p>
    <w:p w14:paraId="1ED279E4">
      <w:pPr>
        <w:pStyle w:val="23"/>
        <w:spacing w:line="480" w:lineRule="auto"/>
        <w:jc w:val="center"/>
        <w:rPr>
          <w:rFonts w:ascii="宋体" w:hAnsi="宋体" w:cs="宋体"/>
          <w:b/>
          <w:color w:val="auto"/>
          <w:sz w:val="32"/>
          <w:szCs w:val="32"/>
          <w:highlight w:val="none"/>
        </w:rPr>
      </w:pPr>
      <w:r>
        <w:rPr>
          <w:rFonts w:hint="eastAsia" w:ascii="宋体" w:hAnsi="宋体" w:cs="宋体"/>
          <w:b/>
          <w:bCs/>
          <w:color w:val="auto"/>
          <w:w w:val="95"/>
          <w:sz w:val="30"/>
          <w:szCs w:val="30"/>
          <w:highlight w:val="none"/>
        </w:rPr>
        <w:t>202</w:t>
      </w:r>
      <w:r>
        <w:rPr>
          <w:rFonts w:hint="eastAsia" w:ascii="宋体" w:hAnsi="宋体" w:cs="宋体"/>
          <w:b/>
          <w:bCs/>
          <w:color w:val="auto"/>
          <w:w w:val="95"/>
          <w:sz w:val="30"/>
          <w:szCs w:val="30"/>
          <w:highlight w:val="none"/>
          <w:lang w:val="en-US" w:eastAsia="zh-CN"/>
        </w:rPr>
        <w:t>5</w:t>
      </w:r>
      <w:r>
        <w:rPr>
          <w:rFonts w:hint="eastAsia" w:ascii="宋体" w:hAnsi="宋体" w:cs="宋体"/>
          <w:b/>
          <w:bCs/>
          <w:color w:val="auto"/>
          <w:w w:val="95"/>
          <w:sz w:val="30"/>
          <w:szCs w:val="30"/>
          <w:highlight w:val="none"/>
        </w:rPr>
        <w:t>年</w:t>
      </w:r>
      <w:r>
        <w:rPr>
          <w:rFonts w:hint="eastAsia" w:ascii="宋体" w:hAnsi="宋体" w:cs="宋体"/>
          <w:b/>
          <w:bCs/>
          <w:color w:val="auto"/>
          <w:w w:val="95"/>
          <w:sz w:val="30"/>
          <w:szCs w:val="30"/>
          <w:highlight w:val="none"/>
          <w:lang w:val="en-US" w:eastAsia="zh-CN"/>
        </w:rPr>
        <w:t>3</w:t>
      </w:r>
      <w:r>
        <w:rPr>
          <w:rFonts w:hint="eastAsia" w:ascii="宋体" w:hAnsi="宋体" w:cs="宋体"/>
          <w:b/>
          <w:bCs/>
          <w:color w:val="auto"/>
          <w:w w:val="95"/>
          <w:sz w:val="30"/>
          <w:szCs w:val="30"/>
          <w:highlight w:val="none"/>
        </w:rPr>
        <w:t>月</w:t>
      </w:r>
    </w:p>
    <w:p w14:paraId="00788B26">
      <w:pPr>
        <w:pStyle w:val="23"/>
        <w:pageBreakBefore/>
        <w:spacing w:line="276" w:lineRule="auto"/>
        <w:jc w:val="center"/>
        <w:rPr>
          <w:rFonts w:ascii="宋体" w:hAnsi="宋体" w:cs="宋体"/>
          <w:b/>
          <w:color w:val="auto"/>
          <w:szCs w:val="24"/>
          <w:highlight w:val="none"/>
        </w:rPr>
      </w:pPr>
      <w:r>
        <w:rPr>
          <w:rFonts w:hint="eastAsia" w:ascii="宋体" w:hAnsi="宋体" w:cs="宋体"/>
          <w:b/>
          <w:color w:val="auto"/>
          <w:szCs w:val="24"/>
          <w:highlight w:val="none"/>
        </w:rPr>
        <w:t>目    录</w:t>
      </w:r>
    </w:p>
    <w:p w14:paraId="1576B44D">
      <w:pPr>
        <w:pStyle w:val="31"/>
        <w:tabs>
          <w:tab w:val="right" w:leader="dot" w:pos="9524"/>
        </w:tabs>
      </w:pPr>
      <w:r>
        <w:rPr>
          <w:rFonts w:hint="eastAsia" w:ascii="宋体" w:hAnsi="宋体" w:cs="宋体"/>
          <w:color w:val="auto"/>
          <w:sz w:val="24"/>
          <w:highlight w:val="none"/>
        </w:rPr>
        <w:fldChar w:fldCharType="begin"/>
      </w:r>
      <w:r>
        <w:rPr>
          <w:rFonts w:hint="eastAsia" w:ascii="宋体" w:hAnsi="宋体" w:cs="宋体"/>
          <w:color w:val="auto"/>
          <w:sz w:val="24"/>
          <w:highlight w:val="none"/>
        </w:rPr>
        <w:instrText xml:space="preserve"> TOC \o "1-2" \h \z \u </w:instrText>
      </w:r>
      <w:r>
        <w:rPr>
          <w:rFonts w:hint="eastAsia" w:ascii="宋体" w:hAnsi="宋体" w:cs="宋体"/>
          <w:color w:val="auto"/>
          <w:sz w:val="24"/>
          <w:highlight w:val="none"/>
        </w:rPr>
        <w:fldChar w:fldCharType="separate"/>
      </w:r>
      <w:r>
        <w:rPr>
          <w:rFonts w:hint="eastAsia" w:ascii="宋体" w:hAnsi="宋体" w:cs="宋体"/>
          <w:color w:val="auto"/>
          <w:highlight w:val="none"/>
        </w:rPr>
        <w:fldChar w:fldCharType="begin"/>
      </w:r>
      <w:r>
        <w:rPr>
          <w:rFonts w:hint="eastAsia" w:ascii="宋体" w:hAnsi="宋体" w:cs="宋体"/>
          <w:highlight w:val="none"/>
        </w:rPr>
        <w:instrText xml:space="preserve"> HYPERLINK \l _Toc9337 </w:instrText>
      </w:r>
      <w:r>
        <w:rPr>
          <w:rFonts w:hint="eastAsia" w:ascii="宋体" w:hAnsi="宋体" w:cs="宋体"/>
          <w:highlight w:val="none"/>
        </w:rPr>
        <w:fldChar w:fldCharType="separate"/>
      </w:r>
      <w:r>
        <w:rPr>
          <w:rFonts w:hint="eastAsia" w:ascii="宋体" w:hAnsi="宋体" w:cs="宋体"/>
          <w:highlight w:val="none"/>
        </w:rPr>
        <w:t>第一章  竞争性磋商公告</w:t>
      </w:r>
      <w:r>
        <w:tab/>
      </w:r>
      <w:r>
        <w:fldChar w:fldCharType="begin"/>
      </w:r>
      <w:r>
        <w:instrText xml:space="preserve"> PAGEREF _Toc9337 \h </w:instrText>
      </w:r>
      <w:r>
        <w:fldChar w:fldCharType="separate"/>
      </w:r>
      <w:r>
        <w:t>3</w:t>
      </w:r>
      <w:r>
        <w:fldChar w:fldCharType="end"/>
      </w:r>
      <w:r>
        <w:rPr>
          <w:rFonts w:hint="eastAsia" w:ascii="宋体" w:hAnsi="宋体" w:cs="宋体"/>
          <w:color w:val="auto"/>
          <w:highlight w:val="none"/>
        </w:rPr>
        <w:fldChar w:fldCharType="end"/>
      </w:r>
    </w:p>
    <w:p w14:paraId="791EC1FE">
      <w:pPr>
        <w:pStyle w:val="31"/>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_Toc25202 </w:instrText>
      </w:r>
      <w:r>
        <w:rPr>
          <w:rFonts w:hint="eastAsia" w:ascii="宋体" w:hAnsi="宋体" w:cs="宋体"/>
          <w:highlight w:val="none"/>
        </w:rPr>
        <w:fldChar w:fldCharType="separate"/>
      </w:r>
      <w:r>
        <w:rPr>
          <w:rFonts w:hint="eastAsia" w:ascii="宋体" w:hAnsi="宋体" w:cs="宋体"/>
          <w:szCs w:val="24"/>
          <w:highlight w:val="none"/>
        </w:rPr>
        <w:t>第二章  招标需求</w:t>
      </w:r>
      <w:r>
        <w:tab/>
      </w:r>
      <w:r>
        <w:fldChar w:fldCharType="begin"/>
      </w:r>
      <w:r>
        <w:instrText xml:space="preserve"> PAGEREF _Toc25202 \h </w:instrText>
      </w:r>
      <w:r>
        <w:fldChar w:fldCharType="separate"/>
      </w:r>
      <w:r>
        <w:t>8</w:t>
      </w:r>
      <w:r>
        <w:fldChar w:fldCharType="end"/>
      </w:r>
      <w:r>
        <w:rPr>
          <w:rFonts w:hint="eastAsia" w:ascii="宋体" w:hAnsi="宋体" w:cs="宋体"/>
          <w:color w:val="auto"/>
          <w:highlight w:val="none"/>
        </w:rPr>
        <w:fldChar w:fldCharType="end"/>
      </w:r>
    </w:p>
    <w:p w14:paraId="524E3C6D">
      <w:pPr>
        <w:pStyle w:val="31"/>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_Toc23336 </w:instrText>
      </w:r>
      <w:r>
        <w:rPr>
          <w:rFonts w:hint="eastAsia" w:ascii="宋体" w:hAnsi="宋体" w:cs="宋体"/>
          <w:highlight w:val="none"/>
        </w:rPr>
        <w:fldChar w:fldCharType="separate"/>
      </w:r>
      <w:r>
        <w:rPr>
          <w:rFonts w:hint="eastAsia" w:ascii="宋体" w:hAnsi="宋体" w:cs="宋体"/>
          <w:szCs w:val="24"/>
          <w:highlight w:val="none"/>
        </w:rPr>
        <w:t>第三章   供应商须知</w:t>
      </w:r>
      <w:r>
        <w:tab/>
      </w:r>
      <w:r>
        <w:fldChar w:fldCharType="begin"/>
      </w:r>
      <w:r>
        <w:instrText xml:space="preserve"> PAGEREF _Toc23336 \h </w:instrText>
      </w:r>
      <w:r>
        <w:fldChar w:fldCharType="separate"/>
      </w:r>
      <w:r>
        <w:t>11</w:t>
      </w:r>
      <w:r>
        <w:fldChar w:fldCharType="end"/>
      </w:r>
      <w:r>
        <w:rPr>
          <w:rFonts w:hint="eastAsia" w:ascii="宋体" w:hAnsi="宋体" w:cs="宋体"/>
          <w:color w:val="auto"/>
          <w:highlight w:val="none"/>
        </w:rPr>
        <w:fldChar w:fldCharType="end"/>
      </w:r>
    </w:p>
    <w:p w14:paraId="67BCCD59">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_Toc14106 </w:instrText>
      </w:r>
      <w:r>
        <w:rPr>
          <w:rFonts w:hint="eastAsia" w:ascii="宋体" w:hAnsi="宋体" w:cs="宋体"/>
          <w:highlight w:val="none"/>
        </w:rPr>
        <w:fldChar w:fldCharType="separate"/>
      </w:r>
      <w:r>
        <w:rPr>
          <w:rFonts w:hint="eastAsia" w:ascii="宋体" w:hAnsi="宋体" w:cs="宋体"/>
          <w:szCs w:val="24"/>
          <w:highlight w:val="none"/>
        </w:rPr>
        <w:t>前附表</w:t>
      </w:r>
      <w:r>
        <w:tab/>
      </w:r>
      <w:r>
        <w:fldChar w:fldCharType="begin"/>
      </w:r>
      <w:r>
        <w:instrText xml:space="preserve"> PAGEREF _Toc14106 \h </w:instrText>
      </w:r>
      <w:r>
        <w:fldChar w:fldCharType="separate"/>
      </w:r>
      <w:r>
        <w:t>11</w:t>
      </w:r>
      <w:r>
        <w:fldChar w:fldCharType="end"/>
      </w:r>
      <w:r>
        <w:rPr>
          <w:rFonts w:hint="eastAsia" w:ascii="宋体" w:hAnsi="宋体" w:cs="宋体"/>
          <w:color w:val="auto"/>
          <w:highlight w:val="none"/>
        </w:rPr>
        <w:fldChar w:fldCharType="end"/>
      </w:r>
    </w:p>
    <w:p w14:paraId="54B79CD9">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_Toc30521 </w:instrText>
      </w:r>
      <w:r>
        <w:rPr>
          <w:rFonts w:hint="eastAsia" w:ascii="宋体" w:hAnsi="宋体" w:cs="宋体"/>
          <w:highlight w:val="none"/>
        </w:rPr>
        <w:fldChar w:fldCharType="separate"/>
      </w:r>
      <w:r>
        <w:rPr>
          <w:rFonts w:hint="default" w:ascii="宋体" w:hAnsi="宋体" w:cs="宋体"/>
          <w:szCs w:val="24"/>
        </w:rPr>
        <w:t xml:space="preserve">一、 </w:t>
      </w:r>
      <w:r>
        <w:rPr>
          <w:rFonts w:hint="eastAsia" w:ascii="宋体" w:hAnsi="宋体" w:cs="宋体"/>
          <w:szCs w:val="24"/>
          <w:highlight w:val="none"/>
        </w:rPr>
        <w:t>总则</w:t>
      </w:r>
      <w:r>
        <w:tab/>
      </w:r>
      <w:r>
        <w:fldChar w:fldCharType="begin"/>
      </w:r>
      <w:r>
        <w:instrText xml:space="preserve"> PAGEREF _Toc30521 \h </w:instrText>
      </w:r>
      <w:r>
        <w:fldChar w:fldCharType="separate"/>
      </w:r>
      <w:r>
        <w:t>16</w:t>
      </w:r>
      <w:r>
        <w:fldChar w:fldCharType="end"/>
      </w:r>
      <w:r>
        <w:rPr>
          <w:rFonts w:hint="eastAsia" w:ascii="宋体" w:hAnsi="宋体" w:cs="宋体"/>
          <w:color w:val="auto"/>
          <w:highlight w:val="none"/>
        </w:rPr>
        <w:fldChar w:fldCharType="end"/>
      </w:r>
    </w:p>
    <w:p w14:paraId="20C06270">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_Toc2158 </w:instrText>
      </w:r>
      <w:r>
        <w:rPr>
          <w:rFonts w:hint="eastAsia" w:ascii="宋体" w:hAnsi="宋体" w:cs="宋体"/>
          <w:highlight w:val="none"/>
        </w:rPr>
        <w:fldChar w:fldCharType="separate"/>
      </w:r>
      <w:r>
        <w:rPr>
          <w:rFonts w:hint="eastAsia" w:ascii="宋体" w:hAnsi="宋体" w:eastAsia="宋体" w:cs="宋体"/>
          <w:szCs w:val="24"/>
          <w:highlight w:val="none"/>
        </w:rPr>
        <w:t>二、磋商文件</w:t>
      </w:r>
      <w:r>
        <w:tab/>
      </w:r>
      <w:r>
        <w:fldChar w:fldCharType="begin"/>
      </w:r>
      <w:r>
        <w:instrText xml:space="preserve"> PAGEREF _Toc2158 \h </w:instrText>
      </w:r>
      <w:r>
        <w:fldChar w:fldCharType="separate"/>
      </w:r>
      <w:r>
        <w:t>20</w:t>
      </w:r>
      <w:r>
        <w:fldChar w:fldCharType="end"/>
      </w:r>
      <w:r>
        <w:rPr>
          <w:rFonts w:hint="eastAsia" w:ascii="宋体" w:hAnsi="宋体" w:cs="宋体"/>
          <w:color w:val="auto"/>
          <w:highlight w:val="none"/>
        </w:rPr>
        <w:fldChar w:fldCharType="end"/>
      </w:r>
    </w:p>
    <w:p w14:paraId="4A1190DA">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_Toc14280 </w:instrText>
      </w:r>
      <w:r>
        <w:rPr>
          <w:rFonts w:hint="eastAsia" w:ascii="宋体" w:hAnsi="宋体" w:cs="宋体"/>
          <w:highlight w:val="none"/>
        </w:rPr>
        <w:fldChar w:fldCharType="separate"/>
      </w:r>
      <w:r>
        <w:rPr>
          <w:rFonts w:hint="eastAsia" w:ascii="宋体" w:hAnsi="宋体" w:eastAsia="宋体" w:cs="宋体"/>
          <w:szCs w:val="24"/>
          <w:highlight w:val="none"/>
        </w:rPr>
        <w:t>三、磋商响应文件的编制</w:t>
      </w:r>
      <w:r>
        <w:tab/>
      </w:r>
      <w:r>
        <w:fldChar w:fldCharType="begin"/>
      </w:r>
      <w:r>
        <w:instrText xml:space="preserve"> PAGEREF _Toc14280 \h </w:instrText>
      </w:r>
      <w:r>
        <w:fldChar w:fldCharType="separate"/>
      </w:r>
      <w:r>
        <w:t>21</w:t>
      </w:r>
      <w:r>
        <w:fldChar w:fldCharType="end"/>
      </w:r>
      <w:r>
        <w:rPr>
          <w:rFonts w:hint="eastAsia" w:ascii="宋体" w:hAnsi="宋体" w:cs="宋体"/>
          <w:color w:val="auto"/>
          <w:highlight w:val="none"/>
        </w:rPr>
        <w:fldChar w:fldCharType="end"/>
      </w:r>
    </w:p>
    <w:p w14:paraId="7628CBD1">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_Toc14781 </w:instrText>
      </w:r>
      <w:r>
        <w:rPr>
          <w:rFonts w:hint="eastAsia" w:ascii="宋体" w:hAnsi="宋体" w:cs="宋体"/>
          <w:highlight w:val="none"/>
        </w:rPr>
        <w:fldChar w:fldCharType="separate"/>
      </w:r>
      <w:r>
        <w:rPr>
          <w:rFonts w:hint="eastAsia" w:ascii="宋体" w:hAnsi="宋体" w:eastAsia="宋体" w:cs="宋体"/>
          <w:szCs w:val="24"/>
          <w:highlight w:val="none"/>
        </w:rPr>
        <w:t>四、开标</w:t>
      </w:r>
      <w:r>
        <w:tab/>
      </w:r>
      <w:r>
        <w:fldChar w:fldCharType="begin"/>
      </w:r>
      <w:r>
        <w:instrText xml:space="preserve"> PAGEREF _Toc14781 \h </w:instrText>
      </w:r>
      <w:r>
        <w:fldChar w:fldCharType="separate"/>
      </w:r>
      <w:r>
        <w:t>27</w:t>
      </w:r>
      <w:r>
        <w:fldChar w:fldCharType="end"/>
      </w:r>
      <w:r>
        <w:rPr>
          <w:rFonts w:hint="eastAsia" w:ascii="宋体" w:hAnsi="宋体" w:cs="宋体"/>
          <w:color w:val="auto"/>
          <w:highlight w:val="none"/>
        </w:rPr>
        <w:fldChar w:fldCharType="end"/>
      </w:r>
    </w:p>
    <w:p w14:paraId="7F8292C4">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_Toc6403 </w:instrText>
      </w:r>
      <w:r>
        <w:rPr>
          <w:rFonts w:hint="eastAsia" w:ascii="宋体" w:hAnsi="宋体" w:cs="宋体"/>
          <w:highlight w:val="none"/>
        </w:rPr>
        <w:fldChar w:fldCharType="separate"/>
      </w:r>
      <w:r>
        <w:rPr>
          <w:rFonts w:hint="eastAsia" w:ascii="宋体" w:hAnsi="宋体" w:eastAsia="宋体" w:cs="宋体"/>
          <w:szCs w:val="24"/>
          <w:highlight w:val="none"/>
        </w:rPr>
        <w:t>五、磋商</w:t>
      </w:r>
      <w:r>
        <w:tab/>
      </w:r>
      <w:r>
        <w:fldChar w:fldCharType="begin"/>
      </w:r>
      <w:r>
        <w:instrText xml:space="preserve"> PAGEREF _Toc6403 \h </w:instrText>
      </w:r>
      <w:r>
        <w:fldChar w:fldCharType="separate"/>
      </w:r>
      <w:r>
        <w:t>28</w:t>
      </w:r>
      <w:r>
        <w:fldChar w:fldCharType="end"/>
      </w:r>
      <w:r>
        <w:rPr>
          <w:rFonts w:hint="eastAsia" w:ascii="宋体" w:hAnsi="宋体" w:cs="宋体"/>
          <w:color w:val="auto"/>
          <w:highlight w:val="none"/>
        </w:rPr>
        <w:fldChar w:fldCharType="end"/>
      </w:r>
    </w:p>
    <w:p w14:paraId="3A31B001">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_Toc19504 </w:instrText>
      </w:r>
      <w:r>
        <w:rPr>
          <w:rFonts w:hint="eastAsia" w:ascii="宋体" w:hAnsi="宋体" w:cs="宋体"/>
          <w:highlight w:val="none"/>
        </w:rPr>
        <w:fldChar w:fldCharType="separate"/>
      </w:r>
      <w:r>
        <w:rPr>
          <w:rFonts w:hint="eastAsia" w:ascii="宋体" w:hAnsi="宋体" w:eastAsia="宋体" w:cs="宋体"/>
          <w:szCs w:val="24"/>
          <w:highlight w:val="none"/>
        </w:rPr>
        <w:t>六、定标</w:t>
      </w:r>
      <w:r>
        <w:tab/>
      </w:r>
      <w:r>
        <w:fldChar w:fldCharType="begin"/>
      </w:r>
      <w:r>
        <w:instrText xml:space="preserve"> PAGEREF _Toc19504 \h </w:instrText>
      </w:r>
      <w:r>
        <w:fldChar w:fldCharType="separate"/>
      </w:r>
      <w:r>
        <w:t>32</w:t>
      </w:r>
      <w:r>
        <w:fldChar w:fldCharType="end"/>
      </w:r>
      <w:r>
        <w:rPr>
          <w:rFonts w:hint="eastAsia" w:ascii="宋体" w:hAnsi="宋体" w:cs="宋体"/>
          <w:color w:val="auto"/>
          <w:highlight w:val="none"/>
        </w:rPr>
        <w:fldChar w:fldCharType="end"/>
      </w:r>
    </w:p>
    <w:p w14:paraId="139AFD34">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_Toc32347 </w:instrText>
      </w:r>
      <w:r>
        <w:rPr>
          <w:rFonts w:hint="eastAsia" w:ascii="宋体" w:hAnsi="宋体" w:cs="宋体"/>
          <w:highlight w:val="none"/>
        </w:rPr>
        <w:fldChar w:fldCharType="separate"/>
      </w:r>
      <w:r>
        <w:rPr>
          <w:rFonts w:hint="eastAsia" w:ascii="宋体" w:hAnsi="宋体" w:eastAsia="宋体" w:cs="宋体"/>
          <w:szCs w:val="24"/>
          <w:highlight w:val="none"/>
        </w:rPr>
        <w:t>七、合同授予</w:t>
      </w:r>
      <w:r>
        <w:tab/>
      </w:r>
      <w:r>
        <w:fldChar w:fldCharType="begin"/>
      </w:r>
      <w:r>
        <w:instrText xml:space="preserve"> PAGEREF _Toc32347 \h </w:instrText>
      </w:r>
      <w:r>
        <w:fldChar w:fldCharType="separate"/>
      </w:r>
      <w:r>
        <w:t>33</w:t>
      </w:r>
      <w:r>
        <w:fldChar w:fldCharType="end"/>
      </w:r>
      <w:r>
        <w:rPr>
          <w:rFonts w:hint="eastAsia" w:ascii="宋体" w:hAnsi="宋体" w:cs="宋体"/>
          <w:color w:val="auto"/>
          <w:highlight w:val="none"/>
        </w:rPr>
        <w:fldChar w:fldCharType="end"/>
      </w:r>
    </w:p>
    <w:p w14:paraId="176F9794">
      <w:pPr>
        <w:pStyle w:val="31"/>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_Toc2233 </w:instrText>
      </w:r>
      <w:r>
        <w:rPr>
          <w:rFonts w:hint="eastAsia" w:ascii="宋体" w:hAnsi="宋体" w:cs="宋体"/>
          <w:highlight w:val="none"/>
        </w:rPr>
        <w:fldChar w:fldCharType="separate"/>
      </w:r>
      <w:r>
        <w:rPr>
          <w:rFonts w:hint="eastAsia" w:ascii="宋体" w:hAnsi="宋体" w:cs="宋体"/>
          <w:szCs w:val="24"/>
          <w:highlight w:val="none"/>
        </w:rPr>
        <w:t>第四章  磋商办法及评分标准</w:t>
      </w:r>
      <w:r>
        <w:tab/>
      </w:r>
      <w:r>
        <w:fldChar w:fldCharType="begin"/>
      </w:r>
      <w:r>
        <w:instrText xml:space="preserve"> PAGEREF _Toc2233 \h </w:instrText>
      </w:r>
      <w:r>
        <w:fldChar w:fldCharType="separate"/>
      </w:r>
      <w:r>
        <w:t>34</w:t>
      </w:r>
      <w:r>
        <w:fldChar w:fldCharType="end"/>
      </w:r>
      <w:r>
        <w:rPr>
          <w:rFonts w:hint="eastAsia" w:ascii="宋体" w:hAnsi="宋体" w:cs="宋体"/>
          <w:color w:val="auto"/>
          <w:highlight w:val="none"/>
        </w:rPr>
        <w:fldChar w:fldCharType="end"/>
      </w:r>
    </w:p>
    <w:p w14:paraId="2CCAEDBD">
      <w:pPr>
        <w:pStyle w:val="31"/>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_Toc15154 </w:instrText>
      </w:r>
      <w:r>
        <w:rPr>
          <w:rFonts w:hint="eastAsia" w:ascii="宋体" w:hAnsi="宋体" w:cs="宋体"/>
          <w:highlight w:val="none"/>
        </w:rPr>
        <w:fldChar w:fldCharType="separate"/>
      </w:r>
      <w:r>
        <w:rPr>
          <w:rFonts w:hint="eastAsia" w:ascii="宋体" w:hAnsi="宋体" w:cs="宋体"/>
          <w:bCs w:val="0"/>
          <w:szCs w:val="32"/>
        </w:rPr>
        <w:t xml:space="preserve">第五章 </w:t>
      </w:r>
      <w:r>
        <w:rPr>
          <w:rFonts w:hint="eastAsia" w:ascii="宋体" w:hAnsi="宋体" w:cs="宋体"/>
          <w:bCs w:val="0"/>
          <w:szCs w:val="32"/>
          <w:highlight w:val="none"/>
        </w:rPr>
        <w:t>合同主要条款</w:t>
      </w:r>
      <w:r>
        <w:tab/>
      </w:r>
      <w:r>
        <w:fldChar w:fldCharType="begin"/>
      </w:r>
      <w:r>
        <w:instrText xml:space="preserve"> PAGEREF _Toc15154 \h </w:instrText>
      </w:r>
      <w:r>
        <w:fldChar w:fldCharType="separate"/>
      </w:r>
      <w:r>
        <w:t>38</w:t>
      </w:r>
      <w:r>
        <w:fldChar w:fldCharType="end"/>
      </w:r>
      <w:r>
        <w:rPr>
          <w:rFonts w:hint="eastAsia" w:ascii="宋体" w:hAnsi="宋体" w:cs="宋体"/>
          <w:color w:val="auto"/>
          <w:highlight w:val="none"/>
        </w:rPr>
        <w:fldChar w:fldCharType="end"/>
      </w:r>
    </w:p>
    <w:p w14:paraId="7DB7D398">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_Toc21120 </w:instrText>
      </w:r>
      <w:r>
        <w:rPr>
          <w:rFonts w:hint="eastAsia" w:ascii="宋体" w:hAnsi="宋体" w:cs="宋体"/>
          <w:highlight w:val="none"/>
        </w:rPr>
        <w:fldChar w:fldCharType="separate"/>
      </w:r>
      <w:r>
        <w:rPr>
          <w:rFonts w:hint="eastAsia" w:ascii="宋体" w:hAnsi="宋体" w:eastAsia="宋体"/>
          <w:bCs w:val="0"/>
          <w:szCs w:val="24"/>
          <w:highlight w:val="none"/>
        </w:rPr>
        <w:t>东阳市政府采购合同（样本）</w:t>
      </w:r>
      <w:r>
        <w:tab/>
      </w:r>
      <w:r>
        <w:fldChar w:fldCharType="begin"/>
      </w:r>
      <w:r>
        <w:instrText xml:space="preserve"> PAGEREF _Toc21120 \h </w:instrText>
      </w:r>
      <w:r>
        <w:fldChar w:fldCharType="separate"/>
      </w:r>
      <w:r>
        <w:t>38</w:t>
      </w:r>
      <w:r>
        <w:fldChar w:fldCharType="end"/>
      </w:r>
      <w:r>
        <w:rPr>
          <w:rFonts w:hint="eastAsia" w:ascii="宋体" w:hAnsi="宋体" w:cs="宋体"/>
          <w:color w:val="auto"/>
          <w:highlight w:val="none"/>
        </w:rPr>
        <w:fldChar w:fldCharType="end"/>
      </w:r>
    </w:p>
    <w:p w14:paraId="349C656E">
      <w:pPr>
        <w:pStyle w:val="31"/>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_Toc22040 </w:instrText>
      </w:r>
      <w:r>
        <w:rPr>
          <w:rFonts w:hint="eastAsia" w:ascii="宋体" w:hAnsi="宋体" w:cs="宋体"/>
          <w:highlight w:val="none"/>
        </w:rPr>
        <w:fldChar w:fldCharType="separate"/>
      </w:r>
      <w:r>
        <w:rPr>
          <w:rFonts w:hint="eastAsia" w:ascii="宋体" w:hAnsi="宋体" w:cs="宋体"/>
          <w:szCs w:val="24"/>
          <w:highlight w:val="none"/>
        </w:rPr>
        <w:t>第六章　磋商响应文件组成内容及格式</w:t>
      </w:r>
      <w:r>
        <w:tab/>
      </w:r>
      <w:r>
        <w:fldChar w:fldCharType="begin"/>
      </w:r>
      <w:r>
        <w:instrText xml:space="preserve"> PAGEREF _Toc22040 \h </w:instrText>
      </w:r>
      <w:r>
        <w:fldChar w:fldCharType="separate"/>
      </w:r>
      <w:r>
        <w:t>44</w:t>
      </w:r>
      <w:r>
        <w:fldChar w:fldCharType="end"/>
      </w:r>
      <w:r>
        <w:rPr>
          <w:rFonts w:hint="eastAsia" w:ascii="宋体" w:hAnsi="宋体" w:cs="宋体"/>
          <w:color w:val="auto"/>
          <w:highlight w:val="none"/>
        </w:rPr>
        <w:fldChar w:fldCharType="end"/>
      </w:r>
    </w:p>
    <w:p w14:paraId="12FD9627">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_Toc11702 </w:instrText>
      </w:r>
      <w:r>
        <w:rPr>
          <w:rFonts w:hint="eastAsia" w:ascii="宋体" w:hAnsi="宋体" w:cs="宋体"/>
          <w:highlight w:val="none"/>
        </w:rPr>
        <w:fldChar w:fldCharType="separate"/>
      </w:r>
      <w:r>
        <w:rPr>
          <w:rFonts w:hint="eastAsia" w:ascii="宋体" w:hAnsi="宋体" w:eastAsia="宋体" w:cs="宋体"/>
          <w:szCs w:val="24"/>
          <w:highlight w:val="none"/>
        </w:rPr>
        <w:t>附件一：磋商声明书</w:t>
      </w:r>
      <w:r>
        <w:tab/>
      </w:r>
      <w:r>
        <w:fldChar w:fldCharType="begin"/>
      </w:r>
      <w:r>
        <w:instrText xml:space="preserve"> PAGEREF _Toc11702 \h </w:instrText>
      </w:r>
      <w:r>
        <w:fldChar w:fldCharType="separate"/>
      </w:r>
      <w:r>
        <w:t>47</w:t>
      </w:r>
      <w:r>
        <w:fldChar w:fldCharType="end"/>
      </w:r>
      <w:r>
        <w:rPr>
          <w:rFonts w:hint="eastAsia" w:ascii="宋体" w:hAnsi="宋体" w:cs="宋体"/>
          <w:color w:val="auto"/>
          <w:highlight w:val="none"/>
        </w:rPr>
        <w:fldChar w:fldCharType="end"/>
      </w:r>
    </w:p>
    <w:p w14:paraId="6FD7B781">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_Toc728 </w:instrText>
      </w:r>
      <w:r>
        <w:rPr>
          <w:rFonts w:hint="eastAsia" w:ascii="宋体" w:hAnsi="宋体" w:cs="宋体"/>
          <w:highlight w:val="none"/>
        </w:rPr>
        <w:fldChar w:fldCharType="separate"/>
      </w:r>
      <w:r>
        <w:rPr>
          <w:rFonts w:hint="eastAsia" w:ascii="宋体" w:hAnsi="宋体" w:eastAsia="宋体" w:cs="宋体"/>
          <w:bCs w:val="0"/>
          <w:szCs w:val="24"/>
          <w:highlight w:val="none"/>
        </w:rPr>
        <w:t>附件二：符合参加政府采购活动应当具备的一般条件的承诺函</w:t>
      </w:r>
      <w:r>
        <w:tab/>
      </w:r>
      <w:r>
        <w:fldChar w:fldCharType="begin"/>
      </w:r>
      <w:r>
        <w:instrText xml:space="preserve"> PAGEREF _Toc728 \h </w:instrText>
      </w:r>
      <w:r>
        <w:fldChar w:fldCharType="separate"/>
      </w:r>
      <w:r>
        <w:t>48</w:t>
      </w:r>
      <w:r>
        <w:fldChar w:fldCharType="end"/>
      </w:r>
      <w:r>
        <w:rPr>
          <w:rFonts w:hint="eastAsia" w:ascii="宋体" w:hAnsi="宋体" w:cs="宋体"/>
          <w:color w:val="auto"/>
          <w:highlight w:val="none"/>
        </w:rPr>
        <w:fldChar w:fldCharType="end"/>
      </w:r>
    </w:p>
    <w:p w14:paraId="4EDDF30F">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_Toc9714 </w:instrText>
      </w:r>
      <w:r>
        <w:rPr>
          <w:rFonts w:hint="eastAsia" w:ascii="宋体" w:hAnsi="宋体" w:cs="宋体"/>
          <w:highlight w:val="none"/>
        </w:rPr>
        <w:fldChar w:fldCharType="separate"/>
      </w:r>
      <w:r>
        <w:rPr>
          <w:rFonts w:hint="eastAsia" w:ascii="宋体" w:hAnsi="宋体" w:eastAsia="宋体" w:cs="宋体"/>
          <w:bCs/>
          <w:highlight w:val="none"/>
        </w:rPr>
        <w:t>附件</w:t>
      </w:r>
      <w:r>
        <w:rPr>
          <w:rFonts w:hint="eastAsia" w:ascii="宋体" w:hAnsi="宋体" w:eastAsia="宋体" w:cs="宋体"/>
          <w:bCs/>
          <w:highlight w:val="none"/>
          <w:lang w:val="en-US" w:eastAsia="zh-CN"/>
        </w:rPr>
        <w:t>三</w:t>
      </w:r>
      <w:r>
        <w:rPr>
          <w:rFonts w:hint="eastAsia" w:ascii="宋体" w:hAnsi="宋体" w:eastAsia="宋体" w:cs="宋体"/>
          <w:bCs/>
          <w:highlight w:val="none"/>
        </w:rPr>
        <w:t>：东阳市政府采购代理机构社会评价表</w:t>
      </w:r>
      <w:r>
        <w:tab/>
      </w:r>
      <w:r>
        <w:fldChar w:fldCharType="begin"/>
      </w:r>
      <w:r>
        <w:instrText xml:space="preserve"> PAGEREF _Toc9714 \h </w:instrText>
      </w:r>
      <w:r>
        <w:fldChar w:fldCharType="separate"/>
      </w:r>
      <w:r>
        <w:t>49</w:t>
      </w:r>
      <w:r>
        <w:fldChar w:fldCharType="end"/>
      </w:r>
      <w:r>
        <w:rPr>
          <w:rFonts w:hint="eastAsia" w:ascii="宋体" w:hAnsi="宋体" w:cs="宋体"/>
          <w:color w:val="auto"/>
          <w:highlight w:val="none"/>
        </w:rPr>
        <w:fldChar w:fldCharType="end"/>
      </w:r>
    </w:p>
    <w:p w14:paraId="1968DAC0">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_Toc29142 </w:instrText>
      </w:r>
      <w:r>
        <w:rPr>
          <w:rFonts w:hint="eastAsia" w:ascii="宋体" w:hAnsi="宋体" w:cs="宋体"/>
          <w:highlight w:val="none"/>
        </w:rPr>
        <w:fldChar w:fldCharType="separate"/>
      </w:r>
      <w:r>
        <w:rPr>
          <w:rFonts w:hint="eastAsia" w:ascii="宋体" w:hAnsi="宋体" w:eastAsia="宋体" w:cs="宋体"/>
          <w:bCs w:val="0"/>
          <w:szCs w:val="24"/>
          <w:highlight w:val="none"/>
        </w:rPr>
        <w:t>附件</w:t>
      </w:r>
      <w:r>
        <w:rPr>
          <w:rFonts w:hint="eastAsia" w:ascii="宋体" w:hAnsi="宋体" w:eastAsia="宋体" w:cs="宋体"/>
          <w:bCs w:val="0"/>
          <w:szCs w:val="24"/>
          <w:highlight w:val="none"/>
          <w:lang w:val="en-US" w:eastAsia="zh-CN"/>
        </w:rPr>
        <w:t>四</w:t>
      </w:r>
      <w:r>
        <w:rPr>
          <w:rFonts w:hint="eastAsia" w:ascii="宋体" w:hAnsi="宋体" w:eastAsia="宋体" w:cs="宋体"/>
          <w:bCs w:val="0"/>
          <w:szCs w:val="24"/>
          <w:highlight w:val="none"/>
        </w:rPr>
        <w:t>：政府采购活动现场确认声明书</w:t>
      </w:r>
      <w:r>
        <w:tab/>
      </w:r>
      <w:r>
        <w:fldChar w:fldCharType="begin"/>
      </w:r>
      <w:r>
        <w:instrText xml:space="preserve"> PAGEREF _Toc29142 \h </w:instrText>
      </w:r>
      <w:r>
        <w:fldChar w:fldCharType="separate"/>
      </w:r>
      <w:r>
        <w:t>50</w:t>
      </w:r>
      <w:r>
        <w:fldChar w:fldCharType="end"/>
      </w:r>
      <w:r>
        <w:rPr>
          <w:rFonts w:hint="eastAsia" w:ascii="宋体" w:hAnsi="宋体" w:cs="宋体"/>
          <w:color w:val="auto"/>
          <w:highlight w:val="none"/>
        </w:rPr>
        <w:fldChar w:fldCharType="end"/>
      </w:r>
    </w:p>
    <w:p w14:paraId="70917D2B">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_Toc22660 </w:instrText>
      </w:r>
      <w:r>
        <w:rPr>
          <w:rFonts w:hint="eastAsia" w:ascii="宋体" w:hAnsi="宋体" w:cs="宋体"/>
          <w:highlight w:val="none"/>
        </w:rPr>
        <w:fldChar w:fldCharType="separate"/>
      </w:r>
      <w:r>
        <w:rPr>
          <w:rFonts w:hint="eastAsia" w:ascii="宋体" w:hAnsi="宋体" w:eastAsia="宋体" w:cs="宋体"/>
          <w:szCs w:val="24"/>
          <w:highlight w:val="none"/>
        </w:rPr>
        <w:t>附件</w:t>
      </w:r>
      <w:r>
        <w:rPr>
          <w:rFonts w:hint="eastAsia" w:ascii="宋体" w:hAnsi="宋体" w:eastAsia="宋体" w:cs="宋体"/>
          <w:szCs w:val="24"/>
          <w:highlight w:val="none"/>
          <w:lang w:val="en-US" w:eastAsia="zh-CN"/>
        </w:rPr>
        <w:t>五</w:t>
      </w:r>
      <w:r>
        <w:rPr>
          <w:rFonts w:hint="eastAsia" w:ascii="宋体" w:hAnsi="宋体" w:eastAsia="宋体" w:cs="宋体"/>
          <w:szCs w:val="24"/>
          <w:highlight w:val="none"/>
        </w:rPr>
        <w:t>：法定代表人授权委托书</w:t>
      </w:r>
      <w:r>
        <w:tab/>
      </w:r>
      <w:r>
        <w:fldChar w:fldCharType="begin"/>
      </w:r>
      <w:r>
        <w:instrText xml:space="preserve"> PAGEREF _Toc22660 \h </w:instrText>
      </w:r>
      <w:r>
        <w:fldChar w:fldCharType="separate"/>
      </w:r>
      <w:r>
        <w:t>51</w:t>
      </w:r>
      <w:r>
        <w:fldChar w:fldCharType="end"/>
      </w:r>
      <w:r>
        <w:rPr>
          <w:rFonts w:hint="eastAsia" w:ascii="宋体" w:hAnsi="宋体" w:cs="宋体"/>
          <w:color w:val="auto"/>
          <w:highlight w:val="none"/>
        </w:rPr>
        <w:fldChar w:fldCharType="end"/>
      </w:r>
    </w:p>
    <w:p w14:paraId="05F857F8">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_Toc18330 </w:instrText>
      </w:r>
      <w:r>
        <w:rPr>
          <w:rFonts w:hint="eastAsia" w:ascii="宋体" w:hAnsi="宋体" w:cs="宋体"/>
          <w:highlight w:val="none"/>
        </w:rPr>
        <w:fldChar w:fldCharType="separate"/>
      </w:r>
      <w:r>
        <w:rPr>
          <w:rFonts w:hint="eastAsia" w:ascii="宋体" w:hAnsi="宋体" w:eastAsia="宋体" w:cs="宋体"/>
          <w:szCs w:val="24"/>
          <w:highlight w:val="none"/>
        </w:rPr>
        <w:t>附件</w:t>
      </w:r>
      <w:r>
        <w:rPr>
          <w:rFonts w:hint="eastAsia" w:ascii="宋体" w:hAnsi="宋体" w:eastAsia="宋体" w:cs="宋体"/>
          <w:szCs w:val="24"/>
          <w:highlight w:val="none"/>
          <w:lang w:val="en-US" w:eastAsia="zh-CN"/>
        </w:rPr>
        <w:t>六</w:t>
      </w:r>
      <w:r>
        <w:rPr>
          <w:rFonts w:hint="eastAsia" w:ascii="宋体" w:hAnsi="宋体" w:eastAsia="宋体" w:cs="宋体"/>
          <w:szCs w:val="24"/>
          <w:highlight w:val="none"/>
        </w:rPr>
        <w:t>：联合体协议</w:t>
      </w:r>
      <w:r>
        <w:tab/>
      </w:r>
      <w:r>
        <w:fldChar w:fldCharType="begin"/>
      </w:r>
      <w:r>
        <w:instrText xml:space="preserve"> PAGEREF _Toc18330 \h </w:instrText>
      </w:r>
      <w:r>
        <w:fldChar w:fldCharType="separate"/>
      </w:r>
      <w:r>
        <w:t>52</w:t>
      </w:r>
      <w:r>
        <w:fldChar w:fldCharType="end"/>
      </w:r>
      <w:r>
        <w:rPr>
          <w:rFonts w:hint="eastAsia" w:ascii="宋体" w:hAnsi="宋体" w:cs="宋体"/>
          <w:color w:val="auto"/>
          <w:highlight w:val="none"/>
        </w:rPr>
        <w:fldChar w:fldCharType="end"/>
      </w:r>
    </w:p>
    <w:p w14:paraId="5B650956">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_Toc19048 </w:instrText>
      </w:r>
      <w:r>
        <w:rPr>
          <w:rFonts w:hint="eastAsia" w:ascii="宋体" w:hAnsi="宋体" w:cs="宋体"/>
          <w:highlight w:val="none"/>
        </w:rPr>
        <w:fldChar w:fldCharType="separate"/>
      </w:r>
      <w:r>
        <w:rPr>
          <w:rFonts w:hint="eastAsia" w:ascii="宋体" w:hAnsi="宋体" w:eastAsia="宋体" w:cs="宋体"/>
          <w:szCs w:val="24"/>
          <w:highlight w:val="none"/>
        </w:rPr>
        <w:t>附件</w:t>
      </w:r>
      <w:r>
        <w:rPr>
          <w:rFonts w:hint="eastAsia" w:ascii="宋体" w:hAnsi="宋体" w:eastAsia="宋体" w:cs="宋体"/>
          <w:szCs w:val="24"/>
          <w:highlight w:val="none"/>
          <w:lang w:val="en-US" w:eastAsia="zh-CN"/>
        </w:rPr>
        <w:t>七</w:t>
      </w:r>
      <w:r>
        <w:rPr>
          <w:rFonts w:hint="eastAsia" w:ascii="宋体" w:hAnsi="宋体" w:eastAsia="宋体" w:cs="宋体"/>
          <w:szCs w:val="24"/>
          <w:highlight w:val="none"/>
        </w:rPr>
        <w:t>：分包意向协议</w:t>
      </w:r>
      <w:r>
        <w:tab/>
      </w:r>
      <w:r>
        <w:fldChar w:fldCharType="begin"/>
      </w:r>
      <w:r>
        <w:instrText xml:space="preserve"> PAGEREF _Toc19048 \h </w:instrText>
      </w:r>
      <w:r>
        <w:fldChar w:fldCharType="separate"/>
      </w:r>
      <w:r>
        <w:t>53</w:t>
      </w:r>
      <w:r>
        <w:fldChar w:fldCharType="end"/>
      </w:r>
      <w:r>
        <w:rPr>
          <w:rFonts w:hint="eastAsia" w:ascii="宋体" w:hAnsi="宋体" w:cs="宋体"/>
          <w:color w:val="auto"/>
          <w:highlight w:val="none"/>
        </w:rPr>
        <w:fldChar w:fldCharType="end"/>
      </w:r>
    </w:p>
    <w:p w14:paraId="56BC75F8">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_Toc25980 </w:instrText>
      </w:r>
      <w:r>
        <w:rPr>
          <w:rFonts w:hint="eastAsia" w:ascii="宋体" w:hAnsi="宋体" w:cs="宋体"/>
          <w:highlight w:val="none"/>
        </w:rPr>
        <w:fldChar w:fldCharType="separate"/>
      </w:r>
      <w:r>
        <w:rPr>
          <w:rFonts w:hint="eastAsia" w:ascii="宋体" w:hAnsi="宋体" w:eastAsia="宋体" w:cs="宋体"/>
          <w:bCs/>
          <w:highlight w:val="none"/>
        </w:rPr>
        <w:t>附件</w:t>
      </w:r>
      <w:r>
        <w:rPr>
          <w:rFonts w:hint="eastAsia" w:ascii="宋体" w:hAnsi="宋体" w:eastAsia="宋体" w:cs="宋体"/>
          <w:bCs/>
          <w:highlight w:val="none"/>
          <w:lang w:val="en-US" w:eastAsia="zh-CN"/>
        </w:rPr>
        <w:t>八</w:t>
      </w:r>
      <w:r>
        <w:rPr>
          <w:rFonts w:hint="eastAsia" w:ascii="宋体" w:hAnsi="宋体" w:eastAsia="宋体" w:cs="宋体"/>
          <w:bCs/>
          <w:highlight w:val="none"/>
        </w:rPr>
        <w:t>：中小企业声明函（工程、服务）</w:t>
      </w:r>
      <w:r>
        <w:tab/>
      </w:r>
      <w:r>
        <w:fldChar w:fldCharType="begin"/>
      </w:r>
      <w:r>
        <w:instrText xml:space="preserve"> PAGEREF _Toc25980 \h </w:instrText>
      </w:r>
      <w:r>
        <w:fldChar w:fldCharType="separate"/>
      </w:r>
      <w:r>
        <w:t>54</w:t>
      </w:r>
      <w:r>
        <w:fldChar w:fldCharType="end"/>
      </w:r>
      <w:r>
        <w:rPr>
          <w:rFonts w:hint="eastAsia" w:ascii="宋体" w:hAnsi="宋体" w:cs="宋体"/>
          <w:color w:val="auto"/>
          <w:highlight w:val="none"/>
        </w:rPr>
        <w:fldChar w:fldCharType="end"/>
      </w:r>
    </w:p>
    <w:p w14:paraId="7E8D4137">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_Toc11961 </w:instrText>
      </w:r>
      <w:r>
        <w:rPr>
          <w:rFonts w:hint="eastAsia" w:ascii="宋体" w:hAnsi="宋体" w:cs="宋体"/>
          <w:highlight w:val="none"/>
        </w:rPr>
        <w:fldChar w:fldCharType="separate"/>
      </w:r>
      <w:r>
        <w:rPr>
          <w:rFonts w:hint="eastAsia" w:ascii="宋体" w:hAnsi="宋体" w:eastAsia="宋体" w:cs="宋体"/>
          <w:szCs w:val="24"/>
          <w:highlight w:val="none"/>
        </w:rPr>
        <w:t>附件</w:t>
      </w:r>
      <w:r>
        <w:rPr>
          <w:rFonts w:hint="eastAsia" w:ascii="宋体" w:hAnsi="宋体" w:eastAsia="宋体" w:cs="宋体"/>
          <w:szCs w:val="24"/>
          <w:highlight w:val="none"/>
          <w:lang w:val="en-US" w:eastAsia="zh-CN"/>
        </w:rPr>
        <w:t>九</w:t>
      </w:r>
      <w:r>
        <w:rPr>
          <w:rFonts w:hint="eastAsia" w:ascii="宋体" w:hAnsi="宋体" w:eastAsia="宋体" w:cs="宋体"/>
          <w:szCs w:val="24"/>
          <w:highlight w:val="none"/>
        </w:rPr>
        <w:t>：残疾人福利性单位声明函</w:t>
      </w:r>
      <w:r>
        <w:tab/>
      </w:r>
      <w:r>
        <w:fldChar w:fldCharType="begin"/>
      </w:r>
      <w:r>
        <w:instrText xml:space="preserve"> PAGEREF _Toc11961 \h </w:instrText>
      </w:r>
      <w:r>
        <w:fldChar w:fldCharType="separate"/>
      </w:r>
      <w:r>
        <w:t>55</w:t>
      </w:r>
      <w:r>
        <w:fldChar w:fldCharType="end"/>
      </w:r>
      <w:r>
        <w:rPr>
          <w:rFonts w:hint="eastAsia" w:ascii="宋体" w:hAnsi="宋体" w:cs="宋体"/>
          <w:color w:val="auto"/>
          <w:highlight w:val="none"/>
        </w:rPr>
        <w:fldChar w:fldCharType="end"/>
      </w:r>
    </w:p>
    <w:p w14:paraId="5DA21AD4">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_Toc13506 </w:instrText>
      </w:r>
      <w:r>
        <w:rPr>
          <w:rFonts w:hint="eastAsia" w:ascii="宋体" w:hAnsi="宋体" w:cs="宋体"/>
          <w:highlight w:val="none"/>
        </w:rPr>
        <w:fldChar w:fldCharType="separate"/>
      </w:r>
      <w:r>
        <w:rPr>
          <w:rFonts w:hint="eastAsia" w:ascii="宋体" w:hAnsi="宋体" w:eastAsia="宋体" w:cs="宋体"/>
          <w:szCs w:val="24"/>
          <w:highlight w:val="none"/>
        </w:rPr>
        <w:t>附件</w:t>
      </w:r>
      <w:r>
        <w:rPr>
          <w:rFonts w:hint="eastAsia" w:ascii="宋体" w:hAnsi="宋体" w:eastAsia="宋体" w:cs="宋体"/>
          <w:szCs w:val="24"/>
          <w:highlight w:val="none"/>
          <w:lang w:val="en-US" w:eastAsia="zh-CN"/>
        </w:rPr>
        <w:t>十</w:t>
      </w:r>
      <w:r>
        <w:rPr>
          <w:rFonts w:hint="eastAsia" w:ascii="宋体" w:hAnsi="宋体" w:eastAsia="宋体" w:cs="宋体"/>
          <w:szCs w:val="24"/>
          <w:highlight w:val="none"/>
        </w:rPr>
        <w:t>：磋商响应方资信商务、技术自评得分表</w:t>
      </w:r>
      <w:r>
        <w:tab/>
      </w:r>
      <w:r>
        <w:fldChar w:fldCharType="begin"/>
      </w:r>
      <w:r>
        <w:instrText xml:space="preserve"> PAGEREF _Toc13506 \h </w:instrText>
      </w:r>
      <w:r>
        <w:fldChar w:fldCharType="separate"/>
      </w:r>
      <w:r>
        <w:t>56</w:t>
      </w:r>
      <w:r>
        <w:fldChar w:fldCharType="end"/>
      </w:r>
      <w:r>
        <w:rPr>
          <w:rFonts w:hint="eastAsia" w:ascii="宋体" w:hAnsi="宋体" w:cs="宋体"/>
          <w:color w:val="auto"/>
          <w:highlight w:val="none"/>
        </w:rPr>
        <w:fldChar w:fldCharType="end"/>
      </w:r>
    </w:p>
    <w:p w14:paraId="39E6CBD1">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_Toc10712 </w:instrText>
      </w:r>
      <w:r>
        <w:rPr>
          <w:rFonts w:hint="eastAsia" w:ascii="宋体" w:hAnsi="宋体" w:cs="宋体"/>
          <w:highlight w:val="none"/>
        </w:rPr>
        <w:fldChar w:fldCharType="separate"/>
      </w:r>
      <w:r>
        <w:rPr>
          <w:rFonts w:hint="eastAsia" w:ascii="宋体" w:hAnsi="宋体" w:eastAsia="宋体" w:cs="宋体"/>
          <w:szCs w:val="24"/>
          <w:highlight w:val="none"/>
        </w:rPr>
        <w:t>附件</w:t>
      </w:r>
      <w:r>
        <w:rPr>
          <w:rFonts w:hint="eastAsia" w:ascii="宋体" w:hAnsi="宋体" w:eastAsia="宋体" w:cs="宋体"/>
          <w:szCs w:val="24"/>
          <w:highlight w:val="none"/>
          <w:lang w:val="en-US" w:eastAsia="zh-CN"/>
        </w:rPr>
        <w:t>十一</w:t>
      </w:r>
      <w:r>
        <w:rPr>
          <w:rFonts w:hint="eastAsia" w:ascii="宋体" w:hAnsi="宋体" w:eastAsia="宋体" w:cs="宋体"/>
          <w:szCs w:val="24"/>
          <w:highlight w:val="none"/>
        </w:rPr>
        <w:t>：资信商务、技术文件响应表</w:t>
      </w:r>
      <w:r>
        <w:tab/>
      </w:r>
      <w:r>
        <w:fldChar w:fldCharType="begin"/>
      </w:r>
      <w:r>
        <w:instrText xml:space="preserve"> PAGEREF _Toc10712 \h </w:instrText>
      </w:r>
      <w:r>
        <w:fldChar w:fldCharType="separate"/>
      </w:r>
      <w:r>
        <w:t>57</w:t>
      </w:r>
      <w:r>
        <w:fldChar w:fldCharType="end"/>
      </w:r>
      <w:r>
        <w:rPr>
          <w:rFonts w:hint="eastAsia" w:ascii="宋体" w:hAnsi="宋体" w:cs="宋体"/>
          <w:color w:val="auto"/>
          <w:highlight w:val="none"/>
        </w:rPr>
        <w:fldChar w:fldCharType="end"/>
      </w:r>
    </w:p>
    <w:p w14:paraId="19CE80A5">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_Toc28601 </w:instrText>
      </w:r>
      <w:r>
        <w:rPr>
          <w:rFonts w:hint="eastAsia" w:ascii="宋体" w:hAnsi="宋体" w:cs="宋体"/>
          <w:highlight w:val="none"/>
        </w:rPr>
        <w:fldChar w:fldCharType="separate"/>
      </w:r>
      <w:r>
        <w:rPr>
          <w:rFonts w:hint="eastAsia" w:ascii="宋体" w:hAnsi="宋体" w:eastAsia="宋体" w:cs="宋体"/>
          <w:bCs w:val="0"/>
          <w:szCs w:val="24"/>
          <w:highlight w:val="none"/>
        </w:rPr>
        <w:t>附件</w:t>
      </w:r>
      <w:r>
        <w:rPr>
          <w:rFonts w:hint="eastAsia" w:ascii="宋体" w:hAnsi="宋体" w:eastAsia="宋体" w:cs="宋体"/>
          <w:bCs w:val="0"/>
          <w:szCs w:val="24"/>
          <w:highlight w:val="none"/>
          <w:lang w:val="en-US" w:eastAsia="zh-CN"/>
        </w:rPr>
        <w:t>十二</w:t>
      </w:r>
      <w:r>
        <w:rPr>
          <w:rFonts w:hint="eastAsia" w:ascii="宋体" w:hAnsi="宋体" w:eastAsia="宋体" w:cs="宋体"/>
          <w:bCs w:val="0"/>
          <w:szCs w:val="24"/>
          <w:highlight w:val="none"/>
        </w:rPr>
        <w:t>：人员现场到位率承诺书</w:t>
      </w:r>
      <w:r>
        <w:tab/>
      </w:r>
      <w:r>
        <w:fldChar w:fldCharType="begin"/>
      </w:r>
      <w:r>
        <w:instrText xml:space="preserve"> PAGEREF _Toc28601 \h </w:instrText>
      </w:r>
      <w:r>
        <w:fldChar w:fldCharType="separate"/>
      </w:r>
      <w:r>
        <w:t>58</w:t>
      </w:r>
      <w:r>
        <w:fldChar w:fldCharType="end"/>
      </w:r>
      <w:r>
        <w:rPr>
          <w:rFonts w:hint="eastAsia" w:ascii="宋体" w:hAnsi="宋体" w:cs="宋体"/>
          <w:color w:val="auto"/>
          <w:highlight w:val="none"/>
        </w:rPr>
        <w:fldChar w:fldCharType="end"/>
      </w:r>
    </w:p>
    <w:p w14:paraId="3C0CFE85">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_Toc16028 </w:instrText>
      </w:r>
      <w:r>
        <w:rPr>
          <w:rFonts w:hint="eastAsia" w:ascii="宋体" w:hAnsi="宋体" w:cs="宋体"/>
          <w:highlight w:val="none"/>
        </w:rPr>
        <w:fldChar w:fldCharType="separate"/>
      </w:r>
      <w:r>
        <w:rPr>
          <w:rFonts w:hint="eastAsia" w:ascii="宋体" w:hAnsi="宋体" w:eastAsia="宋体" w:cs="宋体"/>
          <w:bCs w:val="0"/>
          <w:szCs w:val="24"/>
          <w:highlight w:val="none"/>
        </w:rPr>
        <w:t>附件</w:t>
      </w:r>
      <w:r>
        <w:rPr>
          <w:rFonts w:hint="eastAsia" w:ascii="宋体" w:hAnsi="宋体" w:eastAsia="宋体" w:cs="宋体"/>
          <w:bCs w:val="0"/>
          <w:szCs w:val="24"/>
          <w:highlight w:val="none"/>
          <w:lang w:val="en-US" w:eastAsia="zh-CN"/>
        </w:rPr>
        <w:t>十三</w:t>
      </w:r>
      <w:r>
        <w:rPr>
          <w:rFonts w:hint="eastAsia" w:ascii="宋体" w:hAnsi="宋体" w:eastAsia="宋体" w:cs="宋体"/>
          <w:bCs w:val="0"/>
          <w:szCs w:val="24"/>
          <w:highlight w:val="none"/>
        </w:rPr>
        <w:t>：安全生产及其他承诺函</w:t>
      </w:r>
      <w:r>
        <w:tab/>
      </w:r>
      <w:r>
        <w:fldChar w:fldCharType="begin"/>
      </w:r>
      <w:r>
        <w:instrText xml:space="preserve"> PAGEREF _Toc16028 \h </w:instrText>
      </w:r>
      <w:r>
        <w:fldChar w:fldCharType="separate"/>
      </w:r>
      <w:r>
        <w:t>59</w:t>
      </w:r>
      <w:r>
        <w:fldChar w:fldCharType="end"/>
      </w:r>
      <w:r>
        <w:rPr>
          <w:rFonts w:hint="eastAsia" w:ascii="宋体" w:hAnsi="宋体" w:cs="宋体"/>
          <w:color w:val="auto"/>
          <w:highlight w:val="none"/>
        </w:rPr>
        <w:fldChar w:fldCharType="end"/>
      </w:r>
    </w:p>
    <w:p w14:paraId="7CEAC69C">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_Toc143 </w:instrText>
      </w:r>
      <w:r>
        <w:rPr>
          <w:rFonts w:hint="eastAsia" w:ascii="宋体" w:hAnsi="宋体" w:cs="宋体"/>
          <w:highlight w:val="none"/>
        </w:rPr>
        <w:fldChar w:fldCharType="separate"/>
      </w:r>
      <w:r>
        <w:rPr>
          <w:rFonts w:hint="eastAsia" w:ascii="宋体" w:hAnsi="宋体" w:eastAsia="宋体" w:cs="宋体"/>
          <w:bCs w:val="0"/>
          <w:szCs w:val="24"/>
          <w:highlight w:val="none"/>
        </w:rPr>
        <w:t>附件十</w:t>
      </w:r>
      <w:r>
        <w:rPr>
          <w:rFonts w:hint="eastAsia" w:ascii="宋体" w:hAnsi="宋体" w:eastAsia="宋体" w:cs="宋体"/>
          <w:bCs w:val="0"/>
          <w:szCs w:val="24"/>
          <w:highlight w:val="none"/>
          <w:lang w:val="en-US" w:eastAsia="zh-CN"/>
        </w:rPr>
        <w:t>四</w:t>
      </w:r>
      <w:r>
        <w:rPr>
          <w:rFonts w:hint="eastAsia" w:ascii="宋体" w:hAnsi="宋体" w:eastAsia="宋体" w:cs="宋体"/>
          <w:bCs w:val="0"/>
          <w:szCs w:val="24"/>
          <w:highlight w:val="none"/>
        </w:rPr>
        <w:t>：拟投入本项目人员一览表</w:t>
      </w:r>
      <w:r>
        <w:tab/>
      </w:r>
      <w:r>
        <w:fldChar w:fldCharType="begin"/>
      </w:r>
      <w:r>
        <w:instrText xml:space="preserve"> PAGEREF _Toc143 \h </w:instrText>
      </w:r>
      <w:r>
        <w:fldChar w:fldCharType="separate"/>
      </w:r>
      <w:r>
        <w:t>60</w:t>
      </w:r>
      <w:r>
        <w:fldChar w:fldCharType="end"/>
      </w:r>
      <w:r>
        <w:rPr>
          <w:rFonts w:hint="eastAsia" w:ascii="宋体" w:hAnsi="宋体" w:cs="宋体"/>
          <w:color w:val="auto"/>
          <w:highlight w:val="none"/>
        </w:rPr>
        <w:fldChar w:fldCharType="end"/>
      </w:r>
    </w:p>
    <w:p w14:paraId="789D282D">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_Toc15951 </w:instrText>
      </w:r>
      <w:r>
        <w:rPr>
          <w:rFonts w:hint="eastAsia" w:ascii="宋体" w:hAnsi="宋体" w:cs="宋体"/>
          <w:highlight w:val="none"/>
        </w:rPr>
        <w:fldChar w:fldCharType="separate"/>
      </w:r>
      <w:r>
        <w:rPr>
          <w:rFonts w:hint="eastAsia" w:ascii="宋体" w:hAnsi="宋体" w:eastAsia="宋体" w:cs="宋体"/>
          <w:bCs w:val="0"/>
          <w:szCs w:val="24"/>
          <w:highlight w:val="none"/>
        </w:rPr>
        <w:t>附件十</w:t>
      </w:r>
      <w:r>
        <w:rPr>
          <w:rFonts w:hint="eastAsia" w:ascii="宋体" w:hAnsi="宋体" w:eastAsia="宋体" w:cs="宋体"/>
          <w:bCs w:val="0"/>
          <w:szCs w:val="24"/>
          <w:highlight w:val="none"/>
          <w:lang w:val="en-US" w:eastAsia="zh-CN"/>
        </w:rPr>
        <w:t>五</w:t>
      </w:r>
      <w:r>
        <w:rPr>
          <w:rFonts w:hint="eastAsia" w:ascii="宋体" w:hAnsi="宋体" w:eastAsia="宋体" w:cs="宋体"/>
          <w:bCs w:val="0"/>
          <w:szCs w:val="24"/>
          <w:highlight w:val="none"/>
        </w:rPr>
        <w:t>：同类项目业绩</w:t>
      </w:r>
      <w:r>
        <w:tab/>
      </w:r>
      <w:r>
        <w:fldChar w:fldCharType="begin"/>
      </w:r>
      <w:r>
        <w:instrText xml:space="preserve"> PAGEREF _Toc15951 \h </w:instrText>
      </w:r>
      <w:r>
        <w:fldChar w:fldCharType="separate"/>
      </w:r>
      <w:r>
        <w:t>61</w:t>
      </w:r>
      <w:r>
        <w:fldChar w:fldCharType="end"/>
      </w:r>
      <w:r>
        <w:rPr>
          <w:rFonts w:hint="eastAsia" w:ascii="宋体" w:hAnsi="宋体" w:cs="宋体"/>
          <w:color w:val="auto"/>
          <w:highlight w:val="none"/>
        </w:rPr>
        <w:fldChar w:fldCharType="end"/>
      </w:r>
    </w:p>
    <w:p w14:paraId="21EF2637">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_Toc3061 </w:instrText>
      </w:r>
      <w:r>
        <w:rPr>
          <w:rFonts w:hint="eastAsia" w:ascii="宋体" w:hAnsi="宋体" w:cs="宋体"/>
          <w:highlight w:val="none"/>
        </w:rPr>
        <w:fldChar w:fldCharType="separate"/>
      </w:r>
      <w:r>
        <w:rPr>
          <w:rFonts w:hint="eastAsia" w:ascii="宋体" w:hAnsi="宋体" w:cs="宋体"/>
          <w:bCs/>
          <w:highlight w:val="none"/>
        </w:rPr>
        <w:t>附件十</w:t>
      </w:r>
      <w:r>
        <w:rPr>
          <w:rFonts w:hint="eastAsia" w:ascii="宋体" w:hAnsi="宋体" w:cs="宋体"/>
          <w:bCs/>
          <w:highlight w:val="none"/>
          <w:lang w:val="en-US" w:eastAsia="zh-CN"/>
        </w:rPr>
        <w:t>六</w:t>
      </w:r>
      <w:r>
        <w:rPr>
          <w:rFonts w:hint="eastAsia" w:ascii="宋体" w:hAnsi="宋体" w:cs="宋体"/>
          <w:bCs/>
          <w:highlight w:val="none"/>
        </w:rPr>
        <w:t>:磋商函</w:t>
      </w:r>
      <w:r>
        <w:tab/>
      </w:r>
      <w:r>
        <w:fldChar w:fldCharType="begin"/>
      </w:r>
      <w:r>
        <w:instrText xml:space="preserve"> PAGEREF _Toc3061 \h </w:instrText>
      </w:r>
      <w:r>
        <w:fldChar w:fldCharType="separate"/>
      </w:r>
      <w:r>
        <w:t>62</w:t>
      </w:r>
      <w:r>
        <w:fldChar w:fldCharType="end"/>
      </w:r>
      <w:r>
        <w:rPr>
          <w:rFonts w:hint="eastAsia" w:ascii="宋体" w:hAnsi="宋体" w:cs="宋体"/>
          <w:color w:val="auto"/>
          <w:highlight w:val="none"/>
        </w:rPr>
        <w:fldChar w:fldCharType="end"/>
      </w:r>
    </w:p>
    <w:p w14:paraId="608D1E16">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_Toc6466 </w:instrText>
      </w:r>
      <w:r>
        <w:rPr>
          <w:rFonts w:hint="eastAsia" w:ascii="宋体" w:hAnsi="宋体" w:cs="宋体"/>
          <w:highlight w:val="none"/>
        </w:rPr>
        <w:fldChar w:fldCharType="separate"/>
      </w:r>
      <w:r>
        <w:rPr>
          <w:rFonts w:hint="eastAsia" w:ascii="宋体" w:hAnsi="宋体"/>
          <w:bCs/>
          <w:highlight w:val="none"/>
        </w:rPr>
        <w:t>附件十</w:t>
      </w:r>
      <w:r>
        <w:rPr>
          <w:rFonts w:hint="eastAsia" w:ascii="宋体" w:hAnsi="宋体"/>
          <w:bCs/>
          <w:highlight w:val="none"/>
          <w:lang w:val="en-US" w:eastAsia="zh-CN"/>
        </w:rPr>
        <w:t>七</w:t>
      </w:r>
      <w:r>
        <w:rPr>
          <w:rFonts w:hint="eastAsia" w:ascii="宋体" w:hAnsi="宋体"/>
          <w:bCs/>
          <w:highlight w:val="none"/>
        </w:rPr>
        <w:t>：初次报价表</w:t>
      </w:r>
      <w:r>
        <w:tab/>
      </w:r>
      <w:r>
        <w:fldChar w:fldCharType="begin"/>
      </w:r>
      <w:r>
        <w:instrText xml:space="preserve"> PAGEREF _Toc6466 \h </w:instrText>
      </w:r>
      <w:r>
        <w:fldChar w:fldCharType="separate"/>
      </w:r>
      <w:r>
        <w:t>63</w:t>
      </w:r>
      <w:r>
        <w:fldChar w:fldCharType="end"/>
      </w:r>
      <w:r>
        <w:rPr>
          <w:rFonts w:hint="eastAsia" w:ascii="宋体" w:hAnsi="宋体" w:cs="宋体"/>
          <w:color w:val="auto"/>
          <w:highlight w:val="none"/>
        </w:rPr>
        <w:fldChar w:fldCharType="end"/>
      </w:r>
    </w:p>
    <w:p w14:paraId="77328D8B">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_Toc11727 </w:instrText>
      </w:r>
      <w:r>
        <w:rPr>
          <w:rFonts w:hint="eastAsia" w:ascii="宋体" w:hAnsi="宋体" w:cs="宋体"/>
          <w:highlight w:val="none"/>
        </w:rPr>
        <w:fldChar w:fldCharType="separate"/>
      </w:r>
      <w:r>
        <w:rPr>
          <w:rFonts w:hint="eastAsia" w:ascii="宋体" w:hAnsi="宋体" w:cs="宋体"/>
          <w:bCs/>
          <w:highlight w:val="none"/>
        </w:rPr>
        <w:t>附件</w:t>
      </w:r>
      <w:r>
        <w:rPr>
          <w:rFonts w:hint="eastAsia" w:ascii="宋体" w:hAnsi="宋体" w:cs="宋体"/>
          <w:bCs/>
          <w:highlight w:val="none"/>
          <w:lang w:val="en-US" w:eastAsia="zh-CN"/>
        </w:rPr>
        <w:t>十八</w:t>
      </w:r>
      <w:r>
        <w:rPr>
          <w:rFonts w:hint="eastAsia" w:ascii="宋体" w:hAnsi="宋体" w:cs="宋体"/>
          <w:bCs/>
          <w:highlight w:val="none"/>
        </w:rPr>
        <w:t>：东阳市采购项目验收方案（投标时无需提供）</w:t>
      </w:r>
      <w:r>
        <w:tab/>
      </w:r>
      <w:r>
        <w:fldChar w:fldCharType="begin"/>
      </w:r>
      <w:r>
        <w:instrText xml:space="preserve"> PAGEREF _Toc11727 \h </w:instrText>
      </w:r>
      <w:r>
        <w:fldChar w:fldCharType="separate"/>
      </w:r>
      <w:r>
        <w:t>64</w:t>
      </w:r>
      <w:r>
        <w:fldChar w:fldCharType="end"/>
      </w:r>
      <w:r>
        <w:rPr>
          <w:rFonts w:hint="eastAsia" w:ascii="宋体" w:hAnsi="宋体" w:cs="宋体"/>
          <w:color w:val="auto"/>
          <w:highlight w:val="none"/>
        </w:rPr>
        <w:fldChar w:fldCharType="end"/>
      </w:r>
    </w:p>
    <w:p w14:paraId="7865F14E">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_Toc7478 </w:instrText>
      </w:r>
      <w:r>
        <w:rPr>
          <w:rFonts w:hint="eastAsia" w:ascii="宋体" w:hAnsi="宋体" w:cs="宋体"/>
          <w:highlight w:val="none"/>
        </w:rPr>
        <w:fldChar w:fldCharType="separate"/>
      </w:r>
      <w:r>
        <w:rPr>
          <w:rFonts w:hint="eastAsia" w:ascii="宋体" w:hAnsi="宋体" w:eastAsia="宋体" w:cs="宋体"/>
          <w:highlight w:val="none"/>
        </w:rPr>
        <w:t>附件</w:t>
      </w:r>
      <w:r>
        <w:rPr>
          <w:rFonts w:hint="eastAsia" w:ascii="宋体" w:hAnsi="宋体" w:eastAsia="宋体" w:cs="宋体"/>
          <w:highlight w:val="none"/>
          <w:lang w:val="en-US" w:eastAsia="zh-CN"/>
        </w:rPr>
        <w:t>十九</w:t>
      </w:r>
      <w:r>
        <w:rPr>
          <w:rFonts w:hint="eastAsia" w:ascii="宋体" w:hAnsi="宋体" w:eastAsia="宋体" w:cs="宋体"/>
          <w:highlight w:val="none"/>
        </w:rPr>
        <w:t>：质疑函范本</w:t>
      </w:r>
      <w:r>
        <w:tab/>
      </w:r>
      <w:r>
        <w:fldChar w:fldCharType="begin"/>
      </w:r>
      <w:r>
        <w:instrText xml:space="preserve"> PAGEREF _Toc7478 \h </w:instrText>
      </w:r>
      <w:r>
        <w:fldChar w:fldCharType="separate"/>
      </w:r>
      <w:r>
        <w:t>65</w:t>
      </w:r>
      <w:r>
        <w:fldChar w:fldCharType="end"/>
      </w:r>
      <w:r>
        <w:rPr>
          <w:rFonts w:hint="eastAsia" w:ascii="宋体" w:hAnsi="宋体" w:cs="宋体"/>
          <w:color w:val="auto"/>
          <w:highlight w:val="none"/>
        </w:rPr>
        <w:fldChar w:fldCharType="end"/>
      </w:r>
    </w:p>
    <w:p w14:paraId="64007C5B">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_Toc24711 </w:instrText>
      </w:r>
      <w:r>
        <w:rPr>
          <w:rFonts w:hint="eastAsia" w:ascii="宋体" w:hAnsi="宋体" w:cs="宋体"/>
          <w:highlight w:val="none"/>
        </w:rPr>
        <w:fldChar w:fldCharType="separate"/>
      </w:r>
      <w:r>
        <w:rPr>
          <w:rFonts w:hint="eastAsia" w:ascii="宋体" w:hAnsi="宋体" w:eastAsia="宋体" w:cs="宋体"/>
          <w:highlight w:val="none"/>
        </w:rPr>
        <w:t>附件二十：投诉书范本</w:t>
      </w:r>
      <w:r>
        <w:tab/>
      </w:r>
      <w:r>
        <w:fldChar w:fldCharType="begin"/>
      </w:r>
      <w:r>
        <w:instrText xml:space="preserve"> PAGEREF _Toc24711 \h </w:instrText>
      </w:r>
      <w:r>
        <w:fldChar w:fldCharType="separate"/>
      </w:r>
      <w:r>
        <w:t>67</w:t>
      </w:r>
      <w:r>
        <w:fldChar w:fldCharType="end"/>
      </w:r>
      <w:r>
        <w:rPr>
          <w:rFonts w:hint="eastAsia" w:ascii="宋体" w:hAnsi="宋体" w:cs="宋体"/>
          <w:color w:val="auto"/>
          <w:highlight w:val="none"/>
        </w:rPr>
        <w:fldChar w:fldCharType="end"/>
      </w:r>
    </w:p>
    <w:p w14:paraId="71E297DD">
      <w:pPr>
        <w:pStyle w:val="29"/>
        <w:tabs>
          <w:tab w:val="right" w:leader="dot" w:pos="9524"/>
        </w:tabs>
      </w:pPr>
      <w:r>
        <w:rPr>
          <w:rFonts w:hint="eastAsia" w:ascii="宋体" w:hAnsi="宋体" w:cs="宋体"/>
          <w:color w:val="auto"/>
          <w:highlight w:val="none"/>
        </w:rPr>
        <w:fldChar w:fldCharType="begin"/>
      </w:r>
      <w:r>
        <w:rPr>
          <w:rFonts w:hint="eastAsia" w:ascii="宋体" w:hAnsi="宋体" w:cs="宋体"/>
          <w:highlight w:val="none"/>
        </w:rPr>
        <w:instrText xml:space="preserve"> HYPERLINK \l _Toc22519 </w:instrText>
      </w:r>
      <w:r>
        <w:rPr>
          <w:rFonts w:hint="eastAsia" w:ascii="宋体" w:hAnsi="宋体" w:cs="宋体"/>
          <w:highlight w:val="none"/>
        </w:rPr>
        <w:fldChar w:fldCharType="separate"/>
      </w:r>
      <w:r>
        <w:rPr>
          <w:rFonts w:hint="eastAsia" w:ascii="宋体" w:hAnsi="宋体" w:eastAsia="宋体" w:cs="宋体"/>
          <w:highlight w:val="none"/>
          <w:lang w:val="en-US" w:eastAsia="zh-CN"/>
        </w:rPr>
        <w:t>附件二十一：预算审核函</w:t>
      </w:r>
      <w:r>
        <w:tab/>
      </w:r>
      <w:r>
        <w:fldChar w:fldCharType="begin"/>
      </w:r>
      <w:r>
        <w:instrText xml:space="preserve"> PAGEREF _Toc22519 \h </w:instrText>
      </w:r>
      <w:r>
        <w:fldChar w:fldCharType="separate"/>
      </w:r>
      <w:r>
        <w:t>69</w:t>
      </w:r>
      <w:r>
        <w:fldChar w:fldCharType="end"/>
      </w:r>
      <w:r>
        <w:rPr>
          <w:rFonts w:hint="eastAsia" w:ascii="宋体" w:hAnsi="宋体" w:cs="宋体"/>
          <w:color w:val="auto"/>
          <w:highlight w:val="none"/>
        </w:rPr>
        <w:fldChar w:fldCharType="end"/>
      </w:r>
    </w:p>
    <w:p w14:paraId="1BDF3098">
      <w:pPr>
        <w:pStyle w:val="31"/>
        <w:tabs>
          <w:tab w:val="right" w:leader="dot" w:pos="9402"/>
        </w:tabs>
        <w:spacing w:line="360" w:lineRule="auto"/>
        <w:jc w:val="center"/>
        <w:rPr>
          <w:rFonts w:ascii="宋体" w:hAnsi="宋体" w:cs="宋体"/>
          <w:color w:val="auto"/>
          <w:sz w:val="24"/>
          <w:highlight w:val="none"/>
        </w:rPr>
      </w:pPr>
      <w:r>
        <w:rPr>
          <w:rFonts w:hint="eastAsia" w:ascii="宋体" w:hAnsi="宋体" w:cs="宋体"/>
          <w:color w:val="auto"/>
          <w:highlight w:val="none"/>
        </w:rPr>
        <w:fldChar w:fldCharType="end"/>
      </w:r>
    </w:p>
    <w:p w14:paraId="7564520A">
      <w:pPr>
        <w:spacing w:line="360" w:lineRule="auto"/>
        <w:rPr>
          <w:rFonts w:ascii="宋体" w:hAnsi="宋体" w:cs="宋体"/>
          <w:color w:val="auto"/>
          <w:sz w:val="24"/>
          <w:highlight w:val="none"/>
        </w:rPr>
      </w:pPr>
    </w:p>
    <w:p w14:paraId="2E821051">
      <w:pPr>
        <w:pStyle w:val="31"/>
        <w:pageBreakBefore/>
        <w:tabs>
          <w:tab w:val="right" w:leader="dot" w:pos="9402"/>
        </w:tabs>
        <w:spacing w:line="460" w:lineRule="exact"/>
        <w:jc w:val="center"/>
        <w:outlineLvl w:val="0"/>
        <w:rPr>
          <w:rFonts w:ascii="宋体" w:hAnsi="宋体" w:cs="宋体"/>
          <w:b/>
          <w:color w:val="auto"/>
          <w:sz w:val="24"/>
          <w:highlight w:val="none"/>
        </w:rPr>
      </w:pPr>
      <w:bookmarkStart w:id="0" w:name="_Toc9337"/>
      <w:r>
        <w:rPr>
          <w:rFonts w:hint="eastAsia" w:ascii="宋体" w:hAnsi="宋体" w:cs="宋体"/>
          <w:b/>
          <w:color w:val="auto"/>
          <w:sz w:val="24"/>
          <w:highlight w:val="none"/>
        </w:rPr>
        <w:t>第一章  竞争性磋商公告</w:t>
      </w:r>
      <w:bookmarkEnd w:id="0"/>
      <w:r>
        <w:rPr>
          <w:rFonts w:hint="eastAsia" w:ascii="宋体" w:hAnsi="宋体" w:cs="宋体"/>
          <w:b/>
          <w:color w:val="auto"/>
          <w:sz w:val="24"/>
          <w:highlight w:val="none"/>
        </w:rPr>
        <w:t xml:space="preserve"> </w:t>
      </w:r>
    </w:p>
    <w:p w14:paraId="28556266">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firstLine="482" w:firstLineChars="200"/>
        <w:textAlignment w:val="auto"/>
        <w:rPr>
          <w:rFonts w:ascii="宋体" w:hAnsi="宋体" w:cs="宋体"/>
          <w:b/>
          <w:bCs/>
          <w:color w:val="auto"/>
          <w:sz w:val="24"/>
          <w:highlight w:val="none"/>
        </w:rPr>
      </w:pPr>
      <w:r>
        <w:rPr>
          <w:rFonts w:hint="eastAsia" w:ascii="宋体" w:hAnsi="宋体" w:cs="宋体"/>
          <w:b/>
          <w:bCs/>
          <w:color w:val="auto"/>
          <w:sz w:val="24"/>
          <w:highlight w:val="none"/>
        </w:rPr>
        <w:t>项目概况</w:t>
      </w:r>
    </w:p>
    <w:p w14:paraId="30026C66">
      <w:pPr>
        <w:keepNext w:val="0"/>
        <w:keepLines w:val="0"/>
        <w:pageBreakBefore w:val="0"/>
        <w:pBdr>
          <w:top w:val="single" w:color="auto" w:sz="4" w:space="1"/>
          <w:left w:val="single" w:color="auto" w:sz="4" w:space="4"/>
          <w:bottom w:val="single" w:color="auto" w:sz="4" w:space="1"/>
          <w:right w:val="single" w:color="auto" w:sz="4" w:space="4"/>
        </w:pBdr>
        <w:kinsoku/>
        <w:wordWrap/>
        <w:overflowPunct/>
        <w:topLinePunct w:val="0"/>
        <w:autoSpaceDE/>
        <w:autoSpaceDN/>
        <w:bidi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lang w:eastAsia="zh-CN"/>
        </w:rPr>
        <w:t>笠里小区环村路道路工程项目</w:t>
      </w:r>
      <w:r>
        <w:rPr>
          <w:rFonts w:hint="eastAsia" w:ascii="宋体" w:hAnsi="宋体" w:eastAsia="宋体" w:cs="宋体"/>
          <w:color w:val="auto"/>
          <w:sz w:val="24"/>
          <w:highlight w:val="none"/>
        </w:rPr>
        <w:t>的</w:t>
      </w:r>
      <w:r>
        <w:rPr>
          <w:rFonts w:hint="eastAsia" w:ascii="宋体" w:hAnsi="宋体" w:cs="宋体"/>
          <w:color w:val="auto"/>
          <w:sz w:val="24"/>
          <w:highlight w:val="none"/>
        </w:rPr>
        <w:t>潜在供应商应在浙江政府采购网（http://zfcg.czt.zj.gov.cn/）；东阳市公共资源交易网(http://www.dongyang.gov.cn/ggzyjy/index.html)获取（下载）磋商文件，并于</w:t>
      </w:r>
      <w:r>
        <w:rPr>
          <w:rFonts w:hint="eastAsia" w:ascii="宋体" w:hAnsi="宋体" w:cs="宋体"/>
          <w:color w:val="auto"/>
          <w:sz w:val="24"/>
          <w:highlight w:val="none"/>
          <w:lang w:eastAsia="zh-CN"/>
        </w:rPr>
        <w:t>2025年4月1日9时00分</w:t>
      </w:r>
      <w:r>
        <w:rPr>
          <w:rFonts w:hint="eastAsia" w:ascii="宋体" w:hAnsi="宋体" w:cs="宋体"/>
          <w:color w:val="auto"/>
          <w:sz w:val="24"/>
          <w:highlight w:val="none"/>
        </w:rPr>
        <w:t>（北京时间）前递交（上传）电子磋商响应文件。</w:t>
      </w:r>
    </w:p>
    <w:p w14:paraId="25BEAD51">
      <w:pPr>
        <w:keepNext w:val="0"/>
        <w:keepLines w:val="0"/>
        <w:pageBreakBefore w:val="0"/>
        <w:numPr>
          <w:ilvl w:val="0"/>
          <w:numId w:val="4"/>
        </w:numPr>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项目基本情况</w:t>
      </w:r>
    </w:p>
    <w:p w14:paraId="391B1466">
      <w:pPr>
        <w:keepNext w:val="0"/>
        <w:keepLines w:val="0"/>
        <w:pageBreakBefore w:val="0"/>
        <w:kinsoku/>
        <w:wordWrap/>
        <w:overflowPunct/>
        <w:topLinePunct w:val="0"/>
        <w:autoSpaceDE/>
        <w:autoSpaceDN/>
        <w:bidi w:val="0"/>
        <w:spacing w:line="440" w:lineRule="exact"/>
        <w:textAlignment w:val="auto"/>
        <w:rPr>
          <w:rFonts w:hint="eastAsia" w:ascii="宋体" w:hAnsi="宋体" w:eastAsia="宋体" w:cs="宋体"/>
          <w:color w:val="auto"/>
          <w:sz w:val="24"/>
          <w:highlight w:val="none"/>
          <w:lang w:eastAsia="zh-CN"/>
        </w:rPr>
      </w:pPr>
      <w:r>
        <w:rPr>
          <w:rFonts w:hint="eastAsia" w:ascii="宋体" w:hAnsi="宋体" w:cs="宋体"/>
          <w:b/>
          <w:bCs/>
          <w:color w:val="auto"/>
          <w:sz w:val="24"/>
          <w:highlight w:val="none"/>
        </w:rPr>
        <w:t>项目编号：</w:t>
      </w:r>
      <w:r>
        <w:rPr>
          <w:rFonts w:hint="eastAsia" w:ascii="宋体" w:hAnsi="宋体" w:cs="宋体"/>
          <w:color w:val="auto"/>
          <w:sz w:val="24"/>
          <w:highlight w:val="none"/>
          <w:lang w:eastAsia="zh-CN"/>
        </w:rPr>
        <w:t>DYCYCG2025-GK-07</w:t>
      </w:r>
    </w:p>
    <w:p w14:paraId="1D4D67DA">
      <w:pPr>
        <w:keepNext w:val="0"/>
        <w:keepLines w:val="0"/>
        <w:pageBreakBefore w:val="0"/>
        <w:kinsoku/>
        <w:wordWrap/>
        <w:overflowPunct/>
        <w:topLinePunct w:val="0"/>
        <w:autoSpaceDE/>
        <w:autoSpaceDN/>
        <w:bidi w:val="0"/>
        <w:spacing w:line="440" w:lineRule="exact"/>
        <w:textAlignment w:val="auto"/>
        <w:rPr>
          <w:rFonts w:hint="eastAsia" w:ascii="宋体" w:hAnsi="宋体" w:cs="宋体"/>
          <w:b/>
          <w:bCs/>
          <w:color w:val="auto"/>
          <w:sz w:val="24"/>
          <w:highlight w:val="none"/>
          <w:lang w:eastAsia="zh-CN"/>
        </w:rPr>
      </w:pPr>
      <w:r>
        <w:rPr>
          <w:rFonts w:hint="eastAsia" w:ascii="宋体" w:hAnsi="宋体" w:cs="宋体"/>
          <w:b/>
          <w:bCs/>
          <w:color w:val="auto"/>
          <w:sz w:val="24"/>
          <w:highlight w:val="none"/>
        </w:rPr>
        <w:t>项目名称：</w:t>
      </w:r>
      <w:r>
        <w:rPr>
          <w:rFonts w:hint="eastAsia" w:ascii="宋体" w:hAnsi="宋体" w:cs="宋体"/>
          <w:color w:val="auto"/>
          <w:sz w:val="24"/>
          <w:highlight w:val="none"/>
          <w:lang w:eastAsia="zh-CN"/>
        </w:rPr>
        <w:t>笠里小区环村路道路工程项目</w:t>
      </w:r>
    </w:p>
    <w:p w14:paraId="25291A1E">
      <w:pPr>
        <w:keepNext w:val="0"/>
        <w:keepLines w:val="0"/>
        <w:pageBreakBefore w:val="0"/>
        <w:kinsoku/>
        <w:wordWrap/>
        <w:overflowPunct/>
        <w:topLinePunct w:val="0"/>
        <w:autoSpaceDE/>
        <w:autoSpaceDN/>
        <w:bidi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采购方式：竞争性磋商</w:t>
      </w:r>
    </w:p>
    <w:p w14:paraId="26ADB9DE">
      <w:pPr>
        <w:keepNext w:val="0"/>
        <w:keepLines w:val="0"/>
        <w:pageBreakBefore w:val="0"/>
        <w:kinsoku/>
        <w:wordWrap/>
        <w:overflowPunct/>
        <w:topLinePunct w:val="0"/>
        <w:autoSpaceDE/>
        <w:autoSpaceDN/>
        <w:bidi w:val="0"/>
        <w:spacing w:line="440" w:lineRule="exact"/>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预算金额（元）：</w:t>
      </w:r>
      <w:r>
        <w:rPr>
          <w:rFonts w:hint="eastAsia" w:ascii="宋体" w:hAnsi="宋体" w:cs="宋体"/>
          <w:b/>
          <w:bCs/>
          <w:color w:val="auto"/>
          <w:sz w:val="24"/>
          <w:highlight w:val="none"/>
          <w:lang w:val="en-US" w:eastAsia="zh-CN"/>
        </w:rPr>
        <w:t>890075</w:t>
      </w:r>
      <w:r>
        <w:rPr>
          <w:rFonts w:hint="eastAsia" w:ascii="宋体" w:hAnsi="宋体" w:cs="宋体"/>
          <w:b/>
          <w:bCs/>
          <w:color w:val="auto"/>
          <w:sz w:val="24"/>
          <w:highlight w:val="none"/>
        </w:rPr>
        <w:t>.00</w:t>
      </w:r>
    </w:p>
    <w:p w14:paraId="3608B681">
      <w:pPr>
        <w:keepNext w:val="0"/>
        <w:keepLines w:val="0"/>
        <w:pageBreakBefore w:val="0"/>
        <w:kinsoku/>
        <w:wordWrap/>
        <w:overflowPunct/>
        <w:topLinePunct w:val="0"/>
        <w:autoSpaceDE/>
        <w:autoSpaceDN/>
        <w:bidi w:val="0"/>
        <w:spacing w:line="440" w:lineRule="exact"/>
        <w:textAlignment w:val="auto"/>
        <w:rPr>
          <w:rFonts w:hint="default" w:ascii="宋体" w:hAnsi="宋体" w:eastAsia="宋体" w:cs="宋体"/>
          <w:b/>
          <w:bCs/>
          <w:color w:val="auto"/>
          <w:sz w:val="24"/>
          <w:highlight w:val="none"/>
          <w:lang w:val="en-US" w:eastAsia="zh-CN"/>
        </w:rPr>
      </w:pPr>
      <w:r>
        <w:rPr>
          <w:rFonts w:hint="eastAsia" w:ascii="宋体" w:hAnsi="宋体" w:cs="宋体"/>
          <w:b/>
          <w:bCs/>
          <w:color w:val="auto"/>
          <w:sz w:val="24"/>
          <w:highlight w:val="none"/>
        </w:rPr>
        <w:t>最高限价（元）：</w:t>
      </w:r>
      <w:r>
        <w:rPr>
          <w:rFonts w:hint="eastAsia" w:ascii="宋体" w:hAnsi="宋体" w:cs="宋体"/>
          <w:b/>
          <w:bCs/>
          <w:color w:val="auto"/>
          <w:sz w:val="24"/>
          <w:highlight w:val="none"/>
          <w:lang w:val="en-US" w:eastAsia="zh-CN"/>
        </w:rPr>
        <w:t>837981</w:t>
      </w:r>
      <w:r>
        <w:rPr>
          <w:rFonts w:hint="eastAsia" w:ascii="宋体" w:hAnsi="宋体" w:cs="宋体"/>
          <w:b/>
          <w:bCs/>
          <w:color w:val="auto"/>
          <w:sz w:val="24"/>
          <w:highlight w:val="none"/>
        </w:rPr>
        <w:t>.00</w:t>
      </w:r>
    </w:p>
    <w:p w14:paraId="74CF2138">
      <w:pPr>
        <w:pStyle w:val="16"/>
        <w:keepNext w:val="0"/>
        <w:keepLines w:val="0"/>
        <w:pageBreakBefore w:val="0"/>
        <w:kinsoku/>
        <w:wordWrap/>
        <w:overflowPunct/>
        <w:topLinePunct w:val="0"/>
        <w:autoSpaceDE/>
        <w:autoSpaceDN/>
        <w:bidi w:val="0"/>
        <w:spacing w:line="440" w:lineRule="exact"/>
        <w:textAlignment w:val="auto"/>
        <w:rPr>
          <w:rFonts w:ascii="宋体" w:hAnsi="宋体" w:cs="宋体"/>
          <w:color w:val="auto"/>
          <w:sz w:val="24"/>
          <w:highlight w:val="none"/>
        </w:rPr>
      </w:pPr>
      <w:r>
        <w:rPr>
          <w:rFonts w:hint="eastAsia" w:ascii="宋体" w:hAnsi="宋体" w:cs="宋体"/>
          <w:b/>
          <w:bCs/>
          <w:color w:val="auto"/>
          <w:sz w:val="24"/>
          <w:highlight w:val="none"/>
        </w:rPr>
        <w:t>采购需求：</w:t>
      </w:r>
    </w:p>
    <w:p w14:paraId="18BBBF56">
      <w:pPr>
        <w:pStyle w:val="16"/>
        <w:keepNext w:val="0"/>
        <w:keepLines w:val="0"/>
        <w:pageBreakBefore w:val="0"/>
        <w:kinsoku/>
        <w:wordWrap/>
        <w:overflowPunct/>
        <w:topLinePunct w:val="0"/>
        <w:autoSpaceDE/>
        <w:autoSpaceDN/>
        <w:bidi w:val="0"/>
        <w:spacing w:line="440" w:lineRule="exact"/>
        <w:ind w:firstLine="480"/>
        <w:textAlignment w:val="auto"/>
        <w:rPr>
          <w:rFonts w:hint="eastAsia" w:ascii="宋体" w:hAnsi="宋体" w:cs="宋体"/>
          <w:color w:val="auto"/>
          <w:sz w:val="24"/>
          <w:highlight w:val="none"/>
          <w:lang w:eastAsia="zh-CN"/>
        </w:rPr>
      </w:pPr>
      <w:r>
        <w:rPr>
          <w:rFonts w:hint="eastAsia" w:ascii="宋体" w:hAnsi="宋体" w:cs="宋体"/>
          <w:color w:val="auto"/>
          <w:sz w:val="24"/>
          <w:highlight w:val="none"/>
        </w:rPr>
        <w:t>标项名称：</w:t>
      </w:r>
      <w:r>
        <w:rPr>
          <w:rFonts w:hint="eastAsia" w:ascii="宋体" w:hAnsi="宋体" w:cs="宋体"/>
          <w:color w:val="auto"/>
          <w:sz w:val="24"/>
          <w:highlight w:val="none"/>
          <w:lang w:eastAsia="zh-CN"/>
        </w:rPr>
        <w:t>笠里小区环村路道路工程项目</w:t>
      </w:r>
    </w:p>
    <w:p w14:paraId="6BF7D5CE">
      <w:pPr>
        <w:pStyle w:val="16"/>
        <w:keepNext w:val="0"/>
        <w:keepLines w:val="0"/>
        <w:pageBreakBefore w:val="0"/>
        <w:kinsoku/>
        <w:wordWrap/>
        <w:overflowPunct/>
        <w:topLinePunct w:val="0"/>
        <w:autoSpaceDE/>
        <w:autoSpaceDN/>
        <w:bidi w:val="0"/>
        <w:spacing w:line="44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数量：1项</w:t>
      </w:r>
    </w:p>
    <w:p w14:paraId="43166EF9">
      <w:pPr>
        <w:pStyle w:val="16"/>
        <w:keepNext w:val="0"/>
        <w:keepLines w:val="0"/>
        <w:pageBreakBefore w:val="0"/>
        <w:kinsoku/>
        <w:wordWrap/>
        <w:overflowPunct/>
        <w:topLinePunct w:val="0"/>
        <w:autoSpaceDE/>
        <w:autoSpaceDN/>
        <w:bidi w:val="0"/>
        <w:spacing w:line="440" w:lineRule="exact"/>
        <w:ind w:firstLine="480"/>
        <w:textAlignment w:val="auto"/>
        <w:rPr>
          <w:rFonts w:hint="default" w:ascii="宋体" w:hAnsi="宋体" w:eastAsia="宋体" w:cs="宋体"/>
          <w:b/>
          <w:bCs/>
          <w:color w:val="auto"/>
          <w:kern w:val="2"/>
          <w:sz w:val="24"/>
          <w:szCs w:val="24"/>
          <w:highlight w:val="none"/>
          <w:lang w:val="en-US" w:eastAsia="zh-CN" w:bidi="ar-SA"/>
        </w:rPr>
      </w:pPr>
      <w:r>
        <w:rPr>
          <w:rFonts w:hint="eastAsia" w:ascii="宋体" w:hAnsi="宋体" w:cs="宋体"/>
          <w:color w:val="auto"/>
          <w:sz w:val="24"/>
          <w:highlight w:val="none"/>
        </w:rPr>
        <w:t>预算金额（元）：</w:t>
      </w:r>
      <w:r>
        <w:rPr>
          <w:rFonts w:hint="eastAsia" w:ascii="宋体" w:hAnsi="宋体" w:cs="宋体"/>
          <w:b/>
          <w:bCs/>
          <w:color w:val="auto"/>
          <w:sz w:val="24"/>
          <w:highlight w:val="none"/>
          <w:lang w:val="en-US" w:eastAsia="zh-CN"/>
        </w:rPr>
        <w:t>890075</w:t>
      </w:r>
      <w:r>
        <w:rPr>
          <w:rFonts w:hint="eastAsia" w:ascii="宋体" w:hAnsi="宋体" w:eastAsia="宋体" w:cs="宋体"/>
          <w:b/>
          <w:bCs/>
          <w:color w:val="auto"/>
          <w:kern w:val="2"/>
          <w:sz w:val="24"/>
          <w:szCs w:val="24"/>
          <w:highlight w:val="none"/>
          <w:lang w:val="en-US" w:eastAsia="zh-CN" w:bidi="ar-SA"/>
        </w:rPr>
        <w:t>.00</w:t>
      </w:r>
    </w:p>
    <w:p w14:paraId="76799DF4">
      <w:pPr>
        <w:pStyle w:val="16"/>
        <w:keepNext w:val="0"/>
        <w:keepLines w:val="0"/>
        <w:pageBreakBefore w:val="0"/>
        <w:kinsoku/>
        <w:wordWrap/>
        <w:overflowPunct/>
        <w:topLinePunct w:val="0"/>
        <w:autoSpaceDE/>
        <w:autoSpaceDN/>
        <w:bidi w:val="0"/>
        <w:spacing w:line="44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简要规格描述或项目基本概况介绍、用途：具体要求详见第</w:t>
      </w:r>
      <w:r>
        <w:rPr>
          <w:rFonts w:hint="eastAsia" w:ascii="宋体" w:hAnsi="宋体" w:cs="宋体"/>
          <w:color w:val="auto"/>
          <w:sz w:val="24"/>
          <w:highlight w:val="none"/>
          <w:lang w:val="en-US" w:eastAsia="zh-CN"/>
        </w:rPr>
        <w:t>二</w:t>
      </w:r>
      <w:r>
        <w:rPr>
          <w:rFonts w:hint="eastAsia" w:ascii="宋体" w:hAnsi="宋体" w:cs="宋体"/>
          <w:color w:val="auto"/>
          <w:sz w:val="24"/>
          <w:highlight w:val="none"/>
        </w:rPr>
        <w:t>章招标需求</w:t>
      </w:r>
    </w:p>
    <w:p w14:paraId="31CD3273">
      <w:pPr>
        <w:pStyle w:val="16"/>
        <w:keepNext w:val="0"/>
        <w:keepLines w:val="0"/>
        <w:pageBreakBefore w:val="0"/>
        <w:kinsoku/>
        <w:wordWrap/>
        <w:overflowPunct/>
        <w:topLinePunct w:val="0"/>
        <w:autoSpaceDE/>
        <w:autoSpaceDN/>
        <w:bidi w:val="0"/>
        <w:spacing w:line="44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备注：</w:t>
      </w:r>
    </w:p>
    <w:p w14:paraId="37B7A38C">
      <w:pPr>
        <w:pStyle w:val="16"/>
        <w:keepNext w:val="0"/>
        <w:keepLines w:val="0"/>
        <w:pageBreakBefore w:val="0"/>
        <w:kinsoku/>
        <w:wordWrap/>
        <w:overflowPunct/>
        <w:topLinePunct w:val="0"/>
        <w:autoSpaceDE/>
        <w:autoSpaceDN/>
        <w:bidi w:val="0"/>
        <w:spacing w:line="440" w:lineRule="exact"/>
        <w:ind w:firstLine="480"/>
        <w:textAlignment w:val="auto"/>
        <w:rPr>
          <w:rFonts w:ascii="宋体" w:hAnsi="宋体" w:cs="宋体"/>
          <w:color w:val="auto"/>
          <w:sz w:val="24"/>
          <w:highlight w:val="none"/>
        </w:rPr>
      </w:pPr>
      <w:r>
        <w:rPr>
          <w:rFonts w:hint="eastAsia" w:ascii="宋体" w:hAnsi="宋体" w:cs="宋体"/>
          <w:color w:val="auto"/>
          <w:sz w:val="24"/>
          <w:highlight w:val="none"/>
        </w:rPr>
        <w:t>合同履约期限：详见竞争性磋商文件</w:t>
      </w:r>
    </w:p>
    <w:p w14:paraId="3497E52A">
      <w:pPr>
        <w:pStyle w:val="16"/>
        <w:keepNext w:val="0"/>
        <w:keepLines w:val="0"/>
        <w:pageBreakBefore w:val="0"/>
        <w:kinsoku/>
        <w:wordWrap/>
        <w:overflowPunct/>
        <w:topLinePunct w:val="0"/>
        <w:autoSpaceDE/>
        <w:autoSpaceDN/>
        <w:bidi w:val="0"/>
        <w:spacing w:line="440" w:lineRule="exact"/>
        <w:ind w:firstLine="480"/>
        <w:textAlignment w:val="auto"/>
        <w:rPr>
          <w:rFonts w:hint="eastAsia" w:ascii="宋体" w:hAnsi="宋体" w:cs="宋体"/>
          <w:color w:val="auto"/>
          <w:sz w:val="24"/>
          <w:highlight w:val="none"/>
        </w:rPr>
      </w:pPr>
      <w:r>
        <w:rPr>
          <w:rFonts w:hint="eastAsia" w:ascii="宋体" w:hAnsi="宋体" w:cs="宋体"/>
          <w:color w:val="auto"/>
          <w:sz w:val="24"/>
          <w:highlight w:val="none"/>
        </w:rPr>
        <w:t xml:space="preserve">本项目（是）接受联合体投标。  </w:t>
      </w:r>
    </w:p>
    <w:p w14:paraId="7E099AE6">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strike/>
          <w:color w:val="auto"/>
          <w:sz w:val="24"/>
          <w:highlight w:val="none"/>
        </w:rPr>
      </w:pPr>
      <w:r>
        <w:rPr>
          <w:rFonts w:hint="eastAsia" w:ascii="宋体" w:hAnsi="宋体" w:cs="宋体"/>
          <w:b/>
          <w:bCs/>
          <w:color w:val="auto"/>
          <w:sz w:val="24"/>
          <w:highlight w:val="none"/>
        </w:rPr>
        <w:t xml:space="preserve">二、申请人的资格要求： </w:t>
      </w:r>
    </w:p>
    <w:p w14:paraId="77C3C34B">
      <w:pPr>
        <w:pStyle w:val="16"/>
        <w:keepNext w:val="0"/>
        <w:keepLines w:val="0"/>
        <w:pageBreakBefore w:val="0"/>
        <w:kinsoku/>
        <w:wordWrap/>
        <w:overflowPunct/>
        <w:topLinePunct w:val="0"/>
        <w:autoSpaceDE/>
        <w:autoSpaceDN/>
        <w:bidi w:val="0"/>
        <w:spacing w:line="440" w:lineRule="exact"/>
        <w:ind w:firstLine="720" w:firstLineChars="300"/>
        <w:textAlignment w:val="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r>
        <w:rPr>
          <w:rFonts w:hint="eastAsia" w:ascii="宋体" w:hAnsi="宋体" w:cs="宋体"/>
          <w:color w:val="auto"/>
          <w:sz w:val="24"/>
          <w:highlight w:val="none"/>
          <w:lang w:eastAsia="zh-CN"/>
        </w:rPr>
        <w:t>（磋商响应方自202</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年1月1日以来在建设工程招投标领域有行政处罚记录、重大违法记录的作无效标处理；供应商自202</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年1月1日以来供应商存在串标、围标等不良行为未被处罚的也作无效标处理。</w:t>
      </w:r>
      <w:r>
        <w:rPr>
          <w:rFonts w:hint="eastAsia" w:ascii="宋体" w:hAnsi="宋体" w:eastAsia="宋体" w:cs="宋体"/>
          <w:color w:val="auto"/>
          <w:kern w:val="2"/>
          <w:sz w:val="24"/>
          <w:szCs w:val="24"/>
          <w:highlight w:val="none"/>
          <w:lang w:val="en-US" w:eastAsia="zh-CN" w:bidi="ar-SA"/>
        </w:rPr>
        <w:t>（以省级及以上政府采购网和信用中国查询截图为准）</w:t>
      </w:r>
      <w:r>
        <w:rPr>
          <w:rFonts w:hint="eastAsia" w:ascii="宋体" w:hAnsi="宋体" w:cs="宋体"/>
          <w:color w:val="auto"/>
          <w:sz w:val="24"/>
          <w:highlight w:val="none"/>
          <w:lang w:eastAsia="zh-CN"/>
        </w:rPr>
        <w:t>）</w:t>
      </w:r>
    </w:p>
    <w:p w14:paraId="0B1AF4F4">
      <w:pPr>
        <w:keepNext w:val="0"/>
        <w:keepLines w:val="0"/>
        <w:pageBreakBefore w:val="0"/>
        <w:kinsoku/>
        <w:wordWrap/>
        <w:overflowPunct/>
        <w:topLinePunct w:val="0"/>
        <w:autoSpaceDE/>
        <w:autoSpaceDN/>
        <w:bidi w:val="0"/>
        <w:spacing w:line="440" w:lineRule="exact"/>
        <w:ind w:firstLine="723" w:firstLineChars="3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cs="宋体"/>
          <w:b/>
          <w:bCs/>
          <w:color w:val="auto"/>
          <w:sz w:val="24"/>
          <w:highlight w:val="none"/>
        </w:rPr>
        <w:t>▲</w:t>
      </w:r>
      <w:r>
        <w:rPr>
          <w:rFonts w:hint="eastAsia" w:ascii="宋体" w:hAnsi="宋体" w:eastAsia="宋体" w:cs="宋体"/>
          <w:color w:val="auto"/>
          <w:kern w:val="2"/>
          <w:sz w:val="24"/>
          <w:szCs w:val="24"/>
          <w:highlight w:val="none"/>
          <w:lang w:val="en-US" w:eastAsia="zh-CN" w:bidi="ar-SA"/>
        </w:rPr>
        <w:t>2、落实政府采购政策需满足的资格要求：</w:t>
      </w:r>
    </w:p>
    <w:p w14:paraId="30A9242B">
      <w:pPr>
        <w:pStyle w:val="16"/>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A、本项目专门面向中小微企业，服务全部由符合政策要求的中小微企业提供，供应商参加投标时，投标文件中须提供中小企业声明函。</w:t>
      </w:r>
    </w:p>
    <w:p w14:paraId="2C4499C5">
      <w:pPr>
        <w:pStyle w:val="16"/>
        <w:keepNext w:val="0"/>
        <w:keepLines w:val="0"/>
        <w:pageBreakBefore w:val="0"/>
        <w:kinsoku/>
        <w:wordWrap/>
        <w:overflowPunct/>
        <w:topLinePunct w:val="0"/>
        <w:autoSpaceDE/>
        <w:autoSpaceDN/>
        <w:bidi w:val="0"/>
        <w:adjustRightInd/>
        <w:spacing w:line="420" w:lineRule="exact"/>
        <w:ind w:firstLine="720" w:firstLineChars="300"/>
        <w:textAlignment w:val="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B、本项目接收接受中型企业与小微企业组成联合体投标，接受中型企业向一家或者多家小微企业分包。组成联合体投标的，需提供联合协议和中小企业声明函；向小微企业分包的，提供分包意向协议和中小企业声明函。本项目已对中小微企业进行预留，不再重复享受价格扣除的优惠政策。</w:t>
      </w:r>
    </w:p>
    <w:p w14:paraId="4E8004DB">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cs="宋体"/>
          <w:b/>
          <w:bCs/>
          <w:color w:val="auto"/>
          <w:sz w:val="24"/>
          <w:highlight w:val="none"/>
        </w:rPr>
      </w:pPr>
      <w:r>
        <w:rPr>
          <w:rFonts w:hint="eastAsia" w:ascii="宋体" w:hAnsi="宋体" w:cs="宋体"/>
          <w:b/>
          <w:bCs/>
          <w:color w:val="auto"/>
          <w:sz w:val="24"/>
          <w:highlight w:val="none"/>
        </w:rPr>
        <w:t xml:space="preserve">▲3、本项目的特定资格要求：   </w:t>
      </w:r>
    </w:p>
    <w:p w14:paraId="2010FE74">
      <w:pPr>
        <w:pStyle w:val="16"/>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（1）磋商</w:t>
      </w:r>
      <w:r>
        <w:rPr>
          <w:rFonts w:hint="eastAsia" w:ascii="宋体" w:hAnsi="宋体"/>
          <w:color w:val="auto"/>
          <w:sz w:val="24"/>
          <w:highlight w:val="none"/>
        </w:rPr>
        <w:t>响应方</w:t>
      </w:r>
      <w:r>
        <w:rPr>
          <w:rFonts w:hint="eastAsia" w:ascii="宋体" w:hAnsi="宋体" w:cs="宋体"/>
          <w:color w:val="auto"/>
          <w:sz w:val="24"/>
          <w:highlight w:val="none"/>
        </w:rPr>
        <w:t>具备市政工程施工总承包叁级及以上资质。</w:t>
      </w:r>
    </w:p>
    <w:p w14:paraId="18CC39A9">
      <w:pPr>
        <w:pStyle w:val="16"/>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（2）磋商响应方具备有效的企业安全生产许可证。</w:t>
      </w:r>
    </w:p>
    <w:p w14:paraId="58BEA2FA">
      <w:pPr>
        <w:pStyle w:val="16"/>
        <w:keepNext w:val="0"/>
        <w:keepLines w:val="0"/>
        <w:pageBreakBefore w:val="0"/>
        <w:kinsoku/>
        <w:wordWrap/>
        <w:overflowPunct/>
        <w:topLinePunct w:val="0"/>
        <w:autoSpaceDE/>
        <w:autoSpaceDN/>
        <w:bidi w:val="0"/>
        <w:spacing w:line="440" w:lineRule="exact"/>
        <w:ind w:firstLine="480" w:firstLineChars="2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eastAsia="宋体" w:cs="宋体"/>
          <w:color w:val="auto"/>
          <w:sz w:val="24"/>
          <w:highlight w:val="none"/>
        </w:rPr>
        <w:t>）磋商响应方须为浙江政府采购网注册的正式供应商或承诺中标后30天内注册为浙江政府采购网正式供应商。</w:t>
      </w:r>
    </w:p>
    <w:p w14:paraId="0B861EAD">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 xml:space="preserve">三、获取磋商文件： </w:t>
      </w:r>
    </w:p>
    <w:p w14:paraId="072BC095">
      <w:pPr>
        <w:keepNext w:val="0"/>
        <w:keepLines w:val="0"/>
        <w:pageBreakBefore w:val="0"/>
        <w:kinsoku/>
        <w:wordWrap/>
        <w:overflowPunct/>
        <w:topLinePunct w:val="0"/>
        <w:autoSpaceDE/>
        <w:autoSpaceDN/>
        <w:bidi w:val="0"/>
        <w:spacing w:line="440" w:lineRule="exact"/>
        <w:ind w:firstLine="640"/>
        <w:textAlignment w:val="auto"/>
        <w:rPr>
          <w:rFonts w:ascii="宋体" w:hAnsi="宋体" w:cs="宋体"/>
          <w:color w:val="auto"/>
          <w:sz w:val="24"/>
          <w:highlight w:val="none"/>
        </w:rPr>
      </w:pPr>
      <w:r>
        <w:rPr>
          <w:rFonts w:hint="eastAsia" w:ascii="宋体" w:hAnsi="宋体" w:cs="宋体"/>
          <w:color w:val="auto"/>
          <w:sz w:val="24"/>
          <w:highlight w:val="none"/>
        </w:rPr>
        <w:t>时间：/至</w:t>
      </w:r>
      <w:r>
        <w:rPr>
          <w:rFonts w:hint="eastAsia" w:ascii="宋体" w:hAnsi="宋体" w:cs="宋体"/>
          <w:color w:val="auto"/>
          <w:sz w:val="24"/>
          <w:highlight w:val="none"/>
          <w:lang w:eastAsia="zh-CN"/>
        </w:rPr>
        <w:t>2025年4月1日9时00分</w:t>
      </w:r>
      <w:r>
        <w:rPr>
          <w:rFonts w:hint="eastAsia" w:ascii="宋体" w:hAnsi="宋体" w:cs="宋体"/>
          <w:color w:val="auto"/>
          <w:sz w:val="24"/>
          <w:highlight w:val="none"/>
        </w:rPr>
        <w:t>，每天上午00：00至12:00，下午12:00至23:59（北京时间，线上获取法定节假日均可，线下获取文件法定节假日除外）</w:t>
      </w:r>
    </w:p>
    <w:p w14:paraId="2DBCD50C">
      <w:pPr>
        <w:keepNext w:val="0"/>
        <w:keepLines w:val="0"/>
        <w:pageBreakBefore w:val="0"/>
        <w:kinsoku/>
        <w:wordWrap/>
        <w:overflowPunct/>
        <w:topLinePunct w:val="0"/>
        <w:autoSpaceDE/>
        <w:autoSpaceDN/>
        <w:bidi w:val="0"/>
        <w:spacing w:line="440" w:lineRule="exact"/>
        <w:ind w:firstLine="640"/>
        <w:textAlignment w:val="auto"/>
        <w:rPr>
          <w:rFonts w:ascii="宋体" w:hAnsi="宋体" w:cs="宋体"/>
          <w:color w:val="auto"/>
          <w:sz w:val="24"/>
          <w:highlight w:val="none"/>
        </w:rPr>
      </w:pPr>
      <w:r>
        <w:rPr>
          <w:rFonts w:hint="eastAsia" w:ascii="宋体" w:hAnsi="宋体" w:cs="宋体"/>
          <w:color w:val="auto"/>
          <w:sz w:val="24"/>
          <w:highlight w:val="none"/>
        </w:rPr>
        <w:t>地点（网址）：浙江政府采购网（http://zfcg.czt.zj.gov.cn/）； 东阳市公共资源交易网(http://www.dongyang.gov.cn/ggzyjy/index.html)</w:t>
      </w:r>
    </w:p>
    <w:p w14:paraId="35EF977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方式：1、由供应商通过登录浙江省政府采购网(http://zfcg.czt.zj.gov.cn/)上的政采云系统进行获取（首次参加谈判的单位应先登录浙江省政府采购网(http://zfcg.czt.zj.gov.cn/)进行账户注册，注册完毕待审核成功后方可登录政采云系统获取；注册流程见网址</w:t>
      </w:r>
    </w:p>
    <w:p w14:paraId="687D3BC4">
      <w:pPr>
        <w:keepNext w:val="0"/>
        <w:keepLines w:val="0"/>
        <w:pageBreakBefore w:val="0"/>
        <w:kinsoku/>
        <w:wordWrap/>
        <w:overflowPunct/>
        <w:topLinePunct w:val="0"/>
        <w:autoSpaceDE/>
        <w:autoSpaceDN/>
        <w:bidi w:val="0"/>
        <w:snapToGrid w:val="0"/>
        <w:spacing w:line="440" w:lineRule="exact"/>
        <w:textAlignment w:val="auto"/>
        <w:rPr>
          <w:rFonts w:ascii="宋体" w:hAnsi="宋体" w:cs="宋体"/>
          <w:color w:val="auto"/>
          <w:sz w:val="24"/>
          <w:highlight w:val="none"/>
        </w:rPr>
      </w:pPr>
      <w:r>
        <w:rPr>
          <w:rFonts w:hint="eastAsia" w:ascii="宋体" w:hAnsi="宋体" w:cs="宋体"/>
          <w:color w:val="auto"/>
          <w:sz w:val="24"/>
          <w:highlight w:val="none"/>
        </w:rPr>
        <w:t>http://zfcg.czt.zj.gov.cn/register/2017-07-24/6728.html?_=2017-11-13%2011:10:28）；</w:t>
      </w:r>
    </w:p>
    <w:p w14:paraId="45236EEE">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highlight w:val="none"/>
        </w:rPr>
      </w:pPr>
      <w:r>
        <w:rPr>
          <w:rFonts w:hint="eastAsia" w:ascii="宋体" w:hAnsi="宋体" w:cs="宋体"/>
          <w:color w:val="auto"/>
          <w:sz w:val="24"/>
          <w:highlight w:val="none"/>
        </w:rPr>
        <w:t>2、竞争性磋商文件获取流程：浙江政府采购网-政采云用户登录-用户中心-项目采购-获取采购文件管理。</w:t>
      </w:r>
    </w:p>
    <w:p w14:paraId="6CE93EB3">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3、浙江政府采购网上以“游客”身份获取的采购文件仅供阅览；潜在供应商应按上述方式获取采购文件；未按上述方式获取采购文件的，不得对采购文件提起质疑投诉。</w:t>
      </w:r>
    </w:p>
    <w:p w14:paraId="634FABD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 xml:space="preserve"> 售价（元）：0</w:t>
      </w:r>
    </w:p>
    <w:p w14:paraId="752C16C6">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四、响应文件提交</w:t>
      </w:r>
    </w:p>
    <w:p w14:paraId="433D449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截止时间：</w:t>
      </w:r>
      <w:r>
        <w:rPr>
          <w:rFonts w:hint="eastAsia" w:ascii="宋体" w:hAnsi="宋体" w:cs="宋体"/>
          <w:color w:val="auto"/>
          <w:sz w:val="24"/>
          <w:highlight w:val="none"/>
          <w:lang w:eastAsia="zh-CN"/>
        </w:rPr>
        <w:t>2025年4月1日9时00分</w:t>
      </w:r>
      <w:r>
        <w:rPr>
          <w:rFonts w:hint="eastAsia" w:ascii="宋体" w:hAnsi="宋体" w:cs="宋体"/>
          <w:color w:val="auto"/>
          <w:sz w:val="24"/>
          <w:highlight w:val="none"/>
        </w:rPr>
        <w:t xml:space="preserve"> （北京时间）</w:t>
      </w:r>
    </w:p>
    <w:p w14:paraId="2B65B498">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地点（网址）：政采云平台</w:t>
      </w:r>
    </w:p>
    <w:p w14:paraId="4207BBB7">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五、响应文件开启</w:t>
      </w:r>
    </w:p>
    <w:p w14:paraId="5DF3219E">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ascii="宋体" w:hAnsi="宋体" w:cs="宋体"/>
          <w:color w:val="auto"/>
          <w:sz w:val="24"/>
          <w:highlight w:val="none"/>
        </w:rPr>
      </w:pPr>
      <w:r>
        <w:rPr>
          <w:rFonts w:hint="eastAsia" w:ascii="宋体" w:hAnsi="宋体" w:cs="宋体"/>
          <w:b/>
          <w:bCs/>
          <w:color w:val="auto"/>
          <w:sz w:val="24"/>
          <w:highlight w:val="none"/>
        </w:rPr>
        <w:t>开启时间：</w:t>
      </w:r>
      <w:r>
        <w:rPr>
          <w:rFonts w:hint="eastAsia" w:ascii="宋体" w:hAnsi="宋体" w:cs="宋体"/>
          <w:color w:val="auto"/>
          <w:sz w:val="24"/>
          <w:highlight w:val="none"/>
          <w:lang w:eastAsia="zh-CN"/>
        </w:rPr>
        <w:t>2025年4月1日9时00分</w:t>
      </w:r>
      <w:r>
        <w:rPr>
          <w:rFonts w:hint="eastAsia" w:ascii="宋体" w:hAnsi="宋体" w:cs="宋体"/>
          <w:color w:val="auto"/>
          <w:sz w:val="24"/>
          <w:highlight w:val="none"/>
        </w:rPr>
        <w:t>（北京时间）</w:t>
      </w:r>
    </w:p>
    <w:p w14:paraId="44DCB1AD">
      <w:pPr>
        <w:keepNext w:val="0"/>
        <w:keepLines w:val="0"/>
        <w:pageBreakBefore w:val="0"/>
        <w:kinsoku/>
        <w:wordWrap/>
        <w:overflowPunct/>
        <w:topLinePunct w:val="0"/>
        <w:autoSpaceDE/>
        <w:autoSpaceDN/>
        <w:bidi w:val="0"/>
        <w:snapToGrid w:val="0"/>
        <w:spacing w:line="440" w:lineRule="exact"/>
        <w:ind w:firstLine="481"/>
        <w:textAlignment w:val="auto"/>
        <w:rPr>
          <w:rFonts w:ascii="宋体" w:hAnsi="宋体" w:cs="宋体"/>
          <w:color w:val="auto"/>
          <w:sz w:val="24"/>
          <w:highlight w:val="none"/>
        </w:rPr>
      </w:pPr>
      <w:r>
        <w:rPr>
          <w:rFonts w:hint="eastAsia" w:ascii="宋体" w:hAnsi="宋体" w:cs="宋体"/>
          <w:color w:val="auto"/>
          <w:sz w:val="24"/>
          <w:highlight w:val="none"/>
        </w:rPr>
        <w:t>地点（网址）：政采云平台</w:t>
      </w:r>
    </w:p>
    <w:p w14:paraId="27185B35">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六、采购意向公开链接</w:t>
      </w:r>
    </w:p>
    <w:p w14:paraId="4F79FFAB">
      <w:pPr>
        <w:keepNext w:val="0"/>
        <w:keepLines w:val="0"/>
        <w:pageBreakBefore w:val="0"/>
        <w:kinsoku/>
        <w:wordWrap/>
        <w:overflowPunct/>
        <w:topLinePunct w:val="0"/>
        <w:autoSpaceDE/>
        <w:autoSpaceDN/>
        <w:bidi w:val="0"/>
        <w:snapToGrid w:val="0"/>
        <w:spacing w:line="440" w:lineRule="exact"/>
        <w:textAlignment w:val="auto"/>
        <w:rPr>
          <w:rFonts w:hint="eastAsia" w:ascii="宋体" w:hAnsi="宋体" w:cs="宋体"/>
          <w:b/>
          <w:bCs/>
          <w:color w:val="auto"/>
          <w:sz w:val="24"/>
          <w:highlight w:val="none"/>
          <w:u w:val="none"/>
        </w:rPr>
      </w:pPr>
      <w:r>
        <w:rPr>
          <w:rFonts w:hint="eastAsia" w:ascii="宋体" w:hAnsi="宋体" w:cs="宋体"/>
          <w:b/>
          <w:bCs/>
          <w:color w:val="auto"/>
          <w:sz w:val="24"/>
          <w:highlight w:val="none"/>
          <w:u w:val="none"/>
        </w:rPr>
        <w:fldChar w:fldCharType="begin"/>
      </w:r>
      <w:r>
        <w:rPr>
          <w:rFonts w:hint="eastAsia" w:ascii="宋体" w:hAnsi="宋体" w:cs="宋体"/>
          <w:b/>
          <w:bCs/>
          <w:color w:val="auto"/>
          <w:sz w:val="24"/>
          <w:highlight w:val="none"/>
          <w:u w:val="none"/>
        </w:rPr>
        <w:instrText xml:space="preserve"> HYPERLINK "https://zfcg.czt.zj.gov.cn/site/detail?parentId=600007&amp;articleId=9g6uzVNvSo9Oj4E04vs11w%3D%3D" </w:instrText>
      </w:r>
      <w:r>
        <w:rPr>
          <w:rFonts w:hint="eastAsia" w:ascii="宋体" w:hAnsi="宋体" w:cs="宋体"/>
          <w:b/>
          <w:bCs/>
          <w:color w:val="auto"/>
          <w:sz w:val="24"/>
          <w:highlight w:val="none"/>
          <w:u w:val="none"/>
        </w:rPr>
        <w:fldChar w:fldCharType="separate"/>
      </w:r>
      <w:r>
        <w:rPr>
          <w:rStyle w:val="46"/>
          <w:rFonts w:hint="eastAsia" w:ascii="宋体" w:hAnsi="宋体" w:cs="宋体"/>
          <w:b/>
          <w:bCs/>
          <w:sz w:val="24"/>
          <w:highlight w:val="none"/>
        </w:rPr>
        <w:t>https://zfcg.czt.zj.gov.cn/site/detail?parentId=600007&amp;articleId=9g6uzVNvSo9Oj4E04vs11w%3D%3D</w:t>
      </w:r>
      <w:r>
        <w:rPr>
          <w:rFonts w:hint="eastAsia" w:ascii="宋体" w:hAnsi="宋体" w:cs="宋体"/>
          <w:b/>
          <w:bCs/>
          <w:color w:val="auto"/>
          <w:sz w:val="24"/>
          <w:highlight w:val="none"/>
          <w:u w:val="none"/>
        </w:rPr>
        <w:fldChar w:fldCharType="end"/>
      </w:r>
    </w:p>
    <w:p w14:paraId="26DA1542">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七、公告期限</w:t>
      </w:r>
    </w:p>
    <w:p w14:paraId="5064E43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ascii="宋体" w:hAnsi="宋体" w:cs="宋体"/>
          <w:color w:val="auto"/>
          <w:sz w:val="24"/>
          <w:highlight w:val="none"/>
        </w:rPr>
      </w:pPr>
      <w:r>
        <w:rPr>
          <w:rFonts w:hint="eastAsia" w:ascii="宋体" w:hAnsi="宋体" w:cs="宋体"/>
          <w:color w:val="auto"/>
          <w:sz w:val="24"/>
          <w:highlight w:val="none"/>
        </w:rPr>
        <w:t>自本公告发布之日起3个工作日</w:t>
      </w:r>
    </w:p>
    <w:p w14:paraId="7DB96B3E">
      <w:pPr>
        <w:keepNext w:val="0"/>
        <w:keepLines w:val="0"/>
        <w:pageBreakBefore w:val="0"/>
        <w:kinsoku/>
        <w:wordWrap/>
        <w:overflowPunct/>
        <w:topLinePunct w:val="0"/>
        <w:autoSpaceDE/>
        <w:autoSpaceDN/>
        <w:bidi w:val="0"/>
        <w:snapToGrid w:val="0"/>
        <w:spacing w:line="440" w:lineRule="exact"/>
        <w:textAlignment w:val="auto"/>
        <w:rPr>
          <w:rFonts w:ascii="宋体" w:hAnsi="宋体" w:cs="宋体"/>
          <w:b/>
          <w:bCs/>
          <w:color w:val="auto"/>
          <w:sz w:val="24"/>
          <w:highlight w:val="none"/>
        </w:rPr>
      </w:pPr>
      <w:r>
        <w:rPr>
          <w:rFonts w:hint="eastAsia" w:ascii="宋体" w:hAnsi="宋体" w:cs="宋体"/>
          <w:b/>
          <w:bCs/>
          <w:color w:val="auto"/>
          <w:sz w:val="24"/>
          <w:highlight w:val="none"/>
        </w:rPr>
        <w:t>八、其他补充事宜</w:t>
      </w:r>
    </w:p>
    <w:p w14:paraId="417EBDE8">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14D8B7C0">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4940B471">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rPr>
        <w:t>3.供应商认为采购文件使自己的权益受到损害的，可以自获取采购文件之日或者采购公告期限届满之日（公告期限届满后获取采购文件的，以公告期限届满之日为准）起7个工作日内，对采购文件需求的以书面形式向采购人提出质疑，对其他内容的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78968F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其他事项：（1）企业信用融资: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 https://zfcg.czt.zj.gov.cn)的中小企业信用融资栏目了解相关信息。 供应商可以通过浙江政府采购网(https://zfcg. czt.zj. gov.cn/)首页的“浙江政采贷”模块进入申请，还可以通过政府采购云平台(https://www.zcygov.cn/)首页的“金融服务”模块进入申请。</w:t>
      </w:r>
    </w:p>
    <w:p w14:paraId="0C49245B">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根据《浙江省财政厅关于进一步加大政府采购支持中小企业力度助力扎实稳住经济的通知》（浙财采监〔2022〕8号）简化对政府采购供应商资格条件的形式审查，供应商书面承诺符合参与政府采购活动资格条件的，不需要再提供财务状况报告、依法缴纳税收和社会保障资金记录、无重大违法记录等证明材料。</w:t>
      </w:r>
    </w:p>
    <w:p w14:paraId="691FCE4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本项目实行电子磋商，磋商响应文件应按照本项目竞争性磋商文件和政采云平台的要求编制、加密并递交。供应商在使用系统进行谈判的过程中遇到涉及平台使用的任何问题，可致电政采云平台技术支持热线咨询，联系方式：95763。</w:t>
      </w:r>
    </w:p>
    <w:p w14:paraId="3B3C7E06">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（4）供应商应 在 开 标 前 完 成 CA 数 字 证 书 办 理 。 （ 办 理 流 程 详 见http://zfcg.czt.zj.gov.cn/bidClientTemplate/2019-05-27/12945.html）。完成 CA 数字证书办理预计一周左右，建议各供应商抓紧时间办理。</w:t>
      </w:r>
    </w:p>
    <w:p w14:paraId="38D7093D">
      <w:pPr>
        <w:keepNext w:val="0"/>
        <w:keepLines w:val="0"/>
        <w:pageBreakBefore w:val="0"/>
        <w:kinsoku/>
        <w:wordWrap/>
        <w:overflowPunct/>
        <w:topLinePunct w:val="0"/>
        <w:autoSpaceDE/>
        <w:autoSpaceDN/>
        <w:bidi w:val="0"/>
        <w:snapToGrid w:val="0"/>
        <w:spacing w:line="440" w:lineRule="exact"/>
        <w:ind w:firstLine="480" w:firstLineChars="200"/>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（5）供应商通过政采云平台电子磋商工具制作磋商响应文件，电子磋商工具请供应商自行前往浙江省政府采购网下载并安装，（下载网址：http://zfcg.czt.zj.gov.cn/bidClientTemplate/2019-08-30/12975.html），</w:t>
      </w:r>
    </w:p>
    <w:p w14:paraId="5DC8ADFA">
      <w:pPr>
        <w:keepNext w:val="0"/>
        <w:keepLines w:val="0"/>
        <w:pageBreakBefore w:val="0"/>
        <w:kinsoku/>
        <w:wordWrap/>
        <w:overflowPunct/>
        <w:topLinePunct w:val="0"/>
        <w:autoSpaceDE/>
        <w:autoSpaceDN/>
        <w:bidi w:val="0"/>
        <w:snapToGrid w:val="0"/>
        <w:spacing w:line="440" w:lineRule="exact"/>
        <w:textAlignment w:val="auto"/>
        <w:rPr>
          <w:rFonts w:hint="eastAsia" w:ascii="宋体" w:hAnsi="宋体" w:eastAsia="宋体" w:cs="宋体"/>
          <w:color w:val="auto"/>
          <w:kern w:val="2"/>
          <w:sz w:val="24"/>
          <w:szCs w:val="24"/>
          <w:highlight w:val="none"/>
          <w:lang w:val="en-US" w:eastAsia="zh-CN" w:bidi="ar-SA"/>
        </w:rPr>
      </w:pPr>
      <w:r>
        <w:rPr>
          <w:rFonts w:hint="eastAsia" w:ascii="宋体" w:hAnsi="宋体" w:eastAsia="宋体" w:cs="宋体"/>
          <w:color w:val="auto"/>
          <w:kern w:val="2"/>
          <w:sz w:val="24"/>
          <w:szCs w:val="24"/>
          <w:highlight w:val="none"/>
          <w:lang w:val="en-US" w:eastAsia="zh-CN" w:bidi="ar-SA"/>
        </w:rPr>
        <w:t xml:space="preserve">（ 电 子 投 标 相 关 学 习 网 址 ： </w:t>
      </w:r>
      <w:r>
        <w:rPr>
          <w:rFonts w:hint="eastAsia" w:ascii="宋体" w:hAnsi="宋体" w:eastAsia="宋体" w:cs="宋体"/>
          <w:color w:val="auto"/>
          <w:kern w:val="2"/>
          <w:sz w:val="24"/>
          <w:szCs w:val="24"/>
          <w:highlight w:val="none"/>
          <w:lang w:val="en-US" w:eastAsia="zh-CN" w:bidi="ar-SA"/>
        </w:rPr>
        <w:fldChar w:fldCharType="begin"/>
      </w:r>
      <w:r>
        <w:rPr>
          <w:rFonts w:hint="eastAsia" w:ascii="宋体" w:hAnsi="宋体" w:eastAsia="宋体" w:cs="宋体"/>
          <w:color w:val="auto"/>
          <w:kern w:val="2"/>
          <w:sz w:val="24"/>
          <w:szCs w:val="24"/>
          <w:highlight w:val="none"/>
          <w:lang w:val="en-US" w:eastAsia="zh-CN" w:bidi="ar-SA"/>
        </w:rPr>
        <w:instrText xml:space="preserve"> HYPERLINK "https://edu.zcygov.cn/luban/e-biding?utm=a0004.2ef5001f.0001.0109.2d44db10df9111e9b92b0f36d4889416。）" </w:instrText>
      </w:r>
      <w:r>
        <w:rPr>
          <w:rFonts w:hint="eastAsia" w:ascii="宋体" w:hAnsi="宋体" w:eastAsia="宋体" w:cs="宋体"/>
          <w:color w:val="auto"/>
          <w:kern w:val="2"/>
          <w:sz w:val="24"/>
          <w:szCs w:val="24"/>
          <w:highlight w:val="none"/>
          <w:lang w:val="en-US" w:eastAsia="zh-CN" w:bidi="ar-SA"/>
        </w:rPr>
        <w:fldChar w:fldCharType="separate"/>
      </w:r>
      <w:r>
        <w:rPr>
          <w:rFonts w:hint="eastAsia" w:ascii="宋体" w:hAnsi="宋体" w:eastAsia="宋体" w:cs="宋体"/>
          <w:color w:val="auto"/>
          <w:kern w:val="2"/>
          <w:sz w:val="24"/>
          <w:szCs w:val="24"/>
          <w:highlight w:val="none"/>
          <w:lang w:val="en-US" w:eastAsia="zh-CN" w:bidi="ar-SA"/>
        </w:rPr>
        <w:t>https://edu.zcygov.cn/luban/e-biding?utm=a0004.2ef5001f.0001.0109.2d44db10df9111e9b92b0f36d4889416。）</w:t>
      </w:r>
      <w:r>
        <w:rPr>
          <w:rFonts w:hint="eastAsia" w:ascii="宋体" w:hAnsi="宋体" w:eastAsia="宋体" w:cs="宋体"/>
          <w:color w:val="auto"/>
          <w:kern w:val="2"/>
          <w:sz w:val="24"/>
          <w:szCs w:val="24"/>
          <w:highlight w:val="none"/>
          <w:lang w:val="en-US" w:eastAsia="zh-CN" w:bidi="ar-SA"/>
        </w:rPr>
        <w:fldChar w:fldCharType="end"/>
      </w:r>
    </w:p>
    <w:p w14:paraId="66138BA4">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 xml:space="preserve">（6）政府采购金融服务提示：为扩大政府采购金融服务面，除政采云网上金融服务合作银行外，东阳市范围内增加浙商银行金华分行东阳支行作为线下合作银行。   </w:t>
      </w:r>
    </w:p>
    <w:p w14:paraId="5B2816F5">
      <w:pPr>
        <w:keepNext w:val="0"/>
        <w:keepLines w:val="0"/>
        <w:pageBreakBefore w:val="0"/>
        <w:kinsoku/>
        <w:wordWrap/>
        <w:overflowPunct/>
        <w:topLinePunct w:val="0"/>
        <w:autoSpaceDE/>
        <w:autoSpaceDN/>
        <w:bidi w:val="0"/>
        <w:spacing w:line="440" w:lineRule="exact"/>
        <w:ind w:firstLine="482" w:firstLineChars="200"/>
        <w:textAlignment w:val="auto"/>
        <w:rPr>
          <w:rFonts w:hint="eastAsia" w:ascii="宋体" w:hAnsi="宋体" w:eastAsia="宋体" w:cs="宋体"/>
          <w:b/>
          <w:bCs/>
          <w:color w:val="auto"/>
          <w:kern w:val="2"/>
          <w:sz w:val="24"/>
          <w:szCs w:val="24"/>
          <w:highlight w:val="none"/>
          <w:lang w:val="en-US" w:eastAsia="zh-CN" w:bidi="ar-SA"/>
        </w:rPr>
      </w:pPr>
      <w:r>
        <w:rPr>
          <w:rFonts w:hint="eastAsia" w:ascii="宋体" w:hAnsi="宋体" w:eastAsia="宋体" w:cs="宋体"/>
          <w:b/>
          <w:bCs/>
          <w:color w:val="auto"/>
          <w:kern w:val="2"/>
          <w:sz w:val="24"/>
          <w:szCs w:val="24"/>
          <w:highlight w:val="none"/>
          <w:lang w:val="en-US" w:eastAsia="zh-CN" w:bidi="ar-SA"/>
        </w:rPr>
        <w:t>浙商银行金华东阳支行  联系人：许燕  联系电话：13967983441  0579-86222992</w:t>
      </w:r>
    </w:p>
    <w:p w14:paraId="435943EA">
      <w:pPr>
        <w:keepNext w:val="0"/>
        <w:keepLines w:val="0"/>
        <w:pageBreakBefore w:val="0"/>
        <w:kinsoku/>
        <w:wordWrap/>
        <w:overflowPunct/>
        <w:topLinePunct w:val="0"/>
        <w:autoSpaceDE/>
        <w:autoSpaceDN/>
        <w:bidi w:val="0"/>
        <w:spacing w:line="440" w:lineRule="exact"/>
        <w:textAlignment w:val="auto"/>
        <w:rPr>
          <w:rFonts w:ascii="宋体" w:hAnsi="宋体" w:cs="宋体"/>
          <w:b/>
          <w:color w:val="auto"/>
          <w:sz w:val="28"/>
          <w:szCs w:val="28"/>
          <w:highlight w:val="none"/>
        </w:rPr>
      </w:pPr>
      <w:r>
        <w:rPr>
          <w:rFonts w:hint="eastAsia" w:ascii="宋体" w:hAnsi="宋体" w:cs="宋体"/>
          <w:b/>
          <w:color w:val="auto"/>
          <w:sz w:val="24"/>
          <w:highlight w:val="none"/>
        </w:rPr>
        <w:t>九、对本次采购提出询问、质疑、投诉，请按以下方式联系。</w:t>
      </w:r>
    </w:p>
    <w:p w14:paraId="2ACA6F24">
      <w:pPr>
        <w:keepNext w:val="0"/>
        <w:keepLines w:val="0"/>
        <w:pageBreakBefore w:val="0"/>
        <w:kinsoku/>
        <w:wordWrap/>
        <w:overflowPunct/>
        <w:topLinePunct w:val="0"/>
        <w:autoSpaceDE/>
        <w:autoSpaceDN/>
        <w:bidi w:val="0"/>
        <w:spacing w:line="440" w:lineRule="exact"/>
        <w:ind w:firstLine="723" w:firstLineChars="300"/>
        <w:textAlignment w:val="auto"/>
        <w:rPr>
          <w:rFonts w:ascii="宋体" w:hAnsi="宋体" w:cs="宋体"/>
          <w:b/>
          <w:bCs/>
          <w:color w:val="auto"/>
          <w:sz w:val="24"/>
          <w:highlight w:val="none"/>
        </w:rPr>
      </w:pPr>
      <w:r>
        <w:rPr>
          <w:rFonts w:hint="eastAsia" w:ascii="宋体" w:hAnsi="宋体" w:cs="宋体"/>
          <w:b/>
          <w:bCs/>
          <w:color w:val="auto"/>
          <w:sz w:val="24"/>
          <w:highlight w:val="none"/>
        </w:rPr>
        <w:t xml:space="preserve">1.采购人信息  </w:t>
      </w:r>
    </w:p>
    <w:p w14:paraId="5A49867B">
      <w:pPr>
        <w:keepNext w:val="0"/>
        <w:keepLines w:val="0"/>
        <w:pageBreakBefore w:val="0"/>
        <w:kinsoku/>
        <w:wordWrap/>
        <w:overflowPunct/>
        <w:topLinePunct w:val="0"/>
        <w:autoSpaceDE/>
        <w:autoSpaceDN/>
        <w:bidi w:val="0"/>
        <w:spacing w:line="44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名 称：</w:t>
      </w:r>
      <w:r>
        <w:rPr>
          <w:rFonts w:hint="eastAsia" w:ascii="宋体" w:hAnsi="宋体" w:cs="宋体"/>
          <w:color w:val="auto"/>
          <w:sz w:val="24"/>
          <w:highlight w:val="none"/>
          <w:lang w:eastAsia="zh-CN"/>
        </w:rPr>
        <w:t>东阳市白云街道办事处</w:t>
      </w:r>
      <w:r>
        <w:rPr>
          <w:rFonts w:hint="eastAsia" w:ascii="宋体" w:hAnsi="宋体" w:eastAsia="宋体" w:cs="宋体"/>
          <w:color w:val="auto"/>
          <w:sz w:val="24"/>
          <w:highlight w:val="none"/>
          <w:lang w:eastAsia="zh-CN"/>
        </w:rPr>
        <w:t xml:space="preserve"> </w:t>
      </w:r>
      <w:r>
        <w:rPr>
          <w:rFonts w:hint="eastAsia" w:ascii="宋体" w:hAnsi="宋体" w:eastAsia="宋体" w:cs="宋体"/>
          <w:color w:val="auto"/>
          <w:sz w:val="24"/>
          <w:highlight w:val="none"/>
        </w:rPr>
        <w:t xml:space="preserve">     </w:t>
      </w:r>
    </w:p>
    <w:p w14:paraId="7005BB92">
      <w:pPr>
        <w:keepNext w:val="0"/>
        <w:keepLines w:val="0"/>
        <w:pageBreakBefore w:val="0"/>
        <w:kinsoku/>
        <w:wordWrap/>
        <w:overflowPunct/>
        <w:topLinePunct w:val="0"/>
        <w:autoSpaceDE/>
        <w:autoSpaceDN/>
        <w:bidi w:val="0"/>
        <w:spacing w:line="440" w:lineRule="exact"/>
        <w:ind w:firstLine="720" w:firstLineChars="300"/>
        <w:textAlignment w:val="auto"/>
        <w:rPr>
          <w:rFonts w:hint="eastAsia" w:ascii="宋体" w:hAnsi="宋体" w:eastAsia="宋体" w:cs="宋体"/>
          <w:color w:val="auto"/>
          <w:sz w:val="24"/>
          <w:highlight w:val="none"/>
        </w:rPr>
      </w:pPr>
      <w:r>
        <w:rPr>
          <w:rFonts w:hint="eastAsia" w:ascii="宋体" w:hAnsi="宋体" w:eastAsia="宋体" w:cs="宋体"/>
          <w:color w:val="auto"/>
          <w:sz w:val="24"/>
          <w:highlight w:val="none"/>
        </w:rPr>
        <w:t>地 址：浙江省东阳市望江北路2号</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rPr>
        <w:t xml:space="preserve">    </w:t>
      </w:r>
    </w:p>
    <w:p w14:paraId="785CAC82">
      <w:pPr>
        <w:keepNext w:val="0"/>
        <w:keepLines w:val="0"/>
        <w:pageBreakBefore w:val="0"/>
        <w:kinsoku/>
        <w:wordWrap/>
        <w:overflowPunct/>
        <w:topLinePunct w:val="0"/>
        <w:autoSpaceDE/>
        <w:autoSpaceDN/>
        <w:bidi w:val="0"/>
        <w:spacing w:line="440" w:lineRule="exact"/>
        <w:ind w:firstLine="720" w:firstLineChars="3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项目联系人</w:t>
      </w:r>
      <w:r>
        <w:rPr>
          <w:rFonts w:hint="eastAsia" w:ascii="宋体" w:hAnsi="宋体" w:cs="宋体"/>
          <w:color w:val="auto"/>
          <w:sz w:val="24"/>
          <w:highlight w:val="none"/>
        </w:rPr>
        <w:t>（询问）</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 xml:space="preserve">杜章群   </w:t>
      </w:r>
      <w:r>
        <w:rPr>
          <w:rFonts w:hint="eastAsia" w:ascii="宋体" w:hAnsi="宋体" w:eastAsia="宋体" w:cs="宋体"/>
          <w:color w:val="auto"/>
          <w:sz w:val="24"/>
          <w:highlight w:val="none"/>
        </w:rPr>
        <w:t xml:space="preserve">    项目联系方式</w:t>
      </w:r>
      <w:r>
        <w:rPr>
          <w:rFonts w:hint="eastAsia" w:ascii="宋体" w:hAnsi="宋体" w:cs="宋体"/>
          <w:color w:val="auto"/>
          <w:sz w:val="24"/>
          <w:highlight w:val="none"/>
        </w:rPr>
        <w:t>（询问）</w:t>
      </w:r>
      <w:r>
        <w:rPr>
          <w:rFonts w:hint="eastAsia" w:ascii="宋体" w:hAnsi="宋体" w:eastAsia="宋体" w:cs="宋体"/>
          <w:color w:val="auto"/>
          <w:sz w:val="24"/>
          <w:highlight w:val="none"/>
        </w:rPr>
        <w:t>：</w:t>
      </w:r>
      <w:r>
        <w:rPr>
          <w:rFonts w:hint="eastAsia" w:ascii="宋体" w:hAnsi="宋体" w:cs="宋体"/>
          <w:color w:val="auto"/>
          <w:sz w:val="24"/>
          <w:highlight w:val="none"/>
          <w:lang w:val="en-US" w:eastAsia="zh-CN"/>
        </w:rPr>
        <w:t xml:space="preserve">18857948711   </w:t>
      </w:r>
    </w:p>
    <w:p w14:paraId="65789091">
      <w:pPr>
        <w:keepNext w:val="0"/>
        <w:keepLines w:val="0"/>
        <w:pageBreakBefore w:val="0"/>
        <w:kinsoku/>
        <w:wordWrap/>
        <w:overflowPunct/>
        <w:topLinePunct w:val="0"/>
        <w:autoSpaceDE/>
        <w:autoSpaceDN/>
        <w:bidi w:val="0"/>
        <w:spacing w:line="440" w:lineRule="exact"/>
        <w:ind w:firstLine="720" w:firstLineChars="300"/>
        <w:textAlignment w:val="auto"/>
        <w:rPr>
          <w:rFonts w:hint="default" w:ascii="宋体" w:hAnsi="宋体" w:eastAsia="宋体" w:cs="宋体"/>
          <w:color w:val="auto"/>
          <w:sz w:val="24"/>
          <w:highlight w:val="none"/>
          <w:lang w:val="en-US" w:eastAsia="zh-CN"/>
        </w:rPr>
      </w:pPr>
      <w:r>
        <w:rPr>
          <w:rFonts w:hint="eastAsia" w:ascii="宋体" w:hAnsi="宋体" w:eastAsia="宋体" w:cs="宋体"/>
          <w:color w:val="auto"/>
          <w:sz w:val="24"/>
          <w:highlight w:val="none"/>
        </w:rPr>
        <w:t>质疑联系人：</w:t>
      </w:r>
      <w:r>
        <w:rPr>
          <w:rFonts w:hint="eastAsia" w:ascii="宋体" w:hAnsi="宋体" w:cs="宋体"/>
          <w:color w:val="auto"/>
          <w:sz w:val="24"/>
          <w:highlight w:val="none"/>
          <w:lang w:val="en-US" w:eastAsia="zh-CN"/>
        </w:rPr>
        <w:t xml:space="preserve">方鹏鹏  </w:t>
      </w:r>
      <w:r>
        <w:rPr>
          <w:rFonts w:hint="eastAsia" w:ascii="宋体" w:hAnsi="宋体" w:eastAsia="宋体" w:cs="宋体"/>
          <w:color w:val="auto"/>
          <w:sz w:val="24"/>
          <w:highlight w:val="none"/>
          <w:lang w:val="en-US" w:eastAsia="zh-CN"/>
        </w:rPr>
        <w:t xml:space="preserve">       </w:t>
      </w:r>
      <w:r>
        <w:rPr>
          <w:rFonts w:hint="eastAsia" w:ascii="宋体" w:hAnsi="宋体" w:cs="宋体"/>
          <w:color w:val="auto"/>
          <w:sz w:val="24"/>
          <w:highlight w:val="none"/>
          <w:lang w:val="en-US" w:eastAsia="zh-CN"/>
        </w:rPr>
        <w:t xml:space="preserve">      </w:t>
      </w:r>
      <w:r>
        <w:rPr>
          <w:rFonts w:hint="eastAsia" w:ascii="宋体" w:hAnsi="宋体" w:eastAsia="宋体" w:cs="宋体"/>
          <w:color w:val="auto"/>
          <w:sz w:val="24"/>
          <w:highlight w:val="none"/>
          <w:lang w:val="en-US" w:eastAsia="zh-CN"/>
        </w:rPr>
        <w:t xml:space="preserve">   </w:t>
      </w:r>
      <w:r>
        <w:rPr>
          <w:rFonts w:hint="eastAsia" w:ascii="宋体" w:hAnsi="宋体" w:eastAsia="宋体" w:cs="宋体"/>
          <w:color w:val="auto"/>
          <w:sz w:val="24"/>
          <w:highlight w:val="none"/>
        </w:rPr>
        <w:t>质疑联系方式：</w:t>
      </w:r>
      <w:r>
        <w:rPr>
          <w:rFonts w:hint="eastAsia" w:ascii="宋体" w:hAnsi="宋体" w:cs="宋体"/>
          <w:color w:val="auto"/>
          <w:sz w:val="24"/>
          <w:highlight w:val="none"/>
          <w:lang w:val="en-US" w:eastAsia="zh-CN"/>
        </w:rPr>
        <w:t xml:space="preserve">15167905407    </w:t>
      </w:r>
    </w:p>
    <w:p w14:paraId="3BCBB159">
      <w:pPr>
        <w:keepNext w:val="0"/>
        <w:keepLines w:val="0"/>
        <w:pageBreakBefore w:val="0"/>
        <w:kinsoku/>
        <w:wordWrap/>
        <w:overflowPunct/>
        <w:topLinePunct w:val="0"/>
        <w:autoSpaceDE/>
        <w:autoSpaceDN/>
        <w:bidi w:val="0"/>
        <w:spacing w:line="440" w:lineRule="exact"/>
        <w:ind w:firstLine="723" w:firstLineChars="300"/>
        <w:textAlignment w:val="auto"/>
        <w:rPr>
          <w:rFonts w:ascii="宋体" w:hAnsi="宋体" w:cs="宋体"/>
          <w:b/>
          <w:bCs/>
          <w:color w:val="auto"/>
          <w:sz w:val="24"/>
          <w:highlight w:val="none"/>
        </w:rPr>
      </w:pPr>
      <w:r>
        <w:rPr>
          <w:rFonts w:hint="eastAsia" w:ascii="宋体" w:hAnsi="宋体" w:cs="宋体"/>
          <w:b/>
          <w:bCs/>
          <w:color w:val="auto"/>
          <w:sz w:val="24"/>
          <w:highlight w:val="none"/>
        </w:rPr>
        <w:t>2.采购代理机构信息</w:t>
      </w:r>
    </w:p>
    <w:p w14:paraId="4BA852A7">
      <w:pPr>
        <w:keepNext w:val="0"/>
        <w:keepLines w:val="0"/>
        <w:pageBreakBefore w:val="0"/>
        <w:kinsoku/>
        <w:wordWrap/>
        <w:overflowPunct/>
        <w:topLinePunct w:val="0"/>
        <w:autoSpaceDE/>
        <w:autoSpaceDN/>
        <w:bidi w:val="0"/>
        <w:spacing w:line="440" w:lineRule="exact"/>
        <w:ind w:firstLine="720" w:firstLineChars="300"/>
        <w:textAlignment w:val="auto"/>
        <w:rPr>
          <w:rFonts w:hint="eastAsia" w:ascii="宋体" w:hAnsi="宋体" w:cs="宋体"/>
          <w:color w:val="auto"/>
          <w:sz w:val="24"/>
          <w:highlight w:val="none"/>
        </w:rPr>
      </w:pPr>
      <w:r>
        <w:rPr>
          <w:rFonts w:hint="eastAsia" w:ascii="宋体" w:hAnsi="宋体" w:cs="宋体"/>
          <w:color w:val="auto"/>
          <w:sz w:val="24"/>
          <w:highlight w:val="none"/>
        </w:rPr>
        <w:t>名 称：</w:t>
      </w:r>
      <w:r>
        <w:rPr>
          <w:rFonts w:hint="eastAsia" w:ascii="宋体" w:hAnsi="宋体" w:cs="宋体"/>
          <w:color w:val="auto"/>
          <w:sz w:val="24"/>
          <w:highlight w:val="none"/>
          <w:lang w:eastAsia="zh-CN"/>
        </w:rPr>
        <w:t>浙江诚远工程咨询有限公司</w:t>
      </w:r>
    </w:p>
    <w:p w14:paraId="54DA4C4A">
      <w:pPr>
        <w:keepNext w:val="0"/>
        <w:keepLines w:val="0"/>
        <w:pageBreakBefore w:val="0"/>
        <w:kinsoku/>
        <w:wordWrap/>
        <w:overflowPunct/>
        <w:topLinePunct w:val="0"/>
        <w:autoSpaceDE/>
        <w:autoSpaceDN/>
        <w:bidi w:val="0"/>
        <w:spacing w:line="440" w:lineRule="exact"/>
        <w:ind w:firstLine="720" w:firstLineChars="300"/>
        <w:textAlignment w:val="auto"/>
        <w:rPr>
          <w:rFonts w:hint="eastAsia" w:ascii="宋体" w:hAnsi="宋体" w:cs="宋体"/>
          <w:color w:val="auto"/>
          <w:sz w:val="24"/>
          <w:highlight w:val="none"/>
        </w:rPr>
      </w:pPr>
      <w:r>
        <w:rPr>
          <w:rFonts w:hint="eastAsia" w:ascii="宋体" w:hAnsi="宋体" w:cs="宋体"/>
          <w:color w:val="auto"/>
          <w:sz w:val="24"/>
          <w:highlight w:val="none"/>
        </w:rPr>
        <w:t>地 址：</w:t>
      </w:r>
      <w:r>
        <w:rPr>
          <w:rFonts w:hint="eastAsia" w:ascii="宋体" w:hAnsi="宋体" w:cs="宋体"/>
          <w:color w:val="auto"/>
          <w:sz w:val="24"/>
          <w:highlight w:val="none"/>
          <w:lang w:eastAsia="zh-CN"/>
        </w:rPr>
        <w:t>东阳市汉宁西路233号二楼</w:t>
      </w:r>
      <w:r>
        <w:rPr>
          <w:rFonts w:hint="eastAsia" w:ascii="宋体" w:hAnsi="宋体" w:cs="宋体"/>
          <w:color w:val="auto"/>
          <w:sz w:val="24"/>
          <w:highlight w:val="none"/>
        </w:rPr>
        <w:t xml:space="preserve">      </w:t>
      </w:r>
    </w:p>
    <w:p w14:paraId="1D3BBC4C">
      <w:pPr>
        <w:keepNext w:val="0"/>
        <w:keepLines w:val="0"/>
        <w:pageBreakBefore w:val="0"/>
        <w:kinsoku/>
        <w:wordWrap/>
        <w:overflowPunct/>
        <w:topLinePunct w:val="0"/>
        <w:autoSpaceDE/>
        <w:autoSpaceDN/>
        <w:bidi w:val="0"/>
        <w:spacing w:line="440" w:lineRule="exact"/>
        <w:ind w:firstLine="720" w:firstLineChars="300"/>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rPr>
        <w:t>项目联系人（询问）：</w:t>
      </w:r>
      <w:r>
        <w:rPr>
          <w:rFonts w:hint="eastAsia" w:ascii="宋体" w:hAnsi="宋体" w:cs="宋体"/>
          <w:color w:val="auto"/>
          <w:sz w:val="24"/>
          <w:highlight w:val="none"/>
          <w:lang w:val="en-US" w:eastAsia="zh-CN"/>
        </w:rPr>
        <w:t>王女士</w:t>
      </w:r>
      <w:r>
        <w:rPr>
          <w:rFonts w:hint="eastAsia" w:ascii="宋体" w:hAnsi="宋体" w:cs="宋体"/>
          <w:color w:val="auto"/>
          <w:sz w:val="24"/>
          <w:highlight w:val="none"/>
          <w:lang w:eastAsia="zh-CN"/>
        </w:rPr>
        <w:t xml:space="preserve"> </w:t>
      </w:r>
      <w:r>
        <w:rPr>
          <w:rFonts w:hint="eastAsia" w:ascii="宋体" w:hAnsi="宋体" w:cs="宋体"/>
          <w:color w:val="auto"/>
          <w:sz w:val="24"/>
          <w:highlight w:val="none"/>
        </w:rPr>
        <w:t xml:space="preserve">      项目联系方式（询问）：</w:t>
      </w:r>
      <w:r>
        <w:rPr>
          <w:rFonts w:hint="eastAsia" w:ascii="宋体" w:hAnsi="宋体" w:cs="宋体"/>
          <w:color w:val="auto"/>
          <w:sz w:val="24"/>
          <w:highlight w:val="none"/>
          <w:lang w:val="en-US" w:eastAsia="zh-CN"/>
        </w:rPr>
        <w:t>18457990375</w:t>
      </w:r>
    </w:p>
    <w:p w14:paraId="1F3BBD6D">
      <w:pPr>
        <w:keepNext w:val="0"/>
        <w:keepLines w:val="0"/>
        <w:pageBreakBefore w:val="0"/>
        <w:kinsoku/>
        <w:wordWrap/>
        <w:overflowPunct/>
        <w:topLinePunct w:val="0"/>
        <w:autoSpaceDE/>
        <w:autoSpaceDN/>
        <w:bidi w:val="0"/>
        <w:spacing w:line="440" w:lineRule="exact"/>
        <w:ind w:firstLine="720" w:firstLineChars="300"/>
        <w:textAlignment w:val="auto"/>
        <w:rPr>
          <w:rFonts w:hint="default" w:ascii="宋体" w:hAnsi="宋体" w:cs="宋体"/>
          <w:color w:val="auto"/>
          <w:sz w:val="24"/>
          <w:highlight w:val="none"/>
          <w:lang w:val="en-US" w:eastAsia="zh-CN"/>
        </w:rPr>
      </w:pPr>
      <w:r>
        <w:rPr>
          <w:rFonts w:hint="eastAsia" w:ascii="宋体" w:hAnsi="宋体" w:cs="宋体"/>
          <w:color w:val="auto"/>
          <w:sz w:val="24"/>
          <w:highlight w:val="none"/>
        </w:rPr>
        <w:t>质疑联系人：</w:t>
      </w:r>
      <w:r>
        <w:rPr>
          <w:rFonts w:hint="eastAsia" w:ascii="宋体" w:hAnsi="宋体" w:cs="宋体"/>
          <w:color w:val="auto"/>
          <w:sz w:val="24"/>
          <w:highlight w:val="none"/>
          <w:lang w:val="en-US" w:eastAsia="zh-CN"/>
        </w:rPr>
        <w:t>章女士</w:t>
      </w:r>
      <w:r>
        <w:rPr>
          <w:rFonts w:hint="eastAsia" w:ascii="宋体" w:hAnsi="宋体" w:cs="宋体"/>
          <w:color w:val="auto"/>
          <w:sz w:val="24"/>
          <w:highlight w:val="none"/>
        </w:rPr>
        <w:t xml:space="preserve">                    质疑联系方式：0579-86669062</w:t>
      </w:r>
    </w:p>
    <w:p w14:paraId="36694A5F">
      <w:pPr>
        <w:keepNext w:val="0"/>
        <w:keepLines w:val="0"/>
        <w:pageBreakBefore w:val="0"/>
        <w:kinsoku/>
        <w:wordWrap/>
        <w:overflowPunct/>
        <w:topLinePunct w:val="0"/>
        <w:autoSpaceDE/>
        <w:autoSpaceDN/>
        <w:bidi w:val="0"/>
        <w:spacing w:line="440" w:lineRule="exact"/>
        <w:ind w:firstLine="723" w:firstLineChars="300"/>
        <w:textAlignment w:val="auto"/>
        <w:rPr>
          <w:rFonts w:ascii="宋体" w:hAnsi="宋体" w:cs="宋体"/>
          <w:b/>
          <w:bCs/>
          <w:color w:val="auto"/>
          <w:sz w:val="24"/>
          <w:highlight w:val="none"/>
        </w:rPr>
      </w:pPr>
      <w:r>
        <w:rPr>
          <w:rFonts w:hint="eastAsia" w:ascii="宋体" w:hAnsi="宋体" w:cs="宋体"/>
          <w:b/>
          <w:bCs/>
          <w:color w:val="auto"/>
          <w:sz w:val="24"/>
          <w:highlight w:val="none"/>
        </w:rPr>
        <w:t>3.同级政府采购监督管理部门：</w:t>
      </w:r>
    </w:p>
    <w:p w14:paraId="59D0FB18">
      <w:pPr>
        <w:keepNext w:val="0"/>
        <w:keepLines w:val="0"/>
        <w:pageBreakBefore w:val="0"/>
        <w:kinsoku/>
        <w:wordWrap/>
        <w:overflowPunct/>
        <w:topLinePunct w:val="0"/>
        <w:autoSpaceDE/>
        <w:autoSpaceDN/>
        <w:bidi w:val="0"/>
        <w:spacing w:line="440" w:lineRule="exact"/>
        <w:ind w:firstLine="720" w:firstLineChars="300"/>
        <w:textAlignment w:val="auto"/>
        <w:rPr>
          <w:rFonts w:ascii="宋体" w:hAnsi="宋体" w:cs="宋体"/>
          <w:color w:val="auto"/>
          <w:sz w:val="24"/>
          <w:highlight w:val="none"/>
        </w:rPr>
      </w:pPr>
      <w:r>
        <w:rPr>
          <w:rFonts w:hint="eastAsia" w:ascii="宋体" w:hAnsi="宋体" w:cs="宋体"/>
          <w:color w:val="auto"/>
          <w:sz w:val="24"/>
          <w:highlight w:val="none"/>
        </w:rPr>
        <w:t>名称：东阳市财政局采监科             地址：东阳市人民路8号</w:t>
      </w:r>
    </w:p>
    <w:p w14:paraId="5E52029E">
      <w:pPr>
        <w:keepNext w:val="0"/>
        <w:keepLines w:val="0"/>
        <w:pageBreakBefore w:val="0"/>
        <w:kinsoku/>
        <w:wordWrap/>
        <w:overflowPunct/>
        <w:topLinePunct w:val="0"/>
        <w:autoSpaceDE/>
        <w:autoSpaceDN/>
        <w:bidi w:val="0"/>
        <w:spacing w:line="440" w:lineRule="exact"/>
        <w:ind w:firstLine="720" w:firstLineChars="300"/>
        <w:textAlignment w:val="auto"/>
        <w:rPr>
          <w:rFonts w:ascii="宋体" w:hAnsi="宋体" w:cs="宋体"/>
          <w:color w:val="auto"/>
          <w:sz w:val="24"/>
          <w:highlight w:val="none"/>
        </w:rPr>
      </w:pPr>
      <w:r>
        <w:rPr>
          <w:rFonts w:hint="eastAsia" w:ascii="宋体" w:hAnsi="宋体" w:cs="宋体"/>
          <w:color w:val="auto"/>
          <w:sz w:val="24"/>
          <w:highlight w:val="none"/>
        </w:rPr>
        <w:t>监督投诉电话：0579-86662677</w:t>
      </w:r>
    </w:p>
    <w:p w14:paraId="28D9DF1A">
      <w:pPr>
        <w:keepNext w:val="0"/>
        <w:keepLines w:val="0"/>
        <w:pageBreakBefore w:val="0"/>
        <w:kinsoku/>
        <w:wordWrap/>
        <w:overflowPunct/>
        <w:topLinePunct w:val="0"/>
        <w:autoSpaceDE/>
        <w:autoSpaceDN/>
        <w:bidi w:val="0"/>
        <w:snapToGrid w:val="0"/>
        <w:spacing w:line="440" w:lineRule="exact"/>
        <w:ind w:firstLine="482" w:firstLineChars="200"/>
        <w:textAlignment w:val="auto"/>
        <w:rPr>
          <w:rFonts w:ascii="宋体" w:hAnsi="宋体" w:cs="宋体"/>
          <w:b/>
          <w:color w:val="auto"/>
          <w:sz w:val="24"/>
          <w:szCs w:val="20"/>
          <w:highlight w:val="none"/>
        </w:rPr>
      </w:pPr>
      <w:r>
        <w:rPr>
          <w:rFonts w:hint="eastAsia" w:ascii="宋体" w:hAnsi="宋体" w:cs="宋体"/>
          <w:b/>
          <w:color w:val="auto"/>
          <w:sz w:val="24"/>
          <w:szCs w:val="20"/>
          <w:highlight w:val="none"/>
        </w:rPr>
        <w:t>附件：</w:t>
      </w:r>
      <w:r>
        <w:rPr>
          <w:rFonts w:hint="eastAsia" w:ascii="宋体" w:hAnsi="宋体" w:cs="宋体"/>
          <w:b/>
          <w:bCs/>
          <w:color w:val="auto"/>
          <w:sz w:val="24"/>
          <w:highlight w:val="none"/>
          <w:lang w:eastAsia="zh-CN"/>
        </w:rPr>
        <w:t>笠里小区环村路道路工程项目</w:t>
      </w:r>
      <w:r>
        <w:rPr>
          <w:rFonts w:hint="eastAsia" w:ascii="宋体" w:hAnsi="宋体" w:cs="宋体"/>
          <w:b/>
          <w:color w:val="auto"/>
          <w:sz w:val="24"/>
          <w:szCs w:val="20"/>
          <w:highlight w:val="none"/>
        </w:rPr>
        <w:t>磋商文件</w:t>
      </w:r>
    </w:p>
    <w:p w14:paraId="60A3421C">
      <w:pPr>
        <w:keepNext w:val="0"/>
        <w:keepLines w:val="0"/>
        <w:pageBreakBefore w:val="0"/>
        <w:kinsoku/>
        <w:wordWrap/>
        <w:overflowPunct/>
        <w:topLinePunct w:val="0"/>
        <w:autoSpaceDE/>
        <w:autoSpaceDN/>
        <w:bidi w:val="0"/>
        <w:snapToGrid w:val="0"/>
        <w:spacing w:line="440" w:lineRule="exact"/>
        <w:ind w:left="4819" w:right="198" w:hanging="4819" w:hangingChars="2000"/>
        <w:textAlignment w:val="auto"/>
        <w:rPr>
          <w:rFonts w:ascii="宋体" w:hAnsi="宋体" w:cs="宋体"/>
          <w:b/>
          <w:color w:val="auto"/>
          <w:sz w:val="24"/>
          <w:highlight w:val="none"/>
        </w:rPr>
      </w:pP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rPr>
        <w:t xml:space="preserve"> </w:t>
      </w:r>
      <w:r>
        <w:rPr>
          <w:rFonts w:hint="eastAsia" w:ascii="宋体" w:hAnsi="宋体" w:cs="宋体"/>
          <w:b/>
          <w:color w:val="auto"/>
          <w:sz w:val="24"/>
          <w:highlight w:val="none"/>
          <w:lang w:val="en-US" w:eastAsia="zh-CN"/>
        </w:rPr>
        <w:t xml:space="preserve"> </w:t>
      </w:r>
      <w:r>
        <w:rPr>
          <w:rFonts w:hint="eastAsia" w:ascii="宋体" w:hAnsi="宋体" w:cs="宋体"/>
          <w:b/>
          <w:color w:val="auto"/>
          <w:sz w:val="24"/>
          <w:highlight w:val="none"/>
          <w:lang w:eastAsia="zh-CN"/>
        </w:rPr>
        <w:t xml:space="preserve">东阳市白云街道办事处 </w:t>
      </w:r>
      <w:r>
        <w:rPr>
          <w:rFonts w:hint="eastAsia" w:ascii="宋体" w:hAnsi="宋体" w:cs="宋体"/>
          <w:b/>
          <w:color w:val="auto"/>
          <w:sz w:val="24"/>
          <w:highlight w:val="none"/>
        </w:rPr>
        <w:t xml:space="preserve"> </w:t>
      </w:r>
    </w:p>
    <w:p w14:paraId="5C79E87F">
      <w:pPr>
        <w:keepNext w:val="0"/>
        <w:keepLines w:val="0"/>
        <w:pageBreakBefore w:val="0"/>
        <w:kinsoku/>
        <w:wordWrap/>
        <w:overflowPunct/>
        <w:topLinePunct w:val="0"/>
        <w:autoSpaceDE/>
        <w:autoSpaceDN/>
        <w:bidi w:val="0"/>
        <w:snapToGrid w:val="0"/>
        <w:spacing w:line="440" w:lineRule="exact"/>
        <w:ind w:right="198" w:firstLine="6023" w:firstLineChars="2500"/>
        <w:textAlignment w:val="auto"/>
        <w:rPr>
          <w:rFonts w:hint="eastAsia" w:ascii="宋体" w:hAnsi="宋体" w:eastAsia="宋体" w:cs="宋体"/>
          <w:b/>
          <w:color w:val="auto"/>
          <w:sz w:val="24"/>
          <w:highlight w:val="none"/>
          <w:lang w:eastAsia="zh-CN"/>
        </w:rPr>
      </w:pPr>
      <w:r>
        <w:rPr>
          <w:rFonts w:hint="eastAsia" w:ascii="宋体" w:hAnsi="宋体" w:cs="宋体"/>
          <w:b/>
          <w:color w:val="auto"/>
          <w:sz w:val="24"/>
          <w:highlight w:val="none"/>
          <w:lang w:eastAsia="zh-CN"/>
        </w:rPr>
        <w:t>浙江诚远工程咨询有限公司</w:t>
      </w:r>
    </w:p>
    <w:p w14:paraId="31AFC7E4">
      <w:pPr>
        <w:keepNext w:val="0"/>
        <w:keepLines w:val="0"/>
        <w:pageBreakBefore w:val="0"/>
        <w:kinsoku/>
        <w:wordWrap/>
        <w:overflowPunct/>
        <w:topLinePunct w:val="0"/>
        <w:autoSpaceDE/>
        <w:autoSpaceDN/>
        <w:bidi w:val="0"/>
        <w:snapToGrid w:val="0"/>
        <w:spacing w:line="440" w:lineRule="exact"/>
        <w:ind w:right="198" w:firstLine="6746" w:firstLineChars="2800"/>
        <w:textAlignment w:val="auto"/>
        <w:rPr>
          <w:rFonts w:ascii="宋体" w:hAnsi="宋体" w:cs="宋体"/>
          <w:color w:val="auto"/>
          <w:kern w:val="0"/>
          <w:sz w:val="24"/>
          <w:highlight w:val="none"/>
        </w:rPr>
      </w:pPr>
      <w:r>
        <w:rPr>
          <w:rFonts w:hint="eastAsia" w:ascii="宋体" w:hAnsi="宋体" w:cs="宋体"/>
          <w:b/>
          <w:color w:val="auto"/>
          <w:sz w:val="24"/>
          <w:highlight w:val="none"/>
        </w:rPr>
        <w:t>202</w:t>
      </w: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年</w:t>
      </w: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月</w:t>
      </w:r>
      <w:r>
        <w:rPr>
          <w:rFonts w:hint="eastAsia" w:ascii="宋体" w:hAnsi="宋体" w:cs="宋体"/>
          <w:b/>
          <w:color w:val="auto"/>
          <w:sz w:val="24"/>
          <w:highlight w:val="none"/>
          <w:lang w:val="en-US" w:eastAsia="zh-CN"/>
        </w:rPr>
        <w:t>21</w:t>
      </w:r>
      <w:r>
        <w:rPr>
          <w:rFonts w:hint="eastAsia" w:ascii="宋体" w:hAnsi="宋体" w:cs="宋体"/>
          <w:b/>
          <w:color w:val="auto"/>
          <w:sz w:val="24"/>
          <w:highlight w:val="none"/>
        </w:rPr>
        <w:t>日</w:t>
      </w:r>
    </w:p>
    <w:p w14:paraId="27FAE242">
      <w:pPr>
        <w:keepNext w:val="0"/>
        <w:keepLines w:val="0"/>
        <w:pageBreakBefore w:val="0"/>
        <w:widowControl/>
        <w:kinsoku/>
        <w:wordWrap/>
        <w:overflowPunct/>
        <w:topLinePunct w:val="0"/>
        <w:autoSpaceDE/>
        <w:autoSpaceDN/>
        <w:bidi w:val="0"/>
        <w:spacing w:line="440" w:lineRule="exact"/>
        <w:jc w:val="left"/>
        <w:textAlignment w:val="auto"/>
        <w:rPr>
          <w:rFonts w:ascii="宋体" w:hAnsi="宋体" w:cs="宋体"/>
          <w:color w:val="auto"/>
          <w:sz w:val="20"/>
          <w:szCs w:val="22"/>
          <w:highlight w:val="none"/>
        </w:rPr>
      </w:pPr>
      <w:r>
        <w:rPr>
          <w:rFonts w:hint="eastAsia" w:ascii="宋体" w:hAnsi="宋体" w:cs="宋体"/>
          <w:color w:val="auto"/>
          <w:kern w:val="0"/>
          <w:sz w:val="22"/>
          <w:szCs w:val="22"/>
          <w:highlight w:val="none"/>
        </w:rPr>
        <w:t>若对项目采购电子交易系统操作有疑问，可登录政采云（https://www.zcygov.cn/），点击右侧咨询小采，获取采小蜜智能服务管家帮助，或拨打政采云服务热线95763获取热线服务帮助。</w:t>
      </w:r>
    </w:p>
    <w:p w14:paraId="13C424EF">
      <w:pPr>
        <w:keepNext w:val="0"/>
        <w:keepLines w:val="0"/>
        <w:pageBreakBefore w:val="0"/>
        <w:widowControl/>
        <w:kinsoku/>
        <w:wordWrap/>
        <w:overflowPunct/>
        <w:topLinePunct w:val="0"/>
        <w:autoSpaceDE/>
        <w:autoSpaceDN/>
        <w:bidi w:val="0"/>
        <w:spacing w:line="440" w:lineRule="exact"/>
        <w:jc w:val="left"/>
        <w:textAlignment w:val="auto"/>
        <w:rPr>
          <w:rFonts w:ascii="宋体" w:hAnsi="宋体" w:cs="宋体"/>
          <w:color w:val="auto"/>
          <w:sz w:val="22"/>
          <w:szCs w:val="22"/>
          <w:highlight w:val="none"/>
        </w:rPr>
      </w:pPr>
      <w:r>
        <w:rPr>
          <w:rFonts w:hint="eastAsia" w:ascii="宋体" w:hAnsi="宋体" w:cs="宋体"/>
          <w:color w:val="auto"/>
          <w:kern w:val="0"/>
          <w:sz w:val="22"/>
          <w:szCs w:val="22"/>
          <w:highlight w:val="none"/>
        </w:rPr>
        <w:t>CA问题联系电话（人工）：汇信CA 400-888-4636；天谷CA 400-087-8198。</w:t>
      </w:r>
    </w:p>
    <w:p w14:paraId="515B4BD9">
      <w:pPr>
        <w:pStyle w:val="23"/>
        <w:pageBreakBefore/>
        <w:snapToGrid w:val="0"/>
        <w:spacing w:before="120" w:after="120" w:line="360" w:lineRule="auto"/>
        <w:jc w:val="center"/>
        <w:outlineLvl w:val="0"/>
        <w:rPr>
          <w:rFonts w:ascii="宋体" w:hAnsi="宋体" w:cs="宋体"/>
          <w:b/>
          <w:color w:val="auto"/>
          <w:szCs w:val="24"/>
          <w:highlight w:val="none"/>
        </w:rPr>
      </w:pPr>
      <w:bookmarkStart w:id="1" w:name="_Toc25202"/>
      <w:r>
        <w:rPr>
          <w:rFonts w:hint="eastAsia" w:ascii="宋体" w:hAnsi="宋体" w:cs="宋体"/>
          <w:b/>
          <w:color w:val="auto"/>
          <w:szCs w:val="24"/>
          <w:highlight w:val="none"/>
        </w:rPr>
        <w:t>第二章  招标需求</w:t>
      </w:r>
      <w:bookmarkEnd w:id="1"/>
    </w:p>
    <w:p w14:paraId="170D11E5">
      <w:pPr>
        <w:numPr>
          <w:ilvl w:val="0"/>
          <w:numId w:val="5"/>
        </w:numPr>
        <w:spacing w:line="360" w:lineRule="auto"/>
        <w:rPr>
          <w:rFonts w:ascii="宋体" w:hAnsi="宋体" w:cs="宋体"/>
          <w:color w:val="auto"/>
          <w:sz w:val="24"/>
          <w:highlight w:val="none"/>
        </w:rPr>
      </w:pPr>
      <w:r>
        <w:rPr>
          <w:rFonts w:hint="eastAsia" w:ascii="宋体" w:hAnsi="宋体" w:cs="宋体"/>
          <w:b/>
          <w:bCs/>
          <w:color w:val="auto"/>
          <w:sz w:val="24"/>
          <w:highlight w:val="none"/>
        </w:rPr>
        <w:t>项目编号：</w:t>
      </w:r>
      <w:r>
        <w:rPr>
          <w:rFonts w:hint="eastAsia" w:ascii="宋体" w:hAnsi="宋体" w:cs="宋体"/>
          <w:b/>
          <w:bCs/>
          <w:color w:val="auto"/>
          <w:sz w:val="24"/>
          <w:highlight w:val="none"/>
          <w:lang w:eastAsia="zh-CN"/>
        </w:rPr>
        <w:t>DYCYCG2025-GK-07</w:t>
      </w:r>
    </w:p>
    <w:p w14:paraId="6D21A526">
      <w:pPr>
        <w:numPr>
          <w:ilvl w:val="0"/>
          <w:numId w:val="5"/>
        </w:numPr>
        <w:spacing w:line="360" w:lineRule="auto"/>
        <w:rPr>
          <w:rFonts w:ascii="宋体" w:hAnsi="宋体" w:cs="宋体"/>
          <w:b/>
          <w:color w:val="auto"/>
          <w:sz w:val="24"/>
          <w:highlight w:val="none"/>
        </w:rPr>
      </w:pPr>
      <w:r>
        <w:rPr>
          <w:rFonts w:hint="eastAsia" w:ascii="宋体" w:hAnsi="宋体" w:cs="宋体"/>
          <w:b/>
          <w:bCs/>
          <w:color w:val="auto"/>
          <w:sz w:val="24"/>
          <w:highlight w:val="none"/>
        </w:rPr>
        <w:t>采购项目名称：</w:t>
      </w:r>
      <w:bookmarkStart w:id="2" w:name="_Toc495926918"/>
      <w:r>
        <w:rPr>
          <w:rFonts w:hint="eastAsia" w:ascii="宋体" w:hAnsi="宋体" w:cs="宋体"/>
          <w:b/>
          <w:bCs/>
          <w:color w:val="auto"/>
          <w:sz w:val="24"/>
          <w:highlight w:val="none"/>
          <w:lang w:eastAsia="zh-CN"/>
        </w:rPr>
        <w:t>笠里小区环村路道路工程项目</w:t>
      </w:r>
      <w:r>
        <w:rPr>
          <w:rFonts w:hint="eastAsia" w:ascii="宋体" w:hAnsi="宋体" w:eastAsia="宋体" w:cs="宋体"/>
          <w:b/>
          <w:bCs/>
          <w:color w:val="auto"/>
          <w:sz w:val="24"/>
          <w:highlight w:val="none"/>
          <w:lang w:eastAsia="zh-CN"/>
        </w:rPr>
        <w:t xml:space="preserve"> </w:t>
      </w:r>
      <w:r>
        <w:rPr>
          <w:rFonts w:hint="eastAsia" w:ascii="宋体" w:hAnsi="宋体" w:cs="宋体"/>
          <w:b/>
          <w:color w:val="auto"/>
          <w:sz w:val="24"/>
          <w:highlight w:val="none"/>
        </w:rPr>
        <w:t xml:space="preserve"> </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84"/>
        <w:gridCol w:w="3351"/>
        <w:gridCol w:w="1114"/>
        <w:gridCol w:w="1830"/>
        <w:gridCol w:w="2100"/>
      </w:tblGrid>
      <w:tr w14:paraId="297F0E5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1" w:hRule="atLeast"/>
          <w:jc w:val="center"/>
        </w:trPr>
        <w:tc>
          <w:tcPr>
            <w:tcW w:w="784" w:type="dxa"/>
            <w:noWrap w:val="0"/>
            <w:vAlign w:val="center"/>
          </w:tcPr>
          <w:p w14:paraId="045E4F77">
            <w:pPr>
              <w:widowControl/>
              <w:overflowPunct w:val="0"/>
              <w:autoSpaceDE w:val="0"/>
              <w:autoSpaceDN w:val="0"/>
              <w:adjustRightInd w:val="0"/>
              <w:spacing w:line="360" w:lineRule="auto"/>
              <w:jc w:val="center"/>
              <w:textAlignment w:val="baseline"/>
              <w:rPr>
                <w:rFonts w:hint="default" w:ascii="宋体" w:hAnsi="宋体" w:eastAsia="宋体" w:cs="宋体"/>
                <w:b/>
                <w:color w:val="auto"/>
                <w:sz w:val="24"/>
                <w:highlight w:val="none"/>
                <w:lang w:val="en-US" w:eastAsia="zh-CN"/>
              </w:rPr>
            </w:pPr>
            <w:r>
              <w:rPr>
                <w:rFonts w:hint="eastAsia" w:ascii="宋体" w:hAnsi="宋体" w:cs="宋体"/>
                <w:b/>
                <w:color w:val="auto"/>
                <w:sz w:val="24"/>
                <w:highlight w:val="none"/>
                <w:lang w:val="en-US" w:eastAsia="zh-CN"/>
              </w:rPr>
              <w:t>序号</w:t>
            </w:r>
          </w:p>
        </w:tc>
        <w:tc>
          <w:tcPr>
            <w:tcW w:w="3351" w:type="dxa"/>
            <w:noWrap w:val="0"/>
            <w:vAlign w:val="center"/>
          </w:tcPr>
          <w:p w14:paraId="6B2A6263">
            <w:pPr>
              <w:widowControl/>
              <w:overflowPunct w:val="0"/>
              <w:autoSpaceDE w:val="0"/>
              <w:autoSpaceDN w:val="0"/>
              <w:adjustRightInd w:val="0"/>
              <w:spacing w:line="360" w:lineRule="auto"/>
              <w:jc w:val="center"/>
              <w:textAlignment w:val="baseline"/>
              <w:rPr>
                <w:rFonts w:ascii="宋体" w:hAnsi="宋体" w:cs="宋体"/>
                <w:b/>
                <w:color w:val="auto"/>
                <w:sz w:val="24"/>
                <w:highlight w:val="none"/>
              </w:rPr>
            </w:pPr>
            <w:r>
              <w:rPr>
                <w:rFonts w:hint="eastAsia" w:ascii="宋体" w:hAnsi="宋体"/>
                <w:b/>
                <w:bCs/>
                <w:color w:val="auto"/>
                <w:kern w:val="0"/>
                <w:sz w:val="24"/>
                <w:highlight w:val="none"/>
              </w:rPr>
              <w:t>采购内容</w:t>
            </w:r>
          </w:p>
        </w:tc>
        <w:tc>
          <w:tcPr>
            <w:tcW w:w="1114" w:type="dxa"/>
            <w:noWrap w:val="0"/>
            <w:vAlign w:val="center"/>
          </w:tcPr>
          <w:p w14:paraId="1168395B">
            <w:pPr>
              <w:widowControl/>
              <w:overflowPunct w:val="0"/>
              <w:autoSpaceDE w:val="0"/>
              <w:autoSpaceDN w:val="0"/>
              <w:adjustRightInd w:val="0"/>
              <w:spacing w:line="360" w:lineRule="auto"/>
              <w:jc w:val="center"/>
              <w:textAlignment w:val="baseline"/>
              <w:rPr>
                <w:rFonts w:ascii="宋体" w:hAnsi="宋体" w:cs="宋体"/>
                <w:b/>
                <w:color w:val="auto"/>
                <w:sz w:val="24"/>
                <w:highlight w:val="none"/>
              </w:rPr>
            </w:pPr>
            <w:r>
              <w:rPr>
                <w:rFonts w:hint="eastAsia" w:ascii="宋体" w:hAnsi="宋体"/>
                <w:b/>
                <w:bCs/>
                <w:color w:val="auto"/>
                <w:kern w:val="0"/>
                <w:sz w:val="24"/>
                <w:highlight w:val="none"/>
              </w:rPr>
              <w:t>数量</w:t>
            </w:r>
          </w:p>
        </w:tc>
        <w:tc>
          <w:tcPr>
            <w:tcW w:w="1830" w:type="dxa"/>
            <w:noWrap w:val="0"/>
            <w:vAlign w:val="center"/>
          </w:tcPr>
          <w:p w14:paraId="66F3B9EC">
            <w:pPr>
              <w:widowControl/>
              <w:overflowPunct w:val="0"/>
              <w:autoSpaceDE w:val="0"/>
              <w:autoSpaceDN w:val="0"/>
              <w:adjustRightInd w:val="0"/>
              <w:spacing w:line="360" w:lineRule="auto"/>
              <w:jc w:val="center"/>
              <w:textAlignment w:val="baseline"/>
              <w:rPr>
                <w:rFonts w:ascii="宋体" w:hAnsi="宋体" w:cs="宋体"/>
                <w:b/>
                <w:color w:val="auto"/>
                <w:sz w:val="24"/>
                <w:highlight w:val="none"/>
              </w:rPr>
            </w:pPr>
            <w:r>
              <w:rPr>
                <w:rFonts w:hint="eastAsia" w:ascii="宋体" w:hAnsi="宋体"/>
                <w:b/>
                <w:bCs/>
                <w:color w:val="auto"/>
                <w:kern w:val="0"/>
                <w:sz w:val="24"/>
                <w:highlight w:val="none"/>
              </w:rPr>
              <w:t>预算金额</w:t>
            </w:r>
          </w:p>
        </w:tc>
        <w:tc>
          <w:tcPr>
            <w:tcW w:w="2100" w:type="dxa"/>
            <w:noWrap w:val="0"/>
            <w:vAlign w:val="center"/>
          </w:tcPr>
          <w:p w14:paraId="5B105B8E">
            <w:pPr>
              <w:widowControl/>
              <w:overflowPunct w:val="0"/>
              <w:autoSpaceDE w:val="0"/>
              <w:autoSpaceDN w:val="0"/>
              <w:adjustRightInd w:val="0"/>
              <w:spacing w:line="360" w:lineRule="auto"/>
              <w:jc w:val="center"/>
              <w:textAlignment w:val="baseline"/>
              <w:rPr>
                <w:rFonts w:hint="eastAsia" w:ascii="宋体" w:hAnsi="宋体" w:eastAsia="宋体"/>
                <w:b/>
                <w:bCs/>
                <w:color w:val="auto"/>
                <w:kern w:val="0"/>
                <w:sz w:val="24"/>
                <w:highlight w:val="none"/>
                <w:lang w:val="en-US" w:eastAsia="zh-CN"/>
              </w:rPr>
            </w:pPr>
            <w:r>
              <w:rPr>
                <w:rFonts w:hint="eastAsia" w:ascii="宋体" w:hAnsi="宋体"/>
                <w:b/>
                <w:bCs/>
                <w:color w:val="auto"/>
                <w:kern w:val="0"/>
                <w:sz w:val="24"/>
                <w:highlight w:val="none"/>
                <w:lang w:val="en-US" w:eastAsia="zh-CN"/>
              </w:rPr>
              <w:t>最高限价</w:t>
            </w:r>
          </w:p>
        </w:tc>
      </w:tr>
      <w:tr w14:paraId="4499EA9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7" w:hRule="atLeast"/>
          <w:jc w:val="center"/>
        </w:trPr>
        <w:tc>
          <w:tcPr>
            <w:tcW w:w="784" w:type="dxa"/>
            <w:noWrap w:val="0"/>
            <w:vAlign w:val="center"/>
          </w:tcPr>
          <w:p w14:paraId="340E5C7D">
            <w:pPr>
              <w:widowControl/>
              <w:overflowPunct w:val="0"/>
              <w:autoSpaceDE w:val="0"/>
              <w:autoSpaceDN w:val="0"/>
              <w:adjustRightInd w:val="0"/>
              <w:spacing w:line="360" w:lineRule="auto"/>
              <w:jc w:val="center"/>
              <w:textAlignment w:val="baseline"/>
              <w:rPr>
                <w:rFonts w:hint="eastAsia" w:ascii="宋体" w:hAnsi="宋体" w:eastAsia="宋体" w:cs="Times New Roman"/>
                <w:bCs/>
                <w:color w:val="auto"/>
                <w:kern w:val="0"/>
                <w:sz w:val="24"/>
                <w:szCs w:val="24"/>
                <w:highlight w:val="none"/>
                <w:lang w:val="en-US" w:eastAsia="zh-CN" w:bidi="ar-SA"/>
              </w:rPr>
            </w:pPr>
            <w:r>
              <w:rPr>
                <w:rFonts w:hint="eastAsia" w:ascii="宋体" w:hAnsi="宋体"/>
                <w:bCs/>
                <w:color w:val="auto"/>
                <w:kern w:val="0"/>
                <w:sz w:val="24"/>
                <w:highlight w:val="none"/>
                <w:lang w:val="en-US" w:eastAsia="zh-CN"/>
              </w:rPr>
              <w:t>1</w:t>
            </w:r>
          </w:p>
        </w:tc>
        <w:tc>
          <w:tcPr>
            <w:tcW w:w="3351" w:type="dxa"/>
            <w:noWrap w:val="0"/>
            <w:vAlign w:val="center"/>
          </w:tcPr>
          <w:p w14:paraId="1D934855">
            <w:pPr>
              <w:widowControl/>
              <w:overflowPunct w:val="0"/>
              <w:autoSpaceDE w:val="0"/>
              <w:autoSpaceDN w:val="0"/>
              <w:adjustRightInd w:val="0"/>
              <w:spacing w:line="360" w:lineRule="auto"/>
              <w:jc w:val="center"/>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笠里小区环村路道路工程项目</w:t>
            </w:r>
          </w:p>
        </w:tc>
        <w:tc>
          <w:tcPr>
            <w:tcW w:w="1114" w:type="dxa"/>
            <w:noWrap w:val="0"/>
            <w:vAlign w:val="center"/>
          </w:tcPr>
          <w:p w14:paraId="0992695E">
            <w:pPr>
              <w:widowControl/>
              <w:overflowPunct w:val="0"/>
              <w:autoSpaceDE w:val="0"/>
              <w:autoSpaceDN w:val="0"/>
              <w:adjustRightInd w:val="0"/>
              <w:spacing w:line="360" w:lineRule="auto"/>
              <w:jc w:val="center"/>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1项</w:t>
            </w:r>
          </w:p>
        </w:tc>
        <w:tc>
          <w:tcPr>
            <w:tcW w:w="1830" w:type="dxa"/>
            <w:noWrap w:val="0"/>
            <w:vAlign w:val="center"/>
          </w:tcPr>
          <w:p w14:paraId="27FC0A7B">
            <w:pPr>
              <w:widowControl/>
              <w:overflowPunct w:val="0"/>
              <w:autoSpaceDE w:val="0"/>
              <w:autoSpaceDN w:val="0"/>
              <w:adjustRightInd w:val="0"/>
              <w:spacing w:line="360" w:lineRule="auto"/>
              <w:jc w:val="center"/>
              <w:textAlignment w:val="baseline"/>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890075元</w:t>
            </w:r>
          </w:p>
        </w:tc>
        <w:tc>
          <w:tcPr>
            <w:tcW w:w="2100" w:type="dxa"/>
            <w:noWrap w:val="0"/>
            <w:vAlign w:val="center"/>
          </w:tcPr>
          <w:p w14:paraId="278D31B9">
            <w:pPr>
              <w:widowControl/>
              <w:overflowPunct w:val="0"/>
              <w:autoSpaceDE w:val="0"/>
              <w:autoSpaceDN w:val="0"/>
              <w:adjustRightInd w:val="0"/>
              <w:spacing w:line="360" w:lineRule="auto"/>
              <w:jc w:val="center"/>
              <w:textAlignment w:val="baseline"/>
              <w:rPr>
                <w:rFonts w:hint="default" w:ascii="宋体" w:hAnsi="宋体" w:cs="宋体"/>
                <w:color w:val="auto"/>
                <w:sz w:val="24"/>
                <w:highlight w:val="none"/>
                <w:lang w:val="en-US" w:eastAsia="zh-CN"/>
              </w:rPr>
            </w:pPr>
            <w:r>
              <w:rPr>
                <w:rFonts w:hint="eastAsia" w:ascii="宋体" w:hAnsi="宋体" w:cs="宋体"/>
                <w:color w:val="auto"/>
                <w:sz w:val="24"/>
                <w:highlight w:val="none"/>
                <w:lang w:val="en-US" w:eastAsia="zh-CN"/>
              </w:rPr>
              <w:t>837981元</w:t>
            </w:r>
          </w:p>
        </w:tc>
      </w:tr>
    </w:tbl>
    <w:p w14:paraId="341D7A05">
      <w:pPr>
        <w:spacing w:line="324" w:lineRule="auto"/>
        <w:rPr>
          <w:rFonts w:ascii="宋体" w:hAnsi="宋体" w:cs="宋体"/>
          <w:b/>
          <w:color w:val="auto"/>
          <w:sz w:val="24"/>
          <w:szCs w:val="24"/>
          <w:highlight w:val="none"/>
        </w:rPr>
      </w:pPr>
      <w:r>
        <w:rPr>
          <w:rFonts w:hint="eastAsia" w:ascii="宋体" w:hAnsi="宋体" w:cs="宋体"/>
          <w:b/>
          <w:color w:val="auto"/>
          <w:sz w:val="24"/>
          <w:szCs w:val="24"/>
          <w:highlight w:val="none"/>
        </w:rPr>
        <w:t>注：具体清单详见附件预算书。</w:t>
      </w:r>
    </w:p>
    <w:p w14:paraId="7AFA0843">
      <w:pPr>
        <w:numPr>
          <w:ilvl w:val="0"/>
          <w:numId w:val="5"/>
        </w:numPr>
        <w:spacing w:line="360" w:lineRule="auto"/>
        <w:rPr>
          <w:rFonts w:hint="eastAsia" w:ascii="宋体" w:hAnsi="宋体" w:cs="宋体"/>
          <w:b/>
          <w:bCs/>
          <w:color w:val="auto"/>
          <w:sz w:val="24"/>
          <w:highlight w:val="none"/>
        </w:rPr>
      </w:pPr>
      <w:r>
        <w:rPr>
          <w:rFonts w:hint="eastAsia" w:ascii="宋体" w:hAnsi="宋体" w:cs="宋体"/>
          <w:b/>
          <w:bCs/>
          <w:color w:val="auto"/>
          <w:sz w:val="24"/>
          <w:highlight w:val="none"/>
        </w:rPr>
        <w:t>服务内容</w:t>
      </w:r>
    </w:p>
    <w:p w14:paraId="01BA6A56">
      <w:pPr>
        <w:pStyle w:val="70"/>
        <w:spacing w:line="360" w:lineRule="auto"/>
        <w:ind w:firstLine="241" w:firstLineChars="100"/>
        <w:rPr>
          <w:rFonts w:ascii="宋体" w:hAnsi="宋体" w:cs="宋体"/>
          <w:b/>
          <w:bCs/>
          <w:color w:val="auto"/>
          <w:sz w:val="24"/>
          <w:highlight w:val="none"/>
        </w:rPr>
      </w:pPr>
      <w:r>
        <w:rPr>
          <w:rFonts w:hint="eastAsia" w:ascii="宋体" w:hAnsi="宋体" w:cs="宋体"/>
          <w:b/>
          <w:bCs/>
          <w:color w:val="auto"/>
          <w:sz w:val="24"/>
          <w:highlight w:val="none"/>
        </w:rPr>
        <w:t>（一）工程概况：</w:t>
      </w:r>
    </w:p>
    <w:p w14:paraId="3C8D8A91">
      <w:pPr>
        <w:pStyle w:val="70"/>
        <w:spacing w:line="360" w:lineRule="auto"/>
        <w:ind w:firstLine="480" w:firstLineChars="200"/>
        <w:rPr>
          <w:rFonts w:hint="eastAsia" w:ascii="宋体" w:hAnsi="宋体" w:eastAsia="宋体" w:cs="宋体"/>
          <w:color w:val="auto"/>
          <w:sz w:val="24"/>
          <w:highlight w:val="none"/>
          <w:lang w:eastAsia="zh-CN"/>
        </w:rPr>
      </w:pPr>
      <w:r>
        <w:rPr>
          <w:rFonts w:hint="eastAsia" w:ascii="宋体" w:hAnsi="宋体" w:cs="新宋体"/>
          <w:color w:val="auto"/>
          <w:sz w:val="24"/>
          <w:highlight w:val="none"/>
        </w:rPr>
        <w:t>工程名称：</w:t>
      </w:r>
      <w:r>
        <w:rPr>
          <w:rFonts w:hint="eastAsia" w:ascii="宋体" w:hAnsi="宋体" w:cs="宋体"/>
          <w:bCs/>
          <w:color w:val="auto"/>
          <w:sz w:val="24"/>
          <w:highlight w:val="none"/>
          <w:lang w:eastAsia="zh-CN"/>
        </w:rPr>
        <w:t>笠里小区环村路道路工程项目</w:t>
      </w:r>
    </w:p>
    <w:p w14:paraId="182F1D25">
      <w:pPr>
        <w:pStyle w:val="70"/>
        <w:spacing w:line="360" w:lineRule="auto"/>
        <w:ind w:firstLine="480" w:firstLineChars="200"/>
        <w:rPr>
          <w:rFonts w:hint="eastAsia" w:ascii="宋体" w:hAnsi="宋体" w:cs="宋体"/>
          <w:bCs/>
          <w:color w:val="auto"/>
          <w:sz w:val="24"/>
          <w:highlight w:val="none"/>
          <w:lang w:eastAsia="zh-CN"/>
        </w:rPr>
      </w:pPr>
      <w:r>
        <w:rPr>
          <w:rFonts w:hint="eastAsia" w:ascii="宋体" w:hAnsi="宋体" w:cs="宋体"/>
          <w:bCs/>
          <w:color w:val="auto"/>
          <w:sz w:val="24"/>
          <w:highlight w:val="none"/>
          <w:lang w:eastAsia="zh-CN"/>
        </w:rPr>
        <w:t>工程概况：本工程为笠里小区环村路道路工程，工程内容为拆除原水泥路面新建156㎡，新建水泥路面2666㎡，新建挡墙26m，新建侧石361m，DN300钢筋混凝土污水管58.3m，500*500污水检查井4座，DN400钢筋混凝土雨水管43.8m，DN200钢筋混凝土雨水管10m，φ700砖砌检查井2座，单篦式雨水口3座，排水沟173m等。</w:t>
      </w:r>
    </w:p>
    <w:p w14:paraId="1436FF04">
      <w:pPr>
        <w:pStyle w:val="35"/>
        <w:spacing w:before="0" w:after="0" w:line="360" w:lineRule="auto"/>
        <w:ind w:firstLine="241" w:firstLineChars="100"/>
        <w:rPr>
          <w:b/>
          <w:bCs/>
          <w:color w:val="auto"/>
          <w:highlight w:val="none"/>
        </w:rPr>
      </w:pPr>
      <w:r>
        <w:rPr>
          <w:rFonts w:hint="eastAsia"/>
          <w:b/>
          <w:bCs/>
          <w:color w:val="auto"/>
          <w:highlight w:val="none"/>
        </w:rPr>
        <w:t>（二）工作内容：</w:t>
      </w:r>
    </w:p>
    <w:p w14:paraId="22E869E1">
      <w:pPr>
        <w:pStyle w:val="35"/>
        <w:spacing w:before="0" w:after="0" w:line="360" w:lineRule="auto"/>
        <w:ind w:firstLine="480" w:firstLineChars="200"/>
        <w:rPr>
          <w:rFonts w:cs="新宋体"/>
          <w:color w:val="auto"/>
          <w:highlight w:val="none"/>
        </w:rPr>
      </w:pPr>
      <w:r>
        <w:rPr>
          <w:rFonts w:hint="eastAsia" w:cs="新宋体"/>
          <w:color w:val="auto"/>
          <w:highlight w:val="none"/>
        </w:rPr>
        <w:t>1、按图纸设计内容进行施工（包括施工所需的所有工作）。</w:t>
      </w:r>
    </w:p>
    <w:p w14:paraId="21304956">
      <w:pPr>
        <w:pStyle w:val="35"/>
        <w:spacing w:before="0" w:after="0" w:line="360" w:lineRule="auto"/>
        <w:ind w:firstLine="480" w:firstLineChars="200"/>
        <w:rPr>
          <w:rFonts w:cs="新宋体"/>
          <w:color w:val="auto"/>
          <w:highlight w:val="none"/>
        </w:rPr>
      </w:pPr>
      <w:r>
        <w:rPr>
          <w:rFonts w:hint="eastAsia" w:cs="新宋体"/>
          <w:color w:val="auto"/>
          <w:highlight w:val="none"/>
        </w:rPr>
        <w:t>2、工程量：根据采购人提供的施工图纸、预算书等资料。（详见附件）</w:t>
      </w:r>
    </w:p>
    <w:p w14:paraId="55149DA1">
      <w:pPr>
        <w:pStyle w:val="35"/>
        <w:spacing w:before="0" w:after="0" w:line="360" w:lineRule="auto"/>
        <w:ind w:firstLine="480" w:firstLineChars="200"/>
        <w:rPr>
          <w:rFonts w:cs="新宋体"/>
          <w:color w:val="auto"/>
          <w:highlight w:val="none"/>
        </w:rPr>
      </w:pPr>
      <w:r>
        <w:rPr>
          <w:rFonts w:hint="eastAsia" w:cs="新宋体"/>
          <w:color w:val="auto"/>
          <w:highlight w:val="none"/>
        </w:rPr>
        <w:t>3、工程造价包括一切与施工相关的材料、人工、检测、检验、税收等其它费用。</w:t>
      </w:r>
    </w:p>
    <w:p w14:paraId="58D7DE96">
      <w:pPr>
        <w:pStyle w:val="16"/>
        <w:spacing w:line="360" w:lineRule="auto"/>
        <w:ind w:firstLine="241" w:firstLineChars="100"/>
        <w:rPr>
          <w:rFonts w:ascii="宋体" w:hAnsi="宋体" w:cs="宋体"/>
          <w:b/>
          <w:bCs/>
          <w:color w:val="auto"/>
          <w:sz w:val="24"/>
          <w:highlight w:val="none"/>
        </w:rPr>
      </w:pPr>
      <w:r>
        <w:rPr>
          <w:rFonts w:hint="eastAsia" w:ascii="宋体" w:hAnsi="宋体" w:cs="宋体"/>
          <w:b/>
          <w:bCs/>
          <w:color w:val="auto"/>
          <w:sz w:val="24"/>
          <w:highlight w:val="none"/>
        </w:rPr>
        <w:t xml:space="preserve">（三）对拟派项目班子的要求  </w:t>
      </w:r>
    </w:p>
    <w:p w14:paraId="6D270689">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1、项目负责人具有市政专业注册建造师执业资格，且持有安全生产任职资格B类证，未担任本公司的法定代表人（或总经理）或企业技术负责人职务；</w:t>
      </w:r>
    </w:p>
    <w:p w14:paraId="5DBF60D0">
      <w:pPr>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w:t>
      </w:r>
      <w:r>
        <w:rPr>
          <w:rFonts w:ascii="宋体" w:hAnsi="宋体" w:cs="宋体"/>
          <w:color w:val="auto"/>
          <w:sz w:val="24"/>
          <w:highlight w:val="none"/>
        </w:rPr>
        <w:t>项目组成员必须每天到岗到位，施工</w:t>
      </w:r>
      <w:r>
        <w:rPr>
          <w:rFonts w:hint="eastAsia" w:ascii="宋体" w:hAnsi="宋体" w:cs="宋体"/>
          <w:color w:val="auto"/>
          <w:sz w:val="24"/>
          <w:highlight w:val="none"/>
        </w:rPr>
        <w:t>项目</w:t>
      </w:r>
      <w:r>
        <w:rPr>
          <w:rFonts w:ascii="宋体" w:hAnsi="宋体" w:cs="宋体"/>
          <w:color w:val="auto"/>
          <w:sz w:val="24"/>
          <w:highlight w:val="none"/>
        </w:rPr>
        <w:t>负责人每缺勤一天罚款</w:t>
      </w:r>
      <w:r>
        <w:rPr>
          <w:rFonts w:hint="eastAsia" w:ascii="宋体" w:hAnsi="宋体" w:cs="宋体"/>
          <w:color w:val="auto"/>
          <w:sz w:val="24"/>
          <w:highlight w:val="none"/>
          <w:u w:val="single"/>
        </w:rPr>
        <w:t>5000</w:t>
      </w:r>
      <w:r>
        <w:rPr>
          <w:rFonts w:ascii="宋体" w:hAnsi="宋体" w:cs="宋体"/>
          <w:color w:val="auto"/>
          <w:sz w:val="24"/>
          <w:highlight w:val="none"/>
        </w:rPr>
        <w:t>元/天，管理人员每缺勤一天罚款</w:t>
      </w:r>
      <w:r>
        <w:rPr>
          <w:rFonts w:hint="eastAsia" w:ascii="宋体" w:hAnsi="宋体" w:cs="宋体"/>
          <w:color w:val="auto"/>
          <w:sz w:val="24"/>
          <w:highlight w:val="none"/>
          <w:u w:val="single"/>
        </w:rPr>
        <w:t>1000</w:t>
      </w:r>
      <w:r>
        <w:rPr>
          <w:rFonts w:ascii="宋体" w:hAnsi="宋体" w:cs="宋体"/>
          <w:color w:val="auto"/>
          <w:sz w:val="24"/>
          <w:highlight w:val="none"/>
        </w:rPr>
        <w:t>元/天。到岗率低于50%或连续无故不到岗时，采购人有权终止合同，并追究因此给采购人造成的损失。在施工期间，采购人认为中标</w:t>
      </w:r>
      <w:r>
        <w:rPr>
          <w:rFonts w:hint="eastAsia" w:ascii="宋体" w:hAnsi="宋体" w:cs="宋体"/>
          <w:color w:val="auto"/>
          <w:sz w:val="24"/>
          <w:highlight w:val="none"/>
        </w:rPr>
        <w:t>人</w:t>
      </w:r>
      <w:r>
        <w:rPr>
          <w:rFonts w:ascii="宋体" w:hAnsi="宋体" w:cs="宋体"/>
          <w:color w:val="auto"/>
          <w:sz w:val="24"/>
          <w:highlight w:val="none"/>
        </w:rPr>
        <w:t>所选派的施工</w:t>
      </w:r>
      <w:r>
        <w:rPr>
          <w:rFonts w:hint="eastAsia" w:ascii="宋体" w:hAnsi="宋体" w:cs="宋体"/>
          <w:color w:val="auto"/>
          <w:sz w:val="24"/>
          <w:highlight w:val="none"/>
        </w:rPr>
        <w:t>项目</w:t>
      </w:r>
      <w:r>
        <w:rPr>
          <w:rFonts w:ascii="宋体" w:hAnsi="宋体" w:cs="宋体"/>
          <w:color w:val="auto"/>
          <w:sz w:val="24"/>
          <w:highlight w:val="none"/>
        </w:rPr>
        <w:t>负责人、管理人员的现场管理能力、水平不能满足工程建设需要时，有权要求</w:t>
      </w:r>
      <w:r>
        <w:rPr>
          <w:rFonts w:hint="eastAsia" w:ascii="宋体" w:hAnsi="宋体" w:cs="宋体"/>
          <w:color w:val="auto"/>
          <w:sz w:val="24"/>
          <w:highlight w:val="none"/>
        </w:rPr>
        <w:t>中标人</w:t>
      </w:r>
      <w:r>
        <w:rPr>
          <w:rFonts w:ascii="宋体" w:hAnsi="宋体" w:cs="宋体"/>
          <w:color w:val="auto"/>
          <w:sz w:val="24"/>
          <w:highlight w:val="none"/>
        </w:rPr>
        <w:t>选换施工</w:t>
      </w:r>
      <w:r>
        <w:rPr>
          <w:rFonts w:hint="eastAsia" w:ascii="宋体" w:hAnsi="宋体" w:cs="宋体"/>
          <w:color w:val="auto"/>
          <w:sz w:val="24"/>
          <w:highlight w:val="none"/>
        </w:rPr>
        <w:t>项目</w:t>
      </w:r>
      <w:r>
        <w:rPr>
          <w:rFonts w:ascii="宋体" w:hAnsi="宋体" w:cs="宋体"/>
          <w:color w:val="auto"/>
          <w:sz w:val="24"/>
          <w:highlight w:val="none"/>
        </w:rPr>
        <w:t>负责人、管理人员。</w:t>
      </w:r>
      <w:r>
        <w:rPr>
          <w:rFonts w:hint="eastAsia" w:ascii="宋体" w:hAnsi="宋体" w:cs="宋体"/>
          <w:color w:val="auto"/>
          <w:sz w:val="24"/>
          <w:highlight w:val="none"/>
        </w:rPr>
        <w:t>中标人</w:t>
      </w:r>
      <w:r>
        <w:rPr>
          <w:rFonts w:ascii="宋体" w:hAnsi="宋体" w:cs="宋体"/>
          <w:color w:val="auto"/>
          <w:sz w:val="24"/>
          <w:highlight w:val="none"/>
        </w:rPr>
        <w:t>擅自更换施工项目负责人、管理人员的，分别罚款人民币</w:t>
      </w:r>
      <w:r>
        <w:rPr>
          <w:rFonts w:hint="eastAsia" w:ascii="宋体" w:hAnsi="宋体" w:cs="宋体"/>
          <w:color w:val="auto"/>
          <w:sz w:val="24"/>
          <w:highlight w:val="none"/>
          <w:u w:val="single"/>
        </w:rPr>
        <w:t>20000</w:t>
      </w:r>
      <w:r>
        <w:rPr>
          <w:rFonts w:ascii="宋体" w:hAnsi="宋体" w:cs="宋体"/>
          <w:color w:val="auto"/>
          <w:sz w:val="24"/>
          <w:highlight w:val="none"/>
        </w:rPr>
        <w:t>元/人次、</w:t>
      </w:r>
      <w:r>
        <w:rPr>
          <w:rFonts w:hint="eastAsia" w:ascii="宋体" w:hAnsi="宋体" w:cs="宋体"/>
          <w:color w:val="auto"/>
          <w:sz w:val="24"/>
          <w:highlight w:val="none"/>
          <w:u w:val="single"/>
        </w:rPr>
        <w:t>10000</w:t>
      </w:r>
      <w:r>
        <w:rPr>
          <w:rFonts w:ascii="宋体" w:hAnsi="宋体" w:cs="宋体"/>
          <w:color w:val="auto"/>
          <w:sz w:val="24"/>
          <w:highlight w:val="none"/>
        </w:rPr>
        <w:t>元/人次。</w:t>
      </w:r>
    </w:p>
    <w:p w14:paraId="41D8022C">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.中标人应按投标</w:t>
      </w:r>
      <w:r>
        <w:rPr>
          <w:rFonts w:hint="eastAsia" w:ascii="宋体" w:hAnsi="宋体" w:cs="宋体"/>
          <w:color w:val="auto"/>
          <w:sz w:val="24"/>
          <w:highlight w:val="none"/>
          <w:lang w:val="en-US" w:eastAsia="zh-CN"/>
        </w:rPr>
        <w:t>响应</w:t>
      </w:r>
      <w:r>
        <w:rPr>
          <w:rFonts w:hint="eastAsia" w:ascii="宋体" w:hAnsi="宋体" w:cs="宋体"/>
          <w:color w:val="auto"/>
          <w:sz w:val="24"/>
          <w:highlight w:val="none"/>
        </w:rPr>
        <w:t>文件的承诺组建工程项目管理班子。</w:t>
      </w:r>
    </w:p>
    <w:p w14:paraId="698C1681">
      <w:pPr>
        <w:spacing w:line="360" w:lineRule="auto"/>
        <w:ind w:left="210" w:leftChars="100"/>
        <w:rPr>
          <w:rFonts w:ascii="宋体" w:hAnsi="宋体" w:cs="宋体"/>
          <w:b/>
          <w:bCs/>
          <w:color w:val="auto"/>
          <w:sz w:val="24"/>
          <w:highlight w:val="none"/>
        </w:rPr>
      </w:pPr>
      <w:bookmarkStart w:id="3" w:name="_Toc65075441"/>
      <w:r>
        <w:rPr>
          <w:rFonts w:hint="eastAsia" w:ascii="宋体" w:hAnsi="宋体" w:cs="宋体"/>
          <w:b/>
          <w:bCs/>
          <w:color w:val="auto"/>
          <w:sz w:val="24"/>
          <w:highlight w:val="none"/>
        </w:rPr>
        <w:t>（四）项目质量及施工安全</w:t>
      </w:r>
    </w:p>
    <w:p w14:paraId="03B10F81">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rPr>
        <w:t xml:space="preserve">1、本项目所用材料应必须有合格证，工程质量以国家相关标准规范验收合格为准。   </w:t>
      </w:r>
    </w:p>
    <w:p w14:paraId="3F1A50C0">
      <w:pPr>
        <w:spacing w:line="360" w:lineRule="auto"/>
        <w:ind w:left="210" w:leftChars="100" w:firstLine="480" w:firstLineChars="200"/>
        <w:rPr>
          <w:rFonts w:hint="eastAsia" w:ascii="宋体" w:hAnsi="宋体" w:cs="宋体"/>
          <w:color w:val="auto"/>
          <w:sz w:val="24"/>
          <w:highlight w:val="none"/>
        </w:rPr>
      </w:pPr>
      <w:r>
        <w:rPr>
          <w:rFonts w:hint="eastAsia" w:ascii="宋体" w:hAnsi="宋体" w:cs="宋体"/>
          <w:color w:val="auto"/>
          <w:sz w:val="24"/>
          <w:highlight w:val="none"/>
        </w:rPr>
        <w:t>2、本项目招标人推荐的建材品牌详见工程预算书，磋商响应方报价时需在投标编制说明或主要材料价格表中注明上述材料名称的品牌，</w:t>
      </w:r>
      <w:r>
        <w:rPr>
          <w:rFonts w:hint="eastAsia" w:ascii="宋体" w:hAnsi="宋体" w:cs="宋体"/>
          <w:color w:val="auto"/>
          <w:sz w:val="24"/>
          <w:highlight w:val="none"/>
          <w:lang w:val="en-US" w:eastAsia="zh-CN"/>
        </w:rPr>
        <w:t>材料</w:t>
      </w:r>
      <w:r>
        <w:rPr>
          <w:rFonts w:hint="eastAsia" w:ascii="宋体" w:hAnsi="宋体" w:cs="宋体"/>
          <w:color w:val="auto"/>
          <w:sz w:val="24"/>
          <w:highlight w:val="none"/>
        </w:rPr>
        <w:t>品牌</w:t>
      </w:r>
      <w:r>
        <w:rPr>
          <w:rFonts w:hint="eastAsia" w:ascii="宋体" w:hAnsi="宋体" w:cs="宋体"/>
          <w:color w:val="auto"/>
          <w:sz w:val="24"/>
          <w:highlight w:val="none"/>
          <w:lang w:val="en-US" w:eastAsia="zh-CN"/>
        </w:rPr>
        <w:t>可以</w:t>
      </w:r>
      <w:r>
        <w:rPr>
          <w:rFonts w:hint="eastAsia" w:ascii="宋体" w:hAnsi="宋体" w:cs="宋体"/>
          <w:color w:val="auto"/>
          <w:sz w:val="24"/>
          <w:highlight w:val="none"/>
        </w:rPr>
        <w:t>在上表中选择一个或者不低于同等档次品牌。</w:t>
      </w:r>
    </w:p>
    <w:p w14:paraId="39B7A055">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项目施工材料应按相关规定进行检验，合格后方可使用。</w:t>
      </w:r>
    </w:p>
    <w:p w14:paraId="783175EA">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、应按国家、行业现行规范进行施工。</w:t>
      </w:r>
    </w:p>
    <w:p w14:paraId="39CFDA6A">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、施工过程应做好相关资料记录。</w:t>
      </w:r>
    </w:p>
    <w:p w14:paraId="297227F8">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、必须按相关规定接受采购人委托单位的监督和检查，并提供相关资料。</w:t>
      </w:r>
    </w:p>
    <w:p w14:paraId="0F1F5397">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、中标人在施工期间发生安全事故、人身安全和交通安全等大小事故，一切责任和经济补偿均由中标人负责,采购人不承担任何责任。</w:t>
      </w:r>
    </w:p>
    <w:p w14:paraId="090C9E84">
      <w:pPr>
        <w:spacing w:line="360" w:lineRule="auto"/>
        <w:ind w:left="210" w:leftChars="100" w:firstLine="480" w:firstLineChars="200"/>
        <w:rPr>
          <w:rFonts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、中标人不服从采购人施工管理、施工管理不规范、安全质量达不到要求、不能在规定工期内完成等情形；采购人有权暂停或取消其施工资格。</w:t>
      </w:r>
    </w:p>
    <w:p w14:paraId="4046DF49">
      <w:pPr>
        <w:spacing w:line="360" w:lineRule="auto"/>
        <w:ind w:left="210" w:leftChars="100" w:firstLine="480" w:firstLineChars="200"/>
        <w:rPr>
          <w:rFonts w:ascii="宋体" w:hAnsi="宋体" w:cs="宋体"/>
          <w:color w:val="auto"/>
          <w:kern w:val="0"/>
          <w:sz w:val="24"/>
          <w:highlight w:val="none"/>
        </w:rPr>
      </w:pPr>
      <w:r>
        <w:rPr>
          <w:rFonts w:hint="eastAsia" w:ascii="宋体" w:hAnsi="宋体" w:cs="宋体"/>
          <w:color w:val="auto"/>
          <w:kern w:val="0"/>
          <w:sz w:val="24"/>
          <w:highlight w:val="none"/>
          <w:lang w:val="en-US" w:eastAsia="zh-CN"/>
        </w:rPr>
        <w:t>9</w:t>
      </w:r>
      <w:r>
        <w:rPr>
          <w:rFonts w:hint="eastAsia" w:ascii="宋体" w:hAnsi="宋体" w:cs="宋体"/>
          <w:color w:val="auto"/>
          <w:kern w:val="0"/>
          <w:sz w:val="24"/>
          <w:highlight w:val="none"/>
        </w:rPr>
        <w:t>、中标人应做好现场施工噪音、环境卫生、材料堆放、安全警示等工作，并负责施工期间与环保、交通城管等部门的沟通协调工作，做好现场秩序的维护，如因中标人原因受到处罚、赔款、纠纷或因此而引起采购人经济损失的，均由中标人承担责任。</w:t>
      </w:r>
    </w:p>
    <w:p w14:paraId="7D530193">
      <w:pPr>
        <w:spacing w:line="360" w:lineRule="auto"/>
        <w:ind w:left="210" w:leftChars="100" w:firstLine="482" w:firstLineChars="200"/>
        <w:rPr>
          <w:rFonts w:hint="eastAsia" w:ascii="宋体" w:hAnsi="宋体" w:cs="宋体"/>
          <w:color w:val="auto"/>
          <w:kern w:val="0"/>
          <w:sz w:val="24"/>
          <w:highlight w:val="none"/>
        </w:rPr>
      </w:pPr>
      <w:r>
        <w:rPr>
          <w:rFonts w:hint="eastAsia" w:ascii="宋体" w:hAnsi="宋体" w:cs="宋体"/>
          <w:b/>
          <w:bCs/>
          <w:color w:val="auto"/>
          <w:sz w:val="24"/>
          <w:highlight w:val="none"/>
        </w:rPr>
        <w:t>▲</w:t>
      </w:r>
      <w:r>
        <w:rPr>
          <w:rFonts w:hint="eastAsia" w:ascii="宋体" w:hAnsi="宋体" w:cs="宋体"/>
          <w:color w:val="auto"/>
          <w:kern w:val="0"/>
          <w:sz w:val="24"/>
          <w:highlight w:val="none"/>
          <w:lang w:val="en-US" w:eastAsia="zh-CN"/>
        </w:rPr>
        <w:t>10</w:t>
      </w:r>
      <w:r>
        <w:rPr>
          <w:rFonts w:hint="eastAsia" w:ascii="宋体" w:hAnsi="宋体" w:cs="宋体"/>
          <w:color w:val="auto"/>
          <w:kern w:val="0"/>
          <w:sz w:val="24"/>
          <w:highlight w:val="none"/>
        </w:rPr>
        <w:t>、工程质量以国家相关标准规范验收合格为准，如达不到约定的质量标准，采购人可要求中标人返工，直至达到约定的质量标准，并由中标人承担返工的一切费用。</w:t>
      </w:r>
    </w:p>
    <w:p w14:paraId="39EFFAF7">
      <w:pPr>
        <w:keepNext w:val="0"/>
        <w:keepLines w:val="0"/>
        <w:pageBreakBefore w:val="0"/>
        <w:kinsoku/>
        <w:wordWrap/>
        <w:overflowPunct/>
        <w:topLinePunct w:val="0"/>
        <w:autoSpaceDE/>
        <w:autoSpaceDN/>
        <w:bidi w:val="0"/>
        <w:spacing w:line="312" w:lineRule="auto"/>
        <w:ind w:firstLine="720" w:firstLineChars="300"/>
        <w:textAlignment w:val="auto"/>
        <w:rPr>
          <w:rFonts w:hint="eastAsia"/>
          <w:color w:val="auto"/>
          <w:highlight w:val="none"/>
        </w:rPr>
      </w:pPr>
      <w:r>
        <w:rPr>
          <w:rFonts w:hint="eastAsia" w:ascii="宋体" w:hAnsi="宋体" w:cs="宋体"/>
          <w:color w:val="auto"/>
          <w:sz w:val="24"/>
          <w:highlight w:val="none"/>
          <w:lang w:val="en-US" w:eastAsia="zh-CN"/>
        </w:rPr>
        <w:t>11</w:t>
      </w:r>
      <w:r>
        <w:rPr>
          <w:rFonts w:hint="eastAsia" w:ascii="宋体" w:hAnsi="宋体" w:eastAsia="宋体" w:cs="宋体"/>
          <w:color w:val="auto"/>
          <w:sz w:val="24"/>
          <w:highlight w:val="none"/>
          <w:lang w:val="en-US" w:eastAsia="zh-CN"/>
        </w:rPr>
        <w:t>、</w:t>
      </w:r>
      <w:r>
        <w:rPr>
          <w:rFonts w:hint="eastAsia" w:ascii="宋体" w:hAnsi="宋体" w:eastAsia="宋体" w:cs="宋体"/>
          <w:color w:val="auto"/>
          <w:sz w:val="24"/>
          <w:highlight w:val="none"/>
        </w:rPr>
        <w:t>工程现场扬尘污染防治管理按《东阳市建设工程扬尘污染防治管理办法》（东政发【2015】45号）文件执行</w:t>
      </w:r>
      <w:r>
        <w:rPr>
          <w:rFonts w:hint="eastAsia" w:ascii="宋体" w:hAnsi="宋体" w:eastAsia="宋体" w:cs="宋体"/>
          <w:color w:val="auto"/>
          <w:sz w:val="24"/>
          <w:highlight w:val="none"/>
          <w:lang w:val="en-US" w:eastAsia="zh-CN"/>
        </w:rPr>
        <w:t>。</w:t>
      </w:r>
    </w:p>
    <w:p w14:paraId="7FA16D6E">
      <w:pPr>
        <w:keepNext w:val="0"/>
        <w:keepLines w:val="0"/>
        <w:pageBreakBefore w:val="0"/>
        <w:kinsoku/>
        <w:wordWrap/>
        <w:overflowPunct/>
        <w:topLinePunct w:val="0"/>
        <w:autoSpaceDE/>
        <w:autoSpaceDN/>
        <w:bidi w:val="0"/>
        <w:spacing w:line="312" w:lineRule="auto"/>
        <w:ind w:firstLine="720" w:firstLineChars="300"/>
        <w:textAlignment w:val="auto"/>
        <w:rPr>
          <w:color w:val="auto"/>
          <w:highlight w:val="none"/>
        </w:rPr>
      </w:pPr>
      <w:r>
        <w:rPr>
          <w:rFonts w:hint="eastAsia" w:ascii="宋体" w:hAnsi="宋体" w:eastAsia="宋体" w:cs="宋体"/>
          <w:color w:val="auto"/>
          <w:sz w:val="24"/>
          <w:highlight w:val="none"/>
          <w:lang w:val="en-US" w:eastAsia="zh-CN"/>
        </w:rPr>
        <w:t>12</w:t>
      </w:r>
      <w:r>
        <w:rPr>
          <w:rFonts w:hint="eastAsia" w:ascii="宋体" w:hAnsi="宋体" w:eastAsia="宋体" w:cs="宋体"/>
          <w:color w:val="auto"/>
          <w:sz w:val="24"/>
          <w:highlight w:val="none"/>
        </w:rPr>
        <w:t>、项目完成后，并在质保期内发现有质量问题的，中标人必须在采购人规定响应时间内进行修复。</w:t>
      </w:r>
    </w:p>
    <w:p w14:paraId="3EFB7AC9">
      <w:pPr>
        <w:spacing w:line="360" w:lineRule="auto"/>
        <w:rPr>
          <w:rFonts w:ascii="宋体" w:hAnsi="宋体"/>
          <w:color w:val="auto"/>
          <w:sz w:val="24"/>
          <w:highlight w:val="none"/>
        </w:rPr>
      </w:pPr>
      <w:r>
        <w:rPr>
          <w:rFonts w:hint="eastAsia" w:ascii="宋体" w:hAnsi="宋体" w:cs="Arial"/>
          <w:b/>
          <w:color w:val="auto"/>
          <w:sz w:val="24"/>
          <w:highlight w:val="none"/>
        </w:rPr>
        <w:t xml:space="preserve">（五）付款方式  </w:t>
      </w:r>
    </w:p>
    <w:p w14:paraId="1AD46798">
      <w:pPr>
        <w:spacing w:line="360" w:lineRule="auto"/>
        <w:rPr>
          <w:rFonts w:hint="eastAsia" w:ascii="宋体" w:hAnsi="宋体"/>
          <w:color w:val="auto"/>
          <w:sz w:val="24"/>
          <w:highlight w:val="none"/>
        </w:rPr>
      </w:pPr>
      <w:r>
        <w:rPr>
          <w:rFonts w:hint="eastAsia" w:ascii="宋体" w:hAnsi="宋体"/>
          <w:color w:val="auto"/>
          <w:sz w:val="24"/>
          <w:highlight w:val="none"/>
        </w:rPr>
        <w:t>（1）合同生效以及具备实施条件后7个工作日内支付合同价款的40%作为预付款（中标人须提交预付款保函）；</w:t>
      </w:r>
    </w:p>
    <w:p w14:paraId="75BC329B">
      <w:pPr>
        <w:spacing w:line="360" w:lineRule="auto"/>
        <w:rPr>
          <w:rFonts w:hint="eastAsia" w:ascii="宋体" w:hAnsi="宋体" w:eastAsia="宋体"/>
          <w:color w:val="auto"/>
          <w:sz w:val="24"/>
          <w:highlight w:val="none"/>
          <w:lang w:eastAsia="zh-CN"/>
        </w:rPr>
      </w:pPr>
      <w:r>
        <w:rPr>
          <w:rFonts w:hint="eastAsia" w:ascii="宋体" w:hAnsi="宋体"/>
          <w:color w:val="auto"/>
          <w:sz w:val="24"/>
          <w:highlight w:val="none"/>
        </w:rPr>
        <w:t>（2）全部工程完工后</w:t>
      </w:r>
      <w:r>
        <w:rPr>
          <w:rFonts w:hint="eastAsia" w:ascii="宋体" w:hAnsi="宋体"/>
          <w:color w:val="auto"/>
          <w:sz w:val="24"/>
          <w:highlight w:val="none"/>
          <w:lang w:val="en-US" w:eastAsia="zh-CN"/>
        </w:rPr>
        <w:t>在7个工作日内</w:t>
      </w:r>
      <w:r>
        <w:rPr>
          <w:rFonts w:hint="eastAsia" w:ascii="宋体" w:hAnsi="宋体"/>
          <w:color w:val="auto"/>
          <w:sz w:val="24"/>
          <w:highlight w:val="none"/>
        </w:rPr>
        <w:t>支付至合同价款的85%</w:t>
      </w:r>
      <w:r>
        <w:rPr>
          <w:rFonts w:hint="eastAsia" w:ascii="宋体" w:hAnsi="宋体"/>
          <w:color w:val="auto"/>
          <w:sz w:val="24"/>
          <w:highlight w:val="none"/>
          <w:lang w:eastAsia="zh-CN"/>
        </w:rPr>
        <w:t>；</w:t>
      </w:r>
    </w:p>
    <w:p w14:paraId="2C4AFE3E">
      <w:pPr>
        <w:spacing w:line="360" w:lineRule="auto"/>
        <w:rPr>
          <w:rFonts w:hint="eastAsia" w:ascii="宋体" w:hAnsi="宋体"/>
          <w:color w:val="auto"/>
          <w:sz w:val="24"/>
          <w:highlight w:val="none"/>
        </w:rPr>
      </w:pPr>
      <w:r>
        <w:rPr>
          <w:rFonts w:hint="eastAsia" w:ascii="宋体" w:hAnsi="宋体"/>
          <w:color w:val="auto"/>
          <w:sz w:val="24"/>
          <w:highlight w:val="none"/>
        </w:rPr>
        <w:t>（3）工程通过竣工验收合格后凭竣工验收报告在7个工作日内支付至合同价款的100%。</w:t>
      </w:r>
    </w:p>
    <w:p w14:paraId="2B9F5FDF">
      <w:pPr>
        <w:spacing w:line="360" w:lineRule="auto"/>
        <w:rPr>
          <w:rFonts w:hint="eastAsia" w:ascii="宋体" w:hAnsi="宋体" w:eastAsia="宋体"/>
          <w:b/>
          <w:bCs/>
          <w:color w:val="auto"/>
          <w:sz w:val="24"/>
          <w:highlight w:val="none"/>
          <w:lang w:val="en-US" w:eastAsia="zh-CN"/>
        </w:rPr>
      </w:pPr>
      <w:r>
        <w:rPr>
          <w:rFonts w:hint="eastAsia" w:ascii="宋体" w:hAnsi="宋体"/>
          <w:b/>
          <w:bCs/>
          <w:color w:val="auto"/>
          <w:sz w:val="24"/>
          <w:highlight w:val="none"/>
          <w:lang w:val="en-US" w:eastAsia="zh-CN"/>
        </w:rPr>
        <w:t>注：本项目工程款由白云商贸园区管理委员会按项目进度进行支付。</w:t>
      </w:r>
    </w:p>
    <w:p w14:paraId="653090B1">
      <w:pPr>
        <w:spacing w:line="360" w:lineRule="auto"/>
        <w:rPr>
          <w:rFonts w:ascii="宋体" w:hAnsi="宋体" w:cs="Arial"/>
          <w:b/>
          <w:bCs/>
          <w:color w:val="auto"/>
          <w:sz w:val="24"/>
          <w:highlight w:val="none"/>
        </w:rPr>
      </w:pPr>
      <w:r>
        <w:rPr>
          <w:rFonts w:hint="eastAsia" w:ascii="宋体" w:hAnsi="宋体" w:cs="Arial"/>
          <w:b/>
          <w:bCs/>
          <w:color w:val="auto"/>
          <w:sz w:val="24"/>
          <w:highlight w:val="none"/>
        </w:rPr>
        <w:t>（</w:t>
      </w:r>
      <w:r>
        <w:rPr>
          <w:rFonts w:hint="eastAsia" w:ascii="宋体" w:hAnsi="宋体" w:cs="Arial"/>
          <w:b/>
          <w:bCs/>
          <w:color w:val="auto"/>
          <w:sz w:val="24"/>
          <w:highlight w:val="none"/>
          <w:lang w:val="en-US" w:eastAsia="zh-CN"/>
        </w:rPr>
        <w:t>六</w:t>
      </w:r>
      <w:r>
        <w:rPr>
          <w:rFonts w:hint="eastAsia" w:ascii="宋体" w:hAnsi="宋体" w:cs="Arial"/>
          <w:b/>
          <w:bCs/>
          <w:color w:val="auto"/>
          <w:sz w:val="24"/>
          <w:highlight w:val="none"/>
        </w:rPr>
        <w:t>）商务条款及其他要求</w:t>
      </w:r>
    </w:p>
    <w:bookmarkEnd w:id="3"/>
    <w:p w14:paraId="51848415">
      <w:pPr>
        <w:spacing w:line="360" w:lineRule="auto"/>
        <w:rPr>
          <w:rFonts w:hint="eastAsia" w:ascii="宋体" w:hAnsi="宋体" w:eastAsia="宋体"/>
          <w:color w:val="auto"/>
          <w:sz w:val="24"/>
          <w:highlight w:val="none"/>
          <w:lang w:eastAsia="zh-CN"/>
        </w:rPr>
      </w:pPr>
      <w:r>
        <w:rPr>
          <w:rFonts w:hint="eastAsia" w:ascii="宋体" w:hAnsi="宋体" w:eastAsia="宋体"/>
          <w:color w:val="auto"/>
          <w:sz w:val="24"/>
          <w:highlight w:val="none"/>
        </w:rPr>
        <w:t>1、工期：</w:t>
      </w:r>
      <w:r>
        <w:rPr>
          <w:rFonts w:hint="eastAsia" w:ascii="宋体" w:hAnsi="宋体" w:eastAsia="宋体"/>
          <w:color w:val="auto"/>
          <w:sz w:val="24"/>
          <w:highlight w:val="none"/>
          <w:lang w:eastAsia="zh-CN"/>
        </w:rPr>
        <w:t>合同签订后</w:t>
      </w:r>
      <w:r>
        <w:rPr>
          <w:rFonts w:hint="eastAsia" w:ascii="宋体" w:hAnsi="宋体"/>
          <w:color w:val="auto"/>
          <w:sz w:val="24"/>
          <w:highlight w:val="none"/>
          <w:lang w:val="en-US" w:eastAsia="zh-CN"/>
        </w:rPr>
        <w:t>60</w:t>
      </w:r>
      <w:r>
        <w:rPr>
          <w:rFonts w:hint="eastAsia" w:ascii="宋体" w:hAnsi="宋体" w:eastAsia="宋体"/>
          <w:color w:val="auto"/>
          <w:sz w:val="24"/>
          <w:highlight w:val="none"/>
          <w:lang w:eastAsia="zh-CN"/>
        </w:rPr>
        <w:t>日历天。（如果实际施工工期提前于合同工期，采购人不给予奖励。如因采购人原因造成工期延误，工期顺延。）</w:t>
      </w:r>
    </w:p>
    <w:p w14:paraId="18B18AF2">
      <w:pPr>
        <w:spacing w:line="360" w:lineRule="auto"/>
        <w:rPr>
          <w:rFonts w:hint="eastAsia" w:ascii="宋体" w:hAnsi="宋体" w:eastAsia="宋体"/>
          <w:color w:val="auto"/>
          <w:sz w:val="24"/>
          <w:highlight w:val="none"/>
        </w:rPr>
      </w:pPr>
      <w:r>
        <w:rPr>
          <w:rFonts w:hint="eastAsia" w:ascii="宋体" w:hAnsi="宋体" w:eastAsia="宋体"/>
          <w:color w:val="auto"/>
          <w:sz w:val="24"/>
          <w:highlight w:val="none"/>
        </w:rPr>
        <w:t>2、施工质保期：2年，自验收合格之日起计算。</w:t>
      </w:r>
    </w:p>
    <w:p w14:paraId="0D218154">
      <w:pPr>
        <w:spacing w:line="360" w:lineRule="auto"/>
        <w:rPr>
          <w:rFonts w:hint="eastAsia" w:ascii="宋体" w:hAnsi="宋体" w:eastAsia="宋体"/>
          <w:color w:val="auto"/>
          <w:sz w:val="24"/>
          <w:highlight w:val="none"/>
        </w:rPr>
      </w:pPr>
      <w:r>
        <w:rPr>
          <w:rFonts w:hint="eastAsia" w:ascii="宋体" w:hAnsi="宋体" w:eastAsia="宋体"/>
          <w:color w:val="auto"/>
          <w:sz w:val="24"/>
          <w:highlight w:val="none"/>
        </w:rPr>
        <w:t>3、本合同为固定总价合同，其合同总价已包含采购人确认的施工图、磋商响应方报价所列内容及所涉及的各项风险费用，竣工结算时在完成本合同工程范围内不作调整。</w:t>
      </w:r>
    </w:p>
    <w:p w14:paraId="4DE9A943">
      <w:pPr>
        <w:spacing w:line="360" w:lineRule="auto"/>
        <w:rPr>
          <w:rFonts w:hint="eastAsia" w:ascii="宋体" w:hAnsi="宋体" w:eastAsia="宋体"/>
          <w:color w:val="auto"/>
          <w:sz w:val="24"/>
          <w:highlight w:val="none"/>
        </w:rPr>
      </w:pPr>
      <w:r>
        <w:rPr>
          <w:rFonts w:hint="eastAsia" w:ascii="宋体" w:hAnsi="宋体" w:eastAsia="宋体"/>
          <w:color w:val="auto"/>
          <w:sz w:val="24"/>
          <w:highlight w:val="none"/>
        </w:rPr>
        <w:t>4、磋商报价包括施工所需的施工费、材料费、机械费、人工费、服务费、运输费、安全措施费、招标代理费等实施本项目相关的一切费用及税金。</w:t>
      </w:r>
    </w:p>
    <w:p w14:paraId="15FC3B7F">
      <w:pPr>
        <w:spacing w:line="360" w:lineRule="auto"/>
        <w:rPr>
          <w:rFonts w:hint="eastAsia" w:ascii="宋体" w:hAnsi="宋体" w:eastAsia="宋体"/>
          <w:color w:val="auto"/>
          <w:sz w:val="24"/>
          <w:highlight w:val="none"/>
        </w:rPr>
      </w:pPr>
      <w:r>
        <w:rPr>
          <w:rFonts w:hint="eastAsia" w:ascii="宋体" w:hAnsi="宋体" w:eastAsia="宋体"/>
          <w:color w:val="auto"/>
          <w:sz w:val="24"/>
          <w:highlight w:val="none"/>
        </w:rPr>
        <w:t>5、供应商应自行勘察现场，工程风险由供应商自行承担，结合自身能力进行磋商报价。</w:t>
      </w:r>
    </w:p>
    <w:p w14:paraId="5C766E0F">
      <w:pPr>
        <w:spacing w:line="360" w:lineRule="auto"/>
        <w:rPr>
          <w:rFonts w:hint="eastAsia" w:ascii="宋体" w:hAnsi="宋体" w:eastAsia="宋体" w:cs="Arial"/>
          <w:b/>
          <w:bCs/>
          <w:color w:val="auto"/>
          <w:sz w:val="24"/>
          <w:highlight w:val="none"/>
        </w:rPr>
      </w:pPr>
      <w:r>
        <w:rPr>
          <w:rFonts w:hint="eastAsia" w:ascii="宋体" w:hAnsi="宋体" w:eastAsia="宋体" w:cs="Arial"/>
          <w:b/>
          <w:bCs/>
          <w:color w:val="auto"/>
          <w:sz w:val="24"/>
          <w:highlight w:val="none"/>
          <w:lang w:eastAsia="zh-CN"/>
        </w:rPr>
        <w:t>（</w:t>
      </w:r>
      <w:r>
        <w:rPr>
          <w:rFonts w:hint="eastAsia" w:ascii="宋体" w:hAnsi="宋体" w:cs="Arial"/>
          <w:b/>
          <w:bCs/>
          <w:color w:val="auto"/>
          <w:sz w:val="24"/>
          <w:highlight w:val="none"/>
          <w:lang w:val="en-US" w:eastAsia="zh-CN"/>
        </w:rPr>
        <w:t>七</w:t>
      </w:r>
      <w:r>
        <w:rPr>
          <w:rFonts w:hint="eastAsia" w:ascii="宋体" w:hAnsi="宋体" w:eastAsia="宋体" w:cs="Arial"/>
          <w:b/>
          <w:bCs/>
          <w:color w:val="auto"/>
          <w:sz w:val="24"/>
          <w:highlight w:val="none"/>
          <w:lang w:eastAsia="zh-CN"/>
        </w:rPr>
        <w:t>）</w:t>
      </w:r>
      <w:r>
        <w:rPr>
          <w:rFonts w:hint="eastAsia" w:ascii="宋体" w:hAnsi="宋体" w:eastAsia="宋体" w:cs="Arial"/>
          <w:b/>
          <w:bCs/>
          <w:color w:val="auto"/>
          <w:sz w:val="24"/>
          <w:highlight w:val="none"/>
        </w:rPr>
        <w:t>验收</w:t>
      </w:r>
    </w:p>
    <w:p w14:paraId="4F9EF001">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186AFCAE">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2、采购人可以邀请参加本项目的其他供应商或者第三方机构参与验收。参与验收的供应商或者第三方机构的意见作为验收书的参考资料一并存档。</w:t>
      </w:r>
    </w:p>
    <w:p w14:paraId="2F9AEA7C">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7FCE511E">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4、采购人原则上应当在履约验收之日起2个工作日内，将履约验收结果在浙江政府采购网上公告。</w:t>
      </w:r>
    </w:p>
    <w:p w14:paraId="67685267">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5、验收合格的项目，采购人将根据采购合同的约定及时向供应商支付采购资金、退还履约保证金。</w:t>
      </w:r>
    </w:p>
    <w:p w14:paraId="4F676C32">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p w14:paraId="249754F3">
      <w:pPr>
        <w:widowControl/>
        <w:overflowPunct w:val="0"/>
        <w:autoSpaceDE w:val="0"/>
        <w:autoSpaceDN w:val="0"/>
        <w:adjustRightInd w:val="0"/>
        <w:spacing w:line="360" w:lineRule="auto"/>
        <w:jc w:val="left"/>
        <w:textAlignment w:val="baseline"/>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6、验收费用由中标单位支付。</w:t>
      </w:r>
    </w:p>
    <w:p w14:paraId="161039F3">
      <w:pPr>
        <w:spacing w:line="360" w:lineRule="auto"/>
        <w:ind w:firstLine="643" w:firstLineChars="200"/>
        <w:rPr>
          <w:rFonts w:ascii="宋体" w:hAnsi="宋体" w:cs="宋体"/>
          <w:b/>
          <w:color w:val="auto"/>
          <w:sz w:val="32"/>
          <w:szCs w:val="32"/>
          <w:highlight w:val="none"/>
        </w:rPr>
      </w:pPr>
    </w:p>
    <w:bookmarkEnd w:id="2"/>
    <w:p w14:paraId="0634C73E">
      <w:pPr>
        <w:pStyle w:val="3"/>
        <w:keepNext w:val="0"/>
        <w:keepLines w:val="0"/>
        <w:pageBreakBefore/>
        <w:spacing w:line="240" w:lineRule="auto"/>
        <w:jc w:val="center"/>
        <w:rPr>
          <w:rFonts w:ascii="宋体" w:hAnsi="宋体" w:cs="宋体"/>
          <w:color w:val="auto"/>
          <w:kern w:val="0"/>
          <w:sz w:val="24"/>
          <w:szCs w:val="24"/>
          <w:highlight w:val="none"/>
        </w:rPr>
      </w:pPr>
      <w:bookmarkStart w:id="4" w:name="第三部分__供应商须知"/>
      <w:bookmarkEnd w:id="4"/>
      <w:bookmarkStart w:id="5" w:name="_bookmark2"/>
      <w:bookmarkEnd w:id="5"/>
      <w:bookmarkStart w:id="6" w:name="_Toc23336"/>
      <w:r>
        <w:rPr>
          <w:rFonts w:hint="eastAsia" w:ascii="宋体" w:hAnsi="宋体" w:cs="宋体"/>
          <w:color w:val="auto"/>
          <w:sz w:val="24"/>
          <w:szCs w:val="24"/>
          <w:highlight w:val="none"/>
        </w:rPr>
        <w:t>第三章   供应商须知</w:t>
      </w:r>
      <w:bookmarkEnd w:id="6"/>
    </w:p>
    <w:p w14:paraId="76CC5B79">
      <w:pPr>
        <w:pStyle w:val="23"/>
        <w:snapToGrid w:val="0"/>
        <w:spacing w:before="120" w:after="120"/>
        <w:ind w:firstLine="472" w:firstLineChars="196"/>
        <w:jc w:val="center"/>
        <w:outlineLvl w:val="1"/>
        <w:rPr>
          <w:rFonts w:ascii="宋体" w:hAnsi="宋体" w:cs="宋体"/>
          <w:b/>
          <w:color w:val="auto"/>
          <w:szCs w:val="24"/>
          <w:highlight w:val="none"/>
        </w:rPr>
      </w:pPr>
      <w:bookmarkStart w:id="7" w:name="_Toc14106"/>
      <w:r>
        <w:rPr>
          <w:rFonts w:hint="eastAsia" w:ascii="宋体" w:hAnsi="宋体" w:cs="宋体"/>
          <w:b/>
          <w:color w:val="auto"/>
          <w:szCs w:val="24"/>
          <w:highlight w:val="none"/>
        </w:rPr>
        <w:t>前附表</w:t>
      </w:r>
      <w:bookmarkEnd w:id="7"/>
    </w:p>
    <w:tbl>
      <w:tblPr>
        <w:tblStyle w:val="3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750"/>
        <w:gridCol w:w="8743"/>
      </w:tblGrid>
      <w:tr w14:paraId="5D5FAF8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9"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87B861A">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序号</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04E9C272">
            <w:pPr>
              <w:snapToGrid w:val="0"/>
              <w:spacing w:line="360" w:lineRule="auto"/>
              <w:jc w:val="center"/>
              <w:rPr>
                <w:rFonts w:ascii="宋体" w:hAnsi="宋体" w:cs="宋体"/>
                <w:color w:val="auto"/>
                <w:sz w:val="24"/>
                <w:highlight w:val="none"/>
              </w:rPr>
            </w:pPr>
            <w:r>
              <w:rPr>
                <w:rFonts w:hint="eastAsia" w:ascii="宋体" w:hAnsi="宋体" w:cs="宋体"/>
                <w:color w:val="auto"/>
                <w:sz w:val="24"/>
                <w:highlight w:val="none"/>
              </w:rPr>
              <w:t>内容、要求</w:t>
            </w:r>
          </w:p>
        </w:tc>
      </w:tr>
      <w:tr w14:paraId="34D649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3"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7830954">
            <w:pPr>
              <w:snapToGrid w:val="0"/>
              <w:spacing w:line="420" w:lineRule="exact"/>
              <w:ind w:firstLine="240" w:firstLineChars="100"/>
              <w:jc w:val="left"/>
              <w:rPr>
                <w:rFonts w:ascii="宋体" w:hAnsi="宋体" w:cs="宋体"/>
                <w:color w:val="auto"/>
                <w:sz w:val="24"/>
                <w:highlight w:val="none"/>
              </w:rPr>
            </w:pPr>
            <w:r>
              <w:rPr>
                <w:rFonts w:hint="eastAsia" w:ascii="宋体" w:hAnsi="宋体" w:cs="宋体"/>
                <w:color w:val="auto"/>
                <w:sz w:val="24"/>
                <w:highlight w:val="none"/>
              </w:rPr>
              <w:t>1</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78872A73">
            <w:pPr>
              <w:snapToGrid w:val="0"/>
              <w:spacing w:line="420" w:lineRule="exact"/>
              <w:jc w:val="left"/>
              <w:rPr>
                <w:rFonts w:hint="eastAsia" w:ascii="宋体" w:hAnsi="宋体" w:eastAsia="宋体" w:cs="宋体"/>
                <w:b/>
                <w:bCs/>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 xml:space="preserve">笠里小区环村路道路工程项目 </w:t>
            </w:r>
          </w:p>
        </w:tc>
      </w:tr>
      <w:tr w14:paraId="48AE28A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7E63371D">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2</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66591637">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磋商报价及费用：1、本项目磋商应以</w:t>
            </w:r>
            <w:r>
              <w:rPr>
                <w:rFonts w:hint="eastAsia" w:ascii="宋体" w:hAnsi="宋体"/>
                <w:color w:val="auto"/>
                <w:sz w:val="24"/>
                <w:highlight w:val="none"/>
              </w:rPr>
              <w:t>人民币</w:t>
            </w:r>
            <w:r>
              <w:rPr>
                <w:rFonts w:hint="eastAsia" w:ascii="宋体" w:hAnsi="宋体" w:cs="宋体"/>
                <w:color w:val="auto"/>
                <w:sz w:val="24"/>
                <w:highlight w:val="none"/>
              </w:rPr>
              <w:t>报价；2、不论磋商结果如何，供应商均应自行承担所有与磋商有关的全部费用；3、磋商费用：</w:t>
            </w: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按照本磋商文件总则第（五）条规定向中标人收取中标服务费。</w:t>
            </w:r>
          </w:p>
        </w:tc>
      </w:tr>
      <w:tr w14:paraId="1A42A16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2477A1F">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3</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12F9A7A6">
            <w:pPr>
              <w:snapToGrid w:val="0"/>
              <w:spacing w:line="420" w:lineRule="exact"/>
              <w:rPr>
                <w:rFonts w:ascii="宋体" w:hAnsi="宋体" w:cs="宋体"/>
                <w:color w:val="auto"/>
                <w:sz w:val="24"/>
                <w:highlight w:val="none"/>
              </w:rPr>
            </w:pPr>
            <w:r>
              <w:rPr>
                <w:rFonts w:hint="eastAsia" w:ascii="宋体" w:hAnsi="宋体" w:cs="宋体"/>
                <w:b/>
                <w:bCs/>
                <w:color w:val="auto"/>
                <w:sz w:val="24"/>
                <w:highlight w:val="none"/>
              </w:rPr>
              <w:t>▲根据《政府采购促进中小企业管理办法》及《关于印发中小企业划型标准规定的通知工信部联企业》（〔2011〕300号）有关规定，本采购标的对应的所属行业为：</w:t>
            </w:r>
            <w:r>
              <w:rPr>
                <w:rFonts w:ascii="宋体" w:hAnsi="宋体" w:cs="宋体"/>
                <w:b/>
                <w:bCs/>
                <w:color w:val="auto"/>
                <w:sz w:val="24"/>
                <w:highlight w:val="none"/>
              </w:rPr>
              <w:t>建筑业</w:t>
            </w:r>
            <w:r>
              <w:rPr>
                <w:rFonts w:hint="eastAsia" w:ascii="宋体" w:hAnsi="宋体" w:cs="宋体"/>
                <w:b/>
                <w:bCs/>
                <w:color w:val="auto"/>
                <w:sz w:val="24"/>
                <w:highlight w:val="none"/>
              </w:rPr>
              <w:t>。</w:t>
            </w:r>
          </w:p>
        </w:tc>
      </w:tr>
      <w:tr w14:paraId="27EE1F7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80"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5BD3B6E7">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4</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055B3F84">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根据《关于在政府采购活动中查询及使用信用记录有关问题的通知》财库[2016]125号的规定：</w:t>
            </w:r>
          </w:p>
          <w:p w14:paraId="04FC4FA8">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（1）采购人或采购代理机构将对本项目供应商的信用记录进行查询。查询渠道为信用中国网站（www.creditchina.gov.cn）、中国政府采购网（www.ccgp.gov.cn）；</w:t>
            </w:r>
          </w:p>
          <w:p w14:paraId="66CEE53E">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（2）截止时点：提交投标文件（响应文件）截止时间前3年内；</w:t>
            </w:r>
          </w:p>
          <w:p w14:paraId="3DC0C038">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（3）查询记录和证据的留存：信用信息查询记录和证据以网页截图等方式留存。</w:t>
            </w:r>
          </w:p>
          <w:p w14:paraId="7693756D">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（4）使用规则：被列入失信被执行人、重大税收违法案件当事人名单、政府采购严重违法失信行为记录名单</w:t>
            </w:r>
            <w:r>
              <w:rPr>
                <w:rFonts w:hint="eastAsia" w:ascii="宋体" w:hAnsi="宋体" w:cs="宋体"/>
                <w:color w:val="auto"/>
                <w:sz w:val="24"/>
                <w:highlight w:val="none"/>
                <w:lang w:eastAsia="zh-CN"/>
              </w:rPr>
              <w:t>及其他</w:t>
            </w:r>
            <w:r>
              <w:rPr>
                <w:rFonts w:hint="eastAsia" w:ascii="宋体" w:hAnsi="宋体" w:cs="宋体"/>
                <w:color w:val="auto"/>
                <w:sz w:val="24"/>
                <w:highlight w:val="none"/>
              </w:rPr>
              <w:t>不符合《中华人民共和国政府采购法》第二十二条规定条件的，其投标将被拒绝。</w:t>
            </w:r>
          </w:p>
          <w:p w14:paraId="5925A6B0">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（5）联合体成员任意一方存在不良信用记录的，视同联合体存在不良信用记录。</w:t>
            </w:r>
          </w:p>
        </w:tc>
      </w:tr>
      <w:tr w14:paraId="421DD0E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33"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03BC07F4">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5</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7A0405FA">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答疑与澄清：供应商如认为磋商文件表述不清晰、存在歧视性、排他性或者其他违法内容的，应当按照磋商公告第三、八条规定以书面形式要求招标方作出书面解释、澄清或者向招标方提出书面质疑；</w:t>
            </w:r>
            <w:r>
              <w:rPr>
                <w:rFonts w:hint="eastAsia" w:ascii="宋体" w:hAnsi="宋体" w:cs="宋体"/>
                <w:b/>
                <w:color w:val="auto"/>
                <w:sz w:val="24"/>
                <w:highlight w:val="none"/>
              </w:rPr>
              <w:t>在质疑截止时间前，未对磋商文件提出质疑时，视供应商对磋商文件的默认；</w:t>
            </w:r>
            <w:r>
              <w:rPr>
                <w:rFonts w:hint="eastAsia" w:ascii="宋体" w:hAnsi="宋体" w:cs="宋体"/>
                <w:color w:val="auto"/>
                <w:sz w:val="24"/>
                <w:highlight w:val="none"/>
              </w:rPr>
              <w:t>招标采购单位对已发出的磋商文件进行必要澄清、答复、修改或者补充的，在财政部门指定的政府采购信息发布媒体上发布更正公告，并以书面形式通知所有已获取磋商文件的供应商；答疑内容是磋商文件的组成部分；澄清或者修改的内容可能影响磋商响应文件编制的，应当在磋商截止时间至少5日前，以书面形式通知所有获取磋商文件的潜在供应商；不足5日的，顺延提交磋商响应文件的截止时间。</w:t>
            </w:r>
          </w:p>
        </w:tc>
      </w:tr>
      <w:tr w14:paraId="36C92D4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20"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5F478695">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6</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6749C5D5">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磋商响应文件的递交：</w:t>
            </w:r>
          </w:p>
          <w:p w14:paraId="0601DCEA">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本项目磋商响应文件由资格审查文件、商务技术文件和报价文件三部分组成。供应商应按以下方式递交磋商响应文件：</w:t>
            </w:r>
          </w:p>
          <w:p w14:paraId="0D48BDC6">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▲1、本项目实行“网上磋商、电子评标”，供应商应于磋商截止时间前在“政采云”（电子交易平台）上传输、递交电子版磋商响应文件（包括资格审查文件、商务技术文件和报价文件）；</w:t>
            </w:r>
          </w:p>
          <w:p w14:paraId="19CC9F90">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2、为了避免由于电子交易平台无法正常运行等技术、安全故障原因造成磋商响应文件无法解密或解密失败，导致磋商无效的情况，供应商可以在磋商截止时间前将电子备份磋商响应文件（经政采云电子交易客户端和CA驱动制作出的后缀名为“bfbs”的加密电子备份磋商响应文件）发送至</w:t>
            </w: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邮箱：</w:t>
            </w:r>
            <w:r>
              <w:rPr>
                <w:rFonts w:hint="eastAsia" w:ascii="宋体" w:hAnsi="宋体" w:cs="宋体"/>
                <w:color w:val="auto"/>
                <w:sz w:val="24"/>
                <w:highlight w:val="none"/>
                <w:lang w:val="en-US" w:eastAsia="zh-CN"/>
              </w:rPr>
              <w:t>781655284@qq.com</w:t>
            </w:r>
            <w:r>
              <w:rPr>
                <w:rFonts w:hint="eastAsia" w:ascii="宋体" w:hAnsi="宋体" w:cs="宋体"/>
                <w:color w:val="auto"/>
                <w:sz w:val="24"/>
                <w:highlight w:val="none"/>
              </w:rPr>
              <w:t>，逾期发送或发错后缀名的备份磋商响应文件将被视为无效；</w:t>
            </w:r>
          </w:p>
          <w:p w14:paraId="111A350A">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3、供应商仅提交电子备份磋商响应文件的，磋商无效；</w:t>
            </w:r>
          </w:p>
          <w:p w14:paraId="7FDBFD96">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4、本项目不强制供应商提交电子备份磋商响应文件；如在开评标时出现电子磋商响应文件无法解密或解密失败等情况，因供应商未提供电子备份磋商响应文件而造成磋商无效等一切后果和风险由供应商自行承担。</w:t>
            </w:r>
          </w:p>
        </w:tc>
      </w:tr>
      <w:tr w14:paraId="79317F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24"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7549048C">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7</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6B121332">
            <w:pPr>
              <w:snapToGrid w:val="0"/>
              <w:spacing w:line="420" w:lineRule="exact"/>
              <w:rPr>
                <w:rFonts w:hint="eastAsia" w:ascii="宋体" w:hAnsi="宋体" w:eastAsia="宋体" w:cs="宋体"/>
                <w:bCs/>
                <w:color w:val="auto"/>
                <w:sz w:val="24"/>
                <w:highlight w:val="none"/>
                <w:u w:val="single"/>
                <w:lang w:eastAsia="zh-CN"/>
              </w:rPr>
            </w:pPr>
            <w:r>
              <w:rPr>
                <w:rFonts w:hint="eastAsia" w:ascii="宋体" w:hAnsi="宋体" w:cs="宋体"/>
                <w:bCs/>
                <w:color w:val="auto"/>
                <w:sz w:val="24"/>
                <w:highlight w:val="none"/>
              </w:rPr>
              <w:t>磋商截止时间：</w:t>
            </w:r>
            <w:r>
              <w:rPr>
                <w:rFonts w:hint="eastAsia" w:ascii="宋体" w:hAnsi="宋体" w:cs="宋体"/>
                <w:color w:val="auto"/>
                <w:sz w:val="24"/>
                <w:highlight w:val="none"/>
                <w:lang w:eastAsia="zh-CN"/>
              </w:rPr>
              <w:t>2025年4月1日9时00分</w:t>
            </w:r>
          </w:p>
          <w:p w14:paraId="5D65070C">
            <w:pPr>
              <w:pStyle w:val="23"/>
              <w:spacing w:line="420" w:lineRule="exact"/>
              <w:rPr>
                <w:rFonts w:ascii="宋体" w:hAnsi="宋体" w:cs="宋体"/>
                <w:bCs/>
                <w:color w:val="auto"/>
                <w:szCs w:val="24"/>
                <w:highlight w:val="none"/>
              </w:rPr>
            </w:pPr>
            <w:r>
              <w:rPr>
                <w:rFonts w:hint="eastAsia" w:ascii="宋体" w:hAnsi="宋体" w:cs="宋体"/>
                <w:bCs/>
                <w:color w:val="auto"/>
                <w:szCs w:val="24"/>
                <w:highlight w:val="none"/>
              </w:rPr>
              <w:t>1、供应商应当在磋商截止时间前在“政采云”（电子交易平台）上自行上传加密的电子磋商响应文件。磋商截止时间前未完成传输的，视为撤回电子磋商响应文件。磋商截止时间后递交的电子磋商响应文件，将被政采云平台拒收。</w:t>
            </w:r>
          </w:p>
          <w:p w14:paraId="30BFAD37">
            <w:pPr>
              <w:snapToGrid w:val="0"/>
              <w:spacing w:line="420" w:lineRule="exact"/>
              <w:rPr>
                <w:rFonts w:ascii="宋体" w:hAnsi="宋体" w:cs="宋体"/>
                <w:bCs/>
                <w:color w:val="auto"/>
                <w:sz w:val="24"/>
                <w:highlight w:val="none"/>
              </w:rPr>
            </w:pPr>
            <w:r>
              <w:rPr>
                <w:rFonts w:hint="eastAsia" w:ascii="宋体" w:hAnsi="宋体" w:cs="宋体"/>
                <w:bCs/>
                <w:color w:val="auto"/>
                <w:sz w:val="24"/>
                <w:highlight w:val="none"/>
              </w:rPr>
              <w:t>2、电子备份磋商响应文件的递交时间：供应商应当在磋商截止时间前，逾期未递交的视为自动放弃。</w:t>
            </w:r>
          </w:p>
          <w:p w14:paraId="724B7FCB">
            <w:pPr>
              <w:pStyle w:val="23"/>
              <w:spacing w:line="420" w:lineRule="exact"/>
              <w:rPr>
                <w:rFonts w:ascii="宋体" w:hAnsi="宋体" w:cs="宋体"/>
                <w:color w:val="auto"/>
                <w:szCs w:val="24"/>
                <w:highlight w:val="none"/>
              </w:rPr>
            </w:pPr>
            <w:r>
              <w:rPr>
                <w:rFonts w:hint="eastAsia" w:ascii="宋体" w:hAnsi="宋体" w:cs="宋体"/>
                <w:bCs/>
                <w:color w:val="auto"/>
                <w:szCs w:val="24"/>
                <w:highlight w:val="none"/>
              </w:rPr>
              <w:t>3、供应商应当在磋商截止时间前完成磋商准备事宜（应具备上网的技术条件并保持网络及联系方式畅通）及电子磋商响应文件的传输递交，可以补充、修改或者撤回电子磋商响应文件。补充或者修改电子磋商响应文件的，应当先行撤回原文件，补充、修改后重新传输递交。</w:t>
            </w:r>
          </w:p>
        </w:tc>
      </w:tr>
      <w:tr w14:paraId="2DA7FEB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42"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47DE5C13">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8</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09940413">
            <w:pPr>
              <w:snapToGrid w:val="0"/>
              <w:spacing w:line="420" w:lineRule="exact"/>
              <w:rPr>
                <w:rFonts w:hint="eastAsia" w:ascii="宋体" w:hAnsi="宋体" w:eastAsia="宋体" w:cs="宋体"/>
                <w:color w:val="auto"/>
                <w:sz w:val="24"/>
                <w:highlight w:val="none"/>
                <w:lang w:eastAsia="zh-CN"/>
              </w:rPr>
            </w:pPr>
            <w:r>
              <w:rPr>
                <w:rFonts w:hint="eastAsia" w:ascii="宋体" w:hAnsi="宋体" w:cs="宋体"/>
                <w:color w:val="auto"/>
                <w:sz w:val="24"/>
                <w:highlight w:val="none"/>
              </w:rPr>
              <w:t>开标时间：</w:t>
            </w:r>
            <w:r>
              <w:rPr>
                <w:rFonts w:hint="eastAsia" w:ascii="宋体" w:hAnsi="宋体" w:cs="宋体"/>
                <w:color w:val="auto"/>
                <w:sz w:val="24"/>
                <w:highlight w:val="none"/>
                <w:lang w:eastAsia="zh-CN"/>
              </w:rPr>
              <w:t>2025年4月1日9时00分</w:t>
            </w:r>
          </w:p>
          <w:p w14:paraId="437A3F03">
            <w:pPr>
              <w:snapToGrid w:val="0"/>
              <w:spacing w:line="4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项目不要求供应商到开标现场开标，但供应商应派法定代表人或委托代理人【委托代理人应当是供应商的在职正式职工】准时在线出席电子开标会议，随时关注开标进度，如在开标过程中有电子询标，应在规定的时间内对电子询标函进行澄清回复。</w:t>
            </w:r>
          </w:p>
          <w:p w14:paraId="4946F8E6">
            <w:pPr>
              <w:snapToGrid w:val="0"/>
              <w:spacing w:line="42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截止开标时间，政采云（电子交易平台）自动提取所有磋商响应文件，供应商须在开标时间截止后30分钟内对上传政采云的磋商响应文件进行解密，所有供应商在规定的解密时限内解密完成或解密时限到后，采购代理机构开启磋商响应文件；供应商超过解密时限的，系统默认自动放弃。</w:t>
            </w:r>
          </w:p>
        </w:tc>
      </w:tr>
      <w:tr w14:paraId="17068AA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45"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497E4E41">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9</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279DE0C5">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b/>
                <w:bCs/>
                <w:color w:val="auto"/>
                <w:sz w:val="24"/>
                <w:highlight w:val="none"/>
              </w:rPr>
              <w:t>磋商办法：综合评分法（其中报价分为两轮）</w:t>
            </w:r>
          </w:p>
        </w:tc>
      </w:tr>
      <w:tr w14:paraId="04F8412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5"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47C9D31C">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10</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769A75E6">
            <w:pPr>
              <w:autoSpaceDE w:val="0"/>
              <w:autoSpaceDN w:val="0"/>
              <w:snapToGrid w:val="0"/>
              <w:spacing w:line="420" w:lineRule="exact"/>
              <w:textAlignment w:val="bottom"/>
              <w:rPr>
                <w:rFonts w:ascii="宋体" w:hAnsi="宋体" w:cs="宋体"/>
                <w:color w:val="auto"/>
                <w:sz w:val="24"/>
                <w:highlight w:val="none"/>
              </w:rPr>
            </w:pPr>
            <w:bookmarkStart w:id="8" w:name="_Toc457480905"/>
            <w:r>
              <w:rPr>
                <w:rFonts w:hint="eastAsia" w:ascii="宋体" w:hAnsi="宋体" w:cs="宋体"/>
                <w:color w:val="auto"/>
                <w:sz w:val="24"/>
                <w:highlight w:val="none"/>
              </w:rPr>
              <w:t>中标结果公告：自中标人确定之日起2个工作日内，中标结果公告于浙江省政府采购网(http://zfcg.czt.zj.gov.cn/)、东阳市公共资源交易网(http://www.dongyang.gov.cn/ggzyjy/index.html)，公告1个工作日</w:t>
            </w:r>
            <w:bookmarkEnd w:id="8"/>
            <w:r>
              <w:rPr>
                <w:rFonts w:hint="eastAsia" w:ascii="宋体" w:hAnsi="宋体" w:cs="宋体"/>
                <w:color w:val="auto"/>
                <w:sz w:val="24"/>
                <w:highlight w:val="none"/>
              </w:rPr>
              <w:t>。</w:t>
            </w:r>
          </w:p>
        </w:tc>
      </w:tr>
      <w:tr w14:paraId="219DB4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9"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19CF68BF">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11</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318D0269">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《中标通知书》的领取时间：中标人应自中标结果公告结束日起，在3个工作日内领取，否则按放弃中标资格处理，并因违反诚信原则，提交财政部门列入政府采购黑名单。</w:t>
            </w:r>
          </w:p>
        </w:tc>
      </w:tr>
      <w:tr w14:paraId="4AC4050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46"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CDC5EE7">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12</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6279BE60">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cs="宋体"/>
                <w:color w:val="auto"/>
                <w:sz w:val="24"/>
                <w:highlight w:val="none"/>
              </w:rPr>
              <w:t>履约保证金：</w:t>
            </w:r>
          </w:p>
          <w:p w14:paraId="64E5E7B3">
            <w:pPr>
              <w:autoSpaceDE w:val="0"/>
              <w:autoSpaceDN w:val="0"/>
              <w:snapToGrid w:val="0"/>
              <w:spacing w:line="360" w:lineRule="auto"/>
              <w:textAlignment w:val="bottom"/>
              <w:rPr>
                <w:rFonts w:hint="eastAsia" w:ascii="宋体" w:hAnsi="宋体" w:eastAsia="宋体" w:cs="宋体"/>
                <w:color w:val="auto"/>
                <w:sz w:val="24"/>
                <w:highlight w:val="none"/>
              </w:rPr>
            </w:pPr>
            <w:r>
              <w:rPr>
                <w:rFonts w:hint="eastAsia" w:ascii="宋体" w:hAnsi="宋体" w:eastAsia="宋体" w:cs="宋体"/>
                <w:color w:val="auto"/>
                <w:sz w:val="24"/>
                <w:highlight w:val="none"/>
              </w:rPr>
              <w:t>中标人在收到中标通知书后，需向采购人提供</w:t>
            </w:r>
            <w:r>
              <w:rPr>
                <w:rFonts w:hint="eastAsia" w:ascii="宋体" w:hAnsi="宋体" w:eastAsia="宋体" w:cs="宋体"/>
                <w:color w:val="auto"/>
                <w:sz w:val="24"/>
                <w:highlight w:val="none"/>
                <w:lang w:val="en-US" w:eastAsia="zh-CN"/>
              </w:rPr>
              <w:t>中标价的1</w:t>
            </w:r>
            <w:r>
              <w:rPr>
                <w:rFonts w:hint="eastAsia" w:ascii="宋体" w:hAnsi="宋体" w:eastAsia="宋体" w:cs="宋体"/>
                <w:color w:val="auto"/>
                <w:sz w:val="24"/>
                <w:highlight w:val="none"/>
              </w:rPr>
              <w:t>%的履约保证金，在中标人与采购人签订合同前递交，磋商响应方需以支票、汇票、本票或者金融机构、保险公司、担保机构出具的保函（可在政采云平台购买，咨询热线4009039583）等非现金形式提交。</w:t>
            </w:r>
          </w:p>
          <w:p w14:paraId="6E382F94">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eastAsia="宋体" w:cs="宋体"/>
                <w:color w:val="auto"/>
                <w:sz w:val="24"/>
                <w:highlight w:val="none"/>
                <w:lang w:val="en-US" w:eastAsia="zh-CN"/>
              </w:rPr>
              <w:t>中标人也</w:t>
            </w:r>
            <w:r>
              <w:rPr>
                <w:rFonts w:hint="eastAsia" w:ascii="宋体" w:hAnsi="宋体" w:eastAsia="宋体" w:cs="宋体"/>
                <w:color w:val="auto"/>
                <w:sz w:val="24"/>
                <w:highlight w:val="none"/>
              </w:rPr>
              <w:t>可登录政采云平台-【金融服务】—【我的项目】—【已备案合同】以保函形式提供：</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1</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中标人</w:t>
            </w:r>
            <w:r>
              <w:rPr>
                <w:rFonts w:hint="eastAsia" w:ascii="宋体" w:hAnsi="宋体" w:eastAsia="宋体" w:cs="宋体"/>
                <w:color w:val="auto"/>
                <w:sz w:val="24"/>
                <w:highlight w:val="none"/>
              </w:rPr>
              <w:t>在合同列表选择需要投保的合同，点击[保函推荐]。</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2</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在弹框里查看推荐的保函产品，</w:t>
            </w:r>
            <w:r>
              <w:rPr>
                <w:rFonts w:hint="eastAsia" w:ascii="宋体" w:hAnsi="宋体" w:eastAsia="宋体" w:cs="宋体"/>
                <w:color w:val="auto"/>
                <w:sz w:val="24"/>
                <w:highlight w:val="none"/>
                <w:lang w:val="en-US" w:eastAsia="zh-CN"/>
              </w:rPr>
              <w:t>中标人</w:t>
            </w:r>
            <w:r>
              <w:rPr>
                <w:rFonts w:hint="eastAsia" w:ascii="宋体" w:hAnsi="宋体" w:eastAsia="宋体" w:cs="宋体"/>
                <w:color w:val="auto"/>
                <w:sz w:val="24"/>
                <w:highlight w:val="none"/>
              </w:rPr>
              <w:t>自行选择保函产品，点击[立即申请]。</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lang w:val="en-US" w:eastAsia="zh-CN"/>
              </w:rPr>
              <w:t>3</w:t>
            </w:r>
            <w:r>
              <w:rPr>
                <w:rFonts w:hint="eastAsia" w:ascii="宋体" w:hAnsi="宋体" w:eastAsia="宋体" w:cs="宋体"/>
                <w:color w:val="auto"/>
                <w:sz w:val="24"/>
                <w:highlight w:val="none"/>
                <w:lang w:eastAsia="zh-CN"/>
              </w:rPr>
              <w:t>）</w:t>
            </w:r>
            <w:r>
              <w:rPr>
                <w:rFonts w:hint="eastAsia" w:ascii="宋体" w:hAnsi="宋体" w:eastAsia="宋体" w:cs="宋体"/>
                <w:color w:val="auto"/>
                <w:sz w:val="24"/>
                <w:highlight w:val="none"/>
              </w:rPr>
              <w:t>在弹框里填写保函申请信息。具体步骤：选择产品—填写供应商信息—选择中标项目—确认信息—等待保险/保函受理—确认保单—支付保费—成功出单。政采云金融专线400-903-9583。</w:t>
            </w:r>
          </w:p>
        </w:tc>
      </w:tr>
      <w:tr w14:paraId="5F9A3F7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796"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220288F0">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13</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76634F59">
            <w:pPr>
              <w:snapToGrid w:val="0"/>
              <w:spacing w:line="348" w:lineRule="auto"/>
              <w:jc w:val="left"/>
              <w:rPr>
                <w:rFonts w:ascii="宋体" w:hAnsi="宋体" w:cs="宋体"/>
                <w:color w:val="auto"/>
                <w:sz w:val="24"/>
                <w:highlight w:val="none"/>
              </w:rPr>
            </w:pPr>
            <w:r>
              <w:rPr>
                <w:rFonts w:hint="eastAsia" w:ascii="宋体" w:hAnsi="宋体" w:cs="宋体"/>
                <w:color w:val="auto"/>
                <w:sz w:val="24"/>
                <w:highlight w:val="none"/>
              </w:rPr>
              <w:t>1、企业信用融资: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供应商发放贷款的一种融资方式。供应商可登录浙江政府采购网(http://zfcg.czt.zj.gov.cn/)的中小企业信用融资栏目了解相关信息。 供应商可以通过浙江政府采购网(http://zfcg.czt.zj.gov.cn/)首页的“浙江政采贷”模块进入申请，还可以通过政府采购云平台(https://www.zcygov.cn/)首页的“金融服务”模块进入申请。</w:t>
            </w:r>
          </w:p>
          <w:p w14:paraId="365A2AB7">
            <w:pPr>
              <w:snapToGrid w:val="0"/>
              <w:spacing w:line="348" w:lineRule="auto"/>
              <w:jc w:val="left"/>
              <w:rPr>
                <w:rFonts w:ascii="宋体" w:hAnsi="宋体" w:cs="宋体"/>
                <w:color w:val="auto"/>
                <w:sz w:val="24"/>
                <w:highlight w:val="none"/>
              </w:rPr>
            </w:pPr>
            <w:r>
              <w:rPr>
                <w:rFonts w:hint="eastAsia" w:ascii="宋体" w:hAnsi="宋体" w:cs="宋体"/>
                <w:color w:val="auto"/>
                <w:sz w:val="24"/>
                <w:highlight w:val="none"/>
              </w:rPr>
              <w:t xml:space="preserve">2、政府采购金融服务提示：为扩大政府采购金融服务面，除政采云网上金融服务合作银行外，东阳市范围内增加浙商银行金华分行东阳支行作为线下合作银行。   </w:t>
            </w:r>
          </w:p>
          <w:p w14:paraId="0A915201">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浙商银行金华东阳支行联系人：许燕  联系电话：13967983441  0579-86222992</w:t>
            </w:r>
          </w:p>
        </w:tc>
      </w:tr>
      <w:tr w14:paraId="3928496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219"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258C7675">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14</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69F9B5EC">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签订合同时间：发出《中标通知书》之日起20天内。</w:t>
            </w:r>
          </w:p>
        </w:tc>
      </w:tr>
      <w:tr w14:paraId="1020B96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325"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5AE31F6A">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15</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4BE71450">
            <w:pPr>
              <w:autoSpaceDE w:val="0"/>
              <w:autoSpaceDN w:val="0"/>
              <w:snapToGrid w:val="0"/>
              <w:spacing w:line="420" w:lineRule="exact"/>
              <w:textAlignment w:val="bottom"/>
              <w:rPr>
                <w:rFonts w:ascii="宋体" w:hAnsi="宋体" w:cs="宋体"/>
                <w:color w:val="auto"/>
                <w:sz w:val="24"/>
                <w:highlight w:val="none"/>
              </w:rPr>
            </w:pPr>
            <w:r>
              <w:rPr>
                <w:rFonts w:hint="eastAsia" w:ascii="宋体" w:hAnsi="宋体" w:cs="宋体"/>
                <w:color w:val="auto"/>
                <w:sz w:val="24"/>
                <w:highlight w:val="none"/>
              </w:rPr>
              <w:t>中标人与</w:t>
            </w:r>
            <w:r>
              <w:rPr>
                <w:rFonts w:hint="eastAsia" w:ascii="宋体" w:hAnsi="宋体" w:cs="宋体"/>
                <w:color w:val="auto"/>
                <w:sz w:val="24"/>
                <w:highlight w:val="none"/>
                <w:lang w:eastAsia="zh-CN"/>
              </w:rPr>
              <w:t>东阳市白云街道办事处</w:t>
            </w:r>
            <w:r>
              <w:rPr>
                <w:rFonts w:hint="eastAsia" w:ascii="宋体" w:hAnsi="宋体" w:cs="宋体"/>
                <w:color w:val="auto"/>
                <w:sz w:val="24"/>
                <w:highlight w:val="none"/>
              </w:rPr>
              <w:t>签订政府采购合同。</w:t>
            </w:r>
          </w:p>
        </w:tc>
      </w:tr>
      <w:tr w14:paraId="5DC773C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1"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11AF686F">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16</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4BADC861">
            <w:pPr>
              <w:autoSpaceDE w:val="0"/>
              <w:autoSpaceDN w:val="0"/>
              <w:snapToGrid w:val="0"/>
              <w:spacing w:line="420" w:lineRule="exact"/>
              <w:textAlignment w:val="bottom"/>
              <w:rPr>
                <w:rFonts w:hint="eastAsia"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付款方式：</w:t>
            </w:r>
          </w:p>
          <w:p w14:paraId="3F55140C">
            <w:pPr>
              <w:spacing w:line="360" w:lineRule="auto"/>
              <w:rPr>
                <w:rFonts w:hint="eastAsia" w:ascii="宋体" w:hAnsi="宋体"/>
                <w:color w:val="auto"/>
                <w:sz w:val="24"/>
                <w:highlight w:val="none"/>
              </w:rPr>
            </w:pPr>
            <w:r>
              <w:rPr>
                <w:rFonts w:hint="eastAsia" w:ascii="宋体" w:hAnsi="宋体"/>
                <w:color w:val="auto"/>
                <w:sz w:val="24"/>
                <w:highlight w:val="none"/>
              </w:rPr>
              <w:t>（1）合同生效以及具备实施条件后7个工作日内支付合同价款的40%作为预付款（中标人须提交预付款保函）；</w:t>
            </w:r>
          </w:p>
          <w:p w14:paraId="1826AD62">
            <w:pPr>
              <w:spacing w:line="360" w:lineRule="auto"/>
              <w:rPr>
                <w:rFonts w:hint="eastAsia" w:ascii="宋体" w:hAnsi="宋体"/>
                <w:color w:val="auto"/>
                <w:sz w:val="24"/>
                <w:highlight w:val="none"/>
              </w:rPr>
            </w:pPr>
            <w:r>
              <w:rPr>
                <w:rFonts w:hint="eastAsia" w:ascii="宋体" w:hAnsi="宋体"/>
                <w:color w:val="auto"/>
                <w:sz w:val="24"/>
                <w:highlight w:val="none"/>
              </w:rPr>
              <w:t>（2）全部工程完工后在7个工作日内支付至合同价款的85%；</w:t>
            </w:r>
          </w:p>
          <w:p w14:paraId="6F3A12E3">
            <w:pPr>
              <w:spacing w:line="360" w:lineRule="auto"/>
              <w:rPr>
                <w:rFonts w:hint="eastAsia" w:ascii="宋体" w:hAnsi="宋体"/>
                <w:color w:val="auto"/>
                <w:sz w:val="24"/>
                <w:highlight w:val="none"/>
              </w:rPr>
            </w:pPr>
            <w:r>
              <w:rPr>
                <w:rFonts w:hint="eastAsia" w:ascii="宋体" w:hAnsi="宋体"/>
                <w:color w:val="auto"/>
                <w:sz w:val="24"/>
                <w:highlight w:val="none"/>
              </w:rPr>
              <w:t>（3）工程通过竣工验收合格后凭竣工验收报告在7个工作日内支付至合同价款的100%。</w:t>
            </w:r>
          </w:p>
          <w:p w14:paraId="08197AF9">
            <w:pPr>
              <w:spacing w:line="360" w:lineRule="auto"/>
              <w:rPr>
                <w:rFonts w:ascii="宋体" w:hAnsi="宋体" w:cs="宋体"/>
                <w:color w:val="auto"/>
                <w:sz w:val="24"/>
                <w:highlight w:val="none"/>
              </w:rPr>
            </w:pPr>
            <w:r>
              <w:rPr>
                <w:rFonts w:hint="eastAsia" w:ascii="宋体" w:hAnsi="宋体"/>
                <w:b/>
                <w:bCs/>
                <w:color w:val="auto"/>
                <w:sz w:val="24"/>
                <w:highlight w:val="none"/>
              </w:rPr>
              <w:t>注：本项目工程款由白云商贸园区管理委员会按项目进度进行支付。</w:t>
            </w:r>
          </w:p>
        </w:tc>
      </w:tr>
      <w:tr w14:paraId="479E04A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BB34A17">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17</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22B42DCE">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服务地点：东阳市内，采购人指定的地点。</w:t>
            </w:r>
          </w:p>
          <w:p w14:paraId="71611692">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验收：</w:t>
            </w:r>
          </w:p>
          <w:p w14:paraId="5A51AE07">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1.采购人组织相关人员对供应商履约的验收，验收费用由中标人承担；采购人出具一式二份验收报告，一份由中标人保管，一份由</w:t>
            </w: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原件）存档。大型或者复杂的政府采购项目，应当邀请国家认可的质量检测机构参加验收工作。验收方成员应当在验收书上签字，并承担相应的法律责任。如果发现与合同中要求不符，供应商须承担由此发生的一切损失和费用，并接受相应的处理。</w:t>
            </w:r>
          </w:p>
          <w:p w14:paraId="4E526A32">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2.采购人可以邀请参加本项目的其他供应商或者第三方机构参与验收。参与验收的供应商或者第三方机构的意见作为验收书的参考资料一并存档。</w:t>
            </w:r>
          </w:p>
          <w:p w14:paraId="0E2220CD">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3.严格按照采购合同开展履约验收。采购人成立验收小组，按照采购合同的约定对供应商履约情况进行验收。验收时，按照采购合同的约定对每一项技术、服务、安全标准的履约情况进行确认。验收结束后，应当出具验收书，列明各项标准的验收情况及项目总体评价，由验收双方共同签署。验收结果与采购合同约定的资金支付及履约保证金返还条件挂钩。履约验收的各项资料应当存档备查。</w:t>
            </w:r>
          </w:p>
          <w:p w14:paraId="6648B287">
            <w:pPr>
              <w:snapToGrid w:val="0"/>
              <w:spacing w:line="348" w:lineRule="auto"/>
              <w:rPr>
                <w:rFonts w:ascii="宋体" w:hAnsi="宋体" w:cs="宋体"/>
                <w:color w:val="auto"/>
                <w:sz w:val="24"/>
                <w:highlight w:val="none"/>
              </w:rPr>
            </w:pPr>
            <w:r>
              <w:rPr>
                <w:rFonts w:hint="eastAsia" w:ascii="宋体" w:hAnsi="宋体" w:cs="宋体"/>
                <w:color w:val="auto"/>
                <w:sz w:val="24"/>
                <w:highlight w:val="none"/>
              </w:rPr>
              <w:t>4.采购人原则上应当在履约验收之日起2个工作日内，将履约验收结果在浙江政府采购网上公告。</w:t>
            </w:r>
          </w:p>
          <w:p w14:paraId="3FC4FEC1">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5.验收合格的项目，采购人将根据采购合同的约定及时向供应商支付采购资金、退还履约保证金。验收不合格的项目，采购人将依法及时处理。采购合同的履行、违约责任和解决争议的方式等适用《中华人民共和国民法典》。供应商在履约过程中有政府采购法律法规规定的违法违规情形的，采购人应当及时报告本级财政部门。</w:t>
            </w:r>
          </w:p>
        </w:tc>
      </w:tr>
      <w:tr w14:paraId="4EB5E23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88"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22A3EFCC">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18</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13A62425">
            <w:pPr>
              <w:snapToGrid w:val="0"/>
              <w:spacing w:beforeLines="50" w:line="348" w:lineRule="auto"/>
              <w:outlineLvl w:val="2"/>
              <w:rPr>
                <w:rFonts w:ascii="宋体" w:hAnsi="宋体"/>
                <w:b/>
                <w:color w:val="auto"/>
                <w:sz w:val="24"/>
                <w:highlight w:val="none"/>
              </w:rPr>
            </w:pPr>
            <w:r>
              <w:rPr>
                <w:rFonts w:hint="eastAsia" w:ascii="宋体" w:hAnsi="宋体"/>
                <w:b/>
                <w:color w:val="auto"/>
                <w:sz w:val="24"/>
                <w:highlight w:val="none"/>
              </w:rPr>
              <w:t>供应商有下列情形之一的，列入失信名单，同时依照《政府采购法》第七十七条及《中华人民共和国政府采购法实施条例》第七十二条规定处罚并</w:t>
            </w:r>
            <w:r>
              <w:rPr>
                <w:rFonts w:hint="eastAsia" w:ascii="宋体" w:hAnsi="宋体"/>
                <w:b/>
                <w:color w:val="auto"/>
                <w:sz w:val="24"/>
                <w:highlight w:val="none"/>
                <w:lang w:eastAsia="zh-CN"/>
              </w:rPr>
              <w:t>追究法律责任</w:t>
            </w:r>
            <w:r>
              <w:rPr>
                <w:rFonts w:hint="eastAsia" w:ascii="宋体" w:hAnsi="宋体"/>
                <w:b/>
                <w:color w:val="auto"/>
                <w:sz w:val="24"/>
                <w:highlight w:val="none"/>
              </w:rPr>
              <w:t>。</w:t>
            </w:r>
          </w:p>
          <w:p w14:paraId="6C5A5A57">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1、提供虚假材料谋取中标、成交的； </w:t>
            </w:r>
          </w:p>
          <w:p w14:paraId="3BA918F0">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2、采取不正当手段诋毁、排挤其他供应商的； </w:t>
            </w:r>
          </w:p>
          <w:p w14:paraId="4184BE2B">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3、与采购人、其他供应商或者采购代理机构恶意串通的； </w:t>
            </w:r>
          </w:p>
          <w:p w14:paraId="4EBB2876">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4、向采购人、采购代理机构行贿或者提供其他不正当利益的； </w:t>
            </w:r>
          </w:p>
          <w:p w14:paraId="4B00B486">
            <w:pPr>
              <w:snapToGrid w:val="0"/>
              <w:spacing w:line="348" w:lineRule="auto"/>
              <w:jc w:val="left"/>
              <w:rPr>
                <w:rFonts w:ascii="宋体" w:hAnsi="宋体"/>
                <w:color w:val="auto"/>
                <w:sz w:val="24"/>
                <w:highlight w:val="none"/>
              </w:rPr>
            </w:pPr>
            <w:r>
              <w:rPr>
                <w:rFonts w:hint="eastAsia" w:ascii="宋体" w:hAnsi="宋体"/>
                <w:color w:val="auto"/>
                <w:sz w:val="24"/>
                <w:highlight w:val="none"/>
              </w:rPr>
              <w:t xml:space="preserve">5、在招标采购过程中与采购人进行协商谈判的； </w:t>
            </w:r>
          </w:p>
          <w:p w14:paraId="0C890360">
            <w:pPr>
              <w:snapToGrid w:val="0"/>
              <w:spacing w:line="348" w:lineRule="auto"/>
              <w:jc w:val="left"/>
              <w:rPr>
                <w:rFonts w:ascii="宋体" w:hAnsi="宋体"/>
                <w:color w:val="auto"/>
                <w:sz w:val="24"/>
                <w:highlight w:val="none"/>
              </w:rPr>
            </w:pPr>
            <w:r>
              <w:rPr>
                <w:rFonts w:hint="eastAsia" w:ascii="宋体" w:hAnsi="宋体"/>
                <w:color w:val="auto"/>
                <w:sz w:val="24"/>
                <w:highlight w:val="none"/>
              </w:rPr>
              <w:t>6、向评标委员会、竞争性谈判小组或者询价小组成员行贿或者提供其他不正当利益；</w:t>
            </w:r>
          </w:p>
          <w:p w14:paraId="000261D1">
            <w:pPr>
              <w:snapToGrid w:val="0"/>
              <w:spacing w:line="348" w:lineRule="auto"/>
              <w:jc w:val="left"/>
              <w:rPr>
                <w:rFonts w:ascii="宋体" w:hAnsi="宋体"/>
                <w:color w:val="auto"/>
                <w:sz w:val="24"/>
                <w:highlight w:val="none"/>
              </w:rPr>
            </w:pPr>
            <w:r>
              <w:rPr>
                <w:rFonts w:hint="eastAsia" w:ascii="宋体" w:hAnsi="宋体"/>
                <w:color w:val="auto"/>
                <w:sz w:val="24"/>
                <w:highlight w:val="none"/>
              </w:rPr>
              <w:t>7、中标或者成交后无正当理由拒不与采购人签订政府采购合同；</w:t>
            </w:r>
          </w:p>
          <w:p w14:paraId="3D9F260C">
            <w:pPr>
              <w:snapToGrid w:val="0"/>
              <w:spacing w:line="348" w:lineRule="auto"/>
              <w:jc w:val="left"/>
              <w:rPr>
                <w:rFonts w:ascii="宋体" w:hAnsi="宋体"/>
                <w:color w:val="auto"/>
                <w:sz w:val="24"/>
                <w:highlight w:val="none"/>
              </w:rPr>
            </w:pPr>
            <w:r>
              <w:rPr>
                <w:rFonts w:hint="eastAsia" w:ascii="宋体" w:hAnsi="宋体"/>
                <w:color w:val="auto"/>
                <w:sz w:val="24"/>
                <w:highlight w:val="none"/>
              </w:rPr>
              <w:t>8、未按照采购文件确定的事项签订政府采购合同；</w:t>
            </w:r>
          </w:p>
          <w:p w14:paraId="492DE0E6">
            <w:pPr>
              <w:snapToGrid w:val="0"/>
              <w:spacing w:line="348" w:lineRule="auto"/>
              <w:jc w:val="left"/>
              <w:rPr>
                <w:rFonts w:ascii="宋体" w:hAnsi="宋体"/>
                <w:color w:val="auto"/>
                <w:sz w:val="24"/>
                <w:highlight w:val="none"/>
              </w:rPr>
            </w:pPr>
            <w:r>
              <w:rPr>
                <w:rFonts w:hint="eastAsia" w:ascii="宋体" w:hAnsi="宋体"/>
                <w:color w:val="auto"/>
                <w:sz w:val="24"/>
                <w:highlight w:val="none"/>
              </w:rPr>
              <w:t>9、将政府采购合同转包；</w:t>
            </w:r>
          </w:p>
          <w:p w14:paraId="69062514">
            <w:pPr>
              <w:snapToGrid w:val="0"/>
              <w:spacing w:line="348" w:lineRule="auto"/>
              <w:jc w:val="left"/>
              <w:rPr>
                <w:rFonts w:ascii="宋体" w:hAnsi="宋体"/>
                <w:color w:val="auto"/>
                <w:sz w:val="24"/>
                <w:highlight w:val="none"/>
              </w:rPr>
            </w:pPr>
            <w:r>
              <w:rPr>
                <w:rFonts w:hint="eastAsia" w:ascii="宋体" w:hAnsi="宋体"/>
                <w:color w:val="auto"/>
                <w:sz w:val="24"/>
                <w:highlight w:val="none"/>
              </w:rPr>
              <w:t>10、提供假冒伪劣产品；</w:t>
            </w:r>
          </w:p>
          <w:p w14:paraId="2A4326A3">
            <w:pPr>
              <w:snapToGrid w:val="0"/>
              <w:spacing w:line="348" w:lineRule="auto"/>
              <w:jc w:val="left"/>
              <w:rPr>
                <w:rFonts w:ascii="宋体" w:hAnsi="宋体"/>
                <w:color w:val="auto"/>
                <w:sz w:val="24"/>
                <w:highlight w:val="none"/>
              </w:rPr>
            </w:pPr>
            <w:r>
              <w:rPr>
                <w:rFonts w:hint="eastAsia" w:ascii="宋体" w:hAnsi="宋体"/>
                <w:color w:val="auto"/>
                <w:sz w:val="24"/>
                <w:highlight w:val="none"/>
              </w:rPr>
              <w:t>11、擅自变更、中止或者终止政府采购合同。</w:t>
            </w:r>
          </w:p>
          <w:p w14:paraId="3E198A00">
            <w:pPr>
              <w:snapToGrid w:val="0"/>
              <w:spacing w:line="348" w:lineRule="auto"/>
              <w:rPr>
                <w:rFonts w:ascii="宋体" w:hAnsi="宋体" w:cs="宋体"/>
                <w:color w:val="auto"/>
                <w:sz w:val="24"/>
                <w:highlight w:val="none"/>
              </w:rPr>
            </w:pPr>
            <w:r>
              <w:rPr>
                <w:rFonts w:hint="eastAsia" w:ascii="宋体" w:hAnsi="宋体"/>
                <w:color w:val="auto"/>
                <w:sz w:val="24"/>
                <w:highlight w:val="none"/>
              </w:rPr>
              <w:t>12、其他严重扰乱招投标程序的。</w:t>
            </w:r>
          </w:p>
        </w:tc>
      </w:tr>
      <w:tr w14:paraId="6D8AE04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72"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0A2BC646">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19</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5BF6DE8E">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磋商响应文件有效期：</w:t>
            </w:r>
            <w:r>
              <w:rPr>
                <w:rFonts w:hint="eastAsia" w:ascii="宋体" w:hAnsi="宋体" w:cs="宋体"/>
                <w:color w:val="auto"/>
                <w:sz w:val="24"/>
                <w:highlight w:val="none"/>
                <w:u w:val="single"/>
              </w:rPr>
              <w:t>60</w:t>
            </w:r>
            <w:r>
              <w:rPr>
                <w:rFonts w:hint="eastAsia" w:ascii="宋体" w:hAnsi="宋体" w:cs="宋体"/>
                <w:color w:val="auto"/>
                <w:sz w:val="24"/>
                <w:highlight w:val="none"/>
              </w:rPr>
              <w:t>天</w:t>
            </w:r>
          </w:p>
        </w:tc>
      </w:tr>
      <w:tr w14:paraId="7422674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42"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1CCE5B74">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20</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269AD553">
            <w:pPr>
              <w:snapToGrid w:val="0"/>
              <w:spacing w:line="420" w:lineRule="exact"/>
              <w:rPr>
                <w:rFonts w:ascii="宋体" w:hAnsi="宋体" w:cs="宋体"/>
                <w:b/>
                <w:color w:val="auto"/>
                <w:sz w:val="24"/>
                <w:highlight w:val="none"/>
              </w:rPr>
            </w:pPr>
            <w:r>
              <w:rPr>
                <w:rFonts w:hint="eastAsia" w:ascii="宋体" w:hAnsi="宋体" w:cs="宋体"/>
                <w:b/>
                <w:color w:val="auto"/>
                <w:sz w:val="24"/>
                <w:highlight w:val="none"/>
              </w:rPr>
              <w:t>招标方对供应商的落选不作出任何解释。</w:t>
            </w:r>
          </w:p>
        </w:tc>
      </w:tr>
      <w:tr w14:paraId="44F11E3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91"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695D08C">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21</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0F3D0372">
            <w:pPr>
              <w:spacing w:line="420" w:lineRule="exact"/>
              <w:rPr>
                <w:rFonts w:ascii="宋体" w:hAnsi="宋体" w:cs="宋体"/>
                <w:b/>
                <w:color w:val="auto"/>
                <w:sz w:val="24"/>
                <w:highlight w:val="none"/>
              </w:rPr>
            </w:pPr>
            <w:r>
              <w:rPr>
                <w:rFonts w:hint="eastAsia" w:ascii="宋体" w:hAnsi="宋体" w:cs="宋体"/>
                <w:b/>
                <w:color w:val="auto"/>
                <w:kern w:val="0"/>
                <w:sz w:val="24"/>
                <w:highlight w:val="none"/>
              </w:rPr>
              <w:t>采购人和招标代理机构的任何工作人员对供应商所作的任何口头解释、介绍、答复，仅供供应商参考，不作为磋商依据，对采购人、招标代理机构和供应商无任何约束力，一切以网上公告及书面形式为准。</w:t>
            </w:r>
          </w:p>
        </w:tc>
      </w:tr>
      <w:tr w14:paraId="4609CB6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35" w:hRule="atLeast"/>
          <w:jc w:val="center"/>
        </w:trPr>
        <w:tc>
          <w:tcPr>
            <w:tcW w:w="750" w:type="dxa"/>
            <w:tcBorders>
              <w:top w:val="single" w:color="auto" w:sz="4" w:space="0"/>
              <w:left w:val="single" w:color="auto" w:sz="4" w:space="0"/>
              <w:bottom w:val="single" w:color="auto" w:sz="4" w:space="0"/>
              <w:right w:val="single" w:color="auto" w:sz="4" w:space="0"/>
            </w:tcBorders>
            <w:noWrap w:val="0"/>
            <w:vAlign w:val="center"/>
          </w:tcPr>
          <w:p w14:paraId="3A5048E5">
            <w:pPr>
              <w:snapToGrid w:val="0"/>
              <w:spacing w:line="420" w:lineRule="exact"/>
              <w:jc w:val="center"/>
              <w:rPr>
                <w:rFonts w:ascii="宋体" w:hAnsi="宋体" w:cs="宋体"/>
                <w:color w:val="auto"/>
                <w:sz w:val="24"/>
                <w:highlight w:val="none"/>
              </w:rPr>
            </w:pPr>
            <w:r>
              <w:rPr>
                <w:rFonts w:hint="eastAsia" w:ascii="宋体" w:hAnsi="宋体" w:cs="宋体"/>
                <w:color w:val="auto"/>
                <w:sz w:val="24"/>
                <w:highlight w:val="none"/>
              </w:rPr>
              <w:t>22</w:t>
            </w:r>
          </w:p>
        </w:tc>
        <w:tc>
          <w:tcPr>
            <w:tcW w:w="8743" w:type="dxa"/>
            <w:tcBorders>
              <w:top w:val="single" w:color="auto" w:sz="4" w:space="0"/>
              <w:left w:val="single" w:color="auto" w:sz="4" w:space="0"/>
              <w:bottom w:val="single" w:color="auto" w:sz="4" w:space="0"/>
              <w:right w:val="single" w:color="auto" w:sz="4" w:space="0"/>
            </w:tcBorders>
            <w:noWrap w:val="0"/>
            <w:vAlign w:val="center"/>
          </w:tcPr>
          <w:p w14:paraId="2AE246F0">
            <w:pPr>
              <w:snapToGrid w:val="0"/>
              <w:spacing w:line="420" w:lineRule="exact"/>
              <w:rPr>
                <w:rFonts w:ascii="宋体" w:hAnsi="宋体" w:cs="宋体"/>
                <w:color w:val="auto"/>
                <w:sz w:val="24"/>
                <w:highlight w:val="none"/>
              </w:rPr>
            </w:pPr>
            <w:r>
              <w:rPr>
                <w:rFonts w:hint="eastAsia" w:ascii="宋体" w:hAnsi="宋体" w:cs="宋体"/>
                <w:color w:val="auto"/>
                <w:sz w:val="24"/>
                <w:highlight w:val="none"/>
              </w:rPr>
              <w:t>解释：本磋商文件的解释权属于</w:t>
            </w: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w:t>
            </w:r>
          </w:p>
        </w:tc>
      </w:tr>
    </w:tbl>
    <w:p w14:paraId="53E4E1C7">
      <w:pPr>
        <w:pStyle w:val="23"/>
        <w:snapToGrid w:val="0"/>
        <w:spacing w:before="120" w:after="120" w:line="420" w:lineRule="exact"/>
        <w:rPr>
          <w:rFonts w:ascii="宋体" w:hAnsi="宋体" w:cs="宋体"/>
          <w:b/>
          <w:color w:val="auto"/>
          <w:szCs w:val="24"/>
          <w:highlight w:val="none"/>
        </w:rPr>
      </w:pPr>
      <w:r>
        <w:rPr>
          <w:rFonts w:hint="eastAsia" w:ascii="宋体" w:hAnsi="宋体" w:cs="宋体"/>
          <w:b/>
          <w:color w:val="auto"/>
          <w:szCs w:val="24"/>
          <w:highlight w:val="none"/>
        </w:rPr>
        <w:t>注：如本磋商文件后面的条款与本表有矛盾的以本表的内容为准。</w:t>
      </w:r>
    </w:p>
    <w:p w14:paraId="20900A87">
      <w:pPr>
        <w:pStyle w:val="23"/>
        <w:pageBreakBefore/>
        <w:numPr>
          <w:ilvl w:val="0"/>
          <w:numId w:val="6"/>
        </w:numPr>
        <w:snapToGrid w:val="0"/>
        <w:spacing w:line="360" w:lineRule="auto"/>
        <w:ind w:left="826" w:hanging="826" w:hangingChars="343"/>
        <w:jc w:val="center"/>
        <w:outlineLvl w:val="1"/>
        <w:rPr>
          <w:rFonts w:ascii="宋体" w:hAnsi="宋体" w:cs="宋体"/>
          <w:b/>
          <w:color w:val="auto"/>
          <w:szCs w:val="24"/>
          <w:highlight w:val="none"/>
        </w:rPr>
      </w:pPr>
      <w:bookmarkStart w:id="9" w:name="_Toc30521"/>
      <w:r>
        <w:rPr>
          <w:rFonts w:hint="eastAsia" w:ascii="宋体" w:hAnsi="宋体" w:cs="宋体"/>
          <w:b/>
          <w:color w:val="auto"/>
          <w:szCs w:val="24"/>
          <w:highlight w:val="none"/>
        </w:rPr>
        <w:t>总则</w:t>
      </w:r>
      <w:bookmarkEnd w:id="9"/>
    </w:p>
    <w:p w14:paraId="653F7A77">
      <w:pPr>
        <w:spacing w:line="440" w:lineRule="exact"/>
        <w:rPr>
          <w:rFonts w:ascii="宋体" w:hAnsi="宋体" w:cs="宋体"/>
          <w:b/>
          <w:color w:val="auto"/>
          <w:sz w:val="24"/>
          <w:highlight w:val="none"/>
        </w:rPr>
      </w:pPr>
      <w:bookmarkStart w:id="10" w:name="_Toc407182093"/>
      <w:r>
        <w:rPr>
          <w:rFonts w:hint="eastAsia" w:ascii="宋体" w:hAnsi="宋体" w:cs="宋体"/>
          <w:b/>
          <w:color w:val="auto"/>
          <w:sz w:val="24"/>
          <w:highlight w:val="none"/>
        </w:rPr>
        <w:t>（一） 适用范围</w:t>
      </w:r>
      <w:bookmarkEnd w:id="10"/>
    </w:p>
    <w:p w14:paraId="4EA42783">
      <w:pPr>
        <w:spacing w:line="440" w:lineRule="exact"/>
        <w:ind w:firstLine="480" w:firstLineChars="200"/>
        <w:rPr>
          <w:rFonts w:ascii="宋体" w:hAnsi="宋体" w:cs="宋体"/>
          <w:b/>
          <w:color w:val="auto"/>
          <w:sz w:val="24"/>
          <w:highlight w:val="none"/>
        </w:rPr>
      </w:pPr>
      <w:r>
        <w:rPr>
          <w:rFonts w:hint="eastAsia" w:ascii="宋体" w:hAnsi="宋体" w:cs="宋体"/>
          <w:color w:val="auto"/>
          <w:sz w:val="24"/>
          <w:highlight w:val="none"/>
        </w:rPr>
        <w:t>本磋商文件适用于</w:t>
      </w:r>
      <w:r>
        <w:rPr>
          <w:rFonts w:hint="eastAsia" w:ascii="宋体" w:hAnsi="宋体" w:cs="宋体"/>
          <w:color w:val="auto"/>
          <w:sz w:val="24"/>
          <w:highlight w:val="none"/>
          <w:lang w:eastAsia="zh-CN"/>
        </w:rPr>
        <w:t>笠里小区环村路道路工程项目</w:t>
      </w:r>
      <w:r>
        <w:rPr>
          <w:rFonts w:hint="eastAsia" w:ascii="宋体" w:hAnsi="宋体" w:cs="宋体"/>
          <w:color w:val="auto"/>
          <w:sz w:val="24"/>
          <w:highlight w:val="none"/>
        </w:rPr>
        <w:t>的招标、磋商、定标、验收、合同履约、付款等行为（法律、法规另有规定的，从其规定）。</w:t>
      </w:r>
    </w:p>
    <w:p w14:paraId="662B2674">
      <w:pPr>
        <w:spacing w:line="440" w:lineRule="exact"/>
        <w:rPr>
          <w:rFonts w:ascii="宋体" w:hAnsi="宋体" w:cs="宋体"/>
          <w:b/>
          <w:color w:val="auto"/>
          <w:sz w:val="24"/>
          <w:highlight w:val="none"/>
        </w:rPr>
      </w:pPr>
      <w:bookmarkStart w:id="11" w:name="_Toc407182094"/>
      <w:r>
        <w:rPr>
          <w:rFonts w:hint="eastAsia" w:ascii="宋体" w:hAnsi="宋体" w:cs="宋体"/>
          <w:b/>
          <w:color w:val="auto"/>
          <w:sz w:val="24"/>
          <w:highlight w:val="none"/>
        </w:rPr>
        <w:t>（二）定义</w:t>
      </w:r>
      <w:bookmarkEnd w:id="11"/>
    </w:p>
    <w:p w14:paraId="0C05A9D7">
      <w:pPr>
        <w:snapToGrid w:val="0"/>
        <w:spacing w:line="440" w:lineRule="exact"/>
        <w:jc w:val="left"/>
        <w:rPr>
          <w:rFonts w:ascii="宋体" w:hAnsi="宋体" w:cs="宋体"/>
          <w:color w:val="auto"/>
          <w:sz w:val="24"/>
          <w:highlight w:val="none"/>
        </w:rPr>
      </w:pPr>
      <w:r>
        <w:rPr>
          <w:rFonts w:hint="eastAsia" w:ascii="宋体" w:hAnsi="宋体" w:cs="宋体"/>
          <w:color w:val="auto"/>
          <w:sz w:val="24"/>
          <w:highlight w:val="none"/>
        </w:rPr>
        <w:t>1.招标采购单位系指组织本次招标的</w:t>
      </w: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（“招标方”）和</w:t>
      </w:r>
      <w:r>
        <w:rPr>
          <w:rFonts w:hint="eastAsia" w:ascii="宋体" w:hAnsi="宋体" w:cs="宋体"/>
          <w:color w:val="auto"/>
          <w:sz w:val="24"/>
          <w:highlight w:val="none"/>
          <w:lang w:eastAsia="zh-CN"/>
        </w:rPr>
        <w:t xml:space="preserve">东阳市白云街道办事处 </w:t>
      </w:r>
      <w:r>
        <w:rPr>
          <w:rFonts w:hint="eastAsia" w:ascii="宋体" w:hAnsi="宋体" w:cs="宋体"/>
          <w:color w:val="auto"/>
          <w:sz w:val="24"/>
          <w:highlight w:val="none"/>
        </w:rPr>
        <w:t>（“采购人”）。</w:t>
      </w:r>
    </w:p>
    <w:p w14:paraId="2EBA1C86">
      <w:pPr>
        <w:spacing w:line="440" w:lineRule="exact"/>
        <w:rPr>
          <w:rFonts w:ascii="宋体" w:hAnsi="宋体" w:cs="宋体"/>
          <w:color w:val="auto"/>
          <w:sz w:val="24"/>
          <w:highlight w:val="none"/>
        </w:rPr>
      </w:pPr>
      <w:r>
        <w:rPr>
          <w:rFonts w:hint="eastAsia" w:ascii="宋体" w:hAnsi="宋体" w:cs="宋体"/>
          <w:color w:val="auto"/>
          <w:sz w:val="24"/>
          <w:highlight w:val="none"/>
        </w:rPr>
        <w:t>2.“供应商”系指向招标方提交磋商响应文件的单位或个人。</w:t>
      </w:r>
    </w:p>
    <w:p w14:paraId="1F3E9F88">
      <w:pPr>
        <w:spacing w:line="440" w:lineRule="exact"/>
        <w:rPr>
          <w:rFonts w:ascii="宋体" w:hAnsi="宋体" w:cs="宋体"/>
          <w:color w:val="auto"/>
          <w:sz w:val="24"/>
          <w:highlight w:val="none"/>
        </w:rPr>
      </w:pPr>
      <w:r>
        <w:rPr>
          <w:rFonts w:hint="eastAsia" w:ascii="宋体" w:hAnsi="宋体" w:cs="宋体"/>
          <w:color w:val="auto"/>
          <w:sz w:val="24"/>
          <w:highlight w:val="none"/>
        </w:rPr>
        <w:t xml:space="preserve">3.“服务”系指磋商文件规定供应商须承担的本项目所衍生的一切服务义务。 </w:t>
      </w:r>
    </w:p>
    <w:p w14:paraId="3F663F22">
      <w:pPr>
        <w:spacing w:line="440" w:lineRule="exact"/>
        <w:rPr>
          <w:rFonts w:ascii="宋体" w:hAnsi="宋体" w:cs="宋体"/>
          <w:color w:val="auto"/>
          <w:sz w:val="24"/>
          <w:highlight w:val="none"/>
        </w:rPr>
      </w:pPr>
      <w:r>
        <w:rPr>
          <w:rFonts w:hint="eastAsia" w:ascii="宋体" w:hAnsi="宋体" w:cs="宋体"/>
          <w:color w:val="auto"/>
          <w:sz w:val="24"/>
          <w:highlight w:val="none"/>
        </w:rPr>
        <w:t>4.“项目”系指供应商按磋商文件规定向采购人提供的成果和项目服务。</w:t>
      </w:r>
    </w:p>
    <w:p w14:paraId="71B6C9D2">
      <w:pPr>
        <w:spacing w:line="440" w:lineRule="exact"/>
        <w:rPr>
          <w:rFonts w:ascii="宋体" w:hAnsi="宋体" w:cs="宋体"/>
          <w:color w:val="auto"/>
          <w:sz w:val="24"/>
          <w:highlight w:val="none"/>
        </w:rPr>
      </w:pPr>
      <w:r>
        <w:rPr>
          <w:rFonts w:hint="eastAsia" w:ascii="宋体" w:hAnsi="宋体" w:cs="宋体"/>
          <w:color w:val="auto"/>
          <w:sz w:val="24"/>
          <w:highlight w:val="none"/>
        </w:rPr>
        <w:t>5.“书面形式”包括信函、传真、电报等。</w:t>
      </w:r>
    </w:p>
    <w:p w14:paraId="025FFE73">
      <w:pPr>
        <w:spacing w:line="440" w:lineRule="exact"/>
        <w:rPr>
          <w:rFonts w:hint="eastAsia"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eastAsia="宋体" w:cs="宋体"/>
          <w:color w:val="auto"/>
          <w:sz w:val="24"/>
          <w:highlight w:val="none"/>
        </w:rPr>
        <w:t>.</w:t>
      </w:r>
      <w:r>
        <w:rPr>
          <w:rFonts w:hint="eastAsia" w:ascii="宋体" w:hAnsi="宋体" w:cs="宋体"/>
          <w:color w:val="auto"/>
          <w:sz w:val="24"/>
          <w:highlight w:val="none"/>
        </w:rPr>
        <w:t>“▲”系指实质性要求条款；“★”系指重要指标。</w:t>
      </w:r>
    </w:p>
    <w:p w14:paraId="1FE8E203">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.采购项目需要落实的政府采购政策</w:t>
      </w:r>
    </w:p>
    <w:p w14:paraId="4E2C9D84">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.1 本项目原则上采购本国生产的货物、工程和服务，不允许采购进口产品。除非采购人采购进口产品，已经在采购活动开始前向财政部门提出申请并获得财政部门审核同意，且在采购需求中明确规定可以采购进口产品，未明确视同不得采购进口产品（但如果因信息不对称等原因，仍有满足需求的国内产品要求参与采购竞争的，采购人、采购机构不会对其加以限制，仍将按照公平竞争原则实施采购）。</w:t>
      </w:r>
    </w:p>
    <w:p w14:paraId="25265CB8">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 支持绿色发展</w:t>
      </w:r>
    </w:p>
    <w:p w14:paraId="0266A558">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2.1采购人拟采购的产品属于品目清单范围的，采购人及其委托的采购代理机构将依据国家确定的认证机构出具的、处于有效期之内的节能产品、环境标志产品认证证书，对获得证书的产品实施政府优先采购或强制采购。供应商须按采购文件要求提供相关产品认证证书。</w:t>
      </w:r>
      <w:r>
        <w:rPr>
          <w:rFonts w:hint="eastAsia" w:ascii="宋体" w:hAnsi="宋体" w:cs="宋体"/>
          <w:b/>
          <w:bCs/>
          <w:color w:val="auto"/>
          <w:sz w:val="24"/>
          <w:highlight w:val="none"/>
        </w:rPr>
        <w:t>▲</w:t>
      </w:r>
      <w:r>
        <w:rPr>
          <w:rFonts w:hint="eastAsia" w:ascii="宋体" w:hAnsi="宋体" w:eastAsia="宋体" w:cs="宋体"/>
          <w:color w:val="auto"/>
          <w:sz w:val="24"/>
          <w:highlight w:val="none"/>
        </w:rPr>
        <w:t>采购人拟采购的产品属于政府强制采购的节能产品品目清单范围的，供应商未按采购文件要求提供国家确定的认证机构出具的、处于有效期之内的节能产品认证证书的，投标无效。</w:t>
      </w:r>
    </w:p>
    <w:p w14:paraId="20F375DB">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2.2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72D895AB">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.3支持中小企业发展</w:t>
      </w:r>
    </w:p>
    <w:p w14:paraId="6A6F391B">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.3.1中小企业，是指在中华人民共和国境内依法设立，依据国务院批准的中小企业划分标准确定的中型企业、小型企业和微型企业，但与大企业的负责人为同一人，或者与大企业存在直接控股、管理关系的除外。</w:t>
      </w:r>
    </w:p>
    <w:p w14:paraId="352A6792">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符合中小企业划分标准的个体工商户，在政府采购活动中视同中小企业。</w:t>
      </w:r>
    </w:p>
    <w:p w14:paraId="582D3AFC">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.3.2在政府采购活动中，供应商提供的货物、工程或者服务符合下列情形的，享受中小企业扶持政策：</w:t>
      </w:r>
    </w:p>
    <w:p w14:paraId="17E11F36">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.3.2.1在货物采购项目中，货物由中小企业制造，即货物由中小企业生产且使用该中小企业商号或者注册商标；</w:t>
      </w:r>
    </w:p>
    <w:p w14:paraId="2088D200">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.3.2.2在工程采购项目中，工程由中小企业承建，即工程施工单位为中小企业；</w:t>
      </w:r>
    </w:p>
    <w:p w14:paraId="25BB9FDB">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.3.2.3在服务采购项目中，服务由中小企业承接，即提供服务的人员为中小企业依照《中华人民共和国劳动合同法》订立劳动合同的从业人员。</w:t>
      </w:r>
    </w:p>
    <w:p w14:paraId="520FE636">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在货物采购项目中，供应商提供的货物既有中小企业制造货物，也有大型企业制造货物的，不享受中小企业扶持政策。</w:t>
      </w:r>
    </w:p>
    <w:p w14:paraId="25767993">
      <w:pPr>
        <w:spacing w:line="440" w:lineRule="exact"/>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以联合体形式参加政府采购活动，联合体各方均为中小企业的，联合体视同中小企业。其中，联合体各方均为小微企业的，联合体视同小微企业。</w:t>
      </w:r>
    </w:p>
    <w:p w14:paraId="5D843AA9">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3.3对于未预留份额专门面向中小企业的政府采购货物或服务项目，以及预留份额政府采购货物或服务项目中的非预留部分标项，对小型和微型企业的投标报价给予10%的扣除，用扣除后的价格参与评审。接受大中型企业与小微企业组成联合体或者允许大中型企业向一家或者多家小微企业分包的政府采购货物或服务项目，对于联合协议或者分包意向协议约定小微企业的合同份额占到合同总金额</w:t>
      </w:r>
      <w:r>
        <w:rPr>
          <w:rFonts w:hint="eastAsia" w:ascii="宋体" w:hAnsi="宋体" w:cs="宋体"/>
          <w:color w:val="auto"/>
          <w:sz w:val="24"/>
          <w:highlight w:val="none"/>
          <w:lang w:val="en-US" w:eastAsia="zh-CN"/>
        </w:rPr>
        <w:t>4</w:t>
      </w:r>
      <w:r>
        <w:rPr>
          <w:rFonts w:hint="eastAsia" w:ascii="宋体" w:hAnsi="宋体" w:eastAsia="宋体" w:cs="宋体"/>
          <w:color w:val="auto"/>
          <w:sz w:val="24"/>
          <w:highlight w:val="none"/>
        </w:rPr>
        <w:t>0%以上的，对联合体或者大中型企业的报价给予4%的扣除，用扣除后的价格参加评审。组成联合体或者接受分包的小微企业与联合体内其他企业、分包企业之间存在直接控股、管理关系的，不享受价格扣除优惠政策。</w:t>
      </w:r>
    </w:p>
    <w:p w14:paraId="7E37E5A3">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.3.4符合《关于促进残疾人就业政府采购政策的通知》（财库〔2017〕141号）规定的条件并提供《残疾人福利性单位声明函》的残疾人福利性单位视同小型、微型企业；</w:t>
      </w:r>
    </w:p>
    <w:p w14:paraId="711D9620">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3.5符合《关于政府采购支持监狱企业发展有关问题的通知》（财库[2014]68号）规定的监狱企业并提供由省级以上监狱管理局、戒毒管理局（含新疆生产建设兵团）出具的属于监狱企业证明文件的，视同为小型、微型企业。</w:t>
      </w:r>
    </w:p>
    <w:p w14:paraId="07BD2DFF">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3.6可享受中小企业扶持政策的供应商应按照采购文件格式要求提供《中小企业声明函》，供应商提供的《中小企业声明函》与实际情况不符的，供应商未按采购文件要求提供国家确定的认证机构出具的、处于有效期之内的产品认证证书的，不享受中小企业扶持政策。声明内容不实的，属于提供虚假材料谋取中标、成交的，依法承担法律责任。</w:t>
      </w:r>
    </w:p>
    <w:p w14:paraId="6A079457">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.3.7中小企业享受扶持政策获得政府采购合同的，小微企业不得将合同分包给大中型企业，中型企业不得将合同分包给大型企业。</w:t>
      </w:r>
    </w:p>
    <w:p w14:paraId="1058B9C0">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.4支持创新发展</w:t>
      </w:r>
    </w:p>
    <w:p w14:paraId="52B7ADEE">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.4.1 采购人优先采购被认定为首台套产品和“制造精品”的自主创新产品。</w:t>
      </w:r>
    </w:p>
    <w:p w14:paraId="19CC2447">
      <w:pPr>
        <w:spacing w:line="440" w:lineRule="exact"/>
        <w:rPr>
          <w:rFonts w:hint="eastAsia" w:ascii="宋体" w:hAnsi="宋体" w:eastAsia="宋体" w:cs="宋体"/>
          <w:color w:val="auto"/>
          <w:sz w:val="24"/>
          <w:highlight w:val="none"/>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4.2首台套产品被纳入《首台套产品推广应用指导目录》之日起3年内，以及产品核心技术高于国内领先水平，并具有明晰自主知识产权的“制造精品”产品，自认定之日起2年内视同已具备相应销售业绩，参加政府采购活动时业绩分值为满分。</w:t>
      </w:r>
    </w:p>
    <w:p w14:paraId="392209A3">
      <w:pPr>
        <w:spacing w:line="440" w:lineRule="exact"/>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lang w:val="en-US" w:eastAsia="zh-CN"/>
        </w:rPr>
        <w:t>8</w:t>
      </w:r>
      <w:r>
        <w:rPr>
          <w:rFonts w:hint="eastAsia" w:ascii="宋体" w:hAnsi="宋体" w:eastAsia="宋体" w:cs="宋体"/>
          <w:color w:val="auto"/>
          <w:sz w:val="24"/>
          <w:highlight w:val="none"/>
        </w:rPr>
        <w:t>.5中小企业信用融资：为支持和促进中小企业发展，进一步发挥政府采购政策功能， 省财政厅、浙江银监局、省金融办制定了《浙江省政府采购支持中小企业信用融资试点办法》浙财采监[2012]13号)，所称的政府采购信用融资，是指银行业金融机构(以下简称银行)以政府采购诚信考核和信用审查为基础，凭借政府采购合同，按优于一般中小企业的贷款利率直接向申请贷款的磋商响应方发放贷款的一种融资方式。磋商响应方可登陆浙江政府采购( (http:/www zizfcg gov.cn)的中小企业信用融资栏目了解相关信息。 供应商可以通过浙江政府采购网(https://zfcg. czt.zj. gov.cn/)首页的“浙江政采贷”模块进入申请，还可以通过政府采购云平台(https://wwwzcygov.cn/)首页的“金融服务”模块进入申请。</w:t>
      </w:r>
    </w:p>
    <w:p w14:paraId="2E9D25D9">
      <w:pPr>
        <w:spacing w:line="440" w:lineRule="exact"/>
        <w:rPr>
          <w:rFonts w:ascii="宋体" w:hAnsi="宋体" w:cs="宋体"/>
          <w:b/>
          <w:color w:val="auto"/>
          <w:sz w:val="24"/>
          <w:highlight w:val="none"/>
        </w:rPr>
      </w:pPr>
      <w:r>
        <w:rPr>
          <w:rFonts w:hint="eastAsia" w:ascii="宋体" w:hAnsi="宋体" w:cs="宋体"/>
          <w:b/>
          <w:color w:val="auto"/>
          <w:sz w:val="24"/>
          <w:highlight w:val="none"/>
        </w:rPr>
        <w:t>（三）磋商方式</w:t>
      </w:r>
    </w:p>
    <w:p w14:paraId="50181C88">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本次招标采用公开招标方式进行。</w:t>
      </w:r>
    </w:p>
    <w:p w14:paraId="6591420B">
      <w:pPr>
        <w:spacing w:line="440" w:lineRule="exact"/>
        <w:rPr>
          <w:rFonts w:ascii="宋体" w:hAnsi="宋体" w:cs="宋体"/>
          <w:b/>
          <w:color w:val="auto"/>
          <w:sz w:val="24"/>
          <w:highlight w:val="none"/>
        </w:rPr>
      </w:pPr>
      <w:r>
        <w:rPr>
          <w:rFonts w:hint="eastAsia" w:ascii="宋体" w:hAnsi="宋体" w:cs="宋体"/>
          <w:b/>
          <w:color w:val="auto"/>
          <w:sz w:val="24"/>
          <w:highlight w:val="none"/>
        </w:rPr>
        <w:t>（四）磋商委托</w:t>
      </w:r>
    </w:p>
    <w:p w14:paraId="45D39E25">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如供应商代表不是法定代表人，须有法定代表人出具的授权委托书，委托代理人必须为供应商的在职正式职工。</w:t>
      </w:r>
    </w:p>
    <w:p w14:paraId="512FDE87">
      <w:pPr>
        <w:spacing w:line="440" w:lineRule="exact"/>
        <w:rPr>
          <w:rFonts w:ascii="宋体" w:hAnsi="宋体" w:cs="宋体"/>
          <w:b/>
          <w:color w:val="auto"/>
          <w:sz w:val="24"/>
          <w:highlight w:val="none"/>
        </w:rPr>
      </w:pPr>
      <w:r>
        <w:rPr>
          <w:rFonts w:hint="eastAsia" w:ascii="宋体" w:hAnsi="宋体" w:cs="宋体"/>
          <w:b/>
          <w:color w:val="auto"/>
          <w:sz w:val="24"/>
          <w:highlight w:val="none"/>
        </w:rPr>
        <w:t>（五）磋商费用</w:t>
      </w:r>
    </w:p>
    <w:p w14:paraId="4A0925FF">
      <w:pPr>
        <w:spacing w:line="4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1.不论磋商结果如何，供应商均应自行承担所有与磋商有关的全部费用（磋商文件有相反规定除外）。</w:t>
      </w:r>
    </w:p>
    <w:p w14:paraId="0FD69DFE">
      <w:pPr>
        <w:snapToGrid w:val="0"/>
        <w:spacing w:line="360" w:lineRule="auto"/>
        <w:ind w:firstLine="482" w:firstLineChars="200"/>
        <w:textAlignment w:val="baseline"/>
        <w:rPr>
          <w:rFonts w:ascii="宋体" w:hAnsi="宋体" w:cs="宋体"/>
          <w:b/>
          <w:bCs/>
          <w:color w:val="auto"/>
          <w:sz w:val="24"/>
          <w:highlight w:val="none"/>
        </w:rPr>
      </w:pPr>
      <w:r>
        <w:rPr>
          <w:rFonts w:hint="eastAsia" w:ascii="宋体" w:hAnsi="宋体" w:cs="宋体"/>
          <w:b/>
          <w:color w:val="auto"/>
          <w:sz w:val="24"/>
          <w:highlight w:val="none"/>
        </w:rPr>
        <w:t>2.</w:t>
      </w:r>
      <w:r>
        <w:rPr>
          <w:rFonts w:hint="eastAsia" w:ascii="宋体" w:hAnsi="宋体" w:cs="宋体"/>
          <w:b/>
          <w:bCs/>
          <w:color w:val="auto"/>
          <w:sz w:val="24"/>
          <w:highlight w:val="none"/>
          <w:lang w:eastAsia="zh-CN"/>
        </w:rPr>
        <w:t>浙江诚远工程咨询有限公司</w:t>
      </w:r>
      <w:r>
        <w:rPr>
          <w:rFonts w:hint="eastAsia" w:ascii="宋体" w:hAnsi="宋体" w:cs="宋体"/>
          <w:b/>
          <w:bCs/>
          <w:color w:val="auto"/>
          <w:sz w:val="24"/>
          <w:highlight w:val="none"/>
        </w:rPr>
        <w:t>按差额定率累进法计算（详见本条下列表格收费标准），向中标人收取中标服务费，在中标结果公示结束之日起3天内（在领取中标通知书前）交纳。</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195"/>
        <w:gridCol w:w="4004"/>
      </w:tblGrid>
      <w:tr w14:paraId="79B8FE8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1" w:hRule="atLeast"/>
          <w:jc w:val="center"/>
        </w:trPr>
        <w:tc>
          <w:tcPr>
            <w:tcW w:w="5195" w:type="dxa"/>
            <w:tcBorders>
              <w:top w:val="single" w:color="auto" w:sz="4" w:space="0"/>
              <w:left w:val="single" w:color="auto" w:sz="4" w:space="0"/>
              <w:bottom w:val="single" w:color="auto" w:sz="4" w:space="0"/>
              <w:right w:val="single" w:color="auto" w:sz="4" w:space="0"/>
              <w:tl2br w:val="single" w:color="auto" w:sz="4" w:space="0"/>
            </w:tcBorders>
            <w:noWrap w:val="0"/>
            <w:vAlign w:val="top"/>
          </w:tcPr>
          <w:p w14:paraId="1426D2D9">
            <w:pPr>
              <w:snapToGrid w:val="0"/>
              <w:ind w:firstLine="1400" w:firstLineChars="700"/>
              <w:textAlignment w:val="baseline"/>
              <w:rPr>
                <w:rFonts w:ascii="宋体" w:hAnsi="宋体" w:cs="宋体"/>
                <w:b/>
                <w:color w:val="auto"/>
                <w:sz w:val="24"/>
                <w:highlight w:val="none"/>
              </w:rPr>
            </w:pPr>
            <w:r>
              <w:rPr>
                <w:rFonts w:ascii="宋体" w:hAnsi="宋体" w:cs="宋体"/>
                <w:color w:val="auto"/>
                <w:sz w:val="20"/>
                <w:highlight w:val="none"/>
              </w:rPr>
              <mc:AlternateContent>
                <mc:Choice Requires="wps">
                  <w:drawing>
                    <wp:anchor distT="0" distB="0" distL="114300" distR="114300" simplePos="0" relativeHeight="251659264" behindDoc="0" locked="0" layoutInCell="0" allowOverlap="1">
                      <wp:simplePos x="0" y="0"/>
                      <wp:positionH relativeFrom="column">
                        <wp:posOffset>-114300</wp:posOffset>
                      </wp:positionH>
                      <wp:positionV relativeFrom="paragraph">
                        <wp:posOffset>-6350</wp:posOffset>
                      </wp:positionV>
                      <wp:extent cx="635" cy="0"/>
                      <wp:effectExtent l="0" t="4445" r="0" b="5080"/>
                      <wp:wrapNone/>
                      <wp:docPr id="2" name="直接连接符 2"/>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9pt;margin-top:-0.5pt;height:0pt;width:0.05pt;z-index:251659264;mso-width-relative:page;mso-height-relative:page;" filled="f" stroked="t" coordsize="21600,21600" o:allowincell="f" o:gfxdata="UEsDBAoAAAAAAIdO4kAAAAAAAAAAAAAAAAAEAAAAZHJzL1BLAwQUAAAACACHTuJAa5HTftUAAAAJ&#10;AQAADwAAAGRycy9kb3ducmV2LnhtbE2Py07DMBBF90j8gzVIbKrUTpGghDhdANmxoYDYTuMhiYjH&#10;aew+4OuZigWs5nV159xydfSD2tMU+8AW8rkBRdwE13Nr4fWlzpagYkJ2OAQmC18UYVWdn5VYuHDg&#10;Z9qvU6vEhGOBFrqUxkLr2HTkMc7DSCy3jzB5TDJOrXYTHsTcD3phzLX22LN86HCk+46az/XOW4j1&#10;G23r71kzM+9XbaDF9uHpEa29vMjNHahEx/QnhhO+oEMlTJuwYxfVYCHLl5IlnRqpIsjym1tQm9+F&#10;rkr9P0H1A1BLAwQUAAAACACHTuJA/m08huEBAACyAwAADgAAAGRycy9lMm9Eb2MueG1srVPNjtMw&#10;EL4j8Q6W7zRtpEUQNd1Dq+WyQKVdHmDqOI2F7bE8btO+BC+AxA1OHLnzNuw+BrbTlGW57IEcLHt+&#10;vpnvm8n88mA020tPCm3NZ5MpZ9IKbJTd1vzD7dWLV5xRANuARitrfpTELxfPn817V8kSO9SN9CyC&#10;WKp6V/MuBFcVBYlOGqAJOmmjs0VvIMSn3xaNhz6iG12U0+nLokffOI9CEkXranDyE6J/CiC2rRJy&#10;hWJnpA0DqpcaQqREnXLEF7nbtpUivG9bkoHpmkemIZ+xSLxv0lks5lBtPbhOiVML8JQWHnEyoGws&#10;eoZaQQC28+ofKKOER8I2TASaYiCSFYksZtNH2tx04GTmEqUmdxad/h+seLdfe6aampecWTBx4Hef&#10;f/z69PX+55d43n3/xsokUu+oirFLu/aJpjjYG3eN4iMxi8sO7FbmZm+PLiLMUkbxV0p6kIulNv1b&#10;bGIM7AJmxQ6tNwkyasEOeTDH82DkITAxGMVoLaAaU5yn8EaiYelSc61sUgsq2F9TSC1ANYYks8Ur&#10;pXWeuLasr/nri/IiJxBq1SRnCiO/3Sy1Z3tIO5O/zCd6HoZ53NlmKKJtypN53U6VR76Dchtsjms/&#10;ihJHmXs7rV3alYfvLN2fX23xG1BLAwQKAAAAAACHTuJAAAAAAAAAAAAAAAAABgAAAF9yZWxzL1BL&#10;AwQUAAAACACHTuJAihRmPNEAAACUAQAACwAAAF9yZWxzLy5yZWxzpZDBasMwDIbvg72D0X1xmsMY&#10;o04vo9Br6R7A2IpjGltGMtn69vMOg2X0tqN+oe8T//7wmRa1IkukbGDX9aAwO/IxBwPvl+PTCyip&#10;Nnu7UEYDNxQ4jI8P+zMutrYjmWMR1ShZDMy1lletxc2YrHRUMLfNRJxsbSMHXay72oB66Ptnzb8Z&#10;MG6Y6uQN8MkPoC630sx/2Ck6JqGpdo6SpmmK7h5VB7Zlju7INuEbuUazHLAa8CwaB2pZ134EfV+/&#10;+6fe00c+47rVfoeM649Xb7ocvwBQSwMEFAAAAAgAh07iQH7m5SD3AAAA4QEAABMAAABbQ29udGVu&#10;dF9UeXBlc10ueG1slZFBTsMwEEX3SNzB8hYlTrtACCXpgrRLQKgcYGRPEotkbHlMaG+Pk7YbRJFY&#10;2jP/vye73BzGQUwY2Dqq5CovpEDSzljqKvm+32UPUnAEMjA4wkoekeWmvr0p90ePLFKauJJ9jP5R&#10;KdY9jsC580hp0rowQkzH0CkP+gM6VOuiuFfaUUSKWZw7ZF022MLnEMX2kK5PJgEHluLptDizKgne&#10;D1ZDTKZqIvODkp0JeUouO9xbz3dJQ6pfCfPkOuCce0lPE6xB8QohPsOYNJQJrIz7ooBT/nfJbDly&#10;5trWasybwE2KveF0sbrWjmvXOP3f8u2SunSr5YPqb1BLAQIUABQAAAAIAIdO4kB+5uUg9wAAAOEB&#10;AAATAAAAAAAAAAEAIAAAAE8EAABbQ29udGVudF9UeXBlc10ueG1sUEsBAhQACgAAAAAAh07iQAAA&#10;AAAAAAAAAAAAAAYAAAAAAAAAAAAQAAAAMQMAAF9yZWxzL1BLAQIUABQAAAAIAIdO4kCKFGY80QAA&#10;AJQBAAALAAAAAAAAAAEAIAAAAFUDAABfcmVscy8ucmVsc1BLAQIUAAoAAAAAAIdO4kAAAAAAAAAA&#10;AAAAAAAEAAAAAAAAAAAAEAAAAAAAAABkcnMvUEsBAhQAFAAAAAgAh07iQGuR037VAAAACQEAAA8A&#10;AAAAAAAAAQAgAAAAIgAAAGRycy9kb3ducmV2LnhtbFBLAQIUABQAAAAIAIdO4kD+bTyG4QEAALID&#10;AAAOAAAAAAAAAAEAIAAAACQBAABkcnMvZTJvRG9jLnhtbFBLBQYAAAAABgAGAFkBAAB3BQAAAAA=&#10;">
                      <v:fill on="f" focussize="0,0"/>
                      <v:stroke color="#000000" joinstyle="round"/>
                      <v:imagedata o:title=""/>
                      <o:lock v:ext="edit" aspectratio="f"/>
                    </v:line>
                  </w:pict>
                </mc:Fallback>
              </mc:AlternateContent>
            </w:r>
            <w:r>
              <w:rPr>
                <w:rFonts w:hint="eastAsia" w:ascii="宋体" w:hAnsi="宋体" w:cs="宋体"/>
                <w:b/>
                <w:color w:val="auto"/>
                <w:sz w:val="24"/>
                <w:highlight w:val="none"/>
              </w:rPr>
              <w:t>服务类型</w:t>
            </w:r>
          </w:p>
          <w:p w14:paraId="714A51B8">
            <w:pPr>
              <w:snapToGrid w:val="0"/>
              <w:textAlignment w:val="baseline"/>
              <w:rPr>
                <w:rFonts w:ascii="宋体" w:hAnsi="宋体" w:cs="宋体"/>
                <w:b/>
                <w:color w:val="auto"/>
                <w:sz w:val="24"/>
                <w:highlight w:val="none"/>
              </w:rPr>
            </w:pPr>
            <w:r>
              <w:rPr>
                <w:rFonts w:hint="eastAsia" w:ascii="宋体" w:hAnsi="宋体" w:cs="宋体"/>
                <w:b/>
                <w:color w:val="auto"/>
                <w:sz w:val="24"/>
                <w:highlight w:val="none"/>
              </w:rPr>
              <w:t>费率</w:t>
            </w:r>
          </w:p>
          <w:p w14:paraId="176F2793">
            <w:pPr>
              <w:snapToGrid w:val="0"/>
              <w:textAlignment w:val="baseline"/>
              <w:rPr>
                <w:rFonts w:ascii="宋体" w:hAnsi="宋体" w:cs="宋体"/>
                <w:b/>
                <w:color w:val="auto"/>
                <w:sz w:val="24"/>
                <w:highlight w:val="none"/>
              </w:rPr>
            </w:pPr>
            <w:r>
              <w:rPr>
                <w:rFonts w:ascii="宋体" w:hAnsi="宋体" w:cs="宋体"/>
                <w:color w:val="auto"/>
                <w:sz w:val="20"/>
                <w:highlight w:val="none"/>
              </w:rPr>
              <mc:AlternateContent>
                <mc:Choice Requires="wps">
                  <w:drawing>
                    <wp:anchor distT="0" distB="0" distL="114300" distR="114300" simplePos="0" relativeHeight="251660288" behindDoc="0" locked="0" layoutInCell="1" allowOverlap="1">
                      <wp:simplePos x="0" y="0"/>
                      <wp:positionH relativeFrom="column">
                        <wp:posOffset>-70485</wp:posOffset>
                      </wp:positionH>
                      <wp:positionV relativeFrom="paragraph">
                        <wp:posOffset>40005</wp:posOffset>
                      </wp:positionV>
                      <wp:extent cx="3260090" cy="335280"/>
                      <wp:effectExtent l="635" t="4445" r="15875" b="22225"/>
                      <wp:wrapNone/>
                      <wp:docPr id="3" name="直接连接符 3"/>
                      <wp:cNvGraphicFramePr/>
                      <a:graphic xmlns:a="http://schemas.openxmlformats.org/drawingml/2006/main">
                        <a:graphicData uri="http://schemas.microsoft.com/office/word/2010/wordprocessingShape">
                          <wps:wsp>
                            <wps:cNvCnPr>
                              <a:cxnSpLocks noChangeShapeType="1"/>
                            </wps:cNvCnPr>
                            <wps:spPr bwMode="auto">
                              <a:xfrm>
                                <a:off x="0" y="0"/>
                                <a:ext cx="3260090" cy="335280"/>
                              </a:xfrm>
                              <a:prstGeom prst="line">
                                <a:avLst/>
                              </a:prstGeom>
                              <a:noFill/>
                              <a:ln w="9525">
                                <a:solidFill>
                                  <a:srgbClr val="000000"/>
                                </a:solidFill>
                                <a:round/>
                              </a:ln>
                              <a:effectLst/>
                            </wps:spPr>
                            <wps:bodyPr/>
                          </wps:wsp>
                        </a:graphicData>
                      </a:graphic>
                    </wp:anchor>
                  </w:drawing>
                </mc:Choice>
                <mc:Fallback>
                  <w:pict>
                    <v:line id="_x0000_s1026" o:spid="_x0000_s1026" o:spt="20" style="position:absolute;left:0pt;margin-left:-5.55pt;margin-top:3.15pt;height:26.4pt;width:256.7pt;z-index:251660288;mso-width-relative:page;mso-height-relative:page;" filled="f" stroked="t" coordsize="21600,21600" o:gfxdata="UEsDBAoAAAAAAIdO4kAAAAAAAAAAAAAAAAAEAAAAZHJzL1BLAwQUAAAACACHTuJAFCkFk9YAAAAI&#10;AQAADwAAAGRycy9kb3ducmV2LnhtbE2PzU7DMBCE70i8g7VIXKrWdioqCHF6AHLjQgviuk2WJCJe&#10;p7H7A0/PcoLbrGY0+02xPvtBHWmKfWAHdmFAEdeh6bl18Lqt5regYkJucAhMDr4owrq8vCgwb8KJ&#10;X+i4Sa2SEo45OuhSGnOtY92Rx7gII7F4H2HymOScWt1MeJJyP+jMmJX22LN86HCkh47qz83BO4jV&#10;G+2r71k9M+/LNlC2f3x+Queur6y5B5XonP7C8Isv6FAK0y4cuIlqcDC31krUwWoJSvwbk4nYibiz&#10;oMtC/x9Q/gBQSwMEFAAAAAgAh07iQOCRXcnvAQAAvQMAAA4AAABkcnMvZTJvRG9jLnhtbK1TzW4T&#10;MRC+I/EOlu9kN4lStatsekhULgUitTzAxOvNWtgey3ayyUvwAkjc4MSRO29DeQzGzg+lXHpgD5bH&#10;M/PNfN/MTq93RrOt9EGhrflwUHImrcBG2XXN39/fvLrkLESwDWi0suZ7Gfj17OWLae8qOcIOdSM9&#10;IxAbqt7VvIvRVUURRCcNhAE6acnZojcQyfTrovHQE7rRxagsL4oefeM8ChkCvS4OTn5E9M8BxLZV&#10;Qi5QbIy08YDqpYZIlEKnXOCz3G3bShHftW2QkemaE9OYTypC91U6i9kUqrUH1ylxbAGe08ITTgaU&#10;paJnqAVEYBuv/oEySngM2MaBQFMciGRFiMWwfKLNXQdOZi4kdXBn0cP/gxVvt0vPVFPzMWcWDA38&#10;4dP3nx+//Prxmc6Hb1/ZOInUu1BR7NwufaIpdvbO3aL4EJjFeQd2LXOz93tHCMOUUfyVkozgqNSq&#10;f4MNxcAmYlZs13qTIEkLtsuD2Z8HI3eRCXocjy7K8opmJsg3Hk9Gl3lyBVSnbOdDfC3RsHSpuVY2&#10;CQcVbG9DTN1AdQpJzxZvlNZ5+NqyvuZXk9EkJwTUqknOFBb8ejXXnm0hrU/+MjXyPA7zuLHNoYi2&#10;KU/mzTtWPlE/iLjCZr/0J31oqrm34wamtXlsZxX//HWz31BLAwQKAAAAAACHTuJAAAAAAAAAAAAA&#10;AAAABgAAAF9yZWxzL1BLAwQUAAAACACHTuJAihRmPNEAAACUAQAACwAAAF9yZWxzLy5yZWxzpZDB&#10;asMwDIbvg72D0X1xmsMYo04vo9Br6R7A2IpjGltGMtn69vMOg2X0tqN+oe8T//7wmRa1IkukbGDX&#10;9aAwO/IxBwPvl+PTCyipNnu7UEYDNxQ4jI8P+zMutrYjmWMR1ShZDMy1lletxc2YrHRUMLfNRJxs&#10;bSMHXay72oB66Ptnzb8ZMG6Y6uQN8MkPoC630sx/2Ck6JqGpdo6SpmmK7h5VB7Zlju7INuEbuUaz&#10;HLAa8CwaB2pZ134EfV+/+6fe00c+47rVfoeM649Xb7ocvwBQSwMEFAAAAAgAh07iQH7m5SD3AAAA&#10;4QEAABMAAABbQ29udGVudF9UeXBlc10ueG1slZFBTsMwEEX3SNzB8hYlTrtACCXpgrRLQKgcYGRP&#10;EotkbHlMaG+Pk7YbRJFY2jP/vye73BzGQUwY2Dqq5CovpEDSzljqKvm+32UPUnAEMjA4wkoekeWm&#10;vr0p90ePLFKauJJ9jP5RKdY9jsC580hp0rowQkzH0CkP+gM6VOuiuFfaUUSKWZw7ZF022MLnEMX2&#10;kK5PJgEHluLptDizKgneD1ZDTKZqIvODkp0JeUouO9xbz3dJQ6pfCfPkOuCce0lPE6xB8QohPsOY&#10;NJQJrIz7ooBT/nfJbDly5trWasybwE2KveF0sbrWjmvXOP3f8u2SunSr5YPqb1BLAQIUABQAAAAI&#10;AIdO4kB+5uUg9wAAAOEBAAATAAAAAAAAAAEAIAAAAF4EAABbQ29udGVudF9UeXBlc10ueG1sUEsB&#10;AhQACgAAAAAAh07iQAAAAAAAAAAAAAAAAAYAAAAAAAAAAAAQAAAAQAMAAF9yZWxzL1BLAQIUABQA&#10;AAAIAIdO4kCKFGY80QAAAJQBAAALAAAAAAAAAAEAIAAAAGQDAABfcmVscy8ucmVsc1BLAQIUAAoA&#10;AAAAAIdO4kAAAAAAAAAAAAAAAAAEAAAAAAAAAAAAEAAAAAAAAABkcnMvUEsBAhQAFAAAAAgAh07i&#10;QBQpBZPWAAAACAEAAA8AAAAAAAAAAQAgAAAAIgAAAGRycy9kb3ducmV2LnhtbFBLAQIUABQAAAAI&#10;AIdO4kDgkV3J7wEAAL0DAAAOAAAAAAAAAAEAIAAAACUBAABkcnMvZTJvRG9jLnhtbFBLBQYAAAAA&#10;BgAGAFkBAACGBQAAAAA=&#10;">
                      <v:fill on="f" focussize="0,0"/>
                      <v:stroke color="#000000" joinstyle="round"/>
                      <v:imagedata o:title=""/>
                      <o:lock v:ext="edit" aspectratio="f"/>
                    </v:line>
                  </w:pict>
                </mc:Fallback>
              </mc:AlternateContent>
            </w:r>
          </w:p>
          <w:p w14:paraId="2EF77565">
            <w:pPr>
              <w:snapToGrid w:val="0"/>
              <w:textAlignment w:val="baseline"/>
              <w:rPr>
                <w:rFonts w:ascii="宋体" w:hAnsi="宋体" w:cs="宋体"/>
                <w:b/>
                <w:color w:val="auto"/>
                <w:sz w:val="24"/>
                <w:highlight w:val="none"/>
              </w:rPr>
            </w:pPr>
            <w:r>
              <w:rPr>
                <w:rFonts w:hint="eastAsia" w:ascii="宋体" w:hAnsi="宋体" w:cs="宋体"/>
                <w:b/>
                <w:color w:val="auto"/>
                <w:sz w:val="24"/>
                <w:highlight w:val="none"/>
              </w:rPr>
              <w:t>中标金额（万元）</w:t>
            </w:r>
          </w:p>
        </w:tc>
        <w:tc>
          <w:tcPr>
            <w:tcW w:w="4004" w:type="dxa"/>
            <w:tcBorders>
              <w:top w:val="single" w:color="auto" w:sz="4" w:space="0"/>
              <w:left w:val="single" w:color="auto" w:sz="4" w:space="0"/>
              <w:bottom w:val="single" w:color="auto" w:sz="4" w:space="0"/>
              <w:right w:val="single" w:color="auto" w:sz="4" w:space="0"/>
            </w:tcBorders>
            <w:noWrap w:val="0"/>
            <w:vAlign w:val="center"/>
          </w:tcPr>
          <w:p w14:paraId="287E88F5">
            <w:pPr>
              <w:snapToGrid w:val="0"/>
              <w:jc w:val="center"/>
              <w:textAlignment w:val="baseline"/>
              <w:rPr>
                <w:rFonts w:ascii="宋体" w:hAnsi="宋体" w:cs="宋体"/>
                <w:b/>
                <w:color w:val="auto"/>
                <w:sz w:val="24"/>
                <w:highlight w:val="none"/>
              </w:rPr>
            </w:pPr>
            <w:r>
              <w:rPr>
                <w:rFonts w:hint="eastAsia" w:ascii="宋体" w:hAnsi="宋体" w:cs="宋体"/>
                <w:b/>
                <w:color w:val="auto"/>
                <w:sz w:val="24"/>
                <w:highlight w:val="none"/>
                <w:lang w:val="en-US" w:eastAsia="zh-CN"/>
              </w:rPr>
              <w:t>工程</w:t>
            </w:r>
            <w:r>
              <w:rPr>
                <w:rFonts w:hint="eastAsia" w:ascii="宋体" w:hAnsi="宋体" w:cs="宋体"/>
                <w:b/>
                <w:color w:val="auto"/>
                <w:sz w:val="24"/>
                <w:highlight w:val="none"/>
              </w:rPr>
              <w:t>招标</w:t>
            </w:r>
          </w:p>
        </w:tc>
      </w:tr>
      <w:tr w14:paraId="6D50FF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6" w:hRule="atLeast"/>
          <w:jc w:val="center"/>
        </w:trPr>
        <w:tc>
          <w:tcPr>
            <w:tcW w:w="5195" w:type="dxa"/>
            <w:tcBorders>
              <w:top w:val="single" w:color="auto" w:sz="4" w:space="0"/>
              <w:left w:val="single" w:color="auto" w:sz="4" w:space="0"/>
              <w:bottom w:val="single" w:color="auto" w:sz="4" w:space="0"/>
              <w:right w:val="single" w:color="auto" w:sz="4" w:space="0"/>
            </w:tcBorders>
            <w:noWrap w:val="0"/>
            <w:vAlign w:val="top"/>
          </w:tcPr>
          <w:p w14:paraId="51FF6B0E">
            <w:pPr>
              <w:snapToGrid w:val="0"/>
              <w:spacing w:line="360" w:lineRule="auto"/>
              <w:jc w:val="center"/>
              <w:textAlignment w:val="baseline"/>
              <w:rPr>
                <w:rFonts w:ascii="宋体" w:hAnsi="宋体" w:cs="宋体"/>
                <w:color w:val="auto"/>
                <w:sz w:val="24"/>
                <w:highlight w:val="none"/>
              </w:rPr>
            </w:pPr>
            <w:r>
              <w:rPr>
                <w:rFonts w:hint="eastAsia" w:ascii="宋体" w:hAnsi="宋体" w:cs="宋体"/>
                <w:color w:val="auto"/>
                <w:sz w:val="24"/>
                <w:highlight w:val="none"/>
              </w:rPr>
              <w:t>100以下</w:t>
            </w:r>
          </w:p>
        </w:tc>
        <w:tc>
          <w:tcPr>
            <w:tcW w:w="4004" w:type="dxa"/>
            <w:tcBorders>
              <w:top w:val="single" w:color="auto" w:sz="4" w:space="0"/>
              <w:left w:val="single" w:color="auto" w:sz="4" w:space="0"/>
              <w:bottom w:val="single" w:color="auto" w:sz="4" w:space="0"/>
              <w:right w:val="single" w:color="auto" w:sz="4" w:space="0"/>
            </w:tcBorders>
            <w:noWrap w:val="0"/>
            <w:vAlign w:val="top"/>
          </w:tcPr>
          <w:p w14:paraId="77A9C0ED">
            <w:pPr>
              <w:snapToGrid w:val="0"/>
              <w:spacing w:line="360" w:lineRule="auto"/>
              <w:jc w:val="center"/>
              <w:textAlignment w:val="baseline"/>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w:t>
            </w:r>
          </w:p>
        </w:tc>
      </w:tr>
      <w:tr w14:paraId="7B5359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04" w:hRule="atLeast"/>
          <w:jc w:val="center"/>
        </w:trPr>
        <w:tc>
          <w:tcPr>
            <w:tcW w:w="5195" w:type="dxa"/>
            <w:tcBorders>
              <w:top w:val="single" w:color="auto" w:sz="4" w:space="0"/>
              <w:left w:val="single" w:color="auto" w:sz="4" w:space="0"/>
              <w:bottom w:val="single" w:color="auto" w:sz="4" w:space="0"/>
              <w:right w:val="single" w:color="auto" w:sz="4" w:space="0"/>
            </w:tcBorders>
            <w:noWrap w:val="0"/>
            <w:vAlign w:val="top"/>
          </w:tcPr>
          <w:p w14:paraId="3C8C147B">
            <w:pPr>
              <w:snapToGrid w:val="0"/>
              <w:spacing w:line="360" w:lineRule="auto"/>
              <w:jc w:val="center"/>
              <w:textAlignment w:val="baseline"/>
              <w:rPr>
                <w:rFonts w:ascii="宋体" w:hAnsi="宋体" w:cs="宋体"/>
                <w:color w:val="auto"/>
                <w:sz w:val="24"/>
                <w:highlight w:val="none"/>
              </w:rPr>
            </w:pPr>
            <w:r>
              <w:rPr>
                <w:rFonts w:hint="eastAsia" w:ascii="宋体" w:hAnsi="宋体" w:cs="宋体"/>
                <w:color w:val="auto"/>
                <w:sz w:val="24"/>
                <w:highlight w:val="none"/>
              </w:rPr>
              <w:t>100-500</w:t>
            </w:r>
          </w:p>
        </w:tc>
        <w:tc>
          <w:tcPr>
            <w:tcW w:w="4004" w:type="dxa"/>
            <w:tcBorders>
              <w:top w:val="single" w:color="auto" w:sz="4" w:space="0"/>
              <w:left w:val="single" w:color="auto" w:sz="4" w:space="0"/>
              <w:bottom w:val="single" w:color="auto" w:sz="4" w:space="0"/>
              <w:right w:val="single" w:color="auto" w:sz="4" w:space="0"/>
            </w:tcBorders>
            <w:noWrap w:val="0"/>
            <w:vAlign w:val="top"/>
          </w:tcPr>
          <w:p w14:paraId="01D0038A">
            <w:pPr>
              <w:snapToGrid w:val="0"/>
              <w:spacing w:line="360" w:lineRule="auto"/>
              <w:jc w:val="center"/>
              <w:textAlignment w:val="baseline"/>
              <w:rPr>
                <w:rFonts w:ascii="宋体" w:hAnsi="宋体" w:cs="宋体"/>
                <w:color w:val="auto"/>
                <w:sz w:val="24"/>
                <w:highlight w:val="none"/>
              </w:rPr>
            </w:pPr>
            <w:r>
              <w:rPr>
                <w:rFonts w:hint="eastAsia" w:ascii="宋体" w:hAnsi="宋体" w:cs="宋体"/>
                <w:color w:val="auto"/>
                <w:sz w:val="24"/>
                <w:highlight w:val="none"/>
              </w:rPr>
              <w:t>0.</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p>
        </w:tc>
      </w:tr>
    </w:tbl>
    <w:p w14:paraId="0305CA67">
      <w:pPr>
        <w:snapToGrid w:val="0"/>
        <w:spacing w:line="360" w:lineRule="auto"/>
        <w:ind w:firstLine="482" w:firstLineChars="200"/>
        <w:textAlignment w:val="baseline"/>
        <w:rPr>
          <w:rFonts w:hint="eastAsia" w:ascii="宋体" w:hAnsi="宋体" w:cs="宋体"/>
          <w:b/>
          <w:bCs/>
          <w:color w:val="auto"/>
          <w:sz w:val="24"/>
          <w:highlight w:val="none"/>
        </w:rPr>
      </w:pPr>
      <w:r>
        <w:rPr>
          <w:rFonts w:hint="eastAsia" w:ascii="宋体" w:hAnsi="宋体" w:cs="宋体"/>
          <w:b/>
          <w:bCs/>
          <w:color w:val="auto"/>
          <w:sz w:val="24"/>
          <w:highlight w:val="none"/>
        </w:rPr>
        <w:t>中标服务费由中标供应商汇至以下账户：</w:t>
      </w:r>
    </w:p>
    <w:p w14:paraId="62EFADCD">
      <w:pPr>
        <w:snapToGrid w:val="0"/>
        <w:spacing w:line="360" w:lineRule="auto"/>
        <w:ind w:firstLine="482" w:firstLineChars="200"/>
        <w:textAlignment w:val="baseline"/>
        <w:rPr>
          <w:rFonts w:hint="eastAsia" w:ascii="宋体" w:hAnsi="宋体" w:cs="宋体"/>
          <w:b/>
          <w:bCs/>
          <w:color w:val="auto"/>
          <w:sz w:val="24"/>
          <w:highlight w:val="none"/>
        </w:rPr>
      </w:pPr>
      <w:r>
        <w:rPr>
          <w:rFonts w:hint="eastAsia" w:ascii="宋体" w:hAnsi="宋体" w:cs="宋体"/>
          <w:b/>
          <w:bCs/>
          <w:color w:val="auto"/>
          <w:sz w:val="24"/>
          <w:highlight w:val="none"/>
        </w:rPr>
        <w:t>帐户名称：浙江诚远工程咨询有限公司东阳横店分公司</w:t>
      </w:r>
    </w:p>
    <w:p w14:paraId="314D52CE">
      <w:pPr>
        <w:snapToGrid w:val="0"/>
        <w:spacing w:line="360" w:lineRule="auto"/>
        <w:ind w:firstLine="482" w:firstLineChars="200"/>
        <w:textAlignment w:val="baseline"/>
        <w:rPr>
          <w:rFonts w:hint="eastAsia" w:ascii="宋体" w:hAnsi="宋体" w:cs="宋体"/>
          <w:b/>
          <w:bCs/>
          <w:color w:val="auto"/>
          <w:sz w:val="24"/>
          <w:highlight w:val="none"/>
        </w:rPr>
      </w:pPr>
      <w:r>
        <w:rPr>
          <w:rFonts w:hint="eastAsia" w:ascii="宋体" w:hAnsi="宋体" w:cs="宋体"/>
          <w:b/>
          <w:bCs/>
          <w:color w:val="auto"/>
          <w:sz w:val="24"/>
          <w:highlight w:val="none"/>
        </w:rPr>
        <w:t>开户银行：东阳农商银行南马防军分理处</w:t>
      </w:r>
    </w:p>
    <w:p w14:paraId="59BC1226">
      <w:pPr>
        <w:snapToGrid w:val="0"/>
        <w:spacing w:line="360" w:lineRule="auto"/>
        <w:ind w:firstLine="482" w:firstLineChars="200"/>
        <w:textAlignment w:val="baseline"/>
        <w:rPr>
          <w:rFonts w:hint="eastAsia" w:ascii="宋体" w:hAnsi="宋体" w:cs="宋体"/>
          <w:b/>
          <w:bCs/>
          <w:color w:val="auto"/>
          <w:sz w:val="24"/>
          <w:highlight w:val="none"/>
        </w:rPr>
      </w:pPr>
      <w:r>
        <w:rPr>
          <w:rFonts w:hint="eastAsia" w:ascii="宋体" w:hAnsi="宋体" w:cs="宋体"/>
          <w:b/>
          <w:bCs/>
          <w:color w:val="auto"/>
          <w:sz w:val="24"/>
          <w:highlight w:val="none"/>
        </w:rPr>
        <w:t>账 号：201000343883108</w:t>
      </w:r>
    </w:p>
    <w:p w14:paraId="1DDF6F0C">
      <w:pPr>
        <w:spacing w:line="440" w:lineRule="exact"/>
        <w:rPr>
          <w:rFonts w:ascii="宋体" w:hAnsi="宋体" w:cs="宋体"/>
          <w:color w:val="auto"/>
          <w:sz w:val="24"/>
          <w:highlight w:val="none"/>
        </w:rPr>
      </w:pPr>
      <w:r>
        <w:rPr>
          <w:rFonts w:hint="eastAsia" w:ascii="宋体" w:hAnsi="宋体" w:cs="宋体"/>
          <w:b/>
          <w:color w:val="auto"/>
          <w:sz w:val="24"/>
          <w:highlight w:val="none"/>
        </w:rPr>
        <w:t>（六）联合体</w:t>
      </w:r>
      <w:r>
        <w:rPr>
          <w:rFonts w:hint="eastAsia" w:ascii="宋体" w:hAnsi="宋体" w:cs="宋体"/>
          <w:b/>
          <w:bCs/>
          <w:color w:val="auto"/>
          <w:sz w:val="24"/>
          <w:highlight w:val="none"/>
        </w:rPr>
        <w:t>投标</w:t>
      </w:r>
      <w:r>
        <w:rPr>
          <w:rFonts w:hint="eastAsia" w:ascii="宋体" w:hAnsi="宋体" w:cs="宋体"/>
          <w:b/>
          <w:color w:val="auto"/>
          <w:sz w:val="24"/>
          <w:highlight w:val="none"/>
        </w:rPr>
        <w:tab/>
      </w:r>
    </w:p>
    <w:p w14:paraId="1606A8FA">
      <w:pPr>
        <w:spacing w:line="440" w:lineRule="exact"/>
        <w:ind w:firstLine="240" w:firstLineChars="100"/>
        <w:rPr>
          <w:rFonts w:ascii="宋体" w:hAnsi="宋体" w:cs="宋体"/>
          <w:color w:val="auto"/>
          <w:sz w:val="24"/>
          <w:highlight w:val="none"/>
        </w:rPr>
      </w:pPr>
      <w:r>
        <w:rPr>
          <w:rFonts w:hint="eastAsia" w:ascii="宋体" w:hAnsi="宋体" w:cs="宋体"/>
          <w:color w:val="auto"/>
          <w:sz w:val="24"/>
          <w:highlight w:val="none"/>
        </w:rPr>
        <w:t>本项目接受联合体投标。</w:t>
      </w:r>
    </w:p>
    <w:p w14:paraId="221BB6B0">
      <w:pPr>
        <w:spacing w:line="440" w:lineRule="exact"/>
        <w:rPr>
          <w:rFonts w:ascii="宋体" w:hAnsi="宋体" w:cs="宋体"/>
          <w:b/>
          <w:color w:val="auto"/>
          <w:kern w:val="0"/>
          <w:sz w:val="24"/>
          <w:highlight w:val="none"/>
        </w:rPr>
      </w:pPr>
      <w:r>
        <w:rPr>
          <w:rFonts w:hint="eastAsia" w:ascii="宋体" w:hAnsi="宋体" w:cs="宋体"/>
          <w:b/>
          <w:color w:val="auto"/>
          <w:sz w:val="24"/>
          <w:highlight w:val="none"/>
        </w:rPr>
        <w:t>（七）</w:t>
      </w:r>
      <w:r>
        <w:rPr>
          <w:rFonts w:hint="eastAsia" w:ascii="宋体" w:hAnsi="宋体" w:cs="宋体"/>
          <w:b/>
          <w:color w:val="auto"/>
          <w:kern w:val="0"/>
          <w:sz w:val="24"/>
          <w:highlight w:val="none"/>
        </w:rPr>
        <w:t>转包与分包</w:t>
      </w:r>
    </w:p>
    <w:p w14:paraId="4D38DE6E">
      <w:pPr>
        <w:spacing w:line="440" w:lineRule="exact"/>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1.本项目不允许转包。</w:t>
      </w:r>
    </w:p>
    <w:p w14:paraId="5933A91A">
      <w:pPr>
        <w:spacing w:line="440" w:lineRule="exact"/>
        <w:ind w:firstLine="240" w:firstLineChars="100"/>
        <w:rPr>
          <w:rFonts w:ascii="宋体" w:hAnsi="宋体" w:cs="宋体"/>
          <w:color w:val="auto"/>
          <w:kern w:val="0"/>
          <w:sz w:val="24"/>
          <w:highlight w:val="none"/>
        </w:rPr>
      </w:pPr>
      <w:r>
        <w:rPr>
          <w:rFonts w:hint="eastAsia" w:ascii="宋体" w:hAnsi="宋体" w:cs="宋体"/>
          <w:color w:val="auto"/>
          <w:kern w:val="0"/>
          <w:sz w:val="24"/>
          <w:highlight w:val="none"/>
        </w:rPr>
        <w:t>2.本项目允许分包。</w:t>
      </w:r>
    </w:p>
    <w:p w14:paraId="3F8A88F1">
      <w:pPr>
        <w:spacing w:line="440" w:lineRule="exact"/>
        <w:rPr>
          <w:rFonts w:ascii="宋体" w:hAnsi="宋体" w:cs="宋体"/>
          <w:b/>
          <w:bCs/>
          <w:color w:val="auto"/>
          <w:sz w:val="24"/>
          <w:highlight w:val="none"/>
        </w:rPr>
      </w:pPr>
      <w:r>
        <w:rPr>
          <w:rFonts w:hint="eastAsia" w:ascii="宋体" w:hAnsi="宋体" w:cs="宋体"/>
          <w:b/>
          <w:bCs/>
          <w:color w:val="auto"/>
          <w:sz w:val="24"/>
          <w:highlight w:val="none"/>
        </w:rPr>
        <w:t>（八）特别说明：</w:t>
      </w:r>
    </w:p>
    <w:p w14:paraId="44C08BBA">
      <w:pPr>
        <w:spacing w:line="440" w:lineRule="exact"/>
        <w:rPr>
          <w:rFonts w:ascii="宋体" w:hAnsi="宋体"/>
          <w:b/>
          <w:color w:val="auto"/>
          <w:sz w:val="24"/>
          <w:highlight w:val="none"/>
        </w:rPr>
      </w:pPr>
      <w:r>
        <w:rPr>
          <w:rFonts w:hint="eastAsia" w:ascii="宋体" w:hAnsi="宋体" w:cs="宋体"/>
          <w:b/>
          <w:bCs/>
          <w:color w:val="auto"/>
          <w:sz w:val="24"/>
          <w:highlight w:val="none"/>
        </w:rPr>
        <w:t>▲</w:t>
      </w:r>
      <w:r>
        <w:rPr>
          <w:rFonts w:ascii="宋体" w:hAnsi="宋体"/>
          <w:b/>
          <w:color w:val="auto"/>
          <w:sz w:val="24"/>
          <w:highlight w:val="none"/>
        </w:rPr>
        <w:t>1</w:t>
      </w:r>
      <w:r>
        <w:rPr>
          <w:rFonts w:hint="eastAsia" w:ascii="宋体" w:hAnsi="宋体"/>
          <w:b/>
          <w:color w:val="auto"/>
          <w:sz w:val="24"/>
          <w:highlight w:val="none"/>
        </w:rPr>
        <w:t>.</w:t>
      </w:r>
      <w:r>
        <w:rPr>
          <w:rFonts w:hint="eastAsia" w:ascii="宋体" w:hAnsi="宋体"/>
          <w:color w:val="auto"/>
          <w:sz w:val="24"/>
          <w:highlight w:val="none"/>
        </w:rPr>
        <w:t>多个供应商参加磋商，如其中两家或两家以上供应商的法定代表人为同一人或相互之间存在投资关系且达到控股的，应当按一个供应商认定。</w:t>
      </w:r>
    </w:p>
    <w:p w14:paraId="49ED25B2">
      <w:pPr>
        <w:spacing w:line="440" w:lineRule="exact"/>
        <w:rPr>
          <w:rFonts w:ascii="宋体" w:hAnsi="宋体"/>
          <w:color w:val="auto"/>
          <w:sz w:val="24"/>
          <w:highlight w:val="none"/>
        </w:rPr>
      </w:pPr>
      <w:r>
        <w:rPr>
          <w:rFonts w:hint="eastAsia" w:ascii="宋体" w:hAnsi="宋体" w:cs="宋体"/>
          <w:b/>
          <w:bCs/>
          <w:color w:val="auto"/>
          <w:sz w:val="24"/>
          <w:highlight w:val="none"/>
        </w:rPr>
        <w:t>▲</w:t>
      </w:r>
      <w:r>
        <w:rPr>
          <w:rFonts w:hint="eastAsia" w:ascii="宋体" w:hAnsi="宋体"/>
          <w:color w:val="auto"/>
          <w:sz w:val="24"/>
          <w:highlight w:val="none"/>
        </w:rPr>
        <w:t>2.供应商磋商所使用的资格、信誉、荣誉与企业认证必须为本法人所拥有。供应商磋商所使用的采购项目实施人员必须为本法人员工（或必须为本法人或控股公司正式员工）。</w:t>
      </w:r>
    </w:p>
    <w:p w14:paraId="4B4E60C0">
      <w:pPr>
        <w:spacing w:line="440" w:lineRule="exact"/>
        <w:rPr>
          <w:rFonts w:ascii="宋体" w:hAnsi="宋体"/>
          <w:color w:val="auto"/>
          <w:sz w:val="24"/>
          <w:highlight w:val="none"/>
        </w:rPr>
      </w:pPr>
      <w:r>
        <w:rPr>
          <w:rFonts w:hint="eastAsia" w:ascii="宋体" w:hAnsi="宋体" w:cs="宋体"/>
          <w:b/>
          <w:bCs/>
          <w:color w:val="auto"/>
          <w:sz w:val="24"/>
          <w:highlight w:val="none"/>
        </w:rPr>
        <w:t>▲</w:t>
      </w:r>
      <w:r>
        <w:rPr>
          <w:rFonts w:hint="eastAsia" w:ascii="宋体" w:hAnsi="宋体"/>
          <w:color w:val="auto"/>
          <w:sz w:val="24"/>
          <w:highlight w:val="none"/>
        </w:rPr>
        <w:t>3.供应商应仔细阅读磋商文件的所有内容，按照磋商文件的要求提交磋商响应文件，并对所提供的全部资料的真实性承担法律责任。</w:t>
      </w:r>
    </w:p>
    <w:p w14:paraId="02339F59">
      <w:pPr>
        <w:spacing w:line="440" w:lineRule="exact"/>
        <w:rPr>
          <w:rFonts w:ascii="宋体" w:hAnsi="宋体"/>
          <w:color w:val="auto"/>
          <w:sz w:val="24"/>
          <w:highlight w:val="none"/>
        </w:rPr>
      </w:pPr>
      <w:r>
        <w:rPr>
          <w:rFonts w:hint="eastAsia" w:ascii="宋体" w:hAnsi="宋体" w:cs="宋体"/>
          <w:b/>
          <w:bCs/>
          <w:color w:val="auto"/>
          <w:sz w:val="24"/>
          <w:highlight w:val="none"/>
        </w:rPr>
        <w:t>▲</w:t>
      </w:r>
      <w:r>
        <w:rPr>
          <w:rFonts w:hint="eastAsia" w:ascii="宋体" w:hAnsi="宋体"/>
          <w:color w:val="auto"/>
          <w:sz w:val="24"/>
          <w:highlight w:val="none"/>
        </w:rPr>
        <w:t>4.供应商在磋商活动中提供任何虚假材料,其磋商无效，并报监管部门查处；中标后发现的,中标人须依照《中华人民共和国消费者权益保护法》第49条之规定双倍赔偿采购人，且民事赔偿并不免除违法供应商的行政与刑事责任。</w:t>
      </w:r>
    </w:p>
    <w:p w14:paraId="2A030ADD">
      <w:pPr>
        <w:spacing w:line="440" w:lineRule="exact"/>
        <w:rPr>
          <w:color w:val="auto"/>
          <w:sz w:val="24"/>
          <w:highlight w:val="none"/>
        </w:rPr>
      </w:pPr>
      <w:r>
        <w:rPr>
          <w:rFonts w:hint="eastAsia" w:ascii="宋体" w:hAnsi="宋体" w:cs="宋体"/>
          <w:color w:val="auto"/>
          <w:sz w:val="24"/>
          <w:highlight w:val="none"/>
        </w:rPr>
        <w:t>5. 磋商小组认为预中标人的磋商报价明显低于其他通过符合性审查供应商的报价，有可能影响产品质量或者不能诚信履约的，应当要求其在磋商现场合理的时间内提供书面说明，必要时提交相关证明材料，预中标人不能证明其报价合理性的，磋商小组应当将其作为无效磋商响应处理。</w:t>
      </w:r>
    </w:p>
    <w:p w14:paraId="617F9829">
      <w:pPr>
        <w:spacing w:line="440" w:lineRule="exact"/>
        <w:rPr>
          <w:rFonts w:ascii="宋体" w:hAnsi="宋体"/>
          <w:color w:val="auto"/>
          <w:sz w:val="24"/>
          <w:highlight w:val="none"/>
        </w:rPr>
      </w:pPr>
      <w:r>
        <w:rPr>
          <w:rFonts w:hint="eastAsia" w:ascii="宋体" w:hAnsi="宋体"/>
          <w:color w:val="auto"/>
          <w:sz w:val="24"/>
          <w:highlight w:val="none"/>
        </w:rPr>
        <w:t>6.</w:t>
      </w:r>
      <w:r>
        <w:rPr>
          <w:rFonts w:ascii="宋体" w:hAnsi="宋体"/>
          <w:color w:val="auto"/>
          <w:sz w:val="24"/>
          <w:highlight w:val="none"/>
        </w:rPr>
        <w:t xml:space="preserve"> 招标方不保证最低报价者为中标方。</w:t>
      </w:r>
    </w:p>
    <w:p w14:paraId="3F9AA952">
      <w:pPr>
        <w:spacing w:line="440" w:lineRule="exact"/>
        <w:rPr>
          <w:rFonts w:ascii="宋体" w:hAnsi="宋体"/>
          <w:color w:val="auto"/>
          <w:sz w:val="24"/>
          <w:highlight w:val="none"/>
        </w:rPr>
      </w:pPr>
      <w:r>
        <w:rPr>
          <w:rFonts w:hint="eastAsia" w:ascii="宋体" w:hAnsi="宋体"/>
          <w:color w:val="auto"/>
          <w:sz w:val="24"/>
          <w:highlight w:val="none"/>
        </w:rPr>
        <w:t>7</w:t>
      </w:r>
      <w:r>
        <w:rPr>
          <w:rFonts w:ascii="宋体" w:hAnsi="宋体"/>
          <w:color w:val="auto"/>
          <w:sz w:val="24"/>
          <w:highlight w:val="none"/>
        </w:rPr>
        <w:t>.</w:t>
      </w:r>
      <w:r>
        <w:rPr>
          <w:rFonts w:hint="eastAsia" w:ascii="宋体" w:hAnsi="宋体"/>
          <w:color w:val="auto"/>
          <w:sz w:val="24"/>
          <w:highlight w:val="none"/>
        </w:rPr>
        <w:t>“政采云”平台运营机构，以及与该机构有直接控股或者管理关系可能影响采购公正性的任何单位和个人，不得在该平台进行的政府采购项目电子交易中磋商、响应政府采购项目。</w:t>
      </w:r>
    </w:p>
    <w:p w14:paraId="4065D8D7">
      <w:pPr>
        <w:spacing w:line="440" w:lineRule="exact"/>
        <w:rPr>
          <w:rFonts w:ascii="宋体" w:hAnsi="宋体" w:cs="宋体"/>
          <w:b/>
          <w:bCs/>
          <w:color w:val="auto"/>
          <w:sz w:val="24"/>
          <w:highlight w:val="none"/>
        </w:rPr>
      </w:pPr>
      <w:r>
        <w:rPr>
          <w:rFonts w:hint="eastAsia" w:ascii="宋体" w:hAnsi="宋体" w:cs="宋体"/>
          <w:b/>
          <w:bCs/>
          <w:color w:val="auto"/>
          <w:sz w:val="24"/>
          <w:highlight w:val="none"/>
        </w:rPr>
        <w:t>（九）质疑和投诉</w:t>
      </w:r>
    </w:p>
    <w:p w14:paraId="3F417BF4">
      <w:pPr>
        <w:spacing w:line="440" w:lineRule="exact"/>
        <w:rPr>
          <w:rFonts w:ascii="宋体" w:hAnsi="宋体" w:cs="宋体"/>
          <w:color w:val="auto"/>
          <w:sz w:val="24"/>
          <w:highlight w:val="none"/>
        </w:rPr>
      </w:pPr>
      <w:r>
        <w:rPr>
          <w:rFonts w:hint="eastAsia" w:ascii="宋体" w:hAnsi="宋体" w:cs="宋体"/>
          <w:color w:val="auto"/>
          <w:sz w:val="24"/>
          <w:highlight w:val="none"/>
        </w:rPr>
        <w:t>1.供应商认为磋商文件、招标过程或中标结果使自己的合法权益受到损害的，应当在知道或者应知其权益受到损害之日起七个工作日内，以书面形式向采购人、招标方提出质疑。供应商对招标方的质疑答复不满意或者招标方未在规定时间内作出答复的，可以在答复期满后十五个工作日内向同级采购监管部门投诉。</w:t>
      </w:r>
    </w:p>
    <w:p w14:paraId="0F4623EE">
      <w:pPr>
        <w:spacing w:line="440" w:lineRule="exact"/>
        <w:rPr>
          <w:rFonts w:ascii="宋体" w:hAnsi="宋体" w:cs="宋体"/>
          <w:color w:val="auto"/>
          <w:sz w:val="24"/>
          <w:highlight w:val="none"/>
        </w:rPr>
      </w:pPr>
      <w:r>
        <w:rPr>
          <w:rFonts w:hint="eastAsia" w:ascii="宋体" w:hAnsi="宋体" w:cs="宋体"/>
          <w:color w:val="auto"/>
          <w:sz w:val="24"/>
          <w:highlight w:val="none"/>
        </w:rPr>
        <w:t>2.质疑、投诉应当采用书面形式，质疑书、投诉书均应明确阐述磋商文件、招标过程或中标结果中使自己合法权益受到损害的实质性内容，提供相关事实、依据和证据及其来源或线索，便于有关单位调查、答复和处理。</w:t>
      </w:r>
    </w:p>
    <w:p w14:paraId="71550E4A">
      <w:pPr>
        <w:spacing w:line="440" w:lineRule="exact"/>
        <w:rPr>
          <w:rFonts w:ascii="宋体" w:hAnsi="宋体" w:cs="宋体"/>
          <w:color w:val="auto"/>
          <w:sz w:val="24"/>
          <w:highlight w:val="none"/>
        </w:rPr>
      </w:pPr>
      <w:r>
        <w:rPr>
          <w:rFonts w:hint="eastAsia" w:ascii="宋体" w:hAnsi="宋体" w:cs="宋体"/>
          <w:color w:val="auto"/>
          <w:sz w:val="24"/>
          <w:highlight w:val="none"/>
        </w:rPr>
        <w:t>3. 采购人、招标方应当按照《浙江省政府采购供应商质疑处理办法》、中华人民共和国财政部第94号令《政府采购质疑和投诉办法》、《政府采购竞争性磋商采购方式管理暂行办法》进行受理与答复质疑。</w:t>
      </w:r>
    </w:p>
    <w:p w14:paraId="1C741D7D">
      <w:pPr>
        <w:pStyle w:val="4"/>
        <w:keepNext w:val="0"/>
        <w:keepLines w:val="0"/>
        <w:pageBreakBefore/>
        <w:spacing w:line="360" w:lineRule="auto"/>
        <w:jc w:val="center"/>
        <w:rPr>
          <w:rFonts w:ascii="宋体" w:hAnsi="宋体" w:eastAsia="宋体" w:cs="宋体"/>
          <w:color w:val="auto"/>
          <w:sz w:val="24"/>
          <w:szCs w:val="24"/>
          <w:highlight w:val="none"/>
        </w:rPr>
      </w:pPr>
      <w:bookmarkStart w:id="12" w:name="_Toc454196066"/>
      <w:bookmarkStart w:id="13" w:name="_Toc458697268"/>
      <w:bookmarkStart w:id="14" w:name="_Toc2158"/>
      <w:r>
        <w:rPr>
          <w:rFonts w:hint="eastAsia" w:ascii="宋体" w:hAnsi="宋体" w:eastAsia="宋体" w:cs="宋体"/>
          <w:color w:val="auto"/>
          <w:sz w:val="24"/>
          <w:szCs w:val="24"/>
          <w:highlight w:val="none"/>
        </w:rPr>
        <w:t>二、</w:t>
      </w:r>
      <w:bookmarkEnd w:id="12"/>
      <w:bookmarkEnd w:id="13"/>
      <w:r>
        <w:rPr>
          <w:rFonts w:hint="eastAsia" w:ascii="宋体" w:hAnsi="宋体" w:eastAsia="宋体" w:cs="宋体"/>
          <w:color w:val="auto"/>
          <w:sz w:val="24"/>
          <w:szCs w:val="24"/>
          <w:highlight w:val="none"/>
        </w:rPr>
        <w:t>磋商文件</w:t>
      </w:r>
      <w:bookmarkEnd w:id="14"/>
    </w:p>
    <w:p w14:paraId="7ECBCD14">
      <w:pPr>
        <w:spacing w:line="360" w:lineRule="auto"/>
        <w:rPr>
          <w:rFonts w:ascii="宋体" w:hAnsi="宋体" w:cs="宋体"/>
          <w:b/>
          <w:color w:val="auto"/>
          <w:sz w:val="24"/>
          <w:highlight w:val="none"/>
        </w:rPr>
      </w:pPr>
      <w:r>
        <w:rPr>
          <w:rFonts w:hint="eastAsia" w:ascii="宋体" w:hAnsi="宋体" w:cs="宋体"/>
          <w:b/>
          <w:color w:val="auto"/>
          <w:sz w:val="24"/>
          <w:highlight w:val="none"/>
        </w:rPr>
        <w:t>（一）磋商文件的构成。本磋商文件由以下部分组成：</w:t>
      </w:r>
    </w:p>
    <w:p w14:paraId="5A1B1174">
      <w:pPr>
        <w:spacing w:line="360" w:lineRule="auto"/>
        <w:rPr>
          <w:rFonts w:ascii="宋体" w:hAnsi="宋体" w:cs="宋体"/>
          <w:color w:val="auto"/>
          <w:sz w:val="24"/>
          <w:highlight w:val="none"/>
        </w:rPr>
      </w:pPr>
      <w:r>
        <w:rPr>
          <w:rFonts w:hint="eastAsia" w:ascii="宋体" w:hAnsi="宋体" w:cs="宋体"/>
          <w:color w:val="auto"/>
          <w:sz w:val="24"/>
          <w:highlight w:val="none"/>
        </w:rPr>
        <w:t>1.磋商公告</w:t>
      </w:r>
    </w:p>
    <w:p w14:paraId="60CDB1BB">
      <w:pPr>
        <w:spacing w:line="360" w:lineRule="auto"/>
        <w:rPr>
          <w:rFonts w:ascii="宋体" w:hAnsi="宋体" w:cs="宋体"/>
          <w:color w:val="auto"/>
          <w:sz w:val="24"/>
          <w:highlight w:val="none"/>
        </w:rPr>
      </w:pPr>
      <w:r>
        <w:rPr>
          <w:rFonts w:hint="eastAsia" w:ascii="宋体" w:hAnsi="宋体" w:cs="宋体"/>
          <w:color w:val="auto"/>
          <w:sz w:val="24"/>
          <w:highlight w:val="none"/>
        </w:rPr>
        <w:t>2.招标需求</w:t>
      </w:r>
    </w:p>
    <w:p w14:paraId="223B7451">
      <w:pPr>
        <w:spacing w:line="360" w:lineRule="auto"/>
        <w:rPr>
          <w:rFonts w:ascii="宋体" w:hAnsi="宋体" w:cs="宋体"/>
          <w:color w:val="auto"/>
          <w:sz w:val="24"/>
          <w:highlight w:val="none"/>
        </w:rPr>
      </w:pPr>
      <w:r>
        <w:rPr>
          <w:rFonts w:hint="eastAsia" w:ascii="宋体" w:hAnsi="宋体" w:cs="宋体"/>
          <w:color w:val="auto"/>
          <w:sz w:val="24"/>
          <w:highlight w:val="none"/>
        </w:rPr>
        <w:t>3.供应商须知</w:t>
      </w:r>
    </w:p>
    <w:p w14:paraId="2B00A251">
      <w:pPr>
        <w:spacing w:line="360" w:lineRule="auto"/>
        <w:rPr>
          <w:rFonts w:ascii="宋体" w:hAnsi="宋体" w:cs="宋体"/>
          <w:color w:val="auto"/>
          <w:sz w:val="24"/>
          <w:highlight w:val="none"/>
        </w:rPr>
      </w:pPr>
      <w:r>
        <w:rPr>
          <w:rFonts w:hint="eastAsia" w:ascii="宋体" w:hAnsi="宋体" w:cs="宋体"/>
          <w:color w:val="auto"/>
          <w:sz w:val="24"/>
          <w:highlight w:val="none"/>
        </w:rPr>
        <w:t>4.磋商办法及标准</w:t>
      </w:r>
    </w:p>
    <w:p w14:paraId="165163D0">
      <w:pPr>
        <w:spacing w:line="360" w:lineRule="auto"/>
        <w:rPr>
          <w:rFonts w:ascii="宋体" w:hAnsi="宋体" w:cs="宋体"/>
          <w:color w:val="auto"/>
          <w:sz w:val="24"/>
          <w:highlight w:val="none"/>
        </w:rPr>
      </w:pPr>
      <w:r>
        <w:rPr>
          <w:rFonts w:hint="eastAsia" w:ascii="宋体" w:hAnsi="宋体" w:cs="宋体"/>
          <w:color w:val="auto"/>
          <w:sz w:val="24"/>
          <w:highlight w:val="none"/>
        </w:rPr>
        <w:t>5.合同主要条款</w:t>
      </w:r>
    </w:p>
    <w:p w14:paraId="2E14CCCC">
      <w:pPr>
        <w:spacing w:line="360" w:lineRule="auto"/>
        <w:rPr>
          <w:rFonts w:ascii="宋体" w:hAnsi="宋体" w:cs="宋体"/>
          <w:color w:val="auto"/>
          <w:sz w:val="24"/>
          <w:highlight w:val="none"/>
        </w:rPr>
      </w:pPr>
      <w:r>
        <w:rPr>
          <w:rFonts w:hint="eastAsia" w:ascii="宋体" w:hAnsi="宋体" w:cs="宋体"/>
          <w:color w:val="auto"/>
          <w:sz w:val="24"/>
          <w:highlight w:val="none"/>
        </w:rPr>
        <w:t>6.磋商响应文件格式</w:t>
      </w:r>
    </w:p>
    <w:p w14:paraId="3B9DAC9D">
      <w:pPr>
        <w:spacing w:line="360" w:lineRule="auto"/>
        <w:rPr>
          <w:rFonts w:ascii="宋体" w:hAnsi="宋体" w:cs="宋体"/>
          <w:color w:val="auto"/>
          <w:sz w:val="24"/>
          <w:highlight w:val="none"/>
        </w:rPr>
      </w:pPr>
      <w:r>
        <w:rPr>
          <w:rFonts w:hint="eastAsia" w:ascii="宋体" w:hAnsi="宋体" w:cs="宋体"/>
          <w:color w:val="auto"/>
          <w:sz w:val="24"/>
          <w:highlight w:val="none"/>
        </w:rPr>
        <w:t>7.本项目磋商文件的澄清、答复、修改、补充的内容</w:t>
      </w:r>
    </w:p>
    <w:p w14:paraId="1043311C">
      <w:pPr>
        <w:spacing w:line="360" w:lineRule="auto"/>
        <w:rPr>
          <w:rFonts w:ascii="宋体" w:hAnsi="宋体" w:cs="宋体"/>
          <w:b/>
          <w:color w:val="auto"/>
          <w:sz w:val="24"/>
          <w:highlight w:val="none"/>
        </w:rPr>
      </w:pPr>
      <w:r>
        <w:rPr>
          <w:rFonts w:hint="eastAsia" w:ascii="宋体" w:hAnsi="宋体" w:cs="宋体"/>
          <w:b/>
          <w:color w:val="auto"/>
          <w:sz w:val="24"/>
          <w:highlight w:val="none"/>
        </w:rPr>
        <w:t>（二）供应商的风险</w:t>
      </w:r>
    </w:p>
    <w:p w14:paraId="6C495E9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供应商没有按照磋商文件要求提供全部资料，或者供应商没有对磋商文件在各方面作出实质性响应是供应商的风险，并可能导致其磋商被拒绝。</w:t>
      </w:r>
    </w:p>
    <w:p w14:paraId="3BDF6677">
      <w:pPr>
        <w:spacing w:line="360" w:lineRule="auto"/>
        <w:rPr>
          <w:rFonts w:ascii="宋体" w:hAnsi="宋体" w:cs="宋体"/>
          <w:b/>
          <w:color w:val="auto"/>
          <w:sz w:val="24"/>
          <w:highlight w:val="none"/>
        </w:rPr>
      </w:pPr>
      <w:r>
        <w:rPr>
          <w:rFonts w:hint="eastAsia" w:ascii="宋体" w:hAnsi="宋体" w:cs="宋体"/>
          <w:b/>
          <w:color w:val="auto"/>
          <w:sz w:val="24"/>
          <w:highlight w:val="none"/>
        </w:rPr>
        <w:t xml:space="preserve">（三）磋商文件的澄清与修改 </w:t>
      </w:r>
    </w:p>
    <w:p w14:paraId="1214821E">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bCs/>
          <w:color w:val="auto"/>
          <w:sz w:val="24"/>
          <w:highlight w:val="none"/>
        </w:rPr>
        <w:t>供应商应认真阅读本磋商文件，发现其中有误或有不合理要求的，供应商应当按照磋商公告第三、八条规定以书面形式要求招标方澄清</w:t>
      </w:r>
      <w:r>
        <w:rPr>
          <w:rFonts w:hint="eastAsia" w:ascii="宋体" w:hAnsi="宋体" w:cs="宋体"/>
          <w:color w:val="auto"/>
          <w:sz w:val="24"/>
          <w:highlight w:val="none"/>
        </w:rPr>
        <w:t>。招标方对已发出的磋商文件进行必要澄清、答复、修改或补充的，应当在磋商文件要求提交磋商响应文件截止时间5日前，在财政部门指定的政府采购信息发布媒体上发布更正公告，并以书面形式通知所有磋商文件收受人。</w:t>
      </w:r>
    </w:p>
    <w:p w14:paraId="719B9B78">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2.招标方必须以书面形式答复供应商要求澄清的问题，并将不包含问题来源的答复书面通知所有购买磋商文件的供应商；除书面答复以外的其他澄清方式及澄清内容均无效。</w:t>
      </w:r>
    </w:p>
    <w:p w14:paraId="00901994">
      <w:pPr>
        <w:spacing w:line="360" w:lineRule="auto"/>
        <w:rPr>
          <w:rFonts w:ascii="宋体" w:hAnsi="宋体" w:cs="宋体"/>
          <w:color w:val="auto"/>
          <w:sz w:val="24"/>
          <w:highlight w:val="none"/>
        </w:rPr>
      </w:pPr>
      <w:r>
        <w:rPr>
          <w:rFonts w:hint="eastAsia" w:ascii="宋体" w:hAnsi="宋体" w:cs="宋体"/>
          <w:color w:val="auto"/>
          <w:sz w:val="24"/>
          <w:highlight w:val="none"/>
        </w:rPr>
        <w:t>3.磋商文件澄清、答复、修改、补充的内容为磋商文件的组成部分。当磋商文件与磋商文件的答复、澄清、修改、补充通知就同一内容的表述不一致时，以最后发出的书面文件为准。</w:t>
      </w:r>
    </w:p>
    <w:p w14:paraId="2F0F7E3C">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4.磋商文件的澄清、答复、修改或补充都应该通过本招标机构以法定形式发布，采购人非通过本机构，不得擅自澄清、答复、修改或补充磋商文件。</w:t>
      </w:r>
    </w:p>
    <w:p w14:paraId="58D6FC12">
      <w:pPr>
        <w:spacing w:line="360" w:lineRule="auto"/>
        <w:ind w:firstLine="480"/>
        <w:rPr>
          <w:rFonts w:ascii="宋体" w:hAnsi="宋体" w:cs="宋体"/>
          <w:color w:val="auto"/>
          <w:sz w:val="24"/>
          <w:highlight w:val="none"/>
        </w:rPr>
      </w:pPr>
      <w:r>
        <w:rPr>
          <w:rFonts w:hint="eastAsia" w:ascii="宋体" w:hAnsi="宋体" w:cs="宋体"/>
          <w:color w:val="auto"/>
          <w:sz w:val="24"/>
          <w:highlight w:val="none"/>
        </w:rPr>
        <w:t>5、磋商过程中，实质性变动的内容，经采购人代表确认后，磋商小组可以根据磋商文件和磋商情况实质性变动采购需求中的技术、服务要求以及合同草案条款，但不得变动磋商文件中其他内容，否则磋商小组不得变动磋商文件中的实质性内容。供应商应当根据磋商变动情况和磋商小组的要求重新提交响应内容，响应内容应当通过电子交易平台交换数据电文的形式提交。</w:t>
      </w:r>
    </w:p>
    <w:p w14:paraId="181F592D">
      <w:pPr>
        <w:pStyle w:val="4"/>
        <w:keepNext w:val="0"/>
        <w:keepLines w:val="0"/>
        <w:pageBreakBefore/>
        <w:spacing w:line="240" w:lineRule="auto"/>
        <w:jc w:val="center"/>
        <w:rPr>
          <w:rFonts w:ascii="宋体" w:hAnsi="宋体" w:eastAsia="宋体" w:cs="宋体"/>
          <w:color w:val="auto"/>
          <w:sz w:val="24"/>
          <w:szCs w:val="24"/>
          <w:highlight w:val="none"/>
        </w:rPr>
      </w:pPr>
      <w:bookmarkStart w:id="15" w:name="_Toc458697269"/>
      <w:bookmarkStart w:id="16" w:name="_Toc454196067"/>
      <w:bookmarkStart w:id="17" w:name="_Toc14280"/>
      <w:r>
        <w:rPr>
          <w:rFonts w:hint="eastAsia" w:ascii="宋体" w:hAnsi="宋体" w:eastAsia="宋体" w:cs="宋体"/>
          <w:color w:val="auto"/>
          <w:sz w:val="24"/>
          <w:szCs w:val="24"/>
          <w:highlight w:val="none"/>
        </w:rPr>
        <w:t>三、磋商响应文件的编制</w:t>
      </w:r>
      <w:bookmarkEnd w:id="15"/>
      <w:bookmarkEnd w:id="16"/>
      <w:bookmarkEnd w:id="17"/>
    </w:p>
    <w:p w14:paraId="635956A1">
      <w:pPr>
        <w:spacing w:line="430" w:lineRule="exact"/>
        <w:rPr>
          <w:rFonts w:ascii="宋体" w:hAnsi="宋体" w:cs="宋体"/>
          <w:b/>
          <w:color w:val="auto"/>
          <w:sz w:val="24"/>
          <w:highlight w:val="none"/>
        </w:rPr>
      </w:pPr>
      <w:r>
        <w:rPr>
          <w:rFonts w:hint="eastAsia" w:ascii="宋体" w:hAnsi="宋体" w:cs="宋体"/>
          <w:b/>
          <w:color w:val="auto"/>
          <w:sz w:val="24"/>
          <w:highlight w:val="none"/>
        </w:rPr>
        <w:t>（一）磋商响应文件的组成</w:t>
      </w:r>
    </w:p>
    <w:p w14:paraId="0E588517">
      <w:pPr>
        <w:spacing w:line="430" w:lineRule="exact"/>
        <w:rPr>
          <w:rFonts w:ascii="宋体" w:hAnsi="宋体" w:cs="宋体"/>
          <w:color w:val="auto"/>
          <w:sz w:val="24"/>
          <w:highlight w:val="none"/>
        </w:rPr>
      </w:pPr>
      <w:r>
        <w:rPr>
          <w:rFonts w:hint="eastAsia" w:ascii="宋体" w:hAnsi="宋体" w:cs="宋体"/>
          <w:color w:val="auto"/>
          <w:sz w:val="24"/>
          <w:highlight w:val="none"/>
        </w:rPr>
        <w:t>磋商响应文件由资格审查文件、商务技术文件、报价文件三部分组成。</w:t>
      </w:r>
    </w:p>
    <w:p w14:paraId="4DFC6D06">
      <w:pPr>
        <w:spacing w:line="430" w:lineRule="exact"/>
        <w:rPr>
          <w:rFonts w:ascii="宋体" w:hAnsi="宋体" w:cs="宋体"/>
          <w:b/>
          <w:color w:val="auto"/>
          <w:sz w:val="24"/>
          <w:highlight w:val="none"/>
        </w:rPr>
      </w:pPr>
      <w:r>
        <w:rPr>
          <w:rFonts w:hint="eastAsia" w:ascii="宋体" w:hAnsi="宋体" w:cs="宋体"/>
          <w:b/>
          <w:bCs/>
          <w:color w:val="auto"/>
          <w:sz w:val="24"/>
          <w:highlight w:val="none"/>
        </w:rPr>
        <w:t>▲</w:t>
      </w:r>
      <w:r>
        <w:rPr>
          <w:rFonts w:hint="eastAsia" w:ascii="宋体" w:hAnsi="宋体" w:cs="宋体"/>
          <w:b/>
          <w:color w:val="auto"/>
          <w:sz w:val="24"/>
          <w:highlight w:val="none"/>
        </w:rPr>
        <w:t>1.资格审查文件：</w:t>
      </w:r>
    </w:p>
    <w:p w14:paraId="6E422B47">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（1）具有独立承担民事责任的能力：供应商须在投标文件中出具符合以下情况的证明材料复印件（五选一）：</w:t>
      </w:r>
    </w:p>
    <w:p w14:paraId="58E1F3B0">
      <w:pPr>
        <w:spacing w:line="360" w:lineRule="auto"/>
        <w:rPr>
          <w:rFonts w:ascii="宋体" w:hAnsi="宋体" w:cs="宋体"/>
          <w:color w:val="auto"/>
          <w:sz w:val="24"/>
          <w:highlight w:val="none"/>
        </w:rPr>
      </w:pPr>
      <w:r>
        <w:rPr>
          <w:rFonts w:hint="eastAsia" w:ascii="宋体" w:hAnsi="宋体" w:cs="宋体"/>
          <w:color w:val="auto"/>
          <w:sz w:val="24"/>
          <w:highlight w:val="none"/>
        </w:rPr>
        <w:t>①如供应商是企业（包括合伙企业），提供在工商部门注册的有效“企业法人营业执照”或“营业执照”；</w:t>
      </w:r>
    </w:p>
    <w:p w14:paraId="1AA8132E">
      <w:pPr>
        <w:spacing w:line="360" w:lineRule="auto"/>
        <w:rPr>
          <w:rFonts w:ascii="宋体" w:hAnsi="宋体" w:cs="宋体"/>
          <w:color w:val="auto"/>
          <w:sz w:val="24"/>
          <w:highlight w:val="none"/>
        </w:rPr>
      </w:pPr>
      <w:r>
        <w:rPr>
          <w:rFonts w:hint="eastAsia" w:ascii="宋体" w:hAnsi="宋体" w:cs="宋体"/>
          <w:color w:val="auto"/>
          <w:sz w:val="24"/>
          <w:highlight w:val="none"/>
        </w:rPr>
        <w:t>②如供应商是事业单位，提供有效的“事业单位法人证书”；</w:t>
      </w:r>
    </w:p>
    <w:p w14:paraId="7861E4A4">
      <w:pPr>
        <w:spacing w:line="360" w:lineRule="auto"/>
        <w:rPr>
          <w:rFonts w:ascii="宋体" w:hAnsi="宋体" w:cs="宋体"/>
          <w:color w:val="auto"/>
          <w:sz w:val="24"/>
          <w:highlight w:val="none"/>
        </w:rPr>
      </w:pPr>
      <w:r>
        <w:rPr>
          <w:rFonts w:hint="eastAsia" w:ascii="宋体" w:hAnsi="宋体" w:cs="宋体"/>
          <w:color w:val="auto"/>
          <w:sz w:val="24"/>
          <w:highlight w:val="none"/>
        </w:rPr>
        <w:t>③如供应商是非企业专业服务机构的，提供执业许可证等证明文件；</w:t>
      </w:r>
    </w:p>
    <w:p w14:paraId="5BCC1C4B">
      <w:pPr>
        <w:spacing w:line="360" w:lineRule="auto"/>
        <w:rPr>
          <w:rFonts w:ascii="宋体" w:hAnsi="宋体" w:cs="宋体"/>
          <w:color w:val="auto"/>
          <w:sz w:val="24"/>
          <w:highlight w:val="none"/>
        </w:rPr>
      </w:pPr>
      <w:r>
        <w:rPr>
          <w:rFonts w:hint="eastAsia" w:ascii="宋体" w:hAnsi="宋体" w:cs="宋体"/>
          <w:color w:val="auto"/>
          <w:sz w:val="24"/>
          <w:highlight w:val="none"/>
        </w:rPr>
        <w:t>④如供应商是个体工商户，提供有效的“个体工商户营业执照”；</w:t>
      </w:r>
    </w:p>
    <w:p w14:paraId="4E0211B4">
      <w:pPr>
        <w:spacing w:line="360" w:lineRule="auto"/>
        <w:rPr>
          <w:rFonts w:ascii="宋体" w:hAnsi="宋体" w:cs="宋体"/>
          <w:color w:val="auto"/>
          <w:sz w:val="24"/>
          <w:highlight w:val="none"/>
        </w:rPr>
      </w:pPr>
      <w:r>
        <w:rPr>
          <w:rFonts w:hint="eastAsia" w:ascii="宋体" w:hAnsi="宋体" w:cs="宋体"/>
          <w:color w:val="auto"/>
          <w:sz w:val="24"/>
          <w:highlight w:val="none"/>
        </w:rPr>
        <w:t>⑤如供应商是自然人，提供有效的自然人身份证明（居民身份证正反面或公安机关出具的临时居民身份证正反面或港澳台胞证或护照）。</w:t>
      </w:r>
    </w:p>
    <w:p w14:paraId="05DC16BA">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）磋商响应方具有市政的工程施工总承包叁级及以上资质。</w:t>
      </w:r>
    </w:p>
    <w:p w14:paraId="6364419F">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）磋商响应方具备有效的企业安全生产许可证。</w:t>
      </w:r>
    </w:p>
    <w:p w14:paraId="175864CD">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）法定代表人身份证复印件或法定代表人授权委托书(格式见附件)；</w:t>
      </w:r>
    </w:p>
    <w:p w14:paraId="1218E278">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）符合参加政府采购活动应当具备的一般条件的承诺函（格式见附件）；</w:t>
      </w:r>
    </w:p>
    <w:p w14:paraId="36927CD8">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信用记录网络查询页面截图（以省级及以上政府采购网和信用中国查询截图为准）；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488F3A88">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）浙江政府采购网注册正式供应商的网络截图或承诺中标后30天内注册为浙江政府采购网正式供应商（须提供承诺书）；</w:t>
      </w:r>
    </w:p>
    <w:p w14:paraId="240D2FEF">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）东阳市政府采购代理机构社会评价表（格式见附件）；</w:t>
      </w:r>
    </w:p>
    <w:p w14:paraId="35499B4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）磋商声明书 (格式见附件) ；</w:t>
      </w:r>
    </w:p>
    <w:p w14:paraId="73E3B604">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）政府采购活动现场确认声明书 (格式见附件) ；</w:t>
      </w:r>
    </w:p>
    <w:p w14:paraId="598B0C07">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）联合体协议书（联合体投标时提供）（格式见附件）；</w:t>
      </w:r>
    </w:p>
    <w:p w14:paraId="6C5E9D61">
      <w:pPr>
        <w:spacing w:line="360" w:lineRule="auto"/>
        <w:rPr>
          <w:rFonts w:hint="eastAsia" w:ascii="宋体" w:hAnsi="宋体" w:cs="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12</w:t>
      </w:r>
      <w:r>
        <w:rPr>
          <w:rFonts w:hint="eastAsia" w:ascii="宋体" w:hAnsi="宋体"/>
          <w:color w:val="auto"/>
          <w:sz w:val="24"/>
          <w:highlight w:val="none"/>
        </w:rPr>
        <w:t>）</w:t>
      </w:r>
      <w:r>
        <w:rPr>
          <w:rFonts w:hint="eastAsia" w:ascii="宋体" w:hAnsi="宋体" w:cs="宋体"/>
          <w:color w:val="auto"/>
          <w:sz w:val="24"/>
          <w:highlight w:val="none"/>
        </w:rPr>
        <w:t>供应商为中小企业/小微企业，提供《中小企业声明函》（格式见附件）；</w:t>
      </w:r>
    </w:p>
    <w:p w14:paraId="6BE74233">
      <w:pPr>
        <w:spacing w:line="360" w:lineRule="auto"/>
        <w:rPr>
          <w:rFonts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）分包意向协议；（分包时提供，格式见附件）；</w:t>
      </w:r>
    </w:p>
    <w:p w14:paraId="05FF78E9">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）供应商情况介绍；</w:t>
      </w:r>
    </w:p>
    <w:p w14:paraId="3BF5AA27">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）供应商认为有必要提供</w:t>
      </w:r>
      <w:r>
        <w:rPr>
          <w:rFonts w:hint="eastAsia" w:ascii="宋体" w:hAnsi="宋体" w:cs="宋体"/>
          <w:color w:val="auto"/>
          <w:sz w:val="24"/>
          <w:highlight w:val="none"/>
          <w:lang w:eastAsia="zh-CN"/>
        </w:rPr>
        <w:t>的其他文件</w:t>
      </w:r>
      <w:r>
        <w:rPr>
          <w:rFonts w:hint="eastAsia" w:ascii="宋体" w:hAnsi="宋体" w:cs="宋体"/>
          <w:color w:val="auto"/>
          <w:sz w:val="24"/>
          <w:highlight w:val="none"/>
        </w:rPr>
        <w:t>。</w:t>
      </w:r>
    </w:p>
    <w:p w14:paraId="0C810327">
      <w:pPr>
        <w:spacing w:line="360" w:lineRule="auto"/>
        <w:rPr>
          <w:rFonts w:ascii="宋体" w:hAnsi="宋体" w:cs="宋体"/>
          <w:b/>
          <w:bCs/>
          <w:color w:val="auto"/>
          <w:sz w:val="24"/>
          <w:highlight w:val="none"/>
        </w:rPr>
      </w:pPr>
      <w:r>
        <w:rPr>
          <w:rFonts w:hint="eastAsia" w:ascii="宋体" w:hAnsi="宋体" w:cs="宋体"/>
          <w:b/>
          <w:bCs/>
          <w:color w:val="auto"/>
          <w:sz w:val="24"/>
          <w:highlight w:val="none"/>
          <w:lang w:val="en-US" w:eastAsia="zh-CN"/>
        </w:rPr>
        <w:t>2</w:t>
      </w:r>
      <w:r>
        <w:rPr>
          <w:rFonts w:hint="eastAsia" w:ascii="宋体" w:hAnsi="宋体" w:cs="宋体"/>
          <w:b/>
          <w:bCs/>
          <w:color w:val="auto"/>
          <w:sz w:val="24"/>
          <w:highlight w:val="none"/>
        </w:rPr>
        <w:t>.商务技术文件</w:t>
      </w:r>
    </w:p>
    <w:p w14:paraId="3B03F011">
      <w:pPr>
        <w:spacing w:line="360" w:lineRule="auto"/>
        <w:rPr>
          <w:rFonts w:ascii="宋体" w:hAnsi="宋体"/>
          <w:color w:val="auto"/>
          <w:sz w:val="24"/>
          <w:highlight w:val="none"/>
        </w:rPr>
      </w:pPr>
      <w:r>
        <w:rPr>
          <w:rFonts w:hint="eastAsia" w:ascii="宋体" w:hAnsi="宋体" w:cs="宋体"/>
          <w:b/>
          <w:bCs/>
          <w:color w:val="auto"/>
          <w:sz w:val="24"/>
          <w:highlight w:val="none"/>
        </w:rPr>
        <w:t>▲</w:t>
      </w:r>
      <w:r>
        <w:rPr>
          <w:rFonts w:hint="eastAsia" w:ascii="宋体" w:hAnsi="宋体"/>
          <w:color w:val="auto"/>
          <w:sz w:val="24"/>
          <w:highlight w:val="none"/>
        </w:rPr>
        <w:t>（1）供应商资信商务、技术自评得分表（格式见附件）；</w:t>
      </w:r>
    </w:p>
    <w:p w14:paraId="6927B46E">
      <w:pPr>
        <w:spacing w:line="360" w:lineRule="auto"/>
        <w:rPr>
          <w:rFonts w:hint="eastAsia" w:ascii="宋体" w:hAnsi="宋体" w:eastAsia="宋体"/>
          <w:color w:val="auto"/>
          <w:sz w:val="24"/>
          <w:highlight w:val="none"/>
        </w:rPr>
      </w:pPr>
      <w:r>
        <w:rPr>
          <w:rFonts w:hint="eastAsia" w:ascii="宋体" w:hAnsi="宋体" w:cs="宋体"/>
          <w:b/>
          <w:bCs/>
          <w:color w:val="auto"/>
          <w:sz w:val="24"/>
          <w:highlight w:val="none"/>
        </w:rPr>
        <w:t>▲</w:t>
      </w:r>
      <w:r>
        <w:rPr>
          <w:rFonts w:hint="eastAsia" w:ascii="宋体" w:hAnsi="宋体" w:eastAsia="宋体"/>
          <w:color w:val="auto"/>
          <w:sz w:val="24"/>
          <w:highlight w:val="none"/>
        </w:rPr>
        <w:t>（2）</w:t>
      </w:r>
      <w:r>
        <w:rPr>
          <w:rFonts w:hint="eastAsia" w:ascii="宋体" w:hAnsi="宋体"/>
          <w:color w:val="auto"/>
          <w:sz w:val="24"/>
          <w:highlight w:val="none"/>
        </w:rPr>
        <w:t>资信商务、技术文件响应表（格式见附件）；</w:t>
      </w:r>
    </w:p>
    <w:p w14:paraId="17C5D7EB">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）项目理解情况；</w:t>
      </w:r>
    </w:p>
    <w:p w14:paraId="569B64F8">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）施工方案；</w:t>
      </w:r>
    </w:p>
    <w:p w14:paraId="112608B0">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）施工技术；</w:t>
      </w:r>
    </w:p>
    <w:p w14:paraId="790D6297">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）施工进度；</w:t>
      </w:r>
    </w:p>
    <w:p w14:paraId="4A74C98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Theme="minorEastAsia" w:hAnsiTheme="minorEastAsia" w:eastAsiaTheme="minorEastAsia" w:cstheme="minorEastAsia"/>
          <w:color w:val="auto"/>
          <w:kern w:val="0"/>
          <w:sz w:val="24"/>
          <w:highlight w:val="none"/>
        </w:rPr>
        <w:t>安全生产应急预案</w:t>
      </w:r>
      <w:r>
        <w:rPr>
          <w:rFonts w:hint="eastAsia" w:ascii="宋体" w:hAnsi="宋体" w:cs="宋体"/>
          <w:color w:val="auto"/>
          <w:sz w:val="24"/>
          <w:highlight w:val="none"/>
        </w:rPr>
        <w:t>；</w:t>
      </w:r>
    </w:p>
    <w:p w14:paraId="32D33E0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 xml:space="preserve">）质量保障； </w:t>
      </w:r>
    </w:p>
    <w:p w14:paraId="0B226794">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）安全、文明施工等的保证措施；</w:t>
      </w:r>
    </w:p>
    <w:p w14:paraId="0A3D7737">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）施工机具设备；</w:t>
      </w:r>
    </w:p>
    <w:p w14:paraId="29114977">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）材料设备进场计划；</w:t>
      </w:r>
    </w:p>
    <w:p w14:paraId="7EDA1105">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）人员情况；</w:t>
      </w:r>
    </w:p>
    <w:p w14:paraId="4361FBA7">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）布置情况；</w:t>
      </w:r>
    </w:p>
    <w:p w14:paraId="4FE7E1B0">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）关键工序、复杂环节的相应技术措施；</w:t>
      </w:r>
    </w:p>
    <w:p w14:paraId="58ADF001">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 xml:space="preserve">）施工重点难点分析； </w:t>
      </w:r>
    </w:p>
    <w:p w14:paraId="166642B9">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）成品保护的保证措施；</w:t>
      </w:r>
    </w:p>
    <w:p w14:paraId="66038718">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）管理协调；</w:t>
      </w:r>
    </w:p>
    <w:p w14:paraId="7FA7C1C9">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）认证证书；</w:t>
      </w:r>
    </w:p>
    <w:p w14:paraId="1A12B85F">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19</w:t>
      </w:r>
      <w:r>
        <w:rPr>
          <w:rFonts w:hint="eastAsia" w:ascii="宋体" w:hAnsi="宋体" w:cs="宋体"/>
          <w:color w:val="auto"/>
          <w:sz w:val="24"/>
          <w:highlight w:val="none"/>
        </w:rPr>
        <w:t>）同类项目业绩；</w:t>
      </w:r>
    </w:p>
    <w:p w14:paraId="1438D0E7">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）售后保障；</w:t>
      </w:r>
    </w:p>
    <w:p w14:paraId="43125F2F">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）合理化建议；</w:t>
      </w:r>
    </w:p>
    <w:p w14:paraId="13E39D19">
      <w:pPr>
        <w:spacing w:line="360" w:lineRule="auto"/>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）安全生产及其他承诺函（格式见附件）；</w:t>
      </w:r>
    </w:p>
    <w:p w14:paraId="2740EDBF">
      <w:pPr>
        <w:spacing w:line="360" w:lineRule="auto"/>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）人员现场到位率承诺书（格式见附件）；</w:t>
      </w:r>
    </w:p>
    <w:p w14:paraId="305F1669">
      <w:pPr>
        <w:spacing w:line="360" w:lineRule="auto"/>
        <w:rPr>
          <w:rFonts w:ascii="宋体" w:hAnsi="宋体"/>
          <w:bCs/>
          <w:color w:val="auto"/>
          <w:sz w:val="24"/>
          <w:highlight w:val="none"/>
        </w:rPr>
      </w:pPr>
      <w:r>
        <w:rPr>
          <w:rFonts w:hint="eastAsia" w:ascii="宋体" w:hAnsi="宋体"/>
          <w:bCs/>
          <w:color w:val="auto"/>
          <w:sz w:val="24"/>
          <w:highlight w:val="none"/>
        </w:rPr>
        <w:t>（</w:t>
      </w:r>
      <w:r>
        <w:rPr>
          <w:rFonts w:hint="eastAsia" w:ascii="宋体" w:hAnsi="宋体"/>
          <w:bCs/>
          <w:color w:val="auto"/>
          <w:sz w:val="24"/>
          <w:highlight w:val="none"/>
          <w:lang w:val="en-US" w:eastAsia="zh-CN"/>
        </w:rPr>
        <w:t>24</w:t>
      </w:r>
      <w:r>
        <w:rPr>
          <w:rFonts w:hint="eastAsia" w:ascii="宋体" w:hAnsi="宋体"/>
          <w:bCs/>
          <w:color w:val="auto"/>
          <w:sz w:val="24"/>
          <w:highlight w:val="none"/>
        </w:rPr>
        <w:t>）</w:t>
      </w:r>
      <w:r>
        <w:rPr>
          <w:rFonts w:hint="eastAsia" w:ascii="宋体" w:hAnsi="宋体" w:cs="宋体"/>
          <w:color w:val="auto"/>
          <w:sz w:val="24"/>
          <w:highlight w:val="none"/>
        </w:rPr>
        <w:t>供应商</w:t>
      </w:r>
      <w:r>
        <w:rPr>
          <w:rFonts w:hint="eastAsia" w:ascii="宋体" w:hAnsi="宋体"/>
          <w:bCs/>
          <w:color w:val="auto"/>
          <w:sz w:val="24"/>
          <w:highlight w:val="none"/>
        </w:rPr>
        <w:t>需要说明的其他文件和说明。</w:t>
      </w:r>
    </w:p>
    <w:p w14:paraId="4C110AA0">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3</w:t>
      </w:r>
      <w:r>
        <w:rPr>
          <w:rFonts w:hint="eastAsia" w:ascii="宋体" w:hAnsi="宋体" w:cs="宋体"/>
          <w:b/>
          <w:color w:val="auto"/>
          <w:sz w:val="24"/>
          <w:highlight w:val="none"/>
        </w:rPr>
        <w:t>.报价文件</w:t>
      </w:r>
    </w:p>
    <w:p w14:paraId="01E4E4A2">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（1）磋商响应函（格式见附件）； </w:t>
      </w:r>
    </w:p>
    <w:p w14:paraId="130B3B29">
      <w:pPr>
        <w:spacing w:line="430" w:lineRule="exact"/>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 xml:space="preserve">）初次报价表（格式见附件）； </w:t>
      </w:r>
    </w:p>
    <w:p w14:paraId="7DD70686">
      <w:pPr>
        <w:spacing w:line="430" w:lineRule="exact"/>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）供应商针对报价需要说明的其他文件和说明（格式自拟）；</w:t>
      </w:r>
    </w:p>
    <w:p w14:paraId="36DC4901">
      <w:pPr>
        <w:spacing w:line="430" w:lineRule="exact"/>
        <w:rPr>
          <w:rFonts w:ascii="宋体" w:hAnsi="宋体" w:cs="宋体"/>
          <w:b/>
          <w:color w:val="auto"/>
          <w:sz w:val="24"/>
          <w:highlight w:val="none"/>
        </w:rPr>
      </w:pPr>
      <w:r>
        <w:rPr>
          <w:rFonts w:hint="eastAsia" w:ascii="宋体" w:hAnsi="宋体" w:cs="宋体"/>
          <w:b/>
          <w:color w:val="auto"/>
          <w:sz w:val="24"/>
          <w:highlight w:val="none"/>
        </w:rPr>
        <w:t>（二）磋商响应文件的语言及计量</w:t>
      </w:r>
    </w:p>
    <w:p w14:paraId="00E84AF4">
      <w:pPr>
        <w:spacing w:line="430" w:lineRule="exact"/>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1．磋商响应文件以及磋商响应方与招标方就有关磋商事宜的所有来往函电，均应以中文汉语书写。除签名、盖章、专用名称等特殊情形外，以中文汉语以外的文字表述的磋商响应文件视同未提供。</w:t>
      </w:r>
    </w:p>
    <w:p w14:paraId="47749F40">
      <w:pPr>
        <w:spacing w:line="430" w:lineRule="exact"/>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2.磋商计量单位，应采用中华人民共和国法定计量单位（货币单位：人民币元），否则视同未响应。</w:t>
      </w:r>
    </w:p>
    <w:p w14:paraId="2A070DDA">
      <w:pPr>
        <w:spacing w:line="430" w:lineRule="exact"/>
        <w:rPr>
          <w:rFonts w:ascii="宋体" w:hAnsi="宋体" w:cs="宋体"/>
          <w:b/>
          <w:bCs/>
          <w:color w:val="auto"/>
          <w:sz w:val="24"/>
          <w:highlight w:val="none"/>
        </w:rPr>
      </w:pPr>
      <w:r>
        <w:rPr>
          <w:rFonts w:hint="eastAsia" w:ascii="宋体" w:hAnsi="宋体" w:cs="宋体"/>
          <w:b/>
          <w:bCs/>
          <w:color w:val="auto"/>
          <w:sz w:val="24"/>
          <w:highlight w:val="none"/>
        </w:rPr>
        <w:t>（三）磋商报价</w:t>
      </w:r>
    </w:p>
    <w:p w14:paraId="30BF83E5">
      <w:pPr>
        <w:spacing w:line="430" w:lineRule="exact"/>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1.磋商报价应按磋商文件中相关附表格式填写。</w:t>
      </w:r>
    </w:p>
    <w:p w14:paraId="6260E9D4">
      <w:pPr>
        <w:pStyle w:val="17"/>
        <w:spacing w:line="430" w:lineRule="exact"/>
        <w:ind w:firstLine="0" w:firstLineChars="0"/>
        <w:rPr>
          <w:rFonts w:ascii="宋体" w:hAnsi="宋体" w:eastAsia="宋体" w:cs="仿宋"/>
          <w:bCs w:val="0"/>
          <w:color w:val="auto"/>
          <w:sz w:val="24"/>
          <w:highlight w:val="none"/>
        </w:rPr>
      </w:pPr>
      <w:r>
        <w:rPr>
          <w:rFonts w:hint="eastAsia" w:ascii="宋体" w:hAnsi="宋体" w:cs="宋体"/>
          <w:b/>
          <w:bCs/>
          <w:color w:val="auto"/>
          <w:sz w:val="24"/>
          <w:highlight w:val="none"/>
        </w:rPr>
        <w:t>▲</w:t>
      </w:r>
      <w:r>
        <w:rPr>
          <w:rFonts w:hint="eastAsia" w:ascii="宋体" w:hAnsi="宋体" w:eastAsia="宋体" w:cs="仿宋"/>
          <w:bCs w:val="0"/>
          <w:color w:val="auto"/>
          <w:sz w:val="24"/>
          <w:highlight w:val="none"/>
        </w:rPr>
        <w:t>2.磋商报价包括施工所需的施工费、材料费、机械费、人工费、服务费、运输费、安全措施费、招标代理费等实施本项目相关的一切费用及税金。供应商的磋商报价为供应商所能承受的整个项目的一次性最终最低报价，如有漏项，视同已包含在本项目磋商报价中，合同总价</w:t>
      </w:r>
      <w:r>
        <w:rPr>
          <w:rFonts w:hint="eastAsia" w:ascii="宋体" w:hAnsi="宋体" w:eastAsia="宋体" w:cs="仿宋"/>
          <w:bCs w:val="0"/>
          <w:color w:val="auto"/>
          <w:sz w:val="24"/>
          <w:highlight w:val="none"/>
          <w:lang w:eastAsia="zh-CN"/>
        </w:rPr>
        <w:t>不作</w:t>
      </w:r>
      <w:r>
        <w:rPr>
          <w:rFonts w:hint="eastAsia" w:ascii="宋体" w:hAnsi="宋体" w:eastAsia="宋体" w:cs="仿宋"/>
          <w:bCs w:val="0"/>
          <w:color w:val="auto"/>
          <w:sz w:val="24"/>
          <w:highlight w:val="none"/>
        </w:rPr>
        <w:t>调整。</w:t>
      </w:r>
    </w:p>
    <w:p w14:paraId="7F8AB485">
      <w:pPr>
        <w:spacing w:line="430" w:lineRule="exact"/>
        <w:rPr>
          <w:rFonts w:ascii="宋体" w:hAnsi="宋体" w:cs="宋体"/>
          <w:b/>
          <w:bCs/>
          <w:color w:val="auto"/>
          <w:sz w:val="24"/>
          <w:highlight w:val="none"/>
        </w:rPr>
      </w:pPr>
      <w:r>
        <w:rPr>
          <w:rFonts w:hint="eastAsia" w:ascii="宋体" w:hAnsi="宋体" w:cs="宋体"/>
          <w:b/>
          <w:bCs/>
          <w:color w:val="auto"/>
          <w:sz w:val="24"/>
          <w:highlight w:val="none"/>
        </w:rPr>
        <w:t>（四）磋商响应文件的有效期</w:t>
      </w:r>
    </w:p>
    <w:p w14:paraId="3C8BBE85">
      <w:pPr>
        <w:spacing w:line="430" w:lineRule="exact"/>
        <w:rPr>
          <w:rFonts w:ascii="宋体" w:hAnsi="宋体" w:cs="宋体"/>
          <w:color w:val="auto"/>
          <w:sz w:val="24"/>
          <w:highlight w:val="none"/>
        </w:rPr>
      </w:pPr>
      <w:bookmarkStart w:id="18" w:name="_Toc405368930"/>
      <w:bookmarkStart w:id="19" w:name="_Toc450548873"/>
      <w:r>
        <w:rPr>
          <w:rFonts w:hint="eastAsia" w:ascii="宋体" w:hAnsi="宋体" w:cs="宋体"/>
          <w:color w:val="auto"/>
          <w:sz w:val="24"/>
          <w:highlight w:val="none"/>
        </w:rPr>
        <w:t>▲1.自磋商截止日起</w:t>
      </w:r>
      <w:r>
        <w:rPr>
          <w:rFonts w:hint="eastAsia" w:ascii="宋体" w:hAnsi="宋体" w:cs="宋体"/>
          <w:color w:val="auto"/>
          <w:sz w:val="24"/>
          <w:highlight w:val="none"/>
          <w:u w:val="single"/>
        </w:rPr>
        <w:t>60</w:t>
      </w:r>
      <w:r>
        <w:rPr>
          <w:rFonts w:hint="eastAsia" w:ascii="宋体" w:hAnsi="宋体" w:cs="宋体"/>
          <w:color w:val="auto"/>
          <w:sz w:val="24"/>
          <w:highlight w:val="none"/>
        </w:rPr>
        <w:t>天磋商响应文件应保持有效。有效期不足的磋商响应文件将被拒绝。</w:t>
      </w:r>
    </w:p>
    <w:p w14:paraId="697A652C">
      <w:pPr>
        <w:spacing w:line="430" w:lineRule="exact"/>
        <w:rPr>
          <w:rFonts w:ascii="宋体" w:hAnsi="宋体" w:cs="宋体"/>
          <w:color w:val="auto"/>
          <w:sz w:val="24"/>
          <w:highlight w:val="none"/>
        </w:rPr>
      </w:pPr>
      <w:r>
        <w:rPr>
          <w:rFonts w:hint="eastAsia" w:ascii="宋体" w:hAnsi="宋体" w:cs="宋体"/>
          <w:color w:val="auto"/>
          <w:sz w:val="24"/>
          <w:highlight w:val="none"/>
        </w:rPr>
        <w:t>2.在特殊情况下，招标人可与供应商协商延长磋商响应文件的有效期，这种要求和答复均以书面形式进行。</w:t>
      </w:r>
    </w:p>
    <w:p w14:paraId="06E5781D">
      <w:pPr>
        <w:spacing w:line="430" w:lineRule="exact"/>
        <w:rPr>
          <w:rFonts w:ascii="宋体" w:hAnsi="宋体" w:cs="宋体"/>
          <w:color w:val="auto"/>
          <w:sz w:val="24"/>
          <w:highlight w:val="none"/>
        </w:rPr>
      </w:pPr>
      <w:bookmarkStart w:id="20" w:name="_Toc407182105"/>
      <w:r>
        <w:rPr>
          <w:rFonts w:hint="eastAsia" w:ascii="宋体" w:hAnsi="宋体" w:cs="宋体"/>
          <w:color w:val="auto"/>
          <w:sz w:val="24"/>
          <w:highlight w:val="none"/>
        </w:rPr>
        <w:t>3.供应商可拒绝接受延期要求，若同意延长有效期的供应商，则不能修改磋商响应文件。</w:t>
      </w:r>
      <w:bookmarkEnd w:id="20"/>
      <w:r>
        <w:rPr>
          <w:rFonts w:hint="eastAsia" w:ascii="宋体" w:hAnsi="宋体" w:cs="宋体"/>
          <w:color w:val="auto"/>
          <w:sz w:val="24"/>
          <w:highlight w:val="none"/>
        </w:rPr>
        <w:t xml:space="preserve"> </w:t>
      </w:r>
    </w:p>
    <w:p w14:paraId="759C046D">
      <w:pPr>
        <w:spacing w:line="430" w:lineRule="exact"/>
        <w:rPr>
          <w:rFonts w:ascii="宋体" w:hAnsi="宋体" w:cs="宋体"/>
          <w:color w:val="auto"/>
          <w:sz w:val="24"/>
          <w:highlight w:val="none"/>
        </w:rPr>
      </w:pPr>
      <w:r>
        <w:rPr>
          <w:rFonts w:hint="eastAsia" w:ascii="宋体" w:hAnsi="宋体" w:cs="宋体"/>
          <w:color w:val="auto"/>
          <w:sz w:val="24"/>
          <w:highlight w:val="none"/>
        </w:rPr>
        <w:t>4.中标人的磋商响应文件自开标之日起至合同履行完毕止均应保持有效。</w:t>
      </w:r>
    </w:p>
    <w:bookmarkEnd w:id="18"/>
    <w:bookmarkEnd w:id="19"/>
    <w:p w14:paraId="25D221FD">
      <w:pPr>
        <w:spacing w:line="360" w:lineRule="auto"/>
        <w:rPr>
          <w:rFonts w:ascii="宋体" w:hAnsi="宋体" w:cs="宋体"/>
          <w:b/>
          <w:color w:val="auto"/>
          <w:sz w:val="24"/>
          <w:highlight w:val="none"/>
        </w:rPr>
      </w:pPr>
      <w:r>
        <w:rPr>
          <w:rFonts w:hint="eastAsia" w:ascii="宋体" w:hAnsi="宋体" w:cs="宋体"/>
          <w:b/>
          <w:color w:val="auto"/>
          <w:sz w:val="24"/>
          <w:highlight w:val="none"/>
        </w:rPr>
        <w:t>（五）履约保证金</w:t>
      </w:r>
    </w:p>
    <w:p w14:paraId="1E2592E5">
      <w:pPr>
        <w:spacing w:line="360" w:lineRule="auto"/>
        <w:rPr>
          <w:rFonts w:hint="eastAsia" w:ascii="宋体" w:hAnsi="宋体" w:eastAsia="宋体" w:cs="宋体"/>
          <w:color w:val="auto"/>
          <w:sz w:val="24"/>
          <w:highlight w:val="none"/>
        </w:rPr>
      </w:pPr>
      <w:r>
        <w:rPr>
          <w:rFonts w:hint="eastAsia" w:ascii="宋体" w:hAnsi="宋体" w:cs="宋体"/>
          <w:color w:val="auto"/>
          <w:sz w:val="24"/>
          <w:highlight w:val="none"/>
        </w:rPr>
        <w:t>▲</w:t>
      </w:r>
      <w:r>
        <w:rPr>
          <w:rFonts w:hint="eastAsia" w:ascii="宋体" w:hAnsi="宋体" w:eastAsia="宋体" w:cs="宋体"/>
          <w:color w:val="auto"/>
          <w:sz w:val="24"/>
          <w:highlight w:val="none"/>
        </w:rPr>
        <w:t>1.保证金形式：</w:t>
      </w:r>
      <w:r>
        <w:rPr>
          <w:rFonts w:hint="eastAsia" w:ascii="宋体" w:hAnsi="宋体" w:cs="宋体"/>
          <w:color w:val="auto"/>
          <w:sz w:val="24"/>
          <w:highlight w:val="none"/>
          <w:u w:val="single"/>
          <w:lang w:val="en-US" w:eastAsia="zh-CN"/>
        </w:rPr>
        <w:t>支票</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val="en-US" w:eastAsia="zh-CN"/>
        </w:rPr>
        <w:t>汇票</w:t>
      </w:r>
      <w:r>
        <w:rPr>
          <w:rFonts w:hint="eastAsia" w:ascii="宋体" w:hAnsi="宋体" w:eastAsia="宋体" w:cs="宋体"/>
          <w:color w:val="auto"/>
          <w:sz w:val="24"/>
          <w:highlight w:val="none"/>
          <w:u w:val="single"/>
        </w:rPr>
        <w:t>、</w:t>
      </w:r>
      <w:r>
        <w:rPr>
          <w:rFonts w:hint="eastAsia" w:ascii="宋体" w:hAnsi="宋体" w:cs="宋体"/>
          <w:color w:val="auto"/>
          <w:sz w:val="24"/>
          <w:highlight w:val="none"/>
          <w:u w:val="single"/>
          <w:lang w:val="en-US" w:eastAsia="zh-CN"/>
        </w:rPr>
        <w:t>本票</w:t>
      </w:r>
      <w:r>
        <w:rPr>
          <w:rFonts w:hint="eastAsia" w:ascii="宋体" w:hAnsi="宋体" w:eastAsia="宋体" w:cs="宋体"/>
          <w:color w:val="auto"/>
          <w:sz w:val="24"/>
          <w:highlight w:val="none"/>
          <w:u w:val="single"/>
        </w:rPr>
        <w:t>、保函</w:t>
      </w:r>
      <w:r>
        <w:rPr>
          <w:rFonts w:hint="eastAsia" w:ascii="宋体" w:hAnsi="宋体" w:eastAsia="宋体" w:cs="宋体"/>
          <w:color w:val="auto"/>
          <w:sz w:val="24"/>
          <w:highlight w:val="none"/>
        </w:rPr>
        <w:t xml:space="preserve">   </w:t>
      </w:r>
    </w:p>
    <w:p w14:paraId="516979FF">
      <w:pPr>
        <w:numPr>
          <w:ilvl w:val="0"/>
          <w:numId w:val="0"/>
        </w:numPr>
        <w:spacing w:line="360" w:lineRule="auto"/>
        <w:rPr>
          <w:rFonts w:hint="eastAsia" w:ascii="宋体" w:hAnsi="宋体" w:eastAsia="宋体" w:cs="宋体"/>
          <w:color w:val="auto"/>
          <w:sz w:val="24"/>
          <w:highlight w:val="none"/>
          <w:lang w:val="en-US" w:eastAsia="zh-CN"/>
        </w:rPr>
      </w:pPr>
      <w:r>
        <w:rPr>
          <w:rFonts w:hint="eastAsia" w:ascii="宋体" w:hAnsi="宋体" w:eastAsia="宋体" w:cs="宋体"/>
          <w:color w:val="auto"/>
          <w:sz w:val="24"/>
          <w:highlight w:val="none"/>
        </w:rPr>
        <w:t>2.中标人在收到中标通知书后，需向采购人提供</w:t>
      </w:r>
      <w:r>
        <w:rPr>
          <w:rFonts w:hint="eastAsia" w:ascii="宋体" w:hAnsi="宋体" w:cs="宋体"/>
          <w:color w:val="auto"/>
          <w:sz w:val="24"/>
          <w:highlight w:val="none"/>
          <w:lang w:val="en-US" w:eastAsia="zh-CN"/>
        </w:rPr>
        <w:t>中标价的1</w:t>
      </w:r>
      <w:r>
        <w:rPr>
          <w:rFonts w:hint="eastAsia" w:ascii="宋体" w:hAnsi="宋体" w:eastAsia="宋体" w:cs="宋体"/>
          <w:color w:val="auto"/>
          <w:sz w:val="24"/>
          <w:highlight w:val="none"/>
        </w:rPr>
        <w:t>%的履约保证金，在中标人与采购人签订合同前递交，</w:t>
      </w:r>
      <w:r>
        <w:rPr>
          <w:rFonts w:hint="eastAsia" w:ascii="宋体" w:hAnsi="宋体" w:eastAsia="宋体" w:cs="宋体"/>
          <w:color w:val="auto"/>
          <w:sz w:val="24"/>
          <w:highlight w:val="none"/>
          <w:lang w:val="en-US" w:eastAsia="zh-CN"/>
        </w:rPr>
        <w:t>中标人</w:t>
      </w:r>
      <w:r>
        <w:rPr>
          <w:rFonts w:hint="eastAsia" w:ascii="宋体" w:hAnsi="宋体" w:eastAsia="宋体" w:cs="宋体"/>
          <w:color w:val="auto"/>
          <w:sz w:val="24"/>
          <w:highlight w:val="none"/>
        </w:rPr>
        <w:t>需以支票、汇票、本票或者金融机构、保险公司、担保机构出具的</w:t>
      </w:r>
      <w:r>
        <w:rPr>
          <w:rFonts w:hint="eastAsia" w:ascii="宋体" w:hAnsi="宋体" w:cs="宋体"/>
          <w:color w:val="auto"/>
          <w:sz w:val="24"/>
          <w:highlight w:val="none"/>
          <w:lang w:val="en-US" w:eastAsia="zh-CN"/>
        </w:rPr>
        <w:t>保函/保险（可在政采云平台购买，咨询热线4009039583）等非现金形式</w:t>
      </w:r>
      <w:r>
        <w:rPr>
          <w:rFonts w:hint="eastAsia" w:ascii="宋体" w:hAnsi="宋体" w:eastAsia="宋体" w:cs="宋体"/>
          <w:color w:val="auto"/>
          <w:sz w:val="24"/>
          <w:highlight w:val="none"/>
          <w:lang w:val="en-US" w:eastAsia="zh-CN"/>
        </w:rPr>
        <w:t>提交（保函期限应大于履约期限2个月）</w:t>
      </w:r>
      <w:r>
        <w:rPr>
          <w:rFonts w:hint="eastAsia" w:ascii="宋体" w:hAnsi="宋体" w:eastAsia="宋体" w:cs="宋体"/>
          <w:color w:val="auto"/>
          <w:sz w:val="24"/>
          <w:highlight w:val="none"/>
        </w:rPr>
        <w:t>。</w:t>
      </w:r>
    </w:p>
    <w:p w14:paraId="5E079699">
      <w:pPr>
        <w:numPr>
          <w:ilvl w:val="0"/>
          <w:numId w:val="0"/>
        </w:numPr>
        <w:spacing w:line="360" w:lineRule="auto"/>
        <w:ind w:firstLine="480" w:firstLineChars="200"/>
        <w:rPr>
          <w:rFonts w:hint="eastAsia"/>
          <w:color w:val="auto"/>
          <w:highlight w:val="none"/>
        </w:rPr>
      </w:pPr>
      <w:r>
        <w:rPr>
          <w:rFonts w:hint="eastAsia" w:ascii="宋体" w:hAnsi="宋体" w:eastAsia="宋体" w:cs="宋体"/>
          <w:color w:val="auto"/>
          <w:sz w:val="24"/>
          <w:highlight w:val="none"/>
          <w:lang w:val="en-US" w:eastAsia="zh-CN"/>
        </w:rPr>
        <w:t>中标人也可登录政采云平台-【金融服务】—【我的项目】—【已备案合同】以保函形式提供：（1）中标人在合同列表选择需要投保的合同，点击[保函推荐]。（2）在弹框里查看推荐的保函产品，中标人自行选择保函产品，点击[立即申请]。（3）在弹框里填写保函申请信息。具体步骤：选择产品—填写供应商信息—选择中标项目—确认信息—等待保险/保函受理—确认保单—支付保费—成功出单。政采云金融专线400-903-9583。</w:t>
      </w:r>
    </w:p>
    <w:p w14:paraId="66625FF2">
      <w:pPr>
        <w:spacing w:line="430" w:lineRule="exact"/>
        <w:rPr>
          <w:rFonts w:ascii="宋体" w:hAnsi="宋体" w:cs="宋体"/>
          <w:b/>
          <w:color w:val="auto"/>
          <w:sz w:val="24"/>
          <w:highlight w:val="none"/>
        </w:rPr>
      </w:pPr>
      <w:r>
        <w:rPr>
          <w:rFonts w:hint="eastAsia" w:ascii="宋体" w:hAnsi="宋体" w:cs="宋体"/>
          <w:b/>
          <w:color w:val="auto"/>
          <w:sz w:val="24"/>
          <w:highlight w:val="none"/>
        </w:rPr>
        <w:t>（六）磋商响应文件的签署</w:t>
      </w:r>
    </w:p>
    <w:p w14:paraId="3D2E8690">
      <w:pPr>
        <w:numPr>
          <w:ilvl w:val="0"/>
          <w:numId w:val="7"/>
        </w:numPr>
        <w:spacing w:line="430" w:lineRule="exact"/>
        <w:rPr>
          <w:rFonts w:ascii="宋体" w:hAnsi="宋体" w:cs="宋体"/>
          <w:color w:val="auto"/>
          <w:sz w:val="24"/>
          <w:highlight w:val="none"/>
        </w:rPr>
      </w:pPr>
      <w:r>
        <w:rPr>
          <w:rFonts w:hint="eastAsia" w:ascii="宋体" w:hAnsi="宋体" w:cs="宋体"/>
          <w:color w:val="auto"/>
          <w:sz w:val="24"/>
          <w:highlight w:val="none"/>
        </w:rPr>
        <w:t>供应商应按本磋商文件规定的格式和顺序编制磋商响应文件并标注页码，因磋商响应文件内容不完整、编排混乱、放弃关联点或关联点错误等原因导致磋商响应文件被误读、漏读或者查找不到相关内容等风险由供应商自行承担。</w:t>
      </w:r>
    </w:p>
    <w:p w14:paraId="564BA8C3">
      <w:pPr>
        <w:spacing w:line="430" w:lineRule="exact"/>
        <w:rPr>
          <w:rFonts w:ascii="宋体" w:hAnsi="宋体" w:cs="宋体"/>
          <w:b/>
          <w:color w:val="auto"/>
          <w:sz w:val="24"/>
          <w:highlight w:val="none"/>
        </w:rPr>
      </w:pPr>
      <w:r>
        <w:rPr>
          <w:rFonts w:hint="eastAsia" w:ascii="宋体" w:hAnsi="宋体" w:cs="宋体"/>
          <w:color w:val="auto"/>
          <w:sz w:val="24"/>
          <w:highlight w:val="none"/>
        </w:rPr>
        <w:t>▲</w:t>
      </w:r>
      <w:r>
        <w:rPr>
          <w:rFonts w:hint="eastAsia" w:ascii="宋体" w:hAnsi="宋体" w:cs="宋体"/>
          <w:b/>
          <w:color w:val="auto"/>
          <w:sz w:val="24"/>
          <w:highlight w:val="none"/>
        </w:rPr>
        <w:t>2.磋商响应文件需盖章签字的地方必须由供应商法定代表人或法定代表人的授权委托人签署并加盖单位公章，供应商应写全称。</w:t>
      </w:r>
    </w:p>
    <w:p w14:paraId="189B03C6">
      <w:pPr>
        <w:spacing w:line="430" w:lineRule="exact"/>
        <w:rPr>
          <w:rFonts w:ascii="宋体" w:hAnsi="宋体" w:cs="宋体"/>
          <w:color w:val="auto"/>
          <w:sz w:val="24"/>
          <w:highlight w:val="none"/>
        </w:rPr>
      </w:pPr>
      <w:r>
        <w:rPr>
          <w:rFonts w:hint="eastAsia" w:ascii="宋体" w:hAnsi="宋体" w:cs="宋体"/>
          <w:color w:val="auto"/>
          <w:sz w:val="24"/>
          <w:highlight w:val="none"/>
        </w:rPr>
        <w:t>3.磋商响应文件不得涂改，若有修改错漏处，须加盖单位公章和由法定代表人或授权委托人签字或盖章。磋商响应文件因字迹潦草或表达不清所引起的后果由供应商负责。</w:t>
      </w:r>
    </w:p>
    <w:p w14:paraId="649EFF61">
      <w:pPr>
        <w:spacing w:line="430" w:lineRule="exact"/>
        <w:rPr>
          <w:rFonts w:ascii="宋体" w:hAnsi="宋体" w:cs="宋体"/>
          <w:b/>
          <w:color w:val="auto"/>
          <w:sz w:val="24"/>
          <w:highlight w:val="none"/>
        </w:rPr>
      </w:pPr>
      <w:r>
        <w:rPr>
          <w:rFonts w:hint="eastAsia" w:ascii="宋体" w:hAnsi="宋体" w:cs="宋体"/>
          <w:b/>
          <w:color w:val="auto"/>
          <w:sz w:val="24"/>
          <w:highlight w:val="none"/>
        </w:rPr>
        <w:t>（七）磋商响应文件的上传、递交、修改和撤回</w:t>
      </w:r>
    </w:p>
    <w:p w14:paraId="7565FE75">
      <w:pPr>
        <w:spacing w:line="430" w:lineRule="exact"/>
        <w:ind w:firstLine="495"/>
        <w:rPr>
          <w:rFonts w:ascii="宋体" w:hAnsi="宋体" w:cs="宋体"/>
          <w:color w:val="auto"/>
          <w:sz w:val="24"/>
          <w:highlight w:val="none"/>
        </w:rPr>
      </w:pPr>
      <w:r>
        <w:rPr>
          <w:rFonts w:hint="eastAsia" w:ascii="宋体" w:hAnsi="宋体" w:cs="宋体"/>
          <w:color w:val="auto"/>
          <w:sz w:val="24"/>
          <w:highlight w:val="none"/>
        </w:rPr>
        <w:t>1. 供应商应当在磋商截止时间前在“政采云”（电子交易平台）上自行上传加密的电子磋商响应文件。</w:t>
      </w:r>
    </w:p>
    <w:p w14:paraId="2E144CB8">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2.未按规定上传的磋商响应文件将被拒绝，由此造成磋商响应文件解密失败或被误投的风险由供应商承担。</w:t>
      </w:r>
    </w:p>
    <w:p w14:paraId="121B1732">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3. 供应商未在“政采云”（电子交易平台）上自行上传加密的电子磋商响应文件，仅提交电子备份磋商响应文件的，磋商无效。</w:t>
      </w:r>
    </w:p>
    <w:p w14:paraId="2553DD18">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▲4. 供应商应当在磋商截止时间前完成电子磋商响应文件的传输递交，并可以补充、修改或者撤回电子磋商响应文件。补充或者修改电子磋商响应文件的，应当先行撤回原文件，补充、修改后重新传输递交。磋商截止时间前未完成传输的，视为撤回磋商响应文件。磋商、响应截止时间后上传的磋商响应文件，将被政采云平台拒收。</w:t>
      </w:r>
    </w:p>
    <w:p w14:paraId="41556E85">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供应商在磋商截止时间之前，可以对已提交的电子备份磋商响应文件进行修改或撤回，并书面通知招标采购单位；修改后重新递交的电子备份磋商响应文件应当按本磋商文件的要求签署、盖章。磋商截止时间后，供应商不得撤回、修改电子备份磋商响应文件。</w:t>
      </w:r>
    </w:p>
    <w:p w14:paraId="564E5751">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5. 截止开标时间，政采云（电子交易平台）自动提取所有磋商响应文件，供应商须在开标时间截止后30分钟内对上传政采云的磋商响应文件进行解密，所有供应商在规定的解密时限内解密完成或解密时限到后，采购代理机构开启磋商响应文件；供应商超过解密时限的，系统默认自动放弃。</w:t>
      </w:r>
    </w:p>
    <w:p w14:paraId="406306B3">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6. 电子磋商响应文件无法解密或解密失败时，供应商提供了电子备份磋商响应文件的，以电子备份磋商响应文件作为评审依据，否则视为磋商响应文件撤回。磋商响应文件已按时解密的，电子备份磋商响应文件自动失效。</w:t>
      </w:r>
    </w:p>
    <w:p w14:paraId="3F41115C">
      <w:pPr>
        <w:spacing w:line="430" w:lineRule="exact"/>
        <w:rPr>
          <w:rFonts w:ascii="宋体" w:hAnsi="宋体" w:cs="宋体"/>
          <w:b/>
          <w:color w:val="auto"/>
          <w:sz w:val="24"/>
          <w:highlight w:val="none"/>
        </w:rPr>
      </w:pPr>
      <w:r>
        <w:rPr>
          <w:rFonts w:hint="eastAsia" w:ascii="宋体" w:hAnsi="宋体" w:cs="宋体"/>
          <w:b/>
          <w:color w:val="auto"/>
          <w:sz w:val="24"/>
          <w:highlight w:val="none"/>
        </w:rPr>
        <w:t>（八）磋商无效的情形</w:t>
      </w:r>
    </w:p>
    <w:p w14:paraId="307F645E">
      <w:pPr>
        <w:spacing w:line="43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实质上没有响应磋商文件要求的磋商将被视为无效磋商。供应商不得通过修正或撤消不合要求的偏离或保留从而使其磋商成为实质上响应的磋商，但经磋商小组认定属于供应商疏忽、笔误所造成的差错</w:t>
      </w:r>
      <w:r>
        <w:rPr>
          <w:rFonts w:hint="eastAsia" w:ascii="宋体" w:hAnsi="宋体" w:eastAsia="宋体" w:cs="宋体"/>
          <w:sz w:val="24"/>
          <w:szCs w:val="24"/>
        </w:rPr>
        <w:t>（带▲的条款不得更正）</w:t>
      </w:r>
      <w:r>
        <w:rPr>
          <w:rFonts w:hint="eastAsia" w:ascii="宋体" w:hAnsi="宋体" w:cs="宋体"/>
          <w:color w:val="auto"/>
          <w:sz w:val="24"/>
          <w:highlight w:val="none"/>
        </w:rPr>
        <w:t>，应当允许其在磋商结束之前进行修改或者补正。限期内不补正或经补正后仍不符合磋商文件要求的，应认定其磋商无效。供应商修改、补正磋商响应文件后，不影响磋商小组对其磋商响应文件所作的评价和评分结果。</w:t>
      </w:r>
    </w:p>
    <w:p w14:paraId="5C20AE32">
      <w:pPr>
        <w:spacing w:line="430" w:lineRule="exact"/>
        <w:rPr>
          <w:rFonts w:ascii="宋体" w:hAnsi="宋体" w:cs="宋体"/>
          <w:b/>
          <w:color w:val="auto"/>
          <w:sz w:val="24"/>
          <w:highlight w:val="none"/>
        </w:rPr>
      </w:pPr>
      <w:r>
        <w:rPr>
          <w:rFonts w:hint="eastAsia" w:ascii="宋体" w:hAnsi="宋体" w:cs="宋体"/>
          <w:b/>
          <w:color w:val="auto"/>
          <w:sz w:val="24"/>
          <w:highlight w:val="none"/>
        </w:rPr>
        <w:t>1.在符合性审查和商务评审时，如发现下列情形之一的，磋商响应文件将被视为无效：</w:t>
      </w:r>
    </w:p>
    <w:p w14:paraId="1B9264B0">
      <w:pPr>
        <w:spacing w:line="430" w:lineRule="exact"/>
        <w:rPr>
          <w:rFonts w:ascii="宋体" w:hAnsi="宋体" w:cs="宋体"/>
          <w:color w:val="auto"/>
          <w:sz w:val="24"/>
          <w:highlight w:val="none"/>
        </w:rPr>
      </w:pPr>
      <w:r>
        <w:rPr>
          <w:rFonts w:hint="eastAsia" w:ascii="宋体" w:hAnsi="宋体" w:cs="宋体"/>
          <w:color w:val="auto"/>
          <w:sz w:val="24"/>
          <w:highlight w:val="none"/>
        </w:rPr>
        <w:t>（1）供应商仅提交电子备份磋商响应文件的；</w:t>
      </w:r>
    </w:p>
    <w:p w14:paraId="08F34DED">
      <w:pPr>
        <w:spacing w:line="430" w:lineRule="exact"/>
        <w:ind w:firstLine="120" w:firstLineChars="50"/>
        <w:rPr>
          <w:rFonts w:ascii="宋体" w:hAnsi="宋体" w:cs="宋体"/>
          <w:color w:val="auto"/>
          <w:sz w:val="24"/>
          <w:highlight w:val="none"/>
        </w:rPr>
      </w:pPr>
      <w:r>
        <w:rPr>
          <w:rFonts w:hint="eastAsia" w:ascii="宋体" w:hAnsi="宋体" w:cs="宋体"/>
          <w:color w:val="auto"/>
          <w:sz w:val="24"/>
          <w:highlight w:val="none"/>
        </w:rPr>
        <w:t>(2) 在磋商时出现电子磋商响应文件无法解密或解密失败等情况，供应商未提供电子备份磋商响应文件，无法对供应商继续进行评审的；</w:t>
      </w:r>
    </w:p>
    <w:p w14:paraId="6C5F4C64">
      <w:pPr>
        <w:spacing w:line="430" w:lineRule="exact"/>
        <w:rPr>
          <w:rFonts w:ascii="宋体" w:hAnsi="宋体" w:cs="宋体"/>
          <w:color w:val="auto"/>
          <w:sz w:val="24"/>
          <w:highlight w:val="none"/>
        </w:rPr>
      </w:pPr>
      <w:r>
        <w:rPr>
          <w:rFonts w:hint="eastAsia" w:ascii="宋体" w:hAnsi="宋体" w:cs="宋体"/>
          <w:color w:val="auto"/>
          <w:sz w:val="24"/>
          <w:highlight w:val="none"/>
        </w:rPr>
        <w:t>（3）供应商未在规定的时间内对电子询标函进行澄清回复、拒绝澄清回复或澄清回复的内容改变了磋商响应文件的实质性内容的；</w:t>
      </w:r>
    </w:p>
    <w:p w14:paraId="00AD5562">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（4）网上下载的证明文件，不能通过真实性验证的（发现提供虚假资料的，按照提供虚假资料处理）； </w:t>
      </w:r>
    </w:p>
    <w:p w14:paraId="63606F93">
      <w:pPr>
        <w:spacing w:line="430" w:lineRule="exact"/>
        <w:rPr>
          <w:rFonts w:ascii="宋体" w:hAnsi="宋体" w:cs="宋体"/>
          <w:color w:val="auto"/>
          <w:sz w:val="24"/>
          <w:highlight w:val="none"/>
        </w:rPr>
      </w:pPr>
      <w:r>
        <w:rPr>
          <w:rFonts w:hint="eastAsia" w:ascii="宋体" w:hAnsi="宋体" w:cs="宋体"/>
          <w:color w:val="auto"/>
          <w:sz w:val="24"/>
          <w:highlight w:val="none"/>
        </w:rPr>
        <w:t>（5）资格证明文件不全的，或者不符合招标文件标明的资格要求的，及未提供招标文件中标有“▲”特殊符号的证明文件的；</w:t>
      </w:r>
    </w:p>
    <w:p w14:paraId="429823B0">
      <w:pPr>
        <w:spacing w:line="430" w:lineRule="exact"/>
        <w:rPr>
          <w:rFonts w:ascii="宋体" w:hAnsi="宋体" w:cs="宋体"/>
          <w:color w:val="auto"/>
          <w:sz w:val="24"/>
          <w:highlight w:val="none"/>
        </w:rPr>
      </w:pPr>
      <w:r>
        <w:rPr>
          <w:rFonts w:hint="eastAsia" w:ascii="宋体" w:hAnsi="宋体" w:cs="宋体"/>
          <w:color w:val="auto"/>
          <w:sz w:val="24"/>
          <w:highlight w:val="none"/>
        </w:rPr>
        <w:t>（6）本项目投标截止之日前三年内，相关主体在“信用中国”网站、中国政府采购网有失信行为或被列入受惩黑名单。</w:t>
      </w:r>
    </w:p>
    <w:p w14:paraId="6C472EB8">
      <w:pPr>
        <w:spacing w:line="430" w:lineRule="exact"/>
        <w:rPr>
          <w:rFonts w:ascii="宋体" w:hAnsi="宋体" w:cs="宋体"/>
          <w:color w:val="auto"/>
          <w:sz w:val="24"/>
          <w:highlight w:val="none"/>
        </w:rPr>
      </w:pPr>
      <w:r>
        <w:rPr>
          <w:rFonts w:hint="eastAsia" w:ascii="宋体" w:hAnsi="宋体" w:cs="宋体"/>
          <w:color w:val="auto"/>
          <w:sz w:val="24"/>
          <w:highlight w:val="none"/>
        </w:rPr>
        <w:t>（7）磋商响应文件无法定代表人签字,或未提供法定代表人授权委托书、磋商声明书或者填写项目不齐全的；</w:t>
      </w:r>
    </w:p>
    <w:p w14:paraId="20E449F2">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（8）磋商代表人未能出具身份证明或与法定代表人授权委托人身份不符的； </w:t>
      </w:r>
    </w:p>
    <w:p w14:paraId="69F979FE">
      <w:pPr>
        <w:spacing w:line="430" w:lineRule="exact"/>
        <w:rPr>
          <w:rFonts w:ascii="宋体" w:hAnsi="宋体" w:cs="宋体"/>
          <w:color w:val="auto"/>
          <w:sz w:val="24"/>
          <w:highlight w:val="none"/>
        </w:rPr>
      </w:pPr>
      <w:r>
        <w:rPr>
          <w:rFonts w:hint="eastAsia" w:ascii="宋体" w:hAnsi="宋体" w:cs="宋体"/>
          <w:color w:val="auto"/>
          <w:sz w:val="24"/>
          <w:highlight w:val="none"/>
        </w:rPr>
        <w:t>（9）磋商响应文件格式未按磋商文件附件规定的格式、未按磋商文件规定的内容编制磋商响应文件的或者内容虚假的、未按规定签字或盖章的；</w:t>
      </w:r>
    </w:p>
    <w:p w14:paraId="2607D28E">
      <w:pPr>
        <w:spacing w:line="430" w:lineRule="exact"/>
        <w:rPr>
          <w:rFonts w:ascii="宋体" w:hAnsi="宋体" w:cs="宋体"/>
          <w:color w:val="auto"/>
          <w:sz w:val="24"/>
          <w:highlight w:val="none"/>
        </w:rPr>
      </w:pPr>
      <w:r>
        <w:rPr>
          <w:rFonts w:hint="eastAsia" w:ascii="宋体" w:hAnsi="宋体" w:cs="宋体"/>
          <w:color w:val="auto"/>
          <w:sz w:val="24"/>
          <w:highlight w:val="none"/>
        </w:rPr>
        <w:t>（10）磋商响应文件的实质性内容未使用中文表述的或意思表述不明确、前后矛盾的或者使用计量单位不符合磋商文件要求的（经磋商小组认定并允许其当场更正的笔误除外）；</w:t>
      </w:r>
    </w:p>
    <w:p w14:paraId="50EE43C2">
      <w:pPr>
        <w:spacing w:line="430" w:lineRule="exact"/>
        <w:rPr>
          <w:rFonts w:ascii="宋体" w:hAnsi="宋体" w:cs="宋体"/>
          <w:color w:val="auto"/>
          <w:sz w:val="24"/>
          <w:highlight w:val="none"/>
        </w:rPr>
      </w:pPr>
      <w:r>
        <w:rPr>
          <w:rFonts w:hint="eastAsia" w:ascii="宋体" w:hAnsi="宋体" w:cs="宋体"/>
          <w:color w:val="auto"/>
          <w:sz w:val="24"/>
          <w:highlight w:val="none"/>
        </w:rPr>
        <w:t>（11）磋商有效期、服务期（交货期）、质保期、付款方式等商务条款不能满足磋商文件要求的；</w:t>
      </w:r>
    </w:p>
    <w:p w14:paraId="277E0545">
      <w:pPr>
        <w:spacing w:line="430" w:lineRule="exact"/>
        <w:rPr>
          <w:rFonts w:ascii="宋体" w:hAnsi="宋体" w:cs="宋体"/>
          <w:color w:val="auto"/>
          <w:sz w:val="24"/>
          <w:highlight w:val="none"/>
        </w:rPr>
      </w:pPr>
      <w:r>
        <w:rPr>
          <w:rFonts w:hint="eastAsia" w:ascii="宋体" w:hAnsi="宋体" w:cs="宋体"/>
          <w:color w:val="auto"/>
          <w:sz w:val="24"/>
          <w:highlight w:val="none"/>
        </w:rPr>
        <w:t>（12）未实质性响应磋商文件要求或者磋商响应文件有招标方不能接受的附加条件的；</w:t>
      </w:r>
    </w:p>
    <w:p w14:paraId="77317D0E">
      <w:pPr>
        <w:spacing w:line="430" w:lineRule="exact"/>
        <w:rPr>
          <w:rFonts w:ascii="宋体" w:hAnsi="宋体" w:cs="宋体"/>
          <w:color w:val="auto"/>
          <w:sz w:val="24"/>
          <w:highlight w:val="none"/>
        </w:rPr>
      </w:pPr>
      <w:r>
        <w:rPr>
          <w:rFonts w:hint="eastAsia" w:ascii="宋体" w:hAnsi="宋体" w:cs="宋体"/>
          <w:color w:val="auto"/>
          <w:sz w:val="24"/>
          <w:highlight w:val="none"/>
        </w:rPr>
        <w:t>（13）磋商文件规定</w:t>
      </w:r>
      <w:r>
        <w:rPr>
          <w:rFonts w:hint="eastAsia" w:ascii="宋体" w:hAnsi="宋体" w:cs="宋体"/>
          <w:color w:val="auto"/>
          <w:sz w:val="24"/>
          <w:highlight w:val="none"/>
          <w:lang w:eastAsia="zh-CN"/>
        </w:rPr>
        <w:t>的其他</w:t>
      </w:r>
      <w:r>
        <w:rPr>
          <w:rFonts w:hint="eastAsia" w:ascii="宋体" w:hAnsi="宋体" w:cs="宋体"/>
          <w:color w:val="auto"/>
          <w:sz w:val="24"/>
          <w:highlight w:val="none"/>
        </w:rPr>
        <w:t>磋商无效的情况；</w:t>
      </w:r>
    </w:p>
    <w:p w14:paraId="6AB180B9">
      <w:pPr>
        <w:tabs>
          <w:tab w:val="left" w:pos="401"/>
        </w:tabs>
        <w:spacing w:line="430" w:lineRule="exact"/>
        <w:rPr>
          <w:rFonts w:ascii="宋体" w:hAnsi="宋体" w:cs="宋体"/>
          <w:color w:val="auto"/>
          <w:sz w:val="24"/>
          <w:highlight w:val="none"/>
        </w:rPr>
      </w:pPr>
      <w:r>
        <w:rPr>
          <w:rFonts w:hint="eastAsia" w:ascii="宋体" w:hAnsi="宋体" w:cs="宋体"/>
          <w:color w:val="auto"/>
          <w:sz w:val="24"/>
          <w:highlight w:val="none"/>
        </w:rPr>
        <w:t>（14）法律、法规规定</w:t>
      </w:r>
      <w:r>
        <w:rPr>
          <w:rFonts w:hint="eastAsia" w:ascii="宋体" w:hAnsi="宋体" w:cs="宋体"/>
          <w:color w:val="auto"/>
          <w:sz w:val="24"/>
          <w:highlight w:val="none"/>
          <w:lang w:eastAsia="zh-CN"/>
        </w:rPr>
        <w:t>的其他</w:t>
      </w:r>
      <w:r>
        <w:rPr>
          <w:rFonts w:hint="eastAsia" w:ascii="宋体" w:hAnsi="宋体" w:cs="宋体"/>
          <w:color w:val="auto"/>
          <w:sz w:val="24"/>
          <w:highlight w:val="none"/>
        </w:rPr>
        <w:t>磋商无效情况。</w:t>
      </w:r>
    </w:p>
    <w:p w14:paraId="71C6928B">
      <w:pPr>
        <w:spacing w:line="430" w:lineRule="exact"/>
        <w:rPr>
          <w:rFonts w:ascii="宋体" w:hAnsi="宋体" w:cs="宋体"/>
          <w:b/>
          <w:color w:val="auto"/>
          <w:sz w:val="24"/>
          <w:highlight w:val="none"/>
        </w:rPr>
      </w:pPr>
      <w:r>
        <w:rPr>
          <w:rFonts w:hint="eastAsia" w:ascii="宋体" w:hAnsi="宋体" w:cs="宋体"/>
          <w:b/>
          <w:color w:val="auto"/>
          <w:sz w:val="24"/>
          <w:highlight w:val="none"/>
        </w:rPr>
        <w:t>2.在技术资信评审时，如发现下列情形之一的，磋商响应文件将被视为无效：</w:t>
      </w:r>
    </w:p>
    <w:p w14:paraId="0614F4B9">
      <w:pPr>
        <w:spacing w:line="430" w:lineRule="exact"/>
        <w:rPr>
          <w:rFonts w:ascii="宋体" w:hAnsi="宋体" w:cs="宋体"/>
          <w:b/>
          <w:color w:val="auto"/>
          <w:sz w:val="24"/>
          <w:highlight w:val="none"/>
        </w:rPr>
      </w:pPr>
      <w:r>
        <w:rPr>
          <w:rFonts w:hint="eastAsia" w:ascii="宋体" w:hAnsi="宋体" w:cs="宋体"/>
          <w:color w:val="auto"/>
          <w:sz w:val="24"/>
          <w:highlight w:val="none"/>
        </w:rPr>
        <w:t>（1）供应商未在规定的时间内对电子询标函进行澄清回复、拒绝澄清回复或澄清回复的内容改变了磋商响应文件的实质性内容的；</w:t>
      </w:r>
    </w:p>
    <w:p w14:paraId="16594271">
      <w:pPr>
        <w:spacing w:line="430" w:lineRule="exact"/>
        <w:rPr>
          <w:rFonts w:ascii="宋体" w:hAnsi="宋体" w:cs="宋体"/>
          <w:color w:val="auto"/>
          <w:sz w:val="24"/>
          <w:highlight w:val="none"/>
        </w:rPr>
      </w:pPr>
      <w:r>
        <w:rPr>
          <w:rFonts w:hint="eastAsia" w:ascii="宋体" w:hAnsi="宋体" w:cs="宋体"/>
          <w:color w:val="auto"/>
          <w:sz w:val="24"/>
          <w:highlight w:val="none"/>
        </w:rPr>
        <w:t>（2）磋商响应文件标明的响应或偏离与事实不符的或虚假响应的；</w:t>
      </w:r>
    </w:p>
    <w:p w14:paraId="51E5295D">
      <w:pPr>
        <w:spacing w:line="430" w:lineRule="exact"/>
        <w:rPr>
          <w:rFonts w:ascii="宋体" w:hAnsi="宋体" w:cs="宋体"/>
          <w:color w:val="auto"/>
          <w:sz w:val="24"/>
          <w:highlight w:val="none"/>
        </w:rPr>
      </w:pPr>
      <w:r>
        <w:rPr>
          <w:rFonts w:hint="eastAsia" w:ascii="宋体" w:hAnsi="宋体" w:cs="宋体"/>
          <w:color w:val="auto"/>
          <w:sz w:val="24"/>
          <w:highlight w:val="none"/>
        </w:rPr>
        <w:t>（3）明显不符合招标文件质量标准的，或者与招标文件中标有“▲”特殊符号的技术指标、主要功能项目发生实质性偏离的；</w:t>
      </w:r>
    </w:p>
    <w:p w14:paraId="711EE88F">
      <w:pPr>
        <w:spacing w:line="430" w:lineRule="exact"/>
        <w:rPr>
          <w:rFonts w:ascii="宋体" w:hAnsi="宋体" w:cs="宋体"/>
          <w:color w:val="auto"/>
          <w:sz w:val="24"/>
          <w:highlight w:val="none"/>
        </w:rPr>
      </w:pPr>
      <w:r>
        <w:rPr>
          <w:rFonts w:hint="eastAsia" w:ascii="宋体" w:hAnsi="宋体" w:cs="宋体"/>
          <w:color w:val="auto"/>
          <w:sz w:val="24"/>
          <w:highlight w:val="none"/>
        </w:rPr>
        <w:t>（4）磋商文件中允许偏离的技术、性能指标或者辅助功能发生较大负偏离的，经磋商小组认定对项目实际使用造成影响的；</w:t>
      </w:r>
    </w:p>
    <w:p w14:paraId="35F0C24A">
      <w:pPr>
        <w:spacing w:line="430" w:lineRule="exact"/>
        <w:rPr>
          <w:rFonts w:ascii="宋体" w:hAnsi="宋体" w:cs="宋体"/>
          <w:color w:val="auto"/>
          <w:sz w:val="24"/>
          <w:highlight w:val="none"/>
        </w:rPr>
      </w:pPr>
      <w:r>
        <w:rPr>
          <w:rFonts w:hint="eastAsia" w:ascii="宋体" w:hAnsi="宋体" w:cs="宋体"/>
          <w:color w:val="auto"/>
          <w:sz w:val="24"/>
          <w:highlight w:val="none"/>
        </w:rPr>
        <w:t>（5）磋商响应文件技术方案不明确，存在一个或一个以上备选（替代）磋商响应方案的；</w:t>
      </w:r>
    </w:p>
    <w:p w14:paraId="0B4B5D46">
      <w:pPr>
        <w:spacing w:line="430" w:lineRule="exact"/>
        <w:rPr>
          <w:rFonts w:ascii="宋体" w:hAnsi="宋体" w:cs="宋体"/>
          <w:color w:val="auto"/>
          <w:sz w:val="24"/>
          <w:highlight w:val="none"/>
        </w:rPr>
      </w:pPr>
      <w:r>
        <w:rPr>
          <w:rFonts w:hint="eastAsia" w:ascii="宋体" w:hAnsi="宋体" w:cs="宋体"/>
          <w:color w:val="auto"/>
          <w:sz w:val="24"/>
          <w:highlight w:val="none"/>
        </w:rPr>
        <w:t>（6）与其他参加本次磋商供应商的磋商响应文件的文字表述内容相同连续20行以上或者差错相同2处以上的；</w:t>
      </w:r>
    </w:p>
    <w:p w14:paraId="607FA06A">
      <w:pPr>
        <w:spacing w:line="430" w:lineRule="exact"/>
        <w:rPr>
          <w:rFonts w:ascii="宋体" w:hAnsi="宋体" w:cs="宋体"/>
          <w:color w:val="auto"/>
          <w:sz w:val="24"/>
          <w:highlight w:val="none"/>
        </w:rPr>
      </w:pPr>
      <w:r>
        <w:rPr>
          <w:rFonts w:hint="eastAsia" w:ascii="宋体" w:hAnsi="宋体" w:cs="宋体"/>
          <w:color w:val="auto"/>
          <w:sz w:val="24"/>
          <w:highlight w:val="none"/>
        </w:rPr>
        <w:t>（7）在资信及商务标、技术标内出现商务报价；</w:t>
      </w:r>
    </w:p>
    <w:p w14:paraId="04897C7D">
      <w:pPr>
        <w:spacing w:line="430" w:lineRule="exact"/>
        <w:rPr>
          <w:rFonts w:ascii="宋体" w:hAnsi="宋体" w:cs="宋体"/>
          <w:color w:val="auto"/>
          <w:sz w:val="24"/>
          <w:highlight w:val="none"/>
        </w:rPr>
      </w:pPr>
      <w:r>
        <w:rPr>
          <w:rFonts w:hint="eastAsia" w:ascii="宋体" w:hAnsi="宋体" w:cs="宋体"/>
          <w:color w:val="auto"/>
          <w:sz w:val="24"/>
          <w:highlight w:val="none"/>
        </w:rPr>
        <w:t>（8）磋商文件规定</w:t>
      </w:r>
      <w:r>
        <w:rPr>
          <w:rFonts w:hint="eastAsia" w:ascii="宋体" w:hAnsi="宋体" w:cs="宋体"/>
          <w:color w:val="auto"/>
          <w:sz w:val="24"/>
          <w:highlight w:val="none"/>
          <w:lang w:eastAsia="zh-CN"/>
        </w:rPr>
        <w:t>的其他</w:t>
      </w:r>
      <w:r>
        <w:rPr>
          <w:rFonts w:hint="eastAsia" w:ascii="宋体" w:hAnsi="宋体" w:cs="宋体"/>
          <w:color w:val="auto"/>
          <w:sz w:val="24"/>
          <w:highlight w:val="none"/>
        </w:rPr>
        <w:t>磋商无效的情况；</w:t>
      </w:r>
    </w:p>
    <w:p w14:paraId="1DF3ADDE">
      <w:pPr>
        <w:spacing w:line="430" w:lineRule="exact"/>
        <w:rPr>
          <w:rFonts w:ascii="宋体" w:hAnsi="宋体" w:cs="宋体"/>
          <w:color w:val="auto"/>
          <w:sz w:val="24"/>
          <w:highlight w:val="none"/>
        </w:rPr>
      </w:pPr>
      <w:r>
        <w:rPr>
          <w:rFonts w:hint="eastAsia" w:ascii="宋体" w:hAnsi="宋体" w:cs="宋体"/>
          <w:color w:val="auto"/>
          <w:sz w:val="24"/>
          <w:highlight w:val="none"/>
        </w:rPr>
        <w:t>（9）法律、法规规定</w:t>
      </w:r>
      <w:r>
        <w:rPr>
          <w:rFonts w:hint="eastAsia" w:ascii="宋体" w:hAnsi="宋体" w:cs="宋体"/>
          <w:color w:val="auto"/>
          <w:sz w:val="24"/>
          <w:highlight w:val="none"/>
          <w:lang w:eastAsia="zh-CN"/>
        </w:rPr>
        <w:t>的其他</w:t>
      </w:r>
      <w:r>
        <w:rPr>
          <w:rFonts w:hint="eastAsia" w:ascii="宋体" w:hAnsi="宋体" w:cs="宋体"/>
          <w:color w:val="auto"/>
          <w:sz w:val="24"/>
          <w:highlight w:val="none"/>
        </w:rPr>
        <w:t>磋商无效情况。</w:t>
      </w:r>
    </w:p>
    <w:p w14:paraId="549F2AFC">
      <w:pPr>
        <w:spacing w:line="430" w:lineRule="exact"/>
        <w:rPr>
          <w:rFonts w:ascii="宋体" w:hAnsi="宋体" w:cs="宋体"/>
          <w:b/>
          <w:color w:val="auto"/>
          <w:sz w:val="24"/>
          <w:highlight w:val="none"/>
        </w:rPr>
      </w:pPr>
      <w:r>
        <w:rPr>
          <w:rFonts w:hint="eastAsia" w:ascii="宋体" w:hAnsi="宋体" w:cs="宋体"/>
          <w:b/>
          <w:color w:val="auto"/>
          <w:sz w:val="24"/>
          <w:highlight w:val="none"/>
        </w:rPr>
        <w:t>3.在报价评审时，如发现下列情形之一的，磋商响应文件将被视为无效：</w:t>
      </w:r>
    </w:p>
    <w:p w14:paraId="76DD9769">
      <w:pPr>
        <w:spacing w:line="430" w:lineRule="exact"/>
        <w:rPr>
          <w:rFonts w:ascii="宋体" w:hAnsi="宋体" w:cs="宋体"/>
          <w:color w:val="auto"/>
          <w:sz w:val="24"/>
          <w:highlight w:val="none"/>
        </w:rPr>
      </w:pPr>
      <w:r>
        <w:rPr>
          <w:rFonts w:hint="eastAsia" w:ascii="宋体" w:hAnsi="宋体" w:cs="宋体"/>
          <w:color w:val="auto"/>
          <w:sz w:val="24"/>
          <w:highlight w:val="none"/>
        </w:rPr>
        <w:t>（1）供应商未在规定的时间内对电子询标函进行澄清回复、拒绝澄清回复或者澄清回复的内容改变了磋商响应文件的实质性内容的；</w:t>
      </w:r>
    </w:p>
    <w:p w14:paraId="67E23F0E">
      <w:pPr>
        <w:spacing w:line="430" w:lineRule="exact"/>
        <w:rPr>
          <w:rFonts w:ascii="宋体" w:hAnsi="宋体" w:cs="宋体"/>
          <w:color w:val="auto"/>
          <w:sz w:val="24"/>
          <w:highlight w:val="none"/>
        </w:rPr>
      </w:pPr>
      <w:r>
        <w:rPr>
          <w:rFonts w:hint="eastAsia" w:ascii="宋体" w:hAnsi="宋体" w:cs="宋体"/>
          <w:color w:val="auto"/>
          <w:sz w:val="24"/>
          <w:highlight w:val="none"/>
        </w:rPr>
        <w:t>（2）未采用人民币报价或者未按照磋商文件标明的币种报价的；</w:t>
      </w:r>
    </w:p>
    <w:p w14:paraId="6EEC22F1">
      <w:pPr>
        <w:spacing w:line="430" w:lineRule="exact"/>
        <w:rPr>
          <w:rFonts w:ascii="宋体" w:hAnsi="宋体" w:cs="宋体"/>
          <w:color w:val="auto"/>
          <w:sz w:val="24"/>
          <w:highlight w:val="none"/>
        </w:rPr>
      </w:pPr>
      <w:r>
        <w:rPr>
          <w:rFonts w:hint="eastAsia" w:ascii="宋体" w:hAnsi="宋体" w:cs="宋体"/>
          <w:color w:val="auto"/>
          <w:sz w:val="24"/>
          <w:highlight w:val="none"/>
        </w:rPr>
        <w:t>（3）磋商报价具有选择性的，或者开标价格与磋商响应文件承诺的优惠（折扣）价格不一致的；</w:t>
      </w:r>
    </w:p>
    <w:p w14:paraId="2A164B26">
      <w:pPr>
        <w:spacing w:line="430" w:lineRule="exact"/>
        <w:rPr>
          <w:rFonts w:ascii="宋体" w:hAnsi="宋体" w:cs="宋体"/>
          <w:color w:val="auto"/>
          <w:sz w:val="24"/>
          <w:highlight w:val="none"/>
        </w:rPr>
      </w:pPr>
      <w:r>
        <w:rPr>
          <w:rFonts w:hint="eastAsia" w:ascii="宋体" w:hAnsi="宋体" w:cs="宋体"/>
          <w:color w:val="auto"/>
          <w:sz w:val="24"/>
          <w:highlight w:val="none"/>
        </w:rPr>
        <w:t>（4）报价超出用户设定的最高限价或预算金额的；</w:t>
      </w:r>
    </w:p>
    <w:p w14:paraId="50C81238">
      <w:pPr>
        <w:spacing w:line="430" w:lineRule="exact"/>
        <w:rPr>
          <w:rFonts w:ascii="宋体" w:hAnsi="宋体" w:cs="宋体"/>
          <w:color w:val="auto"/>
          <w:sz w:val="24"/>
          <w:highlight w:val="none"/>
        </w:rPr>
      </w:pPr>
      <w:r>
        <w:rPr>
          <w:rFonts w:hint="eastAsia" w:ascii="宋体" w:hAnsi="宋体" w:cs="宋体"/>
          <w:color w:val="auto"/>
          <w:sz w:val="24"/>
          <w:highlight w:val="none"/>
        </w:rPr>
        <w:t>（5）磋商文件规定</w:t>
      </w:r>
      <w:r>
        <w:rPr>
          <w:rFonts w:hint="eastAsia" w:ascii="宋体" w:hAnsi="宋体" w:cs="宋体"/>
          <w:color w:val="auto"/>
          <w:sz w:val="24"/>
          <w:highlight w:val="none"/>
          <w:lang w:eastAsia="zh-CN"/>
        </w:rPr>
        <w:t>的其他</w:t>
      </w:r>
      <w:r>
        <w:rPr>
          <w:rFonts w:hint="eastAsia" w:ascii="宋体" w:hAnsi="宋体" w:cs="宋体"/>
          <w:color w:val="auto"/>
          <w:sz w:val="24"/>
          <w:highlight w:val="none"/>
        </w:rPr>
        <w:t>磋商无效的情况；</w:t>
      </w:r>
    </w:p>
    <w:p w14:paraId="0408B4CC">
      <w:pPr>
        <w:spacing w:line="430" w:lineRule="exact"/>
        <w:rPr>
          <w:rFonts w:ascii="宋体" w:hAnsi="宋体" w:cs="宋体"/>
          <w:color w:val="auto"/>
          <w:sz w:val="24"/>
          <w:highlight w:val="none"/>
        </w:rPr>
      </w:pPr>
      <w:r>
        <w:rPr>
          <w:rFonts w:hint="eastAsia" w:ascii="宋体" w:hAnsi="宋体" w:cs="宋体"/>
          <w:color w:val="auto"/>
          <w:sz w:val="24"/>
          <w:highlight w:val="none"/>
        </w:rPr>
        <w:t>（6）法律、法规规定</w:t>
      </w:r>
      <w:r>
        <w:rPr>
          <w:rFonts w:hint="eastAsia" w:ascii="宋体" w:hAnsi="宋体" w:cs="宋体"/>
          <w:color w:val="auto"/>
          <w:sz w:val="24"/>
          <w:highlight w:val="none"/>
          <w:lang w:eastAsia="zh-CN"/>
        </w:rPr>
        <w:t>的其他</w:t>
      </w:r>
      <w:r>
        <w:rPr>
          <w:rFonts w:hint="eastAsia" w:ascii="宋体" w:hAnsi="宋体" w:cs="宋体"/>
          <w:color w:val="auto"/>
          <w:sz w:val="24"/>
          <w:highlight w:val="none"/>
        </w:rPr>
        <w:t>磋商无效情况。</w:t>
      </w:r>
    </w:p>
    <w:p w14:paraId="41D57842">
      <w:pPr>
        <w:spacing w:line="430" w:lineRule="exact"/>
        <w:rPr>
          <w:rFonts w:hint="eastAsia" w:ascii="宋体" w:hAnsi="宋体" w:eastAsia="宋体" w:cs="宋体"/>
          <w:b/>
          <w:color w:val="auto"/>
          <w:sz w:val="24"/>
          <w:highlight w:val="none"/>
        </w:rPr>
      </w:pPr>
      <w:r>
        <w:rPr>
          <w:rFonts w:hint="eastAsia" w:ascii="宋体" w:hAnsi="宋体" w:eastAsia="宋体" w:cs="宋体"/>
          <w:b/>
          <w:color w:val="auto"/>
          <w:sz w:val="24"/>
          <w:highlight w:val="none"/>
        </w:rPr>
        <w:t>4.除政府采购法律法规规定的恶意串通、视同串通投标情形外，在不影响公平竞争的前提下，采购人、采购代理机构应在采购文件中明确规定参与同一个标段(包)的供应商存在下列情形之一的，其投标(响应)文件无效:(一)不同供应商制作电子投标(响应)文件的计算机网卡MAC地址相同的;(二)不同供应商制作电子投标(响应)文件的计算机硬盘序列号相同的;(三)不同供应商的投标(响应)文件的内容存在两处以上细节错误一致，且无法合理解释的。</w:t>
      </w:r>
    </w:p>
    <w:p w14:paraId="4D033C91">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5</w:t>
      </w:r>
      <w:r>
        <w:rPr>
          <w:rFonts w:hint="eastAsia" w:ascii="宋体" w:hAnsi="宋体" w:cs="宋体"/>
          <w:b/>
          <w:color w:val="auto"/>
          <w:sz w:val="24"/>
          <w:highlight w:val="none"/>
        </w:rPr>
        <w:t>.被拒绝的磋商响应文件为无效。</w:t>
      </w:r>
    </w:p>
    <w:p w14:paraId="5EC97F9C">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6.</w:t>
      </w:r>
      <w:r>
        <w:rPr>
          <w:rFonts w:hint="eastAsia" w:ascii="宋体" w:hAnsi="宋体" w:cs="宋体"/>
          <w:b/>
          <w:color w:val="auto"/>
          <w:sz w:val="24"/>
          <w:highlight w:val="none"/>
        </w:rPr>
        <w:t>根据有关法律、法规规定为无效、废标的，按法律、法规规定执行。</w:t>
      </w:r>
    </w:p>
    <w:p w14:paraId="79AF3AFB">
      <w:pPr>
        <w:pStyle w:val="4"/>
        <w:keepNext w:val="0"/>
        <w:keepLines w:val="0"/>
        <w:pageBreakBefore/>
        <w:spacing w:line="360" w:lineRule="auto"/>
        <w:jc w:val="center"/>
        <w:rPr>
          <w:rFonts w:ascii="宋体" w:hAnsi="宋体" w:eastAsia="宋体" w:cs="宋体"/>
          <w:color w:val="auto"/>
          <w:sz w:val="24"/>
          <w:szCs w:val="24"/>
          <w:highlight w:val="none"/>
        </w:rPr>
      </w:pPr>
      <w:bookmarkStart w:id="21" w:name="_Toc14781"/>
      <w:bookmarkStart w:id="22" w:name="_Toc458697270"/>
      <w:r>
        <w:rPr>
          <w:rFonts w:hint="eastAsia" w:ascii="宋体" w:hAnsi="宋体" w:eastAsia="宋体" w:cs="宋体"/>
          <w:color w:val="auto"/>
          <w:sz w:val="24"/>
          <w:szCs w:val="24"/>
          <w:highlight w:val="none"/>
        </w:rPr>
        <w:t>四、开标</w:t>
      </w:r>
      <w:bookmarkEnd w:id="21"/>
      <w:bookmarkEnd w:id="22"/>
    </w:p>
    <w:p w14:paraId="5184115C">
      <w:pPr>
        <w:spacing w:line="360" w:lineRule="auto"/>
        <w:rPr>
          <w:rFonts w:ascii="宋体" w:hAnsi="宋体" w:cs="宋体"/>
          <w:b/>
          <w:color w:val="auto"/>
          <w:sz w:val="24"/>
          <w:highlight w:val="none"/>
        </w:rPr>
      </w:pPr>
      <w:bookmarkStart w:id="23" w:name="_Toc458697271"/>
      <w:r>
        <w:rPr>
          <w:rFonts w:hint="eastAsia" w:ascii="宋体" w:hAnsi="宋体" w:cs="宋体"/>
          <w:b/>
          <w:color w:val="auto"/>
          <w:sz w:val="24"/>
          <w:highlight w:val="none"/>
        </w:rPr>
        <w:t xml:space="preserve">（一）开标准备   </w:t>
      </w:r>
    </w:p>
    <w:p w14:paraId="7DC4FB50">
      <w:pPr>
        <w:spacing w:line="360" w:lineRule="auto"/>
        <w:ind w:firstLine="720" w:firstLineChars="300"/>
        <w:rPr>
          <w:rFonts w:ascii="宋体" w:hAnsi="宋体" w:cs="宋体"/>
          <w:bCs/>
          <w:color w:val="auto"/>
          <w:sz w:val="24"/>
          <w:highlight w:val="none"/>
        </w:rPr>
      </w:pPr>
      <w:r>
        <w:rPr>
          <w:rFonts w:hint="eastAsia" w:ascii="宋体" w:hAnsi="宋体" w:cs="宋体"/>
          <w:bCs/>
          <w:color w:val="auto"/>
          <w:sz w:val="24"/>
          <w:highlight w:val="none"/>
        </w:rPr>
        <w:t>采购代理机构将在规定的时间和地点进行电子开标，供应商的法定代表人或其委托代理人【委托代理人应当是供应商的在职正式职工】应做好磋商准备，准时在线参加电子开标会议，随时关注磋商进度。</w:t>
      </w:r>
    </w:p>
    <w:p w14:paraId="324D3B86">
      <w:pPr>
        <w:spacing w:line="360" w:lineRule="auto"/>
        <w:rPr>
          <w:rFonts w:ascii="宋体" w:hAnsi="宋体" w:cs="宋体"/>
          <w:b/>
          <w:color w:val="auto"/>
          <w:sz w:val="24"/>
          <w:highlight w:val="none"/>
        </w:rPr>
      </w:pPr>
      <w:r>
        <w:rPr>
          <w:rFonts w:hint="eastAsia" w:ascii="宋体" w:hAnsi="宋体" w:cs="宋体"/>
          <w:b/>
          <w:color w:val="auto"/>
          <w:sz w:val="24"/>
          <w:highlight w:val="none"/>
        </w:rPr>
        <w:t>（二）电子磋商开标程序</w:t>
      </w:r>
    </w:p>
    <w:p w14:paraId="7AE3480D">
      <w:pPr>
        <w:spacing w:line="360" w:lineRule="auto"/>
        <w:rPr>
          <w:rFonts w:ascii="宋体" w:hAnsi="宋体" w:cs="宋体"/>
          <w:bCs/>
          <w:color w:val="auto"/>
          <w:sz w:val="24"/>
          <w:highlight w:val="none"/>
        </w:rPr>
      </w:pPr>
      <w:r>
        <w:rPr>
          <w:rFonts w:hint="eastAsia" w:ascii="宋体" w:hAnsi="宋体" w:cs="宋体"/>
          <w:bCs/>
          <w:color w:val="auto"/>
          <w:sz w:val="24"/>
          <w:highlight w:val="none"/>
        </w:rPr>
        <w:t>1.开标会由招标代理机构主持，主持人宣布开标会议开始；</w:t>
      </w:r>
    </w:p>
    <w:p w14:paraId="27AE238F">
      <w:pPr>
        <w:spacing w:line="360" w:lineRule="auto"/>
        <w:rPr>
          <w:rFonts w:ascii="宋体" w:hAnsi="宋体" w:cs="宋体"/>
          <w:bCs/>
          <w:color w:val="auto"/>
          <w:sz w:val="24"/>
          <w:highlight w:val="none"/>
        </w:rPr>
      </w:pPr>
      <w:r>
        <w:rPr>
          <w:rFonts w:hint="eastAsia" w:ascii="宋体" w:hAnsi="宋体" w:cs="宋体"/>
          <w:bCs/>
          <w:color w:val="auto"/>
          <w:sz w:val="24"/>
          <w:highlight w:val="none"/>
        </w:rPr>
        <w:t>2.主持人宣布会议纪律及磋商期间的有关事项；告知应当回避的情形,提请有关人员回避；</w:t>
      </w:r>
    </w:p>
    <w:p w14:paraId="76299E18">
      <w:pPr>
        <w:spacing w:line="360" w:lineRule="auto"/>
        <w:rPr>
          <w:rFonts w:ascii="宋体" w:hAnsi="宋体" w:cs="宋体"/>
          <w:color w:val="auto"/>
          <w:sz w:val="24"/>
          <w:highlight w:val="none"/>
        </w:rPr>
      </w:pPr>
      <w:r>
        <w:rPr>
          <w:rFonts w:hint="eastAsia" w:ascii="宋体" w:hAnsi="宋体" w:cs="宋体"/>
          <w:color w:val="auto"/>
          <w:sz w:val="24"/>
          <w:highlight w:val="none"/>
        </w:rPr>
        <w:t>3.开标及评审程序</w:t>
      </w:r>
    </w:p>
    <w:p w14:paraId="426B12C6">
      <w:pPr>
        <w:spacing w:line="360" w:lineRule="auto"/>
        <w:rPr>
          <w:rFonts w:ascii="宋体" w:hAnsi="宋体" w:cs="宋体"/>
          <w:color w:val="auto"/>
          <w:sz w:val="24"/>
          <w:highlight w:val="none"/>
        </w:rPr>
      </w:pPr>
      <w:r>
        <w:rPr>
          <w:rFonts w:hint="eastAsia" w:ascii="宋体" w:hAnsi="宋体" w:cs="宋体"/>
          <w:color w:val="auto"/>
          <w:sz w:val="24"/>
          <w:highlight w:val="none"/>
        </w:rPr>
        <w:t>3.1在开标时间截止后30分钟内由各供应商自行对磋商响应文件进行解密；</w:t>
      </w:r>
    </w:p>
    <w:p w14:paraId="13997EEC">
      <w:pPr>
        <w:spacing w:line="360" w:lineRule="auto"/>
        <w:ind w:left="480" w:hanging="480" w:hangingChars="200"/>
        <w:rPr>
          <w:rFonts w:ascii="宋体" w:hAnsi="宋体" w:cs="宋体"/>
          <w:color w:val="auto"/>
          <w:sz w:val="24"/>
          <w:highlight w:val="none"/>
        </w:rPr>
      </w:pPr>
      <w:r>
        <w:rPr>
          <w:rFonts w:hint="eastAsia" w:ascii="宋体" w:hAnsi="宋体" w:cs="宋体"/>
          <w:color w:val="auto"/>
          <w:sz w:val="24"/>
          <w:highlight w:val="none"/>
        </w:rPr>
        <w:t>3.2由采购人进行资格审查；</w:t>
      </w:r>
    </w:p>
    <w:p w14:paraId="77F4FBA3">
      <w:pPr>
        <w:spacing w:line="360" w:lineRule="auto"/>
        <w:rPr>
          <w:rFonts w:hint="eastAsia"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通过资格审查的供应商进行在线磋商；</w:t>
      </w:r>
    </w:p>
    <w:p w14:paraId="2579C66E">
      <w:pPr>
        <w:spacing w:line="360" w:lineRule="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供应商提交最终报价；</w:t>
      </w:r>
    </w:p>
    <w:p w14:paraId="378C44BE">
      <w:pPr>
        <w:spacing w:line="360" w:lineRule="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5专家对</w:t>
      </w:r>
      <w:r>
        <w:rPr>
          <w:rFonts w:hint="eastAsia" w:ascii="宋体" w:hAnsi="宋体" w:cs="宋体"/>
          <w:color w:val="auto"/>
          <w:sz w:val="24"/>
          <w:highlight w:val="none"/>
        </w:rPr>
        <w:t>商务技术响应文件进行评审</w:t>
      </w:r>
      <w:r>
        <w:rPr>
          <w:rFonts w:hint="eastAsia" w:ascii="宋体" w:hAnsi="宋体" w:cs="宋体"/>
          <w:color w:val="auto"/>
          <w:sz w:val="24"/>
          <w:highlight w:val="none"/>
          <w:lang w:eastAsia="zh-CN"/>
        </w:rPr>
        <w:t>，</w:t>
      </w:r>
      <w:r>
        <w:rPr>
          <w:rFonts w:hint="eastAsia" w:ascii="宋体" w:hAnsi="宋体" w:cs="宋体"/>
          <w:color w:val="auto"/>
          <w:sz w:val="24"/>
          <w:highlight w:val="none"/>
        </w:rPr>
        <w:t>系统对各供应商的商务技术进行汇总；</w:t>
      </w:r>
    </w:p>
    <w:p w14:paraId="063DDEF6">
      <w:pPr>
        <w:spacing w:line="360" w:lineRule="auto"/>
        <w:rPr>
          <w:rFonts w:ascii="宋体" w:hAnsi="宋体" w:cs="宋体"/>
          <w:color w:val="auto"/>
          <w:sz w:val="24"/>
          <w:highlight w:val="none"/>
        </w:rPr>
      </w:pPr>
      <w:r>
        <w:rPr>
          <w:rFonts w:hint="eastAsia" w:ascii="宋体" w:hAnsi="宋体" w:cs="宋体"/>
          <w:color w:val="auto"/>
          <w:sz w:val="24"/>
          <w:highlight w:val="none"/>
        </w:rPr>
        <w:t>3.</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在系统上公布评审结果。</w:t>
      </w:r>
    </w:p>
    <w:p w14:paraId="609B1AD5">
      <w:pPr>
        <w:spacing w:line="360" w:lineRule="auto"/>
        <w:rPr>
          <w:rFonts w:ascii="宋体" w:hAnsi="宋体" w:cs="宋体"/>
          <w:b/>
          <w:color w:val="auto"/>
          <w:sz w:val="24"/>
          <w:highlight w:val="none"/>
        </w:rPr>
      </w:pPr>
      <w:r>
        <w:rPr>
          <w:rFonts w:hint="eastAsia" w:ascii="宋体" w:hAnsi="宋体" w:cs="宋体"/>
          <w:b/>
          <w:color w:val="auto"/>
          <w:sz w:val="24"/>
          <w:highlight w:val="none"/>
        </w:rPr>
        <w:t>特别说明：政采云公司如对电子化开标及评审程序有调整的，按调整后的程序操作。</w:t>
      </w:r>
    </w:p>
    <w:p w14:paraId="6BE84452">
      <w:pPr>
        <w:spacing w:line="360" w:lineRule="auto"/>
        <w:rPr>
          <w:rFonts w:ascii="宋体" w:hAnsi="宋体" w:cs="宋体"/>
          <w:color w:val="auto"/>
          <w:sz w:val="24"/>
          <w:highlight w:val="none"/>
        </w:rPr>
      </w:pPr>
      <w:r>
        <w:rPr>
          <w:rFonts w:hint="eastAsia" w:ascii="宋体" w:hAnsi="宋体" w:cs="宋体"/>
          <w:color w:val="auto"/>
          <w:sz w:val="24"/>
          <w:highlight w:val="none"/>
        </w:rPr>
        <w:t>4、本项目采用政采云电子磋商开标及评审程序，磋商时出现电子磋商响应文件无法解密或解密失败等情况时，采购代理机构可上传供应商的电子备份磋商响应文件继续评审。</w:t>
      </w:r>
    </w:p>
    <w:p w14:paraId="314CEF6A">
      <w:pPr>
        <w:pStyle w:val="4"/>
        <w:keepNext w:val="0"/>
        <w:keepLines w:val="0"/>
        <w:pageBreakBefore/>
        <w:spacing w:line="360" w:lineRule="auto"/>
        <w:jc w:val="center"/>
        <w:rPr>
          <w:rFonts w:ascii="宋体" w:hAnsi="宋体" w:eastAsia="宋体" w:cs="宋体"/>
          <w:color w:val="auto"/>
          <w:sz w:val="24"/>
          <w:szCs w:val="24"/>
          <w:highlight w:val="none"/>
        </w:rPr>
      </w:pPr>
      <w:bookmarkStart w:id="24" w:name="_Toc6403"/>
      <w:r>
        <w:rPr>
          <w:rFonts w:hint="eastAsia" w:ascii="宋体" w:hAnsi="宋体" w:eastAsia="宋体" w:cs="宋体"/>
          <w:color w:val="auto"/>
          <w:sz w:val="24"/>
          <w:szCs w:val="24"/>
          <w:highlight w:val="none"/>
        </w:rPr>
        <w:t>五、</w:t>
      </w:r>
      <w:bookmarkEnd w:id="23"/>
      <w:r>
        <w:rPr>
          <w:rFonts w:hint="eastAsia" w:ascii="宋体" w:hAnsi="宋体" w:eastAsia="宋体" w:cs="宋体"/>
          <w:color w:val="auto"/>
          <w:sz w:val="24"/>
          <w:szCs w:val="24"/>
          <w:highlight w:val="none"/>
        </w:rPr>
        <w:t>磋商</w:t>
      </w:r>
      <w:bookmarkEnd w:id="24"/>
    </w:p>
    <w:p w14:paraId="7786689C">
      <w:pPr>
        <w:spacing w:line="360" w:lineRule="auto"/>
        <w:rPr>
          <w:rFonts w:ascii="宋体" w:hAnsi="宋体" w:cs="宋体"/>
          <w:b/>
          <w:color w:val="auto"/>
          <w:sz w:val="24"/>
          <w:highlight w:val="none"/>
        </w:rPr>
      </w:pPr>
      <w:r>
        <w:rPr>
          <w:rFonts w:hint="eastAsia" w:ascii="宋体" w:hAnsi="宋体" w:cs="宋体"/>
          <w:b/>
          <w:color w:val="auto"/>
          <w:sz w:val="24"/>
          <w:highlight w:val="none"/>
        </w:rPr>
        <w:t>（一）组建磋商小组</w:t>
      </w:r>
    </w:p>
    <w:p w14:paraId="41C27C25">
      <w:pPr>
        <w:spacing w:line="360" w:lineRule="auto"/>
        <w:rPr>
          <w:rFonts w:ascii="宋体" w:hAnsi="宋体" w:cs="宋体"/>
          <w:color w:val="auto"/>
          <w:sz w:val="24"/>
          <w:highlight w:val="none"/>
        </w:rPr>
      </w:pPr>
      <w:r>
        <w:rPr>
          <w:rFonts w:hint="eastAsia" w:ascii="宋体" w:hAnsi="宋体" w:cs="宋体"/>
          <w:color w:val="auto"/>
          <w:sz w:val="24"/>
          <w:highlight w:val="none"/>
        </w:rPr>
        <w:t>本项目磋商小组由政府采购评审专家</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人和采购人代表</w:t>
      </w:r>
      <w:r>
        <w:rPr>
          <w:rFonts w:hint="eastAsia" w:ascii="宋体" w:hAnsi="宋体" w:cs="宋体"/>
          <w:color w:val="auto"/>
          <w:sz w:val="24"/>
          <w:highlight w:val="none"/>
          <w:u w:val="none"/>
          <w:lang w:val="en-US" w:eastAsia="zh-CN"/>
        </w:rPr>
        <w:t>1</w:t>
      </w:r>
      <w:r>
        <w:rPr>
          <w:rFonts w:hint="eastAsia" w:ascii="宋体" w:hAnsi="宋体" w:cs="宋体"/>
          <w:color w:val="auto"/>
          <w:sz w:val="24"/>
          <w:highlight w:val="none"/>
        </w:rPr>
        <w:t>人,共</w:t>
      </w:r>
      <w:r>
        <w:rPr>
          <w:rFonts w:hint="eastAsia" w:ascii="宋体" w:hAnsi="宋体" w:cs="宋体"/>
          <w:color w:val="auto"/>
          <w:sz w:val="24"/>
          <w:highlight w:val="none"/>
          <w:u w:val="none"/>
          <w:lang w:val="en-US" w:eastAsia="zh-CN"/>
        </w:rPr>
        <w:t>3</w:t>
      </w:r>
      <w:r>
        <w:rPr>
          <w:rFonts w:hint="eastAsia" w:ascii="宋体" w:hAnsi="宋体" w:cs="宋体"/>
          <w:color w:val="auto"/>
          <w:sz w:val="24"/>
          <w:highlight w:val="none"/>
        </w:rPr>
        <w:t>人组成。（允许采购人不推荐采购人代表参加，如采购人不推荐采购人代表参加评审时，磋商小组（</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人）都从评标专家库中抽取）。</w:t>
      </w:r>
    </w:p>
    <w:p w14:paraId="1E3D6ECB">
      <w:pPr>
        <w:spacing w:line="360" w:lineRule="auto"/>
        <w:rPr>
          <w:rFonts w:ascii="宋体" w:hAnsi="宋体" w:cs="宋体"/>
          <w:b/>
          <w:color w:val="auto"/>
          <w:sz w:val="24"/>
          <w:highlight w:val="none"/>
        </w:rPr>
      </w:pPr>
      <w:r>
        <w:rPr>
          <w:rFonts w:hint="eastAsia" w:ascii="宋体" w:hAnsi="宋体" w:cs="宋体"/>
          <w:b/>
          <w:color w:val="auto"/>
          <w:sz w:val="24"/>
          <w:highlight w:val="none"/>
        </w:rPr>
        <w:t>（二）磋商的方式</w:t>
      </w:r>
    </w:p>
    <w:p w14:paraId="7AF6A93B">
      <w:pPr>
        <w:spacing w:line="360" w:lineRule="auto"/>
        <w:rPr>
          <w:rFonts w:ascii="宋体" w:hAnsi="宋体" w:cs="宋体"/>
          <w:color w:val="auto"/>
          <w:sz w:val="24"/>
          <w:highlight w:val="none"/>
        </w:rPr>
      </w:pPr>
      <w:r>
        <w:rPr>
          <w:rFonts w:hint="eastAsia" w:ascii="宋体" w:hAnsi="宋体" w:cs="宋体"/>
          <w:color w:val="auto"/>
          <w:sz w:val="24"/>
          <w:highlight w:val="none"/>
        </w:rPr>
        <w:t>本项目采用不公开方式磋商，磋商的依据为磋商文件和磋商响应文件。</w:t>
      </w:r>
    </w:p>
    <w:p w14:paraId="47DAEB96">
      <w:pPr>
        <w:spacing w:line="360" w:lineRule="auto"/>
        <w:rPr>
          <w:rFonts w:ascii="宋体" w:hAnsi="宋体" w:cs="宋体"/>
          <w:b/>
          <w:color w:val="auto"/>
          <w:sz w:val="24"/>
          <w:highlight w:val="none"/>
        </w:rPr>
      </w:pPr>
      <w:r>
        <w:rPr>
          <w:rFonts w:hint="eastAsia" w:ascii="宋体" w:hAnsi="宋体" w:cs="宋体"/>
          <w:b/>
          <w:color w:val="auto"/>
          <w:sz w:val="24"/>
          <w:highlight w:val="none"/>
        </w:rPr>
        <w:t>（三）磋商程序</w:t>
      </w:r>
    </w:p>
    <w:p w14:paraId="0F4EE41D">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1.形式审查</w:t>
      </w:r>
    </w:p>
    <w:p w14:paraId="6CAC8962">
      <w:pPr>
        <w:spacing w:line="360" w:lineRule="auto"/>
        <w:rPr>
          <w:rFonts w:ascii="宋体" w:hAnsi="宋体" w:cs="宋体"/>
          <w:b/>
          <w:color w:val="auto"/>
          <w:sz w:val="24"/>
          <w:highlight w:val="none"/>
        </w:rPr>
      </w:pPr>
      <w:r>
        <w:rPr>
          <w:rFonts w:hint="eastAsia" w:ascii="宋体" w:hAnsi="宋体" w:cs="宋体"/>
          <w:color w:val="auto"/>
          <w:sz w:val="24"/>
          <w:highlight w:val="none"/>
        </w:rPr>
        <w:t>招标方工作人员协助磋商小组对供应商的商务技术文件、报价文件的完整性、合法性等进行审查。</w:t>
      </w:r>
    </w:p>
    <w:p w14:paraId="0AFE3638">
      <w:pPr>
        <w:spacing w:line="360" w:lineRule="auto"/>
        <w:rPr>
          <w:rFonts w:ascii="宋体" w:hAnsi="宋体" w:cs="宋体"/>
          <w:b/>
          <w:bCs/>
          <w:color w:val="auto"/>
          <w:sz w:val="24"/>
          <w:highlight w:val="none"/>
        </w:rPr>
      </w:pPr>
      <w:r>
        <w:rPr>
          <w:rFonts w:hint="eastAsia" w:ascii="宋体" w:hAnsi="宋体" w:cs="宋体"/>
          <w:b/>
          <w:bCs/>
          <w:color w:val="auto"/>
          <w:sz w:val="24"/>
          <w:highlight w:val="none"/>
        </w:rPr>
        <w:t>2.实质审查与比较</w:t>
      </w:r>
    </w:p>
    <w:p w14:paraId="10935301">
      <w:pPr>
        <w:spacing w:line="360" w:lineRule="auto"/>
        <w:rPr>
          <w:rFonts w:ascii="宋体" w:hAnsi="宋体" w:cs="宋体"/>
          <w:color w:val="auto"/>
          <w:sz w:val="24"/>
          <w:highlight w:val="none"/>
        </w:rPr>
      </w:pPr>
      <w:r>
        <w:rPr>
          <w:rFonts w:hint="eastAsia" w:ascii="宋体" w:hAnsi="宋体" w:cs="宋体"/>
          <w:color w:val="auto"/>
          <w:sz w:val="24"/>
          <w:highlight w:val="none"/>
        </w:rPr>
        <w:t>（1）磋商小组审查磋商响应文件的实质性内容是否符合磋商文件的实质性要求。</w:t>
      </w:r>
    </w:p>
    <w:p w14:paraId="2F74789A">
      <w:pPr>
        <w:spacing w:line="360" w:lineRule="auto"/>
        <w:rPr>
          <w:rFonts w:ascii="宋体" w:hAnsi="宋体" w:cs="宋体"/>
          <w:color w:val="auto"/>
          <w:sz w:val="24"/>
          <w:highlight w:val="none"/>
        </w:rPr>
      </w:pPr>
      <w:r>
        <w:rPr>
          <w:rFonts w:hint="eastAsia" w:ascii="宋体" w:hAnsi="宋体" w:cs="宋体"/>
          <w:color w:val="auto"/>
          <w:sz w:val="24"/>
          <w:highlight w:val="none"/>
        </w:rPr>
        <w:t>（2）磋商小组将对供应商的磋商响应文件进行审查、核对,如有疑问,将对供应商进行电子询标,供应商须在规定的时间内向磋商小组澄清有关问题,并在政采云上进行询标答复。</w:t>
      </w:r>
    </w:p>
    <w:p w14:paraId="378F07E0">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供应商代表未在规定的时间内进行澄清、拒绝澄清或者澄清的内容改变了磋商响应文件的实质性内容的，磋商小组有权对该磋商响应文件作出不利于供应商的评判。</w:t>
      </w:r>
    </w:p>
    <w:p w14:paraId="2F56C239">
      <w:pPr>
        <w:spacing w:line="360" w:lineRule="auto"/>
        <w:rPr>
          <w:rFonts w:ascii="宋体" w:hAnsi="宋体" w:cs="宋体"/>
          <w:color w:val="auto"/>
          <w:sz w:val="24"/>
          <w:highlight w:val="none"/>
        </w:rPr>
      </w:pPr>
      <w:r>
        <w:rPr>
          <w:rFonts w:hint="eastAsia" w:ascii="宋体" w:hAnsi="宋体" w:cs="宋体"/>
          <w:color w:val="auto"/>
          <w:sz w:val="24"/>
          <w:highlight w:val="none"/>
        </w:rPr>
        <w:t>（3）各供应商的技术得分为所有评委的有效评分的算术平均数，由指定专人进行计算复核。</w:t>
      </w:r>
    </w:p>
    <w:p w14:paraId="0581B217">
      <w:pPr>
        <w:spacing w:line="360" w:lineRule="auto"/>
        <w:rPr>
          <w:rFonts w:ascii="宋体" w:hAnsi="宋体" w:cs="宋体"/>
          <w:color w:val="auto"/>
          <w:sz w:val="24"/>
          <w:highlight w:val="none"/>
        </w:rPr>
      </w:pPr>
      <w:r>
        <w:rPr>
          <w:rFonts w:hint="eastAsia" w:ascii="宋体" w:hAnsi="宋体" w:cs="宋体"/>
          <w:color w:val="auto"/>
          <w:sz w:val="24"/>
          <w:highlight w:val="none"/>
        </w:rPr>
        <w:t>（4）招标方工作人员协助磋商小组审核商务报价有无计算错误，并根据本项目的评分标准计算各供应商的商务报价得分。</w:t>
      </w:r>
    </w:p>
    <w:p w14:paraId="156B17CA">
      <w:pPr>
        <w:spacing w:line="360" w:lineRule="auto"/>
        <w:rPr>
          <w:rFonts w:ascii="宋体" w:hAnsi="宋体" w:cs="宋体"/>
          <w:color w:val="auto"/>
          <w:sz w:val="24"/>
          <w:highlight w:val="none"/>
        </w:rPr>
      </w:pPr>
      <w:r>
        <w:rPr>
          <w:rFonts w:hint="eastAsia" w:ascii="宋体" w:hAnsi="宋体" w:cs="宋体"/>
          <w:color w:val="auto"/>
          <w:sz w:val="24"/>
          <w:highlight w:val="none"/>
        </w:rPr>
        <w:t>（5）磋商小组完成磋商后,招标方工作人员对系统中的得分汇总进行复核,计算出本项目最终得分，磋商小组按磋商原则推荐中标候选人并起草磋商报告。</w:t>
      </w:r>
    </w:p>
    <w:p w14:paraId="1F61DFA9">
      <w:pPr>
        <w:spacing w:line="360" w:lineRule="auto"/>
        <w:rPr>
          <w:rFonts w:ascii="宋体" w:hAnsi="宋体" w:cs="宋体"/>
          <w:b/>
          <w:color w:val="auto"/>
          <w:sz w:val="24"/>
          <w:highlight w:val="none"/>
        </w:rPr>
      </w:pPr>
      <w:r>
        <w:rPr>
          <w:rFonts w:hint="eastAsia" w:ascii="宋体" w:hAnsi="宋体" w:cs="宋体"/>
          <w:b/>
          <w:color w:val="auto"/>
          <w:sz w:val="24"/>
          <w:highlight w:val="none"/>
        </w:rPr>
        <w:t>（四）澄清问题的形式</w:t>
      </w:r>
    </w:p>
    <w:p w14:paraId="7F5CB528">
      <w:pPr>
        <w:spacing w:line="360" w:lineRule="auto"/>
        <w:rPr>
          <w:rFonts w:ascii="宋体" w:hAnsi="宋体" w:cs="宋体"/>
          <w:color w:val="auto"/>
          <w:sz w:val="24"/>
          <w:highlight w:val="none"/>
        </w:rPr>
      </w:pPr>
      <w:r>
        <w:rPr>
          <w:rFonts w:hint="eastAsia" w:ascii="宋体" w:hAnsi="宋体" w:cs="宋体"/>
          <w:color w:val="auto"/>
          <w:sz w:val="24"/>
          <w:highlight w:val="none"/>
        </w:rPr>
        <w:t>对磋商响应文件中含义不明确、同类问题表述不一致或者有明显文字和计算错误的内容，磋商小组可要求供应商作出必要的澄清、说明或者纠正，供应商应在询标规定时间内进行澄清或说明（需盖CA电子签章或实体公章），并不得超出磋商响应文件的范围或者改变磋商响应文件的实质性内容。</w:t>
      </w:r>
    </w:p>
    <w:p w14:paraId="6AEA9ED9">
      <w:pPr>
        <w:spacing w:line="360" w:lineRule="auto"/>
        <w:rPr>
          <w:rFonts w:ascii="宋体" w:hAnsi="宋体" w:cs="宋体"/>
          <w:b/>
          <w:color w:val="auto"/>
          <w:sz w:val="24"/>
          <w:highlight w:val="none"/>
        </w:rPr>
      </w:pPr>
      <w:r>
        <w:rPr>
          <w:rFonts w:hint="eastAsia" w:ascii="宋体" w:hAnsi="宋体" w:cs="宋体"/>
          <w:b/>
          <w:color w:val="auto"/>
          <w:sz w:val="24"/>
          <w:highlight w:val="none"/>
        </w:rPr>
        <w:t>（五）错误修正</w:t>
      </w:r>
    </w:p>
    <w:p w14:paraId="02554DB5">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磋商响应文件如果出现计算或表达上的错误，修正错误的原则如下：</w:t>
      </w:r>
    </w:p>
    <w:p w14:paraId="74A1991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1. 磋商响应文件中开标一览表（报价表）内容与磋商响应文件中相应内容不一致的，以开标一览表（报价表）为准；</w:t>
      </w:r>
    </w:p>
    <w:p w14:paraId="03E8CAF0">
      <w:pPr>
        <w:spacing w:line="360" w:lineRule="auto"/>
        <w:ind w:firstLine="360" w:firstLineChars="150"/>
        <w:rPr>
          <w:rFonts w:ascii="宋体" w:hAnsi="宋体" w:cs="宋体"/>
          <w:color w:val="auto"/>
          <w:sz w:val="24"/>
          <w:highlight w:val="none"/>
        </w:rPr>
      </w:pPr>
      <w:r>
        <w:rPr>
          <w:rFonts w:hint="eastAsia" w:ascii="宋体" w:hAnsi="宋体" w:cs="宋体"/>
          <w:color w:val="auto"/>
          <w:sz w:val="24"/>
          <w:highlight w:val="none"/>
        </w:rPr>
        <w:t>2.大写金额和小写金额不一致的，以大写金额为准；</w:t>
      </w:r>
    </w:p>
    <w:p w14:paraId="47ADE05C">
      <w:pPr>
        <w:spacing w:line="360" w:lineRule="auto"/>
        <w:ind w:left="359" w:leftChars="171"/>
        <w:rPr>
          <w:rFonts w:ascii="宋体" w:hAnsi="宋体" w:cs="宋体"/>
          <w:color w:val="auto"/>
          <w:sz w:val="24"/>
          <w:highlight w:val="none"/>
        </w:rPr>
      </w:pPr>
      <w:r>
        <w:rPr>
          <w:rFonts w:hint="eastAsia" w:ascii="宋体" w:hAnsi="宋体" w:cs="宋体"/>
          <w:color w:val="auto"/>
          <w:sz w:val="24"/>
          <w:highlight w:val="none"/>
        </w:rPr>
        <w:t>3.单价金额小数点或者百分比有明显错位的，以开标一览表的总价为准，并修改单价；4.总价金额与按单价汇总金额不一致的，以单价金额计算结果为准；</w:t>
      </w:r>
    </w:p>
    <w:p w14:paraId="6CE315A4">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5.政采云系统磋商报价与磋商响应文件中开标一览表（报价表）相应内容不一致的，以开标一览表（报价表）为准。</w:t>
      </w:r>
    </w:p>
    <w:p w14:paraId="3F5C572B">
      <w:pPr>
        <w:spacing w:line="360" w:lineRule="auto"/>
        <w:ind w:firstLine="360" w:firstLineChars="150"/>
        <w:rPr>
          <w:rFonts w:hint="eastAsia" w:ascii="宋体" w:hAnsi="宋体" w:cs="宋体"/>
          <w:color w:val="auto"/>
          <w:sz w:val="24"/>
          <w:highlight w:val="none"/>
        </w:rPr>
      </w:pPr>
      <w:r>
        <w:rPr>
          <w:rFonts w:hint="eastAsia" w:ascii="宋体" w:hAnsi="宋体" w:cs="宋体"/>
          <w:color w:val="auto"/>
          <w:sz w:val="24"/>
          <w:highlight w:val="none"/>
        </w:rPr>
        <w:t>6.对不同文字文本磋商响应文件的解释发生异议的，以中文文本为准。</w:t>
      </w:r>
    </w:p>
    <w:p w14:paraId="678572D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同时出现两种以上不一致的，按照前款规定的顺序修正。修正后的报价按照《政府采购货物和服务招标投标管理办法》（第87号令）第五十一条第二款规定：供应商的澄清、说明或者补正应当采用书面形式，并加盖公章，或者由法定代表人或其授权的代表签字。供应商的澄清、说明或者补正不得超出磋商响应文件的范围或者改变磋商响应文件的实质性内容的规定经供应商确认后产生约束力，供应商不确认的，其磋商无效。</w:t>
      </w:r>
    </w:p>
    <w:p w14:paraId="5D4C7060">
      <w:pPr>
        <w:spacing w:line="360" w:lineRule="auto"/>
        <w:rPr>
          <w:rFonts w:ascii="宋体" w:hAnsi="宋体" w:cs="宋体"/>
          <w:b/>
          <w:bCs/>
          <w:color w:val="auto"/>
          <w:sz w:val="24"/>
          <w:highlight w:val="none"/>
        </w:rPr>
      </w:pPr>
      <w:r>
        <w:rPr>
          <w:rFonts w:hint="eastAsia" w:ascii="宋体" w:hAnsi="宋体" w:cs="宋体"/>
          <w:b/>
          <w:color w:val="auto"/>
          <w:sz w:val="24"/>
          <w:highlight w:val="none"/>
        </w:rPr>
        <w:t>（六）磋商原则和磋商办法</w:t>
      </w:r>
    </w:p>
    <w:p w14:paraId="131A0DC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1.磋商小组必须公平、公正评审，遵纪守法，客观、廉洁地履行职责。</w:t>
      </w:r>
    </w:p>
    <w:p w14:paraId="2322E118">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2.磋商小组在评审开始前，应关闭并上交随身携带的各种通信工具。</w:t>
      </w:r>
    </w:p>
    <w:p w14:paraId="758259B6">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3.磋商小组在评审过程中，未经许可不得中途离开评审现场，不得迟到早退。</w:t>
      </w:r>
    </w:p>
    <w:p w14:paraId="13ACA71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4.磋商小组和工作人员不得透露评审过程中的讨论情况和评审结果。</w:t>
      </w:r>
    </w:p>
    <w:p w14:paraId="52EFBDD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5.评审时，磋商小组须按竞争性磋商文件规定的程序、条件和标准，对供应商投标文件的合规性、完整性和有效性进行审查、比较和评估，其中对供应商的资格条件、主要技术参数、商务报价和其他评审要素等，磋商小组应逐项进行审查、比较，不得漏评少评。如发现与竞争性磋商文件要求相偏离的，应对其偏离情形进行必要的核实，并在工作底稿中予以说明；如属于实质性偏离或符合无效投标文件的，可询问供应商，并允许供应商进行陈述申辩，但不允许其对偏离条款进行补充、修正或撤回。</w:t>
      </w:r>
    </w:p>
    <w:p w14:paraId="2085623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6.采购人、采购代理机构不得向评审委员会的磋商小组作倾向性、误导性的解释或者说明。</w:t>
      </w:r>
    </w:p>
    <w:p w14:paraId="7F94A35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7.采购代理机构应当为磋商小组提供必要的评审条件和相应的评审工作底稿，并严格按规定程序组织磋商小组有步骤地进行项目评审，对各磋商小组的评审情况和评审意见进行合理性和合规性审查，对明显畸高、畸低的重大差异评审情况（其总评分偏离平均分30%以上），提醒相关磋商小组进行复核或书面说明理由。</w:t>
      </w:r>
    </w:p>
    <w:p w14:paraId="3218FFC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8.磋商小组在评审过程中不得将自己的观点强加给其他磋商小组，磋商小组应自主发表见解，对评审意见承担个人责任。</w:t>
      </w:r>
    </w:p>
    <w:p w14:paraId="2605750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9.评审结束后，评审委员会应向采购代理机构提交项目评审报告。评审报告是采购人确定中标人的合法依据，评审委员会应当如实、客观地反映评审情况，按竞争性磋商文件的评审办法和细则的规定推荐中标候选人，说明推荐理由，并重点对中标候选人的技术、服务和价格等情况进行评价和比较。如排名第一的供应商报价为最高报价的，评审报告中须对其报价的合理性等进行分析和特别说明。</w:t>
      </w:r>
    </w:p>
    <w:p w14:paraId="137CECE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10.磋商小组应当独立、客观、公正地提出评审意见，不得带有倾向性，不得影响其他磋商小组评审，并在评审报告上签字；如对评审报告有异议的，可在报告上签署不同意见，并说明理由，否则将视为同意。</w:t>
      </w:r>
    </w:p>
    <w:p w14:paraId="17AEF24E">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11.磋商小组应当遵守评审工作纪律，不得泄露评审文件、评审情况和评审中获悉的商业秘密。</w:t>
      </w:r>
    </w:p>
    <w:p w14:paraId="517041BD">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评审委员会在评审过程中发现供应商有行贿、提供虚假材料或者串通等违法行为的，应当及时向财政部门报告。</w:t>
      </w:r>
    </w:p>
    <w:p w14:paraId="48564C5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12.竞争性磋商文件内容违反国家有关强制性规定的，评审委员会应当停止评审并向采购代理机构说明情况。</w:t>
      </w:r>
    </w:p>
    <w:p w14:paraId="49E2FFC2">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13.磋商小组应当配合采购代理机构答复供应商提出的质疑。</w:t>
      </w:r>
    </w:p>
    <w:p w14:paraId="0BD3EE8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14.磋商小组应当配合财政部门的投诉处理工作。</w:t>
      </w:r>
    </w:p>
    <w:p w14:paraId="5C160B14">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15.磋商小组有如下行为之一的，责令改正，给予警告，可以并处一千元以下的罚款：</w:t>
      </w:r>
    </w:p>
    <w:p w14:paraId="692EDEC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①明知应当回避而未主动回避的；</w:t>
      </w:r>
    </w:p>
    <w:p w14:paraId="13E5755B">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②在得知自己为磋商小组身份后至评审结束前时段内私下接触供应商的；</w:t>
      </w:r>
    </w:p>
    <w:p w14:paraId="6229297F">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③在评审过程中擅离职守，影响评审程序正常进行的；</w:t>
      </w:r>
    </w:p>
    <w:p w14:paraId="4C55886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④在评审过程有明显不合理或者不正当倾向性的；</w:t>
      </w:r>
    </w:p>
    <w:p w14:paraId="1A3EAE5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⑤未按竞争性磋商文件规定的评审方法和标准进行评审的。</w:t>
      </w:r>
    </w:p>
    <w:p w14:paraId="7FCD8240">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⑥上述①至⑤行为影响中标结果的，中标结果无效。</w:t>
      </w:r>
    </w:p>
    <w:p w14:paraId="6BC1C239">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16.政府采购磋商小组未按照竞争性磋商文件规定的评审程序、评审方法和评审标准进行独立评审或者泄露评审文件、评审情况的，由财政部门给予警告，并处2000元以上2万元以下的罚款；影响中标、成交结果的，处2万元以上5万元以下的罚款，禁止其参加政府采购评审活动。</w:t>
      </w:r>
    </w:p>
    <w:p w14:paraId="370E8093">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政府采购磋商小组与供应商存在利害关系未回避的，处2万元以上5万元以下的罚款，禁止其参加政府采购评审活动。</w:t>
      </w:r>
    </w:p>
    <w:p w14:paraId="139D6E4C">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政府采购磋商小组收受采购人、采购代理机构、供应商贿赂或者获取其他不正当利益，构成犯罪的，依法追究刑事责任；尚不构成犯罪的，处2万元以上5万元以下的罚款，禁止其参加政府采购评审活动。</w:t>
      </w:r>
    </w:p>
    <w:p w14:paraId="7B06FB57">
      <w:pPr>
        <w:spacing w:line="360" w:lineRule="auto"/>
        <w:ind w:firstLine="240" w:firstLineChars="100"/>
        <w:rPr>
          <w:rFonts w:ascii="宋体" w:hAnsi="宋体" w:cs="宋体"/>
          <w:color w:val="auto"/>
          <w:sz w:val="24"/>
          <w:highlight w:val="none"/>
        </w:rPr>
      </w:pPr>
      <w:r>
        <w:rPr>
          <w:rFonts w:hint="eastAsia" w:ascii="宋体" w:hAnsi="宋体" w:cs="宋体"/>
          <w:color w:val="auto"/>
          <w:sz w:val="24"/>
          <w:highlight w:val="none"/>
        </w:rPr>
        <w:t>政府采购磋商小组有上述违法行为的，其评审意见无效，不得获取评审费；有违法所得的，没收违法所得；给他人造成损失的，依法承担民事责任。</w:t>
      </w:r>
    </w:p>
    <w:p w14:paraId="741EAEC6">
      <w:pPr>
        <w:spacing w:line="360" w:lineRule="auto"/>
        <w:rPr>
          <w:rFonts w:ascii="宋体" w:hAnsi="宋体" w:cs="宋体"/>
          <w:color w:val="auto"/>
          <w:sz w:val="24"/>
          <w:highlight w:val="none"/>
        </w:rPr>
      </w:pPr>
      <w:r>
        <w:rPr>
          <w:rFonts w:hint="eastAsia" w:ascii="宋体" w:hAnsi="宋体" w:cs="宋体"/>
          <w:color w:val="auto"/>
          <w:sz w:val="24"/>
          <w:highlight w:val="none"/>
        </w:rPr>
        <w:t>17.磋商办法。本项目磋商办法是：综合评分法（其中报价分为两轮），具体磋商内容及评分标准等详见《第四章：磋商办法及评分标准》。</w:t>
      </w:r>
    </w:p>
    <w:p w14:paraId="2899970A">
      <w:pPr>
        <w:spacing w:line="360" w:lineRule="auto"/>
        <w:rPr>
          <w:rFonts w:ascii="宋体" w:hAnsi="宋体" w:cs="宋体"/>
          <w:b/>
          <w:color w:val="auto"/>
          <w:sz w:val="24"/>
          <w:highlight w:val="none"/>
        </w:rPr>
      </w:pPr>
      <w:r>
        <w:rPr>
          <w:rFonts w:hint="eastAsia" w:ascii="宋体" w:hAnsi="宋体" w:cs="宋体"/>
          <w:b/>
          <w:color w:val="auto"/>
          <w:sz w:val="24"/>
          <w:highlight w:val="none"/>
        </w:rPr>
        <w:t>（七）</w:t>
      </w:r>
      <w:r>
        <w:rPr>
          <w:rFonts w:hint="eastAsia" w:ascii="宋体" w:hAnsi="宋体" w:cs="宋体"/>
          <w:b/>
          <w:bCs/>
          <w:color w:val="auto"/>
          <w:sz w:val="24"/>
          <w:highlight w:val="none"/>
        </w:rPr>
        <w:t>磋商</w:t>
      </w:r>
      <w:r>
        <w:rPr>
          <w:rFonts w:hint="eastAsia" w:ascii="宋体" w:hAnsi="宋体" w:cs="宋体"/>
          <w:b/>
          <w:color w:val="auto"/>
          <w:sz w:val="24"/>
          <w:highlight w:val="none"/>
        </w:rPr>
        <w:t>过程的监控</w:t>
      </w:r>
    </w:p>
    <w:p w14:paraId="5E6280BF">
      <w:pPr>
        <w:spacing w:line="360" w:lineRule="auto"/>
        <w:ind w:firstLine="120" w:firstLineChars="50"/>
        <w:rPr>
          <w:rFonts w:ascii="宋体" w:hAnsi="宋体" w:cs="宋体"/>
          <w:color w:val="auto"/>
          <w:sz w:val="24"/>
          <w:highlight w:val="none"/>
        </w:rPr>
      </w:pPr>
      <w:r>
        <w:rPr>
          <w:rFonts w:hint="eastAsia" w:ascii="宋体" w:hAnsi="宋体" w:cs="宋体"/>
          <w:color w:val="auto"/>
          <w:sz w:val="24"/>
          <w:highlight w:val="none"/>
        </w:rPr>
        <w:t>本项目磋商过程实行全程录音、录像监控，供应商在磋商过程中所进行的试图影响磋商结果的不公正活动，可能导致其磋商被拒绝。</w:t>
      </w:r>
    </w:p>
    <w:p w14:paraId="7DEB5B05">
      <w:pPr>
        <w:spacing w:line="360" w:lineRule="auto"/>
        <w:rPr>
          <w:rFonts w:ascii="宋体" w:hAnsi="宋体" w:cs="宋体"/>
          <w:b/>
          <w:color w:val="auto"/>
          <w:sz w:val="24"/>
          <w:highlight w:val="none"/>
        </w:rPr>
      </w:pPr>
      <w:r>
        <w:rPr>
          <w:rFonts w:hint="eastAsia" w:ascii="宋体" w:hAnsi="宋体" w:cs="宋体"/>
          <w:b/>
          <w:color w:val="auto"/>
          <w:sz w:val="24"/>
          <w:highlight w:val="none"/>
        </w:rPr>
        <w:t>（八）其他</w:t>
      </w:r>
    </w:p>
    <w:p w14:paraId="68EE0DBB">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采购过程中出现以下情形，导致电子交易平台无法正常运行，或者无法保证电子交易的公平、公正和安全时，采购组织机构可中止电子交易活动：</w:t>
      </w:r>
    </w:p>
    <w:p w14:paraId="08131BBC">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1、电子交易平台发生故障而无法登录访问的；</w:t>
      </w:r>
    </w:p>
    <w:p w14:paraId="50110C0F">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2、电子交易平台应用或数据库出现错误，不能进行正常操作的；</w:t>
      </w:r>
    </w:p>
    <w:p w14:paraId="775967DF">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3、电子交易平台发现严重安全漏洞，有潜在泄密危险的；</w:t>
      </w:r>
    </w:p>
    <w:p w14:paraId="6618CA51">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4、病毒发作导致不能进行正常操作的；</w:t>
      </w:r>
    </w:p>
    <w:p w14:paraId="3E4C0151">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5、其他无法保证电子交易的公平、公正和安全的情况。</w:t>
      </w:r>
    </w:p>
    <w:p w14:paraId="1B95ABA8">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出现前款规定情形，不影响采购公平、公正性的，采购组织机构可以待上述情形消除后继续组织电子交易活动；影响或可能影响采购公平、公正性的，应当重新采购。</w:t>
      </w:r>
    </w:p>
    <w:p w14:paraId="64C28F7E">
      <w:pPr>
        <w:spacing w:line="360" w:lineRule="auto"/>
        <w:ind w:firstLine="120" w:firstLineChars="50"/>
        <w:rPr>
          <w:rFonts w:hint="eastAsia" w:ascii="宋体" w:hAnsi="宋体" w:cs="宋体"/>
          <w:color w:val="auto"/>
          <w:sz w:val="24"/>
          <w:highlight w:val="none"/>
        </w:rPr>
      </w:pPr>
      <w:r>
        <w:rPr>
          <w:rFonts w:hint="eastAsia" w:ascii="宋体" w:hAnsi="宋体" w:cs="宋体"/>
          <w:color w:val="auto"/>
          <w:sz w:val="24"/>
          <w:highlight w:val="none"/>
        </w:rPr>
        <w:t>6、投标截止时间后及评审过程中，有效供应商不足2家的项目，则予以废标。</w:t>
      </w:r>
    </w:p>
    <w:p w14:paraId="7F6AF161">
      <w:pPr>
        <w:pStyle w:val="4"/>
        <w:keepNext w:val="0"/>
        <w:keepLines w:val="0"/>
        <w:pageBreakBefore/>
        <w:spacing w:line="360" w:lineRule="auto"/>
        <w:jc w:val="center"/>
        <w:rPr>
          <w:rFonts w:ascii="宋体" w:hAnsi="宋体" w:eastAsia="宋体" w:cs="宋体"/>
          <w:color w:val="auto"/>
          <w:sz w:val="24"/>
          <w:szCs w:val="24"/>
          <w:highlight w:val="none"/>
        </w:rPr>
      </w:pPr>
      <w:bookmarkStart w:id="25" w:name="_Toc458697272"/>
      <w:bookmarkStart w:id="26" w:name="_Toc19504"/>
      <w:r>
        <w:rPr>
          <w:rFonts w:hint="eastAsia" w:ascii="宋体" w:hAnsi="宋体" w:eastAsia="宋体" w:cs="宋体"/>
          <w:color w:val="auto"/>
          <w:sz w:val="24"/>
          <w:szCs w:val="24"/>
          <w:highlight w:val="none"/>
        </w:rPr>
        <w:t>六、定标</w:t>
      </w:r>
      <w:bookmarkEnd w:id="25"/>
      <w:bookmarkEnd w:id="26"/>
    </w:p>
    <w:p w14:paraId="28897416">
      <w:pPr>
        <w:spacing w:line="360" w:lineRule="auto"/>
        <w:rPr>
          <w:rFonts w:ascii="宋体" w:hAnsi="宋体" w:cs="宋体"/>
          <w:color w:val="auto"/>
          <w:sz w:val="24"/>
          <w:highlight w:val="none"/>
        </w:rPr>
      </w:pPr>
      <w:r>
        <w:rPr>
          <w:rFonts w:hint="eastAsia" w:ascii="宋体" w:hAnsi="宋体" w:cs="宋体"/>
          <w:color w:val="auto"/>
          <w:sz w:val="24"/>
          <w:highlight w:val="none"/>
        </w:rPr>
        <w:t>（一）确定中标人 。</w:t>
      </w:r>
      <w:r>
        <w:rPr>
          <w:rFonts w:hint="eastAsia" w:ascii="宋体" w:hAnsi="宋体" w:cs="宋体"/>
          <w:b/>
          <w:bCs/>
          <w:color w:val="auto"/>
          <w:sz w:val="24"/>
          <w:highlight w:val="none"/>
        </w:rPr>
        <w:t>本项目由采购人授权磋商小组确定中标人。</w:t>
      </w:r>
    </w:p>
    <w:p w14:paraId="6D3A9CD3">
      <w:pPr>
        <w:spacing w:line="360" w:lineRule="auto"/>
        <w:rPr>
          <w:rFonts w:ascii="宋体" w:hAnsi="宋体" w:cs="宋体"/>
          <w:color w:val="auto"/>
          <w:sz w:val="24"/>
          <w:highlight w:val="none"/>
        </w:rPr>
      </w:pPr>
      <w:r>
        <w:rPr>
          <w:rFonts w:hint="eastAsia" w:ascii="宋体" w:hAnsi="宋体" w:cs="宋体"/>
          <w:color w:val="auto"/>
          <w:sz w:val="24"/>
          <w:highlight w:val="none"/>
        </w:rPr>
        <w:t>1.招标方在磋商结束后2个工作日内将磋商报告交采购人确认。</w:t>
      </w:r>
    </w:p>
    <w:p w14:paraId="26BAE712">
      <w:pPr>
        <w:spacing w:line="360" w:lineRule="auto"/>
        <w:rPr>
          <w:rFonts w:ascii="宋体" w:hAnsi="宋体" w:cs="宋体"/>
          <w:color w:val="auto"/>
          <w:sz w:val="24"/>
          <w:highlight w:val="none"/>
        </w:rPr>
      </w:pPr>
      <w:r>
        <w:rPr>
          <w:rFonts w:hint="eastAsia" w:ascii="宋体" w:hAnsi="宋体" w:cs="宋体"/>
          <w:color w:val="auto"/>
          <w:sz w:val="24"/>
          <w:highlight w:val="none"/>
        </w:rPr>
        <w:t>2.采购人应在收到磋商报告后5个工作日内对磋商结果进行确认。如有供应商对磋商结果提出质疑的，采购人可在质疑处理完毕后确定中标人。</w:t>
      </w:r>
    </w:p>
    <w:p w14:paraId="678165C7">
      <w:pPr>
        <w:spacing w:line="360" w:lineRule="auto"/>
        <w:rPr>
          <w:rFonts w:ascii="宋体" w:hAnsi="宋体" w:cs="宋体"/>
          <w:color w:val="auto"/>
          <w:sz w:val="24"/>
          <w:highlight w:val="none"/>
        </w:rPr>
      </w:pPr>
      <w:r>
        <w:rPr>
          <w:rFonts w:hint="eastAsia" w:ascii="宋体" w:hAnsi="宋体" w:cs="宋体"/>
          <w:color w:val="auto"/>
          <w:sz w:val="24"/>
          <w:highlight w:val="none"/>
        </w:rPr>
        <w:t>3.采购人依法确定中标人后2个工作日内，招标方以书面形式发出《中标通知书》,并同时在相关网站上发布中标公告。</w:t>
      </w:r>
    </w:p>
    <w:p w14:paraId="1C541AB9">
      <w:pPr>
        <w:spacing w:line="360" w:lineRule="auto"/>
        <w:rPr>
          <w:rFonts w:ascii="宋体" w:hAnsi="宋体" w:cs="宋体"/>
          <w:color w:val="auto"/>
          <w:sz w:val="24"/>
          <w:highlight w:val="none"/>
        </w:rPr>
      </w:pPr>
      <w:r>
        <w:rPr>
          <w:rFonts w:hint="eastAsia" w:ascii="宋体" w:hAnsi="宋体" w:cs="宋体"/>
          <w:color w:val="auto"/>
          <w:sz w:val="24"/>
          <w:highlight w:val="none"/>
        </w:rPr>
        <w:t>4. 确定中标人后，中标人应在三个工作日内，向招标方领取《中标通知书》，否则按放弃中标资格处理，并因违反诚信原则，提交财政部门列入政府采购黑名单。</w:t>
      </w:r>
    </w:p>
    <w:p w14:paraId="06B78719">
      <w:pPr>
        <w:pStyle w:val="4"/>
        <w:keepNext w:val="0"/>
        <w:keepLines w:val="0"/>
        <w:pageBreakBefore/>
        <w:spacing w:line="360" w:lineRule="auto"/>
        <w:jc w:val="center"/>
        <w:rPr>
          <w:rFonts w:ascii="宋体" w:hAnsi="宋体" w:eastAsia="宋体" w:cs="宋体"/>
          <w:color w:val="auto"/>
          <w:sz w:val="24"/>
          <w:szCs w:val="24"/>
          <w:highlight w:val="none"/>
        </w:rPr>
      </w:pPr>
      <w:bookmarkStart w:id="27" w:name="_Toc458697273"/>
      <w:bookmarkStart w:id="28" w:name="_Toc32347"/>
      <w:r>
        <w:rPr>
          <w:rFonts w:hint="eastAsia" w:ascii="宋体" w:hAnsi="宋体" w:eastAsia="宋体" w:cs="宋体"/>
          <w:color w:val="auto"/>
          <w:sz w:val="24"/>
          <w:szCs w:val="24"/>
          <w:highlight w:val="none"/>
        </w:rPr>
        <w:t>七、合同授予</w:t>
      </w:r>
      <w:bookmarkEnd w:id="27"/>
      <w:bookmarkEnd w:id="28"/>
    </w:p>
    <w:p w14:paraId="049DDAD2">
      <w:pPr>
        <w:spacing w:line="360" w:lineRule="auto"/>
        <w:rPr>
          <w:rFonts w:ascii="宋体" w:hAnsi="宋体" w:cs="宋体"/>
          <w:b/>
          <w:color w:val="auto"/>
          <w:sz w:val="24"/>
          <w:highlight w:val="none"/>
        </w:rPr>
      </w:pPr>
      <w:r>
        <w:rPr>
          <w:rFonts w:hint="eastAsia" w:ascii="宋体" w:hAnsi="宋体" w:cs="宋体"/>
          <w:b/>
          <w:color w:val="auto"/>
          <w:sz w:val="24"/>
          <w:highlight w:val="none"/>
        </w:rPr>
        <w:t>（一）签订合同</w:t>
      </w:r>
    </w:p>
    <w:p w14:paraId="7D58B68B">
      <w:pPr>
        <w:spacing w:line="360" w:lineRule="auto"/>
        <w:rPr>
          <w:rFonts w:ascii="宋体" w:hAnsi="宋体" w:cs="宋体"/>
          <w:color w:val="auto"/>
          <w:sz w:val="24"/>
          <w:highlight w:val="none"/>
        </w:rPr>
      </w:pPr>
      <w:r>
        <w:rPr>
          <w:rFonts w:hint="eastAsia" w:ascii="宋体" w:hAnsi="宋体" w:cs="宋体"/>
          <w:color w:val="auto"/>
          <w:sz w:val="24"/>
          <w:highlight w:val="none"/>
        </w:rPr>
        <w:t>1.除不可抗力等特殊情况外，采购人原则上应当在中标通知书发出之日起20日内，与成交人按照采购文件确定的事项签订政府采购合同，并在签订之日起2个工作日内将政府采购合同在浙江政府采购网上公告。</w:t>
      </w:r>
    </w:p>
    <w:p w14:paraId="568DC348">
      <w:pPr>
        <w:spacing w:line="360" w:lineRule="auto"/>
        <w:rPr>
          <w:rFonts w:ascii="宋体" w:hAnsi="宋体" w:cs="宋体"/>
          <w:color w:val="auto"/>
          <w:sz w:val="24"/>
          <w:highlight w:val="none"/>
        </w:rPr>
      </w:pPr>
      <w:r>
        <w:rPr>
          <w:rFonts w:hint="eastAsia" w:ascii="宋体" w:hAnsi="宋体" w:cs="宋体"/>
          <w:color w:val="auto"/>
          <w:sz w:val="24"/>
          <w:highlight w:val="none"/>
        </w:rPr>
        <w:t>2.成交人按规定的日期、时间、地点，由法定代表人或其授权代表与采购人代表签订合同。如成交人为联合体的，由联合体成员各方法定代表人或其授权代表与采购人代表签订合同。</w:t>
      </w:r>
    </w:p>
    <w:p w14:paraId="1592F50E">
      <w:pPr>
        <w:spacing w:line="360" w:lineRule="auto"/>
        <w:rPr>
          <w:rFonts w:ascii="宋体" w:hAnsi="宋体" w:cs="宋体"/>
          <w:color w:val="auto"/>
          <w:sz w:val="24"/>
          <w:highlight w:val="none"/>
        </w:rPr>
      </w:pPr>
      <w:r>
        <w:rPr>
          <w:rFonts w:hint="eastAsia" w:ascii="宋体" w:hAnsi="宋体" w:cs="宋体"/>
          <w:color w:val="auto"/>
          <w:sz w:val="24"/>
          <w:highlight w:val="none"/>
        </w:rPr>
        <w:t>3.如签订合同并生效后，供应商无故拒绝或延期，除按照合同条款处理外，列入不良行为记录一次，并给予通报。</w:t>
      </w:r>
    </w:p>
    <w:p w14:paraId="761E75E5">
      <w:pPr>
        <w:spacing w:line="360" w:lineRule="auto"/>
        <w:rPr>
          <w:rFonts w:ascii="宋体" w:hAnsi="宋体" w:cs="宋体"/>
          <w:color w:val="auto"/>
          <w:sz w:val="24"/>
          <w:highlight w:val="none"/>
        </w:rPr>
      </w:pPr>
      <w:r>
        <w:rPr>
          <w:rFonts w:hint="eastAsia" w:ascii="宋体" w:hAnsi="宋体" w:cs="宋体"/>
          <w:color w:val="auto"/>
          <w:sz w:val="24"/>
          <w:highlight w:val="none"/>
        </w:rPr>
        <w:t>4.成交人拒绝与采购人签订合同的，采购人可以按照评审报告推荐的中标或者成交候选人名单排序，确定下一候选人为成交人，也可以重新开展政府采购活动。</w:t>
      </w:r>
    </w:p>
    <w:p w14:paraId="11D2CFF9">
      <w:pPr>
        <w:spacing w:line="360" w:lineRule="auto"/>
        <w:rPr>
          <w:rFonts w:ascii="宋体" w:hAnsi="宋体" w:cs="宋体"/>
          <w:color w:val="auto"/>
          <w:sz w:val="24"/>
          <w:highlight w:val="none"/>
        </w:rPr>
      </w:pPr>
      <w:r>
        <w:rPr>
          <w:rFonts w:hint="eastAsia" w:ascii="宋体" w:hAnsi="宋体" w:cs="宋体"/>
          <w:color w:val="auto"/>
          <w:sz w:val="24"/>
          <w:highlight w:val="none"/>
        </w:rPr>
        <w:t>5.采购人与成交人根据采购文件、磋商响应文件等内容签订政府采购合同，合同签订后送东阳市财政局采监科备案。</w:t>
      </w:r>
    </w:p>
    <w:p w14:paraId="66A76C30">
      <w:pPr>
        <w:spacing w:line="360" w:lineRule="auto"/>
        <w:rPr>
          <w:rFonts w:hint="eastAsia" w:ascii="宋体" w:hAnsi="宋体" w:cs="宋体"/>
          <w:bCs/>
          <w:color w:val="auto"/>
          <w:sz w:val="24"/>
          <w:highlight w:val="none"/>
        </w:rPr>
      </w:pPr>
      <w:r>
        <w:rPr>
          <w:rFonts w:hint="eastAsia" w:ascii="宋体" w:hAnsi="宋体" w:cs="宋体"/>
          <w:bCs/>
          <w:color w:val="auto"/>
          <w:sz w:val="24"/>
          <w:highlight w:val="none"/>
        </w:rPr>
        <w:t>6.政府采购货物和服务项目不得收取质量保证金。政府采购工程以及与工程建设有关的货物、服务，采用招标方式采购的，按国家和省有关规定执行。</w:t>
      </w:r>
    </w:p>
    <w:p w14:paraId="397C8003">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eastAsia="宋体" w:cs="宋体"/>
          <w:b/>
          <w:color w:val="auto"/>
          <w:sz w:val="24"/>
          <w:highlight w:val="none"/>
        </w:rPr>
      </w:pPr>
      <w:r>
        <w:rPr>
          <w:rFonts w:hint="eastAsia" w:ascii="宋体" w:hAnsi="宋体" w:eastAsia="宋体" w:cs="宋体"/>
          <w:b/>
          <w:color w:val="auto"/>
          <w:sz w:val="24"/>
          <w:highlight w:val="none"/>
        </w:rPr>
        <w:t>（二）履约保证金</w:t>
      </w:r>
    </w:p>
    <w:p w14:paraId="48BF533C">
      <w:pPr>
        <w:keepNext w:val="0"/>
        <w:keepLines w:val="0"/>
        <w:pageBreakBefore w:val="0"/>
        <w:widowControl w:val="0"/>
        <w:kinsoku/>
        <w:wordWrap/>
        <w:overflowPunct/>
        <w:topLinePunct w:val="0"/>
        <w:autoSpaceDE/>
        <w:autoSpaceDN/>
        <w:bidi w:val="0"/>
        <w:adjustRightInd/>
        <w:snapToGrid/>
        <w:spacing w:line="440" w:lineRule="exact"/>
        <w:textAlignment w:val="auto"/>
        <w:rPr>
          <w:rFonts w:hint="eastAsia" w:ascii="宋体" w:hAnsi="宋体" w:cs="宋体"/>
          <w:color w:val="auto"/>
          <w:sz w:val="24"/>
          <w:highlight w:val="none"/>
          <w:lang w:eastAsia="zh-CN"/>
        </w:rPr>
      </w:pPr>
      <w:r>
        <w:rPr>
          <w:rFonts w:hint="eastAsia" w:ascii="宋体" w:hAnsi="宋体" w:eastAsia="宋体" w:cs="宋体"/>
          <w:color w:val="auto"/>
          <w:sz w:val="24"/>
          <w:highlight w:val="none"/>
        </w:rPr>
        <w:t>1</w:t>
      </w:r>
      <w:r>
        <w:rPr>
          <w:rFonts w:hint="eastAsia" w:ascii="宋体" w:hAnsi="宋体" w:cs="宋体"/>
          <w:color w:val="auto"/>
          <w:sz w:val="24"/>
          <w:highlight w:val="none"/>
          <w:lang w:val="en-US" w:eastAsia="zh-CN"/>
        </w:rPr>
        <w:t>.</w:t>
      </w:r>
      <w:r>
        <w:rPr>
          <w:rFonts w:hint="eastAsia" w:ascii="宋体" w:hAnsi="宋体" w:cs="宋体"/>
          <w:color w:val="auto"/>
          <w:sz w:val="24"/>
          <w:highlight w:val="none"/>
        </w:rPr>
        <w:t>中标人在收到中标通知书后，需向采购人提供</w:t>
      </w:r>
      <w:r>
        <w:rPr>
          <w:rFonts w:hint="eastAsia" w:ascii="宋体" w:hAnsi="宋体" w:cs="宋体"/>
          <w:color w:val="auto"/>
          <w:sz w:val="24"/>
          <w:highlight w:val="none"/>
          <w:lang w:val="en-US" w:eastAsia="zh-CN"/>
        </w:rPr>
        <w:t>中标价的1</w:t>
      </w:r>
      <w:r>
        <w:rPr>
          <w:rFonts w:hint="eastAsia" w:ascii="宋体" w:hAnsi="宋体" w:eastAsia="宋体" w:cs="宋体"/>
          <w:color w:val="auto"/>
          <w:sz w:val="24"/>
          <w:highlight w:val="none"/>
        </w:rPr>
        <w:t>%</w:t>
      </w:r>
      <w:r>
        <w:rPr>
          <w:rFonts w:hint="eastAsia" w:ascii="宋体" w:hAnsi="宋体" w:cs="宋体"/>
          <w:color w:val="auto"/>
          <w:sz w:val="24"/>
          <w:highlight w:val="none"/>
        </w:rPr>
        <w:t>的履约保证金，在中标人与采购人签订合同前递交，磋商响应方需以支票、汇票、本票或者金融机构、保险公司、担保机构出具的保函/保险（可在政采云平台购买，咨询热线4009039583）等非现金形式提交（保函期限应大于履约期限2个月）</w:t>
      </w:r>
      <w:r>
        <w:rPr>
          <w:rFonts w:hint="eastAsia" w:ascii="宋体" w:hAnsi="宋体" w:cs="宋体"/>
          <w:color w:val="auto"/>
          <w:sz w:val="24"/>
          <w:highlight w:val="none"/>
          <w:lang w:eastAsia="zh-CN"/>
        </w:rPr>
        <w:t>。</w:t>
      </w:r>
    </w:p>
    <w:p w14:paraId="70A1F402">
      <w:pPr>
        <w:keepNext w:val="0"/>
        <w:keepLines w:val="0"/>
        <w:pageBreakBefore w:val="0"/>
        <w:widowControl w:val="0"/>
        <w:kinsoku/>
        <w:wordWrap/>
        <w:overflowPunct/>
        <w:topLinePunct w:val="0"/>
        <w:autoSpaceDE/>
        <w:autoSpaceDN/>
        <w:bidi w:val="0"/>
        <w:adjustRightInd/>
        <w:snapToGrid/>
        <w:spacing w:line="440" w:lineRule="exact"/>
        <w:ind w:firstLine="480" w:firstLineChars="200"/>
        <w:textAlignment w:val="auto"/>
        <w:rPr>
          <w:rFonts w:hint="eastAsia"/>
          <w:color w:val="auto"/>
          <w:highlight w:val="none"/>
          <w:lang w:eastAsia="zh-CN"/>
        </w:rPr>
      </w:pPr>
      <w:r>
        <w:rPr>
          <w:rFonts w:hint="eastAsia" w:ascii="宋体" w:hAnsi="宋体" w:cs="宋体"/>
          <w:color w:val="auto"/>
          <w:sz w:val="24"/>
          <w:highlight w:val="none"/>
          <w:lang w:val="en-US" w:eastAsia="zh-CN"/>
        </w:rPr>
        <w:t>中标人也</w:t>
      </w:r>
      <w:r>
        <w:rPr>
          <w:rFonts w:hint="eastAsia" w:ascii="宋体" w:hAnsi="宋体" w:cs="宋体"/>
          <w:color w:val="auto"/>
          <w:sz w:val="24"/>
          <w:highlight w:val="none"/>
        </w:rPr>
        <w:t>可登录政采云平台-【金融服务】—【我的项目】—【已备案合同】以保函形式提供：</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1</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中标人</w:t>
      </w:r>
      <w:r>
        <w:rPr>
          <w:rFonts w:hint="eastAsia" w:ascii="宋体" w:hAnsi="宋体" w:cs="宋体"/>
          <w:color w:val="auto"/>
          <w:sz w:val="24"/>
          <w:highlight w:val="none"/>
        </w:rPr>
        <w:t>在合同列表选择需要投保的合同，点击[保函推荐]。</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lang w:eastAsia="zh-CN"/>
        </w:rPr>
        <w:t>）</w:t>
      </w:r>
      <w:r>
        <w:rPr>
          <w:rFonts w:hint="eastAsia" w:ascii="宋体" w:hAnsi="宋体" w:cs="宋体"/>
          <w:color w:val="auto"/>
          <w:sz w:val="24"/>
          <w:highlight w:val="none"/>
        </w:rPr>
        <w:t>在弹框里查看推荐的保函产品，</w:t>
      </w:r>
      <w:r>
        <w:rPr>
          <w:rFonts w:hint="eastAsia" w:ascii="宋体" w:hAnsi="宋体" w:cs="宋体"/>
          <w:color w:val="auto"/>
          <w:sz w:val="24"/>
          <w:highlight w:val="none"/>
          <w:lang w:val="en-US" w:eastAsia="zh-CN"/>
        </w:rPr>
        <w:t>中标人</w:t>
      </w:r>
      <w:r>
        <w:rPr>
          <w:rFonts w:hint="eastAsia" w:ascii="宋体" w:hAnsi="宋体" w:cs="宋体"/>
          <w:color w:val="auto"/>
          <w:sz w:val="24"/>
          <w:highlight w:val="none"/>
        </w:rPr>
        <w:t>自行选择保函产品，点击[立即申请]。</w:t>
      </w:r>
      <w:r>
        <w:rPr>
          <w:rFonts w:hint="eastAsia" w:ascii="宋体" w:hAnsi="宋体" w:cs="宋体"/>
          <w:color w:val="auto"/>
          <w:sz w:val="24"/>
          <w:highlight w:val="none"/>
          <w:lang w:eastAsia="zh-CN"/>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lang w:eastAsia="zh-CN"/>
        </w:rPr>
        <w:t>）</w:t>
      </w:r>
      <w:r>
        <w:rPr>
          <w:rFonts w:hint="eastAsia" w:ascii="宋体" w:hAnsi="宋体" w:cs="宋体"/>
          <w:color w:val="auto"/>
          <w:sz w:val="24"/>
          <w:highlight w:val="none"/>
        </w:rPr>
        <w:t>在弹框里填写保函申请信息。具体步骤：选择产品—填写供应商信息—选择中标项目—确认信息—等待保险/保函受理—确认保单—支付保费—成功出单。政采云金融专线400-903-9583。</w:t>
      </w:r>
    </w:p>
    <w:p w14:paraId="1BCFADBE">
      <w:pPr>
        <w:keepNext w:val="0"/>
        <w:keepLines w:val="0"/>
        <w:pageBreakBefore w:val="0"/>
        <w:widowControl w:val="0"/>
        <w:kinsoku/>
        <w:wordWrap/>
        <w:overflowPunct/>
        <w:topLinePunct w:val="0"/>
        <w:autoSpaceDE/>
        <w:autoSpaceDN/>
        <w:bidi w:val="0"/>
        <w:adjustRightInd/>
        <w:snapToGrid/>
        <w:spacing w:line="440" w:lineRule="exact"/>
        <w:textAlignment w:val="auto"/>
        <w:rPr>
          <w:color w:val="auto"/>
          <w:highlight w:val="none"/>
        </w:rPr>
      </w:pPr>
      <w:r>
        <w:rPr>
          <w:rFonts w:hint="eastAsia" w:ascii="宋体" w:hAnsi="宋体" w:eastAsia="宋体" w:cs="宋体"/>
          <w:color w:val="auto"/>
          <w:sz w:val="24"/>
          <w:highlight w:val="none"/>
        </w:rPr>
        <w:t>2.签订合同后，如中标人不按双方合同约定履约，则没收其全部履约保证金，履约保证金不足以赔偿损失的，按实际损失赔偿。</w:t>
      </w:r>
    </w:p>
    <w:p w14:paraId="2EB42877">
      <w:pPr>
        <w:pStyle w:val="23"/>
        <w:pageBreakBefore/>
        <w:snapToGrid w:val="0"/>
        <w:spacing w:before="120" w:after="120" w:line="360" w:lineRule="auto"/>
        <w:jc w:val="center"/>
        <w:outlineLvl w:val="0"/>
        <w:rPr>
          <w:rFonts w:ascii="宋体" w:hAnsi="宋体" w:cs="宋体"/>
          <w:b/>
          <w:color w:val="auto"/>
          <w:szCs w:val="24"/>
          <w:highlight w:val="none"/>
        </w:rPr>
      </w:pPr>
      <w:bookmarkStart w:id="29" w:name="_Toc2233"/>
      <w:r>
        <w:rPr>
          <w:rFonts w:hint="eastAsia" w:ascii="宋体" w:hAnsi="宋体" w:cs="宋体"/>
          <w:b/>
          <w:color w:val="auto"/>
          <w:szCs w:val="24"/>
          <w:highlight w:val="none"/>
        </w:rPr>
        <w:t>第四章  磋商办法及评分标准</w:t>
      </w:r>
      <w:bookmarkEnd w:id="29"/>
    </w:p>
    <w:p w14:paraId="06B8741F">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为公正、公平、科学地选择中标人，根据《中华人民共和国政府采购法》等有关法律法规的规定，并结合本项目的实际，制定本办法。</w:t>
      </w:r>
    </w:p>
    <w:p w14:paraId="24D9300D">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本办法适用于</w:t>
      </w:r>
      <w:r>
        <w:rPr>
          <w:rFonts w:hint="eastAsia" w:ascii="宋体" w:hAnsi="宋体" w:cs="宋体"/>
          <w:color w:val="auto"/>
          <w:sz w:val="24"/>
          <w:highlight w:val="none"/>
          <w:lang w:eastAsia="zh-CN"/>
        </w:rPr>
        <w:t xml:space="preserve">笠里小区环村路道路工程项目 </w:t>
      </w:r>
      <w:r>
        <w:rPr>
          <w:rFonts w:hint="eastAsia" w:ascii="宋体" w:hAnsi="宋体" w:cs="宋体"/>
          <w:color w:val="auto"/>
          <w:sz w:val="24"/>
          <w:highlight w:val="none"/>
        </w:rPr>
        <w:t>的磋商。</w:t>
      </w:r>
    </w:p>
    <w:p w14:paraId="4E83710F">
      <w:pPr>
        <w:spacing w:line="540" w:lineRule="exact"/>
        <w:rPr>
          <w:rFonts w:ascii="宋体" w:hAnsi="宋体" w:cs="宋体"/>
          <w:b/>
          <w:color w:val="auto"/>
          <w:sz w:val="24"/>
          <w:highlight w:val="none"/>
        </w:rPr>
      </w:pPr>
      <w:bookmarkStart w:id="30" w:name="_Toc31315"/>
      <w:bookmarkStart w:id="31" w:name="_Toc12525"/>
      <w:bookmarkStart w:id="32" w:name="_Toc452728219"/>
      <w:bookmarkStart w:id="33" w:name="_Toc26574"/>
      <w:r>
        <w:rPr>
          <w:rFonts w:hint="eastAsia" w:ascii="宋体" w:hAnsi="宋体" w:cs="宋体"/>
          <w:b/>
          <w:color w:val="auto"/>
          <w:sz w:val="24"/>
          <w:highlight w:val="none"/>
        </w:rPr>
        <w:t>一、总则</w:t>
      </w:r>
      <w:bookmarkEnd w:id="30"/>
      <w:bookmarkEnd w:id="31"/>
      <w:bookmarkEnd w:id="32"/>
      <w:bookmarkEnd w:id="33"/>
    </w:p>
    <w:p w14:paraId="44004E43">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本次磋商采用综合评分法，总分为100分，其中价格分30分，技术、商务、资信及其他分70分；合格供应商的磋商得分为各项目汇总得分，中标候选资格按磋商综合得分由高到低顺序排列，得分相同的，按最终轮磋商报价由低到高顺序排列；得分且最终轮磋商报价相同的，按技术得分由高到低顺序排列。有效磋商响应方为 3家时推荐2名中标候选人，有效</w:t>
      </w:r>
      <w:r>
        <w:rPr>
          <w:rFonts w:hint="eastAsia" w:ascii="宋体" w:hAnsi="宋体" w:cs="宋体"/>
          <w:color w:val="auto"/>
          <w:sz w:val="24"/>
          <w:highlight w:val="none"/>
          <w:lang w:val="en-US" w:eastAsia="zh-CN"/>
        </w:rPr>
        <w:t>磋商响应方</w:t>
      </w:r>
      <w:r>
        <w:rPr>
          <w:rFonts w:hint="eastAsia" w:ascii="宋体" w:hAnsi="宋体" w:cs="宋体"/>
          <w:color w:val="auto"/>
          <w:sz w:val="24"/>
          <w:highlight w:val="none"/>
        </w:rPr>
        <w:t>大于 3 家时，推荐 3名中标候选人……其他供应商中标候选资格</w:t>
      </w:r>
      <w:r>
        <w:rPr>
          <w:rFonts w:hint="eastAsia" w:ascii="宋体" w:hAnsi="宋体" w:cs="宋体"/>
          <w:color w:val="auto"/>
          <w:sz w:val="24"/>
          <w:highlight w:val="none"/>
          <w:lang w:eastAsia="zh-CN"/>
        </w:rPr>
        <w:t>以此类推</w:t>
      </w:r>
      <w:r>
        <w:rPr>
          <w:rFonts w:hint="eastAsia" w:ascii="宋体" w:hAnsi="宋体" w:cs="宋体"/>
          <w:color w:val="auto"/>
          <w:sz w:val="24"/>
          <w:highlight w:val="none"/>
        </w:rPr>
        <w:t>。评分过程中采用四舍五入法，并保留小数2位。</w:t>
      </w:r>
    </w:p>
    <w:p w14:paraId="5500B81F">
      <w:pPr>
        <w:spacing w:line="54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供应商磋商综合得分=价格分+(技术分+商务分+资信及其他分)</w:t>
      </w:r>
    </w:p>
    <w:p w14:paraId="0F07EA36">
      <w:pPr>
        <w:numPr>
          <w:ilvl w:val="0"/>
          <w:numId w:val="6"/>
        </w:numPr>
        <w:spacing w:line="540" w:lineRule="exact"/>
        <w:rPr>
          <w:rFonts w:ascii="宋体" w:hAnsi="宋体" w:cs="宋体"/>
          <w:b/>
          <w:color w:val="auto"/>
          <w:sz w:val="24"/>
          <w:highlight w:val="none"/>
        </w:rPr>
      </w:pPr>
      <w:bookmarkStart w:id="34" w:name="_Toc6122"/>
      <w:bookmarkStart w:id="35" w:name="_Toc16785"/>
      <w:bookmarkStart w:id="36" w:name="_Toc452728220"/>
      <w:bookmarkStart w:id="37" w:name="_Toc12387"/>
      <w:r>
        <w:rPr>
          <w:rFonts w:hint="eastAsia" w:ascii="宋体" w:hAnsi="宋体" w:cs="宋体"/>
          <w:b/>
          <w:color w:val="auto"/>
          <w:sz w:val="24"/>
          <w:highlight w:val="none"/>
        </w:rPr>
        <w:t>磋商内容及标准</w:t>
      </w:r>
      <w:bookmarkEnd w:id="34"/>
      <w:bookmarkEnd w:id="35"/>
      <w:bookmarkEnd w:id="36"/>
      <w:bookmarkEnd w:id="37"/>
      <w:bookmarkStart w:id="38" w:name="_Toc502652282"/>
      <w:bookmarkStart w:id="39" w:name="_Hlt452359757"/>
      <w:bookmarkStart w:id="40" w:name="_Hlt452359758"/>
    </w:p>
    <w:p w14:paraId="01329D0A">
      <w:pPr>
        <w:pStyle w:val="23"/>
        <w:spacing w:before="120" w:after="120" w:line="540" w:lineRule="exact"/>
        <w:rPr>
          <w:rFonts w:ascii="宋体" w:hAnsi="宋体"/>
          <w:b/>
          <w:bCs/>
          <w:color w:val="auto"/>
          <w:szCs w:val="24"/>
          <w:highlight w:val="none"/>
        </w:rPr>
      </w:pPr>
      <w:r>
        <w:rPr>
          <w:rFonts w:hint="eastAsia" w:ascii="宋体" w:hAnsi="宋体"/>
          <w:b/>
          <w:bCs/>
          <w:color w:val="auto"/>
          <w:szCs w:val="24"/>
          <w:highlight w:val="none"/>
        </w:rPr>
        <w:t>（一）技术、商务、资信及其他分（70分）</w:t>
      </w:r>
    </w:p>
    <w:p w14:paraId="68B6015D">
      <w:pPr>
        <w:spacing w:line="540" w:lineRule="exact"/>
        <w:ind w:firstLine="480" w:firstLineChars="200"/>
        <w:rPr>
          <w:rFonts w:ascii="宋体" w:hAnsi="宋体"/>
          <w:color w:val="auto"/>
          <w:sz w:val="24"/>
          <w:highlight w:val="none"/>
        </w:rPr>
      </w:pPr>
      <w:r>
        <w:rPr>
          <w:rFonts w:hint="eastAsia" w:ascii="宋体" w:hAnsi="宋体"/>
          <w:color w:val="auto"/>
          <w:sz w:val="24"/>
          <w:highlight w:val="none"/>
        </w:rPr>
        <w:t>技术、商务资信及其他分响应标书要求的磋商单位全部进入商务报价评审。</w:t>
      </w:r>
    </w:p>
    <w:p w14:paraId="33426AA9">
      <w:pPr>
        <w:pStyle w:val="19"/>
        <w:spacing w:line="540" w:lineRule="exact"/>
        <w:ind w:left="0" w:leftChars="0"/>
        <w:rPr>
          <w:rFonts w:ascii="宋体" w:hAnsi="宋体"/>
          <w:b/>
          <w:bCs/>
          <w:color w:val="auto"/>
          <w:sz w:val="24"/>
          <w:highlight w:val="none"/>
        </w:rPr>
      </w:pPr>
      <w:r>
        <w:rPr>
          <w:rFonts w:hint="eastAsia" w:ascii="宋体" w:hAnsi="宋体"/>
          <w:b/>
          <w:color w:val="auto"/>
          <w:sz w:val="24"/>
          <w:highlight w:val="none"/>
        </w:rPr>
        <w:t>（二）</w:t>
      </w:r>
      <w:r>
        <w:rPr>
          <w:rFonts w:hint="eastAsia" w:ascii="宋体" w:hAnsi="宋体"/>
          <w:b/>
          <w:bCs/>
          <w:color w:val="auto"/>
          <w:sz w:val="24"/>
          <w:highlight w:val="none"/>
        </w:rPr>
        <w:t xml:space="preserve">价格分（30分） </w:t>
      </w:r>
    </w:p>
    <w:p w14:paraId="7DD3A265">
      <w:pPr>
        <w:spacing w:beforeLines="50" w:afterLines="50" w:line="540" w:lineRule="exact"/>
        <w:ind w:firstLine="720" w:firstLineChars="300"/>
        <w:rPr>
          <w:rFonts w:hint="eastAsia" w:ascii="宋体" w:hAnsi="宋体" w:cs="宋体"/>
          <w:color w:val="auto"/>
          <w:sz w:val="24"/>
          <w:highlight w:val="none"/>
        </w:rPr>
      </w:pPr>
      <w:r>
        <w:rPr>
          <w:rFonts w:hint="eastAsia" w:ascii="宋体" w:hAnsi="宋体" w:cs="宋体"/>
          <w:color w:val="auto"/>
          <w:sz w:val="24"/>
          <w:highlight w:val="none"/>
        </w:rPr>
        <w:t>价格分采用低价优先法计算，取所有技术、资信商务得分入围磋商响应方中，最终轮磋商报价以最低的磋商报价为基准价，其他磋商响应方的价格分按照下列公式计算：</w:t>
      </w:r>
    </w:p>
    <w:p w14:paraId="29E6CA62">
      <w:pPr>
        <w:spacing w:beforeLines="50" w:afterLines="50" w:line="540" w:lineRule="exact"/>
        <w:ind w:firstLine="720" w:firstLineChars="300"/>
        <w:rPr>
          <w:rFonts w:hint="eastAsia" w:ascii="宋体" w:hAnsi="宋体" w:cs="宋体"/>
          <w:color w:val="auto"/>
          <w:sz w:val="24"/>
          <w:highlight w:val="none"/>
        </w:rPr>
      </w:pPr>
      <w:r>
        <w:rPr>
          <w:rFonts w:hint="eastAsia" w:ascii="宋体" w:hAnsi="宋体" w:cs="宋体"/>
          <w:color w:val="auto"/>
          <w:sz w:val="24"/>
          <w:highlight w:val="none"/>
        </w:rPr>
        <w:t>价格分=评标基准价/最终轮磋商报价×30</w:t>
      </w:r>
    </w:p>
    <w:p w14:paraId="2859B4CE">
      <w:pPr>
        <w:spacing w:line="540" w:lineRule="exact"/>
        <w:rPr>
          <w:rFonts w:ascii="宋体" w:hAnsi="宋体"/>
          <w:b/>
          <w:bCs/>
          <w:color w:val="auto"/>
          <w:sz w:val="24"/>
          <w:highlight w:val="none"/>
        </w:rPr>
      </w:pPr>
      <w:r>
        <w:rPr>
          <w:rFonts w:hint="eastAsia" w:ascii="宋体" w:hAnsi="宋体"/>
          <w:b/>
          <w:bCs/>
          <w:color w:val="auto"/>
          <w:sz w:val="24"/>
          <w:highlight w:val="none"/>
        </w:rPr>
        <w:t>（三）技术、商务、资信及其他分的计算</w:t>
      </w:r>
    </w:p>
    <w:p w14:paraId="0A14B592">
      <w:pPr>
        <w:spacing w:beforeLines="50" w:afterLines="50" w:line="540" w:lineRule="exact"/>
        <w:ind w:firstLine="480" w:firstLineChars="200"/>
        <w:rPr>
          <w:rFonts w:ascii="宋体" w:hAnsi="宋体"/>
          <w:color w:val="auto"/>
          <w:sz w:val="24"/>
          <w:highlight w:val="none"/>
        </w:rPr>
      </w:pPr>
      <w:r>
        <w:rPr>
          <w:rFonts w:hint="eastAsia" w:ascii="宋体" w:hAnsi="宋体"/>
          <w:color w:val="auto"/>
          <w:sz w:val="24"/>
          <w:highlight w:val="none"/>
        </w:rPr>
        <w:t>技术、商务、资信及其他分按照磋商小组成员的独立评分结果的算术平均分计算，计算公式为：</w:t>
      </w:r>
    </w:p>
    <w:p w14:paraId="4B1F6DB5">
      <w:pPr>
        <w:spacing w:beforeLines="50" w:afterLines="50" w:line="540" w:lineRule="exact"/>
        <w:ind w:firstLine="480" w:firstLineChars="200"/>
        <w:rPr>
          <w:rFonts w:hint="eastAsia" w:ascii="宋体" w:hAnsi="宋体" w:eastAsia="宋体"/>
          <w:b/>
          <w:color w:val="auto"/>
          <w:sz w:val="24"/>
          <w:highlight w:val="none"/>
          <w:lang w:val="en-US" w:eastAsia="zh-CN"/>
        </w:rPr>
      </w:pPr>
      <w:r>
        <w:rPr>
          <w:rFonts w:hint="eastAsia" w:ascii="宋体" w:hAnsi="宋体"/>
          <w:color w:val="auto"/>
          <w:sz w:val="24"/>
          <w:highlight w:val="none"/>
        </w:rPr>
        <w:t>技术商务资信及其他分=磋商小组所有成员有效评分合计数/</w:t>
      </w:r>
      <w:r>
        <w:rPr>
          <w:rFonts w:hint="eastAsia" w:ascii="宋体" w:hAnsi="宋体"/>
          <w:color w:val="auto"/>
          <w:sz w:val="24"/>
          <w:highlight w:val="none"/>
          <w:lang w:val="en-US" w:eastAsia="zh-CN"/>
        </w:rPr>
        <w:t>3</w:t>
      </w:r>
    </w:p>
    <w:p w14:paraId="1F8A22BD">
      <w:pPr>
        <w:numPr>
          <w:ilvl w:val="0"/>
          <w:numId w:val="8"/>
        </w:numPr>
        <w:spacing w:line="540" w:lineRule="exact"/>
        <w:rPr>
          <w:rFonts w:hint="eastAsia" w:ascii="宋体" w:hAnsi="宋体"/>
          <w:color w:val="auto"/>
          <w:sz w:val="24"/>
          <w:highlight w:val="none"/>
        </w:rPr>
      </w:pPr>
      <w:r>
        <w:rPr>
          <w:rFonts w:hint="eastAsia" w:ascii="宋体" w:hAnsi="宋体"/>
          <w:b/>
          <w:color w:val="auto"/>
          <w:sz w:val="24"/>
          <w:highlight w:val="none"/>
        </w:rPr>
        <w:t>技术分、商务分、资信及其他分评分标准，共70分</w:t>
      </w:r>
    </w:p>
    <w:tbl>
      <w:tblPr>
        <w:tblStyle w:val="39"/>
        <w:tblpPr w:leftFromText="180" w:rightFromText="180" w:vertAnchor="text" w:horzAnchor="page" w:tblpX="1000" w:tblpY="539"/>
        <w:tblOverlap w:val="never"/>
        <w:tblW w:w="10158"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838"/>
        <w:gridCol w:w="462"/>
        <w:gridCol w:w="1637"/>
        <w:gridCol w:w="6411"/>
        <w:gridCol w:w="810"/>
      </w:tblGrid>
      <w:tr w14:paraId="6A9673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614" w:hRule="atLeast"/>
        </w:trPr>
        <w:tc>
          <w:tcPr>
            <w:tcW w:w="838" w:type="dxa"/>
            <w:tcBorders>
              <w:top w:val="single" w:color="auto" w:sz="4" w:space="0"/>
              <w:left w:val="single" w:color="auto" w:sz="4" w:space="0"/>
              <w:bottom w:val="single" w:color="auto" w:sz="4" w:space="0"/>
              <w:right w:val="single" w:color="auto" w:sz="4" w:space="0"/>
            </w:tcBorders>
            <w:vAlign w:val="center"/>
          </w:tcPr>
          <w:p w14:paraId="574E08F2">
            <w:pPr>
              <w:spacing w:line="360" w:lineRule="auto"/>
              <w:rPr>
                <w:rFonts w:ascii="宋体" w:hAnsi="宋体" w:cs="宋体"/>
                <w:sz w:val="24"/>
                <w:highlight w:val="none"/>
              </w:rPr>
            </w:pPr>
            <w:r>
              <w:rPr>
                <w:rFonts w:hint="eastAsia" w:ascii="宋体" w:hAnsi="宋体" w:cs="宋体"/>
                <w:sz w:val="24"/>
                <w:highlight w:val="none"/>
              </w:rPr>
              <w:t>序号</w:t>
            </w:r>
          </w:p>
        </w:tc>
        <w:tc>
          <w:tcPr>
            <w:tcW w:w="2099" w:type="dxa"/>
            <w:gridSpan w:val="2"/>
            <w:tcBorders>
              <w:top w:val="single" w:color="auto" w:sz="4" w:space="0"/>
              <w:left w:val="single" w:color="auto" w:sz="4" w:space="0"/>
              <w:bottom w:val="single" w:color="auto" w:sz="4" w:space="0"/>
              <w:right w:val="single" w:color="auto" w:sz="4" w:space="0"/>
            </w:tcBorders>
            <w:vAlign w:val="center"/>
          </w:tcPr>
          <w:p w14:paraId="3F64764C">
            <w:pPr>
              <w:spacing w:line="360" w:lineRule="auto"/>
              <w:rPr>
                <w:rFonts w:ascii="宋体" w:hAnsi="宋体" w:cs="宋体"/>
                <w:sz w:val="24"/>
                <w:highlight w:val="none"/>
              </w:rPr>
            </w:pPr>
            <w:r>
              <w:rPr>
                <w:rFonts w:hint="eastAsia" w:ascii="宋体" w:hAnsi="宋体" w:cs="宋体"/>
                <w:sz w:val="24"/>
                <w:highlight w:val="none"/>
              </w:rPr>
              <w:t>评审内容</w:t>
            </w:r>
          </w:p>
        </w:tc>
        <w:tc>
          <w:tcPr>
            <w:tcW w:w="6411" w:type="dxa"/>
            <w:tcBorders>
              <w:top w:val="single" w:color="auto" w:sz="4" w:space="0"/>
              <w:left w:val="single" w:color="auto" w:sz="4" w:space="0"/>
              <w:bottom w:val="single" w:color="auto" w:sz="4" w:space="0"/>
              <w:right w:val="single" w:color="auto" w:sz="4" w:space="0"/>
            </w:tcBorders>
            <w:vAlign w:val="center"/>
          </w:tcPr>
          <w:p w14:paraId="13856C3F">
            <w:pPr>
              <w:spacing w:line="360" w:lineRule="auto"/>
              <w:rPr>
                <w:rFonts w:ascii="宋体" w:hAnsi="宋体" w:cs="宋体"/>
                <w:sz w:val="24"/>
                <w:highlight w:val="none"/>
              </w:rPr>
            </w:pPr>
            <w:r>
              <w:rPr>
                <w:rFonts w:hint="eastAsia" w:ascii="宋体" w:hAnsi="宋体" w:cs="宋体"/>
                <w:sz w:val="24"/>
                <w:highlight w:val="none"/>
              </w:rPr>
              <w:t>评分标准</w:t>
            </w:r>
          </w:p>
        </w:tc>
        <w:tc>
          <w:tcPr>
            <w:tcW w:w="810" w:type="dxa"/>
            <w:tcBorders>
              <w:top w:val="single" w:color="auto" w:sz="4" w:space="0"/>
              <w:left w:val="single" w:color="auto" w:sz="4" w:space="0"/>
              <w:bottom w:val="single" w:color="auto" w:sz="4" w:space="0"/>
              <w:right w:val="single" w:color="auto" w:sz="4" w:space="0"/>
            </w:tcBorders>
            <w:vAlign w:val="center"/>
          </w:tcPr>
          <w:p w14:paraId="1880933C">
            <w:pPr>
              <w:spacing w:line="360" w:lineRule="auto"/>
              <w:rPr>
                <w:rFonts w:ascii="宋体" w:hAnsi="宋体" w:cs="宋体"/>
                <w:sz w:val="24"/>
                <w:highlight w:val="none"/>
              </w:rPr>
            </w:pPr>
            <w:r>
              <w:rPr>
                <w:rFonts w:hint="eastAsia" w:ascii="宋体" w:hAnsi="宋体" w:cs="宋体"/>
                <w:sz w:val="24"/>
                <w:highlight w:val="none"/>
              </w:rPr>
              <w:t>分值</w:t>
            </w:r>
          </w:p>
        </w:tc>
      </w:tr>
      <w:tr w14:paraId="435DF68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38" w:hRule="atLeast"/>
        </w:trPr>
        <w:tc>
          <w:tcPr>
            <w:tcW w:w="838" w:type="dxa"/>
            <w:tcBorders>
              <w:top w:val="single" w:color="auto" w:sz="4" w:space="0"/>
              <w:left w:val="single" w:color="auto" w:sz="4" w:space="0"/>
              <w:bottom w:val="single" w:color="auto" w:sz="4" w:space="0"/>
              <w:right w:val="single" w:color="auto" w:sz="4" w:space="0"/>
            </w:tcBorders>
            <w:vAlign w:val="center"/>
          </w:tcPr>
          <w:p w14:paraId="228E3511">
            <w:pPr>
              <w:spacing w:line="360" w:lineRule="auto"/>
              <w:rPr>
                <w:rFonts w:ascii="宋体" w:hAnsi="宋体" w:cs="宋体"/>
                <w:sz w:val="24"/>
                <w:highlight w:val="none"/>
              </w:rPr>
            </w:pPr>
            <w:r>
              <w:rPr>
                <w:rFonts w:hint="eastAsia" w:ascii="宋体" w:hAnsi="宋体" w:cs="宋体"/>
                <w:sz w:val="24"/>
                <w:highlight w:val="none"/>
              </w:rPr>
              <w:t>一</w:t>
            </w:r>
          </w:p>
        </w:tc>
        <w:tc>
          <w:tcPr>
            <w:tcW w:w="8510" w:type="dxa"/>
            <w:gridSpan w:val="3"/>
            <w:tcBorders>
              <w:top w:val="single" w:color="auto" w:sz="4" w:space="0"/>
              <w:left w:val="single" w:color="auto" w:sz="4" w:space="0"/>
              <w:bottom w:val="single" w:color="auto" w:sz="4" w:space="0"/>
              <w:right w:val="single" w:color="auto" w:sz="4" w:space="0"/>
            </w:tcBorders>
            <w:vAlign w:val="center"/>
          </w:tcPr>
          <w:p w14:paraId="140A30AE">
            <w:pPr>
              <w:spacing w:line="360" w:lineRule="auto"/>
              <w:jc w:val="center"/>
              <w:rPr>
                <w:rFonts w:ascii="宋体" w:hAnsi="宋体" w:cs="宋体"/>
                <w:sz w:val="24"/>
                <w:highlight w:val="none"/>
              </w:rPr>
            </w:pPr>
            <w:r>
              <w:rPr>
                <w:rFonts w:hint="eastAsia" w:ascii="宋体" w:hAnsi="宋体" w:cs="宋体"/>
                <w:sz w:val="24"/>
                <w:highlight w:val="none"/>
              </w:rPr>
              <w:t>技术分</w:t>
            </w:r>
          </w:p>
        </w:tc>
        <w:tc>
          <w:tcPr>
            <w:tcW w:w="810" w:type="dxa"/>
            <w:tcBorders>
              <w:top w:val="single" w:color="auto" w:sz="4" w:space="0"/>
              <w:left w:val="single" w:color="auto" w:sz="4" w:space="0"/>
              <w:bottom w:val="single" w:color="auto" w:sz="4" w:space="0"/>
              <w:right w:val="single" w:color="auto" w:sz="4" w:space="0"/>
            </w:tcBorders>
            <w:vAlign w:val="center"/>
          </w:tcPr>
          <w:p w14:paraId="340B0542">
            <w:pPr>
              <w:spacing w:line="360" w:lineRule="auto"/>
              <w:rPr>
                <w:rFonts w:ascii="宋体" w:hAnsi="宋体" w:cs="宋体"/>
                <w:sz w:val="24"/>
                <w:highlight w:val="none"/>
              </w:rPr>
            </w:pPr>
            <w:r>
              <w:rPr>
                <w:rFonts w:hint="eastAsia" w:ascii="宋体" w:hAnsi="宋体" w:cs="宋体"/>
                <w:sz w:val="24"/>
                <w:highlight w:val="none"/>
              </w:rPr>
              <w:t>58分</w:t>
            </w:r>
          </w:p>
        </w:tc>
      </w:tr>
      <w:tr w14:paraId="7A64E47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2" w:hRule="atLeast"/>
        </w:trPr>
        <w:tc>
          <w:tcPr>
            <w:tcW w:w="838" w:type="dxa"/>
            <w:tcBorders>
              <w:top w:val="single" w:color="auto" w:sz="4" w:space="0"/>
              <w:left w:val="single" w:color="auto" w:sz="4" w:space="0"/>
              <w:bottom w:val="single" w:color="auto" w:sz="4" w:space="0"/>
              <w:right w:val="single" w:color="auto" w:sz="4" w:space="0"/>
            </w:tcBorders>
            <w:vAlign w:val="center"/>
          </w:tcPr>
          <w:p w14:paraId="5B316A51">
            <w:pPr>
              <w:spacing w:line="360" w:lineRule="auto"/>
              <w:jc w:val="center"/>
              <w:rPr>
                <w:rFonts w:ascii="宋体" w:hAnsi="宋体" w:cs="宋体"/>
                <w:sz w:val="24"/>
                <w:highlight w:val="none"/>
              </w:rPr>
            </w:pPr>
            <w:r>
              <w:rPr>
                <w:rFonts w:hint="eastAsia" w:ascii="宋体" w:hAnsi="宋体" w:cs="宋体"/>
                <w:sz w:val="24"/>
                <w:highlight w:val="none"/>
              </w:rPr>
              <w:t>1</w:t>
            </w:r>
          </w:p>
        </w:tc>
        <w:tc>
          <w:tcPr>
            <w:tcW w:w="462" w:type="dxa"/>
            <w:vMerge w:val="restart"/>
            <w:tcBorders>
              <w:top w:val="nil"/>
              <w:left w:val="single" w:color="auto" w:sz="4" w:space="0"/>
              <w:right w:val="single" w:color="auto" w:sz="4" w:space="0"/>
            </w:tcBorders>
            <w:vAlign w:val="center"/>
          </w:tcPr>
          <w:p w14:paraId="47FBA972">
            <w:pPr>
              <w:spacing w:line="360" w:lineRule="auto"/>
              <w:rPr>
                <w:rFonts w:ascii="宋体" w:hAnsi="宋体" w:cs="宋体"/>
                <w:sz w:val="24"/>
                <w:highlight w:val="none"/>
              </w:rPr>
            </w:pPr>
          </w:p>
          <w:p w14:paraId="34DF27F7">
            <w:pPr>
              <w:spacing w:line="360" w:lineRule="auto"/>
              <w:rPr>
                <w:rFonts w:ascii="宋体" w:hAnsi="宋体" w:cs="宋体"/>
                <w:sz w:val="24"/>
                <w:highlight w:val="none"/>
              </w:rPr>
            </w:pPr>
          </w:p>
          <w:p w14:paraId="77A5625D">
            <w:pPr>
              <w:spacing w:line="360" w:lineRule="auto"/>
              <w:rPr>
                <w:rFonts w:ascii="宋体" w:hAnsi="宋体" w:cs="宋体"/>
                <w:sz w:val="24"/>
                <w:highlight w:val="none"/>
              </w:rPr>
            </w:pPr>
          </w:p>
          <w:p w14:paraId="180D67DF">
            <w:pPr>
              <w:spacing w:line="360" w:lineRule="auto"/>
              <w:rPr>
                <w:rFonts w:ascii="宋体" w:hAnsi="宋体" w:cs="宋体"/>
                <w:sz w:val="24"/>
                <w:highlight w:val="none"/>
              </w:rPr>
            </w:pPr>
          </w:p>
          <w:p w14:paraId="679EE839">
            <w:pPr>
              <w:spacing w:line="360" w:lineRule="auto"/>
              <w:rPr>
                <w:rFonts w:ascii="宋体" w:hAnsi="宋体" w:cs="宋体"/>
                <w:sz w:val="24"/>
                <w:highlight w:val="none"/>
              </w:rPr>
            </w:pPr>
          </w:p>
          <w:p w14:paraId="0600BF38">
            <w:pPr>
              <w:spacing w:line="360" w:lineRule="auto"/>
              <w:rPr>
                <w:rFonts w:ascii="宋体" w:hAnsi="宋体" w:cs="宋体"/>
                <w:sz w:val="24"/>
                <w:highlight w:val="none"/>
              </w:rPr>
            </w:pPr>
          </w:p>
          <w:p w14:paraId="3FA29DD8">
            <w:pPr>
              <w:spacing w:line="360" w:lineRule="auto"/>
              <w:rPr>
                <w:rFonts w:ascii="宋体" w:hAnsi="宋体" w:cs="宋体"/>
                <w:sz w:val="24"/>
                <w:highlight w:val="none"/>
              </w:rPr>
            </w:pPr>
            <w:r>
              <w:rPr>
                <w:rFonts w:hint="eastAsia" w:ascii="宋体" w:hAnsi="宋体" w:cs="宋体"/>
                <w:sz w:val="24"/>
                <w:highlight w:val="none"/>
              </w:rPr>
              <w:t>技术服务水平</w:t>
            </w:r>
          </w:p>
        </w:tc>
        <w:tc>
          <w:tcPr>
            <w:tcW w:w="1637" w:type="dxa"/>
            <w:tcBorders>
              <w:top w:val="single" w:color="auto" w:sz="4" w:space="0"/>
              <w:left w:val="single" w:color="auto" w:sz="4" w:space="0"/>
              <w:bottom w:val="single" w:color="auto" w:sz="4" w:space="0"/>
              <w:right w:val="single" w:color="auto" w:sz="4" w:space="0"/>
            </w:tcBorders>
            <w:vAlign w:val="center"/>
          </w:tcPr>
          <w:p w14:paraId="2CEA77C5">
            <w:pPr>
              <w:spacing w:line="360" w:lineRule="auto"/>
              <w:jc w:val="center"/>
              <w:rPr>
                <w:rFonts w:ascii="宋体" w:hAnsi="宋体" w:cs="宋体"/>
                <w:sz w:val="24"/>
                <w:highlight w:val="none"/>
              </w:rPr>
            </w:pPr>
            <w:r>
              <w:rPr>
                <w:rFonts w:hint="eastAsia" w:ascii="宋体" w:hAnsi="宋体" w:cs="宋体"/>
                <w:sz w:val="24"/>
                <w:highlight w:val="none"/>
              </w:rPr>
              <w:t>项目理解</w:t>
            </w:r>
          </w:p>
          <w:p w14:paraId="78653DC2">
            <w:pPr>
              <w:spacing w:line="360" w:lineRule="auto"/>
              <w:jc w:val="center"/>
              <w:rPr>
                <w:rFonts w:ascii="宋体" w:hAnsi="宋体" w:cs="宋体"/>
                <w:sz w:val="24"/>
                <w:highlight w:val="none"/>
              </w:rPr>
            </w:pPr>
            <w:r>
              <w:rPr>
                <w:rFonts w:hint="eastAsia" w:ascii="宋体" w:hAnsi="宋体" w:cs="宋体"/>
                <w:sz w:val="24"/>
                <w:highlight w:val="none"/>
              </w:rPr>
              <w:t>情况</w:t>
            </w:r>
          </w:p>
        </w:tc>
        <w:tc>
          <w:tcPr>
            <w:tcW w:w="6411" w:type="dxa"/>
            <w:tcBorders>
              <w:top w:val="single" w:color="auto" w:sz="4" w:space="0"/>
              <w:left w:val="single" w:color="auto" w:sz="4" w:space="0"/>
              <w:bottom w:val="single" w:color="auto" w:sz="4" w:space="0"/>
              <w:right w:val="single" w:color="auto" w:sz="4" w:space="0"/>
            </w:tcBorders>
            <w:vAlign w:val="center"/>
          </w:tcPr>
          <w:p w14:paraId="3043EDB2">
            <w:pPr>
              <w:spacing w:line="360" w:lineRule="auto"/>
              <w:rPr>
                <w:rFonts w:ascii="宋体" w:hAnsi="宋体" w:cs="宋体"/>
                <w:sz w:val="24"/>
                <w:highlight w:val="none"/>
              </w:rPr>
            </w:pPr>
            <w:r>
              <w:rPr>
                <w:rFonts w:hint="eastAsia" w:ascii="宋体" w:hAnsi="宋体" w:cs="宋体"/>
                <w:sz w:val="24"/>
                <w:highlight w:val="none"/>
              </w:rPr>
              <w:t>对项目实施思路（0-1分）、技术要求（0-1分）、项目特点（0-1分）的理解情况，根据其科学性、合理性进行打分。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6B6841B">
            <w:pPr>
              <w:spacing w:line="360" w:lineRule="auto"/>
              <w:jc w:val="center"/>
              <w:rPr>
                <w:rFonts w:ascii="宋体" w:hAnsi="宋体" w:cs="宋体"/>
                <w:sz w:val="24"/>
                <w:highlight w:val="none"/>
              </w:rPr>
            </w:pPr>
            <w:r>
              <w:rPr>
                <w:rFonts w:hint="eastAsia" w:ascii="宋体" w:hAnsi="宋体" w:cs="宋体"/>
                <w:sz w:val="24"/>
                <w:highlight w:val="none"/>
              </w:rPr>
              <w:t>3</w:t>
            </w:r>
          </w:p>
        </w:tc>
      </w:tr>
      <w:tr w14:paraId="7C72F91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863" w:hRule="atLeast"/>
        </w:trPr>
        <w:tc>
          <w:tcPr>
            <w:tcW w:w="838" w:type="dxa"/>
            <w:tcBorders>
              <w:top w:val="single" w:color="auto" w:sz="4" w:space="0"/>
              <w:left w:val="single" w:color="auto" w:sz="4" w:space="0"/>
              <w:bottom w:val="single" w:color="auto" w:sz="4" w:space="0"/>
              <w:right w:val="single" w:color="auto" w:sz="4" w:space="0"/>
            </w:tcBorders>
            <w:vAlign w:val="center"/>
          </w:tcPr>
          <w:p w14:paraId="1C1D9A2F">
            <w:pPr>
              <w:spacing w:line="360" w:lineRule="auto"/>
              <w:jc w:val="center"/>
              <w:rPr>
                <w:rFonts w:ascii="宋体" w:hAnsi="宋体" w:cs="宋体"/>
                <w:sz w:val="24"/>
                <w:highlight w:val="none"/>
              </w:rPr>
            </w:pPr>
            <w:r>
              <w:rPr>
                <w:rFonts w:hint="eastAsia" w:ascii="宋体" w:hAnsi="宋体" w:cs="宋体"/>
                <w:sz w:val="24"/>
                <w:highlight w:val="none"/>
              </w:rPr>
              <w:t>2</w:t>
            </w:r>
          </w:p>
        </w:tc>
        <w:tc>
          <w:tcPr>
            <w:tcW w:w="462" w:type="dxa"/>
            <w:vMerge w:val="continue"/>
            <w:tcBorders>
              <w:left w:val="single" w:color="auto" w:sz="4" w:space="0"/>
              <w:right w:val="single" w:color="auto" w:sz="4" w:space="0"/>
            </w:tcBorders>
            <w:vAlign w:val="center"/>
          </w:tcPr>
          <w:p w14:paraId="654FA51D">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2F7D4966">
            <w:pPr>
              <w:spacing w:line="360" w:lineRule="auto"/>
              <w:jc w:val="center"/>
              <w:rPr>
                <w:rFonts w:ascii="宋体" w:hAnsi="宋体" w:cs="宋体"/>
                <w:sz w:val="24"/>
                <w:highlight w:val="none"/>
              </w:rPr>
            </w:pPr>
            <w:r>
              <w:rPr>
                <w:rFonts w:hint="eastAsia" w:ascii="宋体" w:hAnsi="宋体" w:cs="宋体"/>
                <w:sz w:val="24"/>
                <w:highlight w:val="none"/>
              </w:rPr>
              <w:t>施工方案</w:t>
            </w:r>
          </w:p>
        </w:tc>
        <w:tc>
          <w:tcPr>
            <w:tcW w:w="6411" w:type="dxa"/>
            <w:tcBorders>
              <w:top w:val="single" w:color="auto" w:sz="4" w:space="0"/>
              <w:left w:val="single" w:color="auto" w:sz="4" w:space="0"/>
              <w:bottom w:val="single" w:color="auto" w:sz="4" w:space="0"/>
              <w:right w:val="single" w:color="auto" w:sz="4" w:space="0"/>
            </w:tcBorders>
            <w:vAlign w:val="center"/>
          </w:tcPr>
          <w:p w14:paraId="4F4AD832">
            <w:pPr>
              <w:spacing w:line="360" w:lineRule="auto"/>
              <w:rPr>
                <w:rFonts w:ascii="宋体" w:hAnsi="宋体" w:cs="宋体"/>
                <w:sz w:val="24"/>
                <w:highlight w:val="none"/>
              </w:rPr>
            </w:pPr>
            <w:r>
              <w:rPr>
                <w:rFonts w:hint="eastAsia" w:ascii="宋体" w:hAnsi="宋体" w:cs="宋体"/>
                <w:sz w:val="24"/>
                <w:highlight w:val="none"/>
              </w:rPr>
              <w:t>施工方案内容齐全、结构完整、表述准确、条理清晰程度，与需求的吻合程度（0-3分），是否涵盖本次工程实施有关的内容（0-3分），包括方案的先进性、可行性和扩展性，进行打分。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0613AB2">
            <w:pPr>
              <w:spacing w:line="360" w:lineRule="auto"/>
              <w:jc w:val="center"/>
              <w:rPr>
                <w:rFonts w:ascii="宋体" w:hAnsi="宋体" w:cs="宋体"/>
                <w:sz w:val="24"/>
                <w:highlight w:val="none"/>
              </w:rPr>
            </w:pPr>
            <w:r>
              <w:rPr>
                <w:rFonts w:hint="eastAsia" w:ascii="宋体" w:hAnsi="宋体" w:cs="宋体"/>
                <w:sz w:val="24"/>
                <w:highlight w:val="none"/>
              </w:rPr>
              <w:t>6</w:t>
            </w:r>
          </w:p>
        </w:tc>
      </w:tr>
      <w:tr w14:paraId="086334F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8" w:type="dxa"/>
            <w:tcBorders>
              <w:top w:val="single" w:color="auto" w:sz="4" w:space="0"/>
              <w:left w:val="single" w:color="auto" w:sz="4" w:space="0"/>
              <w:bottom w:val="single" w:color="auto" w:sz="4" w:space="0"/>
              <w:right w:val="single" w:color="auto" w:sz="4" w:space="0"/>
            </w:tcBorders>
            <w:vAlign w:val="center"/>
          </w:tcPr>
          <w:p w14:paraId="566C92E1">
            <w:pPr>
              <w:spacing w:line="360" w:lineRule="auto"/>
              <w:jc w:val="center"/>
              <w:rPr>
                <w:rFonts w:ascii="宋体" w:hAnsi="宋体" w:cs="宋体"/>
                <w:sz w:val="24"/>
                <w:highlight w:val="none"/>
              </w:rPr>
            </w:pPr>
            <w:r>
              <w:rPr>
                <w:rFonts w:hint="eastAsia" w:ascii="宋体" w:hAnsi="宋体" w:cs="宋体"/>
                <w:sz w:val="24"/>
                <w:highlight w:val="none"/>
              </w:rPr>
              <w:t>3</w:t>
            </w:r>
          </w:p>
        </w:tc>
        <w:tc>
          <w:tcPr>
            <w:tcW w:w="462" w:type="dxa"/>
            <w:vMerge w:val="continue"/>
            <w:tcBorders>
              <w:left w:val="single" w:color="auto" w:sz="4" w:space="0"/>
              <w:right w:val="single" w:color="auto" w:sz="4" w:space="0"/>
            </w:tcBorders>
            <w:vAlign w:val="center"/>
          </w:tcPr>
          <w:p w14:paraId="3CCAF169">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293336D4">
            <w:pPr>
              <w:spacing w:line="360" w:lineRule="auto"/>
              <w:jc w:val="center"/>
              <w:rPr>
                <w:rFonts w:ascii="宋体" w:hAnsi="宋体" w:cs="宋体"/>
                <w:sz w:val="24"/>
                <w:highlight w:val="none"/>
              </w:rPr>
            </w:pPr>
            <w:r>
              <w:rPr>
                <w:rFonts w:hint="eastAsia" w:ascii="宋体" w:hAnsi="宋体" w:cs="宋体"/>
                <w:sz w:val="24"/>
                <w:highlight w:val="none"/>
              </w:rPr>
              <w:t>施工技术</w:t>
            </w:r>
          </w:p>
        </w:tc>
        <w:tc>
          <w:tcPr>
            <w:tcW w:w="6411" w:type="dxa"/>
            <w:tcBorders>
              <w:top w:val="single" w:color="auto" w:sz="4" w:space="0"/>
              <w:left w:val="single" w:color="auto" w:sz="4" w:space="0"/>
              <w:bottom w:val="single" w:color="auto" w:sz="4" w:space="0"/>
              <w:right w:val="single" w:color="auto" w:sz="4" w:space="0"/>
            </w:tcBorders>
            <w:vAlign w:val="center"/>
          </w:tcPr>
          <w:p w14:paraId="393CC090">
            <w:pPr>
              <w:spacing w:line="360" w:lineRule="auto"/>
              <w:rPr>
                <w:rFonts w:ascii="宋体" w:hAnsi="宋体" w:cs="宋体"/>
                <w:sz w:val="24"/>
                <w:highlight w:val="none"/>
              </w:rPr>
            </w:pPr>
            <w:r>
              <w:rPr>
                <w:rFonts w:hint="eastAsia" w:ascii="宋体" w:hAnsi="宋体" w:cs="宋体"/>
                <w:sz w:val="24"/>
                <w:highlight w:val="none"/>
              </w:rPr>
              <w:t>针对本项目施工环境需要采取的专门的施工技术内容是否科学合理且针对性强等进行打分。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660BECCC">
            <w:pPr>
              <w:spacing w:line="360" w:lineRule="auto"/>
              <w:jc w:val="center"/>
              <w:rPr>
                <w:rFonts w:ascii="宋体" w:hAnsi="宋体" w:cs="宋体"/>
                <w:sz w:val="24"/>
                <w:highlight w:val="none"/>
              </w:rPr>
            </w:pPr>
            <w:r>
              <w:rPr>
                <w:rFonts w:hint="eastAsia" w:ascii="宋体" w:hAnsi="宋体" w:cs="宋体"/>
                <w:sz w:val="24"/>
                <w:highlight w:val="none"/>
              </w:rPr>
              <w:t>5</w:t>
            </w:r>
          </w:p>
        </w:tc>
      </w:tr>
      <w:tr w14:paraId="2C2DF0B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838" w:type="dxa"/>
            <w:tcBorders>
              <w:top w:val="single" w:color="auto" w:sz="4" w:space="0"/>
              <w:left w:val="single" w:color="auto" w:sz="4" w:space="0"/>
              <w:bottom w:val="single" w:color="auto" w:sz="4" w:space="0"/>
              <w:right w:val="single" w:color="auto" w:sz="4" w:space="0"/>
            </w:tcBorders>
            <w:vAlign w:val="center"/>
          </w:tcPr>
          <w:p w14:paraId="608D7CEB">
            <w:pPr>
              <w:spacing w:line="360" w:lineRule="auto"/>
              <w:jc w:val="center"/>
              <w:rPr>
                <w:rFonts w:ascii="宋体" w:hAnsi="宋体" w:cs="宋体"/>
                <w:sz w:val="24"/>
                <w:highlight w:val="none"/>
              </w:rPr>
            </w:pPr>
            <w:r>
              <w:rPr>
                <w:rFonts w:hint="eastAsia" w:ascii="宋体" w:hAnsi="宋体" w:cs="宋体"/>
                <w:sz w:val="24"/>
                <w:highlight w:val="none"/>
              </w:rPr>
              <w:t>4</w:t>
            </w:r>
          </w:p>
        </w:tc>
        <w:tc>
          <w:tcPr>
            <w:tcW w:w="462" w:type="dxa"/>
            <w:vMerge w:val="continue"/>
            <w:tcBorders>
              <w:left w:val="single" w:color="auto" w:sz="4" w:space="0"/>
              <w:right w:val="single" w:color="auto" w:sz="4" w:space="0"/>
            </w:tcBorders>
            <w:vAlign w:val="center"/>
          </w:tcPr>
          <w:p w14:paraId="027C8A04">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169B12B8">
            <w:pPr>
              <w:spacing w:line="360" w:lineRule="auto"/>
              <w:jc w:val="center"/>
              <w:rPr>
                <w:rFonts w:ascii="宋体" w:hAnsi="宋体" w:cs="宋体"/>
                <w:sz w:val="24"/>
                <w:highlight w:val="none"/>
              </w:rPr>
            </w:pPr>
            <w:r>
              <w:rPr>
                <w:rFonts w:hint="eastAsia" w:ascii="宋体" w:hAnsi="宋体" w:cs="宋体"/>
                <w:sz w:val="24"/>
                <w:highlight w:val="none"/>
              </w:rPr>
              <w:t>施工进度</w:t>
            </w:r>
          </w:p>
        </w:tc>
        <w:tc>
          <w:tcPr>
            <w:tcW w:w="6411" w:type="dxa"/>
            <w:tcBorders>
              <w:top w:val="single" w:color="auto" w:sz="4" w:space="0"/>
              <w:left w:val="single" w:color="auto" w:sz="4" w:space="0"/>
              <w:bottom w:val="single" w:color="auto" w:sz="4" w:space="0"/>
              <w:right w:val="single" w:color="auto" w:sz="4" w:space="0"/>
            </w:tcBorders>
            <w:vAlign w:val="center"/>
          </w:tcPr>
          <w:p w14:paraId="22BB5F5B">
            <w:pPr>
              <w:spacing w:line="360" w:lineRule="auto"/>
              <w:rPr>
                <w:rFonts w:ascii="宋体" w:hAnsi="宋体" w:cs="宋体"/>
                <w:sz w:val="24"/>
                <w:highlight w:val="none"/>
              </w:rPr>
            </w:pPr>
            <w:r>
              <w:rPr>
                <w:rFonts w:hint="eastAsia" w:ascii="宋体" w:hAnsi="宋体" w:cs="宋体"/>
                <w:sz w:val="24"/>
                <w:highlight w:val="none"/>
              </w:rPr>
              <w:t>根据项目工期要求，施工进度安排合理、准确（0-1分），关键节点的控制措施（0-1分）进行打分。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34B766FE">
            <w:pPr>
              <w:spacing w:line="360" w:lineRule="auto"/>
              <w:jc w:val="center"/>
              <w:rPr>
                <w:rFonts w:ascii="宋体" w:hAnsi="宋体" w:cs="宋体"/>
                <w:sz w:val="24"/>
                <w:highlight w:val="none"/>
              </w:rPr>
            </w:pPr>
            <w:r>
              <w:rPr>
                <w:rFonts w:hint="eastAsia" w:ascii="宋体" w:hAnsi="宋体" w:cs="宋体"/>
                <w:sz w:val="24"/>
                <w:highlight w:val="none"/>
              </w:rPr>
              <w:t>2</w:t>
            </w:r>
          </w:p>
        </w:tc>
      </w:tr>
      <w:tr w14:paraId="247997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35" w:hRule="atLeast"/>
        </w:trPr>
        <w:tc>
          <w:tcPr>
            <w:tcW w:w="838" w:type="dxa"/>
            <w:tcBorders>
              <w:top w:val="single" w:color="auto" w:sz="4" w:space="0"/>
              <w:left w:val="single" w:color="auto" w:sz="4" w:space="0"/>
              <w:bottom w:val="single" w:color="auto" w:sz="4" w:space="0"/>
              <w:right w:val="single" w:color="auto" w:sz="4" w:space="0"/>
            </w:tcBorders>
            <w:vAlign w:val="center"/>
          </w:tcPr>
          <w:p w14:paraId="4CC1B646">
            <w:pPr>
              <w:spacing w:line="360" w:lineRule="auto"/>
              <w:jc w:val="center"/>
              <w:rPr>
                <w:rFonts w:ascii="宋体" w:hAnsi="宋体" w:cs="宋体"/>
                <w:sz w:val="24"/>
                <w:highlight w:val="none"/>
              </w:rPr>
            </w:pPr>
            <w:r>
              <w:rPr>
                <w:rFonts w:hint="eastAsia" w:ascii="宋体" w:hAnsi="宋体" w:cs="宋体"/>
                <w:sz w:val="24"/>
                <w:highlight w:val="none"/>
              </w:rPr>
              <w:t>5</w:t>
            </w:r>
          </w:p>
        </w:tc>
        <w:tc>
          <w:tcPr>
            <w:tcW w:w="462" w:type="dxa"/>
            <w:vMerge w:val="continue"/>
            <w:tcBorders>
              <w:left w:val="single" w:color="auto" w:sz="4" w:space="0"/>
              <w:right w:val="single" w:color="auto" w:sz="4" w:space="0"/>
            </w:tcBorders>
            <w:vAlign w:val="center"/>
          </w:tcPr>
          <w:p w14:paraId="2041D5DE">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1D5640EE">
            <w:pPr>
              <w:widowControl/>
              <w:spacing w:line="360" w:lineRule="auto"/>
              <w:jc w:val="center"/>
              <w:textAlignment w:val="center"/>
              <w:rPr>
                <w:rFonts w:asciiTheme="minorEastAsia" w:hAnsiTheme="minorEastAsia" w:eastAsiaTheme="minorEastAsia" w:cstheme="minorEastAsia"/>
                <w:kern w:val="0"/>
                <w:sz w:val="24"/>
                <w:highlight w:val="none"/>
              </w:rPr>
            </w:pPr>
            <w:r>
              <w:rPr>
                <w:rFonts w:hint="eastAsia" w:asciiTheme="minorEastAsia" w:hAnsiTheme="minorEastAsia" w:eastAsiaTheme="minorEastAsia" w:cstheme="minorEastAsia"/>
                <w:kern w:val="0"/>
                <w:sz w:val="24"/>
                <w:highlight w:val="none"/>
              </w:rPr>
              <w:t>安全生产</w:t>
            </w:r>
          </w:p>
          <w:p w14:paraId="08345659">
            <w:pPr>
              <w:widowControl/>
              <w:spacing w:line="360" w:lineRule="auto"/>
              <w:jc w:val="center"/>
              <w:textAlignment w:val="center"/>
              <w:rPr>
                <w:rFonts w:ascii="宋体" w:hAnsi="宋体" w:cs="宋体"/>
                <w:sz w:val="24"/>
                <w:highlight w:val="none"/>
              </w:rPr>
            </w:pPr>
            <w:r>
              <w:rPr>
                <w:rFonts w:hint="eastAsia" w:asciiTheme="minorEastAsia" w:hAnsiTheme="minorEastAsia" w:eastAsiaTheme="minorEastAsia" w:cstheme="minorEastAsia"/>
                <w:kern w:val="0"/>
                <w:sz w:val="24"/>
                <w:highlight w:val="none"/>
              </w:rPr>
              <w:t>应急预案</w:t>
            </w:r>
          </w:p>
        </w:tc>
        <w:tc>
          <w:tcPr>
            <w:tcW w:w="6411" w:type="dxa"/>
            <w:tcBorders>
              <w:top w:val="single" w:color="auto" w:sz="4" w:space="0"/>
              <w:left w:val="single" w:color="auto" w:sz="4" w:space="0"/>
              <w:bottom w:val="single" w:color="auto" w:sz="4" w:space="0"/>
              <w:right w:val="single" w:color="auto" w:sz="4" w:space="0"/>
            </w:tcBorders>
            <w:vAlign w:val="center"/>
          </w:tcPr>
          <w:p w14:paraId="1330B02D">
            <w:pPr>
              <w:widowControl/>
              <w:spacing w:line="360" w:lineRule="auto"/>
              <w:textAlignment w:val="center"/>
              <w:rPr>
                <w:rFonts w:ascii="宋体" w:hAnsi="宋体" w:cs="宋体"/>
                <w:sz w:val="24"/>
                <w:highlight w:val="none"/>
              </w:rPr>
            </w:pPr>
            <w:r>
              <w:rPr>
                <w:rFonts w:hint="eastAsia" w:asciiTheme="minorEastAsia" w:hAnsiTheme="minorEastAsia" w:eastAsiaTheme="minorEastAsia" w:cstheme="minorEastAsia"/>
                <w:sz w:val="24"/>
                <w:highlight w:val="none"/>
              </w:rPr>
              <w:t>根据</w:t>
            </w:r>
            <w:r>
              <w:rPr>
                <w:rFonts w:hint="eastAsia" w:ascii="宋体" w:hAnsi="宋体" w:cs="宋体"/>
                <w:sz w:val="24"/>
                <w:highlight w:val="none"/>
              </w:rPr>
              <w:t>磋商响应方</w:t>
            </w:r>
            <w:r>
              <w:rPr>
                <w:rFonts w:hint="eastAsia" w:asciiTheme="minorEastAsia" w:hAnsiTheme="minorEastAsia" w:eastAsiaTheme="minorEastAsia" w:cstheme="minorEastAsia"/>
                <w:sz w:val="24"/>
                <w:highlight w:val="none"/>
              </w:rPr>
              <w:t>的应急预案措施全面性、合理性及可行性等内容进行打分。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BE81A3D">
            <w:pPr>
              <w:spacing w:line="360" w:lineRule="auto"/>
              <w:jc w:val="center"/>
              <w:rPr>
                <w:rFonts w:ascii="宋体" w:hAnsi="宋体" w:cs="宋体"/>
                <w:sz w:val="24"/>
                <w:highlight w:val="none"/>
              </w:rPr>
            </w:pPr>
            <w:r>
              <w:rPr>
                <w:rFonts w:hint="eastAsia" w:ascii="宋体" w:hAnsi="宋体" w:cs="宋体"/>
                <w:sz w:val="24"/>
                <w:highlight w:val="none"/>
              </w:rPr>
              <w:t>2</w:t>
            </w:r>
          </w:p>
        </w:tc>
      </w:tr>
      <w:tr w14:paraId="70D64C3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73" w:hRule="atLeast"/>
        </w:trPr>
        <w:tc>
          <w:tcPr>
            <w:tcW w:w="838" w:type="dxa"/>
            <w:tcBorders>
              <w:top w:val="single" w:color="auto" w:sz="4" w:space="0"/>
              <w:left w:val="single" w:color="auto" w:sz="4" w:space="0"/>
              <w:bottom w:val="single" w:color="auto" w:sz="4" w:space="0"/>
              <w:right w:val="single" w:color="auto" w:sz="4" w:space="0"/>
            </w:tcBorders>
            <w:vAlign w:val="center"/>
          </w:tcPr>
          <w:p w14:paraId="1D58959A">
            <w:pPr>
              <w:spacing w:line="360" w:lineRule="auto"/>
              <w:jc w:val="center"/>
              <w:rPr>
                <w:rFonts w:ascii="宋体" w:hAnsi="宋体" w:cs="宋体"/>
                <w:sz w:val="24"/>
                <w:highlight w:val="none"/>
              </w:rPr>
            </w:pPr>
            <w:r>
              <w:rPr>
                <w:rFonts w:hint="eastAsia" w:ascii="宋体" w:hAnsi="宋体" w:cs="宋体"/>
                <w:sz w:val="24"/>
                <w:highlight w:val="none"/>
              </w:rPr>
              <w:t>6</w:t>
            </w:r>
          </w:p>
        </w:tc>
        <w:tc>
          <w:tcPr>
            <w:tcW w:w="462" w:type="dxa"/>
            <w:vMerge w:val="continue"/>
            <w:tcBorders>
              <w:left w:val="single" w:color="auto" w:sz="4" w:space="0"/>
              <w:right w:val="single" w:color="auto" w:sz="4" w:space="0"/>
            </w:tcBorders>
            <w:vAlign w:val="center"/>
          </w:tcPr>
          <w:p w14:paraId="3F2C9D86">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1993AE9C">
            <w:pPr>
              <w:spacing w:line="360" w:lineRule="auto"/>
              <w:jc w:val="center"/>
              <w:rPr>
                <w:rFonts w:ascii="宋体" w:hAnsi="宋体" w:cs="宋体"/>
                <w:sz w:val="24"/>
                <w:highlight w:val="none"/>
              </w:rPr>
            </w:pPr>
            <w:r>
              <w:rPr>
                <w:rFonts w:hint="eastAsia" w:ascii="宋体" w:hAnsi="宋体" w:cs="宋体"/>
                <w:sz w:val="24"/>
                <w:highlight w:val="none"/>
              </w:rPr>
              <w:t>质量保障</w:t>
            </w:r>
          </w:p>
        </w:tc>
        <w:tc>
          <w:tcPr>
            <w:tcW w:w="6411" w:type="dxa"/>
            <w:tcBorders>
              <w:top w:val="single" w:color="auto" w:sz="4" w:space="0"/>
              <w:left w:val="single" w:color="auto" w:sz="4" w:space="0"/>
              <w:bottom w:val="single" w:color="auto" w:sz="4" w:space="0"/>
              <w:right w:val="single" w:color="auto" w:sz="4" w:space="0"/>
            </w:tcBorders>
            <w:vAlign w:val="center"/>
          </w:tcPr>
          <w:p w14:paraId="0BF5E51E">
            <w:pPr>
              <w:spacing w:line="360" w:lineRule="auto"/>
              <w:rPr>
                <w:rFonts w:ascii="宋体" w:hAnsi="宋体" w:cs="宋体"/>
                <w:sz w:val="24"/>
                <w:highlight w:val="none"/>
              </w:rPr>
            </w:pPr>
            <w:r>
              <w:rPr>
                <w:rFonts w:hint="eastAsia" w:ascii="宋体" w:hAnsi="宋体" w:cs="宋体"/>
                <w:sz w:val="24"/>
                <w:highlight w:val="none"/>
              </w:rPr>
              <w:t>施工质量目标明确（0-2分），质量控制措施（0-2分）科学、合理、有技术支撑进行打分。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079C4F2">
            <w:pPr>
              <w:spacing w:line="360" w:lineRule="auto"/>
              <w:jc w:val="center"/>
              <w:rPr>
                <w:rFonts w:ascii="宋体" w:hAnsi="宋体" w:cs="宋体"/>
                <w:sz w:val="24"/>
                <w:highlight w:val="none"/>
              </w:rPr>
            </w:pPr>
            <w:r>
              <w:rPr>
                <w:rFonts w:hint="eastAsia" w:ascii="宋体" w:hAnsi="宋体" w:cs="宋体"/>
                <w:sz w:val="24"/>
                <w:highlight w:val="none"/>
              </w:rPr>
              <w:t>4</w:t>
            </w:r>
          </w:p>
        </w:tc>
      </w:tr>
      <w:tr w14:paraId="114F24E2">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838" w:type="dxa"/>
            <w:tcBorders>
              <w:top w:val="single" w:color="auto" w:sz="4" w:space="0"/>
              <w:left w:val="single" w:color="auto" w:sz="4" w:space="0"/>
              <w:bottom w:val="single" w:color="auto" w:sz="4" w:space="0"/>
              <w:right w:val="single" w:color="auto" w:sz="4" w:space="0"/>
            </w:tcBorders>
            <w:vAlign w:val="center"/>
          </w:tcPr>
          <w:p w14:paraId="675AA3EA">
            <w:pPr>
              <w:spacing w:line="360" w:lineRule="auto"/>
              <w:jc w:val="center"/>
              <w:rPr>
                <w:rFonts w:ascii="宋体" w:hAnsi="宋体" w:cs="宋体"/>
                <w:sz w:val="24"/>
                <w:highlight w:val="none"/>
              </w:rPr>
            </w:pPr>
            <w:r>
              <w:rPr>
                <w:rFonts w:hint="eastAsia" w:ascii="宋体" w:hAnsi="宋体" w:cs="宋体"/>
                <w:sz w:val="24"/>
                <w:highlight w:val="none"/>
              </w:rPr>
              <w:t>7</w:t>
            </w:r>
          </w:p>
        </w:tc>
        <w:tc>
          <w:tcPr>
            <w:tcW w:w="462" w:type="dxa"/>
            <w:vMerge w:val="continue"/>
            <w:tcBorders>
              <w:left w:val="single" w:color="auto" w:sz="4" w:space="0"/>
              <w:right w:val="single" w:color="auto" w:sz="4" w:space="0"/>
            </w:tcBorders>
            <w:vAlign w:val="center"/>
          </w:tcPr>
          <w:p w14:paraId="08303697">
            <w:pPr>
              <w:spacing w:line="360" w:lineRule="auto"/>
              <w:rPr>
                <w:rFonts w:ascii="宋体" w:hAnsi="宋体" w:cs="宋体"/>
                <w:sz w:val="24"/>
                <w:highlight w:val="none"/>
              </w:rPr>
            </w:pPr>
          </w:p>
        </w:tc>
        <w:tc>
          <w:tcPr>
            <w:tcW w:w="1637" w:type="dxa"/>
            <w:vMerge w:val="restart"/>
            <w:tcBorders>
              <w:top w:val="single" w:color="auto" w:sz="4" w:space="0"/>
              <w:left w:val="single" w:color="auto" w:sz="4" w:space="0"/>
              <w:right w:val="single" w:color="auto" w:sz="4" w:space="0"/>
            </w:tcBorders>
            <w:vAlign w:val="center"/>
          </w:tcPr>
          <w:p w14:paraId="1E3DC13E">
            <w:pPr>
              <w:spacing w:line="360" w:lineRule="auto"/>
              <w:jc w:val="center"/>
              <w:rPr>
                <w:rFonts w:ascii="宋体" w:hAnsi="宋体" w:cs="宋体"/>
                <w:sz w:val="24"/>
                <w:highlight w:val="none"/>
              </w:rPr>
            </w:pPr>
            <w:r>
              <w:rPr>
                <w:rFonts w:hint="eastAsia" w:ascii="宋体" w:hAnsi="宋体" w:cs="宋体"/>
                <w:sz w:val="24"/>
                <w:highlight w:val="none"/>
              </w:rPr>
              <w:t>安全、文明施工等的保证措施</w:t>
            </w:r>
          </w:p>
        </w:tc>
        <w:tc>
          <w:tcPr>
            <w:tcW w:w="6411" w:type="dxa"/>
            <w:tcBorders>
              <w:top w:val="single" w:color="auto" w:sz="4" w:space="0"/>
              <w:left w:val="single" w:color="auto" w:sz="4" w:space="0"/>
              <w:bottom w:val="single" w:color="auto" w:sz="4" w:space="0"/>
              <w:right w:val="single" w:color="auto" w:sz="4" w:space="0"/>
            </w:tcBorders>
            <w:vAlign w:val="center"/>
          </w:tcPr>
          <w:p w14:paraId="532CAF6B">
            <w:pPr>
              <w:spacing w:line="360" w:lineRule="auto"/>
              <w:rPr>
                <w:rFonts w:ascii="宋体" w:hAnsi="宋体" w:cs="宋体"/>
                <w:sz w:val="24"/>
                <w:highlight w:val="none"/>
              </w:rPr>
            </w:pPr>
            <w:r>
              <w:rPr>
                <w:rFonts w:hint="eastAsia" w:ascii="宋体" w:hAnsi="宋体" w:cs="宋体"/>
                <w:sz w:val="24"/>
                <w:highlight w:val="none"/>
              </w:rPr>
              <w:t>根据安全、文明施工及市政、市容、环保、消防的保证措施，并具有详细可行的实施内容，进行打分。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7C833C9">
            <w:pPr>
              <w:spacing w:line="360" w:lineRule="auto"/>
              <w:jc w:val="center"/>
              <w:rPr>
                <w:rFonts w:ascii="宋体" w:hAnsi="宋体" w:cs="宋体"/>
                <w:sz w:val="24"/>
                <w:highlight w:val="none"/>
              </w:rPr>
            </w:pPr>
            <w:r>
              <w:rPr>
                <w:rFonts w:hint="eastAsia" w:ascii="宋体" w:hAnsi="宋体" w:cs="宋体"/>
                <w:sz w:val="24"/>
                <w:highlight w:val="none"/>
              </w:rPr>
              <w:t>2</w:t>
            </w:r>
          </w:p>
        </w:tc>
      </w:tr>
      <w:tr w14:paraId="79CE0671">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90" w:hRule="atLeast"/>
        </w:trPr>
        <w:tc>
          <w:tcPr>
            <w:tcW w:w="838" w:type="dxa"/>
            <w:tcBorders>
              <w:top w:val="single" w:color="auto" w:sz="4" w:space="0"/>
              <w:left w:val="single" w:color="auto" w:sz="4" w:space="0"/>
              <w:bottom w:val="single" w:color="auto" w:sz="4" w:space="0"/>
              <w:right w:val="single" w:color="auto" w:sz="4" w:space="0"/>
            </w:tcBorders>
            <w:vAlign w:val="center"/>
          </w:tcPr>
          <w:p w14:paraId="193211FC">
            <w:pPr>
              <w:spacing w:line="360" w:lineRule="auto"/>
              <w:jc w:val="center"/>
              <w:rPr>
                <w:rFonts w:ascii="宋体" w:hAnsi="宋体" w:cs="宋体"/>
                <w:sz w:val="24"/>
                <w:highlight w:val="none"/>
              </w:rPr>
            </w:pPr>
            <w:r>
              <w:rPr>
                <w:rFonts w:hint="eastAsia" w:ascii="宋体" w:hAnsi="宋体" w:cs="宋体"/>
                <w:sz w:val="24"/>
                <w:highlight w:val="none"/>
              </w:rPr>
              <w:t>8</w:t>
            </w:r>
          </w:p>
        </w:tc>
        <w:tc>
          <w:tcPr>
            <w:tcW w:w="462" w:type="dxa"/>
            <w:vMerge w:val="continue"/>
            <w:tcBorders>
              <w:left w:val="single" w:color="auto" w:sz="4" w:space="0"/>
              <w:right w:val="single" w:color="auto" w:sz="4" w:space="0"/>
            </w:tcBorders>
            <w:vAlign w:val="center"/>
          </w:tcPr>
          <w:p w14:paraId="514FAFC2">
            <w:pPr>
              <w:spacing w:line="360" w:lineRule="auto"/>
              <w:rPr>
                <w:rFonts w:ascii="宋体" w:hAnsi="宋体" w:cs="宋体"/>
                <w:sz w:val="24"/>
                <w:highlight w:val="none"/>
              </w:rPr>
            </w:pPr>
          </w:p>
        </w:tc>
        <w:tc>
          <w:tcPr>
            <w:tcW w:w="1637" w:type="dxa"/>
            <w:vMerge w:val="continue"/>
            <w:tcBorders>
              <w:left w:val="single" w:color="auto" w:sz="4" w:space="0"/>
              <w:bottom w:val="single" w:color="auto" w:sz="4" w:space="0"/>
              <w:right w:val="single" w:color="auto" w:sz="4" w:space="0"/>
            </w:tcBorders>
            <w:vAlign w:val="center"/>
          </w:tcPr>
          <w:p w14:paraId="59FFD3A5">
            <w:pPr>
              <w:spacing w:line="360" w:lineRule="auto"/>
              <w:jc w:val="center"/>
              <w:rPr>
                <w:rFonts w:ascii="宋体" w:hAnsi="宋体" w:cs="宋体"/>
                <w:sz w:val="24"/>
                <w:highlight w:val="none"/>
              </w:rPr>
            </w:pPr>
          </w:p>
        </w:tc>
        <w:tc>
          <w:tcPr>
            <w:tcW w:w="6411" w:type="dxa"/>
            <w:tcBorders>
              <w:top w:val="single" w:color="auto" w:sz="4" w:space="0"/>
              <w:left w:val="single" w:color="auto" w:sz="4" w:space="0"/>
              <w:bottom w:val="single" w:color="auto" w:sz="4" w:space="0"/>
              <w:right w:val="single" w:color="auto" w:sz="4" w:space="0"/>
            </w:tcBorders>
            <w:vAlign w:val="center"/>
          </w:tcPr>
          <w:p w14:paraId="45BBA906">
            <w:pPr>
              <w:spacing w:line="360" w:lineRule="auto"/>
              <w:rPr>
                <w:rFonts w:ascii="宋体" w:hAnsi="宋体" w:cs="宋体"/>
                <w:sz w:val="24"/>
                <w:highlight w:val="none"/>
              </w:rPr>
            </w:pPr>
            <w:r>
              <w:rPr>
                <w:rFonts w:hint="eastAsia" w:ascii="宋体" w:hAnsi="宋体" w:cs="宋体"/>
                <w:sz w:val="24"/>
                <w:highlight w:val="none"/>
              </w:rPr>
              <w:t>根据施工场地周边情况对扬尘治理、垃圾清运、人员管理、降噪等措施进行打分。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4CD8B18A">
            <w:pPr>
              <w:spacing w:line="360" w:lineRule="auto"/>
              <w:jc w:val="center"/>
              <w:rPr>
                <w:rFonts w:ascii="宋体" w:hAnsi="宋体" w:cs="宋体"/>
                <w:sz w:val="24"/>
                <w:highlight w:val="none"/>
              </w:rPr>
            </w:pPr>
            <w:r>
              <w:rPr>
                <w:rFonts w:hint="eastAsia" w:ascii="宋体" w:hAnsi="宋体" w:cs="宋体"/>
                <w:sz w:val="24"/>
                <w:highlight w:val="none"/>
              </w:rPr>
              <w:t>2</w:t>
            </w:r>
          </w:p>
        </w:tc>
      </w:tr>
      <w:tr w14:paraId="4912986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90" w:hRule="atLeast"/>
        </w:trPr>
        <w:tc>
          <w:tcPr>
            <w:tcW w:w="838" w:type="dxa"/>
            <w:tcBorders>
              <w:top w:val="single" w:color="auto" w:sz="4" w:space="0"/>
              <w:left w:val="single" w:color="auto" w:sz="4" w:space="0"/>
              <w:bottom w:val="single" w:color="auto" w:sz="4" w:space="0"/>
              <w:right w:val="single" w:color="auto" w:sz="4" w:space="0"/>
            </w:tcBorders>
            <w:vAlign w:val="center"/>
          </w:tcPr>
          <w:p w14:paraId="3D4CFC38">
            <w:pPr>
              <w:spacing w:line="360" w:lineRule="auto"/>
              <w:jc w:val="center"/>
              <w:rPr>
                <w:rFonts w:ascii="宋体" w:hAnsi="宋体" w:cs="宋体"/>
                <w:sz w:val="24"/>
                <w:highlight w:val="none"/>
              </w:rPr>
            </w:pPr>
            <w:r>
              <w:rPr>
                <w:rFonts w:hint="eastAsia" w:ascii="宋体" w:hAnsi="宋体" w:cs="宋体"/>
                <w:sz w:val="24"/>
                <w:highlight w:val="none"/>
              </w:rPr>
              <w:t>9</w:t>
            </w:r>
          </w:p>
        </w:tc>
        <w:tc>
          <w:tcPr>
            <w:tcW w:w="462" w:type="dxa"/>
            <w:vMerge w:val="continue"/>
            <w:tcBorders>
              <w:left w:val="single" w:color="auto" w:sz="4" w:space="0"/>
              <w:right w:val="single" w:color="auto" w:sz="4" w:space="0"/>
            </w:tcBorders>
            <w:vAlign w:val="center"/>
          </w:tcPr>
          <w:p w14:paraId="6AD58025">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450309FF">
            <w:pPr>
              <w:spacing w:line="360" w:lineRule="auto"/>
              <w:jc w:val="center"/>
              <w:rPr>
                <w:rFonts w:ascii="宋体" w:hAnsi="宋体" w:cs="宋体"/>
                <w:sz w:val="24"/>
                <w:highlight w:val="none"/>
              </w:rPr>
            </w:pPr>
            <w:r>
              <w:rPr>
                <w:rFonts w:hint="eastAsia" w:ascii="宋体" w:hAnsi="宋体" w:cs="宋体"/>
                <w:sz w:val="24"/>
                <w:highlight w:val="none"/>
              </w:rPr>
              <w:t>施工机具</w:t>
            </w:r>
          </w:p>
          <w:p w14:paraId="7AFD895E">
            <w:pPr>
              <w:spacing w:line="360" w:lineRule="auto"/>
              <w:jc w:val="center"/>
              <w:rPr>
                <w:rFonts w:ascii="宋体" w:hAnsi="宋体" w:cs="宋体"/>
                <w:sz w:val="24"/>
                <w:highlight w:val="none"/>
              </w:rPr>
            </w:pPr>
            <w:r>
              <w:rPr>
                <w:rFonts w:hint="eastAsia" w:ascii="宋体" w:hAnsi="宋体" w:cs="宋体"/>
                <w:sz w:val="24"/>
                <w:highlight w:val="none"/>
              </w:rPr>
              <w:t>设备</w:t>
            </w:r>
          </w:p>
        </w:tc>
        <w:tc>
          <w:tcPr>
            <w:tcW w:w="6411" w:type="dxa"/>
            <w:tcBorders>
              <w:top w:val="single" w:color="auto" w:sz="4" w:space="0"/>
              <w:left w:val="single" w:color="auto" w:sz="4" w:space="0"/>
              <w:bottom w:val="single" w:color="auto" w:sz="4" w:space="0"/>
              <w:right w:val="single" w:color="auto" w:sz="4" w:space="0"/>
            </w:tcBorders>
            <w:vAlign w:val="center"/>
          </w:tcPr>
          <w:p w14:paraId="5134801E">
            <w:pPr>
              <w:spacing w:line="360" w:lineRule="auto"/>
              <w:rPr>
                <w:rFonts w:ascii="宋体" w:hAnsi="宋体" w:cs="宋体"/>
                <w:sz w:val="24"/>
                <w:highlight w:val="none"/>
              </w:rPr>
            </w:pPr>
            <w:r>
              <w:rPr>
                <w:rFonts w:hint="eastAsia" w:ascii="宋体" w:hAnsi="宋体" w:cs="宋体"/>
                <w:sz w:val="24"/>
                <w:highlight w:val="none"/>
              </w:rPr>
              <w:t>施工机具设备的投入能够优于工程实施的需要，且与项目相适应，根据其针对性、合理性进行打分。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7211DE12">
            <w:pPr>
              <w:spacing w:line="360" w:lineRule="auto"/>
              <w:jc w:val="center"/>
              <w:rPr>
                <w:rFonts w:ascii="宋体" w:hAnsi="宋体" w:cs="宋体"/>
                <w:sz w:val="24"/>
                <w:highlight w:val="none"/>
              </w:rPr>
            </w:pPr>
            <w:r>
              <w:rPr>
                <w:rFonts w:hint="eastAsia" w:ascii="宋体" w:hAnsi="宋体" w:cs="宋体"/>
                <w:sz w:val="24"/>
                <w:highlight w:val="none"/>
              </w:rPr>
              <w:t>3</w:t>
            </w:r>
          </w:p>
        </w:tc>
      </w:tr>
      <w:tr w14:paraId="0D6212C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62" w:hRule="atLeast"/>
        </w:trPr>
        <w:tc>
          <w:tcPr>
            <w:tcW w:w="838" w:type="dxa"/>
            <w:tcBorders>
              <w:top w:val="single" w:color="auto" w:sz="4" w:space="0"/>
              <w:left w:val="single" w:color="auto" w:sz="4" w:space="0"/>
              <w:bottom w:val="single" w:color="auto" w:sz="4" w:space="0"/>
              <w:right w:val="single" w:color="auto" w:sz="4" w:space="0"/>
            </w:tcBorders>
            <w:vAlign w:val="center"/>
          </w:tcPr>
          <w:p w14:paraId="6A20D55A">
            <w:pPr>
              <w:spacing w:line="360" w:lineRule="auto"/>
              <w:jc w:val="center"/>
              <w:rPr>
                <w:rFonts w:ascii="宋体" w:hAnsi="宋体" w:cs="宋体"/>
                <w:sz w:val="24"/>
                <w:highlight w:val="none"/>
              </w:rPr>
            </w:pPr>
            <w:r>
              <w:rPr>
                <w:rFonts w:hint="eastAsia" w:ascii="宋体" w:hAnsi="宋体" w:cs="宋体"/>
                <w:sz w:val="24"/>
                <w:highlight w:val="none"/>
              </w:rPr>
              <w:t>10</w:t>
            </w:r>
          </w:p>
        </w:tc>
        <w:tc>
          <w:tcPr>
            <w:tcW w:w="462" w:type="dxa"/>
            <w:vMerge w:val="continue"/>
            <w:tcBorders>
              <w:left w:val="single" w:color="auto" w:sz="4" w:space="0"/>
              <w:right w:val="single" w:color="auto" w:sz="4" w:space="0"/>
            </w:tcBorders>
            <w:vAlign w:val="center"/>
          </w:tcPr>
          <w:p w14:paraId="3BFB4E79">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64055ADE">
            <w:pPr>
              <w:spacing w:line="360" w:lineRule="auto"/>
              <w:jc w:val="center"/>
              <w:rPr>
                <w:rFonts w:ascii="宋体" w:hAnsi="宋体" w:cs="宋体"/>
                <w:sz w:val="24"/>
                <w:highlight w:val="none"/>
              </w:rPr>
            </w:pPr>
            <w:r>
              <w:rPr>
                <w:rFonts w:hint="eastAsia" w:ascii="宋体" w:hAnsi="宋体" w:cs="宋体"/>
                <w:sz w:val="24"/>
                <w:highlight w:val="none"/>
              </w:rPr>
              <w:t>材料设备进场计划</w:t>
            </w:r>
          </w:p>
        </w:tc>
        <w:tc>
          <w:tcPr>
            <w:tcW w:w="6411" w:type="dxa"/>
            <w:tcBorders>
              <w:top w:val="single" w:color="auto" w:sz="4" w:space="0"/>
              <w:left w:val="single" w:color="auto" w:sz="4" w:space="0"/>
              <w:bottom w:val="single" w:color="auto" w:sz="4" w:space="0"/>
              <w:right w:val="single" w:color="auto" w:sz="4" w:space="0"/>
            </w:tcBorders>
            <w:vAlign w:val="center"/>
          </w:tcPr>
          <w:p w14:paraId="329F7F01">
            <w:pPr>
              <w:spacing w:line="360" w:lineRule="auto"/>
              <w:rPr>
                <w:rFonts w:ascii="宋体" w:hAnsi="宋体" w:cs="宋体"/>
                <w:sz w:val="24"/>
                <w:highlight w:val="none"/>
              </w:rPr>
            </w:pPr>
            <w:r>
              <w:rPr>
                <w:rFonts w:hint="eastAsia" w:ascii="宋体" w:hAnsi="宋体" w:cs="宋体"/>
                <w:sz w:val="24"/>
                <w:highlight w:val="none"/>
              </w:rPr>
              <w:t xml:space="preserve">材料设备进场计划及施工计划情况：是否具有详细的材料设备进场计划、时间安排合理（0-1分）、材料数量清点情况（0-1分）、材料质量控制情况（0-1分）进行打分。 </w:t>
            </w:r>
          </w:p>
        </w:tc>
        <w:tc>
          <w:tcPr>
            <w:tcW w:w="810" w:type="dxa"/>
            <w:tcBorders>
              <w:top w:val="single" w:color="auto" w:sz="4" w:space="0"/>
              <w:left w:val="single" w:color="auto" w:sz="4" w:space="0"/>
              <w:bottom w:val="single" w:color="auto" w:sz="4" w:space="0"/>
              <w:right w:val="single" w:color="auto" w:sz="4" w:space="0"/>
            </w:tcBorders>
            <w:vAlign w:val="center"/>
          </w:tcPr>
          <w:p w14:paraId="41E4DEA5">
            <w:pPr>
              <w:spacing w:line="360" w:lineRule="auto"/>
              <w:jc w:val="center"/>
              <w:rPr>
                <w:rFonts w:ascii="宋体" w:hAnsi="宋体" w:cs="宋体"/>
                <w:sz w:val="24"/>
                <w:highlight w:val="none"/>
              </w:rPr>
            </w:pPr>
            <w:r>
              <w:rPr>
                <w:rFonts w:hint="eastAsia" w:ascii="宋体" w:hAnsi="宋体" w:cs="宋体"/>
                <w:sz w:val="24"/>
                <w:highlight w:val="none"/>
              </w:rPr>
              <w:t>3</w:t>
            </w:r>
          </w:p>
        </w:tc>
      </w:tr>
      <w:tr w14:paraId="4A8C312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2" w:hRule="atLeast"/>
        </w:trPr>
        <w:tc>
          <w:tcPr>
            <w:tcW w:w="838" w:type="dxa"/>
            <w:tcBorders>
              <w:top w:val="single" w:color="auto" w:sz="4" w:space="0"/>
              <w:left w:val="single" w:color="auto" w:sz="4" w:space="0"/>
              <w:bottom w:val="single" w:color="auto" w:sz="4" w:space="0"/>
              <w:right w:val="single" w:color="auto" w:sz="4" w:space="0"/>
            </w:tcBorders>
            <w:vAlign w:val="center"/>
          </w:tcPr>
          <w:p w14:paraId="2500C1B6">
            <w:pPr>
              <w:spacing w:line="360" w:lineRule="auto"/>
              <w:jc w:val="center"/>
              <w:rPr>
                <w:rFonts w:ascii="宋体" w:hAnsi="宋体" w:cs="宋体"/>
                <w:sz w:val="24"/>
                <w:highlight w:val="none"/>
              </w:rPr>
            </w:pPr>
            <w:r>
              <w:rPr>
                <w:rFonts w:hint="eastAsia" w:ascii="宋体" w:hAnsi="宋体" w:cs="宋体"/>
                <w:sz w:val="24"/>
                <w:highlight w:val="none"/>
              </w:rPr>
              <w:t>11</w:t>
            </w:r>
          </w:p>
        </w:tc>
        <w:tc>
          <w:tcPr>
            <w:tcW w:w="462" w:type="dxa"/>
            <w:vMerge w:val="continue"/>
            <w:tcBorders>
              <w:left w:val="single" w:color="auto" w:sz="4" w:space="0"/>
              <w:right w:val="single" w:color="auto" w:sz="4" w:space="0"/>
            </w:tcBorders>
            <w:vAlign w:val="center"/>
          </w:tcPr>
          <w:p w14:paraId="4BDA2C63">
            <w:pPr>
              <w:spacing w:line="360" w:lineRule="auto"/>
              <w:rPr>
                <w:rFonts w:ascii="宋体" w:hAnsi="宋体" w:cs="宋体"/>
                <w:sz w:val="24"/>
                <w:highlight w:val="none"/>
              </w:rPr>
            </w:pPr>
          </w:p>
        </w:tc>
        <w:tc>
          <w:tcPr>
            <w:tcW w:w="1637" w:type="dxa"/>
            <w:vMerge w:val="restart"/>
            <w:tcBorders>
              <w:top w:val="single" w:color="auto" w:sz="4" w:space="0"/>
              <w:left w:val="single" w:color="auto" w:sz="4" w:space="0"/>
              <w:bottom w:val="single" w:color="auto" w:sz="4" w:space="0"/>
              <w:right w:val="single" w:color="auto" w:sz="4" w:space="0"/>
            </w:tcBorders>
            <w:vAlign w:val="center"/>
          </w:tcPr>
          <w:p w14:paraId="627E8351">
            <w:pPr>
              <w:spacing w:line="360" w:lineRule="auto"/>
              <w:jc w:val="center"/>
              <w:rPr>
                <w:rFonts w:ascii="宋体" w:hAnsi="宋体" w:cs="宋体"/>
                <w:sz w:val="24"/>
                <w:highlight w:val="none"/>
              </w:rPr>
            </w:pPr>
            <w:r>
              <w:rPr>
                <w:rFonts w:hint="eastAsia" w:ascii="宋体" w:hAnsi="宋体" w:cs="宋体"/>
                <w:sz w:val="24"/>
                <w:highlight w:val="none"/>
              </w:rPr>
              <w:t>人员情况</w:t>
            </w:r>
          </w:p>
        </w:tc>
        <w:tc>
          <w:tcPr>
            <w:tcW w:w="6411" w:type="dxa"/>
            <w:tcBorders>
              <w:top w:val="single" w:color="auto" w:sz="4" w:space="0"/>
              <w:left w:val="single" w:color="auto" w:sz="4" w:space="0"/>
              <w:bottom w:val="single" w:color="auto" w:sz="4" w:space="0"/>
              <w:right w:val="single" w:color="auto" w:sz="4" w:space="0"/>
            </w:tcBorders>
            <w:vAlign w:val="center"/>
          </w:tcPr>
          <w:p w14:paraId="0C28A2DF">
            <w:pPr>
              <w:spacing w:line="360" w:lineRule="auto"/>
              <w:rPr>
                <w:rFonts w:ascii="宋体" w:hAnsi="宋体" w:cs="宋体"/>
                <w:color w:val="auto"/>
                <w:sz w:val="24"/>
                <w:highlight w:val="none"/>
              </w:rPr>
            </w:pPr>
            <w:r>
              <w:rPr>
                <w:rFonts w:hint="eastAsia" w:ascii="宋体" w:hAnsi="宋体" w:cs="宋体"/>
                <w:color w:val="auto"/>
                <w:sz w:val="24"/>
                <w:highlight w:val="none"/>
              </w:rPr>
              <w:t>根据项目负责人的专业素质、资历、荣誉奖项、工作经验等方面，进行打分。</w:t>
            </w:r>
          </w:p>
          <w:p w14:paraId="0DF7075A">
            <w:pPr>
              <w:spacing w:line="360" w:lineRule="auto"/>
              <w:rPr>
                <w:rFonts w:ascii="宋体" w:hAnsi="宋体" w:cs="宋体"/>
                <w:color w:val="auto"/>
                <w:sz w:val="24"/>
                <w:highlight w:val="none"/>
              </w:rPr>
            </w:pPr>
            <w:r>
              <w:rPr>
                <w:rFonts w:hint="eastAsia" w:ascii="宋体" w:hAnsi="宋体" w:cs="宋体"/>
                <w:color w:val="auto"/>
                <w:sz w:val="24"/>
                <w:highlight w:val="none"/>
              </w:rPr>
              <w:t>注：须提供相关证明材料，并且项目负责人必须是供应商本单位在职员工，还须提供</w:t>
            </w:r>
            <w:r>
              <w:rPr>
                <w:rFonts w:hint="eastAsia" w:ascii="宋体" w:hAnsi="宋体" w:cs="宋体"/>
                <w:color w:val="auto"/>
                <w:sz w:val="24"/>
                <w:highlight w:val="none"/>
                <w:lang w:val="en-US" w:eastAsia="zh-CN"/>
              </w:rPr>
              <w:t>近三个月</w:t>
            </w:r>
            <w:r>
              <w:rPr>
                <w:rFonts w:hint="eastAsia" w:ascii="宋体" w:hAnsi="宋体" w:cs="宋体"/>
                <w:color w:val="auto"/>
                <w:sz w:val="24"/>
                <w:highlight w:val="none"/>
              </w:rPr>
              <w:t>已在本单位缴纳社保的</w:t>
            </w:r>
            <w:r>
              <w:rPr>
                <w:rFonts w:hint="eastAsia" w:ascii="宋体" w:hAnsi="宋体" w:cs="宋体"/>
                <w:color w:val="auto"/>
                <w:sz w:val="24"/>
                <w:highlight w:val="none"/>
                <w:lang w:val="en-US" w:eastAsia="zh-CN"/>
              </w:rPr>
              <w:t>凭证或</w:t>
            </w:r>
            <w:r>
              <w:rPr>
                <w:rFonts w:hint="eastAsia" w:ascii="宋体" w:hAnsi="宋体" w:cs="宋体"/>
                <w:color w:val="auto"/>
                <w:sz w:val="24"/>
                <w:highlight w:val="none"/>
              </w:rPr>
              <w:t>承诺书</w:t>
            </w:r>
            <w:r>
              <w:rPr>
                <w:rFonts w:hint="eastAsia" w:ascii="宋体" w:hAnsi="宋体" w:eastAsia="宋体" w:cs="宋体"/>
                <w:bCs/>
                <w:color w:val="auto"/>
                <w:sz w:val="24"/>
                <w:highlight w:val="none"/>
                <w:lang w:val="en-US" w:eastAsia="zh-CN"/>
              </w:rPr>
              <w:t>（承诺以上人员为本单位员工，格式自拟</w:t>
            </w:r>
            <w:r>
              <w:rPr>
                <w:rFonts w:hint="eastAsia" w:ascii="宋体" w:hAnsi="宋体" w:cs="宋体"/>
                <w:bCs/>
                <w:color w:val="auto"/>
                <w:sz w:val="24"/>
                <w:highlight w:val="none"/>
                <w:lang w:val="en-US" w:eastAsia="zh-CN"/>
              </w:rPr>
              <w:t>）</w:t>
            </w:r>
            <w:r>
              <w:rPr>
                <w:rFonts w:hint="eastAsia" w:ascii="宋体" w:hAnsi="宋体" w:cs="宋体"/>
                <w:color w:val="auto"/>
                <w:sz w:val="24"/>
                <w:highlight w:val="none"/>
              </w:rPr>
              <w:t>并加盖供应商公章，否则不得分。</w:t>
            </w:r>
          </w:p>
        </w:tc>
        <w:tc>
          <w:tcPr>
            <w:tcW w:w="810" w:type="dxa"/>
            <w:tcBorders>
              <w:top w:val="single" w:color="auto" w:sz="4" w:space="0"/>
              <w:left w:val="single" w:color="auto" w:sz="4" w:space="0"/>
              <w:bottom w:val="single" w:color="auto" w:sz="4" w:space="0"/>
              <w:right w:val="single" w:color="auto" w:sz="4" w:space="0"/>
            </w:tcBorders>
            <w:vAlign w:val="center"/>
          </w:tcPr>
          <w:p w14:paraId="61ED00C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3</w:t>
            </w:r>
          </w:p>
        </w:tc>
      </w:tr>
      <w:tr w14:paraId="55EFBDC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2" w:hRule="atLeast"/>
        </w:trPr>
        <w:tc>
          <w:tcPr>
            <w:tcW w:w="838" w:type="dxa"/>
            <w:tcBorders>
              <w:top w:val="single" w:color="auto" w:sz="4" w:space="0"/>
              <w:left w:val="single" w:color="auto" w:sz="4" w:space="0"/>
              <w:bottom w:val="single" w:color="auto" w:sz="4" w:space="0"/>
              <w:right w:val="single" w:color="auto" w:sz="4" w:space="0"/>
            </w:tcBorders>
            <w:vAlign w:val="center"/>
          </w:tcPr>
          <w:p w14:paraId="7D7ACFF3">
            <w:pPr>
              <w:spacing w:line="360" w:lineRule="auto"/>
              <w:jc w:val="center"/>
              <w:rPr>
                <w:rFonts w:ascii="宋体" w:hAnsi="宋体" w:cs="宋体"/>
                <w:sz w:val="24"/>
                <w:highlight w:val="none"/>
              </w:rPr>
            </w:pPr>
            <w:r>
              <w:rPr>
                <w:rFonts w:hint="eastAsia" w:ascii="宋体" w:hAnsi="宋体" w:cs="宋体"/>
                <w:sz w:val="24"/>
                <w:highlight w:val="none"/>
              </w:rPr>
              <w:t>12</w:t>
            </w:r>
          </w:p>
        </w:tc>
        <w:tc>
          <w:tcPr>
            <w:tcW w:w="462" w:type="dxa"/>
            <w:vMerge w:val="continue"/>
            <w:tcBorders>
              <w:left w:val="single" w:color="auto" w:sz="4" w:space="0"/>
              <w:right w:val="single" w:color="auto" w:sz="4" w:space="0"/>
            </w:tcBorders>
            <w:vAlign w:val="center"/>
          </w:tcPr>
          <w:p w14:paraId="55B9757F">
            <w:pPr>
              <w:spacing w:line="360" w:lineRule="auto"/>
              <w:rPr>
                <w:rFonts w:ascii="宋体" w:hAnsi="宋体" w:cs="宋体"/>
                <w:sz w:val="24"/>
                <w:highlight w:val="none"/>
              </w:rPr>
            </w:pPr>
          </w:p>
        </w:tc>
        <w:tc>
          <w:tcPr>
            <w:tcW w:w="1637" w:type="dxa"/>
            <w:vMerge w:val="continue"/>
            <w:tcBorders>
              <w:top w:val="single" w:color="auto" w:sz="4" w:space="0"/>
              <w:left w:val="single" w:color="auto" w:sz="4" w:space="0"/>
              <w:bottom w:val="single" w:color="auto" w:sz="4" w:space="0"/>
              <w:right w:val="single" w:color="auto" w:sz="4" w:space="0"/>
            </w:tcBorders>
            <w:vAlign w:val="center"/>
          </w:tcPr>
          <w:p w14:paraId="4D67BD33">
            <w:pPr>
              <w:spacing w:line="360" w:lineRule="auto"/>
              <w:jc w:val="center"/>
              <w:rPr>
                <w:rFonts w:ascii="宋体" w:hAnsi="宋体" w:cs="宋体"/>
                <w:sz w:val="24"/>
                <w:highlight w:val="none"/>
              </w:rPr>
            </w:pPr>
          </w:p>
        </w:tc>
        <w:tc>
          <w:tcPr>
            <w:tcW w:w="6411" w:type="dxa"/>
            <w:tcBorders>
              <w:top w:val="single" w:color="auto" w:sz="4" w:space="0"/>
              <w:left w:val="single" w:color="auto" w:sz="4" w:space="0"/>
              <w:bottom w:val="single" w:color="auto" w:sz="4" w:space="0"/>
              <w:right w:val="single" w:color="auto" w:sz="4" w:space="0"/>
            </w:tcBorders>
            <w:vAlign w:val="center"/>
          </w:tcPr>
          <w:p w14:paraId="763A8714">
            <w:pPr>
              <w:spacing w:line="360" w:lineRule="auto"/>
              <w:rPr>
                <w:rFonts w:ascii="宋体" w:hAnsi="宋体" w:cs="宋体"/>
                <w:color w:val="auto"/>
                <w:sz w:val="24"/>
                <w:highlight w:val="none"/>
              </w:rPr>
            </w:pPr>
            <w:r>
              <w:rPr>
                <w:rFonts w:hint="eastAsia" w:ascii="宋体" w:hAnsi="宋体" w:cs="宋体"/>
                <w:color w:val="auto"/>
                <w:sz w:val="24"/>
                <w:highlight w:val="none"/>
              </w:rPr>
              <w:t>根据拟派项目组成员（除项目负责人外）的人员结构、专业配备的合理性、岗位设置情况（0-2分），专业素质、资质等级（0-2分），同类工作经验（0-1分）等情况进行打分。注：须提供相关证明材料，并且项目组成员必须是供应商本单位在职员工，还须提供</w:t>
            </w:r>
            <w:r>
              <w:rPr>
                <w:rFonts w:hint="eastAsia" w:ascii="宋体" w:hAnsi="宋体" w:cs="宋体"/>
                <w:color w:val="auto"/>
                <w:sz w:val="24"/>
                <w:highlight w:val="none"/>
                <w:lang w:val="en-US" w:eastAsia="zh-CN"/>
              </w:rPr>
              <w:t>近三个月</w:t>
            </w:r>
            <w:r>
              <w:rPr>
                <w:rFonts w:hint="eastAsia" w:ascii="宋体" w:hAnsi="宋体" w:cs="宋体"/>
                <w:color w:val="auto"/>
                <w:sz w:val="24"/>
                <w:highlight w:val="none"/>
              </w:rPr>
              <w:t>已在本单位缴纳社保的</w:t>
            </w:r>
            <w:r>
              <w:rPr>
                <w:rFonts w:hint="eastAsia" w:ascii="宋体" w:hAnsi="宋体" w:cs="宋体"/>
                <w:color w:val="auto"/>
                <w:sz w:val="24"/>
                <w:highlight w:val="none"/>
                <w:lang w:val="en-US" w:eastAsia="zh-CN"/>
              </w:rPr>
              <w:t>凭证或</w:t>
            </w:r>
            <w:r>
              <w:rPr>
                <w:rFonts w:hint="eastAsia" w:ascii="宋体" w:hAnsi="宋体" w:cs="宋体"/>
                <w:color w:val="auto"/>
                <w:sz w:val="24"/>
                <w:highlight w:val="none"/>
              </w:rPr>
              <w:t>承诺书</w:t>
            </w:r>
            <w:r>
              <w:rPr>
                <w:rFonts w:hint="eastAsia" w:ascii="宋体" w:hAnsi="宋体" w:eastAsia="宋体" w:cs="宋体"/>
                <w:bCs/>
                <w:color w:val="auto"/>
                <w:sz w:val="24"/>
                <w:highlight w:val="none"/>
                <w:lang w:val="en-US" w:eastAsia="zh-CN"/>
              </w:rPr>
              <w:t>（承诺以上人员为本单位员工，格式自拟</w:t>
            </w:r>
            <w:r>
              <w:rPr>
                <w:rFonts w:hint="eastAsia" w:ascii="宋体" w:hAnsi="宋体" w:cs="宋体"/>
                <w:bCs/>
                <w:color w:val="auto"/>
                <w:sz w:val="24"/>
                <w:highlight w:val="none"/>
                <w:lang w:val="en-US" w:eastAsia="zh-CN"/>
              </w:rPr>
              <w:t>）</w:t>
            </w:r>
            <w:r>
              <w:rPr>
                <w:rFonts w:hint="eastAsia" w:ascii="宋体" w:hAnsi="宋体" w:cs="宋体"/>
                <w:color w:val="auto"/>
                <w:sz w:val="24"/>
                <w:highlight w:val="none"/>
              </w:rPr>
              <w:t>并加盖供应商公章，否则不得分。</w:t>
            </w:r>
          </w:p>
        </w:tc>
        <w:tc>
          <w:tcPr>
            <w:tcW w:w="810" w:type="dxa"/>
            <w:tcBorders>
              <w:top w:val="single" w:color="auto" w:sz="4" w:space="0"/>
              <w:left w:val="single" w:color="auto" w:sz="4" w:space="0"/>
              <w:bottom w:val="single" w:color="auto" w:sz="4" w:space="0"/>
              <w:right w:val="single" w:color="auto" w:sz="4" w:space="0"/>
            </w:tcBorders>
            <w:vAlign w:val="center"/>
          </w:tcPr>
          <w:p w14:paraId="7EFE5868">
            <w:pPr>
              <w:spacing w:line="360" w:lineRule="auto"/>
              <w:jc w:val="center"/>
              <w:rPr>
                <w:rFonts w:ascii="宋体" w:hAnsi="宋体" w:cs="宋体"/>
                <w:color w:val="auto"/>
                <w:sz w:val="24"/>
                <w:highlight w:val="none"/>
              </w:rPr>
            </w:pPr>
            <w:r>
              <w:rPr>
                <w:rFonts w:hint="eastAsia" w:ascii="宋体" w:hAnsi="宋体" w:cs="宋体"/>
                <w:color w:val="auto"/>
                <w:sz w:val="24"/>
                <w:highlight w:val="none"/>
              </w:rPr>
              <w:t>5</w:t>
            </w:r>
          </w:p>
        </w:tc>
      </w:tr>
      <w:tr w14:paraId="33B6ACE9">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04" w:hRule="atLeast"/>
        </w:trPr>
        <w:tc>
          <w:tcPr>
            <w:tcW w:w="838" w:type="dxa"/>
            <w:tcBorders>
              <w:top w:val="single" w:color="auto" w:sz="4" w:space="0"/>
              <w:left w:val="single" w:color="auto" w:sz="4" w:space="0"/>
              <w:bottom w:val="single" w:color="auto" w:sz="4" w:space="0"/>
              <w:right w:val="single" w:color="auto" w:sz="4" w:space="0"/>
            </w:tcBorders>
            <w:vAlign w:val="center"/>
          </w:tcPr>
          <w:p w14:paraId="4DC22ADC">
            <w:pPr>
              <w:spacing w:line="360" w:lineRule="auto"/>
              <w:jc w:val="center"/>
              <w:rPr>
                <w:rFonts w:ascii="宋体" w:hAnsi="宋体" w:cs="宋体"/>
                <w:sz w:val="24"/>
                <w:highlight w:val="none"/>
              </w:rPr>
            </w:pPr>
            <w:r>
              <w:rPr>
                <w:rFonts w:hint="eastAsia" w:ascii="宋体" w:hAnsi="宋体" w:cs="宋体"/>
                <w:sz w:val="24"/>
                <w:highlight w:val="none"/>
              </w:rPr>
              <w:t>13</w:t>
            </w:r>
          </w:p>
        </w:tc>
        <w:tc>
          <w:tcPr>
            <w:tcW w:w="462" w:type="dxa"/>
            <w:vMerge w:val="continue"/>
            <w:tcBorders>
              <w:left w:val="single" w:color="auto" w:sz="4" w:space="0"/>
              <w:right w:val="single" w:color="auto" w:sz="4" w:space="0"/>
            </w:tcBorders>
            <w:vAlign w:val="center"/>
          </w:tcPr>
          <w:p w14:paraId="674500A4">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4ACF1BFD">
            <w:pPr>
              <w:spacing w:line="360" w:lineRule="auto"/>
              <w:jc w:val="center"/>
              <w:rPr>
                <w:rFonts w:ascii="宋体" w:hAnsi="宋体" w:cs="宋体"/>
                <w:sz w:val="24"/>
                <w:highlight w:val="none"/>
              </w:rPr>
            </w:pPr>
            <w:r>
              <w:rPr>
                <w:rFonts w:hint="eastAsia" w:ascii="宋体" w:hAnsi="宋体" w:cs="宋体"/>
                <w:sz w:val="24"/>
                <w:highlight w:val="none"/>
              </w:rPr>
              <w:t>布置情况</w:t>
            </w:r>
          </w:p>
        </w:tc>
        <w:tc>
          <w:tcPr>
            <w:tcW w:w="6411" w:type="dxa"/>
            <w:tcBorders>
              <w:top w:val="single" w:color="auto" w:sz="4" w:space="0"/>
              <w:left w:val="single" w:color="auto" w:sz="4" w:space="0"/>
              <w:bottom w:val="single" w:color="auto" w:sz="4" w:space="0"/>
              <w:right w:val="single" w:color="auto" w:sz="4" w:space="0"/>
            </w:tcBorders>
            <w:vAlign w:val="center"/>
          </w:tcPr>
          <w:p w14:paraId="035AB3E4">
            <w:pPr>
              <w:spacing w:line="360" w:lineRule="auto"/>
              <w:rPr>
                <w:rFonts w:ascii="宋体" w:hAnsi="宋体" w:cs="宋体"/>
                <w:color w:val="auto"/>
                <w:sz w:val="24"/>
                <w:highlight w:val="none"/>
              </w:rPr>
            </w:pPr>
            <w:r>
              <w:rPr>
                <w:rFonts w:hint="eastAsia" w:ascii="宋体" w:hAnsi="宋体" w:cs="宋体"/>
                <w:color w:val="auto"/>
                <w:sz w:val="24"/>
                <w:highlight w:val="none"/>
              </w:rPr>
              <w:t>根据磋商响应方提供的材料堆场、施工通道的安排计划是否符合施工现场实际情况，安排是否科学、合理进行打分。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BE45F46">
            <w:pPr>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r>
      <w:tr w14:paraId="2AE864E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439" w:hRule="atLeast"/>
        </w:trPr>
        <w:tc>
          <w:tcPr>
            <w:tcW w:w="838" w:type="dxa"/>
            <w:tcBorders>
              <w:top w:val="single" w:color="auto" w:sz="4" w:space="0"/>
              <w:left w:val="single" w:color="auto" w:sz="4" w:space="0"/>
              <w:bottom w:val="single" w:color="auto" w:sz="4" w:space="0"/>
              <w:right w:val="single" w:color="auto" w:sz="4" w:space="0"/>
            </w:tcBorders>
            <w:vAlign w:val="center"/>
          </w:tcPr>
          <w:p w14:paraId="251EDE71">
            <w:pPr>
              <w:spacing w:line="360" w:lineRule="auto"/>
              <w:jc w:val="center"/>
              <w:rPr>
                <w:rFonts w:ascii="宋体" w:hAnsi="宋体" w:cs="宋体"/>
                <w:sz w:val="24"/>
                <w:highlight w:val="none"/>
              </w:rPr>
            </w:pPr>
            <w:r>
              <w:rPr>
                <w:rFonts w:hint="eastAsia" w:ascii="宋体" w:hAnsi="宋体" w:cs="宋体"/>
                <w:sz w:val="24"/>
                <w:highlight w:val="none"/>
              </w:rPr>
              <w:t>14</w:t>
            </w:r>
          </w:p>
        </w:tc>
        <w:tc>
          <w:tcPr>
            <w:tcW w:w="462" w:type="dxa"/>
            <w:vMerge w:val="continue"/>
            <w:tcBorders>
              <w:left w:val="single" w:color="auto" w:sz="4" w:space="0"/>
              <w:right w:val="single" w:color="auto" w:sz="4" w:space="0"/>
            </w:tcBorders>
            <w:vAlign w:val="center"/>
          </w:tcPr>
          <w:p w14:paraId="11057227">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77130F42">
            <w:pPr>
              <w:spacing w:line="360" w:lineRule="auto"/>
              <w:jc w:val="center"/>
              <w:rPr>
                <w:rFonts w:ascii="宋体" w:hAnsi="宋体" w:cs="宋体"/>
                <w:sz w:val="24"/>
                <w:highlight w:val="none"/>
              </w:rPr>
            </w:pPr>
            <w:r>
              <w:rPr>
                <w:rFonts w:hint="eastAsia" w:ascii="宋体" w:hAnsi="宋体" w:cs="宋体"/>
                <w:sz w:val="24"/>
                <w:highlight w:val="none"/>
              </w:rPr>
              <w:t>关键工序、复杂环节的相应技术措施</w:t>
            </w:r>
          </w:p>
        </w:tc>
        <w:tc>
          <w:tcPr>
            <w:tcW w:w="6411" w:type="dxa"/>
            <w:tcBorders>
              <w:top w:val="single" w:color="auto" w:sz="4" w:space="0"/>
              <w:left w:val="single" w:color="auto" w:sz="4" w:space="0"/>
              <w:bottom w:val="single" w:color="auto" w:sz="4" w:space="0"/>
              <w:right w:val="single" w:color="auto" w:sz="4" w:space="0"/>
            </w:tcBorders>
            <w:vAlign w:val="center"/>
          </w:tcPr>
          <w:p w14:paraId="0CF84151">
            <w:pPr>
              <w:spacing w:line="360" w:lineRule="auto"/>
              <w:rPr>
                <w:rFonts w:ascii="宋体" w:hAnsi="宋体" w:cs="宋体"/>
                <w:color w:val="auto"/>
                <w:sz w:val="24"/>
                <w:highlight w:val="none"/>
              </w:rPr>
            </w:pPr>
            <w:r>
              <w:rPr>
                <w:rFonts w:hint="eastAsia" w:ascii="宋体" w:hAnsi="宋体" w:cs="宋体"/>
                <w:color w:val="auto"/>
                <w:sz w:val="24"/>
                <w:highlight w:val="none"/>
              </w:rPr>
              <w:t>关键工序（0-2分）、复杂环节（0-2分）的相应技术措施内容，根据其是否科学合理，针对性强进行打分。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E18D871">
            <w:pPr>
              <w:spacing w:line="360" w:lineRule="auto"/>
              <w:jc w:val="center"/>
              <w:rPr>
                <w:rFonts w:ascii="宋体" w:hAnsi="宋体" w:cs="宋体"/>
                <w:color w:val="auto"/>
                <w:sz w:val="24"/>
                <w:highlight w:val="none"/>
              </w:rPr>
            </w:pPr>
            <w:r>
              <w:rPr>
                <w:rFonts w:hint="eastAsia" w:ascii="宋体" w:hAnsi="宋体" w:cs="宋体"/>
                <w:color w:val="auto"/>
                <w:sz w:val="24"/>
                <w:highlight w:val="none"/>
              </w:rPr>
              <w:t>4</w:t>
            </w:r>
          </w:p>
        </w:tc>
      </w:tr>
      <w:tr w14:paraId="443A5E6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590" w:hRule="atLeast"/>
        </w:trPr>
        <w:tc>
          <w:tcPr>
            <w:tcW w:w="838" w:type="dxa"/>
            <w:tcBorders>
              <w:top w:val="single" w:color="auto" w:sz="4" w:space="0"/>
              <w:left w:val="single" w:color="auto" w:sz="4" w:space="0"/>
              <w:bottom w:val="single" w:color="auto" w:sz="4" w:space="0"/>
              <w:right w:val="single" w:color="auto" w:sz="4" w:space="0"/>
            </w:tcBorders>
            <w:vAlign w:val="center"/>
          </w:tcPr>
          <w:p w14:paraId="0D7D10E1">
            <w:pPr>
              <w:spacing w:line="360" w:lineRule="auto"/>
              <w:jc w:val="center"/>
              <w:rPr>
                <w:rFonts w:ascii="宋体" w:hAnsi="宋体" w:cs="宋体"/>
                <w:sz w:val="24"/>
                <w:highlight w:val="none"/>
              </w:rPr>
            </w:pPr>
            <w:r>
              <w:rPr>
                <w:rFonts w:hint="eastAsia" w:ascii="宋体" w:hAnsi="宋体" w:cs="宋体"/>
                <w:sz w:val="24"/>
                <w:highlight w:val="none"/>
              </w:rPr>
              <w:t>15</w:t>
            </w:r>
          </w:p>
        </w:tc>
        <w:tc>
          <w:tcPr>
            <w:tcW w:w="462" w:type="dxa"/>
            <w:vMerge w:val="continue"/>
            <w:tcBorders>
              <w:left w:val="single" w:color="auto" w:sz="4" w:space="0"/>
              <w:right w:val="single" w:color="auto" w:sz="4" w:space="0"/>
            </w:tcBorders>
            <w:vAlign w:val="center"/>
          </w:tcPr>
          <w:p w14:paraId="188B3746">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17F0ACC8">
            <w:pPr>
              <w:spacing w:line="360" w:lineRule="auto"/>
              <w:jc w:val="center"/>
              <w:rPr>
                <w:rFonts w:ascii="宋体" w:hAnsi="宋体" w:cs="宋体"/>
                <w:sz w:val="24"/>
                <w:highlight w:val="none"/>
              </w:rPr>
            </w:pPr>
            <w:r>
              <w:rPr>
                <w:rFonts w:hint="eastAsia" w:ascii="宋体" w:hAnsi="宋体" w:cs="宋体"/>
                <w:sz w:val="24"/>
                <w:highlight w:val="none"/>
              </w:rPr>
              <w:t>施工重点</w:t>
            </w:r>
          </w:p>
          <w:p w14:paraId="33D419DB">
            <w:pPr>
              <w:spacing w:line="360" w:lineRule="auto"/>
              <w:jc w:val="center"/>
              <w:rPr>
                <w:rFonts w:ascii="宋体" w:hAnsi="宋体" w:cs="宋体"/>
                <w:sz w:val="24"/>
                <w:highlight w:val="none"/>
              </w:rPr>
            </w:pPr>
            <w:r>
              <w:rPr>
                <w:rFonts w:hint="eastAsia" w:ascii="宋体" w:hAnsi="宋体" w:cs="宋体"/>
                <w:sz w:val="24"/>
                <w:highlight w:val="none"/>
              </w:rPr>
              <w:t>难点分析</w:t>
            </w:r>
          </w:p>
        </w:tc>
        <w:tc>
          <w:tcPr>
            <w:tcW w:w="6411" w:type="dxa"/>
            <w:tcBorders>
              <w:top w:val="single" w:color="auto" w:sz="4" w:space="0"/>
              <w:left w:val="single" w:color="auto" w:sz="4" w:space="0"/>
              <w:bottom w:val="single" w:color="auto" w:sz="4" w:space="0"/>
              <w:right w:val="single" w:color="auto" w:sz="4" w:space="0"/>
            </w:tcBorders>
            <w:vAlign w:val="center"/>
          </w:tcPr>
          <w:p w14:paraId="16D9524B">
            <w:pPr>
              <w:spacing w:line="360" w:lineRule="auto"/>
              <w:rPr>
                <w:rFonts w:ascii="宋体" w:hAnsi="宋体" w:cs="宋体"/>
                <w:sz w:val="24"/>
                <w:highlight w:val="none"/>
              </w:rPr>
            </w:pPr>
            <w:r>
              <w:rPr>
                <w:rFonts w:hint="eastAsia" w:ascii="宋体" w:hAnsi="宋体" w:cs="宋体"/>
                <w:sz w:val="24"/>
                <w:highlight w:val="none"/>
              </w:rPr>
              <w:t>针对本项目施工重点、难点分析（0-2分），以及提出的重点、难点的相应解决方案（0-2分），根据其分析的全面性，解决方案的针对性，进行打分。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27149A70">
            <w:pPr>
              <w:spacing w:line="360" w:lineRule="auto"/>
              <w:jc w:val="center"/>
              <w:rPr>
                <w:rFonts w:ascii="宋体" w:hAnsi="宋体" w:cs="宋体"/>
                <w:sz w:val="24"/>
                <w:highlight w:val="none"/>
              </w:rPr>
            </w:pPr>
            <w:r>
              <w:rPr>
                <w:rFonts w:hint="eastAsia" w:ascii="宋体" w:hAnsi="宋体" w:cs="宋体"/>
                <w:sz w:val="24"/>
                <w:highlight w:val="none"/>
              </w:rPr>
              <w:t>4</w:t>
            </w:r>
          </w:p>
        </w:tc>
      </w:tr>
      <w:tr w14:paraId="15F61AC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121" w:hRule="atLeast"/>
        </w:trPr>
        <w:tc>
          <w:tcPr>
            <w:tcW w:w="838" w:type="dxa"/>
            <w:tcBorders>
              <w:top w:val="single" w:color="auto" w:sz="4" w:space="0"/>
              <w:left w:val="single" w:color="auto" w:sz="4" w:space="0"/>
              <w:bottom w:val="single" w:color="auto" w:sz="4" w:space="0"/>
              <w:right w:val="single" w:color="auto" w:sz="4" w:space="0"/>
            </w:tcBorders>
            <w:vAlign w:val="center"/>
          </w:tcPr>
          <w:p w14:paraId="0D64B122">
            <w:pPr>
              <w:spacing w:line="360" w:lineRule="auto"/>
              <w:jc w:val="center"/>
              <w:rPr>
                <w:rFonts w:ascii="宋体" w:hAnsi="宋体" w:cs="宋体"/>
                <w:sz w:val="24"/>
                <w:highlight w:val="none"/>
              </w:rPr>
            </w:pPr>
            <w:r>
              <w:rPr>
                <w:rFonts w:hint="eastAsia" w:ascii="宋体" w:hAnsi="宋体" w:cs="宋体"/>
                <w:sz w:val="24"/>
                <w:highlight w:val="none"/>
              </w:rPr>
              <w:t>16</w:t>
            </w:r>
          </w:p>
        </w:tc>
        <w:tc>
          <w:tcPr>
            <w:tcW w:w="462" w:type="dxa"/>
            <w:vMerge w:val="continue"/>
            <w:tcBorders>
              <w:left w:val="single" w:color="auto" w:sz="4" w:space="0"/>
              <w:right w:val="single" w:color="auto" w:sz="4" w:space="0"/>
            </w:tcBorders>
            <w:vAlign w:val="center"/>
          </w:tcPr>
          <w:p w14:paraId="542440BE">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542EDD6C">
            <w:pPr>
              <w:spacing w:line="360" w:lineRule="auto"/>
              <w:jc w:val="center"/>
              <w:rPr>
                <w:rFonts w:ascii="宋体" w:hAnsi="宋体" w:cs="宋体"/>
                <w:sz w:val="24"/>
                <w:highlight w:val="none"/>
              </w:rPr>
            </w:pPr>
            <w:r>
              <w:rPr>
                <w:rFonts w:hint="eastAsia" w:ascii="宋体" w:hAnsi="宋体" w:cs="宋体"/>
                <w:sz w:val="24"/>
                <w:highlight w:val="none"/>
              </w:rPr>
              <w:t>成品保护的保证措施</w:t>
            </w:r>
          </w:p>
        </w:tc>
        <w:tc>
          <w:tcPr>
            <w:tcW w:w="6411" w:type="dxa"/>
            <w:tcBorders>
              <w:top w:val="single" w:color="auto" w:sz="4" w:space="0"/>
              <w:left w:val="single" w:color="auto" w:sz="4" w:space="0"/>
              <w:bottom w:val="single" w:color="auto" w:sz="4" w:space="0"/>
              <w:right w:val="single" w:color="auto" w:sz="4" w:space="0"/>
            </w:tcBorders>
            <w:vAlign w:val="center"/>
          </w:tcPr>
          <w:p w14:paraId="241ECBBB">
            <w:pPr>
              <w:spacing w:line="360" w:lineRule="auto"/>
              <w:rPr>
                <w:rFonts w:ascii="宋体" w:hAnsi="宋体" w:cs="宋体"/>
                <w:sz w:val="24"/>
                <w:highlight w:val="none"/>
              </w:rPr>
            </w:pPr>
            <w:r>
              <w:rPr>
                <w:rFonts w:hint="eastAsia" w:ascii="宋体" w:hAnsi="宋体" w:cs="宋体"/>
                <w:sz w:val="24"/>
                <w:highlight w:val="none"/>
              </w:rPr>
              <w:t>磋商响应方对成品保护的保证措施，是否合理、科学，具有可操作性，进行打分。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3784DB59">
            <w:pPr>
              <w:spacing w:line="360" w:lineRule="auto"/>
              <w:jc w:val="center"/>
              <w:rPr>
                <w:rFonts w:ascii="宋体" w:hAnsi="宋体" w:cs="宋体"/>
                <w:sz w:val="24"/>
                <w:highlight w:val="none"/>
              </w:rPr>
            </w:pPr>
            <w:r>
              <w:rPr>
                <w:rFonts w:hint="eastAsia" w:ascii="宋体" w:hAnsi="宋体" w:cs="宋体"/>
                <w:sz w:val="24"/>
                <w:highlight w:val="none"/>
              </w:rPr>
              <w:t>3</w:t>
            </w:r>
          </w:p>
        </w:tc>
      </w:tr>
      <w:tr w14:paraId="3ADA281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614" w:hRule="atLeast"/>
        </w:trPr>
        <w:tc>
          <w:tcPr>
            <w:tcW w:w="838" w:type="dxa"/>
            <w:tcBorders>
              <w:top w:val="single" w:color="auto" w:sz="4" w:space="0"/>
              <w:left w:val="single" w:color="auto" w:sz="4" w:space="0"/>
              <w:bottom w:val="single" w:color="auto" w:sz="4" w:space="0"/>
              <w:right w:val="single" w:color="auto" w:sz="4" w:space="0"/>
            </w:tcBorders>
            <w:vAlign w:val="center"/>
          </w:tcPr>
          <w:p w14:paraId="4BE963BE">
            <w:pPr>
              <w:spacing w:line="360" w:lineRule="auto"/>
              <w:jc w:val="center"/>
              <w:rPr>
                <w:rFonts w:ascii="宋体" w:hAnsi="宋体" w:cs="宋体"/>
                <w:sz w:val="24"/>
                <w:highlight w:val="none"/>
              </w:rPr>
            </w:pPr>
            <w:r>
              <w:rPr>
                <w:rFonts w:hint="eastAsia" w:ascii="宋体" w:hAnsi="宋体" w:cs="宋体"/>
                <w:sz w:val="24"/>
                <w:highlight w:val="none"/>
              </w:rPr>
              <w:t>17</w:t>
            </w:r>
          </w:p>
        </w:tc>
        <w:tc>
          <w:tcPr>
            <w:tcW w:w="462" w:type="dxa"/>
            <w:vMerge w:val="continue"/>
            <w:tcBorders>
              <w:left w:val="single" w:color="auto" w:sz="4" w:space="0"/>
              <w:bottom w:val="single" w:color="auto" w:sz="4" w:space="0"/>
              <w:right w:val="single" w:color="auto" w:sz="4" w:space="0"/>
            </w:tcBorders>
            <w:vAlign w:val="center"/>
          </w:tcPr>
          <w:p w14:paraId="61D9F505">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5D12306B">
            <w:pPr>
              <w:spacing w:line="360" w:lineRule="auto"/>
              <w:jc w:val="center"/>
              <w:rPr>
                <w:rFonts w:ascii="宋体" w:hAnsi="宋体" w:cs="宋体"/>
                <w:sz w:val="24"/>
                <w:highlight w:val="none"/>
              </w:rPr>
            </w:pPr>
            <w:r>
              <w:rPr>
                <w:rFonts w:hint="eastAsia" w:ascii="宋体" w:hAnsi="宋体" w:cs="宋体"/>
                <w:sz w:val="24"/>
                <w:highlight w:val="none"/>
              </w:rPr>
              <w:t>管理协调</w:t>
            </w:r>
          </w:p>
        </w:tc>
        <w:tc>
          <w:tcPr>
            <w:tcW w:w="6411" w:type="dxa"/>
            <w:tcBorders>
              <w:top w:val="single" w:color="auto" w:sz="4" w:space="0"/>
              <w:left w:val="single" w:color="auto" w:sz="4" w:space="0"/>
              <w:bottom w:val="single" w:color="auto" w:sz="4" w:space="0"/>
              <w:right w:val="single" w:color="auto" w:sz="4" w:space="0"/>
            </w:tcBorders>
            <w:vAlign w:val="center"/>
          </w:tcPr>
          <w:p w14:paraId="63CAE1B1">
            <w:pPr>
              <w:spacing w:line="360" w:lineRule="auto"/>
              <w:rPr>
                <w:rFonts w:ascii="宋体" w:hAnsi="宋体" w:cs="宋体"/>
                <w:sz w:val="24"/>
                <w:highlight w:val="none"/>
              </w:rPr>
            </w:pPr>
            <w:r>
              <w:rPr>
                <w:rFonts w:hint="eastAsia" w:ascii="宋体" w:hAnsi="宋体" w:cs="宋体"/>
                <w:sz w:val="24"/>
                <w:highlight w:val="none"/>
              </w:rPr>
              <w:t>与其他部门或人员的管理和协调具体措施进行打分。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0A64AC9C">
            <w:pPr>
              <w:spacing w:line="360" w:lineRule="auto"/>
              <w:jc w:val="center"/>
              <w:rPr>
                <w:rFonts w:ascii="宋体" w:hAnsi="宋体" w:cs="宋体"/>
                <w:sz w:val="24"/>
                <w:highlight w:val="none"/>
              </w:rPr>
            </w:pPr>
            <w:r>
              <w:rPr>
                <w:rFonts w:hint="eastAsia" w:ascii="宋体" w:hAnsi="宋体" w:cs="宋体"/>
                <w:sz w:val="24"/>
                <w:highlight w:val="none"/>
              </w:rPr>
              <w:t>3</w:t>
            </w:r>
          </w:p>
        </w:tc>
      </w:tr>
      <w:tr w14:paraId="09930AA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1" w:hRule="atLeast"/>
        </w:trPr>
        <w:tc>
          <w:tcPr>
            <w:tcW w:w="838" w:type="dxa"/>
            <w:tcBorders>
              <w:top w:val="single" w:color="auto" w:sz="4" w:space="0"/>
              <w:left w:val="single" w:color="auto" w:sz="4" w:space="0"/>
              <w:bottom w:val="single" w:color="auto" w:sz="4" w:space="0"/>
              <w:right w:val="single" w:color="auto" w:sz="4" w:space="0"/>
            </w:tcBorders>
            <w:vAlign w:val="center"/>
          </w:tcPr>
          <w:p w14:paraId="35AB23DE">
            <w:pPr>
              <w:spacing w:line="360" w:lineRule="auto"/>
              <w:rPr>
                <w:rFonts w:ascii="宋体" w:hAnsi="宋体" w:cs="宋体"/>
                <w:sz w:val="24"/>
                <w:highlight w:val="none"/>
              </w:rPr>
            </w:pPr>
            <w:r>
              <w:rPr>
                <w:rFonts w:hint="eastAsia" w:ascii="宋体" w:hAnsi="宋体" w:cs="宋体"/>
                <w:sz w:val="24"/>
                <w:highlight w:val="none"/>
              </w:rPr>
              <w:t>二</w:t>
            </w:r>
          </w:p>
        </w:tc>
        <w:tc>
          <w:tcPr>
            <w:tcW w:w="8510" w:type="dxa"/>
            <w:gridSpan w:val="3"/>
            <w:tcBorders>
              <w:left w:val="single" w:color="auto" w:sz="4" w:space="0"/>
              <w:right w:val="single" w:color="auto" w:sz="4" w:space="0"/>
            </w:tcBorders>
            <w:vAlign w:val="center"/>
          </w:tcPr>
          <w:p w14:paraId="1C87F2D7">
            <w:pPr>
              <w:spacing w:line="360" w:lineRule="auto"/>
              <w:jc w:val="center"/>
              <w:rPr>
                <w:rFonts w:ascii="宋体" w:hAnsi="宋体" w:cs="宋体"/>
                <w:sz w:val="24"/>
                <w:highlight w:val="none"/>
              </w:rPr>
            </w:pPr>
            <w:r>
              <w:rPr>
                <w:rFonts w:hint="eastAsia" w:ascii="宋体" w:hAnsi="宋体" w:cs="宋体"/>
                <w:sz w:val="24"/>
                <w:highlight w:val="none"/>
              </w:rPr>
              <w:t>商务、资信及其他分</w:t>
            </w:r>
          </w:p>
        </w:tc>
        <w:tc>
          <w:tcPr>
            <w:tcW w:w="810" w:type="dxa"/>
            <w:tcBorders>
              <w:top w:val="single" w:color="auto" w:sz="4" w:space="0"/>
              <w:left w:val="single" w:color="auto" w:sz="4" w:space="0"/>
              <w:bottom w:val="single" w:color="auto" w:sz="4" w:space="0"/>
              <w:right w:val="single" w:color="auto" w:sz="4" w:space="0"/>
            </w:tcBorders>
            <w:vAlign w:val="center"/>
          </w:tcPr>
          <w:p w14:paraId="04AF0526">
            <w:pPr>
              <w:spacing w:line="360" w:lineRule="auto"/>
              <w:jc w:val="center"/>
              <w:rPr>
                <w:rFonts w:ascii="宋体" w:hAnsi="宋体" w:cs="宋体"/>
                <w:sz w:val="24"/>
                <w:highlight w:val="none"/>
              </w:rPr>
            </w:pPr>
            <w:r>
              <w:rPr>
                <w:rFonts w:hint="eastAsia" w:ascii="宋体" w:hAnsi="宋体" w:cs="宋体"/>
                <w:sz w:val="24"/>
                <w:highlight w:val="none"/>
              </w:rPr>
              <w:t>12分</w:t>
            </w:r>
          </w:p>
        </w:tc>
      </w:tr>
      <w:tr w14:paraId="20EF887A">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489" w:hRule="atLeast"/>
        </w:trPr>
        <w:tc>
          <w:tcPr>
            <w:tcW w:w="838" w:type="dxa"/>
            <w:tcBorders>
              <w:top w:val="single" w:color="auto" w:sz="4" w:space="0"/>
              <w:left w:val="single" w:color="auto" w:sz="4" w:space="0"/>
              <w:bottom w:val="single" w:color="auto" w:sz="4" w:space="0"/>
              <w:right w:val="single" w:color="auto" w:sz="4" w:space="0"/>
            </w:tcBorders>
            <w:vAlign w:val="center"/>
          </w:tcPr>
          <w:p w14:paraId="371138E0">
            <w:pPr>
              <w:spacing w:line="360" w:lineRule="auto"/>
              <w:jc w:val="center"/>
              <w:rPr>
                <w:rFonts w:ascii="宋体" w:hAnsi="宋体" w:cs="宋体"/>
                <w:sz w:val="24"/>
                <w:highlight w:val="none"/>
              </w:rPr>
            </w:pPr>
            <w:r>
              <w:rPr>
                <w:rFonts w:hint="eastAsia" w:ascii="宋体" w:hAnsi="宋体" w:cs="宋体"/>
                <w:sz w:val="24"/>
                <w:highlight w:val="none"/>
              </w:rPr>
              <w:t>18</w:t>
            </w:r>
          </w:p>
        </w:tc>
        <w:tc>
          <w:tcPr>
            <w:tcW w:w="462" w:type="dxa"/>
            <w:vMerge w:val="restart"/>
            <w:tcBorders>
              <w:top w:val="single" w:color="auto" w:sz="4" w:space="0"/>
              <w:left w:val="single" w:color="auto" w:sz="4" w:space="0"/>
              <w:right w:val="single" w:color="auto" w:sz="4" w:space="0"/>
            </w:tcBorders>
            <w:vAlign w:val="center"/>
          </w:tcPr>
          <w:p w14:paraId="11A48694">
            <w:pPr>
              <w:spacing w:line="360" w:lineRule="auto"/>
              <w:rPr>
                <w:rFonts w:ascii="宋体" w:hAnsi="宋体" w:cs="宋体"/>
                <w:sz w:val="24"/>
                <w:highlight w:val="none"/>
              </w:rPr>
            </w:pPr>
            <w:r>
              <w:rPr>
                <w:rFonts w:hint="eastAsia" w:ascii="宋体" w:hAnsi="宋体" w:cs="宋体"/>
                <w:sz w:val="24"/>
                <w:highlight w:val="none"/>
              </w:rPr>
              <w:t>履约及售后服务能力</w:t>
            </w:r>
          </w:p>
        </w:tc>
        <w:tc>
          <w:tcPr>
            <w:tcW w:w="1637" w:type="dxa"/>
            <w:tcBorders>
              <w:top w:val="single" w:color="auto" w:sz="4" w:space="0"/>
              <w:left w:val="single" w:color="auto" w:sz="4" w:space="0"/>
              <w:bottom w:val="single" w:color="auto" w:sz="4" w:space="0"/>
              <w:right w:val="single" w:color="auto" w:sz="4" w:space="0"/>
            </w:tcBorders>
            <w:vAlign w:val="center"/>
          </w:tcPr>
          <w:p w14:paraId="11D3E45E">
            <w:pPr>
              <w:spacing w:line="360" w:lineRule="auto"/>
              <w:jc w:val="center"/>
              <w:rPr>
                <w:rFonts w:ascii="宋体" w:hAnsi="宋体" w:cs="宋体"/>
                <w:sz w:val="24"/>
                <w:highlight w:val="none"/>
              </w:rPr>
            </w:pPr>
            <w:r>
              <w:rPr>
                <w:rFonts w:hint="eastAsia" w:ascii="宋体" w:hAnsi="宋体" w:cs="宋体"/>
                <w:sz w:val="24"/>
                <w:highlight w:val="none"/>
              </w:rPr>
              <w:t>认证证书</w:t>
            </w:r>
          </w:p>
        </w:tc>
        <w:tc>
          <w:tcPr>
            <w:tcW w:w="6411" w:type="dxa"/>
            <w:tcBorders>
              <w:top w:val="single" w:color="auto" w:sz="4" w:space="0"/>
              <w:left w:val="single" w:color="auto" w:sz="4" w:space="0"/>
              <w:bottom w:val="single" w:color="auto" w:sz="4" w:space="0"/>
              <w:right w:val="single" w:color="auto" w:sz="4" w:space="0"/>
            </w:tcBorders>
            <w:vAlign w:val="center"/>
          </w:tcPr>
          <w:p w14:paraId="46263E15">
            <w:pPr>
              <w:spacing w:line="360" w:lineRule="auto"/>
              <w:rPr>
                <w:rFonts w:hint="eastAsia" w:ascii="宋体" w:hAnsi="宋体" w:cs="宋体"/>
                <w:sz w:val="24"/>
                <w:highlight w:val="none"/>
              </w:rPr>
            </w:pPr>
            <w:r>
              <w:rPr>
                <w:rFonts w:hint="eastAsia" w:ascii="宋体" w:hAnsi="宋体" w:cs="宋体"/>
                <w:sz w:val="24"/>
                <w:highlight w:val="none"/>
              </w:rPr>
              <w:t>磋商响应方具有质量管理体系认证证书、环境管理体系认证证书、职业健康安全管理认证证书，且在有效期内，每个证书得1分，最多得3分，没有不得分。</w:t>
            </w:r>
          </w:p>
          <w:p w14:paraId="31591AEF">
            <w:pPr>
              <w:spacing w:line="360" w:lineRule="auto"/>
              <w:rPr>
                <w:rFonts w:ascii="宋体" w:hAnsi="宋体" w:cs="宋体"/>
                <w:sz w:val="24"/>
                <w:highlight w:val="none"/>
              </w:rPr>
            </w:pPr>
            <w:r>
              <w:rPr>
                <w:rFonts w:hint="eastAsia" w:ascii="宋体" w:hAnsi="宋体" w:eastAsia="宋体" w:cs="宋体"/>
                <w:color w:val="auto"/>
                <w:sz w:val="24"/>
                <w:szCs w:val="24"/>
                <w:highlight w:val="none"/>
              </w:rPr>
              <w:t>注：提供有效期内的认证证书和全国认证认可信息公共服务平台http://cx.cnca.cn/的查询网页截图，缺项不提供不得分。</w:t>
            </w:r>
          </w:p>
        </w:tc>
        <w:tc>
          <w:tcPr>
            <w:tcW w:w="810" w:type="dxa"/>
            <w:tcBorders>
              <w:top w:val="single" w:color="auto" w:sz="4" w:space="0"/>
              <w:left w:val="single" w:color="auto" w:sz="4" w:space="0"/>
              <w:bottom w:val="single" w:color="auto" w:sz="4" w:space="0"/>
              <w:right w:val="single" w:color="auto" w:sz="4" w:space="0"/>
            </w:tcBorders>
            <w:vAlign w:val="center"/>
          </w:tcPr>
          <w:p w14:paraId="1AEB91B1">
            <w:pPr>
              <w:spacing w:line="360" w:lineRule="auto"/>
              <w:jc w:val="center"/>
              <w:rPr>
                <w:rFonts w:ascii="宋体" w:hAnsi="宋体" w:cs="宋体"/>
                <w:sz w:val="24"/>
                <w:highlight w:val="none"/>
              </w:rPr>
            </w:pPr>
            <w:r>
              <w:rPr>
                <w:rFonts w:hint="eastAsia" w:ascii="宋体" w:hAnsi="宋体" w:cs="宋体"/>
                <w:sz w:val="24"/>
                <w:highlight w:val="none"/>
              </w:rPr>
              <w:t>3</w:t>
            </w:r>
          </w:p>
        </w:tc>
      </w:tr>
      <w:tr w14:paraId="07A89E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121" w:hRule="atLeast"/>
        </w:trPr>
        <w:tc>
          <w:tcPr>
            <w:tcW w:w="838" w:type="dxa"/>
            <w:tcBorders>
              <w:top w:val="single" w:color="auto" w:sz="4" w:space="0"/>
              <w:left w:val="single" w:color="auto" w:sz="4" w:space="0"/>
              <w:bottom w:val="single" w:color="auto" w:sz="4" w:space="0"/>
              <w:right w:val="single" w:color="auto" w:sz="4" w:space="0"/>
            </w:tcBorders>
            <w:vAlign w:val="center"/>
          </w:tcPr>
          <w:p w14:paraId="73DA7387">
            <w:pPr>
              <w:spacing w:line="360" w:lineRule="auto"/>
              <w:jc w:val="center"/>
              <w:rPr>
                <w:rFonts w:ascii="宋体" w:hAnsi="宋体" w:cs="宋体"/>
                <w:sz w:val="24"/>
                <w:highlight w:val="none"/>
              </w:rPr>
            </w:pPr>
            <w:r>
              <w:rPr>
                <w:rFonts w:hint="eastAsia" w:ascii="宋体" w:hAnsi="宋体" w:cs="宋体"/>
                <w:sz w:val="24"/>
                <w:highlight w:val="none"/>
              </w:rPr>
              <w:t>19</w:t>
            </w:r>
          </w:p>
        </w:tc>
        <w:tc>
          <w:tcPr>
            <w:tcW w:w="462" w:type="dxa"/>
            <w:vMerge w:val="continue"/>
            <w:tcBorders>
              <w:left w:val="single" w:color="auto" w:sz="4" w:space="0"/>
              <w:right w:val="single" w:color="auto" w:sz="4" w:space="0"/>
            </w:tcBorders>
            <w:vAlign w:val="center"/>
          </w:tcPr>
          <w:p w14:paraId="2F02F21D">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212BDB0E">
            <w:pPr>
              <w:spacing w:line="360" w:lineRule="auto"/>
              <w:jc w:val="center"/>
              <w:rPr>
                <w:rFonts w:ascii="宋体" w:hAnsi="宋体" w:cs="宋体"/>
                <w:sz w:val="24"/>
                <w:highlight w:val="none"/>
              </w:rPr>
            </w:pPr>
            <w:r>
              <w:rPr>
                <w:rFonts w:hint="eastAsia" w:ascii="宋体" w:hAnsi="宋体" w:cs="宋体"/>
                <w:sz w:val="24"/>
                <w:highlight w:val="none"/>
              </w:rPr>
              <w:t>同类项目</w:t>
            </w:r>
          </w:p>
          <w:p w14:paraId="042085A8">
            <w:pPr>
              <w:spacing w:line="360" w:lineRule="auto"/>
              <w:jc w:val="center"/>
              <w:rPr>
                <w:rFonts w:ascii="宋体" w:hAnsi="宋体" w:cs="宋体"/>
                <w:sz w:val="24"/>
                <w:highlight w:val="none"/>
              </w:rPr>
            </w:pPr>
            <w:r>
              <w:rPr>
                <w:rFonts w:hint="eastAsia" w:ascii="宋体" w:hAnsi="宋体" w:cs="宋体"/>
                <w:sz w:val="24"/>
                <w:highlight w:val="none"/>
              </w:rPr>
              <w:t>业绩</w:t>
            </w:r>
          </w:p>
        </w:tc>
        <w:tc>
          <w:tcPr>
            <w:tcW w:w="6411" w:type="dxa"/>
            <w:tcBorders>
              <w:top w:val="single" w:color="auto" w:sz="4" w:space="0"/>
              <w:left w:val="single" w:color="auto" w:sz="4" w:space="0"/>
              <w:bottom w:val="single" w:color="auto" w:sz="4" w:space="0"/>
              <w:right w:val="single" w:color="auto" w:sz="4" w:space="0"/>
            </w:tcBorders>
            <w:vAlign w:val="center"/>
          </w:tcPr>
          <w:p w14:paraId="337944DC">
            <w:pPr>
              <w:spacing w:line="360" w:lineRule="auto"/>
              <w:rPr>
                <w:rFonts w:ascii="宋体" w:hAnsi="宋体" w:cs="宋体"/>
                <w:sz w:val="24"/>
                <w:highlight w:val="none"/>
              </w:rPr>
            </w:pPr>
            <w:r>
              <w:rPr>
                <w:rFonts w:hint="eastAsia" w:ascii="宋体" w:hAnsi="宋体" w:cs="宋体"/>
                <w:sz w:val="24"/>
                <w:highlight w:val="none"/>
              </w:rPr>
              <w:t>磋商响应方自202</w:t>
            </w:r>
            <w:r>
              <w:rPr>
                <w:rFonts w:hint="eastAsia" w:ascii="宋体" w:hAnsi="宋体" w:cs="宋体"/>
                <w:sz w:val="24"/>
                <w:highlight w:val="none"/>
                <w:lang w:val="en-US" w:eastAsia="zh-CN"/>
              </w:rPr>
              <w:t>2</w:t>
            </w:r>
            <w:r>
              <w:rPr>
                <w:rFonts w:hint="eastAsia" w:ascii="宋体" w:hAnsi="宋体" w:cs="宋体"/>
                <w:sz w:val="24"/>
                <w:highlight w:val="none"/>
              </w:rPr>
              <w:t>年1月以来有同类项目业绩的，每个业绩得0.5分，最高得1.5分。（以提供中标通知书或合同复印件为准）</w:t>
            </w:r>
          </w:p>
        </w:tc>
        <w:tc>
          <w:tcPr>
            <w:tcW w:w="810" w:type="dxa"/>
            <w:tcBorders>
              <w:top w:val="single" w:color="auto" w:sz="4" w:space="0"/>
              <w:left w:val="single" w:color="auto" w:sz="4" w:space="0"/>
              <w:bottom w:val="single" w:color="auto" w:sz="4" w:space="0"/>
              <w:right w:val="single" w:color="auto" w:sz="4" w:space="0"/>
            </w:tcBorders>
            <w:vAlign w:val="center"/>
          </w:tcPr>
          <w:p w14:paraId="0A504D71">
            <w:pPr>
              <w:spacing w:line="360" w:lineRule="auto"/>
              <w:jc w:val="center"/>
              <w:rPr>
                <w:rFonts w:ascii="宋体" w:hAnsi="宋体" w:cs="宋体"/>
                <w:sz w:val="24"/>
                <w:highlight w:val="none"/>
              </w:rPr>
            </w:pPr>
            <w:r>
              <w:rPr>
                <w:rFonts w:hint="eastAsia" w:ascii="宋体" w:hAnsi="宋体" w:cs="宋体"/>
                <w:sz w:val="24"/>
                <w:highlight w:val="none"/>
              </w:rPr>
              <w:t>1.5</w:t>
            </w:r>
          </w:p>
        </w:tc>
      </w:tr>
      <w:tr w14:paraId="78E77F5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44" w:hRule="atLeast"/>
        </w:trPr>
        <w:tc>
          <w:tcPr>
            <w:tcW w:w="838" w:type="dxa"/>
            <w:tcBorders>
              <w:top w:val="single" w:color="auto" w:sz="4" w:space="0"/>
              <w:left w:val="single" w:color="auto" w:sz="4" w:space="0"/>
              <w:bottom w:val="single" w:color="auto" w:sz="4" w:space="0"/>
              <w:right w:val="single" w:color="auto" w:sz="4" w:space="0"/>
            </w:tcBorders>
            <w:vAlign w:val="center"/>
          </w:tcPr>
          <w:p w14:paraId="7DFD07C4">
            <w:pPr>
              <w:spacing w:line="360" w:lineRule="auto"/>
              <w:jc w:val="center"/>
              <w:rPr>
                <w:rFonts w:ascii="宋体" w:hAnsi="宋体" w:cs="宋体"/>
                <w:sz w:val="24"/>
                <w:highlight w:val="none"/>
              </w:rPr>
            </w:pPr>
            <w:r>
              <w:rPr>
                <w:rFonts w:hint="eastAsia" w:ascii="宋体" w:hAnsi="宋体" w:cs="宋体"/>
                <w:sz w:val="24"/>
                <w:highlight w:val="none"/>
              </w:rPr>
              <w:t>20</w:t>
            </w:r>
          </w:p>
        </w:tc>
        <w:tc>
          <w:tcPr>
            <w:tcW w:w="462" w:type="dxa"/>
            <w:vMerge w:val="continue"/>
            <w:tcBorders>
              <w:left w:val="single" w:color="auto" w:sz="4" w:space="0"/>
              <w:right w:val="single" w:color="auto" w:sz="4" w:space="0"/>
            </w:tcBorders>
            <w:vAlign w:val="center"/>
          </w:tcPr>
          <w:p w14:paraId="6FDD4D72">
            <w:pPr>
              <w:spacing w:line="360" w:lineRule="auto"/>
              <w:rPr>
                <w:rFonts w:ascii="宋体" w:hAnsi="宋体" w:cs="宋体"/>
                <w:sz w:val="24"/>
                <w:highlight w:val="none"/>
              </w:rPr>
            </w:pPr>
          </w:p>
        </w:tc>
        <w:tc>
          <w:tcPr>
            <w:tcW w:w="1637" w:type="dxa"/>
            <w:vMerge w:val="restart"/>
            <w:tcBorders>
              <w:top w:val="single" w:color="auto" w:sz="4" w:space="0"/>
              <w:left w:val="single" w:color="auto" w:sz="4" w:space="0"/>
              <w:bottom w:val="single" w:color="auto" w:sz="4" w:space="0"/>
              <w:right w:val="single" w:color="auto" w:sz="4" w:space="0"/>
            </w:tcBorders>
            <w:vAlign w:val="center"/>
          </w:tcPr>
          <w:p w14:paraId="68F7C715">
            <w:pPr>
              <w:spacing w:line="360" w:lineRule="auto"/>
              <w:jc w:val="center"/>
              <w:rPr>
                <w:rFonts w:ascii="宋体" w:hAnsi="宋体" w:cs="宋体"/>
                <w:sz w:val="24"/>
                <w:highlight w:val="none"/>
              </w:rPr>
            </w:pPr>
            <w:r>
              <w:rPr>
                <w:rFonts w:hint="eastAsia" w:ascii="宋体" w:hAnsi="宋体" w:cs="宋体"/>
                <w:sz w:val="24"/>
                <w:highlight w:val="none"/>
              </w:rPr>
              <w:t>售后保障</w:t>
            </w:r>
          </w:p>
        </w:tc>
        <w:tc>
          <w:tcPr>
            <w:tcW w:w="6411" w:type="dxa"/>
            <w:tcBorders>
              <w:top w:val="single" w:color="auto" w:sz="4" w:space="0"/>
              <w:left w:val="single" w:color="auto" w:sz="4" w:space="0"/>
              <w:bottom w:val="single" w:color="auto" w:sz="4" w:space="0"/>
              <w:right w:val="single" w:color="auto" w:sz="4" w:space="0"/>
            </w:tcBorders>
            <w:vAlign w:val="center"/>
          </w:tcPr>
          <w:p w14:paraId="188AFA29">
            <w:pPr>
              <w:spacing w:line="360" w:lineRule="auto"/>
              <w:rPr>
                <w:rFonts w:ascii="宋体" w:hAnsi="宋体" w:cs="宋体"/>
                <w:sz w:val="24"/>
                <w:highlight w:val="none"/>
              </w:rPr>
            </w:pPr>
            <w:r>
              <w:rPr>
                <w:rFonts w:hint="eastAsia" w:ascii="宋体" w:hAnsi="宋体" w:cs="宋体"/>
                <w:sz w:val="24"/>
                <w:highlight w:val="none"/>
              </w:rPr>
              <w:t>根据磋商响应方提供的售后服务方案、售后服务承诺的可行性、完整性进行打分。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48F4A1D5">
            <w:pPr>
              <w:spacing w:line="360" w:lineRule="auto"/>
              <w:jc w:val="center"/>
              <w:rPr>
                <w:rFonts w:ascii="宋体" w:hAnsi="宋体" w:cs="宋体"/>
                <w:sz w:val="24"/>
                <w:highlight w:val="none"/>
              </w:rPr>
            </w:pPr>
            <w:r>
              <w:rPr>
                <w:rFonts w:hint="eastAsia" w:ascii="宋体" w:hAnsi="宋体" w:cs="宋体"/>
                <w:sz w:val="24"/>
                <w:highlight w:val="none"/>
              </w:rPr>
              <w:t>3.5</w:t>
            </w:r>
          </w:p>
        </w:tc>
      </w:tr>
      <w:tr w14:paraId="4A3202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85" w:hRule="atLeast"/>
        </w:trPr>
        <w:tc>
          <w:tcPr>
            <w:tcW w:w="838" w:type="dxa"/>
            <w:tcBorders>
              <w:top w:val="single" w:color="auto" w:sz="4" w:space="0"/>
              <w:left w:val="single" w:color="auto" w:sz="4" w:space="0"/>
              <w:bottom w:val="single" w:color="auto" w:sz="4" w:space="0"/>
              <w:right w:val="single" w:color="auto" w:sz="4" w:space="0"/>
            </w:tcBorders>
            <w:vAlign w:val="center"/>
          </w:tcPr>
          <w:p w14:paraId="09BC0AA1">
            <w:pPr>
              <w:spacing w:line="360" w:lineRule="auto"/>
              <w:jc w:val="center"/>
              <w:rPr>
                <w:rFonts w:ascii="宋体" w:hAnsi="宋体" w:cs="宋体"/>
                <w:sz w:val="24"/>
                <w:highlight w:val="none"/>
              </w:rPr>
            </w:pPr>
            <w:r>
              <w:rPr>
                <w:rFonts w:hint="eastAsia" w:ascii="宋体" w:hAnsi="宋体" w:cs="宋体"/>
                <w:sz w:val="24"/>
                <w:highlight w:val="none"/>
              </w:rPr>
              <w:t>21</w:t>
            </w:r>
          </w:p>
        </w:tc>
        <w:tc>
          <w:tcPr>
            <w:tcW w:w="462" w:type="dxa"/>
            <w:vMerge w:val="continue"/>
            <w:tcBorders>
              <w:left w:val="single" w:color="auto" w:sz="4" w:space="0"/>
              <w:right w:val="single" w:color="auto" w:sz="4" w:space="0"/>
            </w:tcBorders>
            <w:vAlign w:val="center"/>
          </w:tcPr>
          <w:p w14:paraId="3AC32922">
            <w:pPr>
              <w:spacing w:line="360" w:lineRule="auto"/>
              <w:rPr>
                <w:rFonts w:ascii="宋体" w:hAnsi="宋体" w:cs="宋体"/>
                <w:sz w:val="24"/>
                <w:highlight w:val="none"/>
              </w:rPr>
            </w:pPr>
          </w:p>
        </w:tc>
        <w:tc>
          <w:tcPr>
            <w:tcW w:w="1637" w:type="dxa"/>
            <w:vMerge w:val="continue"/>
            <w:tcBorders>
              <w:top w:val="single" w:color="auto" w:sz="4" w:space="0"/>
              <w:left w:val="single" w:color="auto" w:sz="4" w:space="0"/>
              <w:bottom w:val="single" w:color="auto" w:sz="4" w:space="0"/>
              <w:right w:val="single" w:color="auto" w:sz="4" w:space="0"/>
            </w:tcBorders>
            <w:vAlign w:val="center"/>
          </w:tcPr>
          <w:p w14:paraId="35FD0925">
            <w:pPr>
              <w:spacing w:line="360" w:lineRule="auto"/>
              <w:jc w:val="center"/>
              <w:rPr>
                <w:rFonts w:ascii="宋体" w:hAnsi="宋体" w:cs="宋体"/>
                <w:sz w:val="24"/>
                <w:highlight w:val="none"/>
              </w:rPr>
            </w:pPr>
          </w:p>
        </w:tc>
        <w:tc>
          <w:tcPr>
            <w:tcW w:w="6411" w:type="dxa"/>
            <w:tcBorders>
              <w:top w:val="single" w:color="auto" w:sz="4" w:space="0"/>
              <w:left w:val="single" w:color="auto" w:sz="4" w:space="0"/>
              <w:bottom w:val="single" w:color="auto" w:sz="4" w:space="0"/>
              <w:right w:val="single" w:color="auto" w:sz="4" w:space="0"/>
            </w:tcBorders>
            <w:vAlign w:val="center"/>
          </w:tcPr>
          <w:p w14:paraId="18B61975">
            <w:pPr>
              <w:spacing w:line="360" w:lineRule="auto"/>
              <w:rPr>
                <w:rFonts w:ascii="宋体" w:hAnsi="宋体" w:cs="宋体"/>
                <w:sz w:val="24"/>
                <w:highlight w:val="none"/>
              </w:rPr>
            </w:pPr>
            <w:r>
              <w:rPr>
                <w:rFonts w:hint="eastAsia" w:ascii="宋体" w:hAnsi="宋体" w:cs="宋体"/>
                <w:sz w:val="24"/>
                <w:highlight w:val="none"/>
              </w:rPr>
              <w:t>根据磋商响应方提供售后服务的便捷性、售后服务响应时间的及时性进行打分。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5B808D92">
            <w:pPr>
              <w:spacing w:line="360" w:lineRule="auto"/>
              <w:jc w:val="center"/>
              <w:rPr>
                <w:rFonts w:ascii="宋体" w:hAnsi="宋体" w:cs="宋体"/>
                <w:sz w:val="24"/>
                <w:highlight w:val="none"/>
              </w:rPr>
            </w:pPr>
            <w:r>
              <w:rPr>
                <w:rFonts w:hint="eastAsia" w:ascii="宋体" w:hAnsi="宋体" w:cs="宋体"/>
                <w:sz w:val="24"/>
                <w:highlight w:val="none"/>
              </w:rPr>
              <w:t>2</w:t>
            </w:r>
          </w:p>
        </w:tc>
      </w:tr>
      <w:tr w14:paraId="2DEFBD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1032" w:hRule="atLeast"/>
        </w:trPr>
        <w:tc>
          <w:tcPr>
            <w:tcW w:w="838" w:type="dxa"/>
            <w:tcBorders>
              <w:top w:val="single" w:color="auto" w:sz="4" w:space="0"/>
              <w:left w:val="single" w:color="auto" w:sz="4" w:space="0"/>
              <w:bottom w:val="single" w:color="auto" w:sz="4" w:space="0"/>
              <w:right w:val="single" w:color="auto" w:sz="4" w:space="0"/>
            </w:tcBorders>
            <w:vAlign w:val="center"/>
          </w:tcPr>
          <w:p w14:paraId="550DC23C">
            <w:pPr>
              <w:spacing w:line="360" w:lineRule="auto"/>
              <w:jc w:val="center"/>
              <w:rPr>
                <w:rFonts w:ascii="宋体" w:hAnsi="宋体" w:cs="宋体"/>
                <w:sz w:val="24"/>
                <w:highlight w:val="none"/>
              </w:rPr>
            </w:pPr>
            <w:r>
              <w:rPr>
                <w:rFonts w:hint="eastAsia" w:ascii="宋体" w:hAnsi="宋体" w:cs="宋体"/>
                <w:sz w:val="24"/>
                <w:highlight w:val="none"/>
              </w:rPr>
              <w:t>22</w:t>
            </w:r>
          </w:p>
        </w:tc>
        <w:tc>
          <w:tcPr>
            <w:tcW w:w="462" w:type="dxa"/>
            <w:vMerge w:val="continue"/>
            <w:tcBorders>
              <w:left w:val="single" w:color="auto" w:sz="4" w:space="0"/>
              <w:bottom w:val="single" w:color="auto" w:sz="4" w:space="0"/>
              <w:right w:val="single" w:color="auto" w:sz="4" w:space="0"/>
            </w:tcBorders>
            <w:vAlign w:val="center"/>
          </w:tcPr>
          <w:p w14:paraId="1FCC01D2">
            <w:pPr>
              <w:spacing w:line="360" w:lineRule="auto"/>
              <w:rPr>
                <w:rFonts w:ascii="宋体" w:hAnsi="宋体" w:cs="宋体"/>
                <w:sz w:val="24"/>
                <w:highlight w:val="none"/>
              </w:rPr>
            </w:pPr>
          </w:p>
        </w:tc>
        <w:tc>
          <w:tcPr>
            <w:tcW w:w="1637" w:type="dxa"/>
            <w:tcBorders>
              <w:top w:val="single" w:color="auto" w:sz="4" w:space="0"/>
              <w:left w:val="single" w:color="auto" w:sz="4" w:space="0"/>
              <w:bottom w:val="single" w:color="auto" w:sz="4" w:space="0"/>
              <w:right w:val="single" w:color="auto" w:sz="4" w:space="0"/>
            </w:tcBorders>
            <w:vAlign w:val="center"/>
          </w:tcPr>
          <w:p w14:paraId="36725144">
            <w:pPr>
              <w:spacing w:line="360" w:lineRule="auto"/>
              <w:jc w:val="center"/>
              <w:rPr>
                <w:rFonts w:ascii="宋体" w:hAnsi="宋体" w:cs="宋体"/>
                <w:sz w:val="24"/>
                <w:highlight w:val="none"/>
              </w:rPr>
            </w:pPr>
            <w:r>
              <w:rPr>
                <w:rFonts w:hint="eastAsia" w:ascii="宋体" w:hAnsi="宋体" w:cs="宋体"/>
                <w:sz w:val="24"/>
                <w:highlight w:val="none"/>
              </w:rPr>
              <w:t>合理化建议</w:t>
            </w:r>
          </w:p>
        </w:tc>
        <w:tc>
          <w:tcPr>
            <w:tcW w:w="6411" w:type="dxa"/>
            <w:tcBorders>
              <w:top w:val="single" w:color="auto" w:sz="4" w:space="0"/>
              <w:left w:val="single" w:color="auto" w:sz="4" w:space="0"/>
              <w:bottom w:val="single" w:color="auto" w:sz="4" w:space="0"/>
              <w:right w:val="single" w:color="auto" w:sz="4" w:space="0"/>
            </w:tcBorders>
            <w:vAlign w:val="center"/>
          </w:tcPr>
          <w:p w14:paraId="1721FF03">
            <w:pPr>
              <w:spacing w:line="360" w:lineRule="auto"/>
              <w:rPr>
                <w:rFonts w:ascii="宋体" w:hAnsi="宋体" w:cs="宋体"/>
                <w:sz w:val="24"/>
                <w:highlight w:val="none"/>
              </w:rPr>
            </w:pPr>
            <w:r>
              <w:rPr>
                <w:rFonts w:hint="eastAsia" w:ascii="宋体" w:hAnsi="宋体" w:cs="宋体"/>
                <w:sz w:val="24"/>
                <w:highlight w:val="none"/>
              </w:rPr>
              <w:t>根据磋商响应方提供的针对本项目合理化建议，是否具有可操作性、针对性，进行打分。</w:t>
            </w:r>
          </w:p>
        </w:tc>
        <w:tc>
          <w:tcPr>
            <w:tcW w:w="810" w:type="dxa"/>
            <w:tcBorders>
              <w:top w:val="single" w:color="auto" w:sz="4" w:space="0"/>
              <w:left w:val="single" w:color="auto" w:sz="4" w:space="0"/>
              <w:bottom w:val="single" w:color="auto" w:sz="4" w:space="0"/>
              <w:right w:val="single" w:color="auto" w:sz="4" w:space="0"/>
            </w:tcBorders>
            <w:vAlign w:val="center"/>
          </w:tcPr>
          <w:p w14:paraId="1128D46D">
            <w:pPr>
              <w:spacing w:line="360" w:lineRule="auto"/>
              <w:jc w:val="center"/>
              <w:rPr>
                <w:rFonts w:ascii="宋体" w:hAnsi="宋体" w:cs="宋体"/>
                <w:sz w:val="24"/>
                <w:highlight w:val="none"/>
              </w:rPr>
            </w:pPr>
            <w:r>
              <w:rPr>
                <w:rFonts w:hint="eastAsia" w:ascii="宋体" w:hAnsi="宋体" w:cs="宋体"/>
                <w:sz w:val="24"/>
                <w:highlight w:val="none"/>
              </w:rPr>
              <w:t>2</w:t>
            </w:r>
          </w:p>
        </w:tc>
      </w:tr>
    </w:tbl>
    <w:p w14:paraId="7249B92E">
      <w:pPr>
        <w:pStyle w:val="38"/>
        <w:ind w:left="0" w:leftChars="0" w:firstLine="0" w:firstLineChars="0"/>
        <w:rPr>
          <w:rFonts w:hint="eastAsia"/>
          <w:color w:val="auto"/>
          <w:highlight w:val="none"/>
        </w:rPr>
      </w:pPr>
    </w:p>
    <w:p w14:paraId="1777C1E0">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1.1开启参加磋商的供应商的第一次报价。</w:t>
      </w:r>
    </w:p>
    <w:p w14:paraId="5296F16B">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1.2磋商小组会对上述供应商的报价文件进行评审。</w:t>
      </w:r>
    </w:p>
    <w:p w14:paraId="69AE5FEC">
      <w:pPr>
        <w:spacing w:beforeLines="50" w:afterLines="50" w:line="360" w:lineRule="auto"/>
        <w:ind w:firstLine="480" w:firstLineChars="200"/>
        <w:rPr>
          <w:rFonts w:ascii="宋体" w:hAnsi="宋体"/>
          <w:strike/>
          <w:color w:val="auto"/>
          <w:sz w:val="24"/>
          <w:highlight w:val="none"/>
        </w:rPr>
      </w:pPr>
      <w:r>
        <w:rPr>
          <w:rFonts w:hint="eastAsia" w:ascii="宋体" w:hAnsi="宋体"/>
          <w:color w:val="auto"/>
          <w:sz w:val="24"/>
          <w:highlight w:val="none"/>
        </w:rPr>
        <w:t>1.3第一次报价评审有效的供应商在规定时间在线进行最终报价（如果出现异常，无法通过在线提交的，供应商应及时联系采购代理机构，通过指定的电子邮箱提供，指定邮箱：</w:t>
      </w:r>
      <w:r>
        <w:rPr>
          <w:rFonts w:hint="eastAsia" w:ascii="宋体" w:hAnsi="宋体"/>
          <w:color w:val="auto"/>
          <w:sz w:val="24"/>
          <w:highlight w:val="none"/>
          <w:lang w:eastAsia="zh-CN"/>
        </w:rPr>
        <w:t>781655284@qq.com</w:t>
      </w:r>
      <w:r>
        <w:rPr>
          <w:rFonts w:hint="eastAsia" w:ascii="宋体" w:hAnsi="宋体"/>
          <w:color w:val="auto"/>
          <w:sz w:val="24"/>
          <w:highlight w:val="none"/>
        </w:rPr>
        <w:t>）。</w:t>
      </w:r>
    </w:p>
    <w:p w14:paraId="33C331F2">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1.4磋商小组对供应商的最终报价进行评审，磋商小组认为供应商的报价明显低于其他通过符合性审查供应商的报价，有可能影响服务质量或者不能诚信履约的，要求其在评审系统合理的时间内提供书面说明，必要时提交相关证明材料；供应商不能证明其报价合理性的，磋商小组应当将其作为无效磋商响应处理。</w:t>
      </w:r>
    </w:p>
    <w:p w14:paraId="64FDF2CE">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1.5磋商小组对最终报价审核有效的供应商，采用综合评分法进行综合评分（详见评分细则）。</w:t>
      </w:r>
    </w:p>
    <w:p w14:paraId="58A4193C">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1.6磋商小组根据评审相关情况作出评审报告。</w:t>
      </w:r>
    </w:p>
    <w:p w14:paraId="217E8301">
      <w:pPr>
        <w:spacing w:beforeLines="50" w:afterLines="50" w:line="360" w:lineRule="auto"/>
        <w:ind w:firstLine="480" w:firstLineChars="200"/>
        <w:rPr>
          <w:rFonts w:ascii="宋体" w:hAnsi="宋体"/>
          <w:color w:val="auto"/>
          <w:sz w:val="24"/>
          <w:highlight w:val="none"/>
        </w:rPr>
      </w:pPr>
      <w:r>
        <w:rPr>
          <w:rFonts w:hint="eastAsia" w:ascii="宋体" w:hAnsi="宋体"/>
          <w:color w:val="auto"/>
          <w:sz w:val="24"/>
          <w:highlight w:val="none"/>
        </w:rPr>
        <w:t>1.7磋商结束后，在线公布最终的评审结果和成交供应商。</w:t>
      </w:r>
    </w:p>
    <w:p w14:paraId="24E413C1">
      <w:pPr>
        <w:spacing w:beforeLines="50" w:afterLines="50" w:line="360" w:lineRule="auto"/>
        <w:ind w:firstLine="482" w:firstLineChars="200"/>
        <w:rPr>
          <w:rFonts w:ascii="宋体" w:hAnsi="宋体"/>
          <w:b/>
          <w:bCs/>
          <w:color w:val="auto"/>
          <w:sz w:val="24"/>
          <w:highlight w:val="none"/>
        </w:rPr>
      </w:pPr>
      <w:r>
        <w:rPr>
          <w:rFonts w:hint="eastAsia" w:ascii="宋体" w:hAnsi="宋体"/>
          <w:b/>
          <w:bCs/>
          <w:color w:val="auto"/>
          <w:sz w:val="24"/>
          <w:highlight w:val="none"/>
        </w:rPr>
        <w:t>特别说明：“政采云”如对电子化磋商程序有调整的，按调整后的程序操作。</w:t>
      </w:r>
    </w:p>
    <w:p w14:paraId="7C4E0A86">
      <w:pPr>
        <w:pStyle w:val="3"/>
        <w:keepNext w:val="0"/>
        <w:keepLines w:val="0"/>
        <w:pageBreakBefore/>
        <w:numPr>
          <w:ilvl w:val="0"/>
          <w:numId w:val="9"/>
        </w:numPr>
        <w:spacing w:line="240" w:lineRule="auto"/>
        <w:jc w:val="center"/>
        <w:rPr>
          <w:rFonts w:ascii="宋体" w:hAnsi="宋体" w:cs="宋体"/>
          <w:bCs w:val="0"/>
          <w:color w:val="auto"/>
          <w:sz w:val="32"/>
          <w:szCs w:val="32"/>
          <w:highlight w:val="none"/>
        </w:rPr>
      </w:pPr>
      <w:bookmarkStart w:id="41" w:name="_Toc15154"/>
      <w:r>
        <w:rPr>
          <w:rFonts w:hint="eastAsia" w:ascii="宋体" w:hAnsi="宋体" w:cs="宋体"/>
          <w:bCs w:val="0"/>
          <w:color w:val="auto"/>
          <w:sz w:val="32"/>
          <w:szCs w:val="32"/>
          <w:highlight w:val="none"/>
        </w:rPr>
        <w:t>合同主要条款</w:t>
      </w:r>
      <w:bookmarkEnd w:id="38"/>
      <w:bookmarkEnd w:id="41"/>
    </w:p>
    <w:p w14:paraId="473FAA2F">
      <w:pPr>
        <w:pStyle w:val="4"/>
        <w:jc w:val="center"/>
        <w:rPr>
          <w:rFonts w:ascii="宋体" w:hAnsi="宋体" w:eastAsia="宋体"/>
          <w:bCs w:val="0"/>
          <w:color w:val="auto"/>
          <w:sz w:val="24"/>
          <w:szCs w:val="24"/>
          <w:highlight w:val="none"/>
        </w:rPr>
      </w:pPr>
      <w:bookmarkStart w:id="42" w:name="_Toc26017"/>
      <w:bookmarkStart w:id="43" w:name="_Toc21120"/>
      <w:bookmarkStart w:id="44" w:name="_Toc22775"/>
      <w:bookmarkStart w:id="45" w:name="_Toc14942605"/>
      <w:r>
        <w:rPr>
          <w:rFonts w:hint="eastAsia" w:ascii="宋体" w:hAnsi="宋体" w:eastAsia="宋体"/>
          <w:bCs w:val="0"/>
          <w:color w:val="auto"/>
          <w:sz w:val="24"/>
          <w:szCs w:val="24"/>
          <w:highlight w:val="none"/>
        </w:rPr>
        <w:t>东阳市政府采购合同（样本）</w:t>
      </w:r>
      <w:bookmarkEnd w:id="42"/>
      <w:bookmarkEnd w:id="43"/>
      <w:bookmarkEnd w:id="44"/>
      <w:bookmarkEnd w:id="45"/>
    </w:p>
    <w:p w14:paraId="222A2E8B">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color w:val="auto"/>
          <w:sz w:val="24"/>
          <w:highlight w:val="none"/>
        </w:rPr>
      </w:pPr>
      <w:r>
        <w:rPr>
          <w:rFonts w:ascii="宋体" w:hAnsi="宋体"/>
          <w:color w:val="auto"/>
          <w:sz w:val="24"/>
          <w:highlight w:val="none"/>
        </w:rPr>
        <w:t>项目名称：</w:t>
      </w:r>
      <w:r>
        <w:rPr>
          <w:rFonts w:hint="eastAsia" w:ascii="宋体" w:hAnsi="宋体"/>
          <w:color w:val="auto"/>
          <w:sz w:val="24"/>
          <w:highlight w:val="none"/>
        </w:rPr>
        <w:t xml:space="preserve">   </w:t>
      </w:r>
    </w:p>
    <w:p w14:paraId="5335637F">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color w:val="auto"/>
          <w:sz w:val="24"/>
          <w:highlight w:val="none"/>
        </w:rPr>
      </w:pPr>
      <w:r>
        <w:rPr>
          <w:rFonts w:ascii="宋体" w:hAnsi="宋体"/>
          <w:color w:val="auto"/>
          <w:sz w:val="24"/>
          <w:highlight w:val="none"/>
        </w:rPr>
        <w:t>项目编号：</w:t>
      </w:r>
      <w:r>
        <w:rPr>
          <w:rFonts w:hint="eastAsia" w:ascii="宋体" w:hAnsi="宋体"/>
          <w:color w:val="auto"/>
          <w:sz w:val="24"/>
          <w:highlight w:val="none"/>
        </w:rPr>
        <w:t xml:space="preserve">              </w:t>
      </w:r>
      <w:r>
        <w:rPr>
          <w:rFonts w:hint="eastAsia" w:ascii="宋体" w:hAnsi="宋体"/>
          <w:color w:val="auto"/>
          <w:sz w:val="24"/>
          <w:highlight w:val="none"/>
          <w:lang w:val="en-US" w:eastAsia="zh-CN"/>
        </w:rPr>
        <w:t xml:space="preserve">                              </w:t>
      </w:r>
      <w:r>
        <w:rPr>
          <w:rFonts w:hint="eastAsia" w:ascii="宋体" w:hAnsi="宋体"/>
          <w:color w:val="auto"/>
          <w:sz w:val="24"/>
          <w:highlight w:val="none"/>
        </w:rPr>
        <w:t>合同号：</w:t>
      </w:r>
    </w:p>
    <w:p w14:paraId="683EDC96">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color w:val="auto"/>
          <w:sz w:val="24"/>
          <w:highlight w:val="none"/>
        </w:rPr>
      </w:pPr>
      <w:r>
        <w:rPr>
          <w:rFonts w:ascii="宋体" w:hAnsi="宋体"/>
          <w:color w:val="auto"/>
          <w:sz w:val="24"/>
          <w:highlight w:val="none"/>
        </w:rPr>
        <w:t>甲方</w:t>
      </w:r>
      <w:r>
        <w:rPr>
          <w:rFonts w:hint="eastAsia" w:ascii="宋体" w:hAnsi="宋体"/>
          <w:color w:val="auto"/>
          <w:sz w:val="24"/>
          <w:highlight w:val="none"/>
        </w:rPr>
        <w:t>：</w:t>
      </w:r>
    </w:p>
    <w:p w14:paraId="6A219776">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color w:val="auto"/>
          <w:sz w:val="24"/>
          <w:highlight w:val="none"/>
        </w:rPr>
      </w:pPr>
      <w:r>
        <w:rPr>
          <w:rFonts w:ascii="宋体" w:hAnsi="宋体"/>
          <w:color w:val="auto"/>
          <w:sz w:val="24"/>
          <w:highlight w:val="none"/>
        </w:rPr>
        <w:t>乙方</w:t>
      </w:r>
      <w:r>
        <w:rPr>
          <w:rFonts w:hint="eastAsia" w:ascii="宋体" w:hAnsi="宋体"/>
          <w:color w:val="auto"/>
          <w:sz w:val="24"/>
          <w:highlight w:val="none"/>
        </w:rPr>
        <w:t>：</w:t>
      </w:r>
    </w:p>
    <w:p w14:paraId="2F7F95BD">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hint="default" w:ascii="宋体" w:hAnsi="宋体" w:eastAsia="宋体"/>
          <w:color w:val="auto"/>
          <w:sz w:val="24"/>
          <w:highlight w:val="none"/>
          <w:lang w:val="en-US" w:eastAsia="zh-CN"/>
        </w:rPr>
      </w:pPr>
      <w:r>
        <w:rPr>
          <w:rFonts w:hint="eastAsia" w:ascii="宋体" w:hAnsi="宋体"/>
          <w:color w:val="auto"/>
          <w:sz w:val="24"/>
          <w:highlight w:val="none"/>
        </w:rPr>
        <w:t>鉴证方（招标方）：</w:t>
      </w:r>
    </w:p>
    <w:p w14:paraId="6E4642A4">
      <w:pPr>
        <w:keepNext w:val="0"/>
        <w:keepLines w:val="0"/>
        <w:pageBreakBefore w:val="0"/>
        <w:widowControl w:val="0"/>
        <w:kinsoku/>
        <w:wordWrap/>
        <w:overflowPunct/>
        <w:topLinePunct w:val="0"/>
        <w:autoSpaceDE/>
        <w:autoSpaceDN/>
        <w:bidi w:val="0"/>
        <w:adjustRightInd/>
        <w:snapToGrid w:val="0"/>
        <w:spacing w:before="120" w:after="120" w:line="440" w:lineRule="exact"/>
        <w:ind w:firstLine="495"/>
        <w:textAlignment w:val="auto"/>
        <w:rPr>
          <w:rFonts w:ascii="宋体" w:hAnsi="宋体"/>
          <w:color w:val="auto"/>
          <w:sz w:val="24"/>
          <w:highlight w:val="none"/>
          <w:u w:val="single"/>
        </w:rPr>
      </w:pPr>
      <w:r>
        <w:rPr>
          <w:rFonts w:hint="eastAsia" w:ascii="宋体" w:hAnsi="宋体"/>
          <w:color w:val="auto"/>
          <w:sz w:val="24"/>
          <w:highlight w:val="none"/>
        </w:rPr>
        <w:t>甲、乙双方根据</w:t>
      </w:r>
      <w:r>
        <w:rPr>
          <w:rFonts w:hint="eastAsia" w:ascii="宋体" w:hAnsi="宋体"/>
          <w:color w:val="auto"/>
          <w:sz w:val="24"/>
          <w:highlight w:val="none"/>
          <w:lang w:val="en-US" w:eastAsia="zh-CN"/>
        </w:rPr>
        <w:t xml:space="preserve">   </w:t>
      </w:r>
      <w:r>
        <w:rPr>
          <w:rFonts w:hint="eastAsia" w:ascii="宋体" w:hAnsi="宋体"/>
          <w:color w:val="auto"/>
          <w:sz w:val="24"/>
          <w:highlight w:val="none"/>
        </w:rPr>
        <w:t>年</w:t>
      </w:r>
      <w:r>
        <w:rPr>
          <w:rFonts w:hint="eastAsia" w:ascii="宋体" w:hAnsi="宋体"/>
          <w:color w:val="auto"/>
          <w:sz w:val="24"/>
          <w:highlight w:val="none"/>
          <w:lang w:val="en-US" w:eastAsia="zh-CN"/>
        </w:rPr>
        <w:t xml:space="preserve">  </w:t>
      </w:r>
      <w:r>
        <w:rPr>
          <w:rFonts w:hint="eastAsia" w:ascii="宋体" w:hAnsi="宋体"/>
          <w:color w:val="auto"/>
          <w:sz w:val="24"/>
          <w:highlight w:val="none"/>
        </w:rPr>
        <w:t>月</w:t>
      </w:r>
      <w:r>
        <w:rPr>
          <w:rFonts w:hint="eastAsia" w:ascii="宋体" w:hAnsi="宋体"/>
          <w:color w:val="auto"/>
          <w:sz w:val="24"/>
          <w:highlight w:val="none"/>
          <w:lang w:val="en-US" w:eastAsia="zh-CN"/>
        </w:rPr>
        <w:t xml:space="preserve">  </w:t>
      </w:r>
      <w:r>
        <w:rPr>
          <w:rFonts w:hint="eastAsia" w:ascii="宋体" w:hAnsi="宋体"/>
          <w:color w:val="auto"/>
          <w:sz w:val="24"/>
          <w:highlight w:val="none"/>
        </w:rPr>
        <w:t>日</w:t>
      </w:r>
      <w:r>
        <w:rPr>
          <w:rFonts w:hint="eastAsia" w:ascii="宋体" w:hAnsi="宋体"/>
          <w:color w:val="auto"/>
          <w:sz w:val="24"/>
          <w:highlight w:val="none"/>
          <w:lang w:eastAsia="zh-CN"/>
        </w:rPr>
        <w:t>浙江诚远工程咨询有限公司</w:t>
      </w:r>
      <w:r>
        <w:rPr>
          <w:rFonts w:hint="eastAsia" w:ascii="宋体" w:hAnsi="宋体"/>
          <w:color w:val="auto"/>
          <w:sz w:val="24"/>
          <w:highlight w:val="none"/>
        </w:rPr>
        <w:t>关于</w:t>
      </w:r>
      <w:r>
        <w:rPr>
          <w:rFonts w:hint="eastAsia" w:ascii="宋体" w:hAnsi="宋体"/>
          <w:color w:val="auto"/>
          <w:sz w:val="24"/>
          <w:highlight w:val="none"/>
          <w:lang w:eastAsia="zh-CN"/>
        </w:rPr>
        <w:t>笠里小区环村路道路工程项目</w:t>
      </w:r>
      <w:r>
        <w:rPr>
          <w:rFonts w:hint="eastAsia" w:ascii="宋体" w:hAnsi="宋体"/>
          <w:color w:val="auto"/>
          <w:sz w:val="24"/>
          <w:highlight w:val="none"/>
          <w:lang w:val="en-US" w:eastAsia="zh-CN"/>
        </w:rPr>
        <w:t>竞争性磋商</w:t>
      </w:r>
      <w:r>
        <w:rPr>
          <w:rFonts w:hint="eastAsia" w:ascii="宋体" w:hAnsi="宋体"/>
          <w:color w:val="auto"/>
          <w:sz w:val="24"/>
          <w:highlight w:val="none"/>
        </w:rPr>
        <w:t>的结果，签署本合同。</w:t>
      </w:r>
    </w:p>
    <w:p w14:paraId="7D633ECF">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hint="default" w:ascii="宋体" w:hAnsi="宋体" w:eastAsia="宋体"/>
          <w:b/>
          <w:color w:val="auto"/>
          <w:sz w:val="24"/>
          <w:highlight w:val="none"/>
          <w:lang w:val="en-US" w:eastAsia="zh-CN"/>
        </w:rPr>
      </w:pPr>
      <w:r>
        <w:rPr>
          <w:rFonts w:ascii="宋体" w:hAnsi="宋体"/>
          <w:b/>
          <w:color w:val="auto"/>
          <w:sz w:val="24"/>
          <w:highlight w:val="none"/>
        </w:rPr>
        <w:t>一、服务内容</w:t>
      </w:r>
      <w:r>
        <w:rPr>
          <w:rFonts w:hint="eastAsia" w:ascii="宋体" w:hAnsi="宋体"/>
          <w:b/>
          <w:color w:val="auto"/>
          <w:sz w:val="24"/>
          <w:highlight w:val="none"/>
        </w:rPr>
        <w:t>：</w:t>
      </w:r>
      <w:r>
        <w:rPr>
          <w:rFonts w:hint="eastAsia" w:ascii="宋体" w:hAnsi="宋体"/>
          <w:b/>
          <w:color w:val="auto"/>
          <w:sz w:val="24"/>
          <w:highlight w:val="none"/>
          <w:lang w:val="en-US" w:eastAsia="zh-CN"/>
        </w:rPr>
        <w:t>详见竞争性磋商文件、图纸、预算书</w:t>
      </w:r>
    </w:p>
    <w:p w14:paraId="4B3B2972">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ascii="宋体" w:hAnsi="宋体"/>
          <w:b/>
          <w:color w:val="auto"/>
          <w:sz w:val="24"/>
          <w:highlight w:val="none"/>
        </w:rPr>
        <w:t>二、合同金额</w:t>
      </w:r>
    </w:p>
    <w:p w14:paraId="6B369F4E">
      <w:pPr>
        <w:keepNext w:val="0"/>
        <w:keepLines w:val="0"/>
        <w:pageBreakBefore w:val="0"/>
        <w:widowControl w:val="0"/>
        <w:kinsoku/>
        <w:wordWrap/>
        <w:overflowPunct/>
        <w:topLinePunct w:val="0"/>
        <w:autoSpaceDE/>
        <w:autoSpaceDN/>
        <w:bidi w:val="0"/>
        <w:adjustRightInd/>
        <w:snapToGrid w:val="0"/>
        <w:spacing w:before="120" w:after="120" w:line="440" w:lineRule="exact"/>
        <w:ind w:firstLine="495"/>
        <w:textAlignment w:val="auto"/>
        <w:rPr>
          <w:rFonts w:hint="eastAsia" w:ascii="宋体" w:hAnsi="宋体"/>
          <w:color w:val="auto"/>
          <w:sz w:val="24"/>
          <w:highlight w:val="none"/>
        </w:rPr>
      </w:pPr>
      <w:r>
        <w:rPr>
          <w:rFonts w:hint="eastAsia" w:ascii="宋体" w:hAnsi="宋体"/>
          <w:color w:val="auto"/>
          <w:sz w:val="24"/>
          <w:highlight w:val="none"/>
        </w:rPr>
        <w:t>本合同金额为（人民币大写）：</w:t>
      </w:r>
      <w:r>
        <w:rPr>
          <w:rFonts w:hint="eastAsia" w:ascii="宋体" w:hAnsi="宋体"/>
          <w:color w:val="auto"/>
          <w:sz w:val="24"/>
          <w:highlight w:val="none"/>
          <w:u w:val="single"/>
          <w:lang w:val="en-US" w:eastAsia="zh-CN"/>
        </w:rPr>
        <w:t xml:space="preserve">               （¥              ）</w:t>
      </w:r>
      <w:r>
        <w:rPr>
          <w:rFonts w:hint="eastAsia" w:ascii="宋体" w:hAnsi="宋体"/>
          <w:color w:val="auto"/>
          <w:sz w:val="24"/>
          <w:highlight w:val="none"/>
        </w:rPr>
        <w:t>。</w:t>
      </w:r>
    </w:p>
    <w:p w14:paraId="6F438E25">
      <w:pPr>
        <w:keepNext w:val="0"/>
        <w:keepLines w:val="0"/>
        <w:pageBreakBefore w:val="0"/>
        <w:widowControl w:val="0"/>
        <w:kinsoku/>
        <w:wordWrap/>
        <w:overflowPunct/>
        <w:topLinePunct w:val="0"/>
        <w:autoSpaceDE/>
        <w:autoSpaceDN/>
        <w:bidi w:val="0"/>
        <w:adjustRightInd/>
        <w:snapToGrid w:val="0"/>
        <w:spacing w:before="120" w:after="120" w:line="440" w:lineRule="exact"/>
        <w:ind w:firstLine="495"/>
        <w:textAlignment w:val="auto"/>
        <w:rPr>
          <w:rFonts w:hint="eastAsia" w:ascii="宋体" w:hAnsi="宋体"/>
          <w:color w:val="auto"/>
          <w:sz w:val="24"/>
          <w:highlight w:val="none"/>
        </w:rPr>
      </w:pPr>
      <w:r>
        <w:rPr>
          <w:rFonts w:hint="eastAsia" w:ascii="宋体" w:hAnsi="宋体"/>
          <w:color w:val="auto"/>
          <w:sz w:val="24"/>
          <w:highlight w:val="none"/>
        </w:rPr>
        <w:t>本合同为固定总价合同，其合同总价已包含采购人确认的施工图、磋商响应方报价所列内容及所涉及的各项风险费用，施工过程中工程量不做增项调整。</w:t>
      </w:r>
    </w:p>
    <w:p w14:paraId="503F8544">
      <w:pPr>
        <w:keepNext w:val="0"/>
        <w:keepLines w:val="0"/>
        <w:pageBreakBefore w:val="0"/>
        <w:widowControl w:val="0"/>
        <w:kinsoku/>
        <w:wordWrap/>
        <w:overflowPunct/>
        <w:topLinePunct w:val="0"/>
        <w:autoSpaceDE/>
        <w:autoSpaceDN/>
        <w:bidi w:val="0"/>
        <w:adjustRightInd/>
        <w:snapToGrid w:val="0"/>
        <w:spacing w:before="120" w:after="120" w:line="440" w:lineRule="exact"/>
        <w:ind w:left="408" w:hanging="408"/>
        <w:textAlignment w:val="auto"/>
        <w:rPr>
          <w:rFonts w:hint="eastAsia" w:ascii="宋体" w:hAnsi="宋体" w:eastAsia="宋体"/>
          <w:b/>
          <w:color w:val="auto"/>
          <w:sz w:val="24"/>
          <w:highlight w:val="none"/>
          <w:lang w:val="en-US" w:eastAsia="zh-CN"/>
        </w:rPr>
      </w:pPr>
      <w:r>
        <w:rPr>
          <w:rFonts w:hint="eastAsia" w:ascii="宋体" w:hAnsi="宋体"/>
          <w:b/>
          <w:color w:val="auto"/>
          <w:sz w:val="24"/>
          <w:highlight w:val="none"/>
          <w:lang w:val="en-US" w:eastAsia="zh-CN"/>
        </w:rPr>
        <w:t>三</w:t>
      </w:r>
      <w:r>
        <w:rPr>
          <w:rFonts w:ascii="宋体" w:hAnsi="宋体"/>
          <w:b/>
          <w:color w:val="auto"/>
          <w:sz w:val="24"/>
          <w:highlight w:val="none"/>
        </w:rPr>
        <w:t>、</w:t>
      </w:r>
      <w:r>
        <w:rPr>
          <w:rFonts w:hint="eastAsia" w:ascii="宋体" w:hAnsi="宋体"/>
          <w:b/>
          <w:color w:val="auto"/>
          <w:sz w:val="24"/>
          <w:highlight w:val="none"/>
          <w:lang w:val="en-US" w:eastAsia="zh-CN"/>
        </w:rPr>
        <w:t>人员、</w:t>
      </w:r>
      <w:r>
        <w:rPr>
          <w:rFonts w:hint="eastAsia" w:ascii="宋体" w:hAnsi="宋体"/>
          <w:b/>
          <w:color w:val="auto"/>
          <w:sz w:val="24"/>
          <w:highlight w:val="none"/>
        </w:rPr>
        <w:t>项目质量</w:t>
      </w:r>
      <w:r>
        <w:rPr>
          <w:rFonts w:hint="eastAsia" w:ascii="宋体" w:hAnsi="宋体"/>
          <w:b/>
          <w:color w:val="auto"/>
          <w:sz w:val="24"/>
          <w:highlight w:val="none"/>
          <w:lang w:val="en-US" w:eastAsia="zh-CN"/>
        </w:rPr>
        <w:t>及</w:t>
      </w:r>
      <w:r>
        <w:rPr>
          <w:rFonts w:hint="eastAsia" w:ascii="宋体" w:hAnsi="宋体"/>
          <w:b/>
          <w:color w:val="auto"/>
          <w:sz w:val="24"/>
          <w:highlight w:val="none"/>
        </w:rPr>
        <w:t>施工安全</w:t>
      </w:r>
      <w:r>
        <w:rPr>
          <w:rFonts w:hint="eastAsia" w:ascii="宋体" w:hAnsi="宋体"/>
          <w:b/>
          <w:color w:val="auto"/>
          <w:sz w:val="24"/>
          <w:highlight w:val="none"/>
          <w:lang w:val="en-US" w:eastAsia="zh-CN"/>
        </w:rPr>
        <w:t>要求</w:t>
      </w:r>
    </w:p>
    <w:p w14:paraId="1B4E0688">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1、项目组成员必须每天到岗到位，施工项目负责人每缺勤一天罚款5000元/天，管理人员每缺勤一天罚款1000元/天。到岗率低于50%或连续无故不到岗时，采购人有权终止合同，并追究因此给采购人造成的损失。在施工期间，采购人认为中标人所选派的施工项目负责人、管理人员的现场管理能力、水平不能满足工程建设需要时，有权要求中标人选换施工项目负责人、管理人员。中标人擅自更换施工项目负责人、管理人员的，分别罚款人民币20000元/人次、10000元/人次。</w:t>
      </w:r>
    </w:p>
    <w:p w14:paraId="6A9A0533">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lang w:val="en-US" w:eastAsia="zh-CN"/>
        </w:rPr>
      </w:pPr>
      <w:r>
        <w:rPr>
          <w:rFonts w:hint="eastAsia" w:ascii="宋体" w:hAnsi="宋体" w:cs="宋体"/>
          <w:color w:val="auto"/>
          <w:sz w:val="24"/>
          <w:highlight w:val="none"/>
          <w:lang w:val="en-US" w:eastAsia="zh-CN"/>
        </w:rPr>
        <w:t>2、除项目经理、技术负责人、安全员等无特殊情况不允许更换外，其余工程负责人如达不到甲方要求的，须无条件更换，如乙方自行需更换人员的，必须经甲方核准。</w:t>
      </w:r>
    </w:p>
    <w:p w14:paraId="609E552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3</w:t>
      </w:r>
      <w:r>
        <w:rPr>
          <w:rFonts w:hint="eastAsia" w:ascii="宋体" w:hAnsi="宋体" w:cs="宋体"/>
          <w:color w:val="auto"/>
          <w:sz w:val="24"/>
          <w:highlight w:val="none"/>
        </w:rPr>
        <w:t>、施工质保期：2年，自验收合格之日起计算。</w:t>
      </w:r>
    </w:p>
    <w:p w14:paraId="75AECA7C">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4</w:t>
      </w:r>
      <w:r>
        <w:rPr>
          <w:rFonts w:hint="eastAsia" w:ascii="宋体" w:hAnsi="宋体" w:cs="宋体"/>
          <w:color w:val="auto"/>
          <w:sz w:val="24"/>
          <w:highlight w:val="none"/>
        </w:rPr>
        <w:t xml:space="preserve">、本项目所用材料应必须有合格证，工程质量以国家相关标准规范验收合格为准。   </w:t>
      </w:r>
    </w:p>
    <w:p w14:paraId="3063B68C">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5</w:t>
      </w:r>
      <w:r>
        <w:rPr>
          <w:rFonts w:hint="eastAsia" w:ascii="宋体" w:hAnsi="宋体" w:cs="宋体"/>
          <w:color w:val="auto"/>
          <w:sz w:val="24"/>
          <w:highlight w:val="none"/>
        </w:rPr>
        <w:t>、本项目</w:t>
      </w:r>
      <w:r>
        <w:rPr>
          <w:rFonts w:hint="eastAsia" w:ascii="宋体" w:hAnsi="宋体" w:cs="宋体"/>
          <w:color w:val="auto"/>
          <w:sz w:val="24"/>
          <w:highlight w:val="none"/>
          <w:lang w:val="en-US" w:eastAsia="zh-CN"/>
        </w:rPr>
        <w:t>甲方</w:t>
      </w:r>
      <w:r>
        <w:rPr>
          <w:rFonts w:hint="eastAsia" w:ascii="宋体" w:hAnsi="宋体" w:cs="宋体"/>
          <w:color w:val="auto"/>
          <w:sz w:val="24"/>
          <w:highlight w:val="none"/>
        </w:rPr>
        <w:t>推荐的建材品牌详见工程预算书，</w:t>
      </w:r>
      <w:r>
        <w:rPr>
          <w:rFonts w:hint="eastAsia" w:ascii="宋体" w:hAnsi="宋体" w:cs="宋体"/>
          <w:color w:val="auto"/>
          <w:sz w:val="24"/>
          <w:highlight w:val="none"/>
          <w:lang w:val="en-US" w:eastAsia="zh-CN"/>
        </w:rPr>
        <w:t>乙方</w:t>
      </w:r>
      <w:r>
        <w:rPr>
          <w:rFonts w:hint="eastAsia" w:ascii="宋体" w:hAnsi="宋体" w:cs="宋体"/>
          <w:color w:val="auto"/>
          <w:sz w:val="24"/>
          <w:highlight w:val="none"/>
        </w:rPr>
        <w:t>报价时需在投标编制说明或主要材料价格表中注明上述材料名称的品牌，</w:t>
      </w:r>
      <w:r>
        <w:rPr>
          <w:rFonts w:hint="eastAsia" w:ascii="宋体" w:hAnsi="宋体" w:cs="宋体"/>
          <w:color w:val="auto"/>
          <w:sz w:val="24"/>
          <w:highlight w:val="none"/>
          <w:lang w:val="en-US" w:eastAsia="zh-CN"/>
        </w:rPr>
        <w:t>材料</w:t>
      </w:r>
      <w:r>
        <w:rPr>
          <w:rFonts w:hint="eastAsia" w:ascii="宋体" w:hAnsi="宋体" w:cs="宋体"/>
          <w:color w:val="auto"/>
          <w:sz w:val="24"/>
          <w:highlight w:val="none"/>
        </w:rPr>
        <w:t>品牌</w:t>
      </w:r>
      <w:r>
        <w:rPr>
          <w:rFonts w:hint="eastAsia" w:ascii="宋体" w:hAnsi="宋体" w:cs="宋体"/>
          <w:color w:val="auto"/>
          <w:sz w:val="24"/>
          <w:highlight w:val="none"/>
          <w:lang w:val="en-US" w:eastAsia="zh-CN"/>
        </w:rPr>
        <w:t>可以</w:t>
      </w:r>
      <w:r>
        <w:rPr>
          <w:rFonts w:hint="eastAsia" w:ascii="宋体" w:hAnsi="宋体" w:cs="宋体"/>
          <w:color w:val="auto"/>
          <w:sz w:val="24"/>
          <w:highlight w:val="none"/>
        </w:rPr>
        <w:t>在上表中选择一个或者不低于同等档次品牌。</w:t>
      </w:r>
    </w:p>
    <w:p w14:paraId="01271F68">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6、</w:t>
      </w:r>
      <w:r>
        <w:rPr>
          <w:rFonts w:hint="eastAsia" w:ascii="宋体" w:hAnsi="宋体" w:cs="宋体"/>
          <w:color w:val="auto"/>
          <w:sz w:val="24"/>
          <w:highlight w:val="none"/>
        </w:rPr>
        <w:t>项目施工材料应按相关规定进行检验，合格后方可使用。</w:t>
      </w:r>
    </w:p>
    <w:p w14:paraId="51810260">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7</w:t>
      </w:r>
      <w:r>
        <w:rPr>
          <w:rFonts w:hint="eastAsia" w:ascii="宋体" w:hAnsi="宋体" w:cs="宋体"/>
          <w:color w:val="auto"/>
          <w:sz w:val="24"/>
          <w:highlight w:val="none"/>
        </w:rPr>
        <w:t>、应按国家、行业现行规范进行施工。</w:t>
      </w:r>
    </w:p>
    <w:p w14:paraId="6E45E4E0">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8</w:t>
      </w:r>
      <w:r>
        <w:rPr>
          <w:rFonts w:hint="eastAsia" w:ascii="宋体" w:hAnsi="宋体" w:cs="宋体"/>
          <w:color w:val="auto"/>
          <w:sz w:val="24"/>
          <w:highlight w:val="none"/>
        </w:rPr>
        <w:t>、施工过程应做好相关资料记录。</w:t>
      </w:r>
    </w:p>
    <w:p w14:paraId="18FC843B">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9</w:t>
      </w:r>
      <w:r>
        <w:rPr>
          <w:rFonts w:hint="eastAsia" w:ascii="宋体" w:hAnsi="宋体" w:cs="宋体"/>
          <w:color w:val="auto"/>
          <w:sz w:val="24"/>
          <w:highlight w:val="none"/>
        </w:rPr>
        <w:t>、必须按相关规定接受</w:t>
      </w:r>
      <w:r>
        <w:rPr>
          <w:rFonts w:hint="eastAsia" w:ascii="宋体" w:hAnsi="宋体" w:cs="宋体"/>
          <w:color w:val="auto"/>
          <w:sz w:val="24"/>
          <w:highlight w:val="none"/>
          <w:lang w:eastAsia="zh-CN"/>
        </w:rPr>
        <w:t>甲方</w:t>
      </w:r>
      <w:r>
        <w:rPr>
          <w:rFonts w:hint="eastAsia" w:ascii="宋体" w:hAnsi="宋体" w:cs="宋体"/>
          <w:color w:val="auto"/>
          <w:sz w:val="24"/>
          <w:highlight w:val="none"/>
        </w:rPr>
        <w:t>委托单位的监督和检查，并提供相关资料。</w:t>
      </w:r>
    </w:p>
    <w:p w14:paraId="1AA10CD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10</w:t>
      </w:r>
      <w:r>
        <w:rPr>
          <w:rFonts w:hint="eastAsia" w:ascii="宋体" w:hAnsi="宋体" w:cs="宋体"/>
          <w:color w:val="auto"/>
          <w:sz w:val="24"/>
          <w:highlight w:val="none"/>
        </w:rPr>
        <w:t>、</w:t>
      </w:r>
      <w:r>
        <w:rPr>
          <w:rFonts w:hint="eastAsia" w:ascii="宋体" w:hAnsi="宋体" w:cs="宋体"/>
          <w:color w:val="auto"/>
          <w:sz w:val="24"/>
          <w:highlight w:val="none"/>
          <w:lang w:eastAsia="zh-CN"/>
        </w:rPr>
        <w:t>乙方</w:t>
      </w:r>
      <w:r>
        <w:rPr>
          <w:rFonts w:hint="eastAsia" w:ascii="宋体" w:hAnsi="宋体" w:cs="宋体"/>
          <w:color w:val="auto"/>
          <w:sz w:val="24"/>
          <w:highlight w:val="none"/>
        </w:rPr>
        <w:t>在施工期间发生安全事故、人身安全和交通安全等大小事故，一切责任和经济补偿均由</w:t>
      </w:r>
      <w:r>
        <w:rPr>
          <w:rFonts w:hint="eastAsia" w:ascii="宋体" w:hAnsi="宋体" w:cs="宋体"/>
          <w:color w:val="auto"/>
          <w:sz w:val="24"/>
          <w:highlight w:val="none"/>
          <w:lang w:eastAsia="zh-CN"/>
        </w:rPr>
        <w:t>乙方</w:t>
      </w:r>
      <w:r>
        <w:rPr>
          <w:rFonts w:hint="eastAsia" w:ascii="宋体" w:hAnsi="宋体" w:cs="宋体"/>
          <w:color w:val="auto"/>
          <w:sz w:val="24"/>
          <w:highlight w:val="none"/>
        </w:rPr>
        <w:t>负责,</w:t>
      </w:r>
      <w:r>
        <w:rPr>
          <w:rFonts w:hint="eastAsia" w:ascii="宋体" w:hAnsi="宋体" w:cs="宋体"/>
          <w:color w:val="auto"/>
          <w:sz w:val="24"/>
          <w:highlight w:val="none"/>
          <w:lang w:eastAsia="zh-CN"/>
        </w:rPr>
        <w:t>甲方</w:t>
      </w:r>
      <w:r>
        <w:rPr>
          <w:rFonts w:hint="eastAsia" w:ascii="宋体" w:hAnsi="宋体" w:cs="宋体"/>
          <w:color w:val="auto"/>
          <w:sz w:val="24"/>
          <w:highlight w:val="none"/>
        </w:rPr>
        <w:t>不承担任何责任。</w:t>
      </w:r>
    </w:p>
    <w:p w14:paraId="415B06C5">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sz w:val="24"/>
          <w:highlight w:val="none"/>
        </w:rPr>
      </w:pPr>
      <w:r>
        <w:rPr>
          <w:rFonts w:hint="eastAsia" w:ascii="宋体" w:hAnsi="宋体" w:cs="宋体"/>
          <w:color w:val="auto"/>
          <w:sz w:val="24"/>
          <w:highlight w:val="none"/>
          <w:lang w:val="en-US" w:eastAsia="zh-CN"/>
        </w:rPr>
        <w:t>11</w:t>
      </w:r>
      <w:r>
        <w:rPr>
          <w:rFonts w:hint="eastAsia" w:ascii="宋体" w:hAnsi="宋体" w:cs="宋体"/>
          <w:color w:val="auto"/>
          <w:sz w:val="24"/>
          <w:highlight w:val="none"/>
        </w:rPr>
        <w:t>、</w:t>
      </w:r>
      <w:r>
        <w:rPr>
          <w:rFonts w:hint="eastAsia" w:ascii="宋体" w:hAnsi="宋体" w:cs="宋体"/>
          <w:color w:val="auto"/>
          <w:sz w:val="24"/>
          <w:highlight w:val="none"/>
          <w:lang w:eastAsia="zh-CN"/>
        </w:rPr>
        <w:t>乙方</w:t>
      </w:r>
      <w:r>
        <w:rPr>
          <w:rFonts w:hint="eastAsia" w:ascii="宋体" w:hAnsi="宋体" w:cs="宋体"/>
          <w:color w:val="auto"/>
          <w:sz w:val="24"/>
          <w:highlight w:val="none"/>
        </w:rPr>
        <w:t>不服从</w:t>
      </w:r>
      <w:r>
        <w:rPr>
          <w:rFonts w:hint="eastAsia" w:ascii="宋体" w:hAnsi="宋体" w:cs="宋体"/>
          <w:color w:val="auto"/>
          <w:sz w:val="24"/>
          <w:highlight w:val="none"/>
          <w:lang w:eastAsia="zh-CN"/>
        </w:rPr>
        <w:t>甲方</w:t>
      </w:r>
      <w:r>
        <w:rPr>
          <w:rFonts w:hint="eastAsia" w:ascii="宋体" w:hAnsi="宋体" w:cs="宋体"/>
          <w:color w:val="auto"/>
          <w:sz w:val="24"/>
          <w:highlight w:val="none"/>
        </w:rPr>
        <w:t>施工管理、施工管理不规范、安全质量达不到要求、不能在规定工期内完成等情形；</w:t>
      </w:r>
      <w:r>
        <w:rPr>
          <w:rFonts w:hint="eastAsia" w:ascii="宋体" w:hAnsi="宋体" w:cs="宋体"/>
          <w:color w:val="auto"/>
          <w:sz w:val="24"/>
          <w:highlight w:val="none"/>
          <w:lang w:eastAsia="zh-CN"/>
        </w:rPr>
        <w:t>甲方</w:t>
      </w:r>
      <w:r>
        <w:rPr>
          <w:rFonts w:hint="eastAsia" w:ascii="宋体" w:hAnsi="宋体" w:cs="宋体"/>
          <w:color w:val="auto"/>
          <w:sz w:val="24"/>
          <w:highlight w:val="none"/>
        </w:rPr>
        <w:t>有权暂停或取消其施工资格。</w:t>
      </w:r>
    </w:p>
    <w:p w14:paraId="287145BE">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12</w:t>
      </w:r>
      <w:r>
        <w:rPr>
          <w:rFonts w:hint="eastAsia" w:ascii="宋体" w:hAnsi="宋体" w:cs="宋体"/>
          <w:color w:val="auto"/>
          <w:kern w:val="0"/>
          <w:sz w:val="24"/>
          <w:highlight w:val="none"/>
        </w:rPr>
        <w:t>、</w:t>
      </w:r>
      <w:r>
        <w:rPr>
          <w:rFonts w:hint="eastAsia" w:ascii="宋体" w:hAnsi="宋体" w:cs="宋体"/>
          <w:color w:val="auto"/>
          <w:kern w:val="0"/>
          <w:sz w:val="24"/>
          <w:highlight w:val="none"/>
          <w:lang w:eastAsia="zh-CN"/>
        </w:rPr>
        <w:t>乙方</w:t>
      </w:r>
      <w:r>
        <w:rPr>
          <w:rFonts w:hint="eastAsia" w:ascii="宋体" w:hAnsi="宋体" w:cs="宋体"/>
          <w:color w:val="auto"/>
          <w:kern w:val="0"/>
          <w:sz w:val="24"/>
          <w:highlight w:val="none"/>
        </w:rPr>
        <w:t>应做好现场施工噪音、环境卫生、材料堆放、安全警示等工作，并负责施工期间与环保、交通城管等部门的沟通协调工作，做好现场秩序的维护，如因</w:t>
      </w:r>
      <w:r>
        <w:rPr>
          <w:rFonts w:hint="eastAsia" w:ascii="宋体" w:hAnsi="宋体" w:cs="宋体"/>
          <w:color w:val="auto"/>
          <w:kern w:val="0"/>
          <w:sz w:val="24"/>
          <w:highlight w:val="none"/>
          <w:lang w:eastAsia="zh-CN"/>
        </w:rPr>
        <w:t>乙方</w:t>
      </w:r>
      <w:r>
        <w:rPr>
          <w:rFonts w:hint="eastAsia" w:ascii="宋体" w:hAnsi="宋体" w:cs="宋体"/>
          <w:color w:val="auto"/>
          <w:kern w:val="0"/>
          <w:sz w:val="24"/>
          <w:highlight w:val="none"/>
        </w:rPr>
        <w:t>原因受到处罚、赔款、纠纷或因此而引起</w:t>
      </w:r>
      <w:r>
        <w:rPr>
          <w:rFonts w:hint="eastAsia" w:ascii="宋体" w:hAnsi="宋体" w:cs="宋体"/>
          <w:color w:val="auto"/>
          <w:kern w:val="0"/>
          <w:sz w:val="24"/>
          <w:highlight w:val="none"/>
          <w:lang w:eastAsia="zh-CN"/>
        </w:rPr>
        <w:t>甲方</w:t>
      </w:r>
      <w:r>
        <w:rPr>
          <w:rFonts w:hint="eastAsia" w:ascii="宋体" w:hAnsi="宋体" w:cs="宋体"/>
          <w:color w:val="auto"/>
          <w:kern w:val="0"/>
          <w:sz w:val="24"/>
          <w:highlight w:val="none"/>
        </w:rPr>
        <w:t>经济损失的，均由</w:t>
      </w:r>
      <w:r>
        <w:rPr>
          <w:rFonts w:hint="eastAsia" w:ascii="宋体" w:hAnsi="宋体" w:cs="宋体"/>
          <w:color w:val="auto"/>
          <w:kern w:val="0"/>
          <w:sz w:val="24"/>
          <w:highlight w:val="none"/>
          <w:lang w:eastAsia="zh-CN"/>
        </w:rPr>
        <w:t>乙方</w:t>
      </w:r>
      <w:r>
        <w:rPr>
          <w:rFonts w:hint="eastAsia" w:ascii="宋体" w:hAnsi="宋体" w:cs="宋体"/>
          <w:color w:val="auto"/>
          <w:kern w:val="0"/>
          <w:sz w:val="24"/>
          <w:highlight w:val="none"/>
        </w:rPr>
        <w:t>承担责任。</w:t>
      </w:r>
    </w:p>
    <w:p w14:paraId="0426EEC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kern w:val="0"/>
          <w:sz w:val="24"/>
          <w:highlight w:val="none"/>
        </w:rPr>
      </w:pPr>
      <w:r>
        <w:rPr>
          <w:rFonts w:hint="eastAsia" w:ascii="宋体" w:hAnsi="宋体" w:cs="宋体"/>
          <w:color w:val="auto"/>
          <w:kern w:val="0"/>
          <w:sz w:val="24"/>
          <w:highlight w:val="none"/>
          <w:lang w:val="en-US" w:eastAsia="zh-CN"/>
        </w:rPr>
        <w:t>13</w:t>
      </w:r>
      <w:r>
        <w:rPr>
          <w:rFonts w:hint="eastAsia" w:ascii="宋体" w:hAnsi="宋体" w:cs="宋体"/>
          <w:color w:val="auto"/>
          <w:kern w:val="0"/>
          <w:sz w:val="24"/>
          <w:highlight w:val="none"/>
        </w:rPr>
        <w:t>、工程质量以国家相关标准规范验收合格为准，如达不到约定的质量标准，</w:t>
      </w:r>
      <w:r>
        <w:rPr>
          <w:rFonts w:hint="eastAsia" w:ascii="宋体" w:hAnsi="宋体" w:cs="宋体"/>
          <w:color w:val="auto"/>
          <w:kern w:val="0"/>
          <w:sz w:val="24"/>
          <w:highlight w:val="none"/>
          <w:lang w:eastAsia="zh-CN"/>
        </w:rPr>
        <w:t>甲方</w:t>
      </w:r>
      <w:r>
        <w:rPr>
          <w:rFonts w:hint="eastAsia" w:ascii="宋体" w:hAnsi="宋体" w:cs="宋体"/>
          <w:color w:val="auto"/>
          <w:kern w:val="0"/>
          <w:sz w:val="24"/>
          <w:highlight w:val="none"/>
        </w:rPr>
        <w:t>可要求</w:t>
      </w:r>
      <w:r>
        <w:rPr>
          <w:rFonts w:hint="eastAsia" w:ascii="宋体" w:hAnsi="宋体" w:cs="宋体"/>
          <w:color w:val="auto"/>
          <w:kern w:val="0"/>
          <w:sz w:val="24"/>
          <w:highlight w:val="none"/>
          <w:lang w:eastAsia="zh-CN"/>
        </w:rPr>
        <w:t>乙方</w:t>
      </w:r>
      <w:r>
        <w:rPr>
          <w:rFonts w:hint="eastAsia" w:ascii="宋体" w:hAnsi="宋体" w:cs="宋体"/>
          <w:color w:val="auto"/>
          <w:kern w:val="0"/>
          <w:sz w:val="24"/>
          <w:highlight w:val="none"/>
        </w:rPr>
        <w:t>返工，直至达到约定的质量标准，并由</w:t>
      </w:r>
      <w:r>
        <w:rPr>
          <w:rFonts w:hint="eastAsia" w:ascii="宋体" w:hAnsi="宋体" w:cs="宋体"/>
          <w:color w:val="auto"/>
          <w:kern w:val="0"/>
          <w:sz w:val="24"/>
          <w:highlight w:val="none"/>
          <w:lang w:eastAsia="zh-CN"/>
        </w:rPr>
        <w:t>乙方</w:t>
      </w:r>
      <w:r>
        <w:rPr>
          <w:rFonts w:hint="eastAsia" w:ascii="宋体" w:hAnsi="宋体" w:cs="宋体"/>
          <w:color w:val="auto"/>
          <w:kern w:val="0"/>
          <w:sz w:val="24"/>
          <w:highlight w:val="none"/>
        </w:rPr>
        <w:t>承担返工的一切费用。</w:t>
      </w:r>
    </w:p>
    <w:p w14:paraId="2BDFDBA9">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14、项目实施过程中，若乙方有任何违规违法行为，由乙方负责整改到位且消除影响，甲方不负任何责任。</w:t>
      </w:r>
    </w:p>
    <w:p w14:paraId="0D94B2CF">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s="宋体"/>
          <w:color w:val="auto"/>
          <w:kern w:val="0"/>
          <w:sz w:val="24"/>
          <w:highlight w:val="none"/>
          <w:lang w:val="en-US" w:eastAsia="zh-CN"/>
        </w:rPr>
      </w:pPr>
      <w:r>
        <w:rPr>
          <w:rFonts w:hint="eastAsia" w:ascii="宋体" w:hAnsi="宋体" w:cs="宋体"/>
          <w:color w:val="auto"/>
          <w:kern w:val="0"/>
          <w:sz w:val="24"/>
          <w:highlight w:val="none"/>
          <w:lang w:val="en-US" w:eastAsia="zh-CN"/>
        </w:rPr>
        <w:t>15、乙方在施工过程中，如果发生随意更改设计不按图施工，存在偷工减料和在设计的施工范围外损坏林地、耕地等违法违规行为，甲方概不负责，一切责任全部由乙方承担。</w:t>
      </w:r>
    </w:p>
    <w:p w14:paraId="2BB80FDC">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hint="eastAsia" w:ascii="宋体" w:hAnsi="宋体"/>
          <w:b/>
          <w:color w:val="auto"/>
          <w:sz w:val="24"/>
          <w:highlight w:val="none"/>
          <w:lang w:val="en-US" w:eastAsia="zh-CN"/>
        </w:rPr>
        <w:t>四</w:t>
      </w:r>
      <w:r>
        <w:rPr>
          <w:rFonts w:ascii="宋体" w:hAnsi="宋体"/>
          <w:b/>
          <w:color w:val="auto"/>
          <w:sz w:val="24"/>
          <w:highlight w:val="none"/>
        </w:rPr>
        <w:t>、技术资料</w:t>
      </w:r>
    </w:p>
    <w:p w14:paraId="05C179AD">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1、</w:t>
      </w:r>
      <w:r>
        <w:rPr>
          <w:rFonts w:ascii="宋体" w:hAnsi="宋体"/>
          <w:color w:val="auto"/>
          <w:sz w:val="24"/>
          <w:highlight w:val="none"/>
        </w:rPr>
        <w:t>乙方应按招标文件规定的时间向甲方提供有关技术资料。</w:t>
      </w:r>
    </w:p>
    <w:p w14:paraId="4CB7FF9B">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ascii="宋体" w:hAnsi="宋体"/>
          <w:color w:val="auto"/>
          <w:sz w:val="24"/>
          <w:highlight w:val="none"/>
        </w:rPr>
        <w:t>没有甲方事先书面同意，乙方不得将由甲方提供的有关合同或任何合同条文、规格、计划、图纸、样品或资料提供</w:t>
      </w:r>
      <w:r>
        <w:rPr>
          <w:rFonts w:hint="eastAsia" w:ascii="宋体" w:hAnsi="宋体"/>
          <w:color w:val="auto"/>
          <w:sz w:val="24"/>
          <w:highlight w:val="none"/>
          <w:lang w:eastAsia="zh-CN"/>
        </w:rPr>
        <w:t>给予</w:t>
      </w:r>
      <w:r>
        <w:rPr>
          <w:rFonts w:ascii="宋体" w:hAnsi="宋体"/>
          <w:color w:val="auto"/>
          <w:sz w:val="24"/>
          <w:highlight w:val="none"/>
        </w:rPr>
        <w:t>履行本合同无关的任何其他人。即使向履行本合同有关的人员提供，也应注意保密并限于履行合同的必需范围。</w:t>
      </w:r>
    </w:p>
    <w:p w14:paraId="64A226B4">
      <w:pPr>
        <w:keepNext w:val="0"/>
        <w:keepLines w:val="0"/>
        <w:pageBreakBefore w:val="0"/>
        <w:widowControl w:val="0"/>
        <w:kinsoku/>
        <w:wordWrap/>
        <w:overflowPunct/>
        <w:topLinePunct w:val="0"/>
        <w:autoSpaceDE/>
        <w:autoSpaceDN/>
        <w:bidi w:val="0"/>
        <w:adjustRightInd/>
        <w:snapToGrid w:val="0"/>
        <w:spacing w:before="120" w:after="120" w:line="440" w:lineRule="exact"/>
        <w:ind w:left="410" w:hanging="410"/>
        <w:textAlignment w:val="auto"/>
        <w:rPr>
          <w:rFonts w:ascii="宋体" w:hAnsi="宋体"/>
          <w:b/>
          <w:color w:val="auto"/>
          <w:sz w:val="24"/>
          <w:highlight w:val="none"/>
        </w:rPr>
      </w:pPr>
      <w:r>
        <w:rPr>
          <w:rFonts w:hint="eastAsia" w:ascii="宋体" w:hAnsi="宋体"/>
          <w:b/>
          <w:color w:val="auto"/>
          <w:sz w:val="24"/>
          <w:highlight w:val="none"/>
          <w:lang w:val="en-US" w:eastAsia="zh-CN"/>
        </w:rPr>
        <w:t>五</w:t>
      </w:r>
      <w:r>
        <w:rPr>
          <w:rFonts w:ascii="宋体" w:hAnsi="宋体"/>
          <w:b/>
          <w:color w:val="auto"/>
          <w:sz w:val="24"/>
          <w:highlight w:val="none"/>
        </w:rPr>
        <w:t>、知识产权</w:t>
      </w:r>
    </w:p>
    <w:p w14:paraId="33BED970">
      <w:pPr>
        <w:keepNext w:val="0"/>
        <w:keepLines w:val="0"/>
        <w:pageBreakBefore w:val="0"/>
        <w:widowControl w:val="0"/>
        <w:kinsoku/>
        <w:wordWrap/>
        <w:overflowPunct/>
        <w:topLinePunct w:val="0"/>
        <w:autoSpaceDE/>
        <w:autoSpaceDN/>
        <w:bidi w:val="0"/>
        <w:adjustRightInd/>
        <w:snapToGrid w:val="0"/>
        <w:spacing w:before="120" w:after="120" w:line="440" w:lineRule="exact"/>
        <w:ind w:left="426" w:leftChars="203" w:firstLine="12" w:firstLineChars="5"/>
        <w:textAlignment w:val="auto"/>
        <w:rPr>
          <w:rFonts w:ascii="宋体" w:hAnsi="宋体"/>
          <w:color w:val="auto"/>
          <w:sz w:val="24"/>
          <w:highlight w:val="none"/>
        </w:rPr>
      </w:pPr>
      <w:r>
        <w:rPr>
          <w:rFonts w:ascii="宋体" w:hAnsi="宋体"/>
          <w:color w:val="auto"/>
          <w:sz w:val="24"/>
          <w:highlight w:val="none"/>
        </w:rPr>
        <w:t>乙方应保证提供服务过程中不会侵犯任何第三方的知识产权。</w:t>
      </w:r>
    </w:p>
    <w:p w14:paraId="527940C1">
      <w:pPr>
        <w:keepNext w:val="0"/>
        <w:keepLines w:val="0"/>
        <w:pageBreakBefore w:val="0"/>
        <w:widowControl w:val="0"/>
        <w:kinsoku/>
        <w:wordWrap/>
        <w:overflowPunct/>
        <w:topLinePunct w:val="0"/>
        <w:autoSpaceDE/>
        <w:autoSpaceDN/>
        <w:bidi w:val="0"/>
        <w:adjustRightInd/>
        <w:snapToGrid w:val="0"/>
        <w:spacing w:before="120" w:after="120" w:line="440" w:lineRule="exact"/>
        <w:ind w:left="426" w:leftChars="203" w:firstLine="12" w:firstLineChars="5"/>
        <w:textAlignment w:val="auto"/>
        <w:rPr>
          <w:rFonts w:ascii="宋体" w:hAnsi="宋体"/>
          <w:color w:val="auto"/>
          <w:sz w:val="24"/>
          <w:highlight w:val="none"/>
        </w:rPr>
      </w:pPr>
      <w:r>
        <w:rPr>
          <w:rFonts w:hint="eastAsia" w:ascii="宋体" w:hAnsi="宋体"/>
          <w:color w:val="auto"/>
          <w:sz w:val="24"/>
          <w:highlight w:val="none"/>
        </w:rPr>
        <w:t>若乙方提供的服务或资料侵犯他人知识产权的，则乙方承担相应赔偿责任。</w:t>
      </w:r>
    </w:p>
    <w:p w14:paraId="416D72A9">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hint="eastAsia" w:ascii="宋体" w:hAnsi="宋体"/>
          <w:b/>
          <w:color w:val="auto"/>
          <w:sz w:val="24"/>
          <w:highlight w:val="none"/>
        </w:rPr>
        <w:t>六、转包</w:t>
      </w:r>
    </w:p>
    <w:p w14:paraId="4E35C04C">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1、</w:t>
      </w:r>
      <w:r>
        <w:rPr>
          <w:rFonts w:hint="eastAsia" w:ascii="宋体" w:hAnsi="宋体"/>
          <w:color w:val="auto"/>
          <w:sz w:val="24"/>
          <w:highlight w:val="none"/>
        </w:rPr>
        <w:t>本合同范围的服务，应由乙方直接供应，不得转让他人供应；</w:t>
      </w:r>
    </w:p>
    <w:p w14:paraId="47390514">
      <w:pPr>
        <w:keepNext w:val="0"/>
        <w:keepLines w:val="0"/>
        <w:pageBreakBefore w:val="0"/>
        <w:widowControl w:val="0"/>
        <w:kinsoku/>
        <w:wordWrap/>
        <w:overflowPunct/>
        <w:topLinePunct w:val="0"/>
        <w:autoSpaceDE/>
        <w:autoSpaceDN/>
        <w:bidi w:val="0"/>
        <w:adjustRightInd/>
        <w:snapToGrid w:val="0"/>
        <w:spacing w:before="120" w:after="120" w:line="440" w:lineRule="exact"/>
        <w:ind w:left="426" w:leftChars="203" w:firstLine="12" w:firstLineChars="5"/>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hint="eastAsia" w:ascii="宋体" w:hAnsi="宋体"/>
          <w:color w:val="auto"/>
          <w:sz w:val="24"/>
          <w:highlight w:val="none"/>
        </w:rPr>
        <w:t>如发现转包行为，甲方有权解除合同，并追究乙方的违约责任。</w:t>
      </w:r>
    </w:p>
    <w:p w14:paraId="30D09C58">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hint="eastAsia" w:ascii="宋体" w:hAnsi="宋体"/>
          <w:b/>
          <w:color w:val="auto"/>
          <w:sz w:val="24"/>
          <w:highlight w:val="none"/>
        </w:rPr>
        <w:t>七</w:t>
      </w:r>
      <w:r>
        <w:rPr>
          <w:rFonts w:ascii="宋体" w:hAnsi="宋体"/>
          <w:b/>
          <w:color w:val="auto"/>
          <w:sz w:val="24"/>
          <w:highlight w:val="none"/>
        </w:rPr>
        <w:t>、合同履行时间、履行地点</w:t>
      </w:r>
    </w:p>
    <w:p w14:paraId="0179D3F6">
      <w:pPr>
        <w:spacing w:line="360" w:lineRule="auto"/>
        <w:rPr>
          <w:rFonts w:hint="eastAsia" w:ascii="宋体" w:hAnsi="宋体" w:eastAsia="宋体"/>
          <w:color w:val="auto"/>
          <w:sz w:val="24"/>
          <w:highlight w:val="none"/>
          <w:lang w:eastAsia="zh-CN"/>
        </w:rPr>
      </w:pPr>
      <w:r>
        <w:rPr>
          <w:rFonts w:hint="eastAsia" w:ascii="宋体" w:hAnsi="宋体"/>
          <w:color w:val="auto"/>
          <w:sz w:val="24"/>
          <w:highlight w:val="none"/>
          <w:lang w:val="en-US" w:eastAsia="zh-CN"/>
        </w:rPr>
        <w:t>1、</w:t>
      </w:r>
      <w:r>
        <w:rPr>
          <w:rFonts w:ascii="宋体" w:hAnsi="宋体"/>
          <w:color w:val="auto"/>
          <w:sz w:val="24"/>
          <w:highlight w:val="none"/>
        </w:rPr>
        <w:t>履行时间</w:t>
      </w:r>
      <w:r>
        <w:rPr>
          <w:rFonts w:ascii="宋体" w:hAnsi="宋体"/>
          <w:bCs/>
          <w:color w:val="auto"/>
          <w:sz w:val="24"/>
          <w:highlight w:val="none"/>
          <w:u w:val="none"/>
        </w:rPr>
        <w:t>：</w:t>
      </w:r>
      <w:r>
        <w:rPr>
          <w:rFonts w:hint="eastAsia" w:ascii="宋体" w:hAnsi="宋体"/>
          <w:bCs/>
          <w:color w:val="auto"/>
          <w:sz w:val="24"/>
          <w:highlight w:val="none"/>
          <w:u w:val="single"/>
          <w:lang w:val="en-US" w:eastAsia="zh-CN"/>
        </w:rPr>
        <w:t>60</w:t>
      </w:r>
      <w:r>
        <w:rPr>
          <w:rFonts w:hint="eastAsia" w:ascii="宋体" w:hAnsi="宋体"/>
          <w:bCs/>
          <w:color w:val="auto"/>
          <w:sz w:val="24"/>
          <w:highlight w:val="none"/>
          <w:lang w:val="en-US" w:eastAsia="zh-CN"/>
        </w:rPr>
        <w:t>日历</w:t>
      </w:r>
      <w:r>
        <w:rPr>
          <w:rFonts w:hint="eastAsia" w:ascii="宋体" w:hAnsi="宋体"/>
          <w:bCs/>
          <w:color w:val="auto"/>
          <w:sz w:val="24"/>
          <w:highlight w:val="none"/>
        </w:rPr>
        <w:t>天。</w:t>
      </w:r>
      <w:r>
        <w:rPr>
          <w:rFonts w:hint="eastAsia" w:ascii="宋体" w:hAnsi="宋体" w:eastAsia="宋体"/>
          <w:color w:val="auto"/>
          <w:sz w:val="24"/>
          <w:highlight w:val="none"/>
          <w:lang w:eastAsia="zh-CN"/>
        </w:rPr>
        <w:t>（如果实际施工工期提前于合同工期，采购人不给予奖励。如因采购人原因造成工期延误，工期顺延。）</w:t>
      </w:r>
    </w:p>
    <w:p w14:paraId="0E23D0F3">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ascii="宋体" w:hAnsi="宋体"/>
          <w:color w:val="auto"/>
          <w:sz w:val="24"/>
          <w:highlight w:val="none"/>
        </w:rPr>
        <w:t>履行地点</w:t>
      </w:r>
      <w:r>
        <w:rPr>
          <w:rFonts w:ascii="宋体" w:hAnsi="宋体"/>
          <w:bCs/>
          <w:color w:val="auto"/>
          <w:sz w:val="24"/>
          <w:highlight w:val="none"/>
        </w:rPr>
        <w:t>：</w:t>
      </w:r>
    </w:p>
    <w:p w14:paraId="7E4BF62E">
      <w:pPr>
        <w:keepNext w:val="0"/>
        <w:keepLines w:val="0"/>
        <w:pageBreakBefore w:val="0"/>
        <w:widowControl w:val="0"/>
        <w:kinsoku/>
        <w:wordWrap/>
        <w:overflowPunct/>
        <w:topLinePunct w:val="0"/>
        <w:autoSpaceDE/>
        <w:autoSpaceDN/>
        <w:bidi w:val="0"/>
        <w:adjustRightInd/>
        <w:spacing w:line="440" w:lineRule="exact"/>
        <w:textAlignment w:val="auto"/>
        <w:rPr>
          <w:rFonts w:ascii="宋体" w:hAnsi="宋体"/>
          <w:b/>
          <w:color w:val="auto"/>
          <w:sz w:val="24"/>
          <w:highlight w:val="none"/>
        </w:rPr>
      </w:pPr>
      <w:r>
        <w:rPr>
          <w:rFonts w:hint="eastAsia" w:ascii="宋体" w:hAnsi="宋体"/>
          <w:b/>
          <w:color w:val="auto"/>
          <w:sz w:val="24"/>
          <w:highlight w:val="none"/>
        </w:rPr>
        <w:t>八</w:t>
      </w:r>
      <w:r>
        <w:rPr>
          <w:rFonts w:ascii="宋体" w:hAnsi="宋体"/>
          <w:b/>
          <w:color w:val="auto"/>
          <w:sz w:val="24"/>
          <w:highlight w:val="none"/>
        </w:rPr>
        <w:t>、付款方式</w:t>
      </w:r>
      <w:r>
        <w:rPr>
          <w:rFonts w:hint="eastAsia" w:ascii="宋体" w:hAnsi="宋体"/>
          <w:b/>
          <w:color w:val="auto"/>
          <w:sz w:val="24"/>
          <w:highlight w:val="none"/>
        </w:rPr>
        <w:t>：</w:t>
      </w:r>
    </w:p>
    <w:p w14:paraId="1B3869F3">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color w:val="auto"/>
          <w:sz w:val="24"/>
          <w:highlight w:val="none"/>
          <w:lang w:val="en-US" w:eastAsia="zh-CN"/>
        </w:rPr>
      </w:pPr>
      <w:r>
        <w:rPr>
          <w:rFonts w:hint="eastAsia" w:ascii="宋体" w:hAnsi="宋体"/>
          <w:color w:val="auto"/>
          <w:sz w:val="24"/>
          <w:highlight w:val="none"/>
          <w:lang w:val="en-US" w:eastAsia="zh-CN"/>
        </w:rPr>
        <w:t>（1）合同生效以及具备实施条件后7个工作日内支付合同价款的40%作为预付款（中标人须提交预付款保函）；</w:t>
      </w:r>
    </w:p>
    <w:p w14:paraId="7E966AF5">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（2）全部工程完工后在7个工作日内支付至合同价款的85%；</w:t>
      </w:r>
    </w:p>
    <w:p w14:paraId="4BAA3739">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hint="eastAsia" w:ascii="宋体" w:hAnsi="宋体" w:eastAsia="宋体" w:cs="Times New Roman"/>
          <w:color w:val="auto"/>
          <w:sz w:val="24"/>
          <w:highlight w:val="none"/>
          <w:lang w:val="en-US" w:eastAsia="zh-CN"/>
        </w:rPr>
      </w:pPr>
      <w:r>
        <w:rPr>
          <w:rFonts w:hint="eastAsia" w:ascii="宋体" w:hAnsi="宋体" w:eastAsia="宋体" w:cs="Times New Roman"/>
          <w:color w:val="auto"/>
          <w:sz w:val="24"/>
          <w:highlight w:val="none"/>
          <w:lang w:val="en-US" w:eastAsia="zh-CN"/>
        </w:rPr>
        <w:t>（3）工程通过竣工验收合格后凭竣工验收报告在7个工作日内支付至合同价款的100%。</w:t>
      </w:r>
    </w:p>
    <w:p w14:paraId="03097641">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ascii="宋体" w:hAnsi="宋体"/>
          <w:b/>
          <w:bCs/>
          <w:color w:val="auto"/>
          <w:sz w:val="24"/>
          <w:highlight w:val="none"/>
        </w:rPr>
      </w:pPr>
      <w:r>
        <w:rPr>
          <w:rFonts w:hint="eastAsia" w:ascii="宋体" w:hAnsi="宋体" w:eastAsia="宋体" w:cs="Times New Roman"/>
          <w:b/>
          <w:bCs/>
          <w:color w:val="auto"/>
          <w:sz w:val="24"/>
          <w:highlight w:val="none"/>
          <w:lang w:val="en-US" w:eastAsia="zh-CN"/>
        </w:rPr>
        <w:t>注：本项目工程款由白云商贸园区管理委员会按项目进度进行支付。</w:t>
      </w:r>
    </w:p>
    <w:p w14:paraId="37207481">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hint="eastAsia" w:ascii="宋体" w:hAnsi="宋体"/>
          <w:b/>
          <w:color w:val="auto"/>
          <w:sz w:val="24"/>
          <w:highlight w:val="none"/>
        </w:rPr>
        <w:t>九、税费</w:t>
      </w:r>
    </w:p>
    <w:p w14:paraId="40CAFDE0">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hint="eastAsia" w:ascii="宋体" w:hAnsi="宋体"/>
          <w:color w:val="auto"/>
          <w:sz w:val="24"/>
          <w:highlight w:val="none"/>
        </w:rPr>
      </w:pPr>
      <w:r>
        <w:rPr>
          <w:rFonts w:hint="eastAsia" w:ascii="宋体" w:hAnsi="宋体"/>
          <w:color w:val="auto"/>
          <w:sz w:val="24"/>
          <w:highlight w:val="none"/>
        </w:rPr>
        <w:t>本合同执行中相关的一切税费均由</w:t>
      </w:r>
      <w:r>
        <w:rPr>
          <w:rFonts w:hAnsi="宋体"/>
          <w:color w:val="auto"/>
          <w:sz w:val="24"/>
          <w:highlight w:val="none"/>
        </w:rPr>
        <w:t>乙</w:t>
      </w:r>
      <w:r>
        <w:rPr>
          <w:rFonts w:hint="eastAsia" w:ascii="宋体" w:hAnsi="宋体"/>
          <w:color w:val="auto"/>
          <w:sz w:val="24"/>
          <w:highlight w:val="none"/>
        </w:rPr>
        <w:t>方负担。</w:t>
      </w:r>
    </w:p>
    <w:p w14:paraId="63488398">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color w:val="auto"/>
          <w:sz w:val="24"/>
          <w:highlight w:val="none"/>
        </w:rPr>
      </w:pPr>
      <w:r>
        <w:rPr>
          <w:rFonts w:hint="eastAsia"/>
          <w:b/>
          <w:bCs/>
          <w:color w:val="auto"/>
          <w:sz w:val="24"/>
          <w:szCs w:val="24"/>
          <w:highlight w:val="none"/>
        </w:rPr>
        <w:t>十、履约</w:t>
      </w:r>
      <w:r>
        <w:rPr>
          <w:b/>
          <w:bCs/>
          <w:color w:val="auto"/>
          <w:sz w:val="24"/>
          <w:szCs w:val="24"/>
          <w:highlight w:val="none"/>
        </w:rPr>
        <w:t>保证金</w:t>
      </w:r>
      <w:r>
        <w:rPr>
          <w:rFonts w:hint="eastAsia"/>
          <w:b/>
          <w:bCs/>
          <w:color w:val="auto"/>
          <w:sz w:val="24"/>
          <w:szCs w:val="24"/>
          <w:highlight w:val="none"/>
          <w:lang w:eastAsia="zh-CN"/>
        </w:rPr>
        <w:t>：</w:t>
      </w:r>
      <w:r>
        <w:rPr>
          <w:rFonts w:hint="eastAsia" w:ascii="宋体" w:hAnsi="宋体" w:cs="宋体"/>
          <w:color w:val="auto"/>
          <w:sz w:val="24"/>
          <w:highlight w:val="none"/>
        </w:rPr>
        <w:t>中标价</w:t>
      </w:r>
      <w:r>
        <w:rPr>
          <w:rFonts w:hint="eastAsia" w:ascii="宋体" w:hAnsi="宋体" w:cs="宋体"/>
          <w:color w:val="auto"/>
          <w:sz w:val="24"/>
          <w:highlight w:val="none"/>
          <w:lang w:val="en-US" w:eastAsia="zh-CN"/>
        </w:rPr>
        <w:t>的1%</w:t>
      </w:r>
      <w:r>
        <w:rPr>
          <w:rFonts w:hint="eastAsia" w:ascii="宋体" w:hAnsi="宋体" w:cs="宋体"/>
          <w:color w:val="auto"/>
          <w:sz w:val="24"/>
          <w:highlight w:val="none"/>
        </w:rPr>
        <w:t>。</w:t>
      </w:r>
    </w:p>
    <w:p w14:paraId="6D39D1C2">
      <w:pPr>
        <w:keepNext w:val="0"/>
        <w:keepLines w:val="0"/>
        <w:pageBreakBefore w:val="0"/>
        <w:widowControl w:val="0"/>
        <w:kinsoku/>
        <w:wordWrap/>
        <w:overflowPunct/>
        <w:topLinePunct w:val="0"/>
        <w:autoSpaceDE/>
        <w:autoSpaceDN/>
        <w:bidi w:val="0"/>
        <w:adjustRightInd/>
        <w:snapToGrid w:val="0"/>
        <w:spacing w:before="120" w:after="120" w:line="440" w:lineRule="exact"/>
        <w:ind w:left="410" w:hanging="410"/>
        <w:textAlignment w:val="auto"/>
        <w:rPr>
          <w:rFonts w:ascii="宋体" w:hAnsi="宋体"/>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一</w:t>
      </w:r>
      <w:r>
        <w:rPr>
          <w:rFonts w:ascii="宋体" w:hAnsi="宋体"/>
          <w:b/>
          <w:color w:val="auto"/>
          <w:sz w:val="24"/>
          <w:highlight w:val="none"/>
        </w:rPr>
        <w:t>、质量保证及后续服务</w:t>
      </w:r>
    </w:p>
    <w:p w14:paraId="5AF33899">
      <w:pPr>
        <w:keepNext w:val="0"/>
        <w:keepLines w:val="0"/>
        <w:pageBreakBefore w:val="0"/>
        <w:widowControl w:val="0"/>
        <w:kinsoku/>
        <w:wordWrap/>
        <w:overflowPunct/>
        <w:topLinePunct w:val="0"/>
        <w:autoSpaceDE/>
        <w:autoSpaceDN/>
        <w:bidi w:val="0"/>
        <w:adjustRightInd/>
        <w:snapToGrid w:val="0"/>
        <w:spacing w:before="120" w:after="120" w:line="440" w:lineRule="exact"/>
        <w:ind w:left="426" w:leftChars="203" w:firstLine="12" w:firstLineChars="5"/>
        <w:textAlignment w:val="auto"/>
        <w:rPr>
          <w:rFonts w:ascii="宋体" w:hAnsi="宋体"/>
          <w:color w:val="auto"/>
          <w:sz w:val="24"/>
          <w:highlight w:val="none"/>
        </w:rPr>
      </w:pPr>
      <w:r>
        <w:rPr>
          <w:rFonts w:hint="eastAsia" w:ascii="宋体" w:hAnsi="宋体"/>
          <w:color w:val="auto"/>
          <w:sz w:val="24"/>
          <w:highlight w:val="none"/>
          <w:lang w:val="en-US" w:eastAsia="zh-CN"/>
        </w:rPr>
        <w:t>1、</w:t>
      </w:r>
      <w:r>
        <w:rPr>
          <w:rFonts w:ascii="宋体" w:hAnsi="宋体"/>
          <w:color w:val="auto"/>
          <w:sz w:val="24"/>
          <w:highlight w:val="none"/>
        </w:rPr>
        <w:t>乙方应按招标文件规定向甲方提供服务。</w:t>
      </w:r>
    </w:p>
    <w:p w14:paraId="18610FD9">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ascii="宋体" w:hAnsi="宋体"/>
          <w:color w:val="auto"/>
          <w:sz w:val="24"/>
          <w:highlight w:val="none"/>
        </w:rPr>
        <w:t>乙方提供的服务成果在服务质量保证期内发生故障，乙方应负责免费提供后续服务。对达不到要求者，根据实际情况，经双方协商，可按以下办法处理：</w:t>
      </w:r>
    </w:p>
    <w:p w14:paraId="5C36F252">
      <w:pPr>
        <w:keepNext w:val="0"/>
        <w:keepLines w:val="0"/>
        <w:pageBreakBefore w:val="0"/>
        <w:widowControl w:val="0"/>
        <w:kinsoku/>
        <w:wordWrap/>
        <w:overflowPunct/>
        <w:topLinePunct w:val="0"/>
        <w:autoSpaceDE/>
        <w:autoSpaceDN/>
        <w:bidi w:val="0"/>
        <w:adjustRightInd/>
        <w:snapToGrid w:val="0"/>
        <w:spacing w:before="120" w:after="120" w:line="440" w:lineRule="exact"/>
        <w:ind w:firstLine="420"/>
        <w:textAlignment w:val="auto"/>
        <w:rPr>
          <w:rFonts w:ascii="宋体" w:hAnsi="宋体"/>
          <w:color w:val="auto"/>
          <w:sz w:val="24"/>
          <w:highlight w:val="none"/>
        </w:rPr>
      </w:pPr>
      <w:r>
        <w:rPr>
          <w:rFonts w:ascii="宋体" w:hAnsi="宋体"/>
          <w:color w:val="auto"/>
          <w:sz w:val="24"/>
          <w:highlight w:val="none"/>
        </w:rPr>
        <w:t>⑴重做：由乙方承担所发生的全部费用。</w:t>
      </w:r>
    </w:p>
    <w:p w14:paraId="5EC80210">
      <w:pPr>
        <w:keepNext w:val="0"/>
        <w:keepLines w:val="0"/>
        <w:pageBreakBefore w:val="0"/>
        <w:widowControl w:val="0"/>
        <w:kinsoku/>
        <w:wordWrap/>
        <w:overflowPunct/>
        <w:topLinePunct w:val="0"/>
        <w:autoSpaceDE/>
        <w:autoSpaceDN/>
        <w:bidi w:val="0"/>
        <w:adjustRightInd/>
        <w:snapToGrid w:val="0"/>
        <w:spacing w:before="120" w:after="120" w:line="440" w:lineRule="exact"/>
        <w:ind w:firstLine="420"/>
        <w:textAlignment w:val="auto"/>
        <w:rPr>
          <w:rFonts w:ascii="宋体" w:hAnsi="宋体"/>
          <w:color w:val="auto"/>
          <w:sz w:val="24"/>
          <w:highlight w:val="none"/>
        </w:rPr>
      </w:pPr>
      <w:r>
        <w:rPr>
          <w:rFonts w:ascii="宋体" w:hAnsi="宋体"/>
          <w:color w:val="auto"/>
          <w:sz w:val="24"/>
          <w:highlight w:val="none"/>
        </w:rPr>
        <w:t>⑵贬值处理：由甲乙双方合议定价。</w:t>
      </w:r>
    </w:p>
    <w:p w14:paraId="51424A8E">
      <w:pPr>
        <w:keepNext w:val="0"/>
        <w:keepLines w:val="0"/>
        <w:pageBreakBefore w:val="0"/>
        <w:widowControl w:val="0"/>
        <w:kinsoku/>
        <w:wordWrap/>
        <w:overflowPunct/>
        <w:topLinePunct w:val="0"/>
        <w:autoSpaceDE/>
        <w:autoSpaceDN/>
        <w:bidi w:val="0"/>
        <w:adjustRightInd/>
        <w:snapToGrid w:val="0"/>
        <w:spacing w:before="120" w:after="120" w:line="440" w:lineRule="exact"/>
        <w:ind w:left="420" w:leftChars="200"/>
        <w:textAlignment w:val="auto"/>
        <w:rPr>
          <w:rFonts w:ascii="宋体" w:hAnsi="宋体"/>
          <w:color w:val="auto"/>
          <w:sz w:val="24"/>
          <w:highlight w:val="none"/>
        </w:rPr>
      </w:pPr>
      <w:r>
        <w:rPr>
          <w:rFonts w:ascii="宋体" w:hAnsi="宋体"/>
          <w:color w:val="auto"/>
          <w:sz w:val="24"/>
          <w:highlight w:val="none"/>
        </w:rPr>
        <w:t>⑶解除合同。</w:t>
      </w:r>
    </w:p>
    <w:p w14:paraId="591D60C1">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3、</w:t>
      </w:r>
      <w:r>
        <w:rPr>
          <w:rFonts w:ascii="宋体" w:hAnsi="宋体"/>
          <w:color w:val="auto"/>
          <w:sz w:val="24"/>
          <w:highlight w:val="none"/>
        </w:rPr>
        <w:t>如在使用过程中发生问题，乙方在接到甲方通知后</w:t>
      </w:r>
      <w:r>
        <w:rPr>
          <w:rFonts w:hint="eastAsia" w:ascii="宋体" w:hAnsi="宋体"/>
          <w:color w:val="auto"/>
          <w:sz w:val="24"/>
          <w:highlight w:val="none"/>
          <w:u w:val="single"/>
        </w:rPr>
        <w:t>48</w:t>
      </w:r>
      <w:r>
        <w:rPr>
          <w:rFonts w:ascii="宋体" w:hAnsi="宋体"/>
          <w:color w:val="auto"/>
          <w:sz w:val="24"/>
          <w:highlight w:val="none"/>
        </w:rPr>
        <w:t>小时内到达甲方现场。</w:t>
      </w:r>
    </w:p>
    <w:p w14:paraId="474051B8">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4、</w:t>
      </w:r>
      <w:r>
        <w:rPr>
          <w:rFonts w:ascii="宋体" w:hAnsi="宋体"/>
          <w:color w:val="auto"/>
          <w:sz w:val="24"/>
          <w:highlight w:val="none"/>
        </w:rPr>
        <w:t>在服务质量保证期内，乙方应对出现的质量及安全问题负责处理解决并承担一切费用。</w:t>
      </w:r>
    </w:p>
    <w:p w14:paraId="3313BD9C">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二</w:t>
      </w:r>
      <w:r>
        <w:rPr>
          <w:rFonts w:ascii="宋体" w:hAnsi="宋体"/>
          <w:b/>
          <w:color w:val="auto"/>
          <w:sz w:val="24"/>
          <w:highlight w:val="none"/>
        </w:rPr>
        <w:t>、违约责任</w:t>
      </w:r>
    </w:p>
    <w:p w14:paraId="1CDD7C08">
      <w:pPr>
        <w:keepNext w:val="0"/>
        <w:keepLines w:val="0"/>
        <w:pageBreakBefore w:val="0"/>
        <w:widowControl w:val="0"/>
        <w:kinsoku/>
        <w:wordWrap/>
        <w:overflowPunct/>
        <w:topLinePunct w:val="0"/>
        <w:autoSpaceDE/>
        <w:autoSpaceDN/>
        <w:bidi w:val="0"/>
        <w:adjustRightInd/>
        <w:snapToGrid w:val="0"/>
        <w:spacing w:before="120" w:after="120" w:line="440" w:lineRule="exact"/>
        <w:ind w:left="426" w:leftChars="203" w:firstLine="12" w:firstLineChars="5"/>
        <w:textAlignment w:val="auto"/>
        <w:rPr>
          <w:rFonts w:ascii="宋体" w:hAnsi="宋体"/>
          <w:color w:val="auto"/>
          <w:sz w:val="24"/>
          <w:highlight w:val="none"/>
        </w:rPr>
      </w:pPr>
      <w:r>
        <w:rPr>
          <w:rFonts w:hint="eastAsia" w:ascii="宋体" w:hAnsi="宋体"/>
          <w:color w:val="auto"/>
          <w:sz w:val="24"/>
          <w:highlight w:val="none"/>
          <w:lang w:val="en-US" w:eastAsia="zh-CN"/>
        </w:rPr>
        <w:t>1、</w:t>
      </w:r>
      <w:r>
        <w:rPr>
          <w:rFonts w:ascii="宋体" w:hAnsi="宋体"/>
          <w:color w:val="auto"/>
          <w:sz w:val="24"/>
          <w:highlight w:val="none"/>
        </w:rPr>
        <w:t>甲方无正当理由</w:t>
      </w:r>
      <w:r>
        <w:rPr>
          <w:rFonts w:hint="eastAsia" w:ascii="宋体" w:hAnsi="宋体"/>
          <w:color w:val="auto"/>
          <w:sz w:val="24"/>
          <w:highlight w:val="none"/>
          <w:lang w:eastAsia="zh-CN"/>
        </w:rPr>
        <w:t>拒绝接受</w:t>
      </w:r>
      <w:r>
        <w:rPr>
          <w:rFonts w:ascii="宋体" w:hAnsi="宋体"/>
          <w:color w:val="auto"/>
          <w:sz w:val="24"/>
          <w:highlight w:val="none"/>
        </w:rPr>
        <w:t>服务的，甲方向乙方偿付合同款项百分之五作为违约金。</w:t>
      </w:r>
    </w:p>
    <w:p w14:paraId="103C8F0A">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ascii="宋体" w:hAnsi="宋体"/>
          <w:color w:val="auto"/>
          <w:sz w:val="24"/>
          <w:highlight w:val="none"/>
        </w:rPr>
        <w:t>甲方无故逾期验收和办理款项支付手续的,甲方应按逾期付款总额每日万分之五向乙方支付违约金。</w:t>
      </w:r>
    </w:p>
    <w:p w14:paraId="086DB943">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3、</w:t>
      </w:r>
      <w:r>
        <w:rPr>
          <w:rFonts w:ascii="宋体" w:hAnsi="宋体"/>
          <w:color w:val="auto"/>
          <w:sz w:val="24"/>
          <w:highlight w:val="none"/>
        </w:rPr>
        <w:t>乙方</w:t>
      </w:r>
      <w:r>
        <w:rPr>
          <w:rFonts w:hint="eastAsia" w:ascii="宋体" w:hAnsi="宋体"/>
          <w:color w:val="auto"/>
          <w:sz w:val="24"/>
          <w:highlight w:val="none"/>
        </w:rPr>
        <w:t>未能如</w:t>
      </w:r>
      <w:r>
        <w:rPr>
          <w:rFonts w:ascii="宋体" w:hAnsi="宋体"/>
          <w:color w:val="auto"/>
          <w:sz w:val="24"/>
          <w:highlight w:val="none"/>
        </w:rPr>
        <w:t>期提供服务的，每日向甲方支付</w:t>
      </w:r>
      <w:r>
        <w:rPr>
          <w:rFonts w:hint="eastAsia" w:ascii="宋体" w:hAnsi="宋体"/>
          <w:color w:val="auto"/>
          <w:sz w:val="24"/>
          <w:highlight w:val="none"/>
        </w:rPr>
        <w:t>合同款项的</w:t>
      </w:r>
      <w:r>
        <w:rPr>
          <w:rFonts w:ascii="宋体" w:hAnsi="宋体"/>
          <w:color w:val="auto"/>
          <w:sz w:val="24"/>
          <w:highlight w:val="none"/>
        </w:rPr>
        <w:t>千分之六</w:t>
      </w:r>
      <w:r>
        <w:rPr>
          <w:rFonts w:hint="eastAsia" w:ascii="宋体" w:hAnsi="宋体"/>
          <w:color w:val="auto"/>
          <w:sz w:val="24"/>
          <w:highlight w:val="none"/>
        </w:rPr>
        <w:t>作为</w:t>
      </w:r>
      <w:r>
        <w:rPr>
          <w:rFonts w:ascii="宋体" w:hAnsi="宋体"/>
          <w:color w:val="auto"/>
          <w:sz w:val="24"/>
          <w:highlight w:val="none"/>
        </w:rPr>
        <w:t>违约金。乙方超过约定日期10个工作日</w:t>
      </w:r>
      <w:r>
        <w:rPr>
          <w:rFonts w:hint="eastAsia" w:ascii="宋体" w:hAnsi="宋体"/>
          <w:color w:val="auto"/>
          <w:sz w:val="24"/>
          <w:highlight w:val="none"/>
        </w:rPr>
        <w:t>仍</w:t>
      </w:r>
      <w:r>
        <w:rPr>
          <w:rFonts w:ascii="宋体" w:hAnsi="宋体"/>
          <w:color w:val="auto"/>
          <w:sz w:val="24"/>
          <w:highlight w:val="none"/>
        </w:rPr>
        <w:t>不能</w:t>
      </w:r>
      <w:r>
        <w:rPr>
          <w:rFonts w:hint="eastAsia" w:ascii="宋体" w:hAnsi="宋体"/>
          <w:color w:val="auto"/>
          <w:sz w:val="24"/>
          <w:highlight w:val="none"/>
        </w:rPr>
        <w:t>提供服务</w:t>
      </w:r>
      <w:r>
        <w:rPr>
          <w:rFonts w:ascii="宋体" w:hAnsi="宋体"/>
          <w:color w:val="auto"/>
          <w:sz w:val="24"/>
          <w:highlight w:val="none"/>
        </w:rPr>
        <w:t>的，甲方可解除本合同。乙方因</w:t>
      </w:r>
      <w:r>
        <w:rPr>
          <w:rFonts w:hint="eastAsia" w:ascii="宋体" w:hAnsi="宋体"/>
          <w:color w:val="auto"/>
          <w:sz w:val="24"/>
          <w:highlight w:val="none"/>
        </w:rPr>
        <w:t>未能如</w:t>
      </w:r>
      <w:r>
        <w:rPr>
          <w:rFonts w:ascii="宋体" w:hAnsi="宋体"/>
          <w:color w:val="auto"/>
          <w:sz w:val="24"/>
          <w:highlight w:val="none"/>
        </w:rPr>
        <w:t xml:space="preserve">期提供服务或因其他违约行为导致甲方解除合同的，乙方应向甲方支付合同总值5%的违约金，如造成甲方损失超过违约金的，超出部分由乙方继续承担赔偿责任。 </w:t>
      </w:r>
    </w:p>
    <w:p w14:paraId="62221D6C">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三</w:t>
      </w:r>
      <w:r>
        <w:rPr>
          <w:rFonts w:ascii="宋体" w:hAnsi="宋体"/>
          <w:b/>
          <w:color w:val="auto"/>
          <w:sz w:val="24"/>
          <w:highlight w:val="none"/>
        </w:rPr>
        <w:t>、不可抗力事件处理</w:t>
      </w:r>
    </w:p>
    <w:p w14:paraId="3245F9B5">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1、</w:t>
      </w:r>
      <w:r>
        <w:rPr>
          <w:rFonts w:ascii="宋体" w:hAnsi="宋体"/>
          <w:color w:val="auto"/>
          <w:sz w:val="24"/>
          <w:highlight w:val="none"/>
        </w:rPr>
        <w:t>在合同有效期内，任何一方因不可抗力事件导致不能履行合同，则合同履行期可延长，其延长期与不可抗力影响期相同。</w:t>
      </w:r>
    </w:p>
    <w:p w14:paraId="4DE73E2E">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ascii="宋体" w:hAnsi="宋体"/>
          <w:color w:val="auto"/>
          <w:sz w:val="24"/>
          <w:highlight w:val="none"/>
        </w:rPr>
        <w:t>不可抗力事件发生后，应立即通知对方，并寄送有关权威机构出具的证明。</w:t>
      </w:r>
    </w:p>
    <w:p w14:paraId="359B940E">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3、</w:t>
      </w:r>
      <w:r>
        <w:rPr>
          <w:rFonts w:ascii="宋体" w:hAnsi="宋体"/>
          <w:color w:val="auto"/>
          <w:sz w:val="24"/>
          <w:highlight w:val="none"/>
        </w:rPr>
        <w:t>不可抗力事件延续120天以上，双方应通过友好协商，确定是否继续履行合同。</w:t>
      </w:r>
    </w:p>
    <w:p w14:paraId="7067B24A">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四</w:t>
      </w:r>
      <w:r>
        <w:rPr>
          <w:rFonts w:ascii="宋体" w:hAnsi="宋体"/>
          <w:b/>
          <w:color w:val="auto"/>
          <w:sz w:val="24"/>
          <w:highlight w:val="none"/>
        </w:rPr>
        <w:t>、诉讼</w:t>
      </w:r>
    </w:p>
    <w:p w14:paraId="372E6B28">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jc w:val="left"/>
        <w:textAlignment w:val="auto"/>
        <w:rPr>
          <w:rFonts w:ascii="宋体" w:hAnsi="宋体"/>
          <w:color w:val="auto"/>
          <w:sz w:val="24"/>
          <w:highlight w:val="none"/>
        </w:rPr>
      </w:pPr>
      <w:r>
        <w:rPr>
          <w:rFonts w:ascii="宋体" w:hAnsi="宋体"/>
          <w:color w:val="auto"/>
          <w:sz w:val="24"/>
          <w:highlight w:val="none"/>
        </w:rPr>
        <w:t>双方在执行合同中所发生的一切争议，应通过协商解决。如协商不成，可向</w:t>
      </w:r>
      <w:r>
        <w:rPr>
          <w:rFonts w:hint="eastAsia" w:ascii="宋体" w:hAnsi="宋体"/>
          <w:color w:val="auto"/>
          <w:sz w:val="24"/>
          <w:highlight w:val="none"/>
        </w:rPr>
        <w:t>甲方所在</w:t>
      </w:r>
      <w:r>
        <w:rPr>
          <w:rFonts w:ascii="宋体" w:hAnsi="宋体"/>
          <w:color w:val="auto"/>
          <w:sz w:val="24"/>
          <w:highlight w:val="none"/>
        </w:rPr>
        <w:t>地法院起诉。</w:t>
      </w:r>
    </w:p>
    <w:p w14:paraId="76CD670C">
      <w:pPr>
        <w:keepNext w:val="0"/>
        <w:keepLines w:val="0"/>
        <w:pageBreakBefore w:val="0"/>
        <w:widowControl w:val="0"/>
        <w:kinsoku/>
        <w:wordWrap/>
        <w:overflowPunct/>
        <w:topLinePunct w:val="0"/>
        <w:autoSpaceDE/>
        <w:autoSpaceDN/>
        <w:bidi w:val="0"/>
        <w:adjustRightInd/>
        <w:snapToGrid w:val="0"/>
        <w:spacing w:before="120" w:after="120" w:line="440" w:lineRule="exact"/>
        <w:textAlignment w:val="auto"/>
        <w:rPr>
          <w:rFonts w:ascii="宋体" w:hAnsi="宋体"/>
          <w:b/>
          <w:color w:val="auto"/>
          <w:sz w:val="24"/>
          <w:highlight w:val="none"/>
        </w:rPr>
      </w:pPr>
      <w:r>
        <w:rPr>
          <w:rFonts w:ascii="宋体" w:hAnsi="宋体"/>
          <w:b/>
          <w:color w:val="auto"/>
          <w:sz w:val="24"/>
          <w:highlight w:val="none"/>
        </w:rPr>
        <w:t>十</w:t>
      </w:r>
      <w:r>
        <w:rPr>
          <w:rFonts w:hint="eastAsia" w:ascii="宋体" w:hAnsi="宋体"/>
          <w:b/>
          <w:color w:val="auto"/>
          <w:sz w:val="24"/>
          <w:highlight w:val="none"/>
        </w:rPr>
        <w:t>五</w:t>
      </w:r>
      <w:r>
        <w:rPr>
          <w:rFonts w:ascii="宋体" w:hAnsi="宋体"/>
          <w:b/>
          <w:color w:val="auto"/>
          <w:sz w:val="24"/>
          <w:highlight w:val="none"/>
        </w:rPr>
        <w:t>、合同生效</w:t>
      </w:r>
      <w:r>
        <w:rPr>
          <w:rFonts w:hint="eastAsia" w:ascii="宋体" w:hAnsi="宋体"/>
          <w:b/>
          <w:color w:val="auto"/>
          <w:sz w:val="24"/>
          <w:highlight w:val="none"/>
          <w:lang w:eastAsia="zh-CN"/>
        </w:rPr>
        <w:t>及其他</w:t>
      </w:r>
    </w:p>
    <w:p w14:paraId="177E5E96">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1、</w:t>
      </w:r>
      <w:r>
        <w:rPr>
          <w:rFonts w:ascii="宋体" w:hAnsi="宋体"/>
          <w:color w:val="auto"/>
          <w:sz w:val="24"/>
          <w:highlight w:val="none"/>
        </w:rPr>
        <w:t>合同经</w:t>
      </w:r>
      <w:r>
        <w:rPr>
          <w:rFonts w:hint="eastAsia" w:ascii="宋体" w:hAnsi="宋体"/>
          <w:color w:val="auto"/>
          <w:sz w:val="24"/>
          <w:highlight w:val="none"/>
        </w:rPr>
        <w:t>三</w:t>
      </w:r>
      <w:r>
        <w:rPr>
          <w:rFonts w:ascii="宋体" w:hAnsi="宋体"/>
          <w:color w:val="auto"/>
          <w:sz w:val="24"/>
          <w:highlight w:val="none"/>
        </w:rPr>
        <w:t>方法定代表人或授权代表签字并加盖单位公章后</w:t>
      </w:r>
      <w:r>
        <w:rPr>
          <w:rFonts w:hint="eastAsia" w:ascii="宋体" w:hAnsi="宋体"/>
          <w:color w:val="auto"/>
          <w:sz w:val="24"/>
          <w:highlight w:val="none"/>
        </w:rPr>
        <w:t>，报东阳市财政局采监科备案后</w:t>
      </w:r>
      <w:r>
        <w:rPr>
          <w:rFonts w:ascii="宋体" w:hAnsi="宋体"/>
          <w:color w:val="auto"/>
          <w:sz w:val="24"/>
          <w:highlight w:val="none"/>
        </w:rPr>
        <w:t>生效。</w:t>
      </w:r>
    </w:p>
    <w:p w14:paraId="5C6B3341">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2、</w:t>
      </w:r>
      <w:r>
        <w:rPr>
          <w:rFonts w:ascii="宋体" w:hAnsi="宋体"/>
          <w:color w:val="auto"/>
          <w:sz w:val="24"/>
          <w:highlight w:val="none"/>
        </w:rPr>
        <w:t>合同执行中涉及采购资金和采购内容修改或补充的，须经财政部门审批，并</w:t>
      </w:r>
      <w:r>
        <w:rPr>
          <w:rFonts w:hint="eastAsia" w:ascii="宋体" w:hAnsi="宋体"/>
          <w:color w:val="auto"/>
          <w:sz w:val="24"/>
          <w:highlight w:val="none"/>
          <w:lang w:eastAsia="zh-CN"/>
        </w:rPr>
        <w:t>签订</w:t>
      </w:r>
      <w:r>
        <w:rPr>
          <w:rFonts w:ascii="宋体" w:hAnsi="宋体"/>
          <w:color w:val="auto"/>
          <w:sz w:val="24"/>
          <w:highlight w:val="none"/>
        </w:rPr>
        <w:t>书面补充协议报政府采购监督管理部门备案，方可作为主合同不可分割的一部分。</w:t>
      </w:r>
    </w:p>
    <w:p w14:paraId="6BE06878">
      <w:pPr>
        <w:keepNext w:val="0"/>
        <w:keepLines w:val="0"/>
        <w:pageBreakBefore w:val="0"/>
        <w:widowControl w:val="0"/>
        <w:kinsoku/>
        <w:wordWrap/>
        <w:overflowPunct/>
        <w:topLinePunct w:val="0"/>
        <w:autoSpaceDE/>
        <w:autoSpaceDN/>
        <w:bidi w:val="0"/>
        <w:adjustRightInd/>
        <w:snapToGrid w:val="0"/>
        <w:spacing w:before="120" w:after="120"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3、</w:t>
      </w:r>
      <w:r>
        <w:rPr>
          <w:rFonts w:ascii="宋体" w:hAnsi="宋体"/>
          <w:color w:val="auto"/>
          <w:sz w:val="24"/>
          <w:highlight w:val="none"/>
        </w:rPr>
        <w:t>本合同未尽事宜，遵照</w:t>
      </w:r>
      <w:r>
        <w:rPr>
          <w:rFonts w:hint="eastAsia" w:ascii="宋体" w:hAnsi="宋体"/>
          <w:color w:val="auto"/>
          <w:sz w:val="24"/>
          <w:highlight w:val="none"/>
        </w:rPr>
        <w:t>《中华人民共和国民法典》</w:t>
      </w:r>
      <w:r>
        <w:rPr>
          <w:rFonts w:ascii="宋体" w:hAnsi="宋体"/>
          <w:color w:val="auto"/>
          <w:sz w:val="24"/>
          <w:highlight w:val="none"/>
        </w:rPr>
        <w:t>有关条文执行。</w:t>
      </w:r>
    </w:p>
    <w:p w14:paraId="7C5E4626">
      <w:pPr>
        <w:keepNext w:val="0"/>
        <w:keepLines w:val="0"/>
        <w:pageBreakBefore w:val="0"/>
        <w:widowControl w:val="0"/>
        <w:kinsoku/>
        <w:wordWrap/>
        <w:overflowPunct/>
        <w:topLinePunct w:val="0"/>
        <w:autoSpaceDE/>
        <w:autoSpaceDN/>
        <w:bidi w:val="0"/>
        <w:adjustRightInd/>
        <w:spacing w:line="440" w:lineRule="exact"/>
        <w:ind w:firstLine="480" w:firstLineChars="200"/>
        <w:textAlignment w:val="auto"/>
        <w:rPr>
          <w:rFonts w:ascii="宋体" w:hAnsi="宋体"/>
          <w:color w:val="auto"/>
          <w:sz w:val="24"/>
          <w:highlight w:val="none"/>
        </w:rPr>
      </w:pPr>
      <w:r>
        <w:rPr>
          <w:rFonts w:hint="eastAsia" w:ascii="宋体" w:hAnsi="宋体"/>
          <w:color w:val="auto"/>
          <w:sz w:val="24"/>
          <w:highlight w:val="none"/>
          <w:lang w:val="en-US" w:eastAsia="zh-CN"/>
        </w:rPr>
        <w:t>4、</w:t>
      </w:r>
      <w:r>
        <w:rPr>
          <w:rFonts w:hint="eastAsia" w:ascii="宋体" w:hAnsi="宋体"/>
          <w:color w:val="auto"/>
          <w:sz w:val="24"/>
          <w:highlight w:val="none"/>
        </w:rPr>
        <w:t>本合同一式六份，东阳市财政局采监科、招标代理机构各执一份，甲、乙双方各执二份，其都具有同等法律效力。</w:t>
      </w:r>
    </w:p>
    <w:p w14:paraId="7C3DFC4E">
      <w:pPr>
        <w:keepNext w:val="0"/>
        <w:keepLines w:val="0"/>
        <w:pageBreakBefore w:val="0"/>
        <w:widowControl w:val="0"/>
        <w:kinsoku/>
        <w:wordWrap/>
        <w:overflowPunct/>
        <w:topLinePunct w:val="0"/>
        <w:autoSpaceDE/>
        <w:autoSpaceDN/>
        <w:bidi w:val="0"/>
        <w:adjustRightInd/>
        <w:spacing w:line="440" w:lineRule="exact"/>
        <w:ind w:firstLine="482" w:firstLineChars="200"/>
        <w:textAlignment w:val="auto"/>
        <w:rPr>
          <w:rFonts w:hint="eastAsia"/>
          <w:color w:val="auto"/>
          <w:highlight w:val="none"/>
        </w:rPr>
      </w:pPr>
      <w:r>
        <w:rPr>
          <w:rFonts w:hint="eastAsia" w:ascii="宋体" w:hAnsi="宋体"/>
          <w:b/>
          <w:color w:val="auto"/>
          <w:sz w:val="24"/>
          <w:highlight w:val="none"/>
          <w:lang w:val="en-US" w:eastAsia="zh-CN"/>
        </w:rPr>
        <w:t>5、</w:t>
      </w:r>
      <w:r>
        <w:rPr>
          <w:rFonts w:hint="eastAsia" w:ascii="宋体" w:hAnsi="宋体"/>
          <w:b/>
          <w:color w:val="auto"/>
          <w:sz w:val="24"/>
          <w:highlight w:val="none"/>
        </w:rPr>
        <w:t>后附政府采购廉洁承诺书。</w:t>
      </w:r>
    </w:p>
    <w:p w14:paraId="028F4AA6">
      <w:pPr>
        <w:keepNext w:val="0"/>
        <w:keepLines w:val="0"/>
        <w:pageBreakBefore w:val="0"/>
        <w:widowControl w:val="0"/>
        <w:kinsoku/>
        <w:wordWrap/>
        <w:overflowPunct/>
        <w:topLinePunct w:val="0"/>
        <w:autoSpaceDE/>
        <w:autoSpaceDN/>
        <w:bidi w:val="0"/>
        <w:adjustRightInd/>
        <w:spacing w:before="120" w:after="120" w:line="440" w:lineRule="exact"/>
        <w:textAlignment w:val="auto"/>
        <w:rPr>
          <w:rFonts w:ascii="宋体" w:hAnsi="宋体"/>
          <w:color w:val="auto"/>
          <w:sz w:val="24"/>
          <w:highlight w:val="none"/>
        </w:rPr>
      </w:pPr>
      <w:r>
        <w:rPr>
          <w:rFonts w:hint="eastAsia" w:ascii="宋体" w:hAnsi="宋体"/>
          <w:b/>
          <w:bCs/>
          <w:color w:val="auto"/>
          <w:sz w:val="24"/>
          <w:highlight w:val="none"/>
        </w:rPr>
        <w:t>甲方（盖公章）：                       乙方（盖公章）：</w:t>
      </w:r>
    </w:p>
    <w:p w14:paraId="4CB5F5CB">
      <w:pPr>
        <w:keepNext w:val="0"/>
        <w:keepLines w:val="0"/>
        <w:pageBreakBefore w:val="0"/>
        <w:widowControl w:val="0"/>
        <w:kinsoku/>
        <w:wordWrap/>
        <w:overflowPunct/>
        <w:topLinePunct w:val="0"/>
        <w:autoSpaceDE/>
        <w:autoSpaceDN/>
        <w:bidi w:val="0"/>
        <w:adjustRightInd/>
        <w:snapToGrid w:val="0"/>
        <w:spacing w:before="120" w:after="120" w:line="440" w:lineRule="exact"/>
        <w:ind w:leftChars="-1" w:hanging="2"/>
        <w:textAlignment w:val="auto"/>
        <w:rPr>
          <w:rFonts w:ascii="宋体" w:hAnsi="宋体"/>
          <w:color w:val="auto"/>
          <w:sz w:val="24"/>
          <w:highlight w:val="none"/>
        </w:rPr>
      </w:pPr>
      <w:r>
        <w:rPr>
          <w:rFonts w:hint="eastAsia" w:ascii="宋体" w:hAnsi="宋体"/>
          <w:color w:val="auto"/>
          <w:sz w:val="24"/>
          <w:highlight w:val="none"/>
        </w:rPr>
        <w:t>法定代表人或受委托人                 法定代表人或受委托人</w:t>
      </w:r>
    </w:p>
    <w:p w14:paraId="10DADE0E">
      <w:pPr>
        <w:keepNext w:val="0"/>
        <w:keepLines w:val="0"/>
        <w:pageBreakBefore w:val="0"/>
        <w:widowControl w:val="0"/>
        <w:kinsoku/>
        <w:wordWrap/>
        <w:overflowPunct/>
        <w:topLinePunct w:val="0"/>
        <w:autoSpaceDE/>
        <w:autoSpaceDN/>
        <w:bidi w:val="0"/>
        <w:adjustRightInd/>
        <w:snapToGrid w:val="0"/>
        <w:spacing w:before="120" w:after="120" w:line="440" w:lineRule="exact"/>
        <w:ind w:left="1" w:leftChars="-28" w:hanging="60"/>
        <w:textAlignment w:val="auto"/>
        <w:rPr>
          <w:rFonts w:ascii="宋体" w:hAnsi="宋体"/>
          <w:color w:val="auto"/>
          <w:sz w:val="24"/>
          <w:highlight w:val="none"/>
        </w:rPr>
      </w:pPr>
      <w:r>
        <w:rPr>
          <w:rFonts w:hint="eastAsia" w:ascii="宋体" w:hAnsi="宋体"/>
          <w:color w:val="auto"/>
          <w:sz w:val="24"/>
          <w:highlight w:val="none"/>
        </w:rPr>
        <w:t>（签字）                             （签字）</w:t>
      </w:r>
    </w:p>
    <w:p w14:paraId="2825C187">
      <w:pPr>
        <w:keepNext w:val="0"/>
        <w:keepLines w:val="0"/>
        <w:pageBreakBefore w:val="0"/>
        <w:widowControl w:val="0"/>
        <w:kinsoku/>
        <w:wordWrap/>
        <w:overflowPunct/>
        <w:topLinePunct w:val="0"/>
        <w:autoSpaceDE/>
        <w:autoSpaceDN/>
        <w:bidi w:val="0"/>
        <w:adjustRightInd/>
        <w:snapToGrid w:val="0"/>
        <w:spacing w:before="120" w:after="120" w:line="440" w:lineRule="exact"/>
        <w:ind w:leftChars="-1" w:hanging="2"/>
        <w:textAlignment w:val="auto"/>
        <w:rPr>
          <w:rFonts w:ascii="宋体" w:hAnsi="宋体"/>
          <w:color w:val="auto"/>
          <w:sz w:val="24"/>
          <w:highlight w:val="none"/>
        </w:rPr>
      </w:pPr>
      <w:r>
        <w:rPr>
          <w:rFonts w:hint="eastAsia" w:ascii="宋体" w:hAnsi="宋体"/>
          <w:color w:val="auto"/>
          <w:sz w:val="24"/>
          <w:highlight w:val="none"/>
        </w:rPr>
        <w:t>地址：                               地址：</w:t>
      </w:r>
    </w:p>
    <w:p w14:paraId="04BF68BE">
      <w:pPr>
        <w:keepNext w:val="0"/>
        <w:keepLines w:val="0"/>
        <w:pageBreakBefore w:val="0"/>
        <w:widowControl w:val="0"/>
        <w:kinsoku/>
        <w:wordWrap/>
        <w:overflowPunct/>
        <w:topLinePunct w:val="0"/>
        <w:autoSpaceDE/>
        <w:autoSpaceDN/>
        <w:bidi w:val="0"/>
        <w:adjustRightInd/>
        <w:snapToGrid w:val="0"/>
        <w:spacing w:before="120" w:after="120" w:line="440" w:lineRule="exact"/>
        <w:ind w:leftChars="-1" w:hanging="2"/>
        <w:textAlignment w:val="auto"/>
        <w:rPr>
          <w:rFonts w:ascii="宋体" w:hAnsi="宋体"/>
          <w:color w:val="auto"/>
          <w:sz w:val="24"/>
          <w:highlight w:val="none"/>
        </w:rPr>
      </w:pPr>
      <w:r>
        <w:rPr>
          <w:rFonts w:hint="eastAsia" w:ascii="宋体" w:hAnsi="宋体"/>
          <w:color w:val="auto"/>
          <w:sz w:val="24"/>
          <w:highlight w:val="none"/>
        </w:rPr>
        <w:t>邮编：                               邮编：</w:t>
      </w:r>
    </w:p>
    <w:p w14:paraId="10C81824">
      <w:pPr>
        <w:keepNext w:val="0"/>
        <w:keepLines w:val="0"/>
        <w:pageBreakBefore w:val="0"/>
        <w:widowControl w:val="0"/>
        <w:kinsoku/>
        <w:wordWrap/>
        <w:overflowPunct/>
        <w:topLinePunct w:val="0"/>
        <w:autoSpaceDE/>
        <w:autoSpaceDN/>
        <w:bidi w:val="0"/>
        <w:adjustRightInd/>
        <w:snapToGrid w:val="0"/>
        <w:spacing w:before="120" w:after="120" w:line="440" w:lineRule="exact"/>
        <w:ind w:leftChars="-1" w:hanging="2"/>
        <w:textAlignment w:val="auto"/>
        <w:rPr>
          <w:rFonts w:ascii="宋体" w:hAnsi="宋体"/>
          <w:color w:val="auto"/>
          <w:sz w:val="24"/>
          <w:highlight w:val="none"/>
        </w:rPr>
      </w:pPr>
      <w:r>
        <w:rPr>
          <w:rFonts w:hint="eastAsia" w:ascii="宋体" w:hAnsi="宋体"/>
          <w:color w:val="auto"/>
          <w:sz w:val="24"/>
          <w:highlight w:val="none"/>
        </w:rPr>
        <w:t>电话：                               电话：</w:t>
      </w:r>
    </w:p>
    <w:p w14:paraId="22719CA0">
      <w:pPr>
        <w:keepNext w:val="0"/>
        <w:keepLines w:val="0"/>
        <w:pageBreakBefore w:val="0"/>
        <w:widowControl w:val="0"/>
        <w:kinsoku/>
        <w:wordWrap/>
        <w:overflowPunct/>
        <w:topLinePunct w:val="0"/>
        <w:autoSpaceDE/>
        <w:autoSpaceDN/>
        <w:bidi w:val="0"/>
        <w:adjustRightInd/>
        <w:snapToGrid w:val="0"/>
        <w:spacing w:before="120" w:after="120" w:line="440" w:lineRule="exact"/>
        <w:ind w:leftChars="-1" w:hanging="2"/>
        <w:textAlignment w:val="auto"/>
        <w:rPr>
          <w:rFonts w:ascii="宋体" w:hAnsi="宋体"/>
          <w:color w:val="auto"/>
          <w:sz w:val="24"/>
          <w:highlight w:val="none"/>
        </w:rPr>
      </w:pPr>
      <w:r>
        <w:rPr>
          <w:rFonts w:hint="eastAsia" w:ascii="宋体" w:hAnsi="宋体"/>
          <w:color w:val="auto"/>
          <w:sz w:val="24"/>
          <w:highlight w:val="none"/>
        </w:rPr>
        <w:t>传真：                               传真：</w:t>
      </w:r>
    </w:p>
    <w:p w14:paraId="3B3DE519">
      <w:pPr>
        <w:keepNext w:val="0"/>
        <w:keepLines w:val="0"/>
        <w:pageBreakBefore w:val="0"/>
        <w:widowControl w:val="0"/>
        <w:kinsoku/>
        <w:wordWrap/>
        <w:overflowPunct/>
        <w:topLinePunct w:val="0"/>
        <w:autoSpaceDE/>
        <w:autoSpaceDN/>
        <w:bidi w:val="0"/>
        <w:adjustRightInd/>
        <w:spacing w:line="440" w:lineRule="exact"/>
        <w:textAlignment w:val="auto"/>
        <w:rPr>
          <w:rFonts w:ascii="宋体" w:hAnsi="宋体"/>
          <w:color w:val="auto"/>
          <w:sz w:val="24"/>
          <w:highlight w:val="none"/>
        </w:rPr>
      </w:pPr>
      <w:r>
        <w:rPr>
          <w:rFonts w:hint="eastAsia" w:ascii="宋体" w:hAnsi="宋体"/>
          <w:color w:val="auto"/>
          <w:sz w:val="24"/>
          <w:highlight w:val="none"/>
        </w:rPr>
        <w:t>开户银行：                           开户银行：</w:t>
      </w:r>
    </w:p>
    <w:p w14:paraId="58123AF5">
      <w:pPr>
        <w:keepNext w:val="0"/>
        <w:keepLines w:val="0"/>
        <w:pageBreakBefore w:val="0"/>
        <w:widowControl w:val="0"/>
        <w:kinsoku/>
        <w:wordWrap/>
        <w:overflowPunct/>
        <w:topLinePunct w:val="0"/>
        <w:autoSpaceDE/>
        <w:autoSpaceDN/>
        <w:bidi w:val="0"/>
        <w:adjustRightInd/>
        <w:snapToGrid w:val="0"/>
        <w:spacing w:before="120" w:after="120" w:line="440" w:lineRule="exact"/>
        <w:ind w:leftChars="-1" w:hanging="2"/>
        <w:textAlignment w:val="auto"/>
        <w:rPr>
          <w:rFonts w:ascii="宋体" w:hAnsi="宋体"/>
          <w:color w:val="auto"/>
          <w:sz w:val="24"/>
          <w:highlight w:val="none"/>
        </w:rPr>
      </w:pPr>
      <w:r>
        <w:rPr>
          <w:rFonts w:hint="eastAsia" w:ascii="宋体" w:hAnsi="宋体"/>
          <w:color w:val="auto"/>
          <w:sz w:val="24"/>
          <w:highlight w:val="none"/>
          <w:lang w:val="en-US" w:eastAsia="zh-CN"/>
        </w:rPr>
        <w:t>账号</w:t>
      </w:r>
      <w:r>
        <w:rPr>
          <w:rFonts w:hint="eastAsia" w:ascii="宋体" w:hAnsi="宋体"/>
          <w:color w:val="auto"/>
          <w:sz w:val="24"/>
          <w:highlight w:val="none"/>
        </w:rPr>
        <w:t xml:space="preserve">：                               </w:t>
      </w:r>
      <w:r>
        <w:rPr>
          <w:rFonts w:hint="eastAsia" w:ascii="宋体" w:hAnsi="宋体"/>
          <w:color w:val="auto"/>
          <w:sz w:val="24"/>
          <w:highlight w:val="none"/>
          <w:lang w:val="en-US" w:eastAsia="zh-CN"/>
        </w:rPr>
        <w:t>账号</w:t>
      </w:r>
      <w:r>
        <w:rPr>
          <w:rFonts w:hint="eastAsia" w:ascii="宋体" w:hAnsi="宋体"/>
          <w:color w:val="auto"/>
          <w:sz w:val="24"/>
          <w:highlight w:val="none"/>
        </w:rPr>
        <w:t>：</w:t>
      </w:r>
    </w:p>
    <w:p w14:paraId="3183073D">
      <w:pPr>
        <w:keepNext w:val="0"/>
        <w:keepLines w:val="0"/>
        <w:pageBreakBefore w:val="0"/>
        <w:widowControl w:val="0"/>
        <w:kinsoku/>
        <w:wordWrap/>
        <w:overflowPunct/>
        <w:topLinePunct w:val="0"/>
        <w:autoSpaceDE/>
        <w:autoSpaceDN/>
        <w:bidi w:val="0"/>
        <w:adjustRightInd/>
        <w:snapToGrid w:val="0"/>
        <w:spacing w:before="156" w:after="156" w:line="440" w:lineRule="exact"/>
        <w:textAlignment w:val="auto"/>
        <w:rPr>
          <w:rFonts w:hint="eastAsia" w:ascii="宋体" w:hAnsi="宋体"/>
          <w:color w:val="auto"/>
          <w:sz w:val="24"/>
          <w:highlight w:val="none"/>
        </w:rPr>
      </w:pPr>
    </w:p>
    <w:p w14:paraId="1C2E0E75">
      <w:pPr>
        <w:keepNext w:val="0"/>
        <w:keepLines w:val="0"/>
        <w:pageBreakBefore w:val="0"/>
        <w:widowControl w:val="0"/>
        <w:kinsoku/>
        <w:wordWrap/>
        <w:overflowPunct/>
        <w:topLinePunct w:val="0"/>
        <w:autoSpaceDE/>
        <w:autoSpaceDN/>
        <w:bidi w:val="0"/>
        <w:adjustRightInd/>
        <w:snapToGrid w:val="0"/>
        <w:spacing w:before="156" w:after="156" w:line="440" w:lineRule="exact"/>
        <w:textAlignment w:val="auto"/>
        <w:rPr>
          <w:rFonts w:ascii="宋体" w:hAnsi="宋体"/>
          <w:color w:val="auto"/>
          <w:sz w:val="24"/>
          <w:highlight w:val="none"/>
        </w:rPr>
      </w:pPr>
      <w:r>
        <w:rPr>
          <w:rFonts w:hint="eastAsia" w:ascii="宋体" w:hAnsi="宋体"/>
          <w:color w:val="auto"/>
          <w:sz w:val="24"/>
          <w:highlight w:val="none"/>
        </w:rPr>
        <w:t>鉴证方:</w:t>
      </w:r>
    </w:p>
    <w:p w14:paraId="1B44F132">
      <w:pPr>
        <w:keepNext w:val="0"/>
        <w:keepLines w:val="0"/>
        <w:pageBreakBefore w:val="0"/>
        <w:widowControl w:val="0"/>
        <w:kinsoku/>
        <w:wordWrap/>
        <w:overflowPunct/>
        <w:topLinePunct w:val="0"/>
        <w:autoSpaceDE/>
        <w:autoSpaceDN/>
        <w:bidi w:val="0"/>
        <w:adjustRightInd/>
        <w:snapToGrid w:val="0"/>
        <w:spacing w:before="156" w:after="156" w:line="440" w:lineRule="exact"/>
        <w:textAlignment w:val="auto"/>
        <w:rPr>
          <w:rFonts w:ascii="宋体" w:hAnsi="宋体"/>
          <w:color w:val="auto"/>
          <w:sz w:val="24"/>
          <w:highlight w:val="none"/>
        </w:rPr>
      </w:pPr>
      <w:r>
        <w:rPr>
          <w:rFonts w:hint="eastAsia" w:ascii="宋体" w:hAnsi="宋体"/>
          <w:color w:val="auto"/>
          <w:sz w:val="24"/>
          <w:highlight w:val="none"/>
        </w:rPr>
        <w:t>法定代表人或主要负责人:</w:t>
      </w:r>
    </w:p>
    <w:p w14:paraId="2DE2EEB7">
      <w:pPr>
        <w:keepNext w:val="0"/>
        <w:keepLines w:val="0"/>
        <w:pageBreakBefore w:val="0"/>
        <w:widowControl w:val="0"/>
        <w:kinsoku/>
        <w:wordWrap/>
        <w:overflowPunct/>
        <w:topLinePunct w:val="0"/>
        <w:autoSpaceDE/>
        <w:autoSpaceDN/>
        <w:bidi w:val="0"/>
        <w:adjustRightInd/>
        <w:spacing w:line="440" w:lineRule="exact"/>
        <w:textAlignment w:val="auto"/>
        <w:rPr>
          <w:rFonts w:hint="eastAsia" w:ascii="宋体" w:hAnsi="宋体"/>
          <w:color w:val="auto"/>
          <w:sz w:val="24"/>
          <w:highlight w:val="none"/>
        </w:rPr>
      </w:pPr>
      <w:r>
        <w:rPr>
          <w:rFonts w:hint="eastAsia" w:ascii="宋体" w:hAnsi="宋体"/>
          <w:color w:val="auto"/>
          <w:sz w:val="24"/>
          <w:highlight w:val="none"/>
        </w:rPr>
        <w:t>签约地点：</w:t>
      </w:r>
    </w:p>
    <w:p w14:paraId="4B8E0FC1">
      <w:pPr>
        <w:keepNext w:val="0"/>
        <w:keepLines w:val="0"/>
        <w:pageBreakBefore w:val="0"/>
        <w:widowControl w:val="0"/>
        <w:kinsoku/>
        <w:wordWrap/>
        <w:overflowPunct/>
        <w:topLinePunct w:val="0"/>
        <w:autoSpaceDE/>
        <w:autoSpaceDN/>
        <w:bidi w:val="0"/>
        <w:adjustRightInd/>
        <w:spacing w:line="440" w:lineRule="exact"/>
        <w:textAlignment w:val="auto"/>
        <w:rPr>
          <w:rFonts w:ascii="宋体" w:hAnsi="宋体"/>
          <w:b/>
          <w:color w:val="auto"/>
          <w:sz w:val="24"/>
          <w:highlight w:val="none"/>
        </w:rPr>
      </w:pPr>
      <w:r>
        <w:rPr>
          <w:rFonts w:hint="eastAsia" w:ascii="宋体" w:hAnsi="宋体"/>
          <w:color w:val="auto"/>
          <w:sz w:val="24"/>
          <w:highlight w:val="none"/>
        </w:rPr>
        <w:t>签约时间：</w:t>
      </w:r>
    </w:p>
    <w:p w14:paraId="4AD7D047">
      <w:pPr>
        <w:pStyle w:val="11"/>
        <w:rPr>
          <w:rFonts w:ascii="宋体" w:hAnsi="宋体"/>
          <w:color w:val="auto"/>
          <w:sz w:val="24"/>
          <w:szCs w:val="24"/>
          <w:highlight w:val="none"/>
        </w:rPr>
      </w:pPr>
    </w:p>
    <w:p w14:paraId="3B1F28D3">
      <w:pPr>
        <w:spacing w:line="420" w:lineRule="exact"/>
        <w:jc w:val="center"/>
        <w:rPr>
          <w:rFonts w:ascii="宋体" w:hAnsi="宋体"/>
          <w:color w:val="auto"/>
          <w:sz w:val="24"/>
          <w:highlight w:val="none"/>
        </w:rPr>
      </w:pPr>
      <w:r>
        <w:rPr>
          <w:rFonts w:hint="eastAsia" w:ascii="宋体" w:hAnsi="宋体" w:cs="宋体"/>
          <w:b/>
          <w:color w:val="auto"/>
          <w:sz w:val="24"/>
          <w:highlight w:val="none"/>
        </w:rPr>
        <w:t>注：签订合同时，可以使用项目相关国家标准合同文本。</w:t>
      </w:r>
    </w:p>
    <w:p w14:paraId="4118712C">
      <w:pPr>
        <w:pageBreakBefore/>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政府采购廉洁承诺书</w:t>
      </w:r>
    </w:p>
    <w:p w14:paraId="5B2AA617">
      <w:pPr>
        <w:spacing w:line="360" w:lineRule="auto"/>
        <w:jc w:val="center"/>
        <w:rPr>
          <w:rFonts w:ascii="宋体" w:hAnsi="宋体" w:cs="宋体"/>
          <w:b/>
          <w:color w:val="auto"/>
          <w:sz w:val="24"/>
          <w:highlight w:val="none"/>
        </w:rPr>
      </w:pPr>
      <w:r>
        <w:rPr>
          <w:rFonts w:hint="eastAsia" w:ascii="宋体" w:hAnsi="宋体" w:cs="宋体"/>
          <w:b/>
          <w:color w:val="auto"/>
          <w:sz w:val="24"/>
          <w:highlight w:val="none"/>
        </w:rPr>
        <w:t>（中标人须将此表附在合同后）</w:t>
      </w:r>
    </w:p>
    <w:p w14:paraId="494402D1">
      <w:pPr>
        <w:spacing w:line="360" w:lineRule="auto"/>
        <w:jc w:val="center"/>
        <w:rPr>
          <w:rFonts w:ascii="宋体" w:hAnsi="宋体" w:cs="宋体"/>
          <w:b/>
          <w:color w:val="auto"/>
          <w:sz w:val="24"/>
          <w:highlight w:val="none"/>
        </w:rPr>
      </w:pPr>
    </w:p>
    <w:p w14:paraId="7F758B0F">
      <w:pPr>
        <w:spacing w:line="360" w:lineRule="auto"/>
        <w:rPr>
          <w:rFonts w:ascii="宋体" w:hAnsi="宋体" w:cs="宋体"/>
          <w:color w:val="auto"/>
          <w:sz w:val="24"/>
          <w:highlight w:val="none"/>
        </w:rPr>
      </w:pPr>
      <w:r>
        <w:rPr>
          <w:rFonts w:hint="eastAsia" w:ascii="宋体" w:hAnsi="宋体" w:cs="宋体"/>
          <w:color w:val="auto"/>
          <w:sz w:val="24"/>
          <w:highlight w:val="none"/>
        </w:rPr>
        <w:t>项目名称：                                     项目编号：</w:t>
      </w:r>
    </w:p>
    <w:p w14:paraId="0043DC1F">
      <w:pPr>
        <w:spacing w:line="360" w:lineRule="auto"/>
        <w:rPr>
          <w:rFonts w:ascii="宋体" w:hAnsi="宋体" w:cs="宋体"/>
          <w:color w:val="auto"/>
          <w:sz w:val="24"/>
          <w:highlight w:val="none"/>
        </w:rPr>
      </w:pPr>
      <w:r>
        <w:rPr>
          <w:rFonts w:hint="eastAsia" w:ascii="宋体" w:hAnsi="宋体" w:cs="宋体"/>
          <w:color w:val="auto"/>
          <w:sz w:val="24"/>
          <w:highlight w:val="none"/>
        </w:rPr>
        <w:t>中标人：</w:t>
      </w:r>
    </w:p>
    <w:p w14:paraId="7DCC7EE0">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为加强政府采购活动中的廉政建设，防止发生商业贿赂等违法违纪行为，保护国家、集体和当事人的合法权益，根据《中华人民共和国政府采购法》和党风廉政建设及反腐败工作有关规定，我方自愿签订本承诺书，并严格执行。</w:t>
      </w:r>
    </w:p>
    <w:p w14:paraId="4A711C2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第一条参与政府采购活动时，除具备采购文件规定的资格、资质要求外，我方还将严格遵守有关法律、法规、政策以及国家、地方关于廉政建设的各项规定。</w:t>
      </w:r>
    </w:p>
    <w:p w14:paraId="2444D49E">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第二条遵循公开、公平、公正、诚实信用原则，不发生损害上述原则及各方当事人合法权益得不正当竞争行为。</w:t>
      </w:r>
    </w:p>
    <w:p w14:paraId="501FAB3C">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第三条与政府采购各方当事人保持正常的业务交往，不向采购人、采购代理机构、监督机构、评审专家、工作人员及其他参与采购活动的人员提供不正当利益。主要有：</w:t>
      </w:r>
    </w:p>
    <w:p w14:paraId="751F9F35">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（一）向上述人员赠送礼金、有价证券、贵重物品及回扣、好处费、感谢费等。</w:t>
      </w:r>
    </w:p>
    <w:p w14:paraId="6BD8ADA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（二）为上述人员或单位报销应由对方支付的费用。</w:t>
      </w:r>
    </w:p>
    <w:p w14:paraId="63D6FFC8">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（三）暗示为上述人员装修住房、婚丧嫁娶、配偶子女的工作安排以及出国（境）、旅游等提供方便。</w:t>
      </w:r>
    </w:p>
    <w:p w14:paraId="7C24363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（四）为上述人员或单位提供可能影响采购活动开展的宴请、健身、娱乐等活动。</w:t>
      </w:r>
    </w:p>
    <w:p w14:paraId="12B3B806">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 xml:space="preserve">第四条严格执行采购合同，自觉按合同办事；在合同执行过程中，不发生本承诺书第三条中所列不良行为。    </w:t>
      </w:r>
    </w:p>
    <w:p w14:paraId="3C795519">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第五条 发现采购活动各方当事人有违规、违纪、违法行为的，及时提醒对方，情节严重的，主动向其主管部门或纪检监察、司法等机关举报。</w:t>
      </w:r>
    </w:p>
    <w:p w14:paraId="1D6BB723">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第六条 自觉接受政府采购管理部门的监管。在采购活动中出现违反本承诺书规定行为的，自觉接受政府采购管理部门的处罚，因违法违规行为给其他当事人造成经济损失的，按规定予以赔偿。</w:t>
      </w:r>
    </w:p>
    <w:p w14:paraId="0725DBDB">
      <w:pPr>
        <w:spacing w:line="400" w:lineRule="exact"/>
        <w:ind w:firstLine="480" w:firstLineChars="200"/>
        <w:rPr>
          <w:rFonts w:ascii="宋体" w:hAnsi="宋体" w:cs="宋体"/>
          <w:color w:val="auto"/>
          <w:sz w:val="24"/>
          <w:highlight w:val="none"/>
        </w:rPr>
      </w:pPr>
      <w:r>
        <w:rPr>
          <w:rFonts w:hint="eastAsia" w:ascii="宋体" w:hAnsi="宋体" w:cs="宋体"/>
          <w:color w:val="auto"/>
          <w:sz w:val="24"/>
          <w:highlight w:val="none"/>
        </w:rPr>
        <w:t>第七条 本承诺书自签署之日起生效。</w:t>
      </w:r>
    </w:p>
    <w:p w14:paraId="5DE3CA0C">
      <w:pPr>
        <w:spacing w:line="360" w:lineRule="auto"/>
        <w:ind w:left="840" w:hanging="840" w:hangingChars="350"/>
        <w:jc w:val="center"/>
        <w:rPr>
          <w:rFonts w:ascii="宋体" w:hAnsi="宋体" w:cs="宋体"/>
          <w:color w:val="auto"/>
          <w:sz w:val="24"/>
          <w:highlight w:val="none"/>
        </w:rPr>
      </w:pPr>
    </w:p>
    <w:p w14:paraId="76A921E0">
      <w:pPr>
        <w:spacing w:line="360" w:lineRule="auto"/>
        <w:ind w:left="840" w:hanging="840" w:hangingChars="350"/>
        <w:jc w:val="center"/>
        <w:rPr>
          <w:rFonts w:ascii="宋体" w:hAnsi="宋体" w:cs="宋体"/>
          <w:color w:val="auto"/>
          <w:sz w:val="24"/>
          <w:highlight w:val="none"/>
        </w:rPr>
      </w:pPr>
      <w:r>
        <w:rPr>
          <w:rFonts w:hint="eastAsia" w:ascii="宋体" w:hAnsi="宋体" w:cs="宋体"/>
          <w:color w:val="auto"/>
          <w:sz w:val="24"/>
          <w:highlight w:val="none"/>
        </w:rPr>
        <w:t xml:space="preserve"> 供应商（盖章）：</w:t>
      </w:r>
    </w:p>
    <w:p w14:paraId="2D7FC657">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法定代表人：</w:t>
      </w:r>
    </w:p>
    <w:p w14:paraId="306E7D62">
      <w:pPr>
        <w:spacing w:line="360" w:lineRule="auto"/>
        <w:ind w:left="840" w:hanging="840" w:hangingChars="350"/>
        <w:rPr>
          <w:rFonts w:ascii="宋体" w:hAnsi="宋体" w:cs="宋体"/>
          <w:color w:val="auto"/>
          <w:sz w:val="24"/>
          <w:highlight w:val="none"/>
        </w:rPr>
      </w:pPr>
      <w:r>
        <w:rPr>
          <w:rFonts w:hint="eastAsia" w:ascii="宋体" w:hAnsi="宋体" w:cs="宋体"/>
          <w:color w:val="auto"/>
          <w:sz w:val="24"/>
          <w:highlight w:val="none"/>
        </w:rPr>
        <w:t xml:space="preserve">                                                    年    月   日</w:t>
      </w:r>
    </w:p>
    <w:p w14:paraId="7093CC2B">
      <w:pPr>
        <w:spacing w:line="360" w:lineRule="auto"/>
        <w:ind w:left="840" w:hanging="840" w:hangingChars="350"/>
        <w:rPr>
          <w:rFonts w:ascii="宋体" w:hAnsi="宋体" w:cs="宋体"/>
          <w:color w:val="auto"/>
          <w:sz w:val="24"/>
          <w:highlight w:val="none"/>
        </w:rPr>
      </w:pPr>
    </w:p>
    <w:p w14:paraId="22823FDE">
      <w:pPr>
        <w:pStyle w:val="3"/>
        <w:jc w:val="center"/>
        <w:rPr>
          <w:rFonts w:ascii="宋体" w:hAnsi="宋体" w:cs="宋体"/>
          <w:color w:val="auto"/>
          <w:sz w:val="24"/>
          <w:szCs w:val="24"/>
          <w:highlight w:val="none"/>
        </w:rPr>
      </w:pPr>
      <w:bookmarkStart w:id="46" w:name="_Toc22040"/>
      <w:r>
        <w:rPr>
          <w:rFonts w:hint="eastAsia" w:ascii="宋体" w:hAnsi="宋体" w:cs="宋体"/>
          <w:color w:val="auto"/>
          <w:sz w:val="24"/>
          <w:szCs w:val="24"/>
          <w:highlight w:val="none"/>
        </w:rPr>
        <w:t>第六章　磋商响应文件组成内容及格式</w:t>
      </w:r>
      <w:bookmarkEnd w:id="46"/>
    </w:p>
    <w:bookmarkEnd w:id="39"/>
    <w:bookmarkEnd w:id="40"/>
    <w:p w14:paraId="34804D9E">
      <w:pPr>
        <w:pStyle w:val="23"/>
        <w:spacing w:before="120" w:after="120" w:line="360" w:lineRule="auto"/>
        <w:outlineLvl w:val="9"/>
        <w:rPr>
          <w:rFonts w:ascii="宋体" w:hAnsi="宋体" w:cs="宋体"/>
          <w:color w:val="auto"/>
          <w:szCs w:val="24"/>
          <w:highlight w:val="none"/>
          <w:u w:val="single"/>
        </w:rPr>
      </w:pPr>
    </w:p>
    <w:p w14:paraId="4C027667">
      <w:pPr>
        <w:jc w:val="center"/>
        <w:outlineLvl w:val="9"/>
        <w:rPr>
          <w:rFonts w:ascii="宋体" w:hAnsi="宋体" w:eastAsia="宋体" w:cs="宋体"/>
          <w:b w:val="0"/>
          <w:color w:val="auto"/>
          <w:sz w:val="24"/>
          <w:szCs w:val="24"/>
          <w:highlight w:val="none"/>
        </w:rPr>
      </w:pPr>
      <w:bookmarkStart w:id="47" w:name="_Toc405368940"/>
      <w:r>
        <w:rPr>
          <w:rFonts w:hint="eastAsia" w:ascii="宋体" w:hAnsi="宋体" w:eastAsia="宋体" w:cs="宋体"/>
          <w:b w:val="0"/>
          <w:color w:val="auto"/>
          <w:sz w:val="24"/>
          <w:szCs w:val="24"/>
          <w:highlight w:val="none"/>
        </w:rPr>
        <w:t>一、磋商响应文件封面格式</w:t>
      </w:r>
      <w:bookmarkEnd w:id="47"/>
    </w:p>
    <w:p w14:paraId="159A633F">
      <w:pPr>
        <w:outlineLvl w:val="9"/>
        <w:rPr>
          <w:rFonts w:ascii="宋体" w:hAnsi="宋体" w:cs="宋体"/>
          <w:color w:val="auto"/>
          <w:sz w:val="24"/>
          <w:highlight w:val="none"/>
        </w:rPr>
      </w:pPr>
    </w:p>
    <w:p w14:paraId="11B919C0">
      <w:pPr>
        <w:outlineLvl w:val="9"/>
        <w:rPr>
          <w:rFonts w:ascii="宋体" w:hAnsi="宋体" w:cs="宋体"/>
          <w:color w:val="auto"/>
          <w:sz w:val="24"/>
          <w:highlight w:val="none"/>
        </w:rPr>
      </w:pPr>
    </w:p>
    <w:p w14:paraId="480D285C">
      <w:pPr>
        <w:outlineLvl w:val="9"/>
        <w:rPr>
          <w:rFonts w:ascii="宋体" w:hAnsi="宋体" w:cs="宋体"/>
          <w:color w:val="auto"/>
          <w:sz w:val="24"/>
          <w:highlight w:val="none"/>
        </w:rPr>
      </w:pPr>
    </w:p>
    <w:p w14:paraId="6DAD41A5">
      <w:pPr>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1.磋商响应文件封面格式： </w:t>
      </w:r>
    </w:p>
    <w:p w14:paraId="129A75E5">
      <w:pPr>
        <w:spacing w:line="360" w:lineRule="auto"/>
        <w:outlineLvl w:val="9"/>
        <w:rPr>
          <w:rFonts w:ascii="宋体" w:hAnsi="宋体" w:cs="宋体"/>
          <w:color w:val="auto"/>
          <w:sz w:val="24"/>
          <w:highlight w:val="none"/>
        </w:rPr>
      </w:pPr>
      <w:r>
        <w:rPr>
          <w:rFonts w:hint="eastAsia" w:ascii="宋体" w:hAnsi="宋体" w:cs="宋体"/>
          <w:color w:val="auto"/>
          <w:sz w:val="24"/>
          <w:highlight w:val="none"/>
        </w:rPr>
        <w:t xml:space="preserve">                                                    </w:t>
      </w:r>
    </w:p>
    <w:p w14:paraId="413A8136">
      <w:pPr>
        <w:spacing w:line="360" w:lineRule="auto"/>
        <w:outlineLvl w:val="9"/>
        <w:rPr>
          <w:rFonts w:ascii="宋体" w:hAnsi="宋体" w:cs="宋体"/>
          <w:color w:val="auto"/>
          <w:sz w:val="24"/>
          <w:highlight w:val="none"/>
        </w:rPr>
      </w:pPr>
    </w:p>
    <w:p w14:paraId="6C9F08EB">
      <w:pPr>
        <w:spacing w:line="360" w:lineRule="auto"/>
        <w:outlineLvl w:val="9"/>
        <w:rPr>
          <w:rFonts w:ascii="宋体" w:hAnsi="宋体" w:cs="宋体"/>
          <w:color w:val="auto"/>
          <w:sz w:val="24"/>
          <w:highlight w:val="none"/>
        </w:rPr>
      </w:pPr>
    </w:p>
    <w:p w14:paraId="24DD1229">
      <w:pPr>
        <w:spacing w:line="360" w:lineRule="auto"/>
        <w:outlineLvl w:val="9"/>
        <w:rPr>
          <w:rFonts w:ascii="宋体" w:hAnsi="宋体" w:cs="宋体"/>
          <w:color w:val="auto"/>
          <w:sz w:val="24"/>
          <w:highlight w:val="none"/>
        </w:rPr>
      </w:pPr>
    </w:p>
    <w:p w14:paraId="06210DA6">
      <w:pPr>
        <w:spacing w:line="360" w:lineRule="auto"/>
        <w:outlineLvl w:val="9"/>
        <w:rPr>
          <w:rFonts w:ascii="宋体" w:hAnsi="宋体" w:cs="宋体"/>
          <w:color w:val="auto"/>
          <w:sz w:val="24"/>
          <w:highlight w:val="none"/>
        </w:rPr>
      </w:pPr>
    </w:p>
    <w:p w14:paraId="59AC2C60">
      <w:pPr>
        <w:spacing w:line="360" w:lineRule="auto"/>
        <w:outlineLvl w:val="9"/>
        <w:rPr>
          <w:rFonts w:ascii="宋体" w:hAnsi="宋体" w:cs="宋体"/>
          <w:color w:val="auto"/>
          <w:sz w:val="24"/>
          <w:highlight w:val="none"/>
        </w:rPr>
      </w:pPr>
    </w:p>
    <w:p w14:paraId="34B04D09">
      <w:pPr>
        <w:spacing w:line="480" w:lineRule="auto"/>
        <w:rPr>
          <w:rFonts w:ascii="宋体" w:hAnsi="宋体" w:cs="宋体"/>
          <w:color w:val="auto"/>
          <w:sz w:val="24"/>
          <w:highlight w:val="none"/>
        </w:rPr>
      </w:pPr>
      <w:r>
        <w:rPr>
          <w:rFonts w:hint="eastAsia" w:ascii="宋体" w:hAnsi="宋体" w:cs="宋体"/>
          <w:color w:val="auto"/>
          <w:sz w:val="24"/>
          <w:highlight w:val="none"/>
        </w:rPr>
        <w:t>资格审查文件、商务技术文件、报价文件（相应选择一个磋商响应文件封面名称）</w:t>
      </w:r>
    </w:p>
    <w:p w14:paraId="5924BE68">
      <w:pPr>
        <w:spacing w:line="480" w:lineRule="auto"/>
        <w:rPr>
          <w:rFonts w:hint="eastAsia" w:ascii="宋体" w:hAnsi="宋体" w:cs="宋体"/>
          <w:color w:val="auto"/>
          <w:sz w:val="24"/>
          <w:highlight w:val="none"/>
          <w:lang w:eastAsia="zh-CN"/>
        </w:rPr>
      </w:pPr>
      <w:r>
        <w:rPr>
          <w:rFonts w:hint="eastAsia" w:ascii="宋体" w:hAnsi="宋体" w:cs="宋体"/>
          <w:color w:val="auto"/>
          <w:sz w:val="24"/>
          <w:highlight w:val="none"/>
        </w:rPr>
        <w:t>项目名称：</w:t>
      </w:r>
      <w:r>
        <w:rPr>
          <w:rFonts w:hint="eastAsia" w:ascii="宋体" w:hAnsi="宋体" w:cs="宋体"/>
          <w:color w:val="auto"/>
          <w:sz w:val="24"/>
          <w:highlight w:val="none"/>
          <w:lang w:eastAsia="zh-CN"/>
        </w:rPr>
        <w:t>笠里小区环村路道路工程项目</w:t>
      </w:r>
    </w:p>
    <w:p w14:paraId="372F6C3E">
      <w:pPr>
        <w:spacing w:line="48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项目编号：</w:t>
      </w:r>
      <w:r>
        <w:rPr>
          <w:rFonts w:hint="eastAsia" w:ascii="宋体" w:hAnsi="宋体" w:cs="宋体"/>
          <w:color w:val="auto"/>
          <w:sz w:val="24"/>
          <w:highlight w:val="none"/>
          <w:lang w:eastAsia="zh-CN"/>
        </w:rPr>
        <w:t>DYCYCG2025-GK-07</w:t>
      </w:r>
    </w:p>
    <w:p w14:paraId="0A59A666">
      <w:pPr>
        <w:spacing w:line="480" w:lineRule="auto"/>
        <w:rPr>
          <w:rFonts w:ascii="宋体" w:hAnsi="宋体" w:cs="宋体"/>
          <w:color w:val="auto"/>
          <w:sz w:val="24"/>
          <w:highlight w:val="none"/>
        </w:rPr>
      </w:pPr>
      <w:r>
        <w:rPr>
          <w:rFonts w:hint="eastAsia" w:ascii="宋体" w:hAnsi="宋体" w:cs="宋体"/>
          <w:color w:val="auto"/>
          <w:sz w:val="24"/>
          <w:highlight w:val="none"/>
        </w:rPr>
        <w:t>标项：</w:t>
      </w:r>
    </w:p>
    <w:p w14:paraId="3B4F0EB0">
      <w:pPr>
        <w:spacing w:line="480" w:lineRule="auto"/>
        <w:rPr>
          <w:rFonts w:ascii="宋体" w:hAnsi="宋体" w:cs="宋体"/>
          <w:color w:val="auto"/>
          <w:sz w:val="24"/>
          <w:highlight w:val="none"/>
        </w:rPr>
      </w:pPr>
      <w:r>
        <w:rPr>
          <w:rFonts w:hint="eastAsia" w:ascii="宋体" w:hAnsi="宋体" w:cs="宋体"/>
          <w:color w:val="auto"/>
          <w:sz w:val="24"/>
          <w:highlight w:val="none"/>
        </w:rPr>
        <w:t>供应商名称：</w:t>
      </w:r>
    </w:p>
    <w:p w14:paraId="583F683B">
      <w:pPr>
        <w:spacing w:line="480" w:lineRule="auto"/>
        <w:rPr>
          <w:rFonts w:ascii="宋体" w:hAnsi="宋体" w:cs="宋体"/>
          <w:color w:val="auto"/>
          <w:sz w:val="24"/>
          <w:highlight w:val="none"/>
        </w:rPr>
      </w:pPr>
      <w:r>
        <w:rPr>
          <w:rFonts w:hint="eastAsia" w:ascii="宋体" w:hAnsi="宋体" w:cs="宋体"/>
          <w:color w:val="auto"/>
          <w:sz w:val="24"/>
          <w:highlight w:val="none"/>
        </w:rPr>
        <w:t>供应商地址：</w:t>
      </w:r>
    </w:p>
    <w:p w14:paraId="5F6260AC">
      <w:pPr>
        <w:spacing w:line="480"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174CAB5E">
      <w:pPr>
        <w:spacing w:line="480" w:lineRule="auto"/>
        <w:rPr>
          <w:rFonts w:ascii="宋体" w:hAnsi="宋体" w:cs="宋体"/>
          <w:color w:val="auto"/>
          <w:sz w:val="24"/>
          <w:highlight w:val="none"/>
        </w:rPr>
      </w:pPr>
      <w:r>
        <w:rPr>
          <w:rFonts w:hint="eastAsia" w:ascii="宋体" w:hAnsi="宋体" w:cs="宋体"/>
          <w:color w:val="auto"/>
          <w:sz w:val="24"/>
          <w:highlight w:val="none"/>
        </w:rPr>
        <w:t xml:space="preserve">                                                   年   月   日</w:t>
      </w:r>
    </w:p>
    <w:p w14:paraId="0A1ABDF6">
      <w:pPr>
        <w:spacing w:line="360" w:lineRule="auto"/>
        <w:rPr>
          <w:rFonts w:ascii="宋体" w:hAnsi="宋体" w:cs="宋体"/>
          <w:color w:val="auto"/>
          <w:sz w:val="24"/>
          <w:highlight w:val="none"/>
        </w:rPr>
      </w:pPr>
    </w:p>
    <w:p w14:paraId="0F1699B3">
      <w:pPr>
        <w:rPr>
          <w:rFonts w:ascii="宋体" w:hAnsi="宋体" w:cs="宋体"/>
          <w:color w:val="auto"/>
          <w:sz w:val="24"/>
          <w:highlight w:val="none"/>
        </w:rPr>
      </w:pPr>
    </w:p>
    <w:p w14:paraId="25E5ECFD">
      <w:pPr>
        <w:rPr>
          <w:rFonts w:ascii="宋体" w:hAnsi="宋体" w:cs="宋体"/>
          <w:color w:val="auto"/>
          <w:sz w:val="24"/>
          <w:highlight w:val="none"/>
        </w:rPr>
      </w:pPr>
    </w:p>
    <w:p w14:paraId="3A8ACBB9">
      <w:pPr>
        <w:spacing w:line="360" w:lineRule="auto"/>
        <w:rPr>
          <w:rFonts w:ascii="宋体" w:hAnsi="宋体" w:cs="宋体"/>
          <w:b/>
          <w:color w:val="auto"/>
          <w:sz w:val="24"/>
          <w:highlight w:val="none"/>
        </w:rPr>
      </w:pPr>
    </w:p>
    <w:p w14:paraId="6EA41ED1">
      <w:pPr>
        <w:spacing w:line="360" w:lineRule="auto"/>
        <w:rPr>
          <w:rFonts w:ascii="宋体" w:hAnsi="宋体" w:cs="宋体"/>
          <w:b/>
          <w:color w:val="auto"/>
          <w:sz w:val="24"/>
          <w:highlight w:val="none"/>
        </w:rPr>
      </w:pPr>
    </w:p>
    <w:p w14:paraId="5275BF63">
      <w:pPr>
        <w:rPr>
          <w:color w:val="auto"/>
          <w:highlight w:val="none"/>
        </w:rPr>
      </w:pPr>
    </w:p>
    <w:p w14:paraId="3F646753">
      <w:pPr>
        <w:spacing w:line="430" w:lineRule="exact"/>
        <w:rPr>
          <w:rFonts w:hint="eastAsia" w:ascii="宋体" w:hAnsi="宋体" w:cs="宋体"/>
          <w:b/>
          <w:color w:val="auto"/>
          <w:sz w:val="24"/>
          <w:highlight w:val="none"/>
          <w:lang w:val="en-US" w:eastAsia="zh-CN"/>
        </w:rPr>
      </w:pPr>
    </w:p>
    <w:p w14:paraId="4C31D5F1">
      <w:pPr>
        <w:spacing w:line="430" w:lineRule="exact"/>
        <w:rPr>
          <w:rFonts w:hint="eastAsia" w:ascii="宋体" w:hAnsi="宋体" w:cs="宋体"/>
          <w:b/>
          <w:color w:val="auto"/>
          <w:sz w:val="24"/>
          <w:highlight w:val="none"/>
          <w:lang w:val="en-US" w:eastAsia="zh-CN"/>
        </w:rPr>
      </w:pPr>
    </w:p>
    <w:p w14:paraId="5476C35C">
      <w:pPr>
        <w:spacing w:line="430" w:lineRule="exact"/>
        <w:rPr>
          <w:rFonts w:ascii="宋体" w:hAnsi="宋体" w:cs="宋体"/>
          <w:b/>
          <w:color w:val="auto"/>
          <w:sz w:val="24"/>
          <w:highlight w:val="none"/>
        </w:rPr>
      </w:pPr>
      <w:bookmarkStart w:id="48" w:name="_Toc11702"/>
      <w:r>
        <w:rPr>
          <w:rFonts w:hint="eastAsia" w:ascii="宋体" w:hAnsi="宋体" w:cs="宋体"/>
          <w:b/>
          <w:bCs/>
          <w:color w:val="auto"/>
          <w:sz w:val="24"/>
          <w:highlight w:val="none"/>
        </w:rPr>
        <w:t>▲</w:t>
      </w:r>
      <w:r>
        <w:rPr>
          <w:rFonts w:hint="eastAsia" w:ascii="宋体" w:hAnsi="宋体" w:cs="宋体"/>
          <w:b/>
          <w:color w:val="auto"/>
          <w:sz w:val="24"/>
          <w:highlight w:val="none"/>
          <w:lang w:val="en-US" w:eastAsia="zh-CN"/>
        </w:rPr>
        <w:t>2</w:t>
      </w:r>
      <w:r>
        <w:rPr>
          <w:rFonts w:hint="eastAsia" w:ascii="宋体" w:hAnsi="宋体" w:cs="宋体"/>
          <w:b/>
          <w:color w:val="auto"/>
          <w:sz w:val="24"/>
          <w:highlight w:val="none"/>
        </w:rPr>
        <w:t>.资格审查文件：</w:t>
      </w:r>
    </w:p>
    <w:p w14:paraId="7E550973">
      <w:pPr>
        <w:spacing w:line="360" w:lineRule="auto"/>
        <w:rPr>
          <w:rFonts w:ascii="宋体" w:hAnsi="宋体" w:cs="宋体"/>
          <w:color w:val="auto"/>
          <w:sz w:val="24"/>
          <w:highlight w:val="none"/>
        </w:rPr>
      </w:pPr>
      <w:r>
        <w:rPr>
          <w:rFonts w:hint="eastAsia" w:ascii="宋体" w:hAnsi="宋体" w:cs="宋体"/>
          <w:color w:val="auto"/>
          <w:sz w:val="24"/>
          <w:highlight w:val="none"/>
        </w:rPr>
        <w:t>（1）具有独立承担民事责任的能力：供应商须在投标文件中出具符合以下情况的证明材料复印件（五选一）：</w:t>
      </w:r>
    </w:p>
    <w:p w14:paraId="1477E0B7">
      <w:pPr>
        <w:spacing w:line="360" w:lineRule="auto"/>
        <w:rPr>
          <w:rFonts w:ascii="宋体" w:hAnsi="宋体" w:cs="宋体"/>
          <w:color w:val="auto"/>
          <w:sz w:val="24"/>
          <w:highlight w:val="none"/>
        </w:rPr>
      </w:pPr>
      <w:r>
        <w:rPr>
          <w:rFonts w:hint="eastAsia" w:ascii="宋体" w:hAnsi="宋体" w:cs="宋体"/>
          <w:color w:val="auto"/>
          <w:sz w:val="24"/>
          <w:highlight w:val="none"/>
        </w:rPr>
        <w:t>①如供应商是企业（包括合伙企业），提供在工商部门注册的有效“企业法人营业执照”或“营业执照”；</w:t>
      </w:r>
    </w:p>
    <w:p w14:paraId="53C28F7E">
      <w:pPr>
        <w:spacing w:line="360" w:lineRule="auto"/>
        <w:rPr>
          <w:rFonts w:ascii="宋体" w:hAnsi="宋体" w:cs="宋体"/>
          <w:color w:val="auto"/>
          <w:sz w:val="24"/>
          <w:highlight w:val="none"/>
        </w:rPr>
      </w:pPr>
      <w:r>
        <w:rPr>
          <w:rFonts w:hint="eastAsia" w:ascii="宋体" w:hAnsi="宋体" w:cs="宋体"/>
          <w:color w:val="auto"/>
          <w:sz w:val="24"/>
          <w:highlight w:val="none"/>
        </w:rPr>
        <w:t>②如供应商是事业单位，提供有效的“事业单位法人证书”；</w:t>
      </w:r>
    </w:p>
    <w:p w14:paraId="4E019C05">
      <w:pPr>
        <w:spacing w:line="360" w:lineRule="auto"/>
        <w:rPr>
          <w:rFonts w:ascii="宋体" w:hAnsi="宋体" w:cs="宋体"/>
          <w:color w:val="auto"/>
          <w:sz w:val="24"/>
          <w:highlight w:val="none"/>
        </w:rPr>
      </w:pPr>
      <w:r>
        <w:rPr>
          <w:rFonts w:hint="eastAsia" w:ascii="宋体" w:hAnsi="宋体" w:cs="宋体"/>
          <w:color w:val="auto"/>
          <w:sz w:val="24"/>
          <w:highlight w:val="none"/>
        </w:rPr>
        <w:t>③如供应商是非企业专业服务机构的，提供执业许可证等证明文件；</w:t>
      </w:r>
    </w:p>
    <w:p w14:paraId="6E236A39">
      <w:pPr>
        <w:spacing w:line="360" w:lineRule="auto"/>
        <w:rPr>
          <w:rFonts w:ascii="宋体" w:hAnsi="宋体" w:cs="宋体"/>
          <w:color w:val="auto"/>
          <w:sz w:val="24"/>
          <w:highlight w:val="none"/>
        </w:rPr>
      </w:pPr>
      <w:r>
        <w:rPr>
          <w:rFonts w:hint="eastAsia" w:ascii="宋体" w:hAnsi="宋体" w:cs="宋体"/>
          <w:color w:val="auto"/>
          <w:sz w:val="24"/>
          <w:highlight w:val="none"/>
        </w:rPr>
        <w:t>④如供应商是个体工商户，提供有效的“个体工商户营业执照”；</w:t>
      </w:r>
    </w:p>
    <w:p w14:paraId="4354DCA2">
      <w:pPr>
        <w:spacing w:line="360" w:lineRule="auto"/>
        <w:rPr>
          <w:rFonts w:ascii="宋体" w:hAnsi="宋体" w:cs="宋体"/>
          <w:color w:val="auto"/>
          <w:sz w:val="24"/>
          <w:highlight w:val="none"/>
        </w:rPr>
      </w:pPr>
      <w:r>
        <w:rPr>
          <w:rFonts w:hint="eastAsia" w:ascii="宋体" w:hAnsi="宋体" w:cs="宋体"/>
          <w:color w:val="auto"/>
          <w:sz w:val="24"/>
          <w:highlight w:val="none"/>
        </w:rPr>
        <w:t>⑤如供应商是自然人，提供有效的自然人身份证明（居民身份证正反面或公安机关出具的临时居民身份证正反面或港澳台胞证或护照）。</w:t>
      </w:r>
    </w:p>
    <w:p w14:paraId="757768F0">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）磋商响应方具有市政的工程施工总承包叁级及以上资质。</w:t>
      </w:r>
    </w:p>
    <w:p w14:paraId="05F2B74A">
      <w:pPr>
        <w:spacing w:line="360" w:lineRule="auto"/>
        <w:rPr>
          <w:rFonts w:hint="eastAsia"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）磋商响应方具备有效的企业安全生产许可证。</w:t>
      </w:r>
    </w:p>
    <w:p w14:paraId="63EF4359">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）法定代表人身份证复印件或法定代表人授权委托书(格式见附件)；</w:t>
      </w:r>
    </w:p>
    <w:p w14:paraId="720091FC">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）符合参加政府采购活动应当具备的一般条件的承诺函（格式见附件）；</w:t>
      </w:r>
    </w:p>
    <w:p w14:paraId="6A0316E9">
      <w:pPr>
        <w:spacing w:line="360" w:lineRule="auto"/>
        <w:rPr>
          <w:rFonts w:hint="eastAsia" w:ascii="宋体" w:hAnsi="宋体" w:eastAsia="宋体" w:cs="宋体"/>
          <w:color w:val="auto"/>
          <w:sz w:val="24"/>
          <w:highlight w:val="none"/>
          <w:lang w:eastAsia="zh-CN"/>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信用记录网络查询页面截图（以省级及以上政府采购网和信用中国查询截图为准）；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p w14:paraId="6531BC99">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）浙江政府采购网注册正式供应商的网络截图或承诺中标后30天内注册为浙江政府采购网正式供应商（须提供承诺书）；</w:t>
      </w:r>
    </w:p>
    <w:p w14:paraId="649F04A9">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）东阳市政府采购代理机构社会评价表（格式见附件）；</w:t>
      </w:r>
    </w:p>
    <w:p w14:paraId="4E646296">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）磋商声明书 (格式见附件) ；</w:t>
      </w:r>
    </w:p>
    <w:p w14:paraId="0BF0BC5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10</w:t>
      </w:r>
      <w:r>
        <w:rPr>
          <w:rFonts w:hint="eastAsia" w:ascii="宋体" w:hAnsi="宋体" w:cs="宋体"/>
          <w:color w:val="auto"/>
          <w:sz w:val="24"/>
          <w:highlight w:val="none"/>
        </w:rPr>
        <w:t>）政府采购活动现场确认声明书 (格式见附件) ；</w:t>
      </w:r>
    </w:p>
    <w:p w14:paraId="50617465">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11</w:t>
      </w:r>
      <w:r>
        <w:rPr>
          <w:rFonts w:hint="eastAsia" w:ascii="宋体" w:hAnsi="宋体" w:cs="宋体"/>
          <w:color w:val="auto"/>
          <w:sz w:val="24"/>
          <w:highlight w:val="none"/>
        </w:rPr>
        <w:t>）联合体协议书（联合体投标时提供）（格式见附件）；</w:t>
      </w:r>
    </w:p>
    <w:p w14:paraId="3E4350B0">
      <w:pPr>
        <w:spacing w:line="360" w:lineRule="auto"/>
        <w:rPr>
          <w:rFonts w:hint="eastAsia" w:ascii="宋体" w:hAnsi="宋体" w:cs="宋体"/>
          <w:color w:val="auto"/>
          <w:sz w:val="24"/>
          <w:highlight w:val="none"/>
        </w:rPr>
      </w:pPr>
      <w:r>
        <w:rPr>
          <w:rFonts w:hint="eastAsia" w:ascii="宋体" w:hAnsi="宋体"/>
          <w:color w:val="auto"/>
          <w:sz w:val="24"/>
          <w:highlight w:val="none"/>
        </w:rPr>
        <w:t>（</w:t>
      </w:r>
      <w:r>
        <w:rPr>
          <w:rFonts w:hint="eastAsia" w:ascii="宋体" w:hAnsi="宋体"/>
          <w:color w:val="auto"/>
          <w:sz w:val="24"/>
          <w:highlight w:val="none"/>
          <w:lang w:val="en-US" w:eastAsia="zh-CN"/>
        </w:rPr>
        <w:t>12</w:t>
      </w:r>
      <w:r>
        <w:rPr>
          <w:rFonts w:hint="eastAsia" w:ascii="宋体" w:hAnsi="宋体"/>
          <w:color w:val="auto"/>
          <w:sz w:val="24"/>
          <w:highlight w:val="none"/>
        </w:rPr>
        <w:t>）</w:t>
      </w:r>
      <w:r>
        <w:rPr>
          <w:rFonts w:hint="eastAsia" w:ascii="宋体" w:hAnsi="宋体" w:cs="宋体"/>
          <w:color w:val="auto"/>
          <w:sz w:val="24"/>
          <w:highlight w:val="none"/>
        </w:rPr>
        <w:t>供应商为中小企业/小微企业，提供《中小企业声明函》（格式见附件）；</w:t>
      </w:r>
    </w:p>
    <w:p w14:paraId="4DCE8633">
      <w:pPr>
        <w:spacing w:line="360" w:lineRule="auto"/>
        <w:rPr>
          <w:rFonts w:ascii="宋体" w:hAnsi="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）分包意向协议；（分包时提供，格式见附件）；</w:t>
      </w:r>
    </w:p>
    <w:p w14:paraId="6CDCC45A">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）供应商情况介绍；</w:t>
      </w:r>
    </w:p>
    <w:p w14:paraId="40E48164">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）供应商认为有必要提供</w:t>
      </w:r>
      <w:r>
        <w:rPr>
          <w:rFonts w:hint="eastAsia" w:ascii="宋体" w:hAnsi="宋体" w:cs="宋体"/>
          <w:color w:val="auto"/>
          <w:sz w:val="24"/>
          <w:highlight w:val="none"/>
          <w:lang w:eastAsia="zh-CN"/>
        </w:rPr>
        <w:t>的其他文件</w:t>
      </w:r>
      <w:r>
        <w:rPr>
          <w:rFonts w:hint="eastAsia" w:ascii="宋体" w:hAnsi="宋体" w:cs="宋体"/>
          <w:color w:val="auto"/>
          <w:sz w:val="24"/>
          <w:highlight w:val="none"/>
        </w:rPr>
        <w:t>。</w:t>
      </w:r>
    </w:p>
    <w:p w14:paraId="54D61B7D">
      <w:pPr>
        <w:spacing w:line="360" w:lineRule="auto"/>
        <w:rPr>
          <w:rFonts w:ascii="宋体" w:hAnsi="宋体" w:cs="宋体"/>
          <w:b/>
          <w:bCs/>
          <w:color w:val="auto"/>
          <w:sz w:val="24"/>
          <w:highlight w:val="none"/>
        </w:rPr>
      </w:pPr>
      <w:bookmarkStart w:id="118" w:name="_GoBack"/>
      <w:bookmarkEnd w:id="118"/>
      <w:r>
        <w:rPr>
          <w:rFonts w:hint="eastAsia" w:ascii="宋体" w:hAnsi="宋体" w:cs="宋体"/>
          <w:b/>
          <w:bCs/>
          <w:color w:val="auto"/>
          <w:sz w:val="24"/>
          <w:highlight w:val="none"/>
          <w:lang w:val="en-US" w:eastAsia="zh-CN"/>
        </w:rPr>
        <w:t>3</w:t>
      </w:r>
      <w:r>
        <w:rPr>
          <w:rFonts w:hint="eastAsia" w:ascii="宋体" w:hAnsi="宋体" w:cs="宋体"/>
          <w:b/>
          <w:bCs/>
          <w:color w:val="auto"/>
          <w:sz w:val="24"/>
          <w:highlight w:val="none"/>
        </w:rPr>
        <w:t>.商务技术文件</w:t>
      </w:r>
    </w:p>
    <w:p w14:paraId="65519AD1">
      <w:pPr>
        <w:spacing w:line="360" w:lineRule="auto"/>
        <w:rPr>
          <w:rFonts w:ascii="宋体" w:hAnsi="宋体"/>
          <w:color w:val="auto"/>
          <w:sz w:val="24"/>
          <w:highlight w:val="none"/>
        </w:rPr>
      </w:pPr>
      <w:r>
        <w:rPr>
          <w:rFonts w:hint="eastAsia" w:ascii="宋体" w:hAnsi="宋体" w:cs="宋体"/>
          <w:b/>
          <w:bCs/>
          <w:color w:val="auto"/>
          <w:sz w:val="24"/>
          <w:highlight w:val="none"/>
        </w:rPr>
        <w:t>▲</w:t>
      </w:r>
      <w:r>
        <w:rPr>
          <w:rFonts w:hint="eastAsia" w:ascii="宋体" w:hAnsi="宋体"/>
          <w:color w:val="auto"/>
          <w:sz w:val="24"/>
          <w:highlight w:val="none"/>
        </w:rPr>
        <w:t>（1）供应商资信商务、技术自评得分表（格式见附件）；</w:t>
      </w:r>
    </w:p>
    <w:p w14:paraId="183AD319">
      <w:pPr>
        <w:spacing w:line="360" w:lineRule="auto"/>
        <w:rPr>
          <w:rFonts w:hint="eastAsia" w:ascii="宋体" w:hAnsi="宋体" w:eastAsia="宋体"/>
          <w:color w:val="auto"/>
          <w:sz w:val="24"/>
          <w:highlight w:val="none"/>
        </w:rPr>
      </w:pPr>
      <w:r>
        <w:rPr>
          <w:rFonts w:hint="eastAsia" w:ascii="宋体" w:hAnsi="宋体" w:cs="宋体"/>
          <w:b/>
          <w:bCs/>
          <w:color w:val="auto"/>
          <w:sz w:val="24"/>
          <w:highlight w:val="none"/>
        </w:rPr>
        <w:t>▲</w:t>
      </w:r>
      <w:r>
        <w:rPr>
          <w:rFonts w:hint="eastAsia" w:ascii="宋体" w:hAnsi="宋体" w:eastAsia="宋体"/>
          <w:color w:val="auto"/>
          <w:sz w:val="24"/>
          <w:highlight w:val="none"/>
        </w:rPr>
        <w:t>（2）</w:t>
      </w:r>
      <w:r>
        <w:rPr>
          <w:rFonts w:hint="eastAsia" w:ascii="宋体" w:hAnsi="宋体"/>
          <w:color w:val="auto"/>
          <w:sz w:val="24"/>
          <w:highlight w:val="none"/>
        </w:rPr>
        <w:t>资信商务、技术文件响应表（格式见附件）；</w:t>
      </w:r>
    </w:p>
    <w:p w14:paraId="2EEAF42D">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）项目理解情况；</w:t>
      </w:r>
    </w:p>
    <w:p w14:paraId="3FCC08CF">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）施工方案；</w:t>
      </w:r>
    </w:p>
    <w:p w14:paraId="0596AA0E">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）施工技术；</w:t>
      </w:r>
    </w:p>
    <w:p w14:paraId="7DE6BC5A">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）施工进度；</w:t>
      </w:r>
    </w:p>
    <w:p w14:paraId="51B392CA">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w:t>
      </w:r>
      <w:r>
        <w:rPr>
          <w:rFonts w:hint="eastAsia" w:asciiTheme="minorEastAsia" w:hAnsiTheme="minorEastAsia" w:eastAsiaTheme="minorEastAsia" w:cstheme="minorEastAsia"/>
          <w:color w:val="auto"/>
          <w:kern w:val="0"/>
          <w:sz w:val="24"/>
          <w:highlight w:val="none"/>
        </w:rPr>
        <w:t>安全生产应急预案</w:t>
      </w:r>
      <w:r>
        <w:rPr>
          <w:rFonts w:hint="eastAsia" w:ascii="宋体" w:hAnsi="宋体" w:cs="宋体"/>
          <w:color w:val="auto"/>
          <w:sz w:val="24"/>
          <w:highlight w:val="none"/>
        </w:rPr>
        <w:t>；</w:t>
      </w:r>
    </w:p>
    <w:p w14:paraId="4E153CEA">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 xml:space="preserve">）质量保障； </w:t>
      </w:r>
    </w:p>
    <w:p w14:paraId="2C4102E8">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9</w:t>
      </w:r>
      <w:r>
        <w:rPr>
          <w:rFonts w:hint="eastAsia" w:ascii="宋体" w:hAnsi="宋体" w:cs="宋体"/>
          <w:color w:val="auto"/>
          <w:sz w:val="24"/>
          <w:highlight w:val="none"/>
        </w:rPr>
        <w:t>）安全、文明施工等的保证措施；</w:t>
      </w:r>
    </w:p>
    <w:p w14:paraId="66D14D1A">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）施工机具设备；</w:t>
      </w:r>
    </w:p>
    <w:p w14:paraId="3D075EC5">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）材料设备进场计划；</w:t>
      </w:r>
    </w:p>
    <w:p w14:paraId="72AB11E0">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）人员情况；</w:t>
      </w:r>
    </w:p>
    <w:p w14:paraId="075CC153">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）布置情况；</w:t>
      </w:r>
    </w:p>
    <w:p w14:paraId="63F53171">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4</w:t>
      </w:r>
      <w:r>
        <w:rPr>
          <w:rFonts w:hint="eastAsia" w:ascii="宋体" w:hAnsi="宋体" w:cs="宋体"/>
          <w:color w:val="auto"/>
          <w:sz w:val="24"/>
          <w:highlight w:val="none"/>
        </w:rPr>
        <w:t>）关键工序、复杂环节的相应技术措施；</w:t>
      </w:r>
    </w:p>
    <w:p w14:paraId="2513CA3B">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5</w:t>
      </w:r>
      <w:r>
        <w:rPr>
          <w:rFonts w:hint="eastAsia" w:ascii="宋体" w:hAnsi="宋体" w:cs="宋体"/>
          <w:color w:val="auto"/>
          <w:sz w:val="24"/>
          <w:highlight w:val="none"/>
        </w:rPr>
        <w:t xml:space="preserve">）施工重点难点分析； </w:t>
      </w:r>
    </w:p>
    <w:p w14:paraId="499C3B7E">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6</w:t>
      </w:r>
      <w:r>
        <w:rPr>
          <w:rFonts w:hint="eastAsia" w:ascii="宋体" w:hAnsi="宋体" w:cs="宋体"/>
          <w:color w:val="auto"/>
          <w:sz w:val="24"/>
          <w:highlight w:val="none"/>
        </w:rPr>
        <w:t>）成品保护的保证措施；</w:t>
      </w:r>
    </w:p>
    <w:p w14:paraId="0A48DEC6">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7</w:t>
      </w:r>
      <w:r>
        <w:rPr>
          <w:rFonts w:hint="eastAsia" w:ascii="宋体" w:hAnsi="宋体" w:cs="宋体"/>
          <w:color w:val="auto"/>
          <w:sz w:val="24"/>
          <w:highlight w:val="none"/>
        </w:rPr>
        <w:t>）管理协调；</w:t>
      </w:r>
    </w:p>
    <w:p w14:paraId="6FDC9A5C">
      <w:pPr>
        <w:spacing w:line="360" w:lineRule="auto"/>
        <w:rPr>
          <w:rFonts w:ascii="宋体" w:hAnsi="宋体" w:cs="宋体"/>
          <w:color w:val="auto"/>
          <w:sz w:val="24"/>
          <w:highlight w:val="none"/>
        </w:rPr>
      </w:pPr>
      <w:r>
        <w:rPr>
          <w:rFonts w:hint="eastAsia" w:ascii="宋体" w:hAnsi="宋体" w:cs="宋体"/>
          <w:color w:val="auto"/>
          <w:sz w:val="24"/>
          <w:highlight w:val="none"/>
        </w:rPr>
        <w:t>（1</w:t>
      </w:r>
      <w:r>
        <w:rPr>
          <w:rFonts w:hint="eastAsia" w:ascii="宋体" w:hAnsi="宋体" w:cs="宋体"/>
          <w:color w:val="auto"/>
          <w:sz w:val="24"/>
          <w:highlight w:val="none"/>
          <w:lang w:val="en-US" w:eastAsia="zh-CN"/>
        </w:rPr>
        <w:t>8</w:t>
      </w:r>
      <w:r>
        <w:rPr>
          <w:rFonts w:hint="eastAsia" w:ascii="宋体" w:hAnsi="宋体" w:cs="宋体"/>
          <w:color w:val="auto"/>
          <w:sz w:val="24"/>
          <w:highlight w:val="none"/>
        </w:rPr>
        <w:t>）认证证书；</w:t>
      </w:r>
    </w:p>
    <w:p w14:paraId="1A7F67A4">
      <w:pPr>
        <w:spacing w:line="360" w:lineRule="auto"/>
        <w:rPr>
          <w:rFonts w:ascii="宋体" w:hAnsi="宋体" w:cs="宋体"/>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19</w:t>
      </w:r>
      <w:r>
        <w:rPr>
          <w:rFonts w:hint="eastAsia" w:ascii="宋体" w:hAnsi="宋体" w:cs="宋体"/>
          <w:color w:val="auto"/>
          <w:sz w:val="24"/>
          <w:highlight w:val="none"/>
        </w:rPr>
        <w:t>）同类项目业绩；</w:t>
      </w:r>
    </w:p>
    <w:p w14:paraId="3AD66AB2">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0</w:t>
      </w:r>
      <w:r>
        <w:rPr>
          <w:rFonts w:hint="eastAsia" w:ascii="宋体" w:hAnsi="宋体" w:cs="宋体"/>
          <w:color w:val="auto"/>
          <w:sz w:val="24"/>
          <w:highlight w:val="none"/>
        </w:rPr>
        <w:t>）售后保障；</w:t>
      </w:r>
    </w:p>
    <w:p w14:paraId="7E5DDE20">
      <w:pPr>
        <w:spacing w:line="360" w:lineRule="auto"/>
        <w:rPr>
          <w:rFonts w:ascii="宋体" w:hAnsi="宋体" w:cs="宋体"/>
          <w:color w:val="auto"/>
          <w:sz w:val="24"/>
          <w:highlight w:val="none"/>
        </w:rPr>
      </w:pPr>
      <w:r>
        <w:rPr>
          <w:rFonts w:hint="eastAsia" w:ascii="宋体" w:hAnsi="宋体" w:cs="宋体"/>
          <w:color w:val="auto"/>
          <w:sz w:val="24"/>
          <w:highlight w:val="none"/>
        </w:rPr>
        <w:t>（2</w:t>
      </w:r>
      <w:r>
        <w:rPr>
          <w:rFonts w:hint="eastAsia" w:ascii="宋体" w:hAnsi="宋体" w:cs="宋体"/>
          <w:color w:val="auto"/>
          <w:sz w:val="24"/>
          <w:highlight w:val="none"/>
          <w:lang w:val="en-US" w:eastAsia="zh-CN"/>
        </w:rPr>
        <w:t>1</w:t>
      </w:r>
      <w:r>
        <w:rPr>
          <w:rFonts w:hint="eastAsia" w:ascii="宋体" w:hAnsi="宋体" w:cs="宋体"/>
          <w:color w:val="auto"/>
          <w:sz w:val="24"/>
          <w:highlight w:val="none"/>
        </w:rPr>
        <w:t>）合理化建议；</w:t>
      </w:r>
    </w:p>
    <w:p w14:paraId="7874914E">
      <w:pPr>
        <w:spacing w:line="360" w:lineRule="auto"/>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（2</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）安全生产及其他承诺函（格式见附件）；</w:t>
      </w:r>
    </w:p>
    <w:p w14:paraId="6C494429">
      <w:pPr>
        <w:spacing w:line="360" w:lineRule="auto"/>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（2</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）人员现场到位率承诺书（格式见附件）；</w:t>
      </w:r>
    </w:p>
    <w:p w14:paraId="3DEBCC67">
      <w:pPr>
        <w:spacing w:line="360" w:lineRule="auto"/>
        <w:rPr>
          <w:rFonts w:ascii="宋体" w:hAnsi="宋体"/>
          <w:bCs/>
          <w:color w:val="auto"/>
          <w:sz w:val="24"/>
          <w:highlight w:val="none"/>
        </w:rPr>
      </w:pPr>
      <w:r>
        <w:rPr>
          <w:rFonts w:hint="eastAsia" w:ascii="宋体" w:hAnsi="宋体"/>
          <w:bCs/>
          <w:color w:val="auto"/>
          <w:sz w:val="24"/>
          <w:highlight w:val="none"/>
        </w:rPr>
        <w:t>（</w:t>
      </w:r>
      <w:r>
        <w:rPr>
          <w:rFonts w:hint="eastAsia" w:ascii="宋体" w:hAnsi="宋体"/>
          <w:bCs/>
          <w:color w:val="auto"/>
          <w:sz w:val="24"/>
          <w:highlight w:val="none"/>
          <w:lang w:val="en-US" w:eastAsia="zh-CN"/>
        </w:rPr>
        <w:t>24</w:t>
      </w:r>
      <w:r>
        <w:rPr>
          <w:rFonts w:hint="eastAsia" w:ascii="宋体" w:hAnsi="宋体"/>
          <w:bCs/>
          <w:color w:val="auto"/>
          <w:sz w:val="24"/>
          <w:highlight w:val="none"/>
        </w:rPr>
        <w:t>）</w:t>
      </w:r>
      <w:r>
        <w:rPr>
          <w:rFonts w:hint="eastAsia" w:ascii="宋体" w:hAnsi="宋体" w:cs="宋体"/>
          <w:color w:val="auto"/>
          <w:sz w:val="24"/>
          <w:highlight w:val="none"/>
        </w:rPr>
        <w:t>供应商</w:t>
      </w:r>
      <w:r>
        <w:rPr>
          <w:rFonts w:hint="eastAsia" w:ascii="宋体" w:hAnsi="宋体"/>
          <w:bCs/>
          <w:color w:val="auto"/>
          <w:sz w:val="24"/>
          <w:highlight w:val="none"/>
        </w:rPr>
        <w:t>需要说明的其他文件和说明。</w:t>
      </w:r>
    </w:p>
    <w:p w14:paraId="60A685A3">
      <w:pPr>
        <w:spacing w:line="430" w:lineRule="exact"/>
        <w:rPr>
          <w:rFonts w:ascii="宋体" w:hAnsi="宋体" w:cs="宋体"/>
          <w:b/>
          <w:color w:val="auto"/>
          <w:sz w:val="24"/>
          <w:highlight w:val="none"/>
        </w:rPr>
      </w:pPr>
      <w:r>
        <w:rPr>
          <w:rFonts w:hint="eastAsia" w:ascii="宋体" w:hAnsi="宋体" w:cs="宋体"/>
          <w:b/>
          <w:color w:val="auto"/>
          <w:sz w:val="24"/>
          <w:highlight w:val="none"/>
          <w:lang w:val="en-US" w:eastAsia="zh-CN"/>
        </w:rPr>
        <w:t>4</w:t>
      </w:r>
      <w:r>
        <w:rPr>
          <w:rFonts w:hint="eastAsia" w:ascii="宋体" w:hAnsi="宋体" w:cs="宋体"/>
          <w:b/>
          <w:color w:val="auto"/>
          <w:sz w:val="24"/>
          <w:highlight w:val="none"/>
        </w:rPr>
        <w:t>.报价文件</w:t>
      </w:r>
    </w:p>
    <w:p w14:paraId="3A36C5E4">
      <w:pPr>
        <w:spacing w:line="430" w:lineRule="exact"/>
        <w:rPr>
          <w:rFonts w:ascii="宋体" w:hAnsi="宋体" w:cs="宋体"/>
          <w:color w:val="auto"/>
          <w:sz w:val="24"/>
          <w:highlight w:val="none"/>
        </w:rPr>
      </w:pPr>
      <w:r>
        <w:rPr>
          <w:rFonts w:hint="eastAsia" w:ascii="宋体" w:hAnsi="宋体" w:cs="宋体"/>
          <w:color w:val="auto"/>
          <w:sz w:val="24"/>
          <w:highlight w:val="none"/>
        </w:rPr>
        <w:t xml:space="preserve">（1）磋商响应函（格式见附件）； </w:t>
      </w:r>
    </w:p>
    <w:p w14:paraId="56F40F89">
      <w:pPr>
        <w:spacing w:line="430" w:lineRule="exact"/>
        <w:rPr>
          <w:rFonts w:ascii="宋体" w:hAnsi="宋体" w:cs="宋体"/>
          <w:color w:val="auto"/>
          <w:sz w:val="24"/>
          <w:highlight w:val="none"/>
        </w:rPr>
      </w:pPr>
      <w:r>
        <w:rPr>
          <w:rFonts w:hint="eastAsia" w:ascii="宋体" w:hAnsi="宋体" w:cs="宋体"/>
          <w:b/>
          <w:bCs/>
          <w:color w:val="auto"/>
          <w:sz w:val="24"/>
          <w:highlight w:val="none"/>
        </w:rPr>
        <w:t>▲</w:t>
      </w:r>
      <w:r>
        <w:rPr>
          <w:rFonts w:hint="eastAsia" w:ascii="宋体" w:hAnsi="宋体" w:cs="宋体"/>
          <w:color w:val="auto"/>
          <w:sz w:val="24"/>
          <w:highlight w:val="none"/>
        </w:rPr>
        <w:t>（</w:t>
      </w:r>
      <w:r>
        <w:rPr>
          <w:rFonts w:hint="eastAsia" w:ascii="宋体" w:hAnsi="宋体" w:cs="宋体"/>
          <w:color w:val="auto"/>
          <w:sz w:val="24"/>
          <w:highlight w:val="none"/>
          <w:lang w:val="en-US" w:eastAsia="zh-CN"/>
        </w:rPr>
        <w:t>2</w:t>
      </w:r>
      <w:r>
        <w:rPr>
          <w:rFonts w:hint="eastAsia" w:ascii="宋体" w:hAnsi="宋体" w:cs="宋体"/>
          <w:color w:val="auto"/>
          <w:sz w:val="24"/>
          <w:highlight w:val="none"/>
        </w:rPr>
        <w:t xml:space="preserve">）初次报价表（格式见附件）； </w:t>
      </w:r>
    </w:p>
    <w:p w14:paraId="2AAC6C12">
      <w:pPr>
        <w:spacing w:line="430" w:lineRule="exact"/>
        <w:rPr>
          <w:rFonts w:ascii="宋体" w:hAnsi="宋体" w:cs="宋体"/>
          <w:b/>
          <w:bCs/>
          <w:color w:val="auto"/>
          <w:sz w:val="24"/>
          <w:highlight w:val="none"/>
        </w:rPr>
      </w:pPr>
      <w:r>
        <w:rPr>
          <w:rFonts w:hint="eastAsia" w:ascii="宋体" w:hAnsi="宋体" w:cs="宋体"/>
          <w:color w:val="auto"/>
          <w:sz w:val="24"/>
          <w:highlight w:val="none"/>
        </w:rPr>
        <w:t>（</w:t>
      </w:r>
      <w:r>
        <w:rPr>
          <w:rFonts w:hint="eastAsia" w:ascii="宋体" w:hAnsi="宋体" w:cs="宋体"/>
          <w:color w:val="auto"/>
          <w:sz w:val="24"/>
          <w:highlight w:val="none"/>
          <w:lang w:val="en-US" w:eastAsia="zh-CN"/>
        </w:rPr>
        <w:t>3</w:t>
      </w:r>
      <w:r>
        <w:rPr>
          <w:rFonts w:hint="eastAsia" w:ascii="宋体" w:hAnsi="宋体" w:cs="宋体"/>
          <w:color w:val="auto"/>
          <w:sz w:val="24"/>
          <w:highlight w:val="none"/>
        </w:rPr>
        <w:t>）供应商针对报价需要说明的其他文件和说明（格式自拟）；</w:t>
      </w:r>
    </w:p>
    <w:p w14:paraId="507EE26A">
      <w:pPr>
        <w:pStyle w:val="4"/>
        <w:keepNext w:val="0"/>
        <w:keepLines w:val="0"/>
        <w:pageBreakBefore/>
        <w:spacing w:line="360" w:lineRule="auto"/>
        <w:rPr>
          <w:rFonts w:ascii="宋体" w:hAnsi="宋体" w:eastAsia="宋体" w:cs="宋体"/>
          <w:b w:val="0"/>
          <w:color w:val="auto"/>
          <w:sz w:val="24"/>
          <w:szCs w:val="24"/>
          <w:highlight w:val="none"/>
        </w:rPr>
      </w:pPr>
      <w:r>
        <w:rPr>
          <w:rFonts w:hint="eastAsia" w:ascii="宋体" w:hAnsi="宋体" w:eastAsia="宋体" w:cs="宋体"/>
          <w:b w:val="0"/>
          <w:color w:val="auto"/>
          <w:sz w:val="24"/>
          <w:szCs w:val="24"/>
          <w:highlight w:val="none"/>
        </w:rPr>
        <w:t>附件一：磋商声明书</w:t>
      </w:r>
      <w:bookmarkEnd w:id="48"/>
    </w:p>
    <w:p w14:paraId="0B26401A">
      <w:pPr>
        <w:snapToGrid w:val="0"/>
        <w:spacing w:beforeLines="50" w:after="50" w:line="276" w:lineRule="auto"/>
        <w:jc w:val="center"/>
        <w:rPr>
          <w:rFonts w:ascii="宋体" w:hAnsi="宋体" w:cs="宋体"/>
          <w:b/>
          <w:color w:val="auto"/>
          <w:sz w:val="24"/>
          <w:highlight w:val="none"/>
        </w:rPr>
      </w:pPr>
      <w:r>
        <w:rPr>
          <w:rFonts w:hint="eastAsia" w:ascii="宋体" w:hAnsi="宋体" w:cs="宋体"/>
          <w:b/>
          <w:color w:val="auto"/>
          <w:sz w:val="24"/>
          <w:highlight w:val="none"/>
        </w:rPr>
        <w:t>磋商声明书</w:t>
      </w:r>
    </w:p>
    <w:p w14:paraId="26A0DFF7">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71DA5770">
      <w:pPr>
        <w:snapToGrid w:val="0"/>
        <w:spacing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（供应商名称）系中华人民共和国合法企业，经营地址</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w:t>
      </w:r>
    </w:p>
    <w:p w14:paraId="484966AC">
      <w:pPr>
        <w:snapToGrid w:val="0"/>
        <w:spacing w:beforeLines="50" w:after="50" w:line="276" w:lineRule="auto"/>
        <w:ind w:firstLine="645"/>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（供应商名称）的法定代表人，我方愿意参加贵方组织的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项目的磋商，为便于贵方公正、择优地确定中标人及其磋商服务，我方就本次磋商有关事项郑重声明如下：</w:t>
      </w:r>
    </w:p>
    <w:p w14:paraId="7A37050D">
      <w:pPr>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1.我方向贵方提交的所有磋商响应文件、资料都是准确的和真实的。若有违背，我公司愿为由此而产生的一切后果负责。</w:t>
      </w:r>
    </w:p>
    <w:p w14:paraId="34457865">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rPr>
        <w:t>2.我方不是采购人的附属机构；在获知本项目采购信息后，与采购人聘请的为此项目提供咨询服务的公司及其附属机构没有任何联系。</w:t>
      </w:r>
    </w:p>
    <w:p w14:paraId="4D24D64B">
      <w:pPr>
        <w:snapToGrid w:val="0"/>
        <w:spacing w:beforeLines="50"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 我方诚意提请贵方关注：近期有</w:t>
      </w:r>
      <w:r>
        <w:rPr>
          <w:rFonts w:hint="eastAsia" w:ascii="宋体" w:hAnsi="宋体" w:cs="宋体"/>
          <w:color w:val="auto"/>
          <w:sz w:val="24"/>
          <w:highlight w:val="none"/>
          <w:u w:val="single"/>
        </w:rPr>
        <w:t xml:space="preserve">                   （采购内容）</w:t>
      </w:r>
      <w:r>
        <w:rPr>
          <w:rFonts w:hint="eastAsia" w:ascii="宋体" w:hAnsi="宋体" w:cs="宋体"/>
          <w:color w:val="auto"/>
          <w:sz w:val="24"/>
          <w:highlight w:val="none"/>
        </w:rPr>
        <w:t>等方面的重大决策和事项有：</w:t>
      </w:r>
    </w:p>
    <w:p w14:paraId="6A1498AE">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78D9C9ED">
      <w:pPr>
        <w:snapToGrid w:val="0"/>
        <w:spacing w:beforeLines="50"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u w:val="single"/>
        </w:rPr>
        <w:t>　　　　　　　　　　　　　　　　　　　　　　　　　　　</w:t>
      </w:r>
    </w:p>
    <w:p w14:paraId="77AD1C5C">
      <w:pPr>
        <w:pStyle w:val="19"/>
        <w:snapToGrid w:val="0"/>
        <w:spacing w:line="276" w:lineRule="auto"/>
        <w:rPr>
          <w:rFonts w:ascii="宋体" w:hAnsi="宋体" w:cs="宋体"/>
          <w:color w:val="auto"/>
          <w:sz w:val="24"/>
          <w:highlight w:val="none"/>
        </w:rPr>
      </w:pPr>
      <w:r>
        <w:rPr>
          <w:rFonts w:hint="eastAsia" w:ascii="宋体" w:hAnsi="宋体" w:cs="宋体"/>
          <w:color w:val="auto"/>
          <w:sz w:val="24"/>
          <w:highlight w:val="none"/>
        </w:rPr>
        <w:t>4.我方及由本人担任法定代表人的其他机构最近三年内被通报或者被处罚的违法行为有：</w:t>
      </w:r>
    </w:p>
    <w:p w14:paraId="0ED826CA">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71A27130">
      <w:pPr>
        <w:snapToGrid w:val="0"/>
        <w:spacing w:beforeLines="50" w:line="276" w:lineRule="auto"/>
        <w:ind w:firstLine="480" w:firstLineChars="200"/>
        <w:rPr>
          <w:rFonts w:ascii="宋体" w:hAnsi="宋体" w:cs="宋体"/>
          <w:color w:val="auto"/>
          <w:sz w:val="24"/>
          <w:highlight w:val="none"/>
          <w:u w:val="single"/>
        </w:rPr>
      </w:pPr>
      <w:r>
        <w:rPr>
          <w:rFonts w:hint="eastAsia" w:ascii="宋体" w:hAnsi="宋体" w:cs="宋体"/>
          <w:color w:val="auto"/>
          <w:sz w:val="24"/>
          <w:highlight w:val="none"/>
          <w:u w:val="single"/>
        </w:rPr>
        <w:t>　　　　　　　　　　　　　　　　　　　　　　　　　　　</w:t>
      </w:r>
    </w:p>
    <w:p w14:paraId="3827788F">
      <w:pPr>
        <w:snapToGrid w:val="0"/>
        <w:spacing w:line="276"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5.以上事项如有虚假或隐瞒，我方愿意承担一切后果，并不再寻求任何旨在减轻或免除法律责任的辩解。</w:t>
      </w:r>
    </w:p>
    <w:p w14:paraId="35CFD34F">
      <w:pPr>
        <w:pStyle w:val="21"/>
        <w:tabs>
          <w:tab w:val="left" w:pos="939"/>
        </w:tabs>
        <w:snapToGrid w:val="0"/>
        <w:spacing w:line="276" w:lineRule="auto"/>
        <w:ind w:left="773" w:leftChars="150" w:hanging="458" w:hangingChars="191"/>
        <w:rPr>
          <w:rFonts w:ascii="宋体" w:hAnsi="宋体" w:cs="宋体"/>
          <w:color w:val="auto"/>
          <w:sz w:val="24"/>
          <w:highlight w:val="none"/>
        </w:rPr>
      </w:pPr>
    </w:p>
    <w:p w14:paraId="172D4D08">
      <w:pPr>
        <w:pStyle w:val="71"/>
        <w:snapToGrid w:val="0"/>
        <w:spacing w:beforeLines="50" w:line="276" w:lineRule="auto"/>
        <w:ind w:firstLine="200"/>
        <w:rPr>
          <w:rFonts w:ascii="宋体" w:hAnsi="宋体" w:cs="宋体"/>
          <w:color w:val="auto"/>
          <w:szCs w:val="24"/>
          <w:highlight w:val="none"/>
        </w:rPr>
      </w:pPr>
    </w:p>
    <w:p w14:paraId="4ADC70AD">
      <w:pPr>
        <w:snapToGrid w:val="0"/>
        <w:spacing w:beforeLines="50" w:line="276" w:lineRule="auto"/>
        <w:ind w:firstLine="319" w:firstLineChars="133"/>
        <w:rPr>
          <w:rFonts w:ascii="宋体" w:hAnsi="宋体" w:cs="宋体"/>
          <w:color w:val="auto"/>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z w:val="24"/>
          <w:highlight w:val="none"/>
          <w:u w:val="single"/>
        </w:rPr>
        <w:t xml:space="preserve">             </w:t>
      </w:r>
    </w:p>
    <w:p w14:paraId="3AF202A4">
      <w:pPr>
        <w:snapToGrid w:val="0"/>
        <w:spacing w:beforeLines="50" w:after="50" w:line="276" w:lineRule="auto"/>
        <w:ind w:firstLine="360" w:firstLineChars="150"/>
        <w:rPr>
          <w:rFonts w:ascii="宋体" w:hAnsi="宋体" w:cs="宋体"/>
          <w:color w:val="auto"/>
          <w:sz w:val="24"/>
          <w:highlight w:val="none"/>
        </w:rPr>
      </w:pPr>
      <w:r>
        <w:rPr>
          <w:rFonts w:hint="eastAsia" w:ascii="宋体" w:hAnsi="宋体" w:cs="宋体"/>
          <w:color w:val="auto"/>
          <w:sz w:val="24"/>
          <w:highlight w:val="none"/>
        </w:rPr>
        <w:t>供应商公章：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w:t>
      </w:r>
    </w:p>
    <w:p w14:paraId="28C0FB75">
      <w:pPr>
        <w:snapToGrid w:val="0"/>
        <w:spacing w:beforeLines="50" w:after="50" w:line="276" w:lineRule="auto"/>
        <w:ind w:firstLine="6240" w:firstLineChars="2600"/>
        <w:rPr>
          <w:rFonts w:ascii="宋体" w:hAnsi="宋体" w:cs="宋体"/>
          <w:color w:val="auto"/>
          <w:sz w:val="24"/>
          <w:highlight w:val="none"/>
        </w:rPr>
      </w:pPr>
      <w:r>
        <w:rPr>
          <w:rFonts w:hint="eastAsia" w:ascii="宋体" w:hAnsi="宋体" w:cs="宋体"/>
          <w:color w:val="auto"/>
          <w:sz w:val="24"/>
          <w:highlight w:val="none"/>
        </w:rPr>
        <w:t>年    月    日</w:t>
      </w:r>
    </w:p>
    <w:p w14:paraId="7EB14DD5">
      <w:pPr>
        <w:snapToGrid w:val="0"/>
        <w:spacing w:beforeLines="50" w:after="50" w:line="276" w:lineRule="auto"/>
        <w:ind w:firstLine="6240" w:firstLineChars="2600"/>
        <w:rPr>
          <w:rFonts w:ascii="宋体" w:hAnsi="宋体" w:cs="宋体"/>
          <w:color w:val="auto"/>
          <w:sz w:val="24"/>
          <w:highlight w:val="none"/>
        </w:rPr>
      </w:pPr>
    </w:p>
    <w:p w14:paraId="7F9ADB85">
      <w:pPr>
        <w:snapToGrid w:val="0"/>
        <w:spacing w:beforeLines="50" w:after="50" w:line="276" w:lineRule="auto"/>
        <w:ind w:firstLine="6240" w:firstLineChars="2600"/>
        <w:rPr>
          <w:rFonts w:ascii="宋体" w:hAnsi="宋体" w:cs="宋体"/>
          <w:color w:val="auto"/>
          <w:sz w:val="24"/>
          <w:highlight w:val="none"/>
        </w:rPr>
      </w:pPr>
    </w:p>
    <w:p w14:paraId="32331C23">
      <w:pPr>
        <w:snapToGrid w:val="0"/>
        <w:spacing w:beforeLines="50" w:after="50" w:line="276" w:lineRule="auto"/>
        <w:ind w:firstLine="6240" w:firstLineChars="2600"/>
        <w:rPr>
          <w:rFonts w:ascii="宋体" w:hAnsi="宋体" w:cs="宋体"/>
          <w:color w:val="auto"/>
          <w:sz w:val="24"/>
          <w:highlight w:val="none"/>
        </w:rPr>
      </w:pPr>
    </w:p>
    <w:p w14:paraId="7A142992">
      <w:pPr>
        <w:snapToGrid w:val="0"/>
        <w:spacing w:beforeLines="50" w:after="50" w:line="276" w:lineRule="auto"/>
        <w:rPr>
          <w:rFonts w:ascii="宋体" w:hAnsi="宋体" w:cs="宋体"/>
          <w:color w:val="auto"/>
          <w:sz w:val="24"/>
          <w:highlight w:val="none"/>
        </w:rPr>
      </w:pPr>
    </w:p>
    <w:p w14:paraId="67081D55">
      <w:pPr>
        <w:pStyle w:val="4"/>
        <w:keepNext w:val="0"/>
        <w:keepLines w:val="0"/>
        <w:pageBreakBefore/>
        <w:spacing w:line="360" w:lineRule="auto"/>
        <w:rPr>
          <w:rFonts w:ascii="宋体" w:hAnsi="宋体" w:eastAsia="宋体" w:cs="宋体"/>
          <w:b w:val="0"/>
          <w:bCs w:val="0"/>
          <w:color w:val="auto"/>
          <w:sz w:val="24"/>
          <w:szCs w:val="24"/>
          <w:highlight w:val="none"/>
        </w:rPr>
      </w:pPr>
      <w:bookmarkStart w:id="49" w:name="_Toc30843"/>
      <w:bookmarkStart w:id="50" w:name="_Toc24340"/>
      <w:bookmarkStart w:id="51" w:name="_Toc23315"/>
      <w:bookmarkStart w:id="52" w:name="_Toc728"/>
      <w:bookmarkStart w:id="53" w:name="_Toc3669"/>
      <w:bookmarkStart w:id="54" w:name="_Toc10320"/>
      <w:r>
        <w:rPr>
          <w:rFonts w:hint="eastAsia" w:ascii="宋体" w:hAnsi="宋体" w:eastAsia="宋体" w:cs="宋体"/>
          <w:b w:val="0"/>
          <w:bCs w:val="0"/>
          <w:color w:val="auto"/>
          <w:sz w:val="24"/>
          <w:szCs w:val="24"/>
          <w:highlight w:val="none"/>
        </w:rPr>
        <w:t>附件二：</w:t>
      </w:r>
      <w:bookmarkEnd w:id="49"/>
      <w:bookmarkEnd w:id="50"/>
      <w:r>
        <w:rPr>
          <w:rFonts w:hint="eastAsia" w:ascii="宋体" w:hAnsi="宋体" w:eastAsia="宋体" w:cs="宋体"/>
          <w:b w:val="0"/>
          <w:bCs w:val="0"/>
          <w:color w:val="auto"/>
          <w:sz w:val="24"/>
          <w:szCs w:val="24"/>
          <w:highlight w:val="none"/>
        </w:rPr>
        <w:t>符合参加政府采购活动应当具备的一般条件的承诺函</w:t>
      </w:r>
      <w:bookmarkEnd w:id="51"/>
      <w:bookmarkEnd w:id="52"/>
      <w:bookmarkEnd w:id="53"/>
    </w:p>
    <w:p w14:paraId="54B7679B">
      <w:pPr>
        <w:pStyle w:val="35"/>
        <w:spacing w:before="100" w:after="100" w:line="360" w:lineRule="auto"/>
        <w:jc w:val="center"/>
        <w:rPr>
          <w:color w:val="auto"/>
          <w:highlight w:val="none"/>
        </w:rPr>
      </w:pPr>
      <w:r>
        <w:rPr>
          <w:rFonts w:hint="eastAsia"/>
          <w:b/>
          <w:bCs/>
          <w:color w:val="auto"/>
          <w:sz w:val="27"/>
          <w:szCs w:val="27"/>
          <w:highlight w:val="none"/>
        </w:rPr>
        <w:t>符合参加政府采购活动应当具备的一般条件的承诺函</w:t>
      </w:r>
    </w:p>
    <w:p w14:paraId="2C8CAF4E">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7443DA47">
      <w:pPr>
        <w:pStyle w:val="35"/>
        <w:spacing w:before="0" w:after="0" w:line="360" w:lineRule="auto"/>
        <w:ind w:left="480"/>
        <w:jc w:val="both"/>
        <w:rPr>
          <w:color w:val="auto"/>
          <w:kern w:val="2"/>
          <w:highlight w:val="none"/>
        </w:rPr>
      </w:pPr>
      <w:r>
        <w:rPr>
          <w:rFonts w:hint="eastAsia"/>
          <w:color w:val="auto"/>
          <w:kern w:val="2"/>
          <w:highlight w:val="none"/>
        </w:rPr>
        <w:t>我方参与</w:t>
      </w:r>
      <w:r>
        <w:rPr>
          <w:rFonts w:hint="eastAsia"/>
          <w:color w:val="auto"/>
          <w:highlight w:val="none"/>
          <w:u w:val="single"/>
        </w:rPr>
        <w:t xml:space="preserve">              </w:t>
      </w:r>
      <w:r>
        <w:rPr>
          <w:rFonts w:hint="eastAsia"/>
          <w:color w:val="auto"/>
          <w:kern w:val="2"/>
          <w:highlight w:val="none"/>
        </w:rPr>
        <w:t>项目【项目编号：</w:t>
      </w:r>
      <w:r>
        <w:rPr>
          <w:rFonts w:hint="eastAsia"/>
          <w:color w:val="auto"/>
          <w:highlight w:val="none"/>
          <w:u w:val="single"/>
        </w:rPr>
        <w:t xml:space="preserve">             </w:t>
      </w:r>
      <w:r>
        <w:rPr>
          <w:rFonts w:hint="eastAsia"/>
          <w:color w:val="auto"/>
          <w:kern w:val="2"/>
          <w:highlight w:val="none"/>
        </w:rPr>
        <w:t>】政府采购活动，郑重承诺：</w:t>
      </w:r>
    </w:p>
    <w:p w14:paraId="52ABAC50">
      <w:pPr>
        <w:pStyle w:val="35"/>
        <w:spacing w:before="0" w:after="0" w:line="360" w:lineRule="auto"/>
        <w:ind w:left="480"/>
        <w:jc w:val="both"/>
        <w:rPr>
          <w:color w:val="auto"/>
          <w:kern w:val="2"/>
          <w:highlight w:val="none"/>
        </w:rPr>
      </w:pPr>
      <w:r>
        <w:rPr>
          <w:rFonts w:hint="eastAsia"/>
          <w:color w:val="auto"/>
          <w:kern w:val="2"/>
          <w:highlight w:val="none"/>
        </w:rPr>
        <w:t>（一）具备《中华人民共和国政府采购法》第二十二条第一款规定的条件：</w:t>
      </w:r>
    </w:p>
    <w:p w14:paraId="0C474166">
      <w:pPr>
        <w:pStyle w:val="35"/>
        <w:spacing w:before="0" w:after="0" w:line="360" w:lineRule="auto"/>
        <w:ind w:left="480"/>
        <w:jc w:val="both"/>
        <w:rPr>
          <w:color w:val="auto"/>
          <w:kern w:val="2"/>
          <w:highlight w:val="none"/>
        </w:rPr>
      </w:pPr>
      <w:r>
        <w:rPr>
          <w:rFonts w:hint="eastAsia"/>
          <w:color w:val="auto"/>
          <w:kern w:val="2"/>
          <w:highlight w:val="none"/>
        </w:rPr>
        <w:t>1、具有独立承担民事责任的能力；</w:t>
      </w:r>
    </w:p>
    <w:p w14:paraId="3C0E7331">
      <w:pPr>
        <w:pStyle w:val="35"/>
        <w:spacing w:before="0" w:after="0" w:line="360" w:lineRule="auto"/>
        <w:ind w:left="480"/>
        <w:jc w:val="both"/>
        <w:rPr>
          <w:color w:val="auto"/>
          <w:kern w:val="2"/>
          <w:highlight w:val="none"/>
        </w:rPr>
      </w:pPr>
      <w:r>
        <w:rPr>
          <w:rFonts w:hint="eastAsia"/>
          <w:color w:val="auto"/>
          <w:kern w:val="2"/>
          <w:highlight w:val="none"/>
        </w:rPr>
        <w:t xml:space="preserve">2、具有良好的商业信誉和健全的财务会计制度； </w:t>
      </w:r>
    </w:p>
    <w:p w14:paraId="18854FCB">
      <w:pPr>
        <w:pStyle w:val="35"/>
        <w:spacing w:before="0" w:after="0" w:line="360" w:lineRule="auto"/>
        <w:ind w:left="480"/>
        <w:jc w:val="both"/>
        <w:rPr>
          <w:color w:val="auto"/>
          <w:kern w:val="2"/>
          <w:highlight w:val="none"/>
        </w:rPr>
      </w:pPr>
      <w:r>
        <w:rPr>
          <w:rFonts w:hint="eastAsia"/>
          <w:color w:val="auto"/>
          <w:kern w:val="2"/>
          <w:highlight w:val="none"/>
        </w:rPr>
        <w:t>3、具有履行合同所必需的设备和专业技术能力；</w:t>
      </w:r>
    </w:p>
    <w:p w14:paraId="0955B1A9">
      <w:pPr>
        <w:pStyle w:val="35"/>
        <w:spacing w:before="0" w:after="0" w:line="360" w:lineRule="auto"/>
        <w:ind w:left="480"/>
        <w:jc w:val="both"/>
        <w:rPr>
          <w:color w:val="auto"/>
          <w:kern w:val="2"/>
          <w:highlight w:val="none"/>
        </w:rPr>
      </w:pPr>
      <w:r>
        <w:rPr>
          <w:rFonts w:hint="eastAsia"/>
          <w:color w:val="auto"/>
          <w:kern w:val="2"/>
          <w:highlight w:val="none"/>
        </w:rPr>
        <w:t>4、有依法缴纳税收和社会保障资金的良好记录；</w:t>
      </w:r>
    </w:p>
    <w:p w14:paraId="097AA2F0">
      <w:pPr>
        <w:pStyle w:val="35"/>
        <w:spacing w:before="0" w:after="0" w:line="360" w:lineRule="auto"/>
        <w:ind w:left="480"/>
        <w:jc w:val="both"/>
        <w:rPr>
          <w:color w:val="auto"/>
          <w:kern w:val="2"/>
          <w:highlight w:val="none"/>
        </w:rPr>
      </w:pPr>
      <w:r>
        <w:rPr>
          <w:rFonts w:hint="eastAsia"/>
          <w:color w:val="auto"/>
          <w:kern w:val="2"/>
          <w:highlight w:val="none"/>
        </w:rPr>
        <w:t>5、参加政府采购活动前三年内，在经营活动中没有重大违法记录；</w:t>
      </w:r>
    </w:p>
    <w:p w14:paraId="1A3FC395">
      <w:pPr>
        <w:pStyle w:val="35"/>
        <w:spacing w:before="0" w:after="0" w:line="360" w:lineRule="auto"/>
        <w:ind w:left="480"/>
        <w:jc w:val="both"/>
        <w:rPr>
          <w:color w:val="auto"/>
          <w:kern w:val="2"/>
          <w:highlight w:val="none"/>
        </w:rPr>
      </w:pPr>
      <w:r>
        <w:rPr>
          <w:rFonts w:hint="eastAsia"/>
          <w:color w:val="auto"/>
          <w:kern w:val="2"/>
          <w:highlight w:val="none"/>
        </w:rPr>
        <w:t>6、具有法律、行政法规规定的其他条件。</w:t>
      </w:r>
    </w:p>
    <w:p w14:paraId="47F39D2B">
      <w:pPr>
        <w:pStyle w:val="35"/>
        <w:spacing w:before="0" w:after="0" w:line="360" w:lineRule="auto"/>
        <w:ind w:left="480"/>
        <w:jc w:val="both"/>
        <w:rPr>
          <w:color w:val="auto"/>
          <w:kern w:val="2"/>
          <w:highlight w:val="none"/>
        </w:rPr>
      </w:pPr>
      <w:r>
        <w:rPr>
          <w:rFonts w:hint="eastAsia"/>
          <w:color w:val="auto"/>
          <w:kern w:val="2"/>
          <w:highlight w:val="none"/>
        </w:rPr>
        <w:t>（二）未被信用中国（www.creditchina.gov.cn)、中国政府采购网（www.ccgp.gov.cn）列入失信被执行人、重大税收违法案件当事人名单、政府采购严重违法失信行为记录名单。</w:t>
      </w:r>
    </w:p>
    <w:p w14:paraId="72114770">
      <w:pPr>
        <w:pStyle w:val="35"/>
        <w:spacing w:before="0" w:after="0" w:line="360" w:lineRule="auto"/>
        <w:ind w:left="480"/>
        <w:jc w:val="both"/>
        <w:rPr>
          <w:color w:val="auto"/>
          <w:kern w:val="2"/>
          <w:highlight w:val="none"/>
        </w:rPr>
      </w:pPr>
      <w:r>
        <w:rPr>
          <w:rFonts w:hint="eastAsia"/>
          <w:color w:val="auto"/>
          <w:kern w:val="2"/>
          <w:highlight w:val="none"/>
        </w:rPr>
        <w:t>（三）不存在以下情况：</w:t>
      </w:r>
    </w:p>
    <w:p w14:paraId="6C82D0DC">
      <w:pPr>
        <w:pStyle w:val="35"/>
        <w:spacing w:before="0" w:after="0" w:line="360" w:lineRule="auto"/>
        <w:ind w:left="480"/>
        <w:jc w:val="both"/>
        <w:rPr>
          <w:color w:val="auto"/>
          <w:kern w:val="2"/>
          <w:highlight w:val="none"/>
        </w:rPr>
      </w:pPr>
      <w:r>
        <w:rPr>
          <w:rFonts w:hint="eastAsia"/>
          <w:color w:val="auto"/>
          <w:kern w:val="2"/>
          <w:highlight w:val="none"/>
        </w:rPr>
        <w:t>1、单位负责人为同一人或者存在直接控股、管理关系的不同供应商参加同一合同项下的政府采购活动的；</w:t>
      </w:r>
    </w:p>
    <w:p w14:paraId="6C191B72">
      <w:pPr>
        <w:pStyle w:val="35"/>
        <w:spacing w:before="0" w:after="0" w:line="360" w:lineRule="auto"/>
        <w:ind w:left="480"/>
        <w:jc w:val="both"/>
        <w:rPr>
          <w:color w:val="auto"/>
          <w:kern w:val="2"/>
          <w:highlight w:val="none"/>
        </w:rPr>
      </w:pPr>
      <w:r>
        <w:rPr>
          <w:rFonts w:hint="eastAsia"/>
          <w:color w:val="auto"/>
          <w:kern w:val="2"/>
          <w:highlight w:val="none"/>
        </w:rPr>
        <w:t>2、为采购项目提供整体设计、规范编制或者项目管理、监理、检测等服务后再参加该采购项目的其他采购活动的。</w:t>
      </w:r>
    </w:p>
    <w:p w14:paraId="0A54936E">
      <w:pPr>
        <w:pStyle w:val="35"/>
        <w:spacing w:before="0" w:after="0" w:line="360" w:lineRule="auto"/>
        <w:ind w:left="480"/>
        <w:jc w:val="both"/>
        <w:rPr>
          <w:color w:val="auto"/>
          <w:kern w:val="2"/>
          <w:highlight w:val="none"/>
        </w:rPr>
      </w:pPr>
    </w:p>
    <w:p w14:paraId="2DCD3AA3">
      <w:pPr>
        <w:pStyle w:val="35"/>
        <w:spacing w:before="0" w:after="0" w:line="360" w:lineRule="auto"/>
        <w:ind w:left="480"/>
        <w:jc w:val="both"/>
        <w:rPr>
          <w:color w:val="auto"/>
          <w:kern w:val="2"/>
          <w:highlight w:val="none"/>
        </w:rPr>
      </w:pPr>
    </w:p>
    <w:p w14:paraId="572AD314">
      <w:pPr>
        <w:pStyle w:val="35"/>
        <w:spacing w:before="0" w:after="0" w:line="360" w:lineRule="auto"/>
        <w:ind w:left="480"/>
        <w:jc w:val="both"/>
        <w:rPr>
          <w:color w:val="auto"/>
          <w:kern w:val="2"/>
          <w:highlight w:val="none"/>
        </w:rPr>
      </w:pPr>
    </w:p>
    <w:p w14:paraId="2B3AA33F">
      <w:pPr>
        <w:snapToGrid w:val="0"/>
        <w:spacing w:before="50" w:after="50"/>
        <w:rPr>
          <w:rFonts w:ascii="宋体" w:hAnsi="宋体" w:cs="宋体"/>
          <w:color w:val="auto"/>
          <w:spacing w:val="20"/>
          <w:sz w:val="24"/>
          <w:highlight w:val="none"/>
          <w:u w:val="single"/>
        </w:rPr>
      </w:pPr>
      <w:r>
        <w:rPr>
          <w:rFonts w:hint="eastAsia" w:ascii="宋体" w:hAnsi="宋体" w:cs="宋体"/>
          <w:color w:val="auto"/>
          <w:sz w:val="24"/>
          <w:highlight w:val="none"/>
        </w:rPr>
        <w:t>法定代表人或委托代理人签字</w:t>
      </w:r>
      <w:r>
        <w:rPr>
          <w:rFonts w:hint="eastAsia" w:ascii="宋体" w:hAnsi="宋体" w:cs="宋体"/>
          <w:color w:val="auto"/>
          <w:spacing w:val="20"/>
          <w:sz w:val="24"/>
          <w:highlight w:val="none"/>
        </w:rPr>
        <w:t>：</w:t>
      </w:r>
      <w:r>
        <w:rPr>
          <w:rFonts w:hint="eastAsia" w:ascii="宋体" w:hAnsi="宋体" w:cs="宋体"/>
          <w:color w:val="auto"/>
          <w:spacing w:val="20"/>
          <w:sz w:val="24"/>
          <w:highlight w:val="none"/>
          <w:u w:val="single"/>
        </w:rPr>
        <w:t xml:space="preserve">        </w:t>
      </w:r>
    </w:p>
    <w:p w14:paraId="7C7B49D6">
      <w:pPr>
        <w:snapToGrid w:val="0"/>
        <w:spacing w:beforeLines="50"/>
        <w:rPr>
          <w:rFonts w:ascii="宋体" w:hAnsi="宋体" w:cs="宋体"/>
          <w:color w:val="auto"/>
          <w:sz w:val="24"/>
          <w:highlight w:val="none"/>
        </w:rPr>
      </w:pPr>
      <w:r>
        <w:rPr>
          <w:rFonts w:hint="eastAsia" w:ascii="宋体" w:hAnsi="宋体" w:cs="宋体"/>
          <w:color w:val="auto"/>
          <w:spacing w:val="20"/>
          <w:sz w:val="24"/>
          <w:highlight w:val="none"/>
        </w:rPr>
        <w:t>供应商盖章：</w:t>
      </w:r>
      <w:r>
        <w:rPr>
          <w:rFonts w:hint="eastAsia" w:ascii="宋体" w:hAnsi="宋体" w:cs="宋体"/>
          <w:color w:val="auto"/>
          <w:spacing w:val="20"/>
          <w:sz w:val="24"/>
          <w:highlight w:val="none"/>
          <w:u w:val="single"/>
        </w:rPr>
        <w:t xml:space="preserve">            </w:t>
      </w:r>
      <w:r>
        <w:rPr>
          <w:rFonts w:hint="eastAsia" w:ascii="宋体" w:hAnsi="宋体" w:cs="宋体"/>
          <w:color w:val="auto"/>
          <w:spacing w:val="20"/>
          <w:sz w:val="24"/>
          <w:highlight w:val="none"/>
        </w:rPr>
        <w:t xml:space="preserve">              日 期：</w:t>
      </w:r>
      <w:r>
        <w:rPr>
          <w:rFonts w:hint="eastAsia" w:ascii="宋体" w:hAnsi="宋体" w:cs="宋体"/>
          <w:color w:val="auto"/>
          <w:spacing w:val="20"/>
          <w:sz w:val="24"/>
          <w:highlight w:val="none"/>
          <w:u w:val="single"/>
        </w:rPr>
        <w:t xml:space="preserve">            </w:t>
      </w:r>
    </w:p>
    <w:p w14:paraId="5A1EF4B6">
      <w:pPr>
        <w:rPr>
          <w:rFonts w:ascii="宋体" w:hAnsi="宋体" w:cs="宋体"/>
          <w:color w:val="auto"/>
          <w:sz w:val="24"/>
          <w:highlight w:val="none"/>
        </w:rPr>
      </w:pPr>
    </w:p>
    <w:p w14:paraId="5F812D8B">
      <w:pPr>
        <w:pageBreakBefore/>
        <w:spacing w:before="260" w:after="260" w:line="415" w:lineRule="auto"/>
        <w:outlineLvl w:val="1"/>
        <w:rPr>
          <w:rFonts w:hint="eastAsia" w:ascii="宋体" w:hAnsi="宋体" w:eastAsia="宋体" w:cs="宋体"/>
          <w:bCs/>
          <w:color w:val="auto"/>
          <w:sz w:val="24"/>
          <w:highlight w:val="none"/>
        </w:rPr>
      </w:pPr>
      <w:bookmarkStart w:id="55" w:name="_Toc9714"/>
      <w:bookmarkStart w:id="56" w:name="_Toc26637"/>
      <w:r>
        <w:rPr>
          <w:rFonts w:hint="eastAsia" w:ascii="宋体" w:hAnsi="宋体" w:eastAsia="宋体" w:cs="宋体"/>
          <w:bCs/>
          <w:color w:val="auto"/>
          <w:sz w:val="24"/>
          <w:highlight w:val="none"/>
        </w:rPr>
        <w:t>附件</w:t>
      </w:r>
      <w:r>
        <w:rPr>
          <w:rFonts w:hint="eastAsia" w:ascii="宋体" w:hAnsi="宋体" w:eastAsia="宋体" w:cs="宋体"/>
          <w:bCs/>
          <w:color w:val="auto"/>
          <w:sz w:val="24"/>
          <w:highlight w:val="none"/>
          <w:lang w:val="en-US" w:eastAsia="zh-CN"/>
        </w:rPr>
        <w:t>三</w:t>
      </w:r>
      <w:r>
        <w:rPr>
          <w:rFonts w:hint="eastAsia" w:ascii="宋体" w:hAnsi="宋体" w:eastAsia="宋体" w:cs="宋体"/>
          <w:bCs/>
          <w:color w:val="auto"/>
          <w:sz w:val="24"/>
          <w:highlight w:val="none"/>
        </w:rPr>
        <w:t>：东阳市政府采购代理机构社会评价表</w:t>
      </w:r>
      <w:bookmarkEnd w:id="55"/>
      <w:bookmarkEnd w:id="56"/>
    </w:p>
    <w:p w14:paraId="3928B514">
      <w:pPr>
        <w:jc w:val="center"/>
        <w:rPr>
          <w:rFonts w:hint="eastAsia" w:ascii="宋体" w:hAnsi="宋体" w:eastAsia="宋体" w:cs="宋体"/>
          <w:color w:val="auto"/>
          <w:sz w:val="44"/>
          <w:szCs w:val="44"/>
          <w:highlight w:val="none"/>
        </w:rPr>
      </w:pPr>
      <w:r>
        <w:rPr>
          <w:rFonts w:hint="eastAsia" w:ascii="宋体" w:hAnsi="宋体" w:eastAsia="宋体" w:cs="宋体"/>
          <w:color w:val="auto"/>
          <w:sz w:val="44"/>
          <w:szCs w:val="44"/>
          <w:highlight w:val="none"/>
        </w:rPr>
        <w:t>东阳市政府采购代理机构社会评价表</w:t>
      </w:r>
    </w:p>
    <w:p w14:paraId="3707B68D">
      <w:pPr>
        <w:rPr>
          <w:rFonts w:hint="eastAsia"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代理机构名称： </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552"/>
        <w:gridCol w:w="735"/>
        <w:gridCol w:w="1128"/>
        <w:gridCol w:w="1089"/>
        <w:gridCol w:w="836"/>
        <w:gridCol w:w="3047"/>
      </w:tblGrid>
      <w:tr w14:paraId="73DD78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92" w:hRule="atLeast"/>
          <w:jc w:val="center"/>
        </w:trPr>
        <w:tc>
          <w:tcPr>
            <w:tcW w:w="1312" w:type="dxa"/>
            <w:tcBorders>
              <w:top w:val="single" w:color="auto" w:sz="4" w:space="0"/>
              <w:left w:val="single" w:color="auto" w:sz="4" w:space="0"/>
              <w:bottom w:val="single" w:color="auto" w:sz="4" w:space="0"/>
              <w:right w:val="single" w:color="auto" w:sz="4" w:space="0"/>
            </w:tcBorders>
            <w:noWrap w:val="0"/>
            <w:vAlign w:val="center"/>
          </w:tcPr>
          <w:p w14:paraId="61F1CCA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填表人类别</w:t>
            </w:r>
          </w:p>
        </w:tc>
        <w:tc>
          <w:tcPr>
            <w:tcW w:w="8387" w:type="dxa"/>
            <w:gridSpan w:val="6"/>
            <w:tcBorders>
              <w:top w:val="single" w:color="auto" w:sz="4" w:space="0"/>
              <w:left w:val="nil"/>
              <w:bottom w:val="single" w:color="auto" w:sz="4" w:space="0"/>
              <w:right w:val="single" w:color="auto" w:sz="4" w:space="0"/>
            </w:tcBorders>
            <w:noWrap w:val="0"/>
            <w:vAlign w:val="center"/>
          </w:tcPr>
          <w:p w14:paraId="4A108782">
            <w:pPr>
              <w:ind w:firstLine="480" w:firstLineChars="200"/>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 xml:space="preserve">□采购单位      □供应商      □专家     </w:t>
            </w:r>
          </w:p>
        </w:tc>
      </w:tr>
      <w:tr w14:paraId="0750F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671" w:hRule="atLeast"/>
          <w:jc w:val="center"/>
        </w:trPr>
        <w:tc>
          <w:tcPr>
            <w:tcW w:w="1312" w:type="dxa"/>
            <w:tcBorders>
              <w:top w:val="single" w:color="auto" w:sz="4" w:space="0"/>
              <w:left w:val="single" w:color="auto" w:sz="4" w:space="0"/>
              <w:bottom w:val="single" w:color="auto" w:sz="4" w:space="0"/>
              <w:right w:val="single" w:color="auto" w:sz="4" w:space="0"/>
            </w:tcBorders>
            <w:noWrap w:val="0"/>
            <w:vAlign w:val="center"/>
          </w:tcPr>
          <w:p w14:paraId="44B3A599">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填表人名称或姓名</w:t>
            </w:r>
          </w:p>
        </w:tc>
        <w:tc>
          <w:tcPr>
            <w:tcW w:w="4504" w:type="dxa"/>
            <w:gridSpan w:val="4"/>
            <w:tcBorders>
              <w:top w:val="single" w:color="auto" w:sz="4" w:space="0"/>
              <w:left w:val="nil"/>
              <w:bottom w:val="single" w:color="auto" w:sz="4" w:space="0"/>
              <w:right w:val="single" w:color="auto" w:sz="4" w:space="0"/>
            </w:tcBorders>
            <w:noWrap w:val="0"/>
            <w:vAlign w:val="center"/>
          </w:tcPr>
          <w:p w14:paraId="3C6E68C3">
            <w:pPr>
              <w:jc w:val="center"/>
              <w:rPr>
                <w:rFonts w:hint="eastAsia" w:ascii="宋体" w:hAnsi="宋体" w:eastAsia="宋体" w:cs="宋体"/>
                <w:color w:val="auto"/>
                <w:sz w:val="24"/>
                <w:highlight w:val="none"/>
              </w:rPr>
            </w:pPr>
          </w:p>
        </w:tc>
        <w:tc>
          <w:tcPr>
            <w:tcW w:w="836" w:type="dxa"/>
            <w:tcBorders>
              <w:top w:val="single" w:color="auto" w:sz="4" w:space="0"/>
              <w:left w:val="nil"/>
              <w:bottom w:val="single" w:color="auto" w:sz="4" w:space="0"/>
              <w:right w:val="single" w:color="auto" w:sz="4" w:space="0"/>
            </w:tcBorders>
            <w:noWrap w:val="0"/>
            <w:vAlign w:val="center"/>
          </w:tcPr>
          <w:p w14:paraId="28E650D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地址</w:t>
            </w:r>
          </w:p>
        </w:tc>
        <w:tc>
          <w:tcPr>
            <w:tcW w:w="3047" w:type="dxa"/>
            <w:tcBorders>
              <w:top w:val="single" w:color="auto" w:sz="4" w:space="0"/>
              <w:left w:val="single" w:color="auto" w:sz="4" w:space="0"/>
              <w:bottom w:val="single" w:color="auto" w:sz="4" w:space="0"/>
              <w:right w:val="single" w:color="auto" w:sz="4" w:space="0"/>
            </w:tcBorders>
            <w:noWrap w:val="0"/>
            <w:vAlign w:val="center"/>
          </w:tcPr>
          <w:p w14:paraId="03BE3302">
            <w:pPr>
              <w:jc w:val="center"/>
              <w:rPr>
                <w:rFonts w:hint="eastAsia" w:ascii="宋体" w:hAnsi="宋体" w:eastAsia="宋体" w:cs="宋体"/>
                <w:color w:val="auto"/>
                <w:sz w:val="24"/>
                <w:highlight w:val="none"/>
              </w:rPr>
            </w:pPr>
          </w:p>
        </w:tc>
      </w:tr>
      <w:tr w14:paraId="1D09B72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2" w:hRule="atLeast"/>
          <w:jc w:val="center"/>
        </w:trPr>
        <w:tc>
          <w:tcPr>
            <w:tcW w:w="1312" w:type="dxa"/>
            <w:tcBorders>
              <w:top w:val="single" w:color="auto" w:sz="4" w:space="0"/>
              <w:left w:val="single" w:color="auto" w:sz="4" w:space="0"/>
              <w:bottom w:val="single" w:color="auto" w:sz="4" w:space="0"/>
              <w:right w:val="single" w:color="auto" w:sz="4" w:space="0"/>
            </w:tcBorders>
            <w:noWrap w:val="0"/>
            <w:vAlign w:val="center"/>
          </w:tcPr>
          <w:p w14:paraId="3A4700B0">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联系人</w:t>
            </w:r>
          </w:p>
        </w:tc>
        <w:tc>
          <w:tcPr>
            <w:tcW w:w="1552" w:type="dxa"/>
            <w:tcBorders>
              <w:top w:val="single" w:color="auto" w:sz="4" w:space="0"/>
              <w:left w:val="nil"/>
              <w:bottom w:val="single" w:color="auto" w:sz="4" w:space="0"/>
              <w:right w:val="single" w:color="auto" w:sz="4" w:space="0"/>
            </w:tcBorders>
            <w:noWrap w:val="0"/>
            <w:vAlign w:val="center"/>
          </w:tcPr>
          <w:p w14:paraId="0F751BC6">
            <w:pPr>
              <w:jc w:val="center"/>
              <w:rPr>
                <w:rFonts w:hint="eastAsia" w:ascii="宋体" w:hAnsi="宋体" w:eastAsia="宋体" w:cs="宋体"/>
                <w:color w:val="auto"/>
                <w:sz w:val="24"/>
                <w:highlight w:val="none"/>
              </w:rPr>
            </w:pPr>
          </w:p>
        </w:tc>
        <w:tc>
          <w:tcPr>
            <w:tcW w:w="735" w:type="dxa"/>
            <w:tcBorders>
              <w:top w:val="single" w:color="auto" w:sz="4" w:space="0"/>
              <w:left w:val="nil"/>
              <w:bottom w:val="single" w:color="auto" w:sz="4" w:space="0"/>
              <w:right w:val="single" w:color="auto" w:sz="4" w:space="0"/>
            </w:tcBorders>
            <w:noWrap w:val="0"/>
            <w:vAlign w:val="center"/>
          </w:tcPr>
          <w:p w14:paraId="493B43AB">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电话</w:t>
            </w:r>
          </w:p>
        </w:tc>
        <w:tc>
          <w:tcPr>
            <w:tcW w:w="2217" w:type="dxa"/>
            <w:gridSpan w:val="2"/>
            <w:tcBorders>
              <w:top w:val="single" w:color="auto" w:sz="4" w:space="0"/>
              <w:left w:val="nil"/>
              <w:bottom w:val="single" w:color="auto" w:sz="4" w:space="0"/>
              <w:right w:val="single" w:color="auto" w:sz="4" w:space="0"/>
            </w:tcBorders>
            <w:noWrap w:val="0"/>
            <w:vAlign w:val="center"/>
          </w:tcPr>
          <w:p w14:paraId="6703B3BC">
            <w:pPr>
              <w:jc w:val="center"/>
              <w:rPr>
                <w:rFonts w:hint="eastAsia" w:ascii="宋体" w:hAnsi="宋体" w:eastAsia="宋体" w:cs="宋体"/>
                <w:color w:val="auto"/>
                <w:sz w:val="24"/>
                <w:highlight w:val="none"/>
              </w:rPr>
            </w:pPr>
          </w:p>
        </w:tc>
        <w:tc>
          <w:tcPr>
            <w:tcW w:w="836" w:type="dxa"/>
            <w:tcBorders>
              <w:top w:val="single" w:color="auto" w:sz="4" w:space="0"/>
              <w:left w:val="nil"/>
              <w:bottom w:val="single" w:color="auto" w:sz="4" w:space="0"/>
              <w:right w:val="single" w:color="auto" w:sz="4" w:space="0"/>
            </w:tcBorders>
            <w:noWrap w:val="0"/>
            <w:vAlign w:val="center"/>
          </w:tcPr>
          <w:p w14:paraId="18D61325">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传真</w:t>
            </w:r>
          </w:p>
        </w:tc>
        <w:tc>
          <w:tcPr>
            <w:tcW w:w="3047" w:type="dxa"/>
            <w:tcBorders>
              <w:top w:val="single" w:color="auto" w:sz="4" w:space="0"/>
              <w:left w:val="single" w:color="auto" w:sz="4" w:space="0"/>
              <w:bottom w:val="single" w:color="auto" w:sz="4" w:space="0"/>
              <w:right w:val="single" w:color="auto" w:sz="4" w:space="0"/>
            </w:tcBorders>
            <w:noWrap w:val="0"/>
            <w:vAlign w:val="center"/>
          </w:tcPr>
          <w:p w14:paraId="5E16E90A">
            <w:pPr>
              <w:jc w:val="center"/>
              <w:rPr>
                <w:rFonts w:hint="eastAsia" w:ascii="宋体" w:hAnsi="宋体" w:eastAsia="宋体" w:cs="宋体"/>
                <w:color w:val="auto"/>
                <w:sz w:val="24"/>
                <w:highlight w:val="none"/>
              </w:rPr>
            </w:pPr>
          </w:p>
        </w:tc>
      </w:tr>
      <w:tr w14:paraId="761A46F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12" w:type="dxa"/>
            <w:vMerge w:val="restart"/>
            <w:tcBorders>
              <w:top w:val="nil"/>
              <w:left w:val="single" w:color="auto" w:sz="4" w:space="0"/>
              <w:bottom w:val="single" w:color="auto" w:sz="4" w:space="0"/>
              <w:right w:val="single" w:color="auto" w:sz="4" w:space="0"/>
            </w:tcBorders>
            <w:noWrap w:val="0"/>
            <w:vAlign w:val="center"/>
          </w:tcPr>
          <w:p w14:paraId="6FC25591">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对代理机构的评价</w:t>
            </w:r>
          </w:p>
        </w:tc>
        <w:tc>
          <w:tcPr>
            <w:tcW w:w="3415" w:type="dxa"/>
            <w:gridSpan w:val="3"/>
            <w:tcBorders>
              <w:top w:val="single" w:color="auto" w:sz="4" w:space="0"/>
              <w:left w:val="nil"/>
              <w:bottom w:val="single" w:color="auto" w:sz="4" w:space="0"/>
              <w:right w:val="single" w:color="auto" w:sz="4" w:space="0"/>
            </w:tcBorders>
            <w:noWrap w:val="0"/>
            <w:vAlign w:val="center"/>
          </w:tcPr>
          <w:p w14:paraId="7826F663">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项目</w:t>
            </w:r>
          </w:p>
        </w:tc>
        <w:tc>
          <w:tcPr>
            <w:tcW w:w="4972" w:type="dxa"/>
            <w:gridSpan w:val="3"/>
            <w:tcBorders>
              <w:top w:val="single" w:color="auto" w:sz="4" w:space="0"/>
              <w:left w:val="nil"/>
              <w:bottom w:val="single" w:color="auto" w:sz="4" w:space="0"/>
              <w:right w:val="single" w:color="auto" w:sz="4" w:space="0"/>
            </w:tcBorders>
            <w:noWrap w:val="0"/>
            <w:vAlign w:val="center"/>
          </w:tcPr>
          <w:p w14:paraId="4945C0D0">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评价（请在分值范围内进行打分）</w:t>
            </w:r>
          </w:p>
        </w:tc>
      </w:tr>
      <w:tr w14:paraId="42B8643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312" w:type="dxa"/>
            <w:vMerge w:val="continue"/>
            <w:tcBorders>
              <w:top w:val="nil"/>
              <w:left w:val="single" w:color="auto" w:sz="4" w:space="0"/>
              <w:bottom w:val="single" w:color="auto" w:sz="4" w:space="0"/>
              <w:right w:val="single" w:color="auto" w:sz="4" w:space="0"/>
            </w:tcBorders>
            <w:noWrap w:val="0"/>
            <w:vAlign w:val="center"/>
          </w:tcPr>
          <w:p w14:paraId="191760C0">
            <w:pPr>
              <w:widowControl/>
              <w:jc w:val="left"/>
              <w:rPr>
                <w:rFonts w:hint="eastAsia" w:ascii="宋体" w:hAnsi="宋体" w:eastAsia="宋体" w:cs="宋体"/>
                <w:color w:val="auto"/>
                <w:sz w:val="24"/>
                <w:highlight w:val="none"/>
              </w:rPr>
            </w:pPr>
          </w:p>
        </w:tc>
        <w:tc>
          <w:tcPr>
            <w:tcW w:w="3415" w:type="dxa"/>
            <w:gridSpan w:val="3"/>
            <w:tcBorders>
              <w:top w:val="single" w:color="auto" w:sz="4" w:space="0"/>
              <w:left w:val="nil"/>
              <w:bottom w:val="single" w:color="auto" w:sz="4" w:space="0"/>
              <w:right w:val="single" w:color="auto" w:sz="4" w:space="0"/>
            </w:tcBorders>
            <w:noWrap w:val="0"/>
            <w:vAlign w:val="center"/>
          </w:tcPr>
          <w:p w14:paraId="691CFF25">
            <w:pPr>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是否严格执行政府采购纪律、法规和规章制度等（2分）。</w:t>
            </w:r>
          </w:p>
        </w:tc>
        <w:tc>
          <w:tcPr>
            <w:tcW w:w="4972" w:type="dxa"/>
            <w:gridSpan w:val="3"/>
            <w:tcBorders>
              <w:top w:val="single" w:color="auto" w:sz="4" w:space="0"/>
              <w:left w:val="nil"/>
              <w:bottom w:val="single" w:color="auto" w:sz="4" w:space="0"/>
              <w:right w:val="single" w:color="auto" w:sz="4" w:space="0"/>
            </w:tcBorders>
            <w:noWrap w:val="0"/>
            <w:vAlign w:val="center"/>
          </w:tcPr>
          <w:p w14:paraId="38760E92">
            <w:pPr>
              <w:spacing w:line="500" w:lineRule="exact"/>
              <w:jc w:val="center"/>
              <w:rPr>
                <w:rFonts w:hint="eastAsia" w:ascii="宋体" w:hAnsi="宋体" w:eastAsia="宋体" w:cs="宋体"/>
                <w:color w:val="auto"/>
                <w:sz w:val="24"/>
                <w:highlight w:val="none"/>
              </w:rPr>
            </w:pPr>
          </w:p>
        </w:tc>
      </w:tr>
      <w:tr w14:paraId="2E73C8D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1312" w:type="dxa"/>
            <w:vMerge w:val="continue"/>
            <w:tcBorders>
              <w:top w:val="nil"/>
              <w:left w:val="single" w:color="auto" w:sz="4" w:space="0"/>
              <w:bottom w:val="single" w:color="auto" w:sz="4" w:space="0"/>
              <w:right w:val="single" w:color="auto" w:sz="4" w:space="0"/>
            </w:tcBorders>
            <w:noWrap w:val="0"/>
            <w:vAlign w:val="center"/>
          </w:tcPr>
          <w:p w14:paraId="2E7DE8A9">
            <w:pPr>
              <w:widowControl/>
              <w:jc w:val="left"/>
              <w:rPr>
                <w:rFonts w:hint="eastAsia" w:ascii="宋体" w:hAnsi="宋体" w:eastAsia="宋体" w:cs="宋体"/>
                <w:color w:val="auto"/>
                <w:sz w:val="24"/>
                <w:highlight w:val="none"/>
              </w:rPr>
            </w:pPr>
          </w:p>
        </w:tc>
        <w:tc>
          <w:tcPr>
            <w:tcW w:w="3415" w:type="dxa"/>
            <w:gridSpan w:val="3"/>
            <w:tcBorders>
              <w:top w:val="single" w:color="auto" w:sz="4" w:space="0"/>
              <w:left w:val="nil"/>
              <w:bottom w:val="single" w:color="auto" w:sz="4" w:space="0"/>
              <w:right w:val="single" w:color="auto" w:sz="4" w:space="0"/>
            </w:tcBorders>
            <w:noWrap w:val="0"/>
            <w:vAlign w:val="center"/>
          </w:tcPr>
          <w:p w14:paraId="2F4EE3B8">
            <w:pPr>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操作程序是否规范，采购行为、过程、结果是否公开、公平、公正，采购组织管理是否规范严谨（2分）</w:t>
            </w:r>
            <w:r>
              <w:rPr>
                <w:rFonts w:hint="eastAsia" w:ascii="宋体" w:hAnsi="宋体" w:eastAsia="宋体" w:cs="宋体"/>
                <w:color w:val="auto"/>
                <w:kern w:val="0"/>
                <w:sz w:val="24"/>
                <w:highlight w:val="none"/>
              </w:rPr>
              <w:t>。</w:t>
            </w:r>
          </w:p>
        </w:tc>
        <w:tc>
          <w:tcPr>
            <w:tcW w:w="4972" w:type="dxa"/>
            <w:gridSpan w:val="3"/>
            <w:tcBorders>
              <w:top w:val="single" w:color="auto" w:sz="4" w:space="0"/>
              <w:left w:val="nil"/>
              <w:bottom w:val="single" w:color="auto" w:sz="4" w:space="0"/>
              <w:right w:val="single" w:color="auto" w:sz="4" w:space="0"/>
            </w:tcBorders>
            <w:noWrap w:val="0"/>
            <w:vAlign w:val="center"/>
          </w:tcPr>
          <w:p w14:paraId="7FF68DF1">
            <w:pPr>
              <w:spacing w:line="500" w:lineRule="exact"/>
              <w:jc w:val="center"/>
              <w:rPr>
                <w:rFonts w:hint="eastAsia" w:ascii="宋体" w:hAnsi="宋体" w:eastAsia="宋体" w:cs="宋体"/>
                <w:color w:val="auto"/>
                <w:sz w:val="24"/>
                <w:highlight w:val="none"/>
              </w:rPr>
            </w:pPr>
          </w:p>
        </w:tc>
      </w:tr>
      <w:tr w14:paraId="312B69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9" w:hRule="atLeast"/>
          <w:jc w:val="center"/>
        </w:trPr>
        <w:tc>
          <w:tcPr>
            <w:tcW w:w="1312" w:type="dxa"/>
            <w:vMerge w:val="continue"/>
            <w:tcBorders>
              <w:top w:val="nil"/>
              <w:left w:val="single" w:color="auto" w:sz="4" w:space="0"/>
              <w:bottom w:val="single" w:color="auto" w:sz="4" w:space="0"/>
              <w:right w:val="single" w:color="auto" w:sz="4" w:space="0"/>
            </w:tcBorders>
            <w:noWrap w:val="0"/>
            <w:vAlign w:val="center"/>
          </w:tcPr>
          <w:p w14:paraId="23E2E9CD">
            <w:pPr>
              <w:widowControl/>
              <w:jc w:val="left"/>
              <w:rPr>
                <w:rFonts w:hint="eastAsia" w:ascii="宋体" w:hAnsi="宋体" w:eastAsia="宋体" w:cs="宋体"/>
                <w:color w:val="auto"/>
                <w:sz w:val="24"/>
                <w:highlight w:val="none"/>
              </w:rPr>
            </w:pPr>
          </w:p>
        </w:tc>
        <w:tc>
          <w:tcPr>
            <w:tcW w:w="3415" w:type="dxa"/>
            <w:gridSpan w:val="3"/>
            <w:tcBorders>
              <w:top w:val="single" w:color="auto" w:sz="4" w:space="0"/>
              <w:left w:val="nil"/>
              <w:bottom w:val="single" w:color="auto" w:sz="4" w:space="0"/>
              <w:right w:val="single" w:color="auto" w:sz="4" w:space="0"/>
            </w:tcBorders>
            <w:noWrap w:val="0"/>
            <w:vAlign w:val="center"/>
          </w:tcPr>
          <w:p w14:paraId="3466FFDE">
            <w:pPr>
              <w:rPr>
                <w:rFonts w:hint="eastAsia" w:ascii="宋体" w:hAnsi="宋体" w:eastAsia="宋体" w:cs="宋体"/>
                <w:color w:val="auto"/>
                <w:kern w:val="0"/>
                <w:sz w:val="24"/>
                <w:highlight w:val="none"/>
              </w:rPr>
            </w:pPr>
            <w:r>
              <w:rPr>
                <w:rFonts w:hint="eastAsia" w:ascii="宋体" w:hAnsi="宋体" w:eastAsia="宋体" w:cs="宋体"/>
                <w:color w:val="auto"/>
                <w:sz w:val="24"/>
                <w:highlight w:val="none"/>
              </w:rPr>
              <w:t>是否及时组织采购，是否有承诺办事时间并能限时办结（2分）</w:t>
            </w:r>
            <w:r>
              <w:rPr>
                <w:rFonts w:hint="eastAsia" w:ascii="宋体" w:hAnsi="宋体" w:eastAsia="宋体" w:cs="宋体"/>
                <w:color w:val="auto"/>
                <w:kern w:val="0"/>
                <w:sz w:val="24"/>
                <w:highlight w:val="none"/>
              </w:rPr>
              <w:t>。</w:t>
            </w:r>
          </w:p>
        </w:tc>
        <w:tc>
          <w:tcPr>
            <w:tcW w:w="4972" w:type="dxa"/>
            <w:gridSpan w:val="3"/>
            <w:tcBorders>
              <w:top w:val="single" w:color="auto" w:sz="4" w:space="0"/>
              <w:left w:val="nil"/>
              <w:bottom w:val="single" w:color="auto" w:sz="4" w:space="0"/>
              <w:right w:val="single" w:color="auto" w:sz="4" w:space="0"/>
            </w:tcBorders>
            <w:noWrap w:val="0"/>
            <w:vAlign w:val="center"/>
          </w:tcPr>
          <w:p w14:paraId="18885C75">
            <w:pPr>
              <w:spacing w:line="500" w:lineRule="exact"/>
              <w:jc w:val="center"/>
              <w:rPr>
                <w:rFonts w:hint="eastAsia" w:ascii="宋体" w:hAnsi="宋体" w:eastAsia="宋体" w:cs="宋体"/>
                <w:color w:val="auto"/>
                <w:sz w:val="24"/>
                <w:highlight w:val="none"/>
              </w:rPr>
            </w:pPr>
          </w:p>
        </w:tc>
      </w:tr>
      <w:tr w14:paraId="3CD01A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10" w:hRule="atLeast"/>
          <w:jc w:val="center"/>
        </w:trPr>
        <w:tc>
          <w:tcPr>
            <w:tcW w:w="1312" w:type="dxa"/>
            <w:vMerge w:val="continue"/>
            <w:tcBorders>
              <w:top w:val="nil"/>
              <w:left w:val="single" w:color="auto" w:sz="4" w:space="0"/>
              <w:bottom w:val="single" w:color="auto" w:sz="4" w:space="0"/>
              <w:right w:val="single" w:color="auto" w:sz="4" w:space="0"/>
            </w:tcBorders>
            <w:noWrap w:val="0"/>
            <w:vAlign w:val="center"/>
          </w:tcPr>
          <w:p w14:paraId="0C505E59">
            <w:pPr>
              <w:widowControl/>
              <w:jc w:val="left"/>
              <w:rPr>
                <w:rFonts w:hint="eastAsia" w:ascii="宋体" w:hAnsi="宋体" w:eastAsia="宋体" w:cs="宋体"/>
                <w:color w:val="auto"/>
                <w:sz w:val="24"/>
                <w:highlight w:val="none"/>
              </w:rPr>
            </w:pPr>
          </w:p>
        </w:tc>
        <w:tc>
          <w:tcPr>
            <w:tcW w:w="3415" w:type="dxa"/>
            <w:gridSpan w:val="3"/>
            <w:tcBorders>
              <w:top w:val="single" w:color="auto" w:sz="4" w:space="0"/>
              <w:left w:val="nil"/>
              <w:bottom w:val="single" w:color="auto" w:sz="4" w:space="0"/>
              <w:right w:val="single" w:color="auto" w:sz="4" w:space="0"/>
            </w:tcBorders>
            <w:noWrap w:val="0"/>
            <w:vAlign w:val="center"/>
          </w:tcPr>
          <w:p w14:paraId="0C9CEC82">
            <w:pPr>
              <w:rPr>
                <w:rFonts w:hint="eastAsia" w:ascii="宋体" w:hAnsi="宋体" w:eastAsia="宋体" w:cs="宋体"/>
                <w:color w:val="auto"/>
                <w:sz w:val="24"/>
                <w:highlight w:val="none"/>
              </w:rPr>
            </w:pPr>
            <w:r>
              <w:rPr>
                <w:rFonts w:hint="eastAsia" w:ascii="宋体" w:hAnsi="宋体" w:eastAsia="宋体" w:cs="宋体"/>
                <w:color w:val="auto"/>
                <w:sz w:val="24"/>
                <w:highlight w:val="none"/>
              </w:rPr>
              <w:t>是否能积极</w:t>
            </w:r>
            <w:r>
              <w:rPr>
                <w:rFonts w:hint="eastAsia" w:ascii="宋体" w:hAnsi="宋体" w:eastAsia="宋体" w:cs="宋体"/>
                <w:color w:val="auto"/>
                <w:kern w:val="0"/>
                <w:sz w:val="24"/>
                <w:highlight w:val="none"/>
              </w:rPr>
              <w:t>主动</w:t>
            </w:r>
            <w:r>
              <w:rPr>
                <w:rFonts w:hint="eastAsia" w:ascii="宋体" w:hAnsi="宋体" w:eastAsia="宋体" w:cs="宋体"/>
                <w:color w:val="auto"/>
                <w:sz w:val="24"/>
                <w:highlight w:val="none"/>
              </w:rPr>
              <w:t>与当事人沟通</w:t>
            </w:r>
            <w:r>
              <w:rPr>
                <w:rFonts w:hint="eastAsia" w:ascii="宋体" w:hAnsi="宋体" w:eastAsia="宋体" w:cs="宋体"/>
                <w:color w:val="auto"/>
                <w:kern w:val="0"/>
                <w:sz w:val="24"/>
                <w:highlight w:val="none"/>
              </w:rPr>
              <w:t>对接；对采购政策进行详细解读；</w:t>
            </w:r>
            <w:r>
              <w:rPr>
                <w:rFonts w:hint="eastAsia" w:ascii="宋体" w:hAnsi="宋体" w:eastAsia="宋体" w:cs="宋体"/>
                <w:color w:val="auto"/>
                <w:sz w:val="24"/>
                <w:highlight w:val="none"/>
              </w:rPr>
              <w:t>咨询答复是否热情周到、耐心细致（2分）</w:t>
            </w:r>
            <w:r>
              <w:rPr>
                <w:rFonts w:hint="eastAsia" w:ascii="宋体" w:hAnsi="宋体" w:eastAsia="宋体" w:cs="宋体"/>
                <w:color w:val="auto"/>
                <w:kern w:val="0"/>
                <w:sz w:val="24"/>
                <w:highlight w:val="none"/>
              </w:rPr>
              <w:t>。</w:t>
            </w:r>
          </w:p>
        </w:tc>
        <w:tc>
          <w:tcPr>
            <w:tcW w:w="4972" w:type="dxa"/>
            <w:gridSpan w:val="3"/>
            <w:tcBorders>
              <w:top w:val="single" w:color="auto" w:sz="4" w:space="0"/>
              <w:left w:val="nil"/>
              <w:bottom w:val="single" w:color="auto" w:sz="4" w:space="0"/>
              <w:right w:val="single" w:color="auto" w:sz="4" w:space="0"/>
            </w:tcBorders>
            <w:noWrap w:val="0"/>
            <w:vAlign w:val="center"/>
          </w:tcPr>
          <w:p w14:paraId="3CFDE73C">
            <w:pPr>
              <w:spacing w:line="500" w:lineRule="exact"/>
              <w:jc w:val="center"/>
              <w:rPr>
                <w:rFonts w:hint="eastAsia" w:ascii="宋体" w:hAnsi="宋体" w:eastAsia="宋体" w:cs="宋体"/>
                <w:color w:val="auto"/>
                <w:sz w:val="24"/>
                <w:highlight w:val="none"/>
              </w:rPr>
            </w:pPr>
          </w:p>
        </w:tc>
      </w:tr>
      <w:tr w14:paraId="4B94B2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0" w:hRule="atLeast"/>
          <w:jc w:val="center"/>
        </w:trPr>
        <w:tc>
          <w:tcPr>
            <w:tcW w:w="1312" w:type="dxa"/>
            <w:vMerge w:val="continue"/>
            <w:tcBorders>
              <w:top w:val="nil"/>
              <w:left w:val="single" w:color="auto" w:sz="4" w:space="0"/>
              <w:bottom w:val="single" w:color="auto" w:sz="4" w:space="0"/>
              <w:right w:val="single" w:color="auto" w:sz="4" w:space="0"/>
            </w:tcBorders>
            <w:noWrap w:val="0"/>
            <w:vAlign w:val="center"/>
          </w:tcPr>
          <w:p w14:paraId="5D375A43">
            <w:pPr>
              <w:widowControl/>
              <w:jc w:val="left"/>
              <w:rPr>
                <w:rFonts w:hint="eastAsia" w:ascii="宋体" w:hAnsi="宋体" w:eastAsia="宋体" w:cs="宋体"/>
                <w:color w:val="auto"/>
                <w:sz w:val="24"/>
                <w:highlight w:val="none"/>
              </w:rPr>
            </w:pPr>
          </w:p>
        </w:tc>
        <w:tc>
          <w:tcPr>
            <w:tcW w:w="3415" w:type="dxa"/>
            <w:gridSpan w:val="3"/>
            <w:tcBorders>
              <w:top w:val="single" w:color="auto" w:sz="4" w:space="0"/>
              <w:left w:val="nil"/>
              <w:bottom w:val="single" w:color="auto" w:sz="4" w:space="0"/>
              <w:right w:val="single" w:color="auto" w:sz="4" w:space="0"/>
            </w:tcBorders>
            <w:noWrap w:val="0"/>
            <w:vAlign w:val="center"/>
          </w:tcPr>
          <w:p w14:paraId="26A418A3">
            <w:pPr>
              <w:rPr>
                <w:rFonts w:hint="eastAsia" w:ascii="宋体" w:hAnsi="宋体" w:eastAsia="宋体" w:cs="宋体"/>
                <w:color w:val="auto"/>
                <w:sz w:val="24"/>
                <w:highlight w:val="none"/>
              </w:rPr>
            </w:pPr>
            <w:r>
              <w:rPr>
                <w:rFonts w:hint="eastAsia" w:ascii="宋体" w:hAnsi="宋体" w:eastAsia="宋体" w:cs="宋体"/>
                <w:color w:val="auto"/>
                <w:sz w:val="24"/>
                <w:highlight w:val="none"/>
              </w:rPr>
              <w:t>采购的质量、服务是否满意（2分）。</w:t>
            </w:r>
          </w:p>
        </w:tc>
        <w:tc>
          <w:tcPr>
            <w:tcW w:w="4972" w:type="dxa"/>
            <w:gridSpan w:val="3"/>
            <w:tcBorders>
              <w:top w:val="single" w:color="auto" w:sz="4" w:space="0"/>
              <w:left w:val="nil"/>
              <w:bottom w:val="single" w:color="auto" w:sz="4" w:space="0"/>
              <w:right w:val="single" w:color="auto" w:sz="4" w:space="0"/>
            </w:tcBorders>
            <w:noWrap w:val="0"/>
            <w:vAlign w:val="center"/>
          </w:tcPr>
          <w:p w14:paraId="4B43EE18">
            <w:pPr>
              <w:spacing w:line="500" w:lineRule="exact"/>
              <w:jc w:val="center"/>
              <w:rPr>
                <w:rFonts w:hint="eastAsia" w:ascii="宋体" w:hAnsi="宋体" w:eastAsia="宋体" w:cs="宋体"/>
                <w:color w:val="auto"/>
                <w:sz w:val="24"/>
                <w:highlight w:val="none"/>
              </w:rPr>
            </w:pPr>
          </w:p>
        </w:tc>
      </w:tr>
      <w:tr w14:paraId="7D4842C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2" w:hRule="atLeast"/>
          <w:jc w:val="center"/>
        </w:trPr>
        <w:tc>
          <w:tcPr>
            <w:tcW w:w="1312" w:type="dxa"/>
            <w:vMerge w:val="continue"/>
            <w:tcBorders>
              <w:top w:val="nil"/>
              <w:left w:val="single" w:color="auto" w:sz="4" w:space="0"/>
              <w:bottom w:val="single" w:color="auto" w:sz="4" w:space="0"/>
              <w:right w:val="single" w:color="auto" w:sz="4" w:space="0"/>
            </w:tcBorders>
            <w:noWrap w:val="0"/>
            <w:vAlign w:val="center"/>
          </w:tcPr>
          <w:p w14:paraId="2AE2E480">
            <w:pPr>
              <w:widowControl/>
              <w:jc w:val="left"/>
              <w:rPr>
                <w:rFonts w:hint="eastAsia" w:ascii="宋体" w:hAnsi="宋体" w:eastAsia="宋体" w:cs="宋体"/>
                <w:color w:val="auto"/>
                <w:sz w:val="24"/>
                <w:highlight w:val="none"/>
              </w:rPr>
            </w:pPr>
          </w:p>
        </w:tc>
        <w:tc>
          <w:tcPr>
            <w:tcW w:w="3415" w:type="dxa"/>
            <w:gridSpan w:val="3"/>
            <w:tcBorders>
              <w:top w:val="single" w:color="auto" w:sz="4" w:space="0"/>
              <w:left w:val="nil"/>
              <w:bottom w:val="single" w:color="auto" w:sz="4" w:space="0"/>
              <w:right w:val="single" w:color="auto" w:sz="4" w:space="0"/>
            </w:tcBorders>
            <w:noWrap w:val="0"/>
            <w:vAlign w:val="center"/>
          </w:tcPr>
          <w:p w14:paraId="1CFA6F6E">
            <w:pPr>
              <w:spacing w:line="500" w:lineRule="exact"/>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合计</w:t>
            </w:r>
          </w:p>
        </w:tc>
        <w:tc>
          <w:tcPr>
            <w:tcW w:w="4972" w:type="dxa"/>
            <w:gridSpan w:val="3"/>
            <w:tcBorders>
              <w:top w:val="single" w:color="auto" w:sz="4" w:space="0"/>
              <w:left w:val="nil"/>
              <w:bottom w:val="single" w:color="auto" w:sz="4" w:space="0"/>
              <w:right w:val="single" w:color="auto" w:sz="4" w:space="0"/>
            </w:tcBorders>
            <w:noWrap w:val="0"/>
            <w:vAlign w:val="center"/>
          </w:tcPr>
          <w:p w14:paraId="71668683">
            <w:pPr>
              <w:spacing w:line="500" w:lineRule="exact"/>
              <w:jc w:val="center"/>
              <w:rPr>
                <w:rFonts w:hint="eastAsia" w:ascii="宋体" w:hAnsi="宋体" w:eastAsia="宋体" w:cs="宋体"/>
                <w:color w:val="auto"/>
                <w:sz w:val="24"/>
                <w:highlight w:val="none"/>
              </w:rPr>
            </w:pPr>
          </w:p>
        </w:tc>
      </w:tr>
      <w:tr w14:paraId="166A988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65" w:hRule="atLeast"/>
          <w:jc w:val="center"/>
        </w:trPr>
        <w:tc>
          <w:tcPr>
            <w:tcW w:w="1312" w:type="dxa"/>
            <w:tcBorders>
              <w:top w:val="single" w:color="auto" w:sz="4" w:space="0"/>
              <w:left w:val="single" w:color="auto" w:sz="4" w:space="0"/>
              <w:bottom w:val="single" w:color="auto" w:sz="4" w:space="0"/>
              <w:right w:val="single" w:color="auto" w:sz="4" w:space="0"/>
            </w:tcBorders>
            <w:noWrap w:val="0"/>
            <w:vAlign w:val="center"/>
          </w:tcPr>
          <w:p w14:paraId="2EC9344C">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对代理机构的意见和建议</w:t>
            </w:r>
          </w:p>
        </w:tc>
        <w:tc>
          <w:tcPr>
            <w:tcW w:w="8387" w:type="dxa"/>
            <w:gridSpan w:val="6"/>
            <w:tcBorders>
              <w:top w:val="single" w:color="auto" w:sz="4" w:space="0"/>
              <w:left w:val="nil"/>
              <w:bottom w:val="single" w:color="auto" w:sz="4" w:space="0"/>
              <w:right w:val="single" w:color="auto" w:sz="4" w:space="0"/>
            </w:tcBorders>
            <w:noWrap w:val="0"/>
            <w:vAlign w:val="center"/>
          </w:tcPr>
          <w:p w14:paraId="2F38BC88">
            <w:pPr>
              <w:jc w:val="center"/>
              <w:rPr>
                <w:rFonts w:hint="eastAsia" w:ascii="宋体" w:hAnsi="宋体" w:eastAsia="宋体" w:cs="宋体"/>
                <w:color w:val="auto"/>
                <w:sz w:val="24"/>
                <w:highlight w:val="none"/>
              </w:rPr>
            </w:pPr>
          </w:p>
        </w:tc>
      </w:tr>
      <w:tr w14:paraId="48FB68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18" w:hRule="atLeast"/>
          <w:jc w:val="center"/>
        </w:trPr>
        <w:tc>
          <w:tcPr>
            <w:tcW w:w="1312" w:type="dxa"/>
            <w:tcBorders>
              <w:top w:val="single" w:color="auto" w:sz="4" w:space="0"/>
              <w:left w:val="single" w:color="auto" w:sz="4" w:space="0"/>
              <w:bottom w:val="single" w:color="auto" w:sz="4" w:space="0"/>
              <w:right w:val="single" w:color="auto" w:sz="4" w:space="0"/>
            </w:tcBorders>
            <w:noWrap w:val="0"/>
            <w:vAlign w:val="center"/>
          </w:tcPr>
          <w:p w14:paraId="7129F7BE">
            <w:pPr>
              <w:jc w:val="center"/>
              <w:rPr>
                <w:rFonts w:hint="eastAsia" w:ascii="宋体" w:hAnsi="宋体" w:eastAsia="宋体" w:cs="宋体"/>
                <w:color w:val="auto"/>
                <w:sz w:val="24"/>
                <w:highlight w:val="none"/>
              </w:rPr>
            </w:pPr>
            <w:r>
              <w:rPr>
                <w:rFonts w:hint="eastAsia" w:ascii="宋体" w:hAnsi="宋体" w:eastAsia="宋体" w:cs="宋体"/>
                <w:color w:val="auto"/>
                <w:sz w:val="24"/>
                <w:highlight w:val="none"/>
              </w:rPr>
              <w:t>备注</w:t>
            </w:r>
          </w:p>
        </w:tc>
        <w:tc>
          <w:tcPr>
            <w:tcW w:w="8387" w:type="dxa"/>
            <w:gridSpan w:val="6"/>
            <w:tcBorders>
              <w:top w:val="single" w:color="auto" w:sz="4" w:space="0"/>
              <w:left w:val="nil"/>
              <w:bottom w:val="single" w:color="auto" w:sz="4" w:space="0"/>
              <w:right w:val="single" w:color="auto" w:sz="4" w:space="0"/>
            </w:tcBorders>
            <w:noWrap w:val="0"/>
            <w:vAlign w:val="center"/>
          </w:tcPr>
          <w:p w14:paraId="6B9CD36D">
            <w:pPr>
              <w:jc w:val="center"/>
              <w:rPr>
                <w:rFonts w:hint="eastAsia" w:ascii="宋体" w:hAnsi="宋体" w:eastAsia="宋体" w:cs="宋体"/>
                <w:color w:val="auto"/>
                <w:sz w:val="24"/>
                <w:highlight w:val="none"/>
              </w:rPr>
            </w:pPr>
          </w:p>
        </w:tc>
      </w:tr>
    </w:tbl>
    <w:p w14:paraId="4935213A">
      <w:pPr>
        <w:spacing w:after="120"/>
        <w:ind w:right="1240"/>
        <w:rPr>
          <w:rFonts w:hint="eastAsia" w:ascii="宋体" w:hAnsi="宋体" w:eastAsia="宋体" w:cs="宋体"/>
          <w:color w:val="auto"/>
          <w:sz w:val="24"/>
          <w:highlight w:val="none"/>
        </w:rPr>
      </w:pPr>
      <w:r>
        <w:rPr>
          <w:rFonts w:hint="eastAsia" w:ascii="宋体" w:hAnsi="宋体" w:eastAsia="宋体" w:cs="宋体"/>
          <w:color w:val="auto"/>
          <w:sz w:val="24"/>
          <w:highlight w:val="none"/>
        </w:rPr>
        <w:t>填表人签字盖章：                    日期</w:t>
      </w:r>
    </w:p>
    <w:p w14:paraId="21E31577">
      <w:pPr>
        <w:spacing w:after="120"/>
        <w:ind w:right="-154"/>
        <w:rPr>
          <w:rFonts w:hint="eastAsia" w:ascii="宋体" w:hAnsi="宋体" w:eastAsia="宋体" w:cs="宋体"/>
          <w:color w:val="auto"/>
          <w:szCs w:val="21"/>
          <w:highlight w:val="none"/>
        </w:rPr>
      </w:pPr>
      <w:r>
        <w:rPr>
          <w:rFonts w:hint="eastAsia" w:ascii="宋体" w:hAnsi="宋体" w:eastAsia="宋体" w:cs="宋体"/>
          <w:color w:val="auto"/>
          <w:szCs w:val="21"/>
          <w:highlight w:val="none"/>
        </w:rPr>
        <w:t>注：投标单位须加盖单位红章。</w:t>
      </w:r>
    </w:p>
    <w:p w14:paraId="70C2EF92">
      <w:pPr>
        <w:pStyle w:val="4"/>
        <w:keepNext w:val="0"/>
        <w:keepLines w:val="0"/>
        <w:pageBreakBefore/>
        <w:spacing w:line="360" w:lineRule="auto"/>
        <w:rPr>
          <w:rFonts w:ascii="宋体" w:hAnsi="宋体" w:eastAsia="宋体" w:cs="宋体"/>
          <w:b w:val="0"/>
          <w:bCs w:val="0"/>
          <w:color w:val="auto"/>
          <w:sz w:val="24"/>
          <w:szCs w:val="24"/>
          <w:highlight w:val="none"/>
        </w:rPr>
      </w:pPr>
      <w:bookmarkStart w:id="57" w:name="_Toc29142"/>
      <w:r>
        <w:rPr>
          <w:rFonts w:hint="eastAsia" w:ascii="宋体" w:hAnsi="宋体" w:eastAsia="宋体" w:cs="宋体"/>
          <w:b w:val="0"/>
          <w:bCs w:val="0"/>
          <w:color w:val="auto"/>
          <w:sz w:val="24"/>
          <w:szCs w:val="24"/>
          <w:highlight w:val="none"/>
        </w:rPr>
        <w:t>附件</w:t>
      </w:r>
      <w:r>
        <w:rPr>
          <w:rFonts w:hint="eastAsia" w:ascii="宋体" w:hAnsi="宋体" w:eastAsia="宋体" w:cs="宋体"/>
          <w:b w:val="0"/>
          <w:bCs w:val="0"/>
          <w:color w:val="auto"/>
          <w:sz w:val="24"/>
          <w:szCs w:val="24"/>
          <w:highlight w:val="none"/>
          <w:lang w:val="en-US" w:eastAsia="zh-CN"/>
        </w:rPr>
        <w:t>四</w:t>
      </w:r>
      <w:r>
        <w:rPr>
          <w:rFonts w:hint="eastAsia" w:ascii="宋体" w:hAnsi="宋体" w:eastAsia="宋体" w:cs="宋体"/>
          <w:b w:val="0"/>
          <w:bCs w:val="0"/>
          <w:color w:val="auto"/>
          <w:sz w:val="24"/>
          <w:szCs w:val="24"/>
          <w:highlight w:val="none"/>
        </w:rPr>
        <w:t>：政府采购活动现场确认声明书</w:t>
      </w:r>
      <w:bookmarkEnd w:id="54"/>
      <w:bookmarkEnd w:id="57"/>
    </w:p>
    <w:p w14:paraId="61468994">
      <w:pPr>
        <w:snapToGrid w:val="0"/>
        <w:spacing w:beforeLines="50" w:after="50" w:line="480" w:lineRule="auto"/>
        <w:jc w:val="center"/>
        <w:rPr>
          <w:rFonts w:ascii="宋体" w:hAnsi="宋体" w:cs="宋体"/>
          <w:b/>
          <w:color w:val="auto"/>
          <w:sz w:val="24"/>
          <w:highlight w:val="none"/>
        </w:rPr>
      </w:pPr>
      <w:r>
        <w:rPr>
          <w:rFonts w:hint="eastAsia" w:ascii="宋体" w:hAnsi="宋体" w:cs="宋体"/>
          <w:b/>
          <w:color w:val="auto"/>
          <w:sz w:val="24"/>
          <w:highlight w:val="none"/>
        </w:rPr>
        <w:t>政府采购活动现场确认声明书</w:t>
      </w:r>
    </w:p>
    <w:p w14:paraId="58207F32">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lang w:eastAsia="zh-CN"/>
        </w:rPr>
        <w:t>浙江诚远工程咨询有限公司</w:t>
      </w:r>
      <w:r>
        <w:rPr>
          <w:rFonts w:hint="eastAsia" w:ascii="宋体" w:hAnsi="宋体" w:cs="宋体"/>
          <w:color w:val="auto"/>
          <w:sz w:val="24"/>
          <w:highlight w:val="none"/>
        </w:rPr>
        <w:t xml:space="preserve"> :</w:t>
      </w:r>
    </w:p>
    <w:p w14:paraId="73457435">
      <w:pPr>
        <w:snapToGrid w:val="0"/>
        <w:spacing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本人</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（授权代表姓名），经由</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（单位）</w:t>
      </w:r>
    </w:p>
    <w:p w14:paraId="1B879BEC">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（法定代表人姓名）合法授权参加</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）政府采购活动．经与本单位法人代表（负责人）联系确认，现就有关公平竞争事项郑重声明如下:</w:t>
      </w:r>
    </w:p>
    <w:p w14:paraId="207376F9">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一、本单位与采购人之间口不存在利害关系口存在下列利害关系:</w:t>
      </w:r>
    </w:p>
    <w:p w14:paraId="171A7A6C">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A．投资关系</w:t>
      </w:r>
      <w:r>
        <w:rPr>
          <w:rFonts w:hint="eastAsia" w:ascii="宋体" w:hAnsi="宋体" w:cs="宋体"/>
          <w:color w:val="auto"/>
          <w:sz w:val="24"/>
          <w:highlight w:val="none"/>
        </w:rPr>
        <w:tab/>
      </w:r>
      <w:r>
        <w:rPr>
          <w:rFonts w:hint="eastAsia" w:ascii="宋体" w:hAnsi="宋体" w:cs="宋体"/>
          <w:color w:val="auto"/>
          <w:sz w:val="24"/>
          <w:highlight w:val="none"/>
        </w:rPr>
        <w:t>B．行政隶属关系</w:t>
      </w:r>
      <w:r>
        <w:rPr>
          <w:rFonts w:hint="eastAsia" w:ascii="宋体" w:hAnsi="宋体" w:cs="宋体"/>
          <w:color w:val="auto"/>
          <w:sz w:val="24"/>
          <w:highlight w:val="none"/>
        </w:rPr>
        <w:tab/>
      </w:r>
      <w:r>
        <w:rPr>
          <w:rFonts w:hint="eastAsia" w:ascii="宋体" w:hAnsi="宋体" w:cs="宋体"/>
          <w:color w:val="auto"/>
          <w:sz w:val="24"/>
          <w:highlight w:val="none"/>
        </w:rPr>
        <w:t>C．业务指导关系  D．其他可能影响采购公正的利害关系（如有，请如实说明）。</w:t>
      </w:r>
    </w:p>
    <w:p w14:paraId="77401345">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二、</w:t>
      </w:r>
      <w:r>
        <w:rPr>
          <w:rFonts w:hint="eastAsia" w:ascii="宋体" w:hAnsi="宋体" w:cs="宋体"/>
          <w:color w:val="auto"/>
          <w:sz w:val="24"/>
          <w:highlight w:val="none"/>
          <w:lang w:eastAsia="zh-CN"/>
        </w:rPr>
        <w:t>现</w:t>
      </w:r>
      <w:r>
        <w:rPr>
          <w:rFonts w:hint="eastAsia" w:ascii="宋体" w:hAnsi="宋体" w:cs="宋体"/>
          <w:color w:val="auto"/>
          <w:sz w:val="24"/>
          <w:highlight w:val="none"/>
          <w:lang w:val="en-US" w:eastAsia="zh-CN"/>
        </w:rPr>
        <w:t>已</w:t>
      </w:r>
      <w:r>
        <w:rPr>
          <w:rFonts w:hint="eastAsia" w:ascii="宋体" w:hAnsi="宋体" w:cs="宋体"/>
          <w:color w:val="auto"/>
          <w:sz w:val="24"/>
          <w:highlight w:val="none"/>
        </w:rPr>
        <w:t xml:space="preserve">清楚知道参加本项目采购活动的其他所有供应商名称，本单位 口与其他所有供应商之间均不存在利害关系 口与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（供应商名称）之间存在下列利害关系:</w:t>
      </w:r>
    </w:p>
    <w:p w14:paraId="5E9FE2D1">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A．法定代表人或负责人或实际控制人是同一人B．法定代表人或负责人或实际控制人是夫妻关系</w:t>
      </w:r>
    </w:p>
    <w:p w14:paraId="3FA1B8FF">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C.法定代表人或负责人或实际控制人是直系血亲关系</w:t>
      </w:r>
    </w:p>
    <w:p w14:paraId="764FF445">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D.法定代表人或负责人或实际控制人存在三代以内旁系血亲关系</w:t>
      </w:r>
    </w:p>
    <w:p w14:paraId="2C4B07FD">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E．法定代表人或负责人或实际控制人存在近姻亲关系</w:t>
      </w:r>
    </w:p>
    <w:p w14:paraId="16D9BA8B">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F．法定代表人或负责人或实际控制人存在股份控制或实际控制关系</w:t>
      </w:r>
    </w:p>
    <w:p w14:paraId="713E9324">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G．存在共同直接或间接投资设立子公司、联营企业和合营企业情况</w:t>
      </w:r>
    </w:p>
    <w:p w14:paraId="4887D764">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H.存在分级代理或代销关系、同一生产制造商关系、管理关系、重要业务（占</w:t>
      </w:r>
      <w:r>
        <w:rPr>
          <w:rFonts w:hint="eastAsia" w:ascii="宋体" w:hAnsi="宋体" w:cs="宋体"/>
          <w:color w:val="auto"/>
          <w:sz w:val="24"/>
          <w:highlight w:val="none"/>
          <w:lang w:eastAsia="zh-CN"/>
        </w:rPr>
        <w:t>主营业务收入</w:t>
      </w:r>
      <w:r>
        <w:rPr>
          <w:rFonts w:hint="eastAsia" w:ascii="宋体" w:hAnsi="宋体" w:cs="宋体"/>
          <w:color w:val="auto"/>
          <w:sz w:val="24"/>
          <w:highlight w:val="none"/>
        </w:rPr>
        <w:t xml:space="preserve"> 50 ％以上）或重要财务往来关系（如融资）等其他实质性控制关系</w:t>
      </w:r>
    </w:p>
    <w:p w14:paraId="2F75A190">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I.其他利害关系情况</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rPr>
        <w:t>。</w:t>
      </w:r>
    </w:p>
    <w:p w14:paraId="578EC2DA">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三、现</w:t>
      </w:r>
      <w:r>
        <w:rPr>
          <w:rFonts w:hint="eastAsia" w:ascii="宋体" w:hAnsi="宋体" w:cs="宋体"/>
          <w:color w:val="auto"/>
          <w:sz w:val="24"/>
          <w:highlight w:val="none"/>
          <w:lang w:eastAsia="zh-CN"/>
        </w:rPr>
        <w:t>已清楚</w:t>
      </w:r>
      <w:r>
        <w:rPr>
          <w:rFonts w:hint="eastAsia" w:ascii="宋体" w:hAnsi="宋体" w:cs="宋体"/>
          <w:color w:val="auto"/>
          <w:sz w:val="24"/>
          <w:highlight w:val="none"/>
        </w:rPr>
        <w:t>知道并严格遵守政府采购法律法规和现场纪律。</w:t>
      </w:r>
    </w:p>
    <w:p w14:paraId="2F23BD33">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四、我发现</w:t>
      </w:r>
      <w:r>
        <w:rPr>
          <w:rFonts w:hint="eastAsia" w:ascii="宋体" w:hAnsi="宋体" w:cs="宋体"/>
          <w:color w:val="auto"/>
          <w:sz w:val="24"/>
          <w:highlight w:val="none"/>
          <w:u w:val="single"/>
        </w:rPr>
        <w:t xml:space="preserve"> </w:t>
      </w:r>
      <w:r>
        <w:rPr>
          <w:rFonts w:hint="eastAsia" w:ascii="宋体" w:hAnsi="宋体" w:cs="宋体"/>
          <w:color w:val="auto"/>
          <w:sz w:val="24"/>
          <w:highlight w:val="none"/>
          <w:u w:val="single"/>
        </w:rPr>
        <w:tab/>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供应商之间存在或可能存在上述第二条第</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项利害关系。</w:t>
      </w:r>
    </w:p>
    <w:p w14:paraId="1A2604B2">
      <w:pPr>
        <w:snapToGrid w:val="0"/>
        <w:spacing w:beforeLines="50" w:after="50" w:line="276" w:lineRule="auto"/>
        <w:rPr>
          <w:rFonts w:ascii="宋体" w:hAnsi="宋体" w:cs="宋体"/>
          <w:color w:val="auto"/>
          <w:sz w:val="24"/>
          <w:highlight w:val="none"/>
        </w:rPr>
      </w:pPr>
    </w:p>
    <w:p w14:paraId="7D9D133F">
      <w:pPr>
        <w:pStyle w:val="16"/>
        <w:rPr>
          <w:color w:val="auto"/>
          <w:highlight w:val="none"/>
        </w:rPr>
      </w:pPr>
    </w:p>
    <w:p w14:paraId="2DDF4FDF">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 xml:space="preserve">（供应商代表签名）: </w:t>
      </w:r>
    </w:p>
    <w:p w14:paraId="6003DF6A">
      <w:pPr>
        <w:snapToGrid w:val="0"/>
        <w:spacing w:beforeLines="50" w:after="50" w:line="276" w:lineRule="auto"/>
        <w:jc w:val="center"/>
        <w:rPr>
          <w:rFonts w:ascii="宋体" w:hAnsi="宋体" w:cs="宋体"/>
          <w:b/>
          <w:color w:val="auto"/>
          <w:sz w:val="24"/>
          <w:highlight w:val="none"/>
        </w:rPr>
      </w:pPr>
      <w:r>
        <w:rPr>
          <w:rFonts w:hint="eastAsia" w:ascii="宋体" w:hAnsi="宋体" w:cs="宋体"/>
          <w:color w:val="auto"/>
          <w:sz w:val="24"/>
          <w:highlight w:val="none"/>
        </w:rPr>
        <w:t xml:space="preserve">                                                     年   月   日</w:t>
      </w:r>
    </w:p>
    <w:p w14:paraId="2362222F">
      <w:pPr>
        <w:pStyle w:val="4"/>
        <w:keepNext w:val="0"/>
        <w:keepLines w:val="0"/>
        <w:pageBreakBefore/>
        <w:spacing w:line="276" w:lineRule="auto"/>
        <w:rPr>
          <w:rFonts w:ascii="宋体" w:hAnsi="宋体" w:eastAsia="宋体" w:cs="宋体"/>
          <w:b w:val="0"/>
          <w:color w:val="auto"/>
          <w:sz w:val="24"/>
          <w:szCs w:val="24"/>
          <w:highlight w:val="none"/>
        </w:rPr>
      </w:pPr>
      <w:bookmarkStart w:id="58" w:name="_Toc22660"/>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五</w:t>
      </w:r>
      <w:r>
        <w:rPr>
          <w:rFonts w:hint="eastAsia" w:ascii="宋体" w:hAnsi="宋体" w:eastAsia="宋体" w:cs="宋体"/>
          <w:b w:val="0"/>
          <w:color w:val="auto"/>
          <w:sz w:val="24"/>
          <w:szCs w:val="24"/>
          <w:highlight w:val="none"/>
        </w:rPr>
        <w:t>：法定代表人授权委托书</w:t>
      </w:r>
      <w:bookmarkEnd w:id="58"/>
    </w:p>
    <w:p w14:paraId="6FE49C88">
      <w:pPr>
        <w:snapToGrid w:val="0"/>
        <w:spacing w:beforeLines="50" w:after="50" w:line="276" w:lineRule="auto"/>
        <w:jc w:val="center"/>
        <w:rPr>
          <w:rFonts w:ascii="宋体" w:hAnsi="宋体" w:cs="宋体"/>
          <w:b/>
          <w:color w:val="auto"/>
          <w:sz w:val="24"/>
          <w:highlight w:val="none"/>
        </w:rPr>
      </w:pPr>
      <w:r>
        <w:rPr>
          <w:rFonts w:hint="eastAsia" w:ascii="宋体" w:hAnsi="宋体" w:cs="宋体"/>
          <w:b/>
          <w:color w:val="auto"/>
          <w:sz w:val="24"/>
          <w:highlight w:val="none"/>
        </w:rPr>
        <w:t>法定代表人授权委托书</w:t>
      </w:r>
    </w:p>
    <w:p w14:paraId="59DED698">
      <w:pPr>
        <w:snapToGrid w:val="0"/>
        <w:spacing w:beforeLines="50" w:after="50" w:line="276" w:lineRule="auto"/>
        <w:rPr>
          <w:rFonts w:ascii="宋体" w:hAnsi="宋体" w:cs="宋体"/>
          <w:b/>
          <w:bCs/>
          <w:color w:val="auto"/>
          <w:sz w:val="24"/>
          <w:highlight w:val="none"/>
        </w:rPr>
      </w:pPr>
      <w:r>
        <w:rPr>
          <w:rFonts w:hint="eastAsia" w:ascii="宋体" w:hAnsi="宋体" w:cs="宋体"/>
          <w:bCs/>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212B8F10">
      <w:pPr>
        <w:snapToGrid w:val="0"/>
        <w:spacing w:beforeLines="50" w:after="50" w:line="276" w:lineRule="auto"/>
        <w:ind w:firstLine="720" w:firstLineChars="300"/>
        <w:rPr>
          <w:rFonts w:ascii="宋体" w:hAnsi="宋体" w:cs="宋体"/>
          <w:color w:val="auto"/>
          <w:sz w:val="24"/>
          <w:highlight w:val="none"/>
        </w:rPr>
      </w:pPr>
      <w:r>
        <w:rPr>
          <w:rFonts w:hint="eastAsia" w:ascii="宋体" w:hAnsi="宋体" w:cs="宋体"/>
          <w:color w:val="auto"/>
          <w:sz w:val="24"/>
          <w:highlight w:val="none"/>
        </w:rPr>
        <w:t>我</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（姓名）系</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（供应商名称）的法定代表人，现授权委托本单位在职职工 </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（姓名）以我方的名义参加</w:t>
      </w:r>
      <w:r>
        <w:rPr>
          <w:rFonts w:hint="eastAsia" w:ascii="宋体" w:hAnsi="宋体" w:cs="宋体"/>
          <w:color w:val="auto"/>
          <w:sz w:val="24"/>
          <w:highlight w:val="none"/>
          <w:u w:val="single"/>
          <w:lang w:eastAsia="zh-CN"/>
        </w:rPr>
        <w:t xml:space="preserve">笠里小区环村路道路工程项目 </w:t>
      </w:r>
      <w:r>
        <w:rPr>
          <w:rFonts w:hint="eastAsia" w:ascii="宋体" w:hAnsi="宋体" w:cs="宋体"/>
          <w:color w:val="auto"/>
          <w:sz w:val="24"/>
          <w:highlight w:val="none"/>
        </w:rPr>
        <w:t>的磋商活动，并代表我方全权办理针对上述项目的磋商、开标、签约等具体事务和签署相关文件。</w:t>
      </w:r>
    </w:p>
    <w:p w14:paraId="7A1EA908">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我方对委托代理人的签名事项负全部责任。</w:t>
      </w:r>
    </w:p>
    <w:p w14:paraId="3ACA18AB">
      <w:pPr>
        <w:snapToGrid w:val="0"/>
        <w:spacing w:beforeLines="50" w:after="50" w:line="276" w:lineRule="auto"/>
        <w:ind w:firstLine="480"/>
        <w:rPr>
          <w:rFonts w:ascii="宋体" w:hAnsi="宋体" w:cs="宋体"/>
          <w:color w:val="auto"/>
          <w:sz w:val="24"/>
          <w:highlight w:val="none"/>
        </w:rPr>
      </w:pPr>
      <w:r>
        <w:rPr>
          <w:rFonts w:hint="eastAsia" w:ascii="宋体" w:hAnsi="宋体" w:cs="宋体"/>
          <w:color w:val="auto"/>
          <w:sz w:val="24"/>
          <w:highlight w:val="none"/>
          <w:u w:val="single"/>
        </w:rPr>
        <w:t>在撤销授权的书面通知以前，本授权书一直有效。</w:t>
      </w:r>
      <w:r>
        <w:rPr>
          <w:rFonts w:hint="eastAsia" w:ascii="宋体" w:hAnsi="宋体" w:cs="宋体"/>
          <w:color w:val="auto"/>
          <w:sz w:val="24"/>
          <w:highlight w:val="none"/>
        </w:rPr>
        <w:t>委托代理人在授权书有效期内签署的所有文件不因授权的撤销而失效。</w:t>
      </w:r>
    </w:p>
    <w:p w14:paraId="45727BAA">
      <w:pPr>
        <w:snapToGrid w:val="0"/>
        <w:spacing w:beforeLines="50" w:after="50" w:line="276" w:lineRule="auto"/>
        <w:ind w:firstLine="480"/>
        <w:rPr>
          <w:rFonts w:ascii="宋体" w:hAnsi="宋体" w:cs="宋体"/>
          <w:color w:val="auto"/>
          <w:sz w:val="24"/>
          <w:highlight w:val="none"/>
        </w:rPr>
      </w:pPr>
      <w:r>
        <w:rPr>
          <w:rFonts w:hint="eastAsia" w:ascii="宋体" w:hAnsi="宋体" w:cs="宋体"/>
          <w:color w:val="auto"/>
          <w:sz w:val="24"/>
          <w:highlight w:val="none"/>
        </w:rPr>
        <w:t>委托代理人无转委托权，特此委托。</w:t>
      </w:r>
    </w:p>
    <w:p w14:paraId="5022823C">
      <w:pPr>
        <w:snapToGrid w:val="0"/>
        <w:spacing w:beforeLines="50" w:after="50" w:line="276" w:lineRule="auto"/>
        <w:rPr>
          <w:rFonts w:ascii="宋体" w:hAnsi="宋体" w:cs="宋体"/>
          <w:color w:val="auto"/>
          <w:sz w:val="24"/>
          <w:highlight w:val="none"/>
          <w:u w:val="single"/>
        </w:rPr>
      </w:pPr>
      <w:r>
        <w:rPr>
          <w:rFonts w:hint="eastAsia" w:ascii="宋体" w:hAnsi="宋体" w:cs="宋体"/>
          <w:color w:val="auto"/>
          <w:sz w:val="24"/>
          <w:highlight w:val="none"/>
        </w:rPr>
        <w:t>委托代理人签名：</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法定代表人签名：</w:t>
      </w:r>
      <w:r>
        <w:rPr>
          <w:rFonts w:hint="eastAsia" w:ascii="宋体" w:hAnsi="宋体" w:cs="宋体"/>
          <w:color w:val="auto"/>
          <w:sz w:val="24"/>
          <w:highlight w:val="none"/>
          <w:u w:val="single"/>
        </w:rPr>
        <w:t xml:space="preserve">          </w:t>
      </w:r>
    </w:p>
    <w:p w14:paraId="54F7E5B7">
      <w:pPr>
        <w:snapToGrid w:val="0"/>
        <w:spacing w:beforeLines="50" w:after="50" w:line="276" w:lineRule="auto"/>
        <w:ind w:firstLine="960" w:firstLineChars="400"/>
        <w:rPr>
          <w:rFonts w:ascii="宋体" w:hAnsi="宋体" w:cs="宋体"/>
          <w:color w:val="auto"/>
          <w:sz w:val="24"/>
          <w:highlight w:val="none"/>
        </w:rPr>
      </w:pPr>
      <w:r>
        <w:rPr>
          <w:rFonts w:hint="eastAsia" w:ascii="宋体" w:hAnsi="宋体" w:cs="宋体"/>
          <w:color w:val="auto"/>
          <w:sz w:val="24"/>
          <w:highlight w:val="none"/>
        </w:rPr>
        <w:t>职务：</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职务：</w:t>
      </w:r>
      <w:r>
        <w:rPr>
          <w:rFonts w:hint="eastAsia" w:ascii="宋体" w:hAnsi="宋体" w:cs="宋体"/>
          <w:color w:val="auto"/>
          <w:sz w:val="24"/>
          <w:highlight w:val="none"/>
          <w:u w:val="single"/>
        </w:rPr>
        <w:t xml:space="preserve">          </w:t>
      </w:r>
    </w:p>
    <w:p w14:paraId="7A68FB44">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委托代理人身份证复印件（正反双面）：</w:t>
      </w:r>
    </w:p>
    <w:tbl>
      <w:tblPr>
        <w:tblStyle w:val="39"/>
        <w:tblpPr w:leftFromText="180" w:rightFromText="180" w:vertAnchor="text" w:tblpX="109" w:tblpY="151"/>
        <w:tblW w:w="0" w:type="auto"/>
        <w:tblInd w:w="0" w:type="dxa"/>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Layout w:type="fixed"/>
        <w:tblCellMar>
          <w:top w:w="0" w:type="dxa"/>
          <w:left w:w="108" w:type="dxa"/>
          <w:bottom w:w="0" w:type="dxa"/>
          <w:right w:w="108" w:type="dxa"/>
        </w:tblCellMar>
      </w:tblPr>
      <w:tblGrid>
        <w:gridCol w:w="5328"/>
      </w:tblGrid>
      <w:tr w14:paraId="64B6CD56">
        <w:tblPrEx>
          <w:tblBorders>
            <w:top w:val="dashed" w:color="auto" w:sz="4" w:space="0"/>
            <w:left w:val="dashed" w:color="auto" w:sz="4" w:space="0"/>
            <w:bottom w:val="dashed" w:color="auto" w:sz="4" w:space="0"/>
            <w:right w:val="dashed" w:color="auto" w:sz="4" w:space="0"/>
            <w:insideH w:val="dashed" w:color="auto" w:sz="4" w:space="0"/>
            <w:insideV w:val="dashed" w:color="auto" w:sz="4" w:space="0"/>
          </w:tblBorders>
          <w:tblCellMar>
            <w:top w:w="0" w:type="dxa"/>
            <w:left w:w="108" w:type="dxa"/>
            <w:bottom w:w="0" w:type="dxa"/>
            <w:right w:w="108" w:type="dxa"/>
          </w:tblCellMar>
        </w:tblPrEx>
        <w:trPr>
          <w:trHeight w:val="6232" w:hRule="atLeast"/>
        </w:trPr>
        <w:tc>
          <w:tcPr>
            <w:tcW w:w="5328" w:type="dxa"/>
            <w:noWrap w:val="0"/>
            <w:vAlign w:val="top"/>
          </w:tcPr>
          <w:p w14:paraId="6F3721EE">
            <w:pPr>
              <w:snapToGrid w:val="0"/>
              <w:spacing w:beforeLines="50" w:after="50" w:line="276" w:lineRule="auto"/>
              <w:rPr>
                <w:rFonts w:ascii="宋体" w:hAnsi="宋体" w:cs="宋体"/>
                <w:color w:val="auto"/>
                <w:sz w:val="24"/>
                <w:highlight w:val="none"/>
              </w:rPr>
            </w:pPr>
          </w:p>
          <w:p w14:paraId="46D567A2">
            <w:pPr>
              <w:snapToGrid w:val="0"/>
              <w:spacing w:beforeLines="50" w:after="50" w:line="276" w:lineRule="auto"/>
              <w:rPr>
                <w:rFonts w:ascii="宋体" w:hAnsi="宋体" w:cs="宋体"/>
                <w:color w:val="auto"/>
                <w:sz w:val="24"/>
                <w:highlight w:val="none"/>
              </w:rPr>
            </w:pPr>
          </w:p>
          <w:p w14:paraId="166A64F6">
            <w:pPr>
              <w:snapToGrid w:val="0"/>
              <w:spacing w:beforeLines="50" w:after="50" w:line="276" w:lineRule="auto"/>
              <w:rPr>
                <w:rFonts w:ascii="宋体" w:hAnsi="宋体" w:cs="宋体"/>
                <w:color w:val="auto"/>
                <w:sz w:val="24"/>
                <w:highlight w:val="none"/>
              </w:rPr>
            </w:pPr>
          </w:p>
          <w:p w14:paraId="6A25A760">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粘</w:t>
            </w:r>
          </w:p>
          <w:p w14:paraId="41AC30DA">
            <w:pPr>
              <w:snapToGrid w:val="0"/>
              <w:spacing w:beforeLines="50" w:after="50" w:line="276" w:lineRule="auto"/>
              <w:jc w:val="center"/>
              <w:rPr>
                <w:rFonts w:ascii="宋体" w:hAnsi="宋体" w:cs="宋体"/>
                <w:color w:val="auto"/>
                <w:sz w:val="24"/>
                <w:highlight w:val="none"/>
              </w:rPr>
            </w:pPr>
          </w:p>
          <w:p w14:paraId="651A5B02">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贴</w:t>
            </w:r>
          </w:p>
          <w:p w14:paraId="48300031">
            <w:pPr>
              <w:snapToGrid w:val="0"/>
              <w:spacing w:beforeLines="50" w:after="50" w:line="276" w:lineRule="auto"/>
              <w:jc w:val="center"/>
              <w:rPr>
                <w:rFonts w:ascii="宋体" w:hAnsi="宋体" w:cs="宋体"/>
                <w:color w:val="auto"/>
                <w:sz w:val="24"/>
                <w:highlight w:val="none"/>
              </w:rPr>
            </w:pPr>
          </w:p>
          <w:p w14:paraId="0E02B1C0">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处</w:t>
            </w:r>
          </w:p>
        </w:tc>
      </w:tr>
    </w:tbl>
    <w:p w14:paraId="0B482F85">
      <w:pPr>
        <w:snapToGrid w:val="0"/>
        <w:spacing w:beforeLines="50" w:after="50" w:line="276" w:lineRule="auto"/>
        <w:rPr>
          <w:rFonts w:ascii="宋体" w:hAnsi="宋体" w:cs="宋体"/>
          <w:color w:val="auto"/>
          <w:sz w:val="24"/>
          <w:highlight w:val="none"/>
        </w:rPr>
      </w:pPr>
    </w:p>
    <w:p w14:paraId="40E236F5">
      <w:pPr>
        <w:snapToGrid w:val="0"/>
        <w:spacing w:beforeLines="50" w:after="50" w:line="276" w:lineRule="auto"/>
        <w:rPr>
          <w:rFonts w:ascii="宋体" w:hAnsi="宋体" w:cs="宋体"/>
          <w:color w:val="auto"/>
          <w:sz w:val="24"/>
          <w:highlight w:val="none"/>
        </w:rPr>
      </w:pPr>
    </w:p>
    <w:p w14:paraId="0577764C">
      <w:pPr>
        <w:snapToGrid w:val="0"/>
        <w:spacing w:beforeLines="50" w:after="50" w:line="276" w:lineRule="auto"/>
        <w:rPr>
          <w:rFonts w:ascii="宋体" w:hAnsi="宋体" w:cs="宋体"/>
          <w:color w:val="auto"/>
          <w:sz w:val="24"/>
          <w:highlight w:val="none"/>
        </w:rPr>
      </w:pPr>
    </w:p>
    <w:p w14:paraId="751D9C26">
      <w:pPr>
        <w:snapToGrid w:val="0"/>
        <w:spacing w:beforeLines="50" w:after="50" w:line="276" w:lineRule="auto"/>
        <w:rPr>
          <w:rFonts w:ascii="宋体" w:hAnsi="宋体" w:cs="宋体"/>
          <w:color w:val="auto"/>
          <w:sz w:val="24"/>
          <w:highlight w:val="none"/>
        </w:rPr>
      </w:pPr>
    </w:p>
    <w:p w14:paraId="63DC775E">
      <w:pPr>
        <w:snapToGrid w:val="0"/>
        <w:spacing w:beforeLines="50" w:after="50" w:line="276" w:lineRule="auto"/>
        <w:rPr>
          <w:rFonts w:ascii="宋体" w:hAnsi="宋体" w:cs="宋体"/>
          <w:color w:val="auto"/>
          <w:sz w:val="24"/>
          <w:highlight w:val="none"/>
        </w:rPr>
      </w:pPr>
    </w:p>
    <w:p w14:paraId="49D6CDBF">
      <w:pPr>
        <w:snapToGrid w:val="0"/>
        <w:spacing w:beforeLines="50" w:after="50" w:line="276" w:lineRule="auto"/>
        <w:rPr>
          <w:rFonts w:ascii="宋体" w:hAnsi="宋体" w:cs="宋体"/>
          <w:color w:val="auto"/>
          <w:sz w:val="24"/>
          <w:highlight w:val="none"/>
        </w:rPr>
      </w:pPr>
    </w:p>
    <w:p w14:paraId="61815EFB">
      <w:pPr>
        <w:snapToGrid w:val="0"/>
        <w:spacing w:beforeLines="50" w:after="50" w:line="276" w:lineRule="auto"/>
        <w:rPr>
          <w:rFonts w:ascii="宋体" w:hAnsi="宋体" w:cs="宋体"/>
          <w:color w:val="auto"/>
          <w:sz w:val="24"/>
          <w:highlight w:val="none"/>
        </w:rPr>
      </w:pPr>
    </w:p>
    <w:p w14:paraId="1C582856">
      <w:pPr>
        <w:snapToGrid w:val="0"/>
        <w:spacing w:beforeLines="50" w:after="50" w:line="276" w:lineRule="auto"/>
        <w:rPr>
          <w:rFonts w:ascii="宋体" w:hAnsi="宋体" w:cs="宋体"/>
          <w:color w:val="auto"/>
          <w:sz w:val="24"/>
          <w:highlight w:val="none"/>
        </w:rPr>
      </w:pPr>
    </w:p>
    <w:p w14:paraId="036903DB">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w:t>
      </w:r>
    </w:p>
    <w:p w14:paraId="64E6DA71">
      <w:pPr>
        <w:snapToGrid w:val="0"/>
        <w:spacing w:beforeLines="50" w:after="50" w:line="276" w:lineRule="auto"/>
        <w:rPr>
          <w:rFonts w:ascii="宋体" w:hAnsi="宋体" w:cs="宋体"/>
          <w:color w:val="auto"/>
          <w:sz w:val="24"/>
          <w:highlight w:val="none"/>
        </w:rPr>
      </w:pPr>
    </w:p>
    <w:p w14:paraId="5521641C">
      <w:pPr>
        <w:snapToGrid w:val="0"/>
        <w:spacing w:beforeLines="50" w:after="50" w:line="276" w:lineRule="auto"/>
        <w:rPr>
          <w:rFonts w:ascii="宋体" w:hAnsi="宋体" w:cs="宋体"/>
          <w:color w:val="auto"/>
          <w:sz w:val="24"/>
          <w:highlight w:val="none"/>
        </w:rPr>
      </w:pPr>
      <w:r>
        <w:rPr>
          <w:rFonts w:hint="eastAsia" w:ascii="宋体" w:hAnsi="宋体" w:cs="宋体"/>
          <w:color w:val="auto"/>
          <w:sz w:val="24"/>
          <w:highlight w:val="none"/>
        </w:rPr>
        <w:t xml:space="preserve">                                             供应商公章：</w:t>
      </w:r>
    </w:p>
    <w:p w14:paraId="0FCAE01C">
      <w:pPr>
        <w:snapToGrid w:val="0"/>
        <w:spacing w:beforeLines="50" w:after="50" w:line="276" w:lineRule="auto"/>
        <w:jc w:val="center"/>
        <w:rPr>
          <w:rFonts w:ascii="宋体" w:hAnsi="宋体" w:cs="宋体"/>
          <w:color w:val="auto"/>
          <w:sz w:val="24"/>
          <w:highlight w:val="none"/>
        </w:rPr>
      </w:pPr>
      <w:r>
        <w:rPr>
          <w:rFonts w:hint="eastAsia" w:ascii="宋体" w:hAnsi="宋体" w:cs="宋体"/>
          <w:color w:val="auto"/>
          <w:sz w:val="24"/>
          <w:highlight w:val="none"/>
        </w:rPr>
        <w:t xml:space="preserve">                                          年    月    日</w:t>
      </w:r>
    </w:p>
    <w:p w14:paraId="6500CA7F">
      <w:pPr>
        <w:snapToGrid w:val="0"/>
        <w:spacing w:beforeLines="50" w:after="50" w:line="276" w:lineRule="auto"/>
        <w:jc w:val="left"/>
        <w:rPr>
          <w:rFonts w:ascii="宋体" w:hAnsi="宋体" w:cs="宋体"/>
          <w:color w:val="auto"/>
          <w:sz w:val="24"/>
          <w:highlight w:val="none"/>
        </w:rPr>
      </w:pPr>
      <w:r>
        <w:rPr>
          <w:rFonts w:hint="eastAsia" w:ascii="宋体" w:hAnsi="宋体" w:cs="宋体"/>
          <w:b/>
          <w:color w:val="auto"/>
          <w:sz w:val="24"/>
          <w:highlight w:val="none"/>
        </w:rPr>
        <w:t>*</w:t>
      </w:r>
      <w:r>
        <w:rPr>
          <w:rFonts w:hint="eastAsia" w:ascii="宋体" w:hAnsi="宋体" w:cs="宋体"/>
          <w:color w:val="auto"/>
          <w:sz w:val="24"/>
          <w:highlight w:val="none"/>
        </w:rPr>
        <w:t>注；此表格格式不得修改。</w:t>
      </w:r>
    </w:p>
    <w:p w14:paraId="0FE9C3DA">
      <w:pPr>
        <w:pStyle w:val="4"/>
        <w:keepNext w:val="0"/>
        <w:keepLines w:val="0"/>
        <w:pageBreakBefore/>
        <w:spacing w:line="276" w:lineRule="auto"/>
        <w:rPr>
          <w:rFonts w:ascii="宋体" w:hAnsi="宋体" w:eastAsia="宋体" w:cs="宋体"/>
          <w:b w:val="0"/>
          <w:color w:val="auto"/>
          <w:sz w:val="24"/>
          <w:szCs w:val="24"/>
          <w:highlight w:val="none"/>
        </w:rPr>
      </w:pPr>
      <w:bookmarkStart w:id="59" w:name="_Toc18330"/>
      <w:bookmarkStart w:id="60" w:name="_Toc22508"/>
      <w:bookmarkStart w:id="61" w:name="_Toc25167"/>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六</w:t>
      </w:r>
      <w:r>
        <w:rPr>
          <w:rFonts w:hint="eastAsia" w:ascii="宋体" w:hAnsi="宋体" w:eastAsia="宋体" w:cs="宋体"/>
          <w:b w:val="0"/>
          <w:color w:val="auto"/>
          <w:sz w:val="24"/>
          <w:szCs w:val="24"/>
          <w:highlight w:val="none"/>
        </w:rPr>
        <w:t>：联合体协议</w:t>
      </w:r>
      <w:bookmarkEnd w:id="59"/>
      <w:bookmarkEnd w:id="60"/>
      <w:bookmarkEnd w:id="61"/>
    </w:p>
    <w:p w14:paraId="06CE85A1">
      <w:pPr>
        <w:jc w:val="center"/>
        <w:rPr>
          <w:rFonts w:hint="eastAsia" w:ascii="宋体" w:hAnsi="宋体" w:eastAsia="宋体" w:cs="宋体"/>
          <w:b/>
          <w:bCs/>
          <w:color w:val="auto"/>
          <w:sz w:val="32"/>
          <w:szCs w:val="32"/>
          <w:highlight w:val="none"/>
        </w:rPr>
      </w:pPr>
      <w:r>
        <w:rPr>
          <w:rFonts w:hint="eastAsia" w:ascii="宋体" w:hAnsi="宋体" w:eastAsia="宋体" w:cs="宋体"/>
          <w:b/>
          <w:bCs/>
          <w:color w:val="auto"/>
          <w:sz w:val="32"/>
          <w:szCs w:val="32"/>
          <w:highlight w:val="none"/>
        </w:rPr>
        <w:t>联合体协议</w:t>
      </w:r>
    </w:p>
    <w:p w14:paraId="3C59EECB">
      <w:pPr>
        <w:snapToGrid w:val="0"/>
        <w:spacing w:line="360" w:lineRule="auto"/>
        <w:ind w:firstLine="576"/>
        <w:rPr>
          <w:rFonts w:hint="eastAsia" w:ascii="宋体" w:hAnsi="宋体" w:eastAsia="宋体" w:cs="宋体"/>
          <w:b/>
          <w:bCs/>
          <w:color w:val="auto"/>
          <w:kern w:val="0"/>
          <w:sz w:val="24"/>
          <w:highlight w:val="none"/>
          <w:u w:val="single"/>
        </w:rPr>
      </w:pPr>
      <w:r>
        <w:rPr>
          <w:rFonts w:hint="eastAsia" w:ascii="宋体" w:hAnsi="宋体" w:eastAsia="宋体" w:cs="宋体"/>
          <w:b/>
          <w:bCs/>
          <w:color w:val="auto"/>
          <w:kern w:val="0"/>
          <w:sz w:val="24"/>
          <w:highlight w:val="none"/>
          <w:u w:val="single"/>
        </w:rPr>
        <w:t>（以联合体形式投标的，提供联合协议；本项目不接受联合体投标或者供应商不以联合体形式投标的，则不需要提供）</w:t>
      </w:r>
    </w:p>
    <w:p w14:paraId="5D18368D">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（联合体所有成员名称）</w:t>
      </w:r>
      <w:r>
        <w:rPr>
          <w:rFonts w:hint="eastAsia" w:ascii="宋体" w:hAnsi="宋体" w:eastAsia="宋体" w:cs="宋体"/>
          <w:color w:val="auto"/>
          <w:kern w:val="0"/>
          <w:sz w:val="24"/>
          <w:highlight w:val="none"/>
        </w:rPr>
        <w:t>自愿</w:t>
      </w:r>
      <w:r>
        <w:rPr>
          <w:rFonts w:hint="eastAsia" w:ascii="宋体" w:hAnsi="宋体" w:eastAsia="宋体" w:cs="宋体"/>
          <w:color w:val="auto"/>
          <w:kern w:val="0"/>
          <w:sz w:val="24"/>
          <w:highlight w:val="none"/>
          <w:lang w:val="zh-CN"/>
        </w:rPr>
        <w:t>组成一个联合体，以一个供应商的身份</w:t>
      </w:r>
      <w:r>
        <w:rPr>
          <w:rFonts w:hint="eastAsia" w:ascii="宋体" w:hAnsi="宋体" w:eastAsia="宋体" w:cs="宋体"/>
          <w:color w:val="auto"/>
          <w:kern w:val="0"/>
          <w:sz w:val="24"/>
          <w:highlight w:val="none"/>
        </w:rPr>
        <w:t>参加</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 xml:space="preserve">投标。 </w:t>
      </w:r>
    </w:p>
    <w:p w14:paraId="5A0F9BD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一、各方一致决定，</w:t>
      </w:r>
      <w:r>
        <w:rPr>
          <w:rFonts w:hint="eastAsia" w:ascii="宋体" w:hAnsi="宋体" w:eastAsia="宋体" w:cs="宋体"/>
          <w:color w:val="auto"/>
          <w:kern w:val="0"/>
          <w:sz w:val="24"/>
          <w:highlight w:val="none"/>
          <w:u w:val="single"/>
        </w:rPr>
        <w:t>（某联合体成员名称）</w:t>
      </w:r>
      <w:r>
        <w:rPr>
          <w:rFonts w:hint="eastAsia" w:ascii="宋体" w:hAnsi="宋体" w:eastAsia="宋体" w:cs="宋体"/>
          <w:color w:val="auto"/>
          <w:kern w:val="0"/>
          <w:sz w:val="24"/>
          <w:highlight w:val="none"/>
        </w:rPr>
        <w:t>为联合体</w:t>
      </w:r>
      <w:r>
        <w:rPr>
          <w:rFonts w:hint="eastAsia" w:ascii="宋体" w:hAnsi="宋体" w:eastAsia="宋体" w:cs="宋体"/>
          <w:color w:val="auto"/>
          <w:kern w:val="0"/>
          <w:sz w:val="24"/>
          <w:highlight w:val="none"/>
          <w:lang w:val="zh-CN"/>
        </w:rPr>
        <w:t>牵头人</w:t>
      </w:r>
      <w:r>
        <w:rPr>
          <w:rFonts w:hint="eastAsia" w:ascii="宋体" w:hAnsi="宋体" w:eastAsia="宋体" w:cs="宋体"/>
          <w:color w:val="auto"/>
          <w:sz w:val="24"/>
          <w:highlight w:val="none"/>
        </w:rPr>
        <w:t>，代表所有联合体成员负责投标和合同实施阶段的主办、协调工作</w:t>
      </w:r>
      <w:r>
        <w:rPr>
          <w:rFonts w:hint="eastAsia" w:ascii="宋体" w:hAnsi="宋体" w:eastAsia="宋体" w:cs="宋体"/>
          <w:color w:val="auto"/>
          <w:kern w:val="0"/>
          <w:sz w:val="24"/>
          <w:highlight w:val="none"/>
          <w:lang w:val="zh-CN"/>
        </w:rPr>
        <w:t>。</w:t>
      </w:r>
    </w:p>
    <w:p w14:paraId="21EA2D7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w:t>
      </w:r>
      <w:r>
        <w:rPr>
          <w:rFonts w:hint="eastAsia" w:ascii="宋体" w:hAnsi="宋体" w:eastAsia="宋体" w:cs="宋体"/>
          <w:color w:val="auto"/>
          <w:sz w:val="24"/>
          <w:highlight w:val="none"/>
        </w:rPr>
        <w:t>所有联合体成员各方签署授权书，授权书载明的</w:t>
      </w:r>
      <w:r>
        <w:rPr>
          <w:rFonts w:hint="eastAsia" w:ascii="宋体" w:hAnsi="宋体" w:eastAsia="宋体" w:cs="宋体"/>
          <w:color w:val="auto"/>
          <w:kern w:val="0"/>
          <w:sz w:val="24"/>
          <w:highlight w:val="none"/>
          <w:lang w:val="zh-CN"/>
        </w:rPr>
        <w:t>授权代表根据竞争性磋商文件规定及投标内容而对采购人、采购机构所作的任何合法承诺，包括书面澄清及</w:t>
      </w:r>
      <w:r>
        <w:rPr>
          <w:rFonts w:hint="eastAsia" w:ascii="宋体" w:hAnsi="宋体" w:cs="宋体"/>
          <w:color w:val="auto"/>
          <w:kern w:val="0"/>
          <w:sz w:val="24"/>
          <w:highlight w:val="none"/>
          <w:lang w:val="zh-CN"/>
        </w:rPr>
        <w:t>响应</w:t>
      </w:r>
      <w:r>
        <w:rPr>
          <w:rFonts w:hint="eastAsia" w:ascii="宋体" w:hAnsi="宋体" w:eastAsia="宋体" w:cs="宋体"/>
          <w:color w:val="auto"/>
          <w:kern w:val="0"/>
          <w:sz w:val="24"/>
          <w:highlight w:val="none"/>
          <w:lang w:val="zh-CN"/>
        </w:rPr>
        <w:t>等均对联合投标各方产生约束力。</w:t>
      </w:r>
    </w:p>
    <w:p w14:paraId="7388809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三、本次联合投标中，分工如下：</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lang w:val="zh-CN"/>
        </w:rPr>
        <w:t>承担的工作和义务为：</w:t>
      </w:r>
      <w:r>
        <w:rPr>
          <w:rFonts w:hint="eastAsia" w:ascii="宋体" w:hAnsi="宋体" w:eastAsia="宋体" w:cs="宋体"/>
          <w:color w:val="auto"/>
          <w:highlight w:val="none"/>
          <w:u w:val="single"/>
        </w:rPr>
        <w:t xml:space="preserve">             </w:t>
      </w:r>
      <w:r>
        <w:rPr>
          <w:rFonts w:hint="eastAsia" w:ascii="宋体" w:hAnsi="宋体" w:eastAsia="宋体" w:cs="宋体"/>
          <w:color w:val="auto"/>
          <w:kern w:val="0"/>
          <w:sz w:val="24"/>
          <w:highlight w:val="none"/>
          <w:lang w:val="zh-CN"/>
        </w:rPr>
        <w:t>；</w:t>
      </w:r>
    </w:p>
    <w:p w14:paraId="1670346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w:t>
      </w:r>
      <w:r>
        <w:rPr>
          <w:rFonts w:hint="eastAsia" w:ascii="宋体" w:hAnsi="宋体" w:eastAsia="宋体" w:cs="宋体"/>
          <w:color w:val="auto"/>
          <w:kern w:val="0"/>
          <w:sz w:val="24"/>
          <w:highlight w:val="none"/>
          <w:u w:val="single"/>
        </w:rPr>
        <w:t>（联合体其中一方成员名称）</w:t>
      </w:r>
      <w:r>
        <w:rPr>
          <w:rFonts w:hint="eastAsia" w:ascii="宋体" w:hAnsi="宋体" w:eastAsia="宋体" w:cs="宋体"/>
          <w:color w:val="auto"/>
          <w:kern w:val="0"/>
          <w:sz w:val="24"/>
          <w:highlight w:val="none"/>
        </w:rPr>
        <w:t>提供的全部货物/服务由小微企业制造/服务，其合同份额占到合同总金额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p>
    <w:p w14:paraId="631514F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五、如果中标，</w:t>
      </w:r>
      <w:r>
        <w:rPr>
          <w:rFonts w:hint="eastAsia" w:ascii="宋体" w:hAnsi="宋体" w:eastAsia="宋体" w:cs="宋体"/>
          <w:color w:val="auto"/>
          <w:sz w:val="24"/>
          <w:highlight w:val="none"/>
        </w:rPr>
        <w:t>联合体各成员方共同与采购人签订合同，并就采购合同约定的事项对采购人承担连带责任。</w:t>
      </w:r>
    </w:p>
    <w:p w14:paraId="3671EDA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六、有关本次联合投标的其他事宜：</w:t>
      </w:r>
    </w:p>
    <w:p w14:paraId="33DEE377">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1、联合体各方不再单独参加或者与其他供应商另外组成联合体参加同一合同项下的政府采购活动。</w:t>
      </w:r>
    </w:p>
    <w:p w14:paraId="5DF1D24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2、联合体中有同类资质的各方按照联合体分工承担相同工作的，按照资质等级较低的供应商确定资质等级。</w:t>
      </w:r>
    </w:p>
    <w:p w14:paraId="5BF1BEF1">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3、本协议提交采购人、采购机构后，联合体各方不得以任何形式对上述内容进行修改或撤销。</w:t>
      </w:r>
    </w:p>
    <w:p w14:paraId="2524CA02">
      <w:pPr>
        <w:snapToGrid w:val="0"/>
        <w:spacing w:line="360" w:lineRule="auto"/>
        <w:ind w:firstLine="5040" w:firstLineChars="2100"/>
        <w:rPr>
          <w:rFonts w:hint="eastAsia" w:ascii="宋体" w:hAnsi="宋体" w:eastAsia="宋体" w:cs="宋体"/>
          <w:color w:val="auto"/>
          <w:highlight w:val="none"/>
        </w:rPr>
      </w:pPr>
      <w:r>
        <w:rPr>
          <w:rFonts w:hint="eastAsia" w:ascii="宋体" w:hAnsi="宋体" w:eastAsia="宋体" w:cs="宋体"/>
          <w:color w:val="auto"/>
          <w:kern w:val="0"/>
          <w:sz w:val="24"/>
          <w:highlight w:val="none"/>
          <w:lang w:val="zh-CN"/>
        </w:rPr>
        <w:t>联合体成员名称(公章)：</w:t>
      </w:r>
    </w:p>
    <w:p w14:paraId="765E2A89">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6672F986">
      <w:pPr>
        <w:snapToGrid w:val="0"/>
        <w:spacing w:line="360" w:lineRule="auto"/>
        <w:ind w:right="480"/>
        <w:rPr>
          <w:rFonts w:hint="eastAsia" w:ascii="宋体" w:hAnsi="宋体" w:eastAsia="宋体" w:cs="宋体"/>
          <w:b/>
          <w:color w:val="auto"/>
          <w:kern w:val="0"/>
          <w:sz w:val="32"/>
          <w:szCs w:val="32"/>
          <w:highlight w:val="none"/>
          <w:lang w:val="zh-CN"/>
        </w:rPr>
        <w:sectPr>
          <w:headerReference r:id="rId5" w:type="first"/>
          <w:footerReference r:id="rId8" w:type="first"/>
          <w:headerReference r:id="rId3" w:type="default"/>
          <w:footerReference r:id="rId6" w:type="default"/>
          <w:headerReference r:id="rId4" w:type="even"/>
          <w:footerReference r:id="rId7" w:type="even"/>
          <w:pgSz w:w="11906" w:h="16838"/>
          <w:pgMar w:top="1134" w:right="1191" w:bottom="1134" w:left="1191" w:header="851" w:footer="992" w:gutter="0"/>
          <w:pgBorders>
            <w:top w:val="none" w:sz="0" w:space="0"/>
            <w:left w:val="none" w:sz="0" w:space="0"/>
            <w:bottom w:val="none" w:sz="0" w:space="0"/>
            <w:right w:val="none" w:sz="0" w:space="0"/>
          </w:pgBorders>
          <w:pgNumType w:fmt="decimal"/>
          <w:cols w:space="720" w:num="1"/>
          <w:rtlGutter w:val="0"/>
          <w:docGrid w:linePitch="312" w:charSpace="0"/>
        </w:sectPr>
      </w:pPr>
    </w:p>
    <w:p w14:paraId="5D68ADEE">
      <w:pPr>
        <w:pStyle w:val="4"/>
        <w:rPr>
          <w:rFonts w:hint="eastAsia" w:ascii="宋体" w:hAnsi="宋体" w:eastAsia="宋体" w:cs="宋体"/>
          <w:b w:val="0"/>
          <w:color w:val="auto"/>
          <w:sz w:val="24"/>
          <w:szCs w:val="24"/>
          <w:highlight w:val="none"/>
        </w:rPr>
      </w:pPr>
      <w:bookmarkStart w:id="62" w:name="_Toc2319"/>
      <w:bookmarkStart w:id="63" w:name="_Toc20690"/>
      <w:bookmarkStart w:id="64" w:name="_Toc19048"/>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七</w:t>
      </w:r>
      <w:r>
        <w:rPr>
          <w:rFonts w:hint="eastAsia" w:ascii="宋体" w:hAnsi="宋体" w:eastAsia="宋体" w:cs="宋体"/>
          <w:b w:val="0"/>
          <w:color w:val="auto"/>
          <w:sz w:val="24"/>
          <w:szCs w:val="24"/>
          <w:highlight w:val="none"/>
        </w:rPr>
        <w:t>：分包意向协议</w:t>
      </w:r>
      <w:bookmarkEnd w:id="62"/>
      <w:bookmarkEnd w:id="63"/>
      <w:bookmarkEnd w:id="64"/>
    </w:p>
    <w:p w14:paraId="21361200">
      <w:pPr>
        <w:snapToGrid w:val="0"/>
        <w:spacing w:line="360" w:lineRule="auto"/>
        <w:ind w:firstLine="3534" w:firstLineChars="1100"/>
        <w:rPr>
          <w:rFonts w:hint="eastAsia" w:ascii="宋体" w:hAnsi="宋体" w:eastAsia="宋体" w:cs="宋体"/>
          <w:b/>
          <w:color w:val="auto"/>
          <w:kern w:val="0"/>
          <w:sz w:val="32"/>
          <w:szCs w:val="32"/>
          <w:highlight w:val="none"/>
        </w:rPr>
      </w:pPr>
      <w:r>
        <w:rPr>
          <w:rFonts w:hint="eastAsia" w:ascii="宋体" w:hAnsi="宋体" w:eastAsia="宋体" w:cs="宋体"/>
          <w:b/>
          <w:color w:val="auto"/>
          <w:kern w:val="0"/>
          <w:sz w:val="32"/>
          <w:szCs w:val="32"/>
          <w:highlight w:val="none"/>
        </w:rPr>
        <w:t>分包意向协议</w:t>
      </w:r>
    </w:p>
    <w:p w14:paraId="0E5F5404">
      <w:pPr>
        <w:widowControl/>
        <w:spacing w:line="360" w:lineRule="auto"/>
        <w:ind w:firstLine="120" w:firstLineChars="50"/>
        <w:jc w:val="left"/>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r>
        <w:rPr>
          <w:rFonts w:hint="eastAsia" w:ascii="宋体" w:hAnsi="宋体" w:eastAsia="宋体" w:cs="宋体"/>
          <w:b/>
          <w:color w:val="auto"/>
          <w:sz w:val="24"/>
          <w:highlight w:val="none"/>
        </w:rPr>
        <w:t>中标后以分包方式履行合同的，提供分包意向协议；采购人不同意分包或者供应商中标后不以分包方式履行合同的，则不需要提供。</w:t>
      </w:r>
      <w:r>
        <w:rPr>
          <w:rFonts w:hint="eastAsia" w:ascii="宋体" w:hAnsi="宋体" w:eastAsia="宋体" w:cs="宋体"/>
          <w:color w:val="auto"/>
          <w:sz w:val="24"/>
          <w:highlight w:val="none"/>
        </w:rPr>
        <w:t>）</w:t>
      </w:r>
    </w:p>
    <w:p w14:paraId="06B96C0E">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若成为</w:t>
      </w:r>
      <w:r>
        <w:rPr>
          <w:rFonts w:hint="eastAsia" w:ascii="宋体" w:hAnsi="宋体" w:eastAsia="宋体" w:cs="宋体"/>
          <w:color w:val="auto"/>
          <w:sz w:val="24"/>
          <w:highlight w:val="none"/>
        </w:rPr>
        <w:t>（项目名称）【招标编号：（采购编号）】</w:t>
      </w:r>
      <w:r>
        <w:rPr>
          <w:rFonts w:hint="eastAsia" w:ascii="宋体" w:hAnsi="宋体" w:eastAsia="宋体" w:cs="宋体"/>
          <w:color w:val="auto"/>
          <w:kern w:val="0"/>
          <w:sz w:val="24"/>
          <w:highlight w:val="none"/>
          <w:lang w:val="zh-CN"/>
        </w:rPr>
        <w:t>的中标供应商，将依法采取分包方式履行合同。</w:t>
      </w: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rPr>
        <w:t>与</w:t>
      </w:r>
      <w:r>
        <w:rPr>
          <w:rFonts w:hint="eastAsia" w:ascii="宋体" w:hAnsi="宋体" w:eastAsia="宋体" w:cs="宋体"/>
          <w:color w:val="auto"/>
          <w:kern w:val="0"/>
          <w:sz w:val="24"/>
          <w:highlight w:val="none"/>
          <w:u w:val="single"/>
        </w:rPr>
        <w:t>（所有分包供应商名称）</w:t>
      </w:r>
      <w:r>
        <w:rPr>
          <w:rFonts w:hint="eastAsia" w:ascii="宋体" w:hAnsi="宋体" w:eastAsia="宋体" w:cs="宋体"/>
          <w:color w:val="auto"/>
          <w:kern w:val="0"/>
          <w:sz w:val="24"/>
          <w:highlight w:val="none"/>
        </w:rPr>
        <w:t>达成分包意向协议</w:t>
      </w:r>
      <w:r>
        <w:rPr>
          <w:rFonts w:hint="eastAsia" w:ascii="宋体" w:hAnsi="宋体" w:eastAsia="宋体" w:cs="宋体"/>
          <w:color w:val="auto"/>
          <w:kern w:val="0"/>
          <w:sz w:val="24"/>
          <w:highlight w:val="none"/>
          <w:lang w:val="zh-CN"/>
        </w:rPr>
        <w:t xml:space="preserve">。 </w:t>
      </w:r>
    </w:p>
    <w:p w14:paraId="639ED4D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一、分包标的及数量</w:t>
      </w:r>
    </w:p>
    <w:p w14:paraId="4CBCE8D3">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u w:val="single"/>
        </w:rPr>
        <w:t>（供应商名称）</w:t>
      </w:r>
      <w:r>
        <w:rPr>
          <w:rFonts w:hint="eastAsia" w:ascii="宋体" w:hAnsi="宋体" w:eastAsia="宋体" w:cs="宋体"/>
          <w:color w:val="auto"/>
          <w:kern w:val="0"/>
          <w:sz w:val="24"/>
          <w:highlight w:val="none"/>
          <w:lang w:val="zh-CN"/>
        </w:rPr>
        <w:t>将</w:t>
      </w:r>
      <w:r>
        <w:rPr>
          <w:rFonts w:hint="eastAsia" w:ascii="宋体" w:hAnsi="宋体" w:eastAsia="宋体" w:cs="宋体"/>
          <w:color w:val="auto"/>
          <w:sz w:val="24"/>
          <w:highlight w:val="none"/>
          <w:u w:val="single"/>
        </w:rPr>
        <w:t xml:space="preserve">   XX工作内容   </w:t>
      </w:r>
      <w:r>
        <w:rPr>
          <w:rFonts w:hint="eastAsia" w:ascii="宋体" w:hAnsi="宋体" w:eastAsia="宋体" w:cs="宋体"/>
          <w:color w:val="auto"/>
          <w:sz w:val="24"/>
          <w:highlight w:val="none"/>
        </w:rPr>
        <w:t>分包给</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w:t>
      </w:r>
      <w:r>
        <w:rPr>
          <w:rFonts w:hint="eastAsia" w:ascii="宋体" w:hAnsi="宋体" w:eastAsia="宋体" w:cs="宋体"/>
          <w:color w:val="auto"/>
          <w:kern w:val="0"/>
          <w:sz w:val="24"/>
          <w:highlight w:val="none"/>
          <w:u w:val="single"/>
        </w:rPr>
        <w:t>（某分包供应商名称），</w:t>
      </w:r>
      <w:r>
        <w:rPr>
          <w:rFonts w:hint="eastAsia" w:ascii="宋体" w:hAnsi="宋体" w:eastAsia="宋体" w:cs="宋体"/>
          <w:color w:val="auto"/>
          <w:kern w:val="0"/>
          <w:sz w:val="24"/>
          <w:highlight w:val="none"/>
          <w:lang w:val="zh-CN"/>
        </w:rPr>
        <w:t>具备承</w:t>
      </w:r>
      <w:r>
        <w:rPr>
          <w:rFonts w:hint="eastAsia" w:ascii="宋体" w:hAnsi="宋体" w:eastAsia="宋体" w:cs="宋体"/>
          <w:color w:val="auto"/>
          <w:kern w:val="0"/>
          <w:sz w:val="24"/>
          <w:highlight w:val="none"/>
        </w:rPr>
        <w:t>担</w:t>
      </w:r>
      <w:r>
        <w:rPr>
          <w:rFonts w:hint="eastAsia" w:ascii="宋体" w:hAnsi="宋体" w:eastAsia="宋体" w:cs="宋体"/>
          <w:color w:val="auto"/>
          <w:kern w:val="0"/>
          <w:sz w:val="24"/>
          <w:highlight w:val="none"/>
          <w:u w:val="single"/>
          <w:lang w:val="zh-CN"/>
        </w:rPr>
        <w:t>XX工作内容</w:t>
      </w:r>
      <w:r>
        <w:rPr>
          <w:rFonts w:hint="eastAsia" w:ascii="宋体" w:hAnsi="宋体" w:eastAsia="宋体" w:cs="宋体"/>
          <w:color w:val="auto"/>
          <w:kern w:val="0"/>
          <w:sz w:val="24"/>
          <w:highlight w:val="none"/>
          <w:lang w:val="zh-CN"/>
        </w:rPr>
        <w:t>相应资质条件且不得再次分包；</w:t>
      </w:r>
    </w:p>
    <w:p w14:paraId="464A7783">
      <w:pPr>
        <w:snapToGrid w:val="0"/>
        <w:spacing w:line="360" w:lineRule="auto"/>
        <w:ind w:firstLine="576"/>
        <w:rPr>
          <w:rFonts w:hint="eastAsia" w:ascii="宋体" w:hAnsi="宋体" w:eastAsia="宋体" w:cs="宋体"/>
          <w:color w:val="auto"/>
          <w:kern w:val="0"/>
          <w:sz w:val="24"/>
          <w:highlight w:val="none"/>
          <w:u w:val="single"/>
        </w:rPr>
      </w:pPr>
      <w:r>
        <w:rPr>
          <w:rFonts w:hint="eastAsia" w:ascii="宋体" w:hAnsi="宋体" w:eastAsia="宋体" w:cs="宋体"/>
          <w:color w:val="auto"/>
          <w:kern w:val="0"/>
          <w:sz w:val="24"/>
          <w:highlight w:val="none"/>
          <w:u w:val="single"/>
        </w:rPr>
        <w:t>……</w:t>
      </w:r>
    </w:p>
    <w:p w14:paraId="15347D35">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二、分包工作履行期限、地点、方式</w:t>
      </w:r>
    </w:p>
    <w:p w14:paraId="038D357F">
      <w:pPr>
        <w:snapToGrid w:val="0"/>
        <w:spacing w:line="360" w:lineRule="auto"/>
        <w:ind w:firstLine="576"/>
        <w:rPr>
          <w:rFonts w:hint="eastAsia" w:ascii="宋体" w:hAnsi="宋体" w:eastAsia="宋体" w:cs="宋体"/>
          <w:color w:val="auto"/>
          <w:sz w:val="24"/>
          <w:highlight w:val="none"/>
          <w:u w:val="single"/>
        </w:rPr>
      </w:pPr>
      <w:r>
        <w:rPr>
          <w:rFonts w:hint="eastAsia" w:ascii="宋体" w:hAnsi="宋体" w:eastAsia="宋体" w:cs="宋体"/>
          <w:color w:val="auto"/>
          <w:sz w:val="24"/>
          <w:highlight w:val="none"/>
          <w:u w:val="single"/>
        </w:rPr>
        <w:t xml:space="preserve">                                                                                  </w:t>
      </w:r>
    </w:p>
    <w:p w14:paraId="30888714">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三、质量</w:t>
      </w:r>
    </w:p>
    <w:p w14:paraId="433EC6E9">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u w:val="single"/>
        </w:rPr>
        <w:t xml:space="preserve">                                                                                       </w:t>
      </w:r>
    </w:p>
    <w:p w14:paraId="1DE26E82">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四、价款或者报酬</w:t>
      </w:r>
    </w:p>
    <w:p w14:paraId="0D2734B3">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u w:val="single"/>
        </w:rPr>
        <w:t xml:space="preserve">                                                                                     </w:t>
      </w:r>
    </w:p>
    <w:p w14:paraId="6AF31FCF">
      <w:pPr>
        <w:snapToGrid w:val="0"/>
        <w:spacing w:line="360" w:lineRule="auto"/>
        <w:ind w:left="573" w:leftChars="273"/>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五、违约责任</w:t>
      </w:r>
    </w:p>
    <w:p w14:paraId="33F26788">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u w:val="single"/>
        </w:rPr>
        <w:t xml:space="preserve">                                                                                     </w:t>
      </w:r>
    </w:p>
    <w:p w14:paraId="0D289A20">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六、争议解决的办法</w:t>
      </w:r>
    </w:p>
    <w:p w14:paraId="6A1E2FA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sz w:val="24"/>
          <w:highlight w:val="none"/>
          <w:u w:val="single"/>
        </w:rPr>
        <w:t xml:space="preserve">                                                                                  </w:t>
      </w:r>
    </w:p>
    <w:p w14:paraId="4B984036">
      <w:pPr>
        <w:snapToGrid w:val="0"/>
        <w:spacing w:line="360" w:lineRule="auto"/>
        <w:ind w:firstLine="576"/>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七、其他</w:t>
      </w:r>
    </w:p>
    <w:p w14:paraId="26CF253E">
      <w:pPr>
        <w:snapToGrid w:val="0"/>
        <w:spacing w:line="360" w:lineRule="auto"/>
        <w:ind w:firstLine="576"/>
        <w:rPr>
          <w:rFonts w:hint="eastAsia" w:ascii="宋体" w:hAnsi="宋体" w:eastAsia="宋体" w:cs="宋体"/>
          <w:b/>
          <w:color w:val="auto"/>
          <w:kern w:val="0"/>
          <w:sz w:val="24"/>
          <w:highlight w:val="none"/>
          <w:lang w:val="zh-CN"/>
        </w:rPr>
      </w:pPr>
      <w:r>
        <w:rPr>
          <w:rFonts w:hint="eastAsia" w:ascii="宋体" w:hAnsi="宋体" w:eastAsia="宋体" w:cs="宋体"/>
          <w:color w:val="auto"/>
          <w:kern w:val="0"/>
          <w:sz w:val="24"/>
          <w:highlight w:val="none"/>
          <w:u w:val="single"/>
        </w:rPr>
        <w:t>（分包供应商名称）提供的货物/服务全部由小微企业制造/服务，</w:t>
      </w:r>
      <w:r>
        <w:rPr>
          <w:rFonts w:hint="eastAsia" w:ascii="宋体" w:hAnsi="宋体" w:eastAsia="宋体" w:cs="宋体"/>
          <w:color w:val="auto"/>
          <w:kern w:val="0"/>
          <w:sz w:val="24"/>
          <w:highlight w:val="none"/>
        </w:rPr>
        <w:t>其合同份额占到合同总金额</w:t>
      </w:r>
      <w:r>
        <w:rPr>
          <w:rFonts w:hint="eastAsia" w:ascii="宋体" w:hAnsi="宋体" w:eastAsia="宋体" w:cs="宋体"/>
          <w:color w:val="auto"/>
          <w:kern w:val="0"/>
          <w:sz w:val="24"/>
          <w:highlight w:val="none"/>
          <w:u w:val="single"/>
        </w:rPr>
        <w:t xml:space="preserve">     </w:t>
      </w:r>
      <w:r>
        <w:rPr>
          <w:rFonts w:hint="eastAsia" w:ascii="宋体" w:hAnsi="宋体" w:eastAsia="宋体" w:cs="宋体"/>
          <w:color w:val="auto"/>
          <w:kern w:val="0"/>
          <w:sz w:val="24"/>
          <w:highlight w:val="none"/>
        </w:rPr>
        <w:t>%以上</w:t>
      </w:r>
      <w:r>
        <w:rPr>
          <w:rFonts w:hint="eastAsia" w:ascii="宋体" w:hAnsi="宋体" w:eastAsia="宋体" w:cs="宋体"/>
          <w:color w:val="auto"/>
          <w:sz w:val="24"/>
          <w:highlight w:val="none"/>
        </w:rPr>
        <w:t>。</w:t>
      </w:r>
    </w:p>
    <w:p w14:paraId="4748A2C8">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供应商名称(盖章)：</w:t>
      </w:r>
    </w:p>
    <w:p w14:paraId="5038FC03">
      <w:pPr>
        <w:snapToGrid w:val="0"/>
        <w:spacing w:line="360" w:lineRule="auto"/>
        <w:ind w:firstLine="5640" w:firstLineChars="2350"/>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分包供应商名称：</w:t>
      </w:r>
    </w:p>
    <w:p w14:paraId="2F599DE6">
      <w:pPr>
        <w:snapToGrid w:val="0"/>
        <w:spacing w:line="360" w:lineRule="auto"/>
        <w:ind w:firstLine="5760" w:firstLineChars="2400"/>
        <w:rPr>
          <w:rFonts w:hint="eastAsia" w:ascii="宋体" w:hAnsi="宋体" w:eastAsia="宋体" w:cs="宋体"/>
          <w:color w:val="auto"/>
          <w:sz w:val="24"/>
          <w:highlight w:val="none"/>
        </w:rPr>
      </w:pPr>
      <w:r>
        <w:rPr>
          <w:rFonts w:hint="eastAsia" w:ascii="宋体" w:hAnsi="宋体" w:eastAsia="宋体" w:cs="宋体"/>
          <w:color w:val="auto"/>
          <w:kern w:val="0"/>
          <w:sz w:val="24"/>
          <w:highlight w:val="none"/>
          <w:lang w:val="zh-CN"/>
        </w:rPr>
        <w:t>……</w:t>
      </w:r>
    </w:p>
    <w:p w14:paraId="3C81B94C">
      <w:pPr>
        <w:snapToGrid w:val="0"/>
        <w:spacing w:line="360" w:lineRule="auto"/>
        <w:rPr>
          <w:rFonts w:hint="eastAsia" w:ascii="宋体" w:hAnsi="宋体" w:eastAsia="宋体" w:cs="宋体"/>
          <w:color w:val="auto"/>
          <w:kern w:val="0"/>
          <w:sz w:val="24"/>
          <w:highlight w:val="none"/>
          <w:lang w:val="zh-CN"/>
        </w:rPr>
      </w:pPr>
      <w:r>
        <w:rPr>
          <w:rFonts w:hint="eastAsia" w:ascii="宋体" w:hAnsi="宋体" w:eastAsia="宋体" w:cs="宋体"/>
          <w:color w:val="auto"/>
          <w:kern w:val="0"/>
          <w:sz w:val="24"/>
          <w:highlight w:val="none"/>
          <w:lang w:val="zh-CN"/>
        </w:rPr>
        <w:t xml:space="preserve">                                               日期：  年  月   日</w:t>
      </w:r>
    </w:p>
    <w:p w14:paraId="49B51E41">
      <w:pPr>
        <w:pageBreakBefore/>
        <w:spacing w:before="260" w:after="260" w:line="415" w:lineRule="auto"/>
        <w:outlineLvl w:val="1"/>
        <w:rPr>
          <w:rFonts w:hint="eastAsia" w:ascii="宋体" w:hAnsi="宋体" w:eastAsia="宋体" w:cs="宋体"/>
          <w:bCs/>
          <w:color w:val="auto"/>
          <w:sz w:val="24"/>
          <w:highlight w:val="none"/>
        </w:rPr>
      </w:pPr>
      <w:bookmarkStart w:id="65" w:name="_Toc26112"/>
      <w:bookmarkStart w:id="66" w:name="_Toc25980"/>
      <w:r>
        <w:rPr>
          <w:rFonts w:hint="eastAsia" w:ascii="宋体" w:hAnsi="宋体" w:eastAsia="宋体" w:cs="宋体"/>
          <w:bCs/>
          <w:color w:val="auto"/>
          <w:sz w:val="24"/>
          <w:highlight w:val="none"/>
        </w:rPr>
        <w:t>附件</w:t>
      </w:r>
      <w:r>
        <w:rPr>
          <w:rFonts w:hint="eastAsia" w:ascii="宋体" w:hAnsi="宋体" w:eastAsia="宋体" w:cs="宋体"/>
          <w:bCs/>
          <w:color w:val="auto"/>
          <w:sz w:val="24"/>
          <w:highlight w:val="none"/>
          <w:lang w:val="en-US" w:eastAsia="zh-CN"/>
        </w:rPr>
        <w:t>八</w:t>
      </w:r>
      <w:r>
        <w:rPr>
          <w:rFonts w:hint="eastAsia" w:ascii="宋体" w:hAnsi="宋体" w:eastAsia="宋体" w:cs="宋体"/>
          <w:bCs/>
          <w:color w:val="auto"/>
          <w:sz w:val="24"/>
          <w:highlight w:val="none"/>
        </w:rPr>
        <w:t>：中小企业声明函（工程、服务）</w:t>
      </w:r>
      <w:bookmarkEnd w:id="65"/>
      <w:bookmarkEnd w:id="66"/>
    </w:p>
    <w:p w14:paraId="6B58391F">
      <w:pPr>
        <w:snapToGrid w:val="0"/>
        <w:spacing w:line="360" w:lineRule="auto"/>
        <w:jc w:val="center"/>
        <w:rPr>
          <w:rFonts w:hint="eastAsia" w:ascii="宋体" w:hAnsi="宋体" w:eastAsia="宋体" w:cs="宋体"/>
          <w:b/>
          <w:color w:val="auto"/>
          <w:kern w:val="0"/>
          <w:sz w:val="32"/>
          <w:szCs w:val="32"/>
          <w:highlight w:val="none"/>
          <w:lang w:val="en-US" w:eastAsia="zh-CN"/>
        </w:rPr>
      </w:pPr>
      <w:r>
        <w:rPr>
          <w:rFonts w:hint="eastAsia" w:ascii="宋体" w:hAnsi="宋体" w:eastAsia="宋体" w:cs="宋体"/>
          <w:b/>
          <w:color w:val="auto"/>
          <w:kern w:val="0"/>
          <w:sz w:val="32"/>
          <w:szCs w:val="32"/>
          <w:highlight w:val="none"/>
          <w:lang w:val="en-US" w:eastAsia="zh-CN"/>
        </w:rPr>
        <w:t>中小企业声明函（工程、服务）</w:t>
      </w:r>
    </w:p>
    <w:p w14:paraId="2CA84F96">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本公司（联合体）郑重声明，根据《政府采购促进中小企业发展管理办法》（财库﹝2020﹞46 号）的规定，本公司（联合体）参加</w:t>
      </w:r>
      <w:r>
        <w:rPr>
          <w:rFonts w:hint="eastAsia" w:ascii="宋体" w:hAnsi="宋体" w:eastAsia="宋体" w:cs="宋体"/>
          <w:color w:val="auto"/>
          <w:sz w:val="24"/>
          <w:highlight w:val="none"/>
          <w:u w:val="single"/>
        </w:rPr>
        <w:t xml:space="preserve">  （单位名称）  </w:t>
      </w:r>
      <w:r>
        <w:rPr>
          <w:rFonts w:hint="eastAsia" w:ascii="宋体" w:hAnsi="宋体" w:eastAsia="宋体" w:cs="宋体"/>
          <w:color w:val="auto"/>
          <w:sz w:val="24"/>
          <w:highlight w:val="none"/>
        </w:rPr>
        <w:t>的</w:t>
      </w:r>
      <w:r>
        <w:rPr>
          <w:rFonts w:hint="eastAsia" w:ascii="宋体" w:hAnsi="宋体" w:eastAsia="宋体" w:cs="宋体"/>
          <w:color w:val="auto"/>
          <w:sz w:val="24"/>
          <w:highlight w:val="none"/>
          <w:u w:val="single"/>
        </w:rPr>
        <w:t xml:space="preserve">  （项目名称）  </w:t>
      </w:r>
      <w:r>
        <w:rPr>
          <w:rFonts w:hint="eastAsia" w:ascii="宋体" w:hAnsi="宋体" w:eastAsia="宋体" w:cs="宋体"/>
          <w:color w:val="auto"/>
          <w:sz w:val="24"/>
          <w:highlight w:val="none"/>
        </w:rPr>
        <w:t>采购活动，工程的施工单位全部为符合政策要求的中小企业（或者：服务全部由符合政策要求的中小企业承接）。相关企业（含联合 体中的中小企业、签订分包意向协议的中小企业）的具体情况如下：</w:t>
      </w:r>
    </w:p>
    <w:p w14:paraId="2A158F2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1、</w:t>
      </w:r>
      <w:r>
        <w:rPr>
          <w:rFonts w:hint="eastAsia" w:ascii="宋体" w:hAnsi="宋体" w:eastAsia="宋体" w:cs="宋体"/>
          <w:color w:val="auto"/>
          <w:sz w:val="24"/>
          <w:highlight w:val="none"/>
          <w:u w:val="single"/>
        </w:rPr>
        <w:t xml:space="preserve">  （标的名称）  </w:t>
      </w:r>
      <w:r>
        <w:rPr>
          <w:rFonts w:hint="eastAsia" w:ascii="宋体" w:hAnsi="宋体" w:eastAsia="宋体" w:cs="宋体"/>
          <w:color w:val="auto"/>
          <w:sz w:val="24"/>
          <w:highlight w:val="none"/>
        </w:rPr>
        <w:t>，属于</w:t>
      </w:r>
      <w:r>
        <w:rPr>
          <w:rFonts w:hint="eastAsia" w:ascii="宋体" w:hAnsi="宋体" w:cs="宋体"/>
          <w:color w:val="auto"/>
          <w:sz w:val="24"/>
          <w:highlight w:val="none"/>
          <w:u w:val="single"/>
          <w:lang w:val="en-US" w:eastAsia="zh-CN"/>
        </w:rPr>
        <w:t>建筑业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w:t>
      </w:r>
    </w:p>
    <w:p w14:paraId="5ABC644C">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2、</w:t>
      </w:r>
      <w:r>
        <w:rPr>
          <w:rFonts w:hint="eastAsia" w:ascii="宋体" w:hAnsi="宋体" w:eastAsia="宋体" w:cs="宋体"/>
          <w:color w:val="auto"/>
          <w:sz w:val="24"/>
          <w:highlight w:val="none"/>
          <w:u w:val="single"/>
        </w:rPr>
        <w:t xml:space="preserve">  （标的名称）  </w:t>
      </w:r>
      <w:r>
        <w:rPr>
          <w:rFonts w:hint="eastAsia" w:ascii="宋体" w:hAnsi="宋体" w:eastAsia="宋体" w:cs="宋体"/>
          <w:color w:val="auto"/>
          <w:sz w:val="24"/>
          <w:highlight w:val="none"/>
        </w:rPr>
        <w:t>，属于</w:t>
      </w:r>
      <w:r>
        <w:rPr>
          <w:rFonts w:hint="eastAsia" w:ascii="宋体" w:hAnsi="宋体" w:cs="宋体"/>
          <w:color w:val="auto"/>
          <w:sz w:val="24"/>
          <w:highlight w:val="none"/>
          <w:u w:val="single"/>
          <w:lang w:val="en-US" w:eastAsia="zh-CN"/>
        </w:rPr>
        <w:t>建筑业</w:t>
      </w:r>
      <w:r>
        <w:rPr>
          <w:rFonts w:hint="eastAsia" w:ascii="宋体" w:hAnsi="宋体" w:eastAsia="宋体" w:cs="宋体"/>
          <w:color w:val="auto"/>
          <w:sz w:val="24"/>
          <w:highlight w:val="none"/>
        </w:rPr>
        <w:t>；承建（承接）企业为</w:t>
      </w:r>
      <w:r>
        <w:rPr>
          <w:rFonts w:hint="eastAsia" w:ascii="宋体" w:hAnsi="宋体" w:eastAsia="宋体" w:cs="宋体"/>
          <w:color w:val="auto"/>
          <w:sz w:val="24"/>
          <w:highlight w:val="none"/>
          <w:u w:val="single"/>
        </w:rPr>
        <w:t xml:space="preserve">  （企业名称）  </w:t>
      </w:r>
      <w:r>
        <w:rPr>
          <w:rFonts w:hint="eastAsia" w:ascii="宋体" w:hAnsi="宋体" w:eastAsia="宋体" w:cs="宋体"/>
          <w:color w:val="auto"/>
          <w:sz w:val="24"/>
          <w:highlight w:val="none"/>
        </w:rPr>
        <w:t>，从业人员</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人，营业收入为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万元，资产总额为</w:t>
      </w:r>
      <w:r>
        <w:rPr>
          <w:rFonts w:hint="eastAsia" w:ascii="宋体" w:hAnsi="宋体" w:eastAsia="宋体" w:cs="宋体"/>
          <w:color w:val="auto"/>
          <w:sz w:val="24"/>
          <w:highlight w:val="none"/>
          <w:u w:val="single"/>
        </w:rPr>
        <w:t xml:space="preserve">   </w:t>
      </w:r>
      <w:r>
        <w:rPr>
          <w:rFonts w:hint="eastAsia" w:ascii="宋体" w:hAnsi="宋体" w:eastAsia="宋体" w:cs="宋体"/>
          <w:color w:val="auto"/>
          <w:sz w:val="24"/>
          <w:highlight w:val="none"/>
          <w:u w:val="single"/>
        </w:rPr>
        <w:tab/>
      </w:r>
      <w:r>
        <w:rPr>
          <w:rFonts w:hint="eastAsia" w:ascii="宋体" w:hAnsi="宋体" w:eastAsia="宋体" w:cs="宋体"/>
          <w:color w:val="auto"/>
          <w:sz w:val="24"/>
          <w:highlight w:val="none"/>
        </w:rPr>
        <w:t>万元，属于</w:t>
      </w:r>
      <w:r>
        <w:rPr>
          <w:rFonts w:hint="eastAsia" w:ascii="宋体" w:hAnsi="宋体" w:eastAsia="宋体" w:cs="宋体"/>
          <w:color w:val="auto"/>
          <w:sz w:val="24"/>
          <w:highlight w:val="none"/>
          <w:u w:val="single"/>
        </w:rPr>
        <w:t>（中型企业、小型企业、微型企业）</w:t>
      </w:r>
      <w:r>
        <w:rPr>
          <w:rFonts w:hint="eastAsia" w:ascii="宋体" w:hAnsi="宋体" w:eastAsia="宋体" w:cs="宋体"/>
          <w:color w:val="auto"/>
          <w:sz w:val="24"/>
          <w:highlight w:val="none"/>
        </w:rPr>
        <w:t>；</w:t>
      </w:r>
    </w:p>
    <w:p w14:paraId="6585520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w:t>……</w:t>
      </w:r>
    </w:p>
    <w:p w14:paraId="0B84195B">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以上企业，不属于大企业的分支机构，不存在控股股东为大企业的情形，也不存在与大企业的负责人为同一人的情形。</w:t>
      </w:r>
    </w:p>
    <w:p w14:paraId="41F27EE3">
      <w:pPr>
        <w:spacing w:line="360" w:lineRule="auto"/>
        <w:ind w:firstLine="480" w:firstLineChars="200"/>
        <w:rPr>
          <w:rFonts w:hint="eastAsia" w:ascii="宋体" w:hAnsi="宋体" w:eastAsia="宋体" w:cs="宋体"/>
          <w:color w:val="auto"/>
          <w:sz w:val="24"/>
          <w:highlight w:val="none"/>
        </w:rPr>
      </w:pPr>
      <w:r>
        <w:rPr>
          <w:rFonts w:hint="eastAsia" w:ascii="宋体" w:hAnsi="宋体" w:eastAsia="宋体" w:cs="宋体"/>
          <w:color w:val="auto"/>
          <w:sz w:val="24"/>
          <w:highlight w:val="none"/>
        </w:rPr>
        <w:t>本企业对上述声明内容的真实性负责。如有虚假，将依法承担相应责任。</w:t>
      </w:r>
    </w:p>
    <w:p w14:paraId="5BCA645D">
      <w:pPr>
        <w:spacing w:line="360" w:lineRule="auto"/>
        <w:rPr>
          <w:rFonts w:hint="eastAsia" w:ascii="宋体" w:hAnsi="宋体" w:eastAsia="宋体" w:cs="宋体"/>
          <w:color w:val="auto"/>
          <w:sz w:val="24"/>
          <w:highlight w:val="none"/>
        </w:rPr>
      </w:pPr>
    </w:p>
    <w:p w14:paraId="5810AAC9">
      <w:pPr>
        <w:spacing w:line="360" w:lineRule="auto"/>
        <w:ind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企业名称（盖章）：</w:t>
      </w:r>
    </w:p>
    <w:p w14:paraId="1558800F">
      <w:pPr>
        <w:spacing w:line="360" w:lineRule="auto"/>
        <w:ind w:firstLine="5280" w:firstLineChars="2200"/>
        <w:rPr>
          <w:rFonts w:hint="eastAsia" w:ascii="宋体" w:hAnsi="宋体" w:eastAsia="宋体" w:cs="宋体"/>
          <w:color w:val="auto"/>
          <w:sz w:val="24"/>
          <w:highlight w:val="none"/>
        </w:rPr>
      </w:pPr>
      <w:r>
        <w:rPr>
          <w:rFonts w:hint="eastAsia" w:ascii="宋体" w:hAnsi="宋体" w:eastAsia="宋体" w:cs="宋体"/>
          <w:color w:val="auto"/>
          <w:sz w:val="24"/>
          <w:highlight w:val="none"/>
        </w:rPr>
        <w:t>日期：</w:t>
      </w:r>
    </w:p>
    <w:p w14:paraId="2B737B07">
      <w:pPr>
        <w:spacing w:line="360" w:lineRule="auto"/>
        <w:rPr>
          <w:rFonts w:hint="eastAsia" w:ascii="宋体" w:hAnsi="宋体" w:eastAsia="宋体" w:cs="宋体"/>
          <w:color w:val="auto"/>
          <w:sz w:val="24"/>
          <w:highlight w:val="none"/>
        </w:rPr>
      </w:pPr>
    </w:p>
    <w:p w14:paraId="2772B50A">
      <w:pPr>
        <w:spacing w:line="360" w:lineRule="auto"/>
        <w:rPr>
          <w:rFonts w:hint="eastAsia" w:ascii="宋体" w:hAnsi="宋体" w:eastAsia="宋体" w:cs="宋体"/>
          <w:color w:val="auto"/>
          <w:sz w:val="24"/>
          <w:highlight w:val="none"/>
        </w:rPr>
      </w:pPr>
      <w:r>
        <w:rPr>
          <w:rFonts w:hint="eastAsia" w:ascii="宋体" w:hAnsi="宋体" w:eastAsia="宋体" w:cs="宋体"/>
          <w:color w:val="auto"/>
          <w:sz w:val="24"/>
          <w:highlight w:val="none"/>
        </w:rPr>
        <mc:AlternateContent>
          <mc:Choice Requires="wps">
            <w:drawing>
              <wp:anchor distT="0" distB="0" distL="0" distR="0" simplePos="0" relativeHeight="251661312" behindDoc="1" locked="0" layoutInCell="1" allowOverlap="1">
                <wp:simplePos x="0" y="0"/>
                <wp:positionH relativeFrom="page">
                  <wp:posOffset>1143000</wp:posOffset>
                </wp:positionH>
                <wp:positionV relativeFrom="paragraph">
                  <wp:posOffset>111125</wp:posOffset>
                </wp:positionV>
                <wp:extent cx="1828800" cy="0"/>
                <wp:effectExtent l="0" t="4445" r="0" b="5080"/>
                <wp:wrapTopAndBottom/>
                <wp:docPr id="10" name="直线 6"/>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0" cmpd="sng">
                          <a:solidFill>
                            <a:srgbClr val="000000"/>
                          </a:solidFill>
                          <a:round/>
                        </a:ln>
                        <a:effectLst/>
                      </wps:spPr>
                      <wps:bodyPr/>
                    </wps:wsp>
                  </a:graphicData>
                </a:graphic>
              </wp:anchor>
            </w:drawing>
          </mc:Choice>
          <mc:Fallback>
            <w:pict>
              <v:line id="直线 6" o:spid="_x0000_s1026" o:spt="20" style="position:absolute;left:0pt;margin-left:90pt;margin-top:8.75pt;height:0pt;width:144pt;mso-position-horizontal-relative:page;mso-wrap-distance-bottom:0pt;mso-wrap-distance-top:0pt;z-index:-251655168;mso-width-relative:page;mso-height-relative:page;" filled="f" stroked="t" coordsize="21600,21600" o:gfxdata="UEsDBAoAAAAAAIdO4kAAAAAAAAAAAAAAAAAEAAAAZHJzL1BLAwQUAAAACACHTuJAG2yG49UAAAAJ&#10;AQAADwAAAGRycy9kb3ducmV2LnhtbE1Py07DMBC8I/EP1iJxo3Z4pFGI00MRF0BCDUjluI1NkmKv&#10;o9h98Pcs6gFuOw/NzlSLo3dib6c4BNKQzRQIS20wA3Ua3t8erwoQMSEZdIGshm8bYVGfn1VYmnCg&#10;ld03qRMcQrFEDX1KYyllbHvrMc7CaIm1zzB5TAynTpoJDxzunbxWKpceB+IPPY522dv2q9l5Der1&#10;Of+QL8vtdv30sFJ40ziVNVpfXmTqHkSyx/Rnht/6XB1q7rQJOzJROMaF4i2Jj/kdCDbc5gUTmxMh&#10;60r+X1D/AFBLAwQUAAAACACHTuJA5cYjGt0BAAC4AwAADgAAAGRycy9lMm9Eb2MueG1srVNLbtsw&#10;EN0X6B0I7mvZXgSGEDkLG+kmbQ0kPcCYoiSiJIfg0JZ9ll6jq256nFyjQ/rTNN1kUS0IfmbevPdm&#10;dHt3cFbsdSSDvpGzyVQK7RW2xveN/Pp0/2EhBSXwLVj0upFHTfJu+f7d7RhqPccBbaujYBBP9Rga&#10;OaQU6qoiNWgHNMGgPT92GB0kPsa+aiOMjO5sNZ9Ob6oRYxsiKk3Et+vTozwjxrcAYtcZpdeodk77&#10;dEKN2kJiSTSYQHJZ2HadVulL15FOwjaSlaaychHeb/NaLW+h7iOEwagzBXgLhVeaHBjPRa9Qa0gg&#10;dtH8A+WMikjYpYlCV52EFEdYxWz6ypvHAYIuWthqClfT6f/Bqs/7TRSm5UlgSzw47vjz9x/PP3+J&#10;m2zOGKjmmJXfxCxPHfxjeED1jYTH1QC+14Xk0zFw4ixnVH+l5AMFLrEdP2HLMbBLWJw6dNFlSPZA&#10;HEpDjteG6EMSii9ni/liMWVi6vJWQX1JDJHSR41O5E0jrfHZK6hh/0ApE4H6EpKvPd4ba0u/rRdj&#10;qahcYOXk+5JIaE2bg3I4xX67slHsIU9O+Yo6fnkZFnHn21Mx63OeLkN3ZnBRf/Jxi+1xEy8WcUML&#10;x/Pw5Yl5eS5G/vnhlr8BUEsDBAoAAAAAAIdO4kAAAAAAAAAAAAAAAAAGAAAAX3JlbHMvUEsDBBQA&#10;AAAIAIdO4kCKFGY80QAAAJQBAAALAAAAX3JlbHMvLnJlbHOlkMFqwzAMhu+DvYPRfXGawxijTi+j&#10;0GvpHsDYimMaW0Yy2fr28w6DZfS2o36h7xP//vCZFrUiS6RsYNf1oDA78jEHA++X49MLKKk2e7tQ&#10;RgM3FDiMjw/7My62tiOZYxHVKFkMzLWWV63FzZisdFQwt81EnGxtIwddrLvagHro+2fNvxkwbpjq&#10;5A3wyQ+gLrfSzH/YKTomoal2jpKmaYruHlUHtmWO7sg24Ru5RrMcsBrwLBoHalnXfgR9X7/7p97T&#10;Rz7jutV+h4zrj1dvuhy/AFBLAwQUAAAACACHTuJAfublIPcAAADhAQAAEwAAAFtDb250ZW50X1R5&#10;cGVzXS54bWyVkUFOwzAQRfdI3MHyFiVOu0AIJemCtEtAqBxgZE8Si2RseUxob4+TthtEkVjaM/+/&#10;J7vcHMZBTBjYOqrkKi+kQNLOWOoq+b7fZQ9ScAQyMDjCSh6R5aa+vSn3R48sUpq4kn2M/lEp1j2O&#10;wLnzSGnSujBCTMfQKQ/6AzpU66K4V9pRRIpZnDtkXTbYwucQxfaQrk8mAQeW4um0OLMqCd4PVkNM&#10;pmoi84OSnQl5Si473FvPd0lDql8J8+Q64Jx7SU8TrEHxCiE+w5g0lAmsjPuigFP+d8lsOXLm2tZq&#10;zJvATYq94XSxutaOa9c4/d/y7ZK6dKvlg+pvUEsBAhQAFAAAAAgAh07iQH7m5SD3AAAA4QEAABMA&#10;AAAAAAAAAQAgAAAASwQAAFtDb250ZW50X1R5cGVzXS54bWxQSwECFAAKAAAAAACHTuJAAAAAAAAA&#10;AAAAAAAABgAAAAAAAAAAABAAAAAtAwAAX3JlbHMvUEsBAhQAFAAAAAgAh07iQIoUZjzRAAAAlAEA&#10;AAsAAAAAAAAAAQAgAAAAUQMAAF9yZWxzLy5yZWxzUEsBAhQACgAAAAAAh07iQAAAAAAAAAAAAAAA&#10;AAQAAAAAAAAAAAAQAAAAAAAAAGRycy9QSwECFAAUAAAACACHTuJAG2yG49UAAAAJAQAADwAAAAAA&#10;AAABACAAAAAiAAAAZHJzL2Rvd25yZXYueG1sUEsBAhQAFAAAAAgAh07iQOXGIxrdAQAAuAMAAA4A&#10;AAAAAAAAAQAgAAAAJAEAAGRycy9lMm9Eb2MueG1sUEsFBgAAAAAGAAYAWQEAAHMFAAAAAA==&#10;">
                <v:fill on="f" focussize="0,0"/>
                <v:stroke weight="0pt" color="#000000" joinstyle="round"/>
                <v:imagedata o:title=""/>
                <o:lock v:ext="edit" aspectratio="f"/>
                <w10:wrap type="topAndBottom"/>
              </v:line>
            </w:pict>
          </mc:Fallback>
        </mc:AlternateContent>
      </w:r>
    </w:p>
    <w:p w14:paraId="57A51106">
      <w:pPr>
        <w:spacing w:line="360" w:lineRule="auto"/>
        <w:rPr>
          <w:rFonts w:hint="eastAsia" w:ascii="宋体" w:hAnsi="宋体" w:eastAsia="宋体" w:cs="宋体"/>
          <w:b/>
          <w:bCs/>
          <w:color w:val="auto"/>
          <w:sz w:val="24"/>
          <w:highlight w:val="none"/>
        </w:rPr>
      </w:pPr>
      <w:r>
        <w:rPr>
          <w:rFonts w:hint="eastAsia" w:ascii="宋体" w:hAnsi="宋体" w:eastAsia="宋体" w:cs="宋体"/>
          <w:b/>
          <w:bCs/>
          <w:color w:val="auto"/>
          <w:sz w:val="24"/>
          <w:highlight w:val="none"/>
        </w:rPr>
        <w:t>备注：</w:t>
      </w:r>
    </w:p>
    <w:p w14:paraId="3467B6EC">
      <w:pPr>
        <w:spacing w:line="360" w:lineRule="auto"/>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1</w:t>
      </w:r>
      <w:r>
        <w:rPr>
          <w:rFonts w:hint="eastAsia" w:ascii="宋体" w:hAnsi="宋体" w:eastAsia="宋体" w:cs="宋体"/>
          <w:b/>
          <w:bCs/>
          <w:color w:val="auto"/>
          <w:sz w:val="24"/>
          <w:highlight w:val="none"/>
        </w:rPr>
        <w:t>、从业人员、营业收入、资产总额填报上一年度数据，无上一年度数据的新成立企业可不填报。</w:t>
      </w:r>
    </w:p>
    <w:p w14:paraId="6A6D1D73">
      <w:pPr>
        <w:pStyle w:val="16"/>
        <w:spacing w:line="360" w:lineRule="auto"/>
        <w:rPr>
          <w:rFonts w:hint="eastAsia" w:ascii="宋体" w:hAnsi="宋体" w:eastAsia="宋体" w:cs="宋体"/>
          <w:b/>
          <w:bCs/>
          <w:color w:val="auto"/>
          <w:sz w:val="24"/>
          <w:highlight w:val="none"/>
        </w:rPr>
      </w:pPr>
      <w:r>
        <w:rPr>
          <w:rFonts w:hint="eastAsia" w:ascii="宋体" w:hAnsi="宋体" w:cs="宋体"/>
          <w:b/>
          <w:bCs/>
          <w:color w:val="auto"/>
          <w:sz w:val="24"/>
          <w:highlight w:val="none"/>
          <w:lang w:val="en-US" w:eastAsia="zh-CN"/>
        </w:rPr>
        <w:t>2</w:t>
      </w:r>
      <w:r>
        <w:rPr>
          <w:rFonts w:hint="eastAsia" w:ascii="宋体" w:hAnsi="宋体" w:eastAsia="宋体" w:cs="宋体"/>
          <w:b/>
          <w:bCs/>
          <w:color w:val="auto"/>
          <w:sz w:val="24"/>
          <w:highlight w:val="none"/>
        </w:rPr>
        <w:t>、如中标人声明为小微企业，本声明函将随中标结果同时公告，接受社会监督。</w:t>
      </w:r>
    </w:p>
    <w:p w14:paraId="5A042F5D">
      <w:pPr>
        <w:pStyle w:val="4"/>
        <w:keepNext w:val="0"/>
        <w:keepLines w:val="0"/>
        <w:pageBreakBefore/>
        <w:spacing w:line="415" w:lineRule="auto"/>
        <w:rPr>
          <w:rFonts w:hint="eastAsia" w:ascii="宋体" w:hAnsi="宋体" w:eastAsia="宋体" w:cs="宋体"/>
          <w:b w:val="0"/>
          <w:color w:val="auto"/>
          <w:sz w:val="24"/>
          <w:szCs w:val="24"/>
          <w:highlight w:val="none"/>
        </w:rPr>
      </w:pPr>
      <w:bookmarkStart w:id="67" w:name="_Toc24672"/>
      <w:bookmarkStart w:id="68" w:name="_Toc5557"/>
      <w:bookmarkStart w:id="69" w:name="_Toc11961"/>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九</w:t>
      </w:r>
      <w:r>
        <w:rPr>
          <w:rFonts w:hint="eastAsia" w:ascii="宋体" w:hAnsi="宋体" w:eastAsia="宋体" w:cs="宋体"/>
          <w:b w:val="0"/>
          <w:color w:val="auto"/>
          <w:sz w:val="24"/>
          <w:szCs w:val="24"/>
          <w:highlight w:val="none"/>
        </w:rPr>
        <w:t>：残疾人福利性单位声明函</w:t>
      </w:r>
      <w:bookmarkEnd w:id="67"/>
      <w:bookmarkEnd w:id="68"/>
      <w:bookmarkEnd w:id="69"/>
    </w:p>
    <w:p w14:paraId="7B246400">
      <w:pPr>
        <w:spacing w:after="120"/>
        <w:ind w:right="960" w:firstLine="2533" w:firstLineChars="701"/>
        <w:jc w:val="left"/>
        <w:rPr>
          <w:rFonts w:hint="eastAsia" w:ascii="宋体" w:hAnsi="宋体" w:cs="宋体"/>
          <w:b/>
          <w:color w:val="auto"/>
          <w:sz w:val="36"/>
          <w:highlight w:val="none"/>
        </w:rPr>
      </w:pPr>
      <w:r>
        <w:rPr>
          <w:rFonts w:hint="eastAsia" w:ascii="宋体" w:hAnsi="宋体" w:cs="宋体"/>
          <w:b/>
          <w:color w:val="auto"/>
          <w:sz w:val="36"/>
          <w:highlight w:val="none"/>
        </w:rPr>
        <w:t>残疾人福利性单位声明函</w:t>
      </w:r>
    </w:p>
    <w:p w14:paraId="344DE50A">
      <w:pPr>
        <w:spacing w:after="120" w:line="360" w:lineRule="auto"/>
        <w:ind w:right="960" w:firstLine="548" w:firstLineChars="196"/>
        <w:jc w:val="left"/>
        <w:rPr>
          <w:rFonts w:hint="eastAsia" w:ascii="宋体" w:hAnsi="宋体" w:cs="宋体"/>
          <w:color w:val="auto"/>
          <w:sz w:val="28"/>
          <w:highlight w:val="none"/>
        </w:rPr>
      </w:pPr>
    </w:p>
    <w:p w14:paraId="2A175A78">
      <w:pPr>
        <w:spacing w:after="120" w:line="360" w:lineRule="auto"/>
        <w:ind w:right="960" w:firstLine="548" w:firstLineChars="196"/>
        <w:jc w:val="left"/>
        <w:rPr>
          <w:rFonts w:hint="eastAsia" w:ascii="宋体" w:hAnsi="宋体" w:cs="宋体"/>
          <w:color w:val="auto"/>
          <w:sz w:val="28"/>
          <w:highlight w:val="none"/>
        </w:rPr>
      </w:pPr>
      <w:r>
        <w:rPr>
          <w:rFonts w:hint="eastAsia" w:ascii="宋体" w:hAnsi="宋体" w:cs="宋体"/>
          <w:color w:val="auto"/>
          <w:sz w:val="28"/>
          <w:highlight w:val="none"/>
        </w:rPr>
        <w:t>本单位郑重声明，根据《财政部 民政部 中国残疾人联合会关于促进残疾人就业政府采购政策的通知》（财库【2017】141号）的规定，本单位为符合条件的残疾人福利性单位，且本单位参加</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单位的</w:t>
      </w:r>
      <w:r>
        <w:rPr>
          <w:rFonts w:hint="eastAsia" w:ascii="宋体" w:hAnsi="宋体" w:cs="宋体"/>
          <w:color w:val="auto"/>
          <w:sz w:val="28"/>
          <w:highlight w:val="none"/>
          <w:u w:val="single"/>
        </w:rPr>
        <w:t xml:space="preserve">        </w:t>
      </w:r>
      <w:r>
        <w:rPr>
          <w:rFonts w:hint="eastAsia" w:ascii="宋体" w:hAnsi="宋体" w:cs="宋体"/>
          <w:color w:val="auto"/>
          <w:sz w:val="28"/>
          <w:highlight w:val="none"/>
        </w:rPr>
        <w:t>项目采购活动提供本单位制造的货物（由本单位承担工程/服务），或者提供其他残疾人福利性单位制造的货物（不包括使用非残疾人福利性单位注册商标的货物）。</w:t>
      </w:r>
    </w:p>
    <w:p w14:paraId="7BA9CFD5">
      <w:pPr>
        <w:spacing w:after="120" w:line="360" w:lineRule="auto"/>
        <w:ind w:right="960" w:firstLine="548" w:firstLineChars="196"/>
        <w:jc w:val="left"/>
        <w:rPr>
          <w:rFonts w:hint="eastAsia" w:ascii="宋体" w:hAnsi="宋体" w:cs="宋体"/>
          <w:color w:val="auto"/>
          <w:sz w:val="28"/>
          <w:highlight w:val="none"/>
        </w:rPr>
      </w:pPr>
      <w:r>
        <w:rPr>
          <w:rFonts w:hint="eastAsia" w:ascii="宋体" w:hAnsi="宋体" w:cs="宋体"/>
          <w:color w:val="auto"/>
          <w:sz w:val="28"/>
          <w:highlight w:val="none"/>
        </w:rPr>
        <w:t>本单位对上述声明的真实性负责。如有虚假，将依法承担相应责任。</w:t>
      </w:r>
    </w:p>
    <w:p w14:paraId="1F7FEB8D">
      <w:pPr>
        <w:spacing w:after="120" w:line="360" w:lineRule="auto"/>
        <w:ind w:right="960" w:firstLine="4200" w:firstLineChars="1500"/>
        <w:jc w:val="left"/>
        <w:rPr>
          <w:rFonts w:hint="eastAsia" w:ascii="宋体" w:hAnsi="宋体" w:cs="宋体"/>
          <w:color w:val="auto"/>
          <w:sz w:val="28"/>
          <w:highlight w:val="none"/>
        </w:rPr>
      </w:pPr>
    </w:p>
    <w:p w14:paraId="38DF64CB">
      <w:pPr>
        <w:spacing w:after="120" w:line="360" w:lineRule="auto"/>
        <w:ind w:right="960" w:firstLine="4200" w:firstLineChars="1500"/>
        <w:jc w:val="left"/>
        <w:rPr>
          <w:rFonts w:hint="eastAsia" w:ascii="宋体" w:hAnsi="宋体" w:cs="宋体"/>
          <w:color w:val="auto"/>
          <w:sz w:val="28"/>
          <w:highlight w:val="none"/>
        </w:rPr>
      </w:pPr>
    </w:p>
    <w:p w14:paraId="6056D63F">
      <w:pPr>
        <w:spacing w:after="120" w:line="360" w:lineRule="auto"/>
        <w:ind w:right="960" w:firstLine="4200" w:firstLineChars="1500"/>
        <w:jc w:val="left"/>
        <w:rPr>
          <w:rFonts w:hint="eastAsia" w:ascii="宋体" w:hAnsi="宋体" w:cs="宋体"/>
          <w:color w:val="auto"/>
          <w:sz w:val="28"/>
          <w:highlight w:val="none"/>
        </w:rPr>
      </w:pPr>
      <w:r>
        <w:rPr>
          <w:rFonts w:hint="eastAsia" w:ascii="宋体" w:hAnsi="宋体" w:cs="宋体"/>
          <w:color w:val="auto"/>
          <w:sz w:val="28"/>
          <w:highlight w:val="none"/>
        </w:rPr>
        <w:t>单位名称（盖章）:</w:t>
      </w:r>
    </w:p>
    <w:p w14:paraId="64B8719C">
      <w:pPr>
        <w:spacing w:after="120" w:line="360" w:lineRule="auto"/>
        <w:ind w:right="960" w:firstLine="4200" w:firstLineChars="1500"/>
        <w:jc w:val="left"/>
        <w:rPr>
          <w:rFonts w:hint="eastAsia" w:ascii="宋体" w:hAnsi="宋体" w:cs="宋体"/>
          <w:color w:val="auto"/>
          <w:sz w:val="28"/>
          <w:highlight w:val="none"/>
        </w:rPr>
      </w:pPr>
      <w:r>
        <w:rPr>
          <w:rFonts w:hint="eastAsia" w:ascii="宋体" w:hAnsi="宋体" w:cs="宋体"/>
          <w:color w:val="auto"/>
          <w:sz w:val="28"/>
          <w:highlight w:val="none"/>
        </w:rPr>
        <w:t xml:space="preserve">日期：        </w:t>
      </w:r>
    </w:p>
    <w:p w14:paraId="68684AB1">
      <w:pPr>
        <w:spacing w:after="120"/>
        <w:jc w:val="center"/>
        <w:rPr>
          <w:rFonts w:hint="eastAsia" w:ascii="宋体" w:hAnsi="宋体" w:cs="宋体"/>
          <w:b/>
          <w:color w:val="auto"/>
          <w:sz w:val="36"/>
          <w:szCs w:val="36"/>
          <w:highlight w:val="none"/>
        </w:rPr>
      </w:pPr>
    </w:p>
    <w:p w14:paraId="1915A0A1">
      <w:pPr>
        <w:numPr>
          <w:ilvl w:val="0"/>
          <w:numId w:val="10"/>
        </w:numPr>
        <w:tabs>
          <w:tab w:val="left" w:pos="420"/>
          <w:tab w:val="clear" w:pos="1244"/>
        </w:tabs>
        <w:spacing w:before="100" w:beforeAutospacing="1" w:after="100" w:afterAutospacing="1" w:line="432" w:lineRule="auto"/>
        <w:ind w:hanging="1244"/>
        <w:rPr>
          <w:rFonts w:hint="eastAsia" w:ascii="宋体" w:hAnsi="宋体" w:eastAsia="宋体" w:cs="Times New Roman"/>
          <w:b/>
          <w:color w:val="auto"/>
          <w:szCs w:val="21"/>
          <w:highlight w:val="none"/>
        </w:rPr>
      </w:pPr>
      <w:r>
        <w:rPr>
          <w:rFonts w:hint="eastAsia" w:ascii="宋体" w:hAnsi="宋体" w:eastAsia="宋体" w:cs="Times New Roman"/>
          <w:b/>
          <w:color w:val="auto"/>
          <w:szCs w:val="21"/>
          <w:highlight w:val="none"/>
        </w:rPr>
        <w:t>残疾人福利性单位视同小型、微型企业，享受</w:t>
      </w:r>
      <w:r>
        <w:rPr>
          <w:rFonts w:hint="eastAsia" w:ascii="宋体" w:hAnsi="宋体" w:cs="Times New Roman"/>
          <w:b/>
          <w:color w:val="auto"/>
          <w:szCs w:val="21"/>
          <w:highlight w:val="none"/>
          <w:lang w:val="en-US" w:eastAsia="zh-CN"/>
        </w:rPr>
        <w:t>政策扶持</w:t>
      </w:r>
      <w:r>
        <w:rPr>
          <w:rFonts w:hint="eastAsia" w:ascii="宋体" w:hAnsi="宋体" w:eastAsia="宋体" w:cs="Times New Roman"/>
          <w:b/>
          <w:color w:val="auto"/>
          <w:szCs w:val="21"/>
          <w:highlight w:val="none"/>
        </w:rPr>
        <w:t>。</w:t>
      </w:r>
    </w:p>
    <w:p w14:paraId="72A8A48A">
      <w:pPr>
        <w:numPr>
          <w:ilvl w:val="0"/>
          <w:numId w:val="10"/>
        </w:numPr>
        <w:tabs>
          <w:tab w:val="left" w:pos="420"/>
          <w:tab w:val="clear" w:pos="1244"/>
        </w:tabs>
        <w:spacing w:before="100" w:beforeAutospacing="1" w:after="100" w:afterAutospacing="1" w:line="432" w:lineRule="auto"/>
        <w:ind w:hanging="1244"/>
        <w:rPr>
          <w:rFonts w:hint="eastAsia" w:ascii="宋体" w:hAnsi="宋体" w:eastAsia="宋体" w:cs="宋体"/>
          <w:bCs/>
          <w:color w:val="auto"/>
          <w:sz w:val="24"/>
          <w:highlight w:val="none"/>
        </w:rPr>
      </w:pPr>
      <w:r>
        <w:rPr>
          <w:rFonts w:hint="eastAsia" w:ascii="宋体" w:hAnsi="宋体"/>
          <w:b/>
          <w:color w:val="auto"/>
          <w:szCs w:val="21"/>
          <w:highlight w:val="none"/>
        </w:rPr>
        <w:t>如中标人声明为残疾人福利性单位，本声明函将随中标结果同时公告，接受社会监督。</w:t>
      </w:r>
    </w:p>
    <w:p w14:paraId="2CFC8DB4">
      <w:pPr>
        <w:pStyle w:val="4"/>
        <w:keepNext/>
        <w:keepLines/>
        <w:pageBreakBefore/>
        <w:widowControl w:val="0"/>
        <w:kinsoku/>
        <w:wordWrap/>
        <w:overflowPunct/>
        <w:topLinePunct w:val="0"/>
        <w:autoSpaceDE/>
        <w:autoSpaceDN/>
        <w:bidi w:val="0"/>
        <w:adjustRightInd/>
        <w:snapToGrid/>
        <w:spacing w:line="416" w:lineRule="auto"/>
        <w:textAlignment w:val="auto"/>
        <w:rPr>
          <w:rFonts w:hint="eastAsia" w:ascii="宋体" w:hAnsi="宋体" w:eastAsia="宋体" w:cs="宋体"/>
          <w:b w:val="0"/>
          <w:color w:val="auto"/>
          <w:sz w:val="24"/>
          <w:szCs w:val="24"/>
          <w:highlight w:val="none"/>
        </w:rPr>
      </w:pPr>
      <w:bookmarkStart w:id="70" w:name="_Toc13506"/>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十</w:t>
      </w:r>
      <w:r>
        <w:rPr>
          <w:rFonts w:hint="eastAsia" w:ascii="宋体" w:hAnsi="宋体" w:eastAsia="宋体" w:cs="宋体"/>
          <w:b w:val="0"/>
          <w:color w:val="auto"/>
          <w:sz w:val="24"/>
          <w:szCs w:val="24"/>
          <w:highlight w:val="none"/>
        </w:rPr>
        <w:t>：磋商响应方资信商务、技术自评得分表</w:t>
      </w:r>
      <w:bookmarkEnd w:id="70"/>
    </w:p>
    <w:p w14:paraId="65AFED37">
      <w:pPr>
        <w:snapToGrid w:val="0"/>
        <w:spacing w:before="50" w:after="50"/>
        <w:jc w:val="center"/>
        <w:rPr>
          <w:rFonts w:hint="eastAsia" w:ascii="宋体"/>
          <w:b/>
          <w:color w:val="auto"/>
          <w:sz w:val="36"/>
          <w:szCs w:val="36"/>
          <w:highlight w:val="none"/>
        </w:rPr>
      </w:pPr>
      <w:r>
        <w:rPr>
          <w:rFonts w:hint="eastAsia" w:ascii="宋体"/>
          <w:b/>
          <w:color w:val="auto"/>
          <w:sz w:val="36"/>
          <w:szCs w:val="36"/>
          <w:highlight w:val="none"/>
        </w:rPr>
        <w:t>▲磋商响应方资信商务、技术自评得分表</w:t>
      </w:r>
    </w:p>
    <w:p w14:paraId="5DB27757">
      <w:pPr>
        <w:snapToGrid w:val="0"/>
        <w:spacing w:before="50" w:after="50" w:line="360" w:lineRule="auto"/>
        <w:rPr>
          <w:rFonts w:ascii="宋体"/>
          <w:b/>
          <w:color w:val="auto"/>
          <w:sz w:val="24"/>
          <w:highlight w:val="none"/>
          <w:u w:val="single"/>
        </w:rPr>
      </w:pPr>
      <w:r>
        <w:rPr>
          <w:rFonts w:hint="eastAsia" w:ascii="宋体"/>
          <w:b/>
          <w:color w:val="auto"/>
          <w:sz w:val="24"/>
          <w:highlight w:val="none"/>
        </w:rPr>
        <w:t>投标单位名称：                                    标项：</w:t>
      </w:r>
    </w:p>
    <w:tbl>
      <w:tblPr>
        <w:tblStyle w:val="39"/>
        <w:tblW w:w="0" w:type="auto"/>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961"/>
        <w:gridCol w:w="1610"/>
        <w:gridCol w:w="1610"/>
        <w:gridCol w:w="1358"/>
        <w:gridCol w:w="1084"/>
        <w:gridCol w:w="3034"/>
      </w:tblGrid>
      <w:tr w14:paraId="59CAF05C">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09"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4A13544C">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序号</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290C3504">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评审内容</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0E078616">
            <w:pPr>
              <w:pStyle w:val="33"/>
              <w:ind w:firstLine="0" w:firstLineChars="0"/>
              <w:rPr>
                <w:rFonts w:hint="eastAsia" w:ascii="宋体" w:eastAsia="宋体"/>
                <w:b/>
                <w:bCs/>
                <w:color w:val="auto"/>
                <w:highlight w:val="none"/>
              </w:rPr>
            </w:pPr>
            <w:r>
              <w:rPr>
                <w:rFonts w:hint="eastAsia" w:ascii="宋体" w:eastAsia="宋体"/>
                <w:b/>
                <w:bCs/>
                <w:color w:val="auto"/>
                <w:highlight w:val="none"/>
              </w:rPr>
              <w:t>评分标准</w:t>
            </w:r>
          </w:p>
        </w:tc>
        <w:tc>
          <w:tcPr>
            <w:tcW w:w="1358" w:type="dxa"/>
            <w:tcBorders>
              <w:top w:val="single" w:color="auto" w:sz="4" w:space="0"/>
              <w:left w:val="single" w:color="auto" w:sz="4" w:space="0"/>
              <w:bottom w:val="single" w:color="auto" w:sz="4" w:space="0"/>
              <w:right w:val="single" w:color="auto" w:sz="4" w:space="0"/>
            </w:tcBorders>
            <w:noWrap w:val="0"/>
            <w:vAlign w:val="center"/>
          </w:tcPr>
          <w:p w14:paraId="5522F53A">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评分标准分值</w:t>
            </w:r>
          </w:p>
        </w:tc>
        <w:tc>
          <w:tcPr>
            <w:tcW w:w="1084" w:type="dxa"/>
            <w:tcBorders>
              <w:top w:val="single" w:color="auto" w:sz="4" w:space="0"/>
              <w:left w:val="single" w:color="auto" w:sz="4" w:space="0"/>
              <w:bottom w:val="single" w:color="auto" w:sz="4" w:space="0"/>
              <w:right w:val="single" w:color="auto" w:sz="4" w:space="0"/>
            </w:tcBorders>
            <w:noWrap w:val="0"/>
            <w:vAlign w:val="center"/>
          </w:tcPr>
          <w:p w14:paraId="7C56C91B">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自评得分</w:t>
            </w:r>
          </w:p>
        </w:tc>
        <w:tc>
          <w:tcPr>
            <w:tcW w:w="3034" w:type="dxa"/>
            <w:tcBorders>
              <w:top w:val="single" w:color="auto" w:sz="4" w:space="0"/>
              <w:left w:val="single" w:color="auto" w:sz="4" w:space="0"/>
              <w:bottom w:val="single" w:color="auto" w:sz="4" w:space="0"/>
              <w:right w:val="single" w:color="auto" w:sz="4" w:space="0"/>
            </w:tcBorders>
            <w:noWrap w:val="0"/>
            <w:vAlign w:val="center"/>
          </w:tcPr>
          <w:p w14:paraId="7B33D758">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页码</w:t>
            </w:r>
          </w:p>
        </w:tc>
      </w:tr>
      <w:tr w14:paraId="4857F3F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404"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0AA9492C">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一</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3084E8C2">
            <w:pPr>
              <w:pStyle w:val="33"/>
              <w:ind w:firstLine="0" w:firstLineChars="0"/>
              <w:jc w:val="center"/>
              <w:rPr>
                <w:rFonts w:hint="eastAsia" w:ascii="宋体" w:eastAsia="宋体"/>
                <w:b/>
                <w:bCs/>
                <w:color w:val="auto"/>
                <w:highlight w:val="none"/>
              </w:rPr>
            </w:pPr>
            <w:r>
              <w:rPr>
                <w:rFonts w:hint="eastAsia" w:ascii="宋体" w:eastAsia="宋体"/>
                <w:b/>
                <w:bCs/>
                <w:color w:val="auto"/>
                <w:highlight w:val="none"/>
              </w:rPr>
              <w:t>技术分</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4D35F981">
            <w:pPr>
              <w:pStyle w:val="33"/>
              <w:ind w:firstLine="482"/>
              <w:jc w:val="center"/>
              <w:rPr>
                <w:rFonts w:hint="eastAsia" w:ascii="宋体" w:eastAsia="宋体"/>
                <w:b/>
                <w:bCs/>
                <w:color w:val="auto"/>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4C9B75AA">
            <w:pPr>
              <w:pStyle w:val="33"/>
              <w:ind w:firstLine="0" w:firstLineChars="0"/>
              <w:jc w:val="center"/>
              <w:rPr>
                <w:rFonts w:hint="eastAsia" w:ascii="宋体" w:eastAsia="宋体"/>
                <w:b/>
                <w:bCs/>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1E793754">
            <w:pPr>
              <w:pStyle w:val="33"/>
              <w:ind w:firstLine="0" w:firstLineChars="0"/>
              <w:jc w:val="center"/>
              <w:rPr>
                <w:rFonts w:hint="eastAsia" w:ascii="宋体" w:eastAsia="宋体"/>
                <w:b/>
                <w:bCs/>
                <w:color w:val="auto"/>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1559B161">
            <w:pPr>
              <w:pStyle w:val="33"/>
              <w:ind w:firstLine="0" w:firstLineChars="0"/>
              <w:jc w:val="center"/>
              <w:rPr>
                <w:rFonts w:hint="eastAsia" w:ascii="宋体" w:eastAsia="宋体"/>
                <w:b/>
                <w:bCs/>
                <w:color w:val="auto"/>
                <w:highlight w:val="none"/>
              </w:rPr>
            </w:pPr>
          </w:p>
        </w:tc>
      </w:tr>
      <w:tr w14:paraId="29896000">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80"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3E7CB4B4">
            <w:pPr>
              <w:widowControl/>
              <w:rPr>
                <w:rFonts w:hint="eastAsia" w:ascii="宋体"/>
                <w:color w:val="auto"/>
                <w:sz w:val="24"/>
                <w:highlight w:val="none"/>
              </w:rPr>
            </w:pPr>
            <w:r>
              <w:rPr>
                <w:rFonts w:hint="eastAsia" w:ascii="宋体"/>
                <w:color w:val="auto"/>
                <w:sz w:val="24"/>
                <w:highlight w:val="none"/>
              </w:rPr>
              <w:t>1</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40C710D0">
            <w:pPr>
              <w:rPr>
                <w:rFonts w:hint="eastAsia" w:ascii="宋体"/>
                <w:color w:val="auto"/>
                <w:sz w:val="24"/>
                <w:highlight w:val="none"/>
              </w:rPr>
            </w:pPr>
          </w:p>
        </w:tc>
        <w:tc>
          <w:tcPr>
            <w:tcW w:w="1610" w:type="dxa"/>
            <w:tcBorders>
              <w:top w:val="single" w:color="auto" w:sz="4" w:space="0"/>
              <w:left w:val="single" w:color="auto" w:sz="4" w:space="0"/>
              <w:right w:val="single" w:color="auto" w:sz="4" w:space="0"/>
            </w:tcBorders>
            <w:noWrap w:val="0"/>
            <w:vAlign w:val="center"/>
          </w:tcPr>
          <w:p w14:paraId="0FB9F567">
            <w:pPr>
              <w:rPr>
                <w:rFonts w:hint="eastAsia" w:ascii="宋体"/>
                <w:color w:val="auto"/>
                <w:sz w:val="24"/>
                <w:highlight w:val="none"/>
              </w:rPr>
            </w:pPr>
          </w:p>
        </w:tc>
        <w:tc>
          <w:tcPr>
            <w:tcW w:w="1358" w:type="dxa"/>
            <w:tcBorders>
              <w:top w:val="single" w:color="auto" w:sz="4" w:space="0"/>
              <w:left w:val="single" w:color="auto" w:sz="4" w:space="0"/>
              <w:right w:val="single" w:color="auto" w:sz="4" w:space="0"/>
            </w:tcBorders>
            <w:noWrap w:val="0"/>
            <w:vAlign w:val="center"/>
          </w:tcPr>
          <w:p w14:paraId="15A8BEF1">
            <w:pPr>
              <w:jc w:val="center"/>
              <w:rPr>
                <w:rFonts w:hint="eastAsia" w:ascii="宋体"/>
                <w:bCs/>
                <w:color w:val="auto"/>
                <w:sz w:val="24"/>
                <w:highlight w:val="none"/>
              </w:rPr>
            </w:pPr>
          </w:p>
        </w:tc>
        <w:tc>
          <w:tcPr>
            <w:tcW w:w="1084" w:type="dxa"/>
            <w:tcBorders>
              <w:top w:val="single" w:color="auto" w:sz="4" w:space="0"/>
              <w:left w:val="single" w:color="auto" w:sz="4" w:space="0"/>
              <w:right w:val="single" w:color="auto" w:sz="4" w:space="0"/>
            </w:tcBorders>
            <w:noWrap w:val="0"/>
            <w:vAlign w:val="center"/>
          </w:tcPr>
          <w:p w14:paraId="0A614A62">
            <w:pPr>
              <w:jc w:val="center"/>
              <w:rPr>
                <w:rFonts w:hint="eastAsia" w:ascii="宋体"/>
                <w:bCs/>
                <w:color w:val="auto"/>
                <w:sz w:val="24"/>
                <w:highlight w:val="none"/>
              </w:rPr>
            </w:pPr>
          </w:p>
        </w:tc>
        <w:tc>
          <w:tcPr>
            <w:tcW w:w="3034" w:type="dxa"/>
            <w:tcBorders>
              <w:top w:val="single" w:color="auto" w:sz="4" w:space="0"/>
              <w:left w:val="single" w:color="auto" w:sz="4" w:space="0"/>
              <w:right w:val="single" w:color="auto" w:sz="4" w:space="0"/>
            </w:tcBorders>
            <w:noWrap w:val="0"/>
            <w:vAlign w:val="center"/>
          </w:tcPr>
          <w:p w14:paraId="6F5C19FB">
            <w:pPr>
              <w:jc w:val="center"/>
              <w:rPr>
                <w:rFonts w:hint="eastAsia" w:ascii="宋体"/>
                <w:bCs/>
                <w:color w:val="auto"/>
                <w:sz w:val="24"/>
                <w:highlight w:val="none"/>
              </w:rPr>
            </w:pPr>
            <w:r>
              <w:rPr>
                <w:rFonts w:hint="eastAsia" w:ascii="宋体"/>
                <w:bCs/>
                <w:color w:val="auto"/>
                <w:sz w:val="24"/>
                <w:highlight w:val="none"/>
              </w:rPr>
              <w:t>详见</w:t>
            </w:r>
            <w:r>
              <w:rPr>
                <w:rFonts w:hint="eastAsia" w:ascii="宋体"/>
                <w:b/>
                <w:bCs/>
                <w:color w:val="auto"/>
                <w:sz w:val="24"/>
                <w:highlight w:val="none"/>
              </w:rPr>
              <w:t>商务技术响应文件</w:t>
            </w:r>
            <w:r>
              <w:rPr>
                <w:rFonts w:hint="eastAsia" w:ascii="宋体"/>
                <w:bCs/>
                <w:color w:val="auto"/>
                <w:sz w:val="24"/>
                <w:highlight w:val="none"/>
              </w:rPr>
              <w:t>第几页</w:t>
            </w:r>
          </w:p>
        </w:tc>
      </w:tr>
      <w:tr w14:paraId="719B975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969"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6B4A8C25">
            <w:pPr>
              <w:widowControl/>
              <w:rPr>
                <w:rFonts w:hint="eastAsia" w:ascii="宋体"/>
                <w:color w:val="auto"/>
                <w:sz w:val="24"/>
                <w:highlight w:val="none"/>
              </w:rPr>
            </w:pPr>
            <w:r>
              <w:rPr>
                <w:rFonts w:hint="eastAsia" w:ascii="宋体"/>
                <w:color w:val="auto"/>
                <w:sz w:val="24"/>
                <w:highlight w:val="none"/>
              </w:rPr>
              <w:t>2</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3D69DB6F">
            <w:pPr>
              <w:spacing w:line="320" w:lineRule="exact"/>
              <w:rPr>
                <w:rFonts w:hint="eastAsia" w:ascii="宋体"/>
                <w:color w:val="auto"/>
                <w:sz w:val="24"/>
                <w:highlight w:val="none"/>
              </w:rPr>
            </w:pPr>
          </w:p>
        </w:tc>
        <w:tc>
          <w:tcPr>
            <w:tcW w:w="1610" w:type="dxa"/>
            <w:tcBorders>
              <w:top w:val="single" w:color="auto" w:sz="4" w:space="0"/>
              <w:left w:val="single" w:color="auto" w:sz="4" w:space="0"/>
              <w:right w:val="single" w:color="auto" w:sz="4" w:space="0"/>
            </w:tcBorders>
            <w:noWrap w:val="0"/>
            <w:vAlign w:val="center"/>
          </w:tcPr>
          <w:p w14:paraId="7C12323E">
            <w:pPr>
              <w:widowControl/>
              <w:rPr>
                <w:rFonts w:hint="eastAsia" w:ascii="宋体" w:cs="宋体"/>
                <w:color w:val="auto"/>
                <w:kern w:val="0"/>
                <w:sz w:val="24"/>
                <w:highlight w:val="none"/>
              </w:rPr>
            </w:pPr>
          </w:p>
        </w:tc>
        <w:tc>
          <w:tcPr>
            <w:tcW w:w="1358" w:type="dxa"/>
            <w:tcBorders>
              <w:top w:val="single" w:color="auto" w:sz="4" w:space="0"/>
              <w:left w:val="single" w:color="auto" w:sz="4" w:space="0"/>
              <w:right w:val="single" w:color="auto" w:sz="4" w:space="0"/>
            </w:tcBorders>
            <w:noWrap w:val="0"/>
            <w:vAlign w:val="center"/>
          </w:tcPr>
          <w:p w14:paraId="60ACF17E">
            <w:pPr>
              <w:spacing w:line="320" w:lineRule="exact"/>
              <w:jc w:val="center"/>
              <w:rPr>
                <w:rFonts w:hint="eastAsia" w:ascii="宋体"/>
                <w:bCs/>
                <w:color w:val="auto"/>
                <w:sz w:val="24"/>
                <w:highlight w:val="none"/>
              </w:rPr>
            </w:pPr>
          </w:p>
        </w:tc>
        <w:tc>
          <w:tcPr>
            <w:tcW w:w="1084" w:type="dxa"/>
            <w:tcBorders>
              <w:top w:val="single" w:color="auto" w:sz="4" w:space="0"/>
              <w:left w:val="single" w:color="auto" w:sz="4" w:space="0"/>
              <w:right w:val="single" w:color="auto" w:sz="4" w:space="0"/>
            </w:tcBorders>
            <w:noWrap w:val="0"/>
            <w:vAlign w:val="center"/>
          </w:tcPr>
          <w:p w14:paraId="69D9C0BE">
            <w:pPr>
              <w:spacing w:line="320" w:lineRule="exact"/>
              <w:jc w:val="center"/>
              <w:rPr>
                <w:rFonts w:hint="eastAsia" w:ascii="宋体"/>
                <w:bCs/>
                <w:color w:val="auto"/>
                <w:sz w:val="24"/>
                <w:highlight w:val="none"/>
              </w:rPr>
            </w:pPr>
          </w:p>
        </w:tc>
        <w:tc>
          <w:tcPr>
            <w:tcW w:w="3034" w:type="dxa"/>
            <w:tcBorders>
              <w:top w:val="single" w:color="auto" w:sz="4" w:space="0"/>
              <w:left w:val="single" w:color="auto" w:sz="4" w:space="0"/>
              <w:right w:val="single" w:color="auto" w:sz="4" w:space="0"/>
            </w:tcBorders>
            <w:noWrap w:val="0"/>
            <w:vAlign w:val="center"/>
          </w:tcPr>
          <w:p w14:paraId="333EA0AC">
            <w:pPr>
              <w:jc w:val="center"/>
              <w:rPr>
                <w:rFonts w:hint="eastAsia" w:ascii="宋体"/>
                <w:bCs/>
                <w:color w:val="auto"/>
                <w:sz w:val="24"/>
                <w:highlight w:val="none"/>
              </w:rPr>
            </w:pPr>
            <w:r>
              <w:rPr>
                <w:rFonts w:hint="eastAsia" w:ascii="宋体"/>
                <w:bCs/>
                <w:color w:val="auto"/>
                <w:sz w:val="24"/>
                <w:highlight w:val="none"/>
              </w:rPr>
              <w:t>……</w:t>
            </w:r>
          </w:p>
        </w:tc>
      </w:tr>
      <w:tr w14:paraId="5D0B2DF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708" w:hRule="atLeast"/>
          <w:jc w:val="center"/>
        </w:trPr>
        <w:tc>
          <w:tcPr>
            <w:tcW w:w="961" w:type="dxa"/>
            <w:tcBorders>
              <w:left w:val="single" w:color="auto" w:sz="4" w:space="0"/>
              <w:bottom w:val="single" w:color="auto" w:sz="4" w:space="0"/>
              <w:right w:val="single" w:color="auto" w:sz="4" w:space="0"/>
            </w:tcBorders>
            <w:noWrap w:val="0"/>
            <w:vAlign w:val="center"/>
          </w:tcPr>
          <w:p w14:paraId="0341444F">
            <w:pPr>
              <w:widowControl/>
              <w:rPr>
                <w:rFonts w:hint="eastAsia" w:ascii="宋体"/>
                <w:color w:val="auto"/>
                <w:sz w:val="24"/>
                <w:highlight w:val="none"/>
              </w:rPr>
            </w:pPr>
            <w:r>
              <w:rPr>
                <w:rFonts w:hint="eastAsia" w:ascii="宋体"/>
                <w:color w:val="auto"/>
                <w:sz w:val="24"/>
                <w:highlight w:val="none"/>
              </w:rPr>
              <w:t>……</w:t>
            </w:r>
          </w:p>
        </w:tc>
        <w:tc>
          <w:tcPr>
            <w:tcW w:w="1610" w:type="dxa"/>
            <w:tcBorders>
              <w:left w:val="single" w:color="auto" w:sz="4" w:space="0"/>
              <w:bottom w:val="single" w:color="auto" w:sz="4" w:space="0"/>
              <w:right w:val="single" w:color="auto" w:sz="4" w:space="0"/>
            </w:tcBorders>
            <w:noWrap w:val="0"/>
            <w:vAlign w:val="center"/>
          </w:tcPr>
          <w:p w14:paraId="0F657525">
            <w:pPr>
              <w:widowControl/>
              <w:rPr>
                <w:rFonts w:hint="eastAsia" w:ascii="宋体" w:cs="宋体"/>
                <w:color w:val="auto"/>
                <w:kern w:val="0"/>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000E258F">
            <w:pPr>
              <w:ind w:left="55" w:leftChars="26"/>
              <w:rPr>
                <w:rFonts w:hint="eastAsia" w:ascii="宋体" w:cs="宋体"/>
                <w:color w:val="auto"/>
                <w:kern w:val="0"/>
                <w:sz w:val="24"/>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11C5C020">
            <w:pPr>
              <w:spacing w:line="320" w:lineRule="exact"/>
              <w:jc w:val="center"/>
              <w:rPr>
                <w:rFonts w:hint="eastAsia" w:ascii="宋体"/>
                <w:bCs/>
                <w:color w:val="auto"/>
                <w:sz w:val="24"/>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1B1CD319">
            <w:pPr>
              <w:spacing w:line="320" w:lineRule="exact"/>
              <w:jc w:val="center"/>
              <w:rPr>
                <w:rFonts w:hint="eastAsia" w:ascii="宋体"/>
                <w:bCs/>
                <w:color w:val="auto"/>
                <w:sz w:val="24"/>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3310AA51">
            <w:pPr>
              <w:jc w:val="center"/>
              <w:rPr>
                <w:rFonts w:hint="eastAsia" w:ascii="宋体"/>
                <w:bCs/>
                <w:color w:val="auto"/>
                <w:sz w:val="24"/>
                <w:highlight w:val="none"/>
              </w:rPr>
            </w:pPr>
          </w:p>
        </w:tc>
      </w:tr>
      <w:tr w14:paraId="06705EB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5"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0A5A9D00">
            <w:pPr>
              <w:widowControl/>
              <w:rPr>
                <w:rFonts w:hint="eastAsia" w:ascii="宋体"/>
                <w:b/>
                <w:color w:val="auto"/>
                <w:sz w:val="24"/>
                <w:highlight w:val="none"/>
              </w:rPr>
            </w:pPr>
            <w:r>
              <w:rPr>
                <w:rFonts w:hint="eastAsia" w:ascii="宋体"/>
                <w:b/>
                <w:color w:val="auto"/>
                <w:sz w:val="24"/>
                <w:highlight w:val="none"/>
              </w:rPr>
              <w:t>二</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6412AD73">
            <w:pPr>
              <w:widowControl/>
              <w:rPr>
                <w:rFonts w:hint="eastAsia" w:ascii="宋体"/>
                <w:b/>
                <w:color w:val="auto"/>
                <w:sz w:val="24"/>
                <w:highlight w:val="none"/>
              </w:rPr>
            </w:pPr>
            <w:r>
              <w:rPr>
                <w:rFonts w:hint="eastAsia" w:ascii="宋体"/>
                <w:b/>
                <w:color w:val="auto"/>
                <w:sz w:val="24"/>
                <w:highlight w:val="none"/>
              </w:rPr>
              <w:t>商务资信及其他分分</w:t>
            </w:r>
          </w:p>
        </w:tc>
        <w:tc>
          <w:tcPr>
            <w:tcW w:w="1610" w:type="dxa"/>
            <w:tcBorders>
              <w:top w:val="single" w:color="auto" w:sz="4" w:space="0"/>
              <w:left w:val="single" w:color="auto" w:sz="4" w:space="0"/>
              <w:bottom w:val="single" w:color="auto" w:sz="4" w:space="0"/>
              <w:right w:val="single" w:color="auto" w:sz="4" w:space="0"/>
            </w:tcBorders>
            <w:noWrap w:val="0"/>
            <w:vAlign w:val="center"/>
          </w:tcPr>
          <w:p w14:paraId="7C783122">
            <w:pPr>
              <w:pStyle w:val="33"/>
              <w:ind w:firstLine="0" w:firstLineChars="0"/>
              <w:jc w:val="both"/>
              <w:rPr>
                <w:rFonts w:hint="eastAsia" w:ascii="宋体" w:eastAsia="宋体"/>
                <w:b/>
                <w:color w:val="auto"/>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7D5FC8C6">
            <w:pPr>
              <w:pStyle w:val="33"/>
              <w:ind w:firstLine="0" w:firstLineChars="0"/>
              <w:jc w:val="center"/>
              <w:rPr>
                <w:rFonts w:hint="eastAsia" w:ascii="宋体" w:eastAsia="宋体"/>
                <w:b/>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2BDAD8BA">
            <w:pPr>
              <w:pStyle w:val="33"/>
              <w:ind w:firstLine="0" w:firstLineChars="0"/>
              <w:jc w:val="center"/>
              <w:rPr>
                <w:rFonts w:hint="eastAsia" w:ascii="宋体" w:eastAsia="宋体"/>
                <w:b/>
                <w:color w:val="auto"/>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3AC8A87A">
            <w:pPr>
              <w:pStyle w:val="33"/>
              <w:ind w:firstLine="0" w:firstLineChars="0"/>
              <w:jc w:val="center"/>
              <w:rPr>
                <w:rFonts w:hint="eastAsia" w:ascii="宋体" w:eastAsia="宋体"/>
                <w:b/>
                <w:color w:val="auto"/>
                <w:highlight w:val="none"/>
              </w:rPr>
            </w:pPr>
          </w:p>
        </w:tc>
      </w:tr>
      <w:tr w14:paraId="7B79935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865"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41B5FBC2">
            <w:pPr>
              <w:widowControl/>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1D367428">
            <w:pPr>
              <w:spacing w:line="320" w:lineRule="exact"/>
              <w:rPr>
                <w:rFonts w:hint="eastAsia" w:ascii="宋体"/>
                <w:color w:val="auto"/>
                <w:kern w:val="0"/>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1B611828">
            <w:pPr>
              <w:spacing w:line="320" w:lineRule="exact"/>
              <w:rPr>
                <w:rFonts w:hint="eastAsia" w:ascii="宋体"/>
                <w:color w:val="auto"/>
                <w:kern w:val="0"/>
                <w:sz w:val="24"/>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7E047DF5">
            <w:pPr>
              <w:pStyle w:val="33"/>
              <w:ind w:firstLine="0" w:firstLineChars="0"/>
              <w:jc w:val="center"/>
              <w:rPr>
                <w:rFonts w:hint="eastAsia" w:ascii="宋体" w:eastAsia="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5A6E4BCB">
            <w:pPr>
              <w:pStyle w:val="33"/>
              <w:ind w:firstLine="0" w:firstLineChars="0"/>
              <w:jc w:val="center"/>
              <w:rPr>
                <w:rFonts w:hint="eastAsia" w:ascii="宋体" w:eastAsia="宋体"/>
                <w:color w:val="auto"/>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1E373983">
            <w:pPr>
              <w:jc w:val="center"/>
              <w:rPr>
                <w:rFonts w:hint="eastAsia" w:ascii="宋体"/>
                <w:bCs/>
                <w:color w:val="auto"/>
                <w:sz w:val="24"/>
                <w:highlight w:val="none"/>
              </w:rPr>
            </w:pPr>
            <w:r>
              <w:rPr>
                <w:rFonts w:hint="eastAsia" w:ascii="宋体"/>
                <w:bCs/>
                <w:color w:val="auto"/>
                <w:sz w:val="24"/>
                <w:highlight w:val="none"/>
              </w:rPr>
              <w:t>详见</w:t>
            </w:r>
            <w:r>
              <w:rPr>
                <w:rFonts w:hint="eastAsia" w:ascii="宋体"/>
                <w:b/>
                <w:bCs/>
                <w:color w:val="auto"/>
                <w:sz w:val="24"/>
                <w:highlight w:val="none"/>
              </w:rPr>
              <w:t>商务技术响应文件</w:t>
            </w:r>
          </w:p>
          <w:p w14:paraId="4B481746">
            <w:pPr>
              <w:jc w:val="center"/>
              <w:rPr>
                <w:rFonts w:hint="eastAsia" w:ascii="宋体"/>
                <w:bCs/>
                <w:color w:val="auto"/>
                <w:sz w:val="24"/>
                <w:highlight w:val="none"/>
              </w:rPr>
            </w:pPr>
            <w:r>
              <w:rPr>
                <w:rFonts w:hint="eastAsia" w:ascii="宋体"/>
                <w:bCs/>
                <w:color w:val="auto"/>
                <w:sz w:val="24"/>
                <w:highlight w:val="none"/>
              </w:rPr>
              <w:t>第几页</w:t>
            </w:r>
          </w:p>
        </w:tc>
      </w:tr>
      <w:tr w14:paraId="75CF739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4B469681">
            <w:pPr>
              <w:widowControl/>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2AA9C556">
            <w:pPr>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25ED904E">
            <w:pPr>
              <w:rPr>
                <w:rFonts w:hint="eastAsia" w:ascii="宋体"/>
                <w:color w:val="auto"/>
                <w:sz w:val="24"/>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1106DDF0">
            <w:pPr>
              <w:pStyle w:val="33"/>
              <w:ind w:firstLine="0" w:firstLineChars="0"/>
              <w:jc w:val="center"/>
              <w:rPr>
                <w:rFonts w:hint="eastAsia" w:ascii="宋体" w:eastAsia="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5ABCA6A9">
            <w:pPr>
              <w:pStyle w:val="33"/>
              <w:ind w:firstLine="0" w:firstLineChars="0"/>
              <w:jc w:val="center"/>
              <w:rPr>
                <w:rFonts w:hint="eastAsia" w:ascii="宋体" w:eastAsia="宋体"/>
                <w:color w:val="auto"/>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027B0BDF">
            <w:pPr>
              <w:pStyle w:val="33"/>
              <w:ind w:firstLine="0" w:firstLineChars="0"/>
              <w:jc w:val="center"/>
              <w:rPr>
                <w:rFonts w:hint="eastAsia" w:ascii="宋体" w:eastAsia="宋体"/>
                <w:color w:val="auto"/>
                <w:highlight w:val="none"/>
              </w:rPr>
            </w:pPr>
            <w:r>
              <w:rPr>
                <w:rFonts w:hint="eastAsia" w:ascii="宋体" w:eastAsia="宋体"/>
                <w:color w:val="auto"/>
                <w:highlight w:val="none"/>
              </w:rPr>
              <w:t>……</w:t>
            </w:r>
          </w:p>
        </w:tc>
      </w:tr>
      <w:tr w14:paraId="4208C3C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65"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11C5AB75">
            <w:pPr>
              <w:widowControl/>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47155DE5">
            <w:pPr>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0A11E378">
            <w:pPr>
              <w:rPr>
                <w:rFonts w:hint="eastAsia" w:ascii="宋体"/>
                <w:color w:val="auto"/>
                <w:sz w:val="24"/>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7E2DE876">
            <w:pPr>
              <w:pStyle w:val="33"/>
              <w:ind w:firstLine="0" w:firstLineChars="0"/>
              <w:jc w:val="center"/>
              <w:rPr>
                <w:rFonts w:hint="eastAsia" w:ascii="宋体" w:eastAsia="宋体"/>
                <w:color w:val="auto"/>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23B9E705">
            <w:pPr>
              <w:pStyle w:val="33"/>
              <w:ind w:firstLine="0" w:firstLineChars="0"/>
              <w:jc w:val="center"/>
              <w:rPr>
                <w:rFonts w:hint="eastAsia" w:ascii="宋体" w:eastAsia="宋体"/>
                <w:color w:val="auto"/>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2B9A046D">
            <w:pPr>
              <w:pStyle w:val="33"/>
              <w:ind w:firstLine="0" w:firstLineChars="0"/>
              <w:jc w:val="center"/>
              <w:rPr>
                <w:rFonts w:hint="eastAsia" w:ascii="宋体" w:eastAsia="宋体"/>
                <w:color w:val="auto"/>
                <w:highlight w:val="none"/>
              </w:rPr>
            </w:pPr>
          </w:p>
        </w:tc>
      </w:tr>
      <w:tr w14:paraId="77791375">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94"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34323F46">
            <w:pPr>
              <w:widowControl/>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33B7A7D6">
            <w:pPr>
              <w:spacing w:line="320" w:lineRule="exact"/>
              <w:rPr>
                <w:rFonts w:hint="eastAsia" w:ascii="宋体"/>
                <w:bCs/>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15D54DF5">
            <w:pPr>
              <w:rPr>
                <w:rFonts w:hint="eastAsia" w:ascii="宋体"/>
                <w:bCs/>
                <w:color w:val="auto"/>
                <w:sz w:val="24"/>
                <w:highlight w:val="none"/>
              </w:rPr>
            </w:pPr>
          </w:p>
        </w:tc>
        <w:tc>
          <w:tcPr>
            <w:tcW w:w="1358" w:type="dxa"/>
            <w:tcBorders>
              <w:top w:val="single" w:color="auto" w:sz="4" w:space="0"/>
              <w:left w:val="single" w:color="auto" w:sz="4" w:space="0"/>
              <w:bottom w:val="single" w:color="auto" w:sz="4" w:space="0"/>
              <w:right w:val="single" w:color="auto" w:sz="4" w:space="0"/>
            </w:tcBorders>
            <w:noWrap w:val="0"/>
            <w:vAlign w:val="center"/>
          </w:tcPr>
          <w:p w14:paraId="57BBE00D">
            <w:pPr>
              <w:spacing w:line="320" w:lineRule="exact"/>
              <w:jc w:val="center"/>
              <w:rPr>
                <w:rFonts w:hint="eastAsia" w:ascii="宋体"/>
                <w:bCs/>
                <w:color w:val="auto"/>
                <w:sz w:val="24"/>
                <w:highlight w:val="none"/>
              </w:rPr>
            </w:pPr>
          </w:p>
        </w:tc>
        <w:tc>
          <w:tcPr>
            <w:tcW w:w="1084" w:type="dxa"/>
            <w:tcBorders>
              <w:top w:val="single" w:color="auto" w:sz="4" w:space="0"/>
              <w:left w:val="single" w:color="auto" w:sz="4" w:space="0"/>
              <w:bottom w:val="single" w:color="auto" w:sz="4" w:space="0"/>
              <w:right w:val="single" w:color="auto" w:sz="4" w:space="0"/>
            </w:tcBorders>
            <w:noWrap w:val="0"/>
            <w:vAlign w:val="center"/>
          </w:tcPr>
          <w:p w14:paraId="5A84B1D2">
            <w:pPr>
              <w:spacing w:line="320" w:lineRule="exact"/>
              <w:jc w:val="center"/>
              <w:rPr>
                <w:rFonts w:hint="eastAsia" w:ascii="宋体"/>
                <w:bCs/>
                <w:color w:val="auto"/>
                <w:sz w:val="24"/>
                <w:highlight w:val="none"/>
              </w:rPr>
            </w:pPr>
          </w:p>
        </w:tc>
        <w:tc>
          <w:tcPr>
            <w:tcW w:w="3034" w:type="dxa"/>
            <w:tcBorders>
              <w:top w:val="single" w:color="auto" w:sz="4" w:space="0"/>
              <w:left w:val="single" w:color="auto" w:sz="4" w:space="0"/>
              <w:bottom w:val="single" w:color="auto" w:sz="4" w:space="0"/>
              <w:right w:val="single" w:color="auto" w:sz="4" w:space="0"/>
            </w:tcBorders>
            <w:noWrap w:val="0"/>
            <w:vAlign w:val="center"/>
          </w:tcPr>
          <w:p w14:paraId="79B7A45B">
            <w:pPr>
              <w:jc w:val="center"/>
              <w:rPr>
                <w:rFonts w:hint="eastAsia" w:ascii="宋体"/>
                <w:bCs/>
                <w:color w:val="auto"/>
                <w:sz w:val="24"/>
                <w:highlight w:val="none"/>
              </w:rPr>
            </w:pPr>
            <w:r>
              <w:rPr>
                <w:rFonts w:hint="eastAsia" w:ascii="宋体"/>
                <w:bCs/>
                <w:color w:val="auto"/>
                <w:sz w:val="24"/>
                <w:highlight w:val="none"/>
              </w:rPr>
              <w:t>……</w:t>
            </w:r>
          </w:p>
        </w:tc>
      </w:tr>
      <w:tr w14:paraId="1662AC47">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03" w:hRule="atLeast"/>
          <w:jc w:val="center"/>
        </w:trPr>
        <w:tc>
          <w:tcPr>
            <w:tcW w:w="961" w:type="dxa"/>
            <w:tcBorders>
              <w:top w:val="single" w:color="auto" w:sz="4" w:space="0"/>
              <w:left w:val="single" w:color="auto" w:sz="4" w:space="0"/>
              <w:bottom w:val="single" w:color="auto" w:sz="4" w:space="0"/>
              <w:right w:val="single" w:color="auto" w:sz="4" w:space="0"/>
            </w:tcBorders>
            <w:noWrap w:val="0"/>
            <w:vAlign w:val="center"/>
          </w:tcPr>
          <w:p w14:paraId="0C8E9967">
            <w:pPr>
              <w:widowControl/>
              <w:rPr>
                <w:rFonts w:hint="eastAsia" w:ascii="宋体"/>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3924C8EB">
            <w:pPr>
              <w:spacing w:line="320" w:lineRule="exact"/>
              <w:rPr>
                <w:rFonts w:hint="eastAsia" w:ascii="宋体"/>
                <w:bCs/>
                <w:color w:val="auto"/>
                <w:sz w:val="24"/>
                <w:highlight w:val="none"/>
              </w:rPr>
            </w:pPr>
          </w:p>
        </w:tc>
        <w:tc>
          <w:tcPr>
            <w:tcW w:w="1610" w:type="dxa"/>
            <w:tcBorders>
              <w:top w:val="single" w:color="auto" w:sz="4" w:space="0"/>
              <w:left w:val="single" w:color="auto" w:sz="4" w:space="0"/>
              <w:bottom w:val="single" w:color="auto" w:sz="4" w:space="0"/>
              <w:right w:val="single" w:color="auto" w:sz="4" w:space="0"/>
            </w:tcBorders>
            <w:noWrap w:val="0"/>
            <w:vAlign w:val="center"/>
          </w:tcPr>
          <w:p w14:paraId="4F6FD39B">
            <w:pPr>
              <w:rPr>
                <w:rFonts w:hint="eastAsia" w:ascii="宋体"/>
                <w:bCs/>
                <w:color w:val="auto"/>
                <w:sz w:val="24"/>
                <w:highlight w:val="none"/>
              </w:rPr>
            </w:pPr>
          </w:p>
        </w:tc>
        <w:tc>
          <w:tcPr>
            <w:tcW w:w="1358" w:type="dxa"/>
            <w:tcBorders>
              <w:top w:val="single" w:color="auto" w:sz="4" w:space="0"/>
              <w:left w:val="single" w:color="auto" w:sz="4" w:space="0"/>
              <w:right w:val="single" w:color="auto" w:sz="4" w:space="0"/>
            </w:tcBorders>
            <w:noWrap w:val="0"/>
            <w:vAlign w:val="center"/>
          </w:tcPr>
          <w:p w14:paraId="65BC6831">
            <w:pPr>
              <w:spacing w:line="320" w:lineRule="exact"/>
              <w:jc w:val="center"/>
              <w:rPr>
                <w:rFonts w:hint="eastAsia" w:ascii="宋体"/>
                <w:bCs/>
                <w:color w:val="auto"/>
                <w:sz w:val="24"/>
                <w:highlight w:val="none"/>
              </w:rPr>
            </w:pPr>
          </w:p>
        </w:tc>
        <w:tc>
          <w:tcPr>
            <w:tcW w:w="1084" w:type="dxa"/>
            <w:tcBorders>
              <w:top w:val="single" w:color="auto" w:sz="4" w:space="0"/>
              <w:left w:val="single" w:color="auto" w:sz="4" w:space="0"/>
              <w:right w:val="single" w:color="auto" w:sz="4" w:space="0"/>
            </w:tcBorders>
            <w:noWrap w:val="0"/>
            <w:vAlign w:val="center"/>
          </w:tcPr>
          <w:p w14:paraId="27BA31D5">
            <w:pPr>
              <w:spacing w:line="320" w:lineRule="exact"/>
              <w:jc w:val="center"/>
              <w:rPr>
                <w:rFonts w:hint="eastAsia" w:ascii="宋体"/>
                <w:bCs/>
                <w:color w:val="auto"/>
                <w:sz w:val="24"/>
                <w:highlight w:val="none"/>
              </w:rPr>
            </w:pPr>
          </w:p>
        </w:tc>
        <w:tc>
          <w:tcPr>
            <w:tcW w:w="3034" w:type="dxa"/>
            <w:tcBorders>
              <w:top w:val="single" w:color="auto" w:sz="4" w:space="0"/>
              <w:left w:val="single" w:color="auto" w:sz="4" w:space="0"/>
              <w:right w:val="single" w:color="auto" w:sz="4" w:space="0"/>
            </w:tcBorders>
            <w:noWrap w:val="0"/>
            <w:vAlign w:val="center"/>
          </w:tcPr>
          <w:p w14:paraId="3ED5E555">
            <w:pPr>
              <w:jc w:val="center"/>
              <w:rPr>
                <w:rFonts w:hint="eastAsia" w:ascii="宋体"/>
                <w:bCs/>
                <w:color w:val="auto"/>
                <w:sz w:val="24"/>
                <w:highlight w:val="none"/>
              </w:rPr>
            </w:pPr>
          </w:p>
        </w:tc>
      </w:tr>
    </w:tbl>
    <w:p w14:paraId="7A8F4A68">
      <w:pPr>
        <w:snapToGrid w:val="0"/>
        <w:spacing w:before="50" w:after="50"/>
        <w:rPr>
          <w:rFonts w:hint="eastAsia" w:ascii="宋体"/>
          <w:color w:val="auto"/>
          <w:sz w:val="24"/>
          <w:highlight w:val="none"/>
        </w:rPr>
      </w:pPr>
    </w:p>
    <w:p w14:paraId="30B0B3A8">
      <w:pPr>
        <w:snapToGrid w:val="0"/>
        <w:rPr>
          <w:rFonts w:hint="eastAsia" w:ascii="宋体" w:hAnsi="Times New Roman" w:eastAsia="宋体" w:cs="Times New Roman"/>
          <w:color w:val="auto"/>
          <w:sz w:val="24"/>
          <w:highlight w:val="none"/>
        </w:rPr>
      </w:pPr>
      <w:r>
        <w:rPr>
          <w:rFonts w:hint="eastAsia" w:ascii="宋体" w:hAnsi="Times New Roman" w:eastAsia="宋体" w:cs="Times New Roman"/>
          <w:color w:val="auto"/>
          <w:sz w:val="24"/>
          <w:highlight w:val="none"/>
        </w:rPr>
        <w:t>注：1、投标单位根据所投标项的评分表内容，按此格式提供评分响应表置于商务技术响应文件第1页。</w:t>
      </w:r>
    </w:p>
    <w:p w14:paraId="64E72FAE">
      <w:pPr>
        <w:snapToGrid w:val="0"/>
        <w:rPr>
          <w:rFonts w:hint="eastAsia" w:ascii="宋体" w:hAnsi="Times New Roman" w:eastAsia="宋体" w:cs="Times New Roman"/>
          <w:color w:val="auto"/>
          <w:sz w:val="24"/>
          <w:highlight w:val="none"/>
          <w:lang w:eastAsia="zh-CN"/>
        </w:rPr>
      </w:pPr>
      <w:r>
        <w:rPr>
          <w:rFonts w:hint="eastAsia" w:ascii="宋体" w:cs="Times New Roman"/>
          <w:color w:val="auto"/>
          <w:sz w:val="24"/>
          <w:highlight w:val="none"/>
          <w:lang w:val="en-US" w:eastAsia="zh-CN"/>
        </w:rPr>
        <w:t>2</w:t>
      </w:r>
      <w:r>
        <w:rPr>
          <w:rFonts w:hint="eastAsia" w:ascii="宋体" w:hAnsi="Times New Roman" w:eastAsia="宋体" w:cs="Times New Roman"/>
          <w:color w:val="auto"/>
          <w:sz w:val="24"/>
          <w:highlight w:val="none"/>
        </w:rPr>
        <w:t>、上表中客观分得分分值须认真填写</w:t>
      </w:r>
      <w:r>
        <w:rPr>
          <w:rFonts w:hint="eastAsia" w:ascii="宋体" w:cs="Times New Roman"/>
          <w:color w:val="auto"/>
          <w:sz w:val="24"/>
          <w:highlight w:val="none"/>
          <w:lang w:eastAsia="zh-CN"/>
        </w:rPr>
        <w:t>。</w:t>
      </w:r>
    </w:p>
    <w:p w14:paraId="00FE871D">
      <w:pPr>
        <w:pStyle w:val="4"/>
        <w:keepNext w:val="0"/>
        <w:keepLines w:val="0"/>
        <w:pageBreakBefore/>
        <w:rPr>
          <w:rFonts w:hint="eastAsia" w:ascii="宋体" w:hAnsi="宋体" w:eastAsia="宋体" w:cs="宋体"/>
          <w:b w:val="0"/>
          <w:color w:val="auto"/>
          <w:sz w:val="24"/>
          <w:szCs w:val="24"/>
          <w:highlight w:val="none"/>
        </w:rPr>
      </w:pPr>
      <w:bookmarkStart w:id="71" w:name="_Toc10712"/>
      <w:bookmarkStart w:id="72" w:name="_Toc17172"/>
      <w:r>
        <w:rPr>
          <w:rFonts w:hint="eastAsia" w:ascii="宋体" w:hAnsi="宋体" w:eastAsia="宋体" w:cs="宋体"/>
          <w:b w:val="0"/>
          <w:color w:val="auto"/>
          <w:sz w:val="24"/>
          <w:szCs w:val="24"/>
          <w:highlight w:val="none"/>
        </w:rPr>
        <w:t>附件</w:t>
      </w:r>
      <w:r>
        <w:rPr>
          <w:rFonts w:hint="eastAsia" w:ascii="宋体" w:hAnsi="宋体" w:eastAsia="宋体" w:cs="宋体"/>
          <w:b w:val="0"/>
          <w:color w:val="auto"/>
          <w:sz w:val="24"/>
          <w:szCs w:val="24"/>
          <w:highlight w:val="none"/>
          <w:lang w:val="en-US" w:eastAsia="zh-CN"/>
        </w:rPr>
        <w:t>十一</w:t>
      </w:r>
      <w:r>
        <w:rPr>
          <w:rFonts w:hint="eastAsia" w:ascii="宋体" w:hAnsi="宋体" w:eastAsia="宋体" w:cs="宋体"/>
          <w:b w:val="0"/>
          <w:color w:val="auto"/>
          <w:sz w:val="24"/>
          <w:szCs w:val="24"/>
          <w:highlight w:val="none"/>
        </w:rPr>
        <w:t>：资信商务、技术文件响应表</w:t>
      </w:r>
      <w:bookmarkEnd w:id="71"/>
      <w:bookmarkEnd w:id="72"/>
    </w:p>
    <w:p w14:paraId="37E4FCD2">
      <w:pPr>
        <w:snapToGrid w:val="0"/>
        <w:spacing w:before="50" w:after="50"/>
        <w:jc w:val="center"/>
        <w:rPr>
          <w:rFonts w:hint="eastAsia" w:ascii="宋体" w:hAnsi="Times New Roman" w:eastAsia="宋体" w:cs="Times New Roman"/>
          <w:b/>
          <w:color w:val="auto"/>
          <w:sz w:val="36"/>
          <w:szCs w:val="36"/>
          <w:highlight w:val="none"/>
        </w:rPr>
      </w:pPr>
      <w:r>
        <w:rPr>
          <w:rFonts w:hint="eastAsia" w:ascii="宋体" w:hAnsi="Times New Roman" w:eastAsia="宋体" w:cs="Times New Roman"/>
          <w:b/>
          <w:color w:val="auto"/>
          <w:sz w:val="36"/>
          <w:szCs w:val="36"/>
          <w:highlight w:val="none"/>
        </w:rPr>
        <w:t>▲资信商务、技术文件响应表</w:t>
      </w: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8"/>
        <w:gridCol w:w="1855"/>
        <w:gridCol w:w="1957"/>
        <w:gridCol w:w="1620"/>
        <w:gridCol w:w="1511"/>
        <w:gridCol w:w="1511"/>
      </w:tblGrid>
      <w:tr w14:paraId="4D916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76" w:hRule="atLeast"/>
          <w:jc w:val="center"/>
        </w:trPr>
        <w:tc>
          <w:tcPr>
            <w:tcW w:w="878" w:type="dxa"/>
            <w:tcBorders>
              <w:bottom w:val="single" w:color="auto" w:sz="4" w:space="0"/>
            </w:tcBorders>
            <w:noWrap w:val="0"/>
            <w:vAlign w:val="center"/>
          </w:tcPr>
          <w:p w14:paraId="7B8BF014">
            <w:pPr>
              <w:jc w:val="center"/>
              <w:rPr>
                <w:rFonts w:hint="eastAsia" w:ascii="宋体" w:hAnsi="宋体" w:cs="宋体"/>
                <w:color w:val="auto"/>
                <w:sz w:val="24"/>
                <w:highlight w:val="none"/>
              </w:rPr>
            </w:pPr>
            <w:r>
              <w:rPr>
                <w:rFonts w:hint="eastAsia" w:ascii="宋体" w:hAnsi="宋体" w:cs="宋体"/>
                <w:color w:val="auto"/>
                <w:sz w:val="24"/>
                <w:highlight w:val="none"/>
              </w:rPr>
              <w:t>序号</w:t>
            </w:r>
          </w:p>
        </w:tc>
        <w:tc>
          <w:tcPr>
            <w:tcW w:w="1855" w:type="dxa"/>
            <w:tcBorders>
              <w:bottom w:val="single" w:color="auto" w:sz="4" w:space="0"/>
            </w:tcBorders>
            <w:noWrap w:val="0"/>
            <w:vAlign w:val="center"/>
          </w:tcPr>
          <w:p w14:paraId="3AF1DEC0">
            <w:pPr>
              <w:jc w:val="center"/>
              <w:rPr>
                <w:rFonts w:hint="eastAsia" w:ascii="宋体" w:hAnsi="宋体" w:cs="宋体"/>
                <w:color w:val="auto"/>
                <w:sz w:val="24"/>
                <w:highlight w:val="none"/>
              </w:rPr>
            </w:pPr>
            <w:r>
              <w:rPr>
                <w:rFonts w:hint="eastAsia" w:ascii="宋体" w:hAnsi="宋体" w:cs="宋体"/>
                <w:color w:val="auto"/>
                <w:sz w:val="24"/>
                <w:highlight w:val="none"/>
              </w:rPr>
              <w:t>内容</w:t>
            </w:r>
          </w:p>
        </w:tc>
        <w:tc>
          <w:tcPr>
            <w:tcW w:w="1957" w:type="dxa"/>
            <w:tcBorders>
              <w:bottom w:val="single" w:color="auto" w:sz="4" w:space="0"/>
            </w:tcBorders>
            <w:noWrap w:val="0"/>
            <w:vAlign w:val="center"/>
          </w:tcPr>
          <w:p w14:paraId="3A6E991E">
            <w:pPr>
              <w:jc w:val="center"/>
              <w:rPr>
                <w:rFonts w:hint="eastAsia" w:ascii="宋体" w:hAnsi="宋体" w:cs="宋体"/>
                <w:color w:val="auto"/>
                <w:sz w:val="24"/>
                <w:highlight w:val="none"/>
              </w:rPr>
            </w:pPr>
            <w:r>
              <w:rPr>
                <w:rFonts w:hint="eastAsia" w:ascii="宋体" w:hAnsi="宋体" w:cs="宋体"/>
                <w:color w:val="auto"/>
                <w:sz w:val="24"/>
                <w:highlight w:val="none"/>
              </w:rPr>
              <w:t>招标文件</w:t>
            </w:r>
          </w:p>
          <w:p w14:paraId="09C18F7E">
            <w:pPr>
              <w:jc w:val="center"/>
              <w:rPr>
                <w:rFonts w:hint="eastAsia" w:ascii="宋体" w:hAnsi="宋体" w:cs="宋体"/>
                <w:color w:val="auto"/>
                <w:sz w:val="24"/>
                <w:highlight w:val="none"/>
              </w:rPr>
            </w:pPr>
            <w:r>
              <w:rPr>
                <w:rFonts w:hint="eastAsia" w:ascii="宋体" w:hAnsi="宋体" w:cs="宋体"/>
                <w:color w:val="auto"/>
                <w:sz w:val="24"/>
                <w:highlight w:val="none"/>
              </w:rPr>
              <w:t>规范要求</w:t>
            </w:r>
          </w:p>
        </w:tc>
        <w:tc>
          <w:tcPr>
            <w:tcW w:w="1620" w:type="dxa"/>
            <w:tcBorders>
              <w:bottom w:val="single" w:color="auto" w:sz="4" w:space="0"/>
            </w:tcBorders>
            <w:noWrap w:val="0"/>
            <w:vAlign w:val="center"/>
          </w:tcPr>
          <w:p w14:paraId="22C76779">
            <w:pPr>
              <w:jc w:val="center"/>
              <w:rPr>
                <w:rFonts w:hint="eastAsia" w:ascii="宋体" w:hAnsi="宋体" w:cs="宋体"/>
                <w:color w:val="auto"/>
                <w:sz w:val="24"/>
                <w:highlight w:val="none"/>
              </w:rPr>
            </w:pPr>
            <w:r>
              <w:rPr>
                <w:rFonts w:hint="eastAsia" w:ascii="宋体" w:hAnsi="宋体" w:cs="宋体"/>
                <w:color w:val="auto"/>
                <w:sz w:val="24"/>
                <w:highlight w:val="none"/>
              </w:rPr>
              <w:t>投标文件</w:t>
            </w:r>
          </w:p>
          <w:p w14:paraId="0F257FE4">
            <w:pPr>
              <w:jc w:val="center"/>
              <w:rPr>
                <w:rFonts w:hint="eastAsia" w:ascii="宋体" w:hAnsi="宋体" w:cs="宋体"/>
                <w:color w:val="auto"/>
                <w:sz w:val="24"/>
                <w:highlight w:val="none"/>
              </w:rPr>
            </w:pPr>
            <w:r>
              <w:rPr>
                <w:rFonts w:hint="eastAsia" w:ascii="宋体" w:hAnsi="宋体" w:cs="宋体"/>
                <w:color w:val="auto"/>
                <w:sz w:val="24"/>
                <w:highlight w:val="none"/>
              </w:rPr>
              <w:t>响应情况</w:t>
            </w:r>
          </w:p>
        </w:tc>
        <w:tc>
          <w:tcPr>
            <w:tcW w:w="1511" w:type="dxa"/>
            <w:tcBorders>
              <w:bottom w:val="single" w:color="auto" w:sz="4" w:space="0"/>
            </w:tcBorders>
            <w:noWrap w:val="0"/>
            <w:vAlign w:val="center"/>
          </w:tcPr>
          <w:p w14:paraId="5A0B48DC">
            <w:pPr>
              <w:jc w:val="center"/>
              <w:rPr>
                <w:rFonts w:hint="eastAsia" w:ascii="宋体" w:hAnsi="宋体" w:cs="宋体"/>
                <w:color w:val="auto"/>
                <w:sz w:val="24"/>
                <w:highlight w:val="none"/>
              </w:rPr>
            </w:pPr>
            <w:r>
              <w:rPr>
                <w:rFonts w:hint="eastAsia" w:ascii="宋体" w:hAnsi="宋体" w:cs="宋体"/>
                <w:color w:val="auto"/>
                <w:sz w:val="24"/>
                <w:highlight w:val="none"/>
              </w:rPr>
              <w:t>偏离情况</w:t>
            </w:r>
          </w:p>
          <w:p w14:paraId="0C1572AE">
            <w:pPr>
              <w:jc w:val="center"/>
              <w:rPr>
                <w:rFonts w:hint="eastAsia" w:ascii="宋体" w:hAnsi="宋体" w:cs="宋体"/>
                <w:color w:val="auto"/>
                <w:sz w:val="24"/>
                <w:highlight w:val="none"/>
              </w:rPr>
            </w:pPr>
            <w:r>
              <w:rPr>
                <w:rFonts w:hint="eastAsia" w:ascii="宋体" w:hAnsi="宋体" w:cs="宋体"/>
                <w:color w:val="auto"/>
                <w:sz w:val="24"/>
                <w:highlight w:val="none"/>
              </w:rPr>
              <w:t>（注明正偏离、负偏离或无偏离）</w:t>
            </w:r>
          </w:p>
        </w:tc>
        <w:tc>
          <w:tcPr>
            <w:tcW w:w="1511" w:type="dxa"/>
            <w:tcBorders>
              <w:bottom w:val="single" w:color="auto" w:sz="4" w:space="0"/>
            </w:tcBorders>
            <w:noWrap w:val="0"/>
            <w:vAlign w:val="top"/>
          </w:tcPr>
          <w:p w14:paraId="12A34603">
            <w:pPr>
              <w:jc w:val="center"/>
              <w:rPr>
                <w:rFonts w:hint="eastAsia" w:ascii="宋体" w:hAnsi="宋体" w:cs="宋体"/>
                <w:color w:val="auto"/>
                <w:sz w:val="24"/>
                <w:highlight w:val="none"/>
              </w:rPr>
            </w:pPr>
            <w:r>
              <w:rPr>
                <w:rFonts w:hint="eastAsia" w:ascii="宋体" w:hAnsi="宋体" w:cs="宋体"/>
                <w:color w:val="auto"/>
                <w:sz w:val="24"/>
                <w:highlight w:val="none"/>
              </w:rPr>
              <w:t>佐证材料页码</w:t>
            </w:r>
          </w:p>
        </w:tc>
      </w:tr>
      <w:tr w14:paraId="3B89E2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2" w:hRule="atLeast"/>
          <w:jc w:val="center"/>
        </w:trPr>
        <w:tc>
          <w:tcPr>
            <w:tcW w:w="878" w:type="dxa"/>
            <w:noWrap w:val="0"/>
            <w:vAlign w:val="top"/>
          </w:tcPr>
          <w:p w14:paraId="30363F1D">
            <w:pPr>
              <w:jc w:val="center"/>
              <w:rPr>
                <w:rFonts w:hint="eastAsia" w:ascii="宋体" w:hAnsi="宋体" w:cs="宋体"/>
                <w:color w:val="auto"/>
                <w:sz w:val="24"/>
                <w:highlight w:val="none"/>
              </w:rPr>
            </w:pPr>
          </w:p>
        </w:tc>
        <w:tc>
          <w:tcPr>
            <w:tcW w:w="1855" w:type="dxa"/>
            <w:noWrap w:val="0"/>
            <w:vAlign w:val="top"/>
          </w:tcPr>
          <w:p w14:paraId="58FF3562">
            <w:pPr>
              <w:rPr>
                <w:rFonts w:hint="eastAsia" w:ascii="宋体" w:hAnsi="宋体" w:cs="宋体"/>
                <w:color w:val="auto"/>
                <w:sz w:val="24"/>
                <w:highlight w:val="none"/>
              </w:rPr>
            </w:pPr>
          </w:p>
        </w:tc>
        <w:tc>
          <w:tcPr>
            <w:tcW w:w="1957" w:type="dxa"/>
            <w:noWrap w:val="0"/>
            <w:vAlign w:val="top"/>
          </w:tcPr>
          <w:p w14:paraId="015BCF53">
            <w:pPr>
              <w:rPr>
                <w:rFonts w:hint="eastAsia" w:ascii="宋体" w:hAnsi="宋体" w:cs="宋体"/>
                <w:color w:val="auto"/>
                <w:sz w:val="24"/>
                <w:highlight w:val="none"/>
              </w:rPr>
            </w:pPr>
          </w:p>
        </w:tc>
        <w:tc>
          <w:tcPr>
            <w:tcW w:w="1620" w:type="dxa"/>
            <w:noWrap w:val="0"/>
            <w:vAlign w:val="top"/>
          </w:tcPr>
          <w:p w14:paraId="53F04651">
            <w:pPr>
              <w:rPr>
                <w:rFonts w:hint="eastAsia" w:ascii="宋体" w:hAnsi="宋体" w:cs="宋体"/>
                <w:color w:val="auto"/>
                <w:sz w:val="24"/>
                <w:highlight w:val="none"/>
              </w:rPr>
            </w:pPr>
          </w:p>
        </w:tc>
        <w:tc>
          <w:tcPr>
            <w:tcW w:w="1511" w:type="dxa"/>
            <w:noWrap w:val="0"/>
            <w:vAlign w:val="top"/>
          </w:tcPr>
          <w:p w14:paraId="4180F34B">
            <w:pPr>
              <w:rPr>
                <w:rFonts w:hint="eastAsia" w:ascii="宋体" w:hAnsi="宋体" w:cs="宋体"/>
                <w:color w:val="auto"/>
                <w:sz w:val="24"/>
                <w:highlight w:val="none"/>
              </w:rPr>
            </w:pPr>
          </w:p>
        </w:tc>
        <w:tc>
          <w:tcPr>
            <w:tcW w:w="1511" w:type="dxa"/>
            <w:noWrap w:val="0"/>
            <w:vAlign w:val="top"/>
          </w:tcPr>
          <w:p w14:paraId="5A1F1BBA">
            <w:pPr>
              <w:rPr>
                <w:rFonts w:hint="eastAsia" w:ascii="宋体" w:hAnsi="宋体" w:cs="宋体"/>
                <w:color w:val="auto"/>
                <w:sz w:val="24"/>
                <w:highlight w:val="none"/>
              </w:rPr>
            </w:pPr>
          </w:p>
        </w:tc>
      </w:tr>
      <w:tr w14:paraId="2B94CD1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30" w:hRule="atLeast"/>
          <w:jc w:val="center"/>
        </w:trPr>
        <w:tc>
          <w:tcPr>
            <w:tcW w:w="878" w:type="dxa"/>
            <w:noWrap w:val="0"/>
            <w:vAlign w:val="top"/>
          </w:tcPr>
          <w:p w14:paraId="4CAF736E">
            <w:pPr>
              <w:rPr>
                <w:rFonts w:hint="eastAsia" w:ascii="宋体" w:hAnsi="宋体" w:cs="宋体"/>
                <w:color w:val="auto"/>
                <w:sz w:val="24"/>
                <w:highlight w:val="none"/>
              </w:rPr>
            </w:pPr>
          </w:p>
        </w:tc>
        <w:tc>
          <w:tcPr>
            <w:tcW w:w="1855" w:type="dxa"/>
            <w:noWrap w:val="0"/>
            <w:vAlign w:val="top"/>
          </w:tcPr>
          <w:p w14:paraId="328B1350">
            <w:pPr>
              <w:rPr>
                <w:rFonts w:hint="eastAsia" w:ascii="宋体" w:hAnsi="宋体" w:cs="宋体"/>
                <w:color w:val="auto"/>
                <w:sz w:val="24"/>
                <w:highlight w:val="none"/>
              </w:rPr>
            </w:pPr>
          </w:p>
        </w:tc>
        <w:tc>
          <w:tcPr>
            <w:tcW w:w="1957" w:type="dxa"/>
            <w:noWrap w:val="0"/>
            <w:vAlign w:val="top"/>
          </w:tcPr>
          <w:p w14:paraId="1B308BF1">
            <w:pPr>
              <w:rPr>
                <w:rFonts w:hint="eastAsia" w:ascii="宋体" w:hAnsi="宋体" w:cs="宋体"/>
                <w:color w:val="auto"/>
                <w:sz w:val="24"/>
                <w:highlight w:val="none"/>
              </w:rPr>
            </w:pPr>
          </w:p>
        </w:tc>
        <w:tc>
          <w:tcPr>
            <w:tcW w:w="1620" w:type="dxa"/>
            <w:noWrap w:val="0"/>
            <w:vAlign w:val="top"/>
          </w:tcPr>
          <w:p w14:paraId="65DB6A02">
            <w:pPr>
              <w:rPr>
                <w:rFonts w:hint="eastAsia" w:ascii="宋体" w:hAnsi="宋体" w:cs="宋体"/>
                <w:color w:val="auto"/>
                <w:sz w:val="24"/>
                <w:highlight w:val="none"/>
              </w:rPr>
            </w:pPr>
          </w:p>
        </w:tc>
        <w:tc>
          <w:tcPr>
            <w:tcW w:w="1511" w:type="dxa"/>
            <w:noWrap w:val="0"/>
            <w:vAlign w:val="top"/>
          </w:tcPr>
          <w:p w14:paraId="5D5F9BD7">
            <w:pPr>
              <w:rPr>
                <w:rFonts w:hint="eastAsia" w:ascii="宋体" w:hAnsi="宋体" w:cs="宋体"/>
                <w:color w:val="auto"/>
                <w:sz w:val="24"/>
                <w:highlight w:val="none"/>
              </w:rPr>
            </w:pPr>
          </w:p>
        </w:tc>
        <w:tc>
          <w:tcPr>
            <w:tcW w:w="1511" w:type="dxa"/>
            <w:noWrap w:val="0"/>
            <w:vAlign w:val="top"/>
          </w:tcPr>
          <w:p w14:paraId="176E9BCA">
            <w:pPr>
              <w:rPr>
                <w:rFonts w:hint="eastAsia" w:ascii="宋体" w:hAnsi="宋体" w:cs="宋体"/>
                <w:color w:val="auto"/>
                <w:sz w:val="24"/>
                <w:highlight w:val="none"/>
              </w:rPr>
            </w:pPr>
          </w:p>
        </w:tc>
      </w:tr>
      <w:tr w14:paraId="54635BC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596" w:hRule="atLeast"/>
          <w:jc w:val="center"/>
        </w:trPr>
        <w:tc>
          <w:tcPr>
            <w:tcW w:w="878" w:type="dxa"/>
            <w:noWrap w:val="0"/>
            <w:vAlign w:val="top"/>
          </w:tcPr>
          <w:p w14:paraId="49A45B92">
            <w:pPr>
              <w:rPr>
                <w:rFonts w:hint="eastAsia" w:ascii="宋体" w:hAnsi="宋体" w:cs="宋体"/>
                <w:color w:val="auto"/>
                <w:sz w:val="24"/>
                <w:highlight w:val="none"/>
              </w:rPr>
            </w:pPr>
          </w:p>
        </w:tc>
        <w:tc>
          <w:tcPr>
            <w:tcW w:w="1855" w:type="dxa"/>
            <w:noWrap w:val="0"/>
            <w:vAlign w:val="top"/>
          </w:tcPr>
          <w:p w14:paraId="40630281">
            <w:pPr>
              <w:rPr>
                <w:rFonts w:hint="eastAsia" w:ascii="宋体" w:hAnsi="宋体" w:cs="宋体"/>
                <w:color w:val="auto"/>
                <w:sz w:val="24"/>
                <w:highlight w:val="none"/>
              </w:rPr>
            </w:pPr>
          </w:p>
        </w:tc>
        <w:tc>
          <w:tcPr>
            <w:tcW w:w="1957" w:type="dxa"/>
            <w:noWrap w:val="0"/>
            <w:vAlign w:val="top"/>
          </w:tcPr>
          <w:p w14:paraId="025D36F9">
            <w:pPr>
              <w:rPr>
                <w:rFonts w:hint="eastAsia" w:ascii="宋体" w:hAnsi="宋体" w:cs="宋体"/>
                <w:color w:val="auto"/>
                <w:sz w:val="24"/>
                <w:highlight w:val="none"/>
              </w:rPr>
            </w:pPr>
          </w:p>
        </w:tc>
        <w:tc>
          <w:tcPr>
            <w:tcW w:w="1620" w:type="dxa"/>
            <w:noWrap w:val="0"/>
            <w:vAlign w:val="top"/>
          </w:tcPr>
          <w:p w14:paraId="0A6AF11D">
            <w:pPr>
              <w:rPr>
                <w:rFonts w:hint="eastAsia" w:ascii="宋体" w:hAnsi="宋体" w:cs="宋体"/>
                <w:color w:val="auto"/>
                <w:sz w:val="24"/>
                <w:highlight w:val="none"/>
              </w:rPr>
            </w:pPr>
          </w:p>
        </w:tc>
        <w:tc>
          <w:tcPr>
            <w:tcW w:w="1511" w:type="dxa"/>
            <w:noWrap w:val="0"/>
            <w:vAlign w:val="top"/>
          </w:tcPr>
          <w:p w14:paraId="0D22F714">
            <w:pPr>
              <w:rPr>
                <w:rFonts w:hint="eastAsia" w:ascii="宋体" w:hAnsi="宋体" w:cs="宋体"/>
                <w:color w:val="auto"/>
                <w:sz w:val="24"/>
                <w:highlight w:val="none"/>
              </w:rPr>
            </w:pPr>
          </w:p>
        </w:tc>
        <w:tc>
          <w:tcPr>
            <w:tcW w:w="1511" w:type="dxa"/>
            <w:noWrap w:val="0"/>
            <w:vAlign w:val="top"/>
          </w:tcPr>
          <w:p w14:paraId="4507A3FB">
            <w:pPr>
              <w:rPr>
                <w:rFonts w:hint="eastAsia" w:ascii="宋体" w:hAnsi="宋体" w:cs="宋体"/>
                <w:color w:val="auto"/>
                <w:sz w:val="24"/>
                <w:highlight w:val="none"/>
              </w:rPr>
            </w:pPr>
          </w:p>
        </w:tc>
      </w:tr>
      <w:tr w14:paraId="3F5616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6" w:hRule="atLeast"/>
          <w:jc w:val="center"/>
        </w:trPr>
        <w:tc>
          <w:tcPr>
            <w:tcW w:w="878" w:type="dxa"/>
            <w:noWrap w:val="0"/>
            <w:vAlign w:val="top"/>
          </w:tcPr>
          <w:p w14:paraId="32F4A6D7">
            <w:pPr>
              <w:rPr>
                <w:rFonts w:hint="eastAsia" w:ascii="宋体" w:hAnsi="宋体" w:cs="宋体"/>
                <w:color w:val="auto"/>
                <w:sz w:val="24"/>
                <w:highlight w:val="none"/>
              </w:rPr>
            </w:pPr>
          </w:p>
        </w:tc>
        <w:tc>
          <w:tcPr>
            <w:tcW w:w="1855" w:type="dxa"/>
            <w:noWrap w:val="0"/>
            <w:vAlign w:val="top"/>
          </w:tcPr>
          <w:p w14:paraId="5264AE2D">
            <w:pPr>
              <w:rPr>
                <w:rFonts w:hint="eastAsia" w:ascii="宋体" w:hAnsi="宋体" w:cs="宋体"/>
                <w:color w:val="auto"/>
                <w:sz w:val="24"/>
                <w:highlight w:val="none"/>
              </w:rPr>
            </w:pPr>
          </w:p>
        </w:tc>
        <w:tc>
          <w:tcPr>
            <w:tcW w:w="1957" w:type="dxa"/>
            <w:noWrap w:val="0"/>
            <w:vAlign w:val="top"/>
          </w:tcPr>
          <w:p w14:paraId="6402A984">
            <w:pPr>
              <w:rPr>
                <w:rFonts w:hint="eastAsia" w:ascii="宋体" w:hAnsi="宋体" w:cs="宋体"/>
                <w:color w:val="auto"/>
                <w:sz w:val="24"/>
                <w:highlight w:val="none"/>
              </w:rPr>
            </w:pPr>
          </w:p>
        </w:tc>
        <w:tc>
          <w:tcPr>
            <w:tcW w:w="1620" w:type="dxa"/>
            <w:noWrap w:val="0"/>
            <w:vAlign w:val="top"/>
          </w:tcPr>
          <w:p w14:paraId="2CA8B6F5">
            <w:pPr>
              <w:rPr>
                <w:rFonts w:hint="eastAsia" w:ascii="宋体" w:hAnsi="宋体" w:cs="宋体"/>
                <w:color w:val="auto"/>
                <w:sz w:val="24"/>
                <w:highlight w:val="none"/>
              </w:rPr>
            </w:pPr>
          </w:p>
        </w:tc>
        <w:tc>
          <w:tcPr>
            <w:tcW w:w="1511" w:type="dxa"/>
            <w:noWrap w:val="0"/>
            <w:vAlign w:val="top"/>
          </w:tcPr>
          <w:p w14:paraId="2DED1FCD">
            <w:pPr>
              <w:rPr>
                <w:rFonts w:hint="eastAsia" w:ascii="宋体" w:hAnsi="宋体" w:cs="宋体"/>
                <w:color w:val="auto"/>
                <w:sz w:val="24"/>
                <w:highlight w:val="none"/>
              </w:rPr>
            </w:pPr>
          </w:p>
        </w:tc>
        <w:tc>
          <w:tcPr>
            <w:tcW w:w="1511" w:type="dxa"/>
            <w:noWrap w:val="0"/>
            <w:vAlign w:val="top"/>
          </w:tcPr>
          <w:p w14:paraId="1EF61AD1">
            <w:pPr>
              <w:rPr>
                <w:rFonts w:hint="eastAsia" w:ascii="宋体" w:hAnsi="宋体" w:cs="宋体"/>
                <w:color w:val="auto"/>
                <w:sz w:val="24"/>
                <w:highlight w:val="none"/>
              </w:rPr>
            </w:pPr>
          </w:p>
        </w:tc>
      </w:tr>
      <w:tr w14:paraId="7DBDE5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0" w:hRule="atLeast"/>
          <w:jc w:val="center"/>
        </w:trPr>
        <w:tc>
          <w:tcPr>
            <w:tcW w:w="878" w:type="dxa"/>
            <w:noWrap w:val="0"/>
            <w:vAlign w:val="top"/>
          </w:tcPr>
          <w:p w14:paraId="50AC537F">
            <w:pPr>
              <w:rPr>
                <w:rFonts w:hint="eastAsia" w:ascii="宋体" w:hAnsi="宋体" w:cs="宋体"/>
                <w:color w:val="auto"/>
                <w:sz w:val="24"/>
                <w:highlight w:val="none"/>
              </w:rPr>
            </w:pPr>
          </w:p>
        </w:tc>
        <w:tc>
          <w:tcPr>
            <w:tcW w:w="1855" w:type="dxa"/>
            <w:noWrap w:val="0"/>
            <w:vAlign w:val="top"/>
          </w:tcPr>
          <w:p w14:paraId="12C3C661">
            <w:pPr>
              <w:rPr>
                <w:rFonts w:hint="eastAsia" w:ascii="宋体" w:hAnsi="宋体" w:cs="宋体"/>
                <w:color w:val="auto"/>
                <w:sz w:val="24"/>
                <w:highlight w:val="none"/>
              </w:rPr>
            </w:pPr>
          </w:p>
        </w:tc>
        <w:tc>
          <w:tcPr>
            <w:tcW w:w="1957" w:type="dxa"/>
            <w:noWrap w:val="0"/>
            <w:vAlign w:val="top"/>
          </w:tcPr>
          <w:p w14:paraId="3E160C49">
            <w:pPr>
              <w:rPr>
                <w:rFonts w:hint="eastAsia" w:ascii="宋体" w:hAnsi="宋体" w:cs="宋体"/>
                <w:color w:val="auto"/>
                <w:sz w:val="24"/>
                <w:highlight w:val="none"/>
              </w:rPr>
            </w:pPr>
          </w:p>
        </w:tc>
        <w:tc>
          <w:tcPr>
            <w:tcW w:w="1620" w:type="dxa"/>
            <w:noWrap w:val="0"/>
            <w:vAlign w:val="top"/>
          </w:tcPr>
          <w:p w14:paraId="0D99FA04">
            <w:pPr>
              <w:rPr>
                <w:rFonts w:hint="eastAsia" w:ascii="宋体" w:hAnsi="宋体" w:cs="宋体"/>
                <w:color w:val="auto"/>
                <w:sz w:val="24"/>
                <w:highlight w:val="none"/>
              </w:rPr>
            </w:pPr>
          </w:p>
        </w:tc>
        <w:tc>
          <w:tcPr>
            <w:tcW w:w="1511" w:type="dxa"/>
            <w:noWrap w:val="0"/>
            <w:vAlign w:val="top"/>
          </w:tcPr>
          <w:p w14:paraId="2B3AB15B">
            <w:pPr>
              <w:rPr>
                <w:rFonts w:hint="eastAsia" w:ascii="宋体" w:hAnsi="宋体" w:cs="宋体"/>
                <w:color w:val="auto"/>
                <w:sz w:val="24"/>
                <w:highlight w:val="none"/>
              </w:rPr>
            </w:pPr>
          </w:p>
        </w:tc>
        <w:tc>
          <w:tcPr>
            <w:tcW w:w="1511" w:type="dxa"/>
            <w:noWrap w:val="0"/>
            <w:vAlign w:val="top"/>
          </w:tcPr>
          <w:p w14:paraId="20DF5014">
            <w:pPr>
              <w:rPr>
                <w:rFonts w:hint="eastAsia" w:ascii="宋体" w:hAnsi="宋体" w:cs="宋体"/>
                <w:color w:val="auto"/>
                <w:sz w:val="24"/>
                <w:highlight w:val="none"/>
              </w:rPr>
            </w:pPr>
          </w:p>
        </w:tc>
      </w:tr>
      <w:tr w14:paraId="526FB6F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8" w:hRule="atLeast"/>
          <w:jc w:val="center"/>
        </w:trPr>
        <w:tc>
          <w:tcPr>
            <w:tcW w:w="878" w:type="dxa"/>
            <w:noWrap w:val="0"/>
            <w:vAlign w:val="top"/>
          </w:tcPr>
          <w:p w14:paraId="752C18DC">
            <w:pPr>
              <w:rPr>
                <w:rFonts w:hint="eastAsia" w:ascii="宋体" w:hAnsi="宋体" w:cs="宋体"/>
                <w:color w:val="auto"/>
                <w:sz w:val="24"/>
                <w:highlight w:val="none"/>
              </w:rPr>
            </w:pPr>
          </w:p>
        </w:tc>
        <w:tc>
          <w:tcPr>
            <w:tcW w:w="1855" w:type="dxa"/>
            <w:noWrap w:val="0"/>
            <w:vAlign w:val="top"/>
          </w:tcPr>
          <w:p w14:paraId="4D7D9C3F">
            <w:pPr>
              <w:rPr>
                <w:rFonts w:hint="eastAsia" w:ascii="宋体" w:hAnsi="宋体" w:cs="宋体"/>
                <w:color w:val="auto"/>
                <w:sz w:val="24"/>
                <w:highlight w:val="none"/>
              </w:rPr>
            </w:pPr>
          </w:p>
        </w:tc>
        <w:tc>
          <w:tcPr>
            <w:tcW w:w="1957" w:type="dxa"/>
            <w:noWrap w:val="0"/>
            <w:vAlign w:val="top"/>
          </w:tcPr>
          <w:p w14:paraId="1759B8AF">
            <w:pPr>
              <w:rPr>
                <w:rFonts w:hint="eastAsia" w:ascii="宋体" w:hAnsi="宋体" w:cs="宋体"/>
                <w:color w:val="auto"/>
                <w:sz w:val="24"/>
                <w:highlight w:val="none"/>
              </w:rPr>
            </w:pPr>
          </w:p>
        </w:tc>
        <w:tc>
          <w:tcPr>
            <w:tcW w:w="1620" w:type="dxa"/>
            <w:noWrap w:val="0"/>
            <w:vAlign w:val="top"/>
          </w:tcPr>
          <w:p w14:paraId="6A46D780">
            <w:pPr>
              <w:rPr>
                <w:rFonts w:hint="eastAsia" w:ascii="宋体" w:hAnsi="宋体" w:cs="宋体"/>
                <w:color w:val="auto"/>
                <w:sz w:val="24"/>
                <w:highlight w:val="none"/>
              </w:rPr>
            </w:pPr>
          </w:p>
        </w:tc>
        <w:tc>
          <w:tcPr>
            <w:tcW w:w="1511" w:type="dxa"/>
            <w:noWrap w:val="0"/>
            <w:vAlign w:val="top"/>
          </w:tcPr>
          <w:p w14:paraId="32582C90">
            <w:pPr>
              <w:rPr>
                <w:rFonts w:hint="eastAsia" w:ascii="宋体" w:hAnsi="宋体" w:cs="宋体"/>
                <w:color w:val="auto"/>
                <w:sz w:val="24"/>
                <w:highlight w:val="none"/>
              </w:rPr>
            </w:pPr>
          </w:p>
        </w:tc>
        <w:tc>
          <w:tcPr>
            <w:tcW w:w="1511" w:type="dxa"/>
            <w:noWrap w:val="0"/>
            <w:vAlign w:val="top"/>
          </w:tcPr>
          <w:p w14:paraId="26578324">
            <w:pPr>
              <w:rPr>
                <w:rFonts w:hint="eastAsia" w:ascii="宋体" w:hAnsi="宋体" w:cs="宋体"/>
                <w:color w:val="auto"/>
                <w:sz w:val="24"/>
                <w:highlight w:val="none"/>
              </w:rPr>
            </w:pPr>
          </w:p>
        </w:tc>
      </w:tr>
      <w:tr w14:paraId="67D748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2" w:hRule="atLeast"/>
          <w:jc w:val="center"/>
        </w:trPr>
        <w:tc>
          <w:tcPr>
            <w:tcW w:w="878" w:type="dxa"/>
            <w:noWrap w:val="0"/>
            <w:vAlign w:val="top"/>
          </w:tcPr>
          <w:p w14:paraId="026258C4">
            <w:pPr>
              <w:rPr>
                <w:rFonts w:hint="eastAsia" w:ascii="宋体" w:hAnsi="宋体" w:cs="宋体"/>
                <w:color w:val="auto"/>
                <w:sz w:val="24"/>
                <w:highlight w:val="none"/>
              </w:rPr>
            </w:pPr>
          </w:p>
        </w:tc>
        <w:tc>
          <w:tcPr>
            <w:tcW w:w="1855" w:type="dxa"/>
            <w:noWrap w:val="0"/>
            <w:vAlign w:val="top"/>
          </w:tcPr>
          <w:p w14:paraId="6ABB8CDD">
            <w:pPr>
              <w:rPr>
                <w:rFonts w:hint="eastAsia" w:ascii="宋体" w:hAnsi="宋体" w:cs="宋体"/>
                <w:color w:val="auto"/>
                <w:sz w:val="24"/>
                <w:highlight w:val="none"/>
              </w:rPr>
            </w:pPr>
          </w:p>
        </w:tc>
        <w:tc>
          <w:tcPr>
            <w:tcW w:w="1957" w:type="dxa"/>
            <w:noWrap w:val="0"/>
            <w:vAlign w:val="top"/>
          </w:tcPr>
          <w:p w14:paraId="3EB3BE87">
            <w:pPr>
              <w:rPr>
                <w:rFonts w:hint="eastAsia" w:ascii="宋体" w:hAnsi="宋体" w:cs="宋体"/>
                <w:color w:val="auto"/>
                <w:sz w:val="24"/>
                <w:highlight w:val="none"/>
              </w:rPr>
            </w:pPr>
          </w:p>
        </w:tc>
        <w:tc>
          <w:tcPr>
            <w:tcW w:w="1620" w:type="dxa"/>
            <w:noWrap w:val="0"/>
            <w:vAlign w:val="top"/>
          </w:tcPr>
          <w:p w14:paraId="74578CC1">
            <w:pPr>
              <w:rPr>
                <w:rFonts w:hint="eastAsia" w:ascii="宋体" w:hAnsi="宋体" w:cs="宋体"/>
                <w:color w:val="auto"/>
                <w:sz w:val="24"/>
                <w:highlight w:val="none"/>
              </w:rPr>
            </w:pPr>
          </w:p>
        </w:tc>
        <w:tc>
          <w:tcPr>
            <w:tcW w:w="1511" w:type="dxa"/>
            <w:noWrap w:val="0"/>
            <w:vAlign w:val="top"/>
          </w:tcPr>
          <w:p w14:paraId="3C42C02E">
            <w:pPr>
              <w:rPr>
                <w:rFonts w:hint="eastAsia" w:ascii="宋体" w:hAnsi="宋体" w:cs="宋体"/>
                <w:color w:val="auto"/>
                <w:sz w:val="24"/>
                <w:highlight w:val="none"/>
              </w:rPr>
            </w:pPr>
          </w:p>
        </w:tc>
        <w:tc>
          <w:tcPr>
            <w:tcW w:w="1511" w:type="dxa"/>
            <w:noWrap w:val="0"/>
            <w:vAlign w:val="top"/>
          </w:tcPr>
          <w:p w14:paraId="47D4A1E4">
            <w:pPr>
              <w:rPr>
                <w:rFonts w:hint="eastAsia" w:ascii="宋体" w:hAnsi="宋体" w:cs="宋体"/>
                <w:color w:val="auto"/>
                <w:sz w:val="24"/>
                <w:highlight w:val="none"/>
              </w:rPr>
            </w:pPr>
          </w:p>
        </w:tc>
      </w:tr>
      <w:tr w14:paraId="425DA2E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21" w:hRule="atLeast"/>
          <w:jc w:val="center"/>
        </w:trPr>
        <w:tc>
          <w:tcPr>
            <w:tcW w:w="878" w:type="dxa"/>
            <w:noWrap w:val="0"/>
            <w:vAlign w:val="top"/>
          </w:tcPr>
          <w:p w14:paraId="75E14B5D">
            <w:pPr>
              <w:rPr>
                <w:rFonts w:hint="eastAsia" w:ascii="宋体" w:hAnsi="宋体" w:cs="宋体"/>
                <w:color w:val="auto"/>
                <w:sz w:val="24"/>
                <w:highlight w:val="none"/>
              </w:rPr>
            </w:pPr>
          </w:p>
        </w:tc>
        <w:tc>
          <w:tcPr>
            <w:tcW w:w="1855" w:type="dxa"/>
            <w:noWrap w:val="0"/>
            <w:vAlign w:val="top"/>
          </w:tcPr>
          <w:p w14:paraId="75C21E03">
            <w:pPr>
              <w:rPr>
                <w:rFonts w:hint="eastAsia" w:ascii="宋体" w:hAnsi="宋体" w:cs="宋体"/>
                <w:color w:val="auto"/>
                <w:sz w:val="24"/>
                <w:highlight w:val="none"/>
              </w:rPr>
            </w:pPr>
          </w:p>
        </w:tc>
        <w:tc>
          <w:tcPr>
            <w:tcW w:w="1957" w:type="dxa"/>
            <w:noWrap w:val="0"/>
            <w:vAlign w:val="top"/>
          </w:tcPr>
          <w:p w14:paraId="6AA34E8F">
            <w:pPr>
              <w:rPr>
                <w:rFonts w:hint="eastAsia" w:ascii="宋体" w:hAnsi="宋体" w:cs="宋体"/>
                <w:color w:val="auto"/>
                <w:sz w:val="24"/>
                <w:highlight w:val="none"/>
              </w:rPr>
            </w:pPr>
          </w:p>
        </w:tc>
        <w:tc>
          <w:tcPr>
            <w:tcW w:w="1620" w:type="dxa"/>
            <w:noWrap w:val="0"/>
            <w:vAlign w:val="top"/>
          </w:tcPr>
          <w:p w14:paraId="2C4D1234">
            <w:pPr>
              <w:rPr>
                <w:rFonts w:hint="eastAsia" w:ascii="宋体" w:hAnsi="宋体" w:cs="宋体"/>
                <w:color w:val="auto"/>
                <w:sz w:val="24"/>
                <w:highlight w:val="none"/>
              </w:rPr>
            </w:pPr>
          </w:p>
        </w:tc>
        <w:tc>
          <w:tcPr>
            <w:tcW w:w="1511" w:type="dxa"/>
            <w:noWrap w:val="0"/>
            <w:vAlign w:val="top"/>
          </w:tcPr>
          <w:p w14:paraId="42EAB80D">
            <w:pPr>
              <w:rPr>
                <w:rFonts w:hint="eastAsia" w:ascii="宋体" w:hAnsi="宋体" w:cs="宋体"/>
                <w:color w:val="auto"/>
                <w:sz w:val="24"/>
                <w:highlight w:val="none"/>
              </w:rPr>
            </w:pPr>
          </w:p>
        </w:tc>
        <w:tc>
          <w:tcPr>
            <w:tcW w:w="1511" w:type="dxa"/>
            <w:noWrap w:val="0"/>
            <w:vAlign w:val="top"/>
          </w:tcPr>
          <w:p w14:paraId="1F019BE3">
            <w:pPr>
              <w:rPr>
                <w:rFonts w:hint="eastAsia" w:ascii="宋体" w:hAnsi="宋体" w:cs="宋体"/>
                <w:color w:val="auto"/>
                <w:sz w:val="24"/>
                <w:highlight w:val="none"/>
              </w:rPr>
            </w:pPr>
          </w:p>
        </w:tc>
      </w:tr>
      <w:tr w14:paraId="1F1166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15" w:hRule="atLeast"/>
          <w:jc w:val="center"/>
        </w:trPr>
        <w:tc>
          <w:tcPr>
            <w:tcW w:w="878" w:type="dxa"/>
            <w:noWrap w:val="0"/>
            <w:vAlign w:val="top"/>
          </w:tcPr>
          <w:p w14:paraId="471325B0">
            <w:pPr>
              <w:rPr>
                <w:rFonts w:hint="eastAsia" w:ascii="宋体" w:hAnsi="宋体" w:cs="宋体"/>
                <w:color w:val="auto"/>
                <w:sz w:val="24"/>
                <w:highlight w:val="none"/>
              </w:rPr>
            </w:pPr>
          </w:p>
        </w:tc>
        <w:tc>
          <w:tcPr>
            <w:tcW w:w="1855" w:type="dxa"/>
            <w:noWrap w:val="0"/>
            <w:vAlign w:val="top"/>
          </w:tcPr>
          <w:p w14:paraId="02D216EC">
            <w:pPr>
              <w:rPr>
                <w:rFonts w:hint="eastAsia" w:ascii="宋体" w:hAnsi="宋体" w:cs="宋体"/>
                <w:color w:val="auto"/>
                <w:sz w:val="24"/>
                <w:highlight w:val="none"/>
              </w:rPr>
            </w:pPr>
          </w:p>
        </w:tc>
        <w:tc>
          <w:tcPr>
            <w:tcW w:w="1957" w:type="dxa"/>
            <w:noWrap w:val="0"/>
            <w:vAlign w:val="top"/>
          </w:tcPr>
          <w:p w14:paraId="32EC4481">
            <w:pPr>
              <w:rPr>
                <w:rFonts w:hint="eastAsia" w:ascii="宋体" w:hAnsi="宋体" w:cs="宋体"/>
                <w:color w:val="auto"/>
                <w:sz w:val="24"/>
                <w:highlight w:val="none"/>
              </w:rPr>
            </w:pPr>
          </w:p>
        </w:tc>
        <w:tc>
          <w:tcPr>
            <w:tcW w:w="1620" w:type="dxa"/>
            <w:noWrap w:val="0"/>
            <w:vAlign w:val="top"/>
          </w:tcPr>
          <w:p w14:paraId="5E773BE3">
            <w:pPr>
              <w:rPr>
                <w:rFonts w:hint="eastAsia" w:ascii="宋体" w:hAnsi="宋体" w:cs="宋体"/>
                <w:color w:val="auto"/>
                <w:sz w:val="24"/>
                <w:highlight w:val="none"/>
              </w:rPr>
            </w:pPr>
          </w:p>
        </w:tc>
        <w:tc>
          <w:tcPr>
            <w:tcW w:w="1511" w:type="dxa"/>
            <w:noWrap w:val="0"/>
            <w:vAlign w:val="top"/>
          </w:tcPr>
          <w:p w14:paraId="759EF207">
            <w:pPr>
              <w:rPr>
                <w:rFonts w:hint="eastAsia" w:ascii="宋体" w:hAnsi="宋体" w:cs="宋体"/>
                <w:color w:val="auto"/>
                <w:sz w:val="24"/>
                <w:highlight w:val="none"/>
              </w:rPr>
            </w:pPr>
          </w:p>
        </w:tc>
        <w:tc>
          <w:tcPr>
            <w:tcW w:w="1511" w:type="dxa"/>
            <w:noWrap w:val="0"/>
            <w:vAlign w:val="top"/>
          </w:tcPr>
          <w:p w14:paraId="0642B3D0">
            <w:pPr>
              <w:rPr>
                <w:rFonts w:hint="eastAsia" w:ascii="宋体" w:hAnsi="宋体" w:cs="宋体"/>
                <w:color w:val="auto"/>
                <w:sz w:val="24"/>
                <w:highlight w:val="none"/>
              </w:rPr>
            </w:pPr>
          </w:p>
        </w:tc>
      </w:tr>
      <w:tr w14:paraId="5326B01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cantSplit/>
          <w:trHeight w:val="609" w:hRule="atLeast"/>
          <w:jc w:val="center"/>
        </w:trPr>
        <w:tc>
          <w:tcPr>
            <w:tcW w:w="878" w:type="dxa"/>
            <w:noWrap w:val="0"/>
            <w:vAlign w:val="top"/>
          </w:tcPr>
          <w:p w14:paraId="1F610A97">
            <w:pPr>
              <w:rPr>
                <w:rFonts w:hint="eastAsia" w:ascii="宋体" w:hAnsi="宋体" w:cs="宋体"/>
                <w:color w:val="auto"/>
                <w:sz w:val="24"/>
                <w:highlight w:val="none"/>
              </w:rPr>
            </w:pPr>
          </w:p>
        </w:tc>
        <w:tc>
          <w:tcPr>
            <w:tcW w:w="1855" w:type="dxa"/>
            <w:noWrap w:val="0"/>
            <w:vAlign w:val="top"/>
          </w:tcPr>
          <w:p w14:paraId="5406EFE6">
            <w:pPr>
              <w:rPr>
                <w:rFonts w:hint="eastAsia" w:ascii="宋体" w:hAnsi="宋体" w:cs="宋体"/>
                <w:color w:val="auto"/>
                <w:sz w:val="24"/>
                <w:highlight w:val="none"/>
              </w:rPr>
            </w:pPr>
          </w:p>
        </w:tc>
        <w:tc>
          <w:tcPr>
            <w:tcW w:w="1957" w:type="dxa"/>
            <w:noWrap w:val="0"/>
            <w:vAlign w:val="top"/>
          </w:tcPr>
          <w:p w14:paraId="38FFE717">
            <w:pPr>
              <w:rPr>
                <w:rFonts w:hint="eastAsia" w:ascii="宋体" w:hAnsi="宋体" w:cs="宋体"/>
                <w:color w:val="auto"/>
                <w:sz w:val="24"/>
                <w:highlight w:val="none"/>
              </w:rPr>
            </w:pPr>
          </w:p>
        </w:tc>
        <w:tc>
          <w:tcPr>
            <w:tcW w:w="1620" w:type="dxa"/>
            <w:noWrap w:val="0"/>
            <w:vAlign w:val="top"/>
          </w:tcPr>
          <w:p w14:paraId="4265DE6D">
            <w:pPr>
              <w:rPr>
                <w:rFonts w:hint="eastAsia" w:ascii="宋体" w:hAnsi="宋体" w:cs="宋体"/>
                <w:color w:val="auto"/>
                <w:sz w:val="24"/>
                <w:highlight w:val="none"/>
              </w:rPr>
            </w:pPr>
          </w:p>
        </w:tc>
        <w:tc>
          <w:tcPr>
            <w:tcW w:w="1511" w:type="dxa"/>
            <w:noWrap w:val="0"/>
            <w:vAlign w:val="top"/>
          </w:tcPr>
          <w:p w14:paraId="0581D716">
            <w:pPr>
              <w:rPr>
                <w:rFonts w:hint="eastAsia" w:ascii="宋体" w:hAnsi="宋体" w:cs="宋体"/>
                <w:color w:val="auto"/>
                <w:sz w:val="24"/>
                <w:highlight w:val="none"/>
              </w:rPr>
            </w:pPr>
          </w:p>
        </w:tc>
        <w:tc>
          <w:tcPr>
            <w:tcW w:w="1511" w:type="dxa"/>
            <w:noWrap w:val="0"/>
            <w:vAlign w:val="top"/>
          </w:tcPr>
          <w:p w14:paraId="05625840">
            <w:pPr>
              <w:rPr>
                <w:rFonts w:hint="eastAsia" w:ascii="宋体" w:hAnsi="宋体" w:cs="宋体"/>
                <w:color w:val="auto"/>
                <w:sz w:val="24"/>
                <w:highlight w:val="none"/>
              </w:rPr>
            </w:pPr>
          </w:p>
        </w:tc>
      </w:tr>
    </w:tbl>
    <w:p w14:paraId="2EECF578">
      <w:pPr>
        <w:pStyle w:val="15"/>
        <w:spacing w:line="360" w:lineRule="auto"/>
        <w:ind w:firstLine="315" w:firstLineChars="150"/>
        <w:rPr>
          <w:rFonts w:hint="eastAsia" w:hAnsi="宋体"/>
          <w:color w:val="auto"/>
          <w:sz w:val="21"/>
          <w:szCs w:val="21"/>
          <w:highlight w:val="none"/>
        </w:rPr>
      </w:pPr>
      <w:r>
        <w:rPr>
          <w:rFonts w:hint="eastAsia" w:hAnsi="宋体"/>
          <w:color w:val="auto"/>
          <w:sz w:val="21"/>
          <w:szCs w:val="21"/>
          <w:highlight w:val="none"/>
        </w:rPr>
        <w:t>注：</w:t>
      </w:r>
    </w:p>
    <w:p w14:paraId="68BD601A">
      <w:pPr>
        <w:pStyle w:val="15"/>
        <w:spacing w:line="288" w:lineRule="auto"/>
        <w:ind w:firstLine="315" w:firstLineChars="150"/>
        <w:rPr>
          <w:rFonts w:hint="eastAsia" w:hAnsi="宋体"/>
          <w:color w:val="auto"/>
          <w:sz w:val="21"/>
          <w:szCs w:val="21"/>
          <w:highlight w:val="none"/>
        </w:rPr>
      </w:pPr>
      <w:r>
        <w:rPr>
          <w:rFonts w:hint="eastAsia" w:hAnsi="宋体"/>
          <w:color w:val="auto"/>
          <w:sz w:val="21"/>
          <w:szCs w:val="21"/>
          <w:highlight w:val="none"/>
        </w:rPr>
        <w:t>1、磋商响应方应根据投标设备的性能指标、对照招标文件要求在“偏离情况”栏如实注明“正偏离”、“负偏离”或“无偏离”，如有发现本表填写的偏离情况与</w:t>
      </w:r>
      <w:r>
        <w:rPr>
          <w:rFonts w:hint="eastAsia" w:hAnsi="宋体"/>
          <w:color w:val="auto"/>
          <w:sz w:val="21"/>
          <w:szCs w:val="21"/>
          <w:highlight w:val="none"/>
          <w:lang w:eastAsia="zh-CN"/>
        </w:rPr>
        <w:t>产品</w:t>
      </w:r>
      <w:r>
        <w:rPr>
          <w:rFonts w:hint="eastAsia" w:hAnsi="宋体"/>
          <w:color w:val="auto"/>
          <w:sz w:val="21"/>
          <w:szCs w:val="21"/>
          <w:highlight w:val="none"/>
        </w:rPr>
        <w:t>彩页、产品样本等厂家提供的证明参数不一致的，作虚假应标处理，情节严重的，上报财政主管部门依规处理。</w:t>
      </w:r>
    </w:p>
    <w:p w14:paraId="4865CFBE">
      <w:pPr>
        <w:pStyle w:val="15"/>
        <w:spacing w:line="288" w:lineRule="auto"/>
        <w:ind w:firstLine="315" w:firstLineChars="150"/>
        <w:rPr>
          <w:rFonts w:hint="eastAsia" w:hAnsi="宋体"/>
          <w:color w:val="auto"/>
          <w:sz w:val="21"/>
          <w:szCs w:val="21"/>
          <w:highlight w:val="none"/>
        </w:rPr>
      </w:pPr>
      <w:r>
        <w:rPr>
          <w:rFonts w:hint="eastAsia" w:hAnsi="宋体"/>
          <w:color w:val="auto"/>
          <w:sz w:val="21"/>
          <w:szCs w:val="21"/>
          <w:highlight w:val="none"/>
        </w:rPr>
        <w:t>2、正偏离、打“★”参数，及打“▲”参数均需提供产品彩页或其他相关证明材料佐证。</w:t>
      </w:r>
    </w:p>
    <w:p w14:paraId="7D93B7D5">
      <w:pPr>
        <w:pStyle w:val="15"/>
        <w:spacing w:line="288" w:lineRule="auto"/>
        <w:ind w:firstLine="315" w:firstLineChars="150"/>
        <w:rPr>
          <w:rFonts w:hint="eastAsia" w:hAnsi="宋体"/>
          <w:color w:val="auto"/>
          <w:sz w:val="21"/>
          <w:szCs w:val="21"/>
          <w:highlight w:val="none"/>
        </w:rPr>
      </w:pPr>
      <w:r>
        <w:rPr>
          <w:rFonts w:hint="eastAsia" w:hAnsi="宋体"/>
          <w:color w:val="auto"/>
          <w:sz w:val="21"/>
          <w:szCs w:val="21"/>
          <w:highlight w:val="none"/>
        </w:rPr>
        <w:t>3、评标委员会仅在供应商标注的页码范围内寻找评标依据，未标注页码范围或页码标注不准确造成评标委员会漏评的责任由供应商自行承担。</w:t>
      </w:r>
    </w:p>
    <w:p w14:paraId="30432D4E">
      <w:pPr>
        <w:snapToGrid w:val="0"/>
        <w:spacing w:before="50" w:after="50" w:line="288" w:lineRule="auto"/>
        <w:ind w:firstLine="6160" w:firstLineChars="2200"/>
        <w:rPr>
          <w:rFonts w:hint="eastAsia" w:ascii="宋体" w:hAnsi="宋体" w:cs="宋体"/>
          <w:color w:val="auto"/>
          <w:spacing w:val="20"/>
          <w:sz w:val="24"/>
          <w:highlight w:val="none"/>
        </w:rPr>
      </w:pPr>
      <w:r>
        <w:rPr>
          <w:rFonts w:hint="eastAsia" w:ascii="宋体" w:hAnsi="宋体" w:cs="宋体"/>
          <w:color w:val="auto"/>
          <w:spacing w:val="20"/>
          <w:sz w:val="24"/>
          <w:highlight w:val="none"/>
        </w:rPr>
        <w:t>磋商响应方盖章：</w:t>
      </w:r>
    </w:p>
    <w:p w14:paraId="04856692">
      <w:pPr>
        <w:snapToGrid w:val="0"/>
        <w:spacing w:before="50" w:after="50" w:line="360" w:lineRule="auto"/>
        <w:ind w:firstLine="6160" w:firstLineChars="2200"/>
        <w:rPr>
          <w:rFonts w:hint="eastAsia" w:ascii="宋体" w:hAnsi="宋体" w:cs="宋体"/>
          <w:color w:val="auto"/>
          <w:spacing w:val="20"/>
          <w:sz w:val="24"/>
          <w:highlight w:val="none"/>
        </w:rPr>
      </w:pPr>
      <w:r>
        <w:rPr>
          <w:rFonts w:hint="eastAsia" w:ascii="宋体" w:hAnsi="宋体" w:cs="宋体"/>
          <w:color w:val="auto"/>
          <w:spacing w:val="20"/>
          <w:sz w:val="24"/>
          <w:highlight w:val="none"/>
        </w:rPr>
        <w:t>日期：</w:t>
      </w:r>
    </w:p>
    <w:p w14:paraId="77C8307C">
      <w:pPr>
        <w:snapToGrid w:val="0"/>
        <w:spacing w:before="50" w:after="50"/>
        <w:rPr>
          <w:rFonts w:ascii="宋体" w:hAnsi="宋体" w:cs="宋体"/>
          <w:color w:val="auto"/>
          <w:sz w:val="24"/>
          <w:highlight w:val="none"/>
        </w:rPr>
      </w:pPr>
    </w:p>
    <w:p w14:paraId="119D2A1E">
      <w:pPr>
        <w:snapToGrid w:val="0"/>
        <w:spacing w:before="50" w:afterLines="50"/>
        <w:jc w:val="left"/>
        <w:rPr>
          <w:rFonts w:ascii="宋体" w:hAnsi="宋体" w:cs="宋体"/>
          <w:color w:val="auto"/>
          <w:sz w:val="24"/>
          <w:highlight w:val="none"/>
        </w:rPr>
      </w:pPr>
    </w:p>
    <w:p w14:paraId="528AEF99">
      <w:pPr>
        <w:spacing w:before="260" w:after="260" w:line="415" w:lineRule="auto"/>
        <w:rPr>
          <w:rFonts w:ascii="宋体" w:hAnsi="宋体" w:cs="宋体"/>
          <w:bCs/>
          <w:color w:val="auto"/>
          <w:sz w:val="24"/>
          <w:highlight w:val="none"/>
        </w:rPr>
      </w:pPr>
    </w:p>
    <w:p w14:paraId="02664074">
      <w:pPr>
        <w:pStyle w:val="4"/>
        <w:keepNext w:val="0"/>
        <w:keepLines w:val="0"/>
        <w:pageBreakBefore/>
        <w:spacing w:line="415" w:lineRule="auto"/>
        <w:rPr>
          <w:rFonts w:hint="eastAsia" w:ascii="宋体" w:hAnsi="宋体" w:eastAsia="宋体" w:cs="宋体"/>
          <w:b w:val="0"/>
          <w:bCs w:val="0"/>
          <w:color w:val="auto"/>
          <w:sz w:val="24"/>
          <w:szCs w:val="24"/>
          <w:highlight w:val="none"/>
        </w:rPr>
      </w:pPr>
      <w:bookmarkStart w:id="73" w:name="_Toc14942619"/>
      <w:bookmarkStart w:id="74" w:name="_Toc25841"/>
      <w:bookmarkStart w:id="75" w:name="_Toc335039029"/>
      <w:bookmarkStart w:id="76" w:name="_Toc426996341"/>
      <w:bookmarkStart w:id="77" w:name="_Toc345575541"/>
      <w:bookmarkStart w:id="78" w:name="_Toc21215"/>
      <w:bookmarkStart w:id="79" w:name="_Toc22048"/>
      <w:bookmarkStart w:id="80" w:name="_Toc3577"/>
      <w:bookmarkStart w:id="81" w:name="_Toc24152"/>
      <w:bookmarkStart w:id="82" w:name="_Toc28601"/>
      <w:bookmarkStart w:id="83" w:name="_Toc18731"/>
      <w:bookmarkStart w:id="84" w:name="_Toc13087"/>
      <w:bookmarkStart w:id="85" w:name="_Toc4581"/>
      <w:bookmarkStart w:id="86" w:name="_Toc31640"/>
      <w:bookmarkStart w:id="87" w:name="_Toc21703809"/>
      <w:bookmarkStart w:id="88" w:name="_Toc21446147"/>
      <w:bookmarkStart w:id="89" w:name="_Toc536428271"/>
      <w:r>
        <w:rPr>
          <w:rFonts w:hint="eastAsia" w:ascii="宋体" w:hAnsi="宋体" w:eastAsia="宋体" w:cs="宋体"/>
          <w:b w:val="0"/>
          <w:bCs w:val="0"/>
          <w:color w:val="auto"/>
          <w:sz w:val="24"/>
          <w:szCs w:val="24"/>
          <w:highlight w:val="none"/>
        </w:rPr>
        <w:t>附件</w:t>
      </w:r>
      <w:r>
        <w:rPr>
          <w:rFonts w:hint="eastAsia" w:ascii="宋体" w:hAnsi="宋体" w:eastAsia="宋体" w:cs="宋体"/>
          <w:b w:val="0"/>
          <w:bCs w:val="0"/>
          <w:color w:val="auto"/>
          <w:sz w:val="24"/>
          <w:szCs w:val="24"/>
          <w:highlight w:val="none"/>
          <w:lang w:val="en-US" w:eastAsia="zh-CN"/>
        </w:rPr>
        <w:t>十二</w:t>
      </w:r>
      <w:r>
        <w:rPr>
          <w:rFonts w:hint="eastAsia" w:ascii="宋体" w:hAnsi="宋体" w:eastAsia="宋体" w:cs="宋体"/>
          <w:b w:val="0"/>
          <w:bCs w:val="0"/>
          <w:color w:val="auto"/>
          <w:sz w:val="24"/>
          <w:szCs w:val="24"/>
          <w:highlight w:val="none"/>
        </w:rPr>
        <w:t>：</w:t>
      </w:r>
      <w:bookmarkEnd w:id="73"/>
      <w:bookmarkEnd w:id="74"/>
      <w:bookmarkEnd w:id="75"/>
      <w:bookmarkEnd w:id="76"/>
      <w:bookmarkEnd w:id="77"/>
      <w:bookmarkEnd w:id="78"/>
      <w:bookmarkEnd w:id="79"/>
      <w:r>
        <w:rPr>
          <w:rFonts w:hint="eastAsia" w:ascii="宋体" w:hAnsi="宋体" w:eastAsia="宋体" w:cs="宋体"/>
          <w:b w:val="0"/>
          <w:bCs w:val="0"/>
          <w:color w:val="auto"/>
          <w:sz w:val="24"/>
          <w:szCs w:val="24"/>
          <w:highlight w:val="none"/>
        </w:rPr>
        <w:t>人员现场到位率承诺书</w:t>
      </w:r>
      <w:bookmarkEnd w:id="80"/>
      <w:bookmarkEnd w:id="81"/>
      <w:bookmarkEnd w:id="82"/>
      <w:bookmarkEnd w:id="83"/>
    </w:p>
    <w:p w14:paraId="2B32C848">
      <w:pPr>
        <w:snapToGrid w:val="0"/>
        <w:spacing w:before="50" w:afterLines="50"/>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人员现场到位率承诺书</w:t>
      </w:r>
    </w:p>
    <w:p w14:paraId="00A4B035">
      <w:pPr>
        <w:spacing w:line="360" w:lineRule="auto"/>
        <w:rPr>
          <w:rFonts w:hint="eastAsia" w:ascii="宋体" w:hAnsi="宋体" w:eastAsia="宋体"/>
          <w:bCs/>
          <w:color w:val="auto"/>
          <w:sz w:val="24"/>
          <w:highlight w:val="none"/>
          <w:lang w:eastAsia="zh-CN"/>
        </w:rPr>
      </w:pPr>
      <w:r>
        <w:rPr>
          <w:rFonts w:hint="eastAsia" w:ascii="宋体" w:hAnsi="宋体"/>
          <w:bCs/>
          <w:color w:val="auto"/>
          <w:sz w:val="24"/>
          <w:highlight w:val="none"/>
        </w:rPr>
        <w:t>致：</w:t>
      </w:r>
      <w:r>
        <w:rPr>
          <w:rFonts w:hint="eastAsia" w:ascii="宋体" w:hAnsi="宋体"/>
          <w:color w:val="auto"/>
          <w:sz w:val="24"/>
          <w:highlight w:val="none"/>
          <w:u w:val="single"/>
          <w:lang w:eastAsia="zh-CN"/>
        </w:rPr>
        <w:t>东阳市白云街道办事处</w:t>
      </w:r>
    </w:p>
    <w:p w14:paraId="67A78E32">
      <w:pPr>
        <w:spacing w:line="360" w:lineRule="auto"/>
        <w:ind w:firstLine="960" w:firstLineChars="400"/>
        <w:jc w:val="left"/>
        <w:rPr>
          <w:rFonts w:hint="eastAsia" w:ascii="仿宋" w:eastAsia="仿宋"/>
          <w:b/>
          <w:bCs/>
          <w:color w:val="auto"/>
          <w:sz w:val="24"/>
          <w:highlight w:val="none"/>
        </w:rPr>
      </w:pPr>
      <w:r>
        <w:rPr>
          <w:rFonts w:hint="eastAsia" w:ascii="宋体" w:hAnsi="宋体"/>
          <w:bCs/>
          <w:color w:val="auto"/>
          <w:sz w:val="24"/>
          <w:highlight w:val="none"/>
        </w:rPr>
        <w:t>如有幸中标并参与</w:t>
      </w:r>
      <w:r>
        <w:rPr>
          <w:rFonts w:hint="eastAsia" w:ascii="宋体" w:hAnsi="宋体"/>
          <w:bCs/>
          <w:color w:val="auto"/>
          <w:sz w:val="24"/>
          <w:highlight w:val="none"/>
          <w:u w:val="single"/>
        </w:rPr>
        <w:t xml:space="preserve">                         项目</w:t>
      </w:r>
      <w:r>
        <w:rPr>
          <w:rFonts w:hint="eastAsia" w:ascii="宋体" w:hAnsi="宋体"/>
          <w:bCs/>
          <w:color w:val="auto"/>
          <w:sz w:val="24"/>
          <w:highlight w:val="none"/>
        </w:rPr>
        <w:t>工程的施工，我公司将派</w:t>
      </w:r>
      <w:r>
        <w:rPr>
          <w:rFonts w:hint="eastAsia" w:ascii="宋体" w:hAnsi="宋体"/>
          <w:bCs/>
          <w:color w:val="auto"/>
          <w:sz w:val="24"/>
          <w:highlight w:val="none"/>
          <w:u w:val="single"/>
        </w:rPr>
        <w:t xml:space="preserve">                                        </w:t>
      </w:r>
      <w:r>
        <w:rPr>
          <w:rFonts w:hint="eastAsia" w:ascii="宋体" w:hAnsi="宋体"/>
          <w:bCs/>
          <w:color w:val="auto"/>
          <w:sz w:val="24"/>
          <w:highlight w:val="none"/>
        </w:rPr>
        <w:t>（填写施工项目负责人姓名、负责人资格证书编号）为本工程的施工项目负责人，保证所有人员按</w:t>
      </w:r>
      <w:r>
        <w:rPr>
          <w:rFonts w:hint="eastAsia" w:ascii="宋体" w:hAnsi="宋体"/>
          <w:bCs/>
          <w:color w:val="auto"/>
          <w:sz w:val="24"/>
          <w:highlight w:val="none"/>
          <w:lang w:val="en-US" w:eastAsia="zh-CN"/>
        </w:rPr>
        <w:t>投标</w:t>
      </w:r>
      <w:r>
        <w:rPr>
          <w:rFonts w:hint="eastAsia" w:ascii="宋体" w:hAnsi="宋体"/>
          <w:bCs/>
          <w:color w:val="auto"/>
          <w:sz w:val="24"/>
          <w:highlight w:val="none"/>
        </w:rPr>
        <w:t>文件中拟派的履行；</w:t>
      </w:r>
      <w:r>
        <w:rPr>
          <w:rFonts w:hint="eastAsia" w:ascii="新宋体" w:hAnsi="新宋体" w:eastAsia="新宋体"/>
          <w:color w:val="auto"/>
          <w:sz w:val="24"/>
          <w:highlight w:val="none"/>
        </w:rPr>
        <w:t>合同执行期间，采购人对不称职人员如提出更换，我方保证不拒绝或拖延。</w:t>
      </w:r>
      <w:r>
        <w:rPr>
          <w:rFonts w:hint="eastAsia" w:ascii="宋体" w:hAnsi="宋体"/>
          <w:bCs/>
          <w:color w:val="auto"/>
          <w:sz w:val="24"/>
          <w:highlight w:val="none"/>
        </w:rPr>
        <w:t>如违反此承诺，愿按接受处罚：</w:t>
      </w:r>
    </w:p>
    <w:p w14:paraId="09B395A9">
      <w:pPr>
        <w:spacing w:line="360" w:lineRule="auto"/>
        <w:ind w:firstLine="480" w:firstLineChars="200"/>
        <w:rPr>
          <w:rFonts w:hint="eastAsia" w:ascii="新宋体" w:hAnsi="新宋体" w:eastAsia="新宋体"/>
          <w:color w:val="auto"/>
          <w:sz w:val="24"/>
          <w:highlight w:val="none"/>
        </w:rPr>
      </w:pPr>
      <w:r>
        <w:rPr>
          <w:rFonts w:hint="eastAsia" w:ascii="新宋体" w:hAnsi="新宋体" w:eastAsia="新宋体"/>
          <w:color w:val="auto"/>
          <w:sz w:val="24"/>
          <w:highlight w:val="none"/>
        </w:rPr>
        <w:t>合同执行期间，采购人对不称职</w:t>
      </w:r>
      <w:r>
        <w:rPr>
          <w:rFonts w:hint="eastAsia" w:ascii="宋体" w:hAnsi="宋体"/>
          <w:bCs/>
          <w:color w:val="auto"/>
          <w:sz w:val="24"/>
          <w:highlight w:val="none"/>
        </w:rPr>
        <w:t>人员</w:t>
      </w:r>
      <w:r>
        <w:rPr>
          <w:rFonts w:hint="eastAsia" w:ascii="新宋体" w:hAnsi="新宋体" w:eastAsia="新宋体"/>
          <w:color w:val="auto"/>
          <w:sz w:val="24"/>
          <w:highlight w:val="none"/>
        </w:rPr>
        <w:t>提出更换意见，我方拒绝或拖延的，</w:t>
      </w:r>
      <w:r>
        <w:rPr>
          <w:rFonts w:hint="eastAsia" w:ascii="新宋体" w:hAnsi="新宋体" w:eastAsia="新宋体"/>
          <w:color w:val="auto"/>
          <w:sz w:val="24"/>
          <w:highlight w:val="none"/>
          <w:lang w:eastAsia="zh-CN"/>
        </w:rPr>
        <w:t>采购人有权扣除我方工程款</w:t>
      </w:r>
      <w:r>
        <w:rPr>
          <w:rFonts w:hint="eastAsia" w:ascii="新宋体" w:hAnsi="新宋体" w:eastAsia="新宋体"/>
          <w:color w:val="auto"/>
          <w:sz w:val="24"/>
          <w:highlight w:val="none"/>
        </w:rPr>
        <w:t>。</w:t>
      </w:r>
    </w:p>
    <w:p w14:paraId="6E7D61D2">
      <w:pPr>
        <w:widowControl/>
        <w:jc w:val="left"/>
        <w:rPr>
          <w:rFonts w:hint="eastAsia"/>
          <w:color w:val="auto"/>
          <w:kern w:val="0"/>
          <w:sz w:val="24"/>
          <w:szCs w:val="20"/>
          <w:highlight w:val="none"/>
        </w:rPr>
      </w:pPr>
    </w:p>
    <w:p w14:paraId="63AB829C">
      <w:pPr>
        <w:widowControl/>
        <w:jc w:val="left"/>
        <w:rPr>
          <w:rFonts w:hint="eastAsia"/>
          <w:color w:val="auto"/>
          <w:kern w:val="0"/>
          <w:sz w:val="24"/>
          <w:szCs w:val="20"/>
          <w:highlight w:val="none"/>
        </w:rPr>
      </w:pPr>
    </w:p>
    <w:p w14:paraId="0DF29EC6">
      <w:pPr>
        <w:widowControl/>
        <w:jc w:val="left"/>
        <w:rPr>
          <w:rFonts w:hint="eastAsia"/>
          <w:color w:val="auto"/>
          <w:kern w:val="0"/>
          <w:sz w:val="24"/>
          <w:szCs w:val="20"/>
          <w:highlight w:val="none"/>
        </w:rPr>
      </w:pPr>
    </w:p>
    <w:p w14:paraId="50BB8D2D">
      <w:pPr>
        <w:widowControl/>
        <w:jc w:val="left"/>
        <w:rPr>
          <w:rFonts w:hint="eastAsia"/>
          <w:color w:val="auto"/>
          <w:kern w:val="0"/>
          <w:sz w:val="24"/>
          <w:szCs w:val="20"/>
          <w:highlight w:val="none"/>
        </w:rPr>
      </w:pPr>
    </w:p>
    <w:p w14:paraId="10AA4A28">
      <w:pPr>
        <w:pStyle w:val="11"/>
        <w:overflowPunct w:val="0"/>
        <w:spacing w:line="360" w:lineRule="auto"/>
        <w:ind w:right="420" w:firstLine="3300" w:firstLineChars="1375"/>
        <w:rPr>
          <w:rFonts w:hint="eastAsia" w:ascii="宋体" w:hAnsi="宋体" w:cs="宋体"/>
          <w:color w:val="auto"/>
          <w:sz w:val="24"/>
          <w:szCs w:val="24"/>
          <w:highlight w:val="none"/>
        </w:rPr>
      </w:pPr>
      <w:r>
        <w:rPr>
          <w:rFonts w:hint="eastAsia" w:ascii="宋体" w:hAnsi="宋体" w:cs="宋体"/>
          <w:color w:val="auto"/>
          <w:sz w:val="24"/>
          <w:szCs w:val="24"/>
          <w:highlight w:val="none"/>
          <w:lang w:val="en-US" w:eastAsia="zh-CN"/>
        </w:rPr>
        <w:t>供应商</w:t>
      </w:r>
      <w:r>
        <w:rPr>
          <w:rFonts w:hint="eastAsia" w:ascii="宋体" w:hAnsi="宋体" w:cs="宋体"/>
          <w:color w:val="auto"/>
          <w:sz w:val="24"/>
          <w:szCs w:val="24"/>
          <w:highlight w:val="none"/>
        </w:rPr>
        <w:t>（单位盖章）：</w:t>
      </w:r>
    </w:p>
    <w:p w14:paraId="659575FA">
      <w:pPr>
        <w:pStyle w:val="11"/>
        <w:overflowPunct w:val="0"/>
        <w:spacing w:line="360" w:lineRule="auto"/>
        <w:ind w:right="420" w:firstLine="3360" w:firstLineChars="1400"/>
        <w:rPr>
          <w:rFonts w:hint="eastAsia" w:ascii="宋体" w:hAnsi="宋体" w:cs="宋体"/>
          <w:color w:val="auto"/>
          <w:sz w:val="24"/>
          <w:szCs w:val="24"/>
          <w:highlight w:val="none"/>
        </w:rPr>
      </w:pPr>
      <w:r>
        <w:rPr>
          <w:rFonts w:hint="eastAsia" w:ascii="宋体" w:hAnsi="宋体" w:cs="宋体"/>
          <w:color w:val="auto"/>
          <w:sz w:val="24"/>
          <w:szCs w:val="24"/>
          <w:highlight w:val="none"/>
        </w:rPr>
        <w:t xml:space="preserve">法定代表人或委托代理人（签字或盖章）：                         </w:t>
      </w:r>
    </w:p>
    <w:p w14:paraId="6F0E9A9D">
      <w:pPr>
        <w:spacing w:beforeLines="50" w:line="360" w:lineRule="auto"/>
        <w:ind w:right="-21" w:rightChars="-10" w:firstLine="470" w:firstLineChars="196"/>
        <w:jc w:val="right"/>
        <w:rPr>
          <w:rFonts w:hint="eastAsia" w:ascii="宋体" w:hAnsi="宋体" w:cs="宋体"/>
          <w:color w:val="auto"/>
          <w:sz w:val="24"/>
          <w:highlight w:val="none"/>
        </w:rPr>
      </w:pPr>
      <w:r>
        <w:rPr>
          <w:rFonts w:hint="eastAsia" w:ascii="宋体" w:hAnsi="宋体" w:cs="宋体"/>
          <w:color w:val="auto"/>
          <w:sz w:val="24"/>
          <w:highlight w:val="none"/>
        </w:rPr>
        <w:t>年  月  日</w:t>
      </w:r>
    </w:p>
    <w:p w14:paraId="00A20EFA">
      <w:pPr>
        <w:rPr>
          <w:color w:val="auto"/>
          <w:highlight w:val="none"/>
        </w:rPr>
      </w:pPr>
    </w:p>
    <w:p w14:paraId="1C118C5D">
      <w:pPr>
        <w:pStyle w:val="4"/>
        <w:keepNext w:val="0"/>
        <w:keepLines w:val="0"/>
        <w:pageBreakBefore/>
        <w:spacing w:line="415" w:lineRule="auto"/>
        <w:rPr>
          <w:rFonts w:hint="eastAsia" w:ascii="宋体" w:hAnsi="宋体" w:eastAsia="宋体" w:cs="宋体"/>
          <w:b w:val="0"/>
          <w:bCs w:val="0"/>
          <w:color w:val="auto"/>
          <w:sz w:val="24"/>
          <w:szCs w:val="24"/>
          <w:highlight w:val="none"/>
        </w:rPr>
      </w:pPr>
      <w:bookmarkStart w:id="90" w:name="_Toc26142"/>
      <w:bookmarkStart w:id="91" w:name="_Toc10463"/>
      <w:bookmarkStart w:id="92" w:name="_Toc16028"/>
      <w:bookmarkStart w:id="93" w:name="_Toc834"/>
      <w:r>
        <w:rPr>
          <w:rFonts w:hint="eastAsia" w:ascii="宋体" w:hAnsi="宋体" w:eastAsia="宋体" w:cs="宋体"/>
          <w:b w:val="0"/>
          <w:bCs w:val="0"/>
          <w:color w:val="auto"/>
          <w:sz w:val="24"/>
          <w:szCs w:val="24"/>
          <w:highlight w:val="none"/>
        </w:rPr>
        <w:t>附件</w:t>
      </w:r>
      <w:r>
        <w:rPr>
          <w:rFonts w:hint="eastAsia" w:ascii="宋体" w:hAnsi="宋体" w:eastAsia="宋体" w:cs="宋体"/>
          <w:b w:val="0"/>
          <w:bCs w:val="0"/>
          <w:color w:val="auto"/>
          <w:sz w:val="24"/>
          <w:szCs w:val="24"/>
          <w:highlight w:val="none"/>
          <w:lang w:val="en-US" w:eastAsia="zh-CN"/>
        </w:rPr>
        <w:t>十三</w:t>
      </w:r>
      <w:r>
        <w:rPr>
          <w:rFonts w:hint="eastAsia" w:ascii="宋体" w:hAnsi="宋体" w:eastAsia="宋体" w:cs="宋体"/>
          <w:b w:val="0"/>
          <w:bCs w:val="0"/>
          <w:color w:val="auto"/>
          <w:sz w:val="24"/>
          <w:szCs w:val="24"/>
          <w:highlight w:val="none"/>
        </w:rPr>
        <w:t>：安全生产及其他承诺函</w:t>
      </w:r>
      <w:bookmarkEnd w:id="90"/>
      <w:bookmarkEnd w:id="91"/>
      <w:bookmarkEnd w:id="92"/>
      <w:bookmarkEnd w:id="93"/>
    </w:p>
    <w:p w14:paraId="59FF5DA4">
      <w:pPr>
        <w:snapToGrid w:val="0"/>
        <w:spacing w:before="50" w:afterLines="50"/>
        <w:jc w:val="center"/>
        <w:rPr>
          <w:rFonts w:hint="eastAsia" w:ascii="宋体" w:hAnsi="宋体" w:cs="宋体"/>
          <w:b/>
          <w:color w:val="auto"/>
          <w:sz w:val="44"/>
          <w:szCs w:val="44"/>
          <w:highlight w:val="none"/>
        </w:rPr>
      </w:pPr>
      <w:r>
        <w:rPr>
          <w:rFonts w:hint="eastAsia" w:ascii="宋体" w:hAnsi="宋体" w:cs="宋体"/>
          <w:b/>
          <w:color w:val="auto"/>
          <w:sz w:val="44"/>
          <w:szCs w:val="44"/>
          <w:highlight w:val="none"/>
        </w:rPr>
        <w:t>安全生产及其他承诺函</w:t>
      </w:r>
    </w:p>
    <w:p w14:paraId="6B4E3238">
      <w:pPr>
        <w:snapToGrid w:val="0"/>
        <w:spacing w:before="50" w:afterLines="50"/>
        <w:jc w:val="left"/>
        <w:rPr>
          <w:rFonts w:hint="eastAsia" w:ascii="宋体" w:hAnsi="宋体" w:cs="宋体"/>
          <w:b/>
          <w:color w:val="auto"/>
          <w:sz w:val="24"/>
          <w:highlight w:val="none"/>
        </w:rPr>
      </w:pPr>
    </w:p>
    <w:p w14:paraId="0C1EB901">
      <w:pPr>
        <w:spacing w:line="360" w:lineRule="auto"/>
        <w:rPr>
          <w:rFonts w:hint="eastAsia" w:ascii="宋体" w:hAnsi="宋体" w:cs="宋体"/>
          <w:color w:val="auto"/>
          <w:sz w:val="28"/>
          <w:szCs w:val="28"/>
          <w:highlight w:val="none"/>
        </w:rPr>
      </w:pPr>
      <w:r>
        <w:rPr>
          <w:rFonts w:hint="eastAsia" w:ascii="宋体" w:hAnsi="宋体" w:cs="宋体"/>
          <w:color w:val="auto"/>
          <w:sz w:val="28"/>
          <w:szCs w:val="28"/>
          <w:highlight w:val="none"/>
        </w:rPr>
        <w:t>致：</w:t>
      </w:r>
      <w:r>
        <w:rPr>
          <w:rFonts w:hint="eastAsia" w:ascii="宋体" w:hAnsi="宋体" w:cs="宋体"/>
          <w:color w:val="auto"/>
          <w:sz w:val="28"/>
          <w:szCs w:val="28"/>
          <w:highlight w:val="none"/>
          <w:u w:val="none"/>
          <w:lang w:eastAsia="zh-CN"/>
        </w:rPr>
        <w:t>东阳市白云街道办事处</w:t>
      </w:r>
    </w:p>
    <w:p w14:paraId="71F139DF">
      <w:pPr>
        <w:spacing w:line="360" w:lineRule="auto"/>
        <w:ind w:firstLine="560" w:firstLineChars="200"/>
        <w:rPr>
          <w:rFonts w:hint="eastAsia" w:ascii="宋体" w:hAnsi="宋体" w:cs="宋体"/>
          <w:color w:val="auto"/>
          <w:sz w:val="28"/>
          <w:szCs w:val="28"/>
          <w:highlight w:val="none"/>
        </w:rPr>
      </w:pPr>
      <w:r>
        <w:rPr>
          <w:rFonts w:hint="eastAsia" w:ascii="宋体" w:hAnsi="宋体"/>
          <w:color w:val="auto"/>
          <w:sz w:val="28"/>
          <w:szCs w:val="28"/>
          <w:highlight w:val="none"/>
        </w:rPr>
        <w:t>根据贵方</w:t>
      </w:r>
      <w:r>
        <w:rPr>
          <w:rFonts w:hint="eastAsia" w:ascii="宋体" w:hAnsi="宋体"/>
          <w:color w:val="auto"/>
          <w:sz w:val="28"/>
          <w:szCs w:val="28"/>
          <w:highlight w:val="none"/>
          <w:u w:val="single"/>
        </w:rPr>
        <w:t xml:space="preserve">                        项目</w:t>
      </w:r>
      <w:r>
        <w:rPr>
          <w:rFonts w:hint="eastAsia" w:ascii="宋体" w:hAnsi="宋体"/>
          <w:color w:val="auto"/>
          <w:sz w:val="28"/>
          <w:szCs w:val="28"/>
          <w:highlight w:val="none"/>
          <w:lang w:val="en-US" w:eastAsia="zh-CN"/>
        </w:rPr>
        <w:t>招标</w:t>
      </w:r>
      <w:r>
        <w:rPr>
          <w:rFonts w:hint="eastAsia" w:ascii="宋体" w:hAnsi="宋体"/>
          <w:color w:val="auto"/>
          <w:sz w:val="28"/>
          <w:szCs w:val="28"/>
          <w:highlight w:val="none"/>
        </w:rPr>
        <w:t>公告（项目编号：</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），签字代表</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（全名）经正式授权并代表</w:t>
      </w:r>
      <w:r>
        <w:rPr>
          <w:rFonts w:hint="eastAsia" w:ascii="宋体" w:hAnsi="宋体"/>
          <w:color w:val="auto"/>
          <w:sz w:val="28"/>
          <w:szCs w:val="28"/>
          <w:highlight w:val="none"/>
          <w:lang w:val="en-US" w:eastAsia="zh-CN"/>
        </w:rPr>
        <w:t>磋商响应方</w:t>
      </w:r>
      <w:r>
        <w:rPr>
          <w:rFonts w:hint="eastAsia" w:ascii="宋体" w:hAnsi="宋体"/>
          <w:color w:val="auto"/>
          <w:sz w:val="28"/>
          <w:szCs w:val="28"/>
          <w:highlight w:val="none"/>
          <w:u w:val="single"/>
        </w:rPr>
        <w:t xml:space="preserve">                         </w:t>
      </w:r>
      <w:r>
        <w:rPr>
          <w:rFonts w:hint="eastAsia" w:ascii="宋体" w:hAnsi="宋体"/>
          <w:color w:val="auto"/>
          <w:sz w:val="28"/>
          <w:szCs w:val="28"/>
          <w:highlight w:val="none"/>
        </w:rPr>
        <w:t>（</w:t>
      </w:r>
      <w:r>
        <w:rPr>
          <w:rFonts w:hint="eastAsia" w:ascii="宋体" w:hAnsi="宋体"/>
          <w:color w:val="auto"/>
          <w:sz w:val="28"/>
          <w:szCs w:val="28"/>
          <w:highlight w:val="none"/>
          <w:lang w:val="en-US" w:eastAsia="zh-CN"/>
        </w:rPr>
        <w:t>磋商响应方</w:t>
      </w:r>
      <w:r>
        <w:rPr>
          <w:rFonts w:hint="eastAsia" w:ascii="宋体" w:hAnsi="宋体"/>
          <w:color w:val="auto"/>
          <w:sz w:val="28"/>
          <w:szCs w:val="28"/>
          <w:highlight w:val="none"/>
        </w:rPr>
        <w:t>名称）作出如下承诺：</w:t>
      </w:r>
    </w:p>
    <w:p w14:paraId="1D2F92CD">
      <w:pPr>
        <w:spacing w:line="360" w:lineRule="auto"/>
        <w:ind w:firstLine="560" w:firstLineChars="200"/>
        <w:rPr>
          <w:rFonts w:hint="eastAsia" w:ascii="宋体" w:hAnsi="宋体"/>
          <w:color w:val="auto"/>
          <w:sz w:val="28"/>
          <w:szCs w:val="28"/>
          <w:highlight w:val="none"/>
        </w:rPr>
      </w:pPr>
    </w:p>
    <w:p w14:paraId="182012DD">
      <w:pPr>
        <w:spacing w:line="360" w:lineRule="auto"/>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（1）我方承诺本项目在验收合格前所发生的一切经济、安全及其他责任事故以及验收合格后因</w:t>
      </w:r>
      <w:r>
        <w:rPr>
          <w:rFonts w:hint="eastAsia" w:ascii="宋体" w:hAnsi="宋体"/>
          <w:color w:val="auto"/>
          <w:sz w:val="28"/>
          <w:szCs w:val="28"/>
          <w:highlight w:val="none"/>
          <w:lang w:val="en-US" w:eastAsia="zh-CN"/>
        </w:rPr>
        <w:t>中标人</w:t>
      </w:r>
      <w:r>
        <w:rPr>
          <w:rFonts w:hint="eastAsia" w:ascii="宋体" w:hAnsi="宋体"/>
          <w:color w:val="auto"/>
          <w:sz w:val="28"/>
          <w:szCs w:val="28"/>
          <w:highlight w:val="none"/>
        </w:rPr>
        <w:t>原因导致的一切事故及损失均由我公司承担，与采购人无关。</w:t>
      </w:r>
    </w:p>
    <w:p w14:paraId="2804DAF5">
      <w:pPr>
        <w:spacing w:line="360" w:lineRule="auto"/>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（2）工期按</w:t>
      </w:r>
      <w:r>
        <w:rPr>
          <w:rFonts w:hint="eastAsia" w:ascii="宋体" w:hAnsi="宋体"/>
          <w:color w:val="auto"/>
          <w:sz w:val="28"/>
          <w:szCs w:val="28"/>
          <w:highlight w:val="none"/>
          <w:lang w:val="en-US" w:eastAsia="zh-CN"/>
        </w:rPr>
        <w:t>招标</w:t>
      </w:r>
      <w:r>
        <w:rPr>
          <w:rFonts w:hint="eastAsia" w:ascii="宋体" w:hAnsi="宋体"/>
          <w:color w:val="auto"/>
          <w:sz w:val="28"/>
          <w:szCs w:val="28"/>
          <w:highlight w:val="none"/>
        </w:rPr>
        <w:t>文件规定实行，如工期延误的，由我公司承担全部损失。</w:t>
      </w:r>
    </w:p>
    <w:p w14:paraId="418858FE">
      <w:pPr>
        <w:spacing w:line="360" w:lineRule="auto"/>
        <w:ind w:firstLine="560" w:firstLineChars="200"/>
        <w:rPr>
          <w:rFonts w:hint="eastAsia" w:ascii="宋体" w:hAnsi="宋体"/>
          <w:color w:val="auto"/>
          <w:sz w:val="28"/>
          <w:szCs w:val="28"/>
          <w:highlight w:val="none"/>
        </w:rPr>
      </w:pPr>
      <w:r>
        <w:rPr>
          <w:rFonts w:hint="eastAsia" w:ascii="宋体" w:hAnsi="宋体"/>
          <w:color w:val="auto"/>
          <w:sz w:val="28"/>
          <w:szCs w:val="28"/>
          <w:highlight w:val="none"/>
        </w:rPr>
        <w:t>（3）在施工过程中产生的垃圾，由我公司清运、处置。</w:t>
      </w:r>
    </w:p>
    <w:p w14:paraId="7F8F38AA">
      <w:pPr>
        <w:rPr>
          <w:rFonts w:hint="eastAsia" w:ascii="宋体" w:hAnsi="宋体" w:cs="宋体"/>
          <w:color w:val="auto"/>
          <w:sz w:val="28"/>
          <w:szCs w:val="28"/>
          <w:highlight w:val="none"/>
        </w:rPr>
      </w:pPr>
    </w:p>
    <w:p w14:paraId="6B36A150">
      <w:pPr>
        <w:spacing w:line="360" w:lineRule="auto"/>
        <w:rPr>
          <w:rFonts w:hint="eastAsia" w:ascii="宋体" w:hAnsi="宋体" w:cs="宋体"/>
          <w:color w:val="auto"/>
          <w:sz w:val="28"/>
          <w:szCs w:val="28"/>
          <w:highlight w:val="none"/>
        </w:rPr>
      </w:pPr>
    </w:p>
    <w:p w14:paraId="584AF038">
      <w:pPr>
        <w:spacing w:line="360" w:lineRule="auto"/>
        <w:ind w:firstLine="560" w:firstLineChars="200"/>
        <w:rPr>
          <w:rFonts w:hint="eastAsia" w:ascii="宋体" w:hAnsi="宋体"/>
          <w:color w:val="auto"/>
          <w:sz w:val="28"/>
          <w:szCs w:val="28"/>
          <w:highlight w:val="none"/>
        </w:rPr>
      </w:pPr>
    </w:p>
    <w:bookmarkEnd w:id="84"/>
    <w:bookmarkEnd w:id="85"/>
    <w:p w14:paraId="5F41E37E">
      <w:pPr>
        <w:spacing w:line="360" w:lineRule="auto"/>
        <w:ind w:firstLine="3920" w:firstLineChars="1400"/>
        <w:rPr>
          <w:rFonts w:hint="eastAsia" w:ascii="宋体" w:hAnsi="宋体"/>
          <w:color w:val="auto"/>
          <w:sz w:val="28"/>
          <w:szCs w:val="28"/>
          <w:highlight w:val="none"/>
        </w:rPr>
      </w:pPr>
      <w:r>
        <w:rPr>
          <w:rFonts w:hint="eastAsia" w:ascii="宋体" w:hAnsi="宋体"/>
          <w:color w:val="auto"/>
          <w:sz w:val="28"/>
          <w:szCs w:val="28"/>
          <w:highlight w:val="none"/>
          <w:lang w:val="en-US" w:eastAsia="zh-CN"/>
        </w:rPr>
        <w:t>供应商</w:t>
      </w:r>
      <w:r>
        <w:rPr>
          <w:rFonts w:hint="eastAsia" w:ascii="宋体" w:hAnsi="宋体"/>
          <w:color w:val="auto"/>
          <w:sz w:val="28"/>
          <w:szCs w:val="28"/>
          <w:highlight w:val="none"/>
        </w:rPr>
        <w:t>（单位盖章）：</w:t>
      </w:r>
    </w:p>
    <w:p w14:paraId="1A62646A">
      <w:pPr>
        <w:spacing w:line="360" w:lineRule="auto"/>
        <w:ind w:firstLine="3920" w:firstLineChars="1400"/>
        <w:rPr>
          <w:rFonts w:hint="eastAsia" w:ascii="宋体" w:hAnsi="宋体" w:cs="宋体"/>
          <w:color w:val="auto"/>
          <w:sz w:val="24"/>
          <w:szCs w:val="24"/>
          <w:highlight w:val="none"/>
        </w:rPr>
      </w:pPr>
      <w:r>
        <w:rPr>
          <w:rFonts w:hint="eastAsia" w:ascii="宋体" w:hAnsi="宋体"/>
          <w:color w:val="auto"/>
          <w:sz w:val="28"/>
          <w:szCs w:val="28"/>
          <w:highlight w:val="none"/>
        </w:rPr>
        <w:t xml:space="preserve">法定代表人或委托代理人（签字或盖章）：   </w:t>
      </w:r>
      <w:r>
        <w:rPr>
          <w:rFonts w:hint="eastAsia" w:ascii="宋体" w:hAnsi="宋体" w:cs="宋体"/>
          <w:color w:val="auto"/>
          <w:sz w:val="24"/>
          <w:szCs w:val="24"/>
          <w:highlight w:val="none"/>
        </w:rPr>
        <w:t xml:space="preserve">                      </w:t>
      </w:r>
    </w:p>
    <w:p w14:paraId="416A2697">
      <w:pPr>
        <w:spacing w:line="360" w:lineRule="auto"/>
        <w:ind w:firstLine="4480" w:firstLineChars="1600"/>
        <w:rPr>
          <w:rFonts w:hint="eastAsia" w:ascii="宋体" w:hAnsi="宋体"/>
          <w:color w:val="auto"/>
          <w:sz w:val="28"/>
          <w:szCs w:val="28"/>
          <w:highlight w:val="none"/>
          <w:lang w:val="en-US" w:eastAsia="zh-CN"/>
        </w:rPr>
      </w:pPr>
      <w:r>
        <w:rPr>
          <w:rFonts w:hint="eastAsia" w:ascii="宋体" w:hAnsi="宋体"/>
          <w:color w:val="auto"/>
          <w:sz w:val="28"/>
          <w:szCs w:val="28"/>
          <w:highlight w:val="none"/>
          <w:lang w:val="en-US" w:eastAsia="zh-CN"/>
        </w:rPr>
        <w:t>年  月  日</w:t>
      </w:r>
    </w:p>
    <w:p w14:paraId="14C0CFE5">
      <w:pPr>
        <w:pStyle w:val="4"/>
        <w:keepNext w:val="0"/>
        <w:keepLines w:val="0"/>
        <w:pageBreakBefore/>
        <w:spacing w:line="415" w:lineRule="auto"/>
        <w:rPr>
          <w:rFonts w:ascii="宋体" w:hAnsi="宋体" w:eastAsia="宋体" w:cs="宋体"/>
          <w:b w:val="0"/>
          <w:bCs w:val="0"/>
          <w:color w:val="auto"/>
          <w:sz w:val="24"/>
          <w:szCs w:val="24"/>
          <w:highlight w:val="none"/>
        </w:rPr>
      </w:pPr>
      <w:bookmarkStart w:id="94" w:name="_Toc143"/>
      <w:r>
        <w:rPr>
          <w:rFonts w:hint="eastAsia" w:ascii="宋体" w:hAnsi="宋体" w:eastAsia="宋体" w:cs="宋体"/>
          <w:b w:val="0"/>
          <w:bCs w:val="0"/>
          <w:color w:val="auto"/>
          <w:sz w:val="24"/>
          <w:szCs w:val="24"/>
          <w:highlight w:val="none"/>
        </w:rPr>
        <w:t>附件十</w:t>
      </w:r>
      <w:r>
        <w:rPr>
          <w:rFonts w:hint="eastAsia" w:ascii="宋体" w:hAnsi="宋体" w:eastAsia="宋体" w:cs="宋体"/>
          <w:b w:val="0"/>
          <w:bCs w:val="0"/>
          <w:color w:val="auto"/>
          <w:sz w:val="24"/>
          <w:szCs w:val="24"/>
          <w:highlight w:val="none"/>
          <w:lang w:val="en-US" w:eastAsia="zh-CN"/>
        </w:rPr>
        <w:t>四</w:t>
      </w:r>
      <w:r>
        <w:rPr>
          <w:rFonts w:hint="eastAsia" w:ascii="宋体" w:hAnsi="宋体" w:eastAsia="宋体" w:cs="宋体"/>
          <w:b w:val="0"/>
          <w:bCs w:val="0"/>
          <w:color w:val="auto"/>
          <w:sz w:val="24"/>
          <w:szCs w:val="24"/>
          <w:highlight w:val="none"/>
        </w:rPr>
        <w:t>：</w:t>
      </w:r>
      <w:bookmarkEnd w:id="86"/>
      <w:bookmarkEnd w:id="87"/>
      <w:bookmarkEnd w:id="88"/>
      <w:bookmarkStart w:id="95" w:name="_Toc20267"/>
      <w:bookmarkStart w:id="96" w:name="_Toc31096"/>
      <w:r>
        <w:rPr>
          <w:rFonts w:hint="eastAsia" w:ascii="宋体" w:hAnsi="宋体" w:eastAsia="宋体" w:cs="宋体"/>
          <w:b w:val="0"/>
          <w:bCs w:val="0"/>
          <w:color w:val="auto"/>
          <w:sz w:val="24"/>
          <w:szCs w:val="24"/>
          <w:highlight w:val="none"/>
        </w:rPr>
        <w:t>拟投入本项目</w:t>
      </w:r>
      <w:bookmarkEnd w:id="95"/>
      <w:r>
        <w:rPr>
          <w:rFonts w:hint="eastAsia" w:ascii="宋体" w:hAnsi="宋体" w:eastAsia="宋体" w:cs="宋体"/>
          <w:b w:val="0"/>
          <w:bCs w:val="0"/>
          <w:color w:val="auto"/>
          <w:sz w:val="24"/>
          <w:szCs w:val="24"/>
          <w:highlight w:val="none"/>
        </w:rPr>
        <w:t>人员一览表</w:t>
      </w:r>
      <w:bookmarkEnd w:id="94"/>
      <w:bookmarkEnd w:id="96"/>
    </w:p>
    <w:p w14:paraId="014E0D6E">
      <w:pPr>
        <w:jc w:val="center"/>
        <w:rPr>
          <w:rFonts w:ascii="宋体" w:hAnsi="宋体"/>
          <w:b/>
          <w:color w:val="auto"/>
          <w:sz w:val="28"/>
          <w:szCs w:val="28"/>
          <w:highlight w:val="none"/>
        </w:rPr>
      </w:pPr>
      <w:r>
        <w:rPr>
          <w:rFonts w:ascii="宋体" w:hAnsi="宋体"/>
          <w:b/>
          <w:color w:val="auto"/>
          <w:sz w:val="28"/>
          <w:szCs w:val="28"/>
          <w:highlight w:val="none"/>
        </w:rPr>
        <w:t>拟投入本项目人员一览表</w:t>
      </w:r>
    </w:p>
    <w:p w14:paraId="76268DA4">
      <w:pPr>
        <w:rPr>
          <w:rFonts w:ascii="宋体" w:hAnsi="宋体"/>
          <w:b/>
          <w:color w:val="auto"/>
          <w:sz w:val="28"/>
          <w:szCs w:val="28"/>
          <w:highlight w:val="none"/>
        </w:rPr>
      </w:pPr>
      <w:r>
        <w:rPr>
          <w:rFonts w:hint="eastAsia" w:ascii="宋体" w:hAnsi="宋体"/>
          <w:color w:val="auto"/>
          <w:sz w:val="24"/>
          <w:highlight w:val="none"/>
        </w:rPr>
        <w:t>项目名称：</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招标编号：</w:t>
      </w:r>
      <w:r>
        <w:rPr>
          <w:rFonts w:hint="eastAsia" w:ascii="宋体" w:hAnsi="宋体"/>
          <w:color w:val="auto"/>
          <w:sz w:val="24"/>
          <w:highlight w:val="none"/>
          <w:u w:val="single"/>
        </w:rPr>
        <w:t xml:space="preserve">             </w:t>
      </w:r>
      <w:r>
        <w:rPr>
          <w:rFonts w:hint="eastAsia" w:ascii="宋体" w:hAnsi="宋体"/>
          <w:color w:val="auto"/>
          <w:sz w:val="24"/>
          <w:highlight w:val="none"/>
        </w:rPr>
        <w:t xml:space="preserve">   </w:t>
      </w:r>
    </w:p>
    <w:tbl>
      <w:tblPr>
        <w:tblStyle w:val="39"/>
        <w:tblW w:w="0" w:type="auto"/>
        <w:tblInd w:w="10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260"/>
        <w:gridCol w:w="1080"/>
        <w:gridCol w:w="1080"/>
        <w:gridCol w:w="1440"/>
        <w:gridCol w:w="1620"/>
        <w:gridCol w:w="1458"/>
        <w:gridCol w:w="1505"/>
      </w:tblGrid>
      <w:tr w14:paraId="28DB83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3" w:hRule="atLeast"/>
        </w:trPr>
        <w:tc>
          <w:tcPr>
            <w:tcW w:w="1260" w:type="dxa"/>
            <w:vMerge w:val="restart"/>
            <w:noWrap w:val="0"/>
            <w:vAlign w:val="center"/>
          </w:tcPr>
          <w:p w14:paraId="5287D5F0">
            <w:pPr>
              <w:jc w:val="center"/>
              <w:rPr>
                <w:rFonts w:ascii="宋体" w:hAnsi="宋体"/>
                <w:color w:val="auto"/>
                <w:szCs w:val="21"/>
                <w:highlight w:val="none"/>
              </w:rPr>
            </w:pPr>
            <w:r>
              <w:rPr>
                <w:rFonts w:hint="eastAsia" w:ascii="宋体" w:hAnsi="宋体"/>
                <w:color w:val="auto"/>
                <w:szCs w:val="21"/>
                <w:highlight w:val="none"/>
              </w:rPr>
              <w:t>在本项目任职岗位</w:t>
            </w:r>
          </w:p>
        </w:tc>
        <w:tc>
          <w:tcPr>
            <w:tcW w:w="1080" w:type="dxa"/>
            <w:vMerge w:val="restart"/>
            <w:noWrap w:val="0"/>
            <w:vAlign w:val="center"/>
          </w:tcPr>
          <w:p w14:paraId="31A84A18">
            <w:pPr>
              <w:jc w:val="center"/>
              <w:rPr>
                <w:rFonts w:ascii="宋体" w:hAnsi="宋体"/>
                <w:color w:val="auto"/>
                <w:szCs w:val="21"/>
                <w:highlight w:val="none"/>
              </w:rPr>
            </w:pPr>
            <w:r>
              <w:rPr>
                <w:rFonts w:hint="eastAsia" w:ascii="宋体" w:hAnsi="宋体"/>
                <w:color w:val="auto"/>
                <w:szCs w:val="21"/>
                <w:highlight w:val="none"/>
              </w:rPr>
              <w:t>姓名</w:t>
            </w:r>
          </w:p>
        </w:tc>
        <w:tc>
          <w:tcPr>
            <w:tcW w:w="1080" w:type="dxa"/>
            <w:vMerge w:val="restart"/>
            <w:noWrap w:val="0"/>
            <w:vAlign w:val="center"/>
          </w:tcPr>
          <w:p w14:paraId="1BCDB4B8">
            <w:pPr>
              <w:jc w:val="center"/>
              <w:rPr>
                <w:rFonts w:ascii="宋体" w:hAnsi="宋体"/>
                <w:color w:val="auto"/>
                <w:szCs w:val="21"/>
                <w:highlight w:val="none"/>
              </w:rPr>
            </w:pPr>
            <w:r>
              <w:rPr>
                <w:rFonts w:hint="eastAsia" w:ascii="宋体" w:hAnsi="宋体"/>
                <w:color w:val="auto"/>
                <w:szCs w:val="21"/>
                <w:highlight w:val="none"/>
              </w:rPr>
              <w:t>职称</w:t>
            </w:r>
          </w:p>
        </w:tc>
        <w:tc>
          <w:tcPr>
            <w:tcW w:w="4518" w:type="dxa"/>
            <w:gridSpan w:val="3"/>
            <w:noWrap w:val="0"/>
            <w:vAlign w:val="center"/>
          </w:tcPr>
          <w:p w14:paraId="23550808">
            <w:pPr>
              <w:jc w:val="center"/>
              <w:rPr>
                <w:rFonts w:ascii="宋体" w:hAnsi="宋体"/>
                <w:color w:val="auto"/>
                <w:szCs w:val="21"/>
                <w:highlight w:val="none"/>
              </w:rPr>
            </w:pPr>
            <w:r>
              <w:rPr>
                <w:rFonts w:hint="eastAsia" w:ascii="宋体" w:hAnsi="宋体"/>
                <w:color w:val="auto"/>
                <w:szCs w:val="21"/>
                <w:highlight w:val="none"/>
              </w:rPr>
              <w:t>执业或职业资格证明</w:t>
            </w:r>
          </w:p>
        </w:tc>
        <w:tc>
          <w:tcPr>
            <w:tcW w:w="1505" w:type="dxa"/>
            <w:vMerge w:val="restart"/>
            <w:noWrap w:val="0"/>
            <w:vAlign w:val="center"/>
          </w:tcPr>
          <w:p w14:paraId="00F220D7">
            <w:pPr>
              <w:jc w:val="center"/>
              <w:rPr>
                <w:rFonts w:ascii="宋体" w:hAnsi="宋体"/>
                <w:color w:val="auto"/>
                <w:szCs w:val="21"/>
                <w:highlight w:val="none"/>
              </w:rPr>
            </w:pPr>
            <w:r>
              <w:rPr>
                <w:rFonts w:hint="eastAsia" w:ascii="宋体" w:hAnsi="宋体"/>
                <w:color w:val="auto"/>
                <w:szCs w:val="21"/>
                <w:highlight w:val="none"/>
              </w:rPr>
              <w:t>备注</w:t>
            </w:r>
          </w:p>
        </w:tc>
      </w:tr>
      <w:tr w14:paraId="130A91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4" w:hRule="atLeast"/>
        </w:trPr>
        <w:tc>
          <w:tcPr>
            <w:tcW w:w="1260" w:type="dxa"/>
            <w:vMerge w:val="continue"/>
            <w:noWrap w:val="0"/>
            <w:vAlign w:val="top"/>
          </w:tcPr>
          <w:p w14:paraId="09D26A73">
            <w:pPr>
              <w:rPr>
                <w:rFonts w:ascii="宋体" w:hAnsi="宋体"/>
                <w:color w:val="auto"/>
                <w:szCs w:val="21"/>
                <w:highlight w:val="none"/>
              </w:rPr>
            </w:pPr>
          </w:p>
        </w:tc>
        <w:tc>
          <w:tcPr>
            <w:tcW w:w="1080" w:type="dxa"/>
            <w:vMerge w:val="continue"/>
            <w:noWrap w:val="0"/>
            <w:vAlign w:val="top"/>
          </w:tcPr>
          <w:p w14:paraId="1DB07D28">
            <w:pPr>
              <w:rPr>
                <w:rFonts w:ascii="宋体" w:hAnsi="宋体"/>
                <w:color w:val="auto"/>
                <w:szCs w:val="21"/>
                <w:highlight w:val="none"/>
              </w:rPr>
            </w:pPr>
          </w:p>
        </w:tc>
        <w:tc>
          <w:tcPr>
            <w:tcW w:w="1080" w:type="dxa"/>
            <w:vMerge w:val="continue"/>
            <w:noWrap w:val="0"/>
            <w:vAlign w:val="top"/>
          </w:tcPr>
          <w:p w14:paraId="593600A1">
            <w:pPr>
              <w:rPr>
                <w:rFonts w:ascii="宋体" w:hAnsi="宋体"/>
                <w:color w:val="auto"/>
                <w:szCs w:val="21"/>
                <w:highlight w:val="none"/>
              </w:rPr>
            </w:pPr>
          </w:p>
        </w:tc>
        <w:tc>
          <w:tcPr>
            <w:tcW w:w="1440" w:type="dxa"/>
            <w:noWrap w:val="0"/>
            <w:vAlign w:val="center"/>
          </w:tcPr>
          <w:p w14:paraId="51E7E5F8">
            <w:pPr>
              <w:jc w:val="center"/>
              <w:rPr>
                <w:rFonts w:ascii="宋体" w:hAnsi="宋体"/>
                <w:color w:val="auto"/>
                <w:szCs w:val="21"/>
                <w:highlight w:val="none"/>
              </w:rPr>
            </w:pPr>
            <w:r>
              <w:rPr>
                <w:rFonts w:hint="eastAsia" w:ascii="宋体" w:hAnsi="宋体"/>
                <w:color w:val="auto"/>
                <w:szCs w:val="21"/>
                <w:highlight w:val="none"/>
              </w:rPr>
              <w:t>证书名称</w:t>
            </w:r>
          </w:p>
        </w:tc>
        <w:tc>
          <w:tcPr>
            <w:tcW w:w="1620" w:type="dxa"/>
            <w:noWrap w:val="0"/>
            <w:vAlign w:val="center"/>
          </w:tcPr>
          <w:p w14:paraId="431F7E61">
            <w:pPr>
              <w:jc w:val="center"/>
              <w:rPr>
                <w:rFonts w:ascii="宋体" w:hAnsi="宋体"/>
                <w:color w:val="auto"/>
                <w:szCs w:val="21"/>
                <w:highlight w:val="none"/>
              </w:rPr>
            </w:pPr>
            <w:r>
              <w:rPr>
                <w:rFonts w:hint="eastAsia" w:ascii="宋体" w:hAnsi="宋体"/>
                <w:color w:val="auto"/>
                <w:szCs w:val="21"/>
                <w:highlight w:val="none"/>
              </w:rPr>
              <w:t>级别</w:t>
            </w:r>
          </w:p>
        </w:tc>
        <w:tc>
          <w:tcPr>
            <w:tcW w:w="1458" w:type="dxa"/>
            <w:noWrap w:val="0"/>
            <w:vAlign w:val="center"/>
          </w:tcPr>
          <w:p w14:paraId="38CC4F01">
            <w:pPr>
              <w:jc w:val="center"/>
              <w:rPr>
                <w:rFonts w:ascii="宋体" w:hAnsi="宋体"/>
                <w:color w:val="auto"/>
                <w:szCs w:val="21"/>
                <w:highlight w:val="none"/>
              </w:rPr>
            </w:pPr>
            <w:r>
              <w:rPr>
                <w:rFonts w:hint="eastAsia" w:ascii="宋体" w:hAnsi="宋体"/>
                <w:color w:val="auto"/>
                <w:szCs w:val="21"/>
                <w:highlight w:val="none"/>
              </w:rPr>
              <w:t>证号</w:t>
            </w:r>
          </w:p>
        </w:tc>
        <w:tc>
          <w:tcPr>
            <w:tcW w:w="1505" w:type="dxa"/>
            <w:vMerge w:val="continue"/>
            <w:noWrap w:val="0"/>
            <w:vAlign w:val="top"/>
          </w:tcPr>
          <w:p w14:paraId="3EB2A130">
            <w:pPr>
              <w:rPr>
                <w:rFonts w:ascii="宋体" w:hAnsi="宋体"/>
                <w:color w:val="auto"/>
                <w:szCs w:val="21"/>
                <w:highlight w:val="none"/>
              </w:rPr>
            </w:pPr>
          </w:p>
        </w:tc>
      </w:tr>
      <w:tr w14:paraId="73EBFEC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noWrap w:val="0"/>
            <w:vAlign w:val="top"/>
          </w:tcPr>
          <w:p w14:paraId="19EFA692">
            <w:pPr>
              <w:rPr>
                <w:rFonts w:ascii="宋体" w:hAnsi="宋体"/>
                <w:color w:val="auto"/>
                <w:szCs w:val="21"/>
                <w:highlight w:val="none"/>
              </w:rPr>
            </w:pPr>
          </w:p>
        </w:tc>
        <w:tc>
          <w:tcPr>
            <w:tcW w:w="1080" w:type="dxa"/>
            <w:noWrap w:val="0"/>
            <w:vAlign w:val="top"/>
          </w:tcPr>
          <w:p w14:paraId="2A56E35B">
            <w:pPr>
              <w:rPr>
                <w:rFonts w:ascii="宋体" w:hAnsi="宋体"/>
                <w:color w:val="auto"/>
                <w:szCs w:val="21"/>
                <w:highlight w:val="none"/>
              </w:rPr>
            </w:pPr>
          </w:p>
        </w:tc>
        <w:tc>
          <w:tcPr>
            <w:tcW w:w="1080" w:type="dxa"/>
            <w:noWrap w:val="0"/>
            <w:vAlign w:val="top"/>
          </w:tcPr>
          <w:p w14:paraId="70D6E6CE">
            <w:pPr>
              <w:rPr>
                <w:rFonts w:ascii="宋体" w:hAnsi="宋体"/>
                <w:color w:val="auto"/>
                <w:szCs w:val="21"/>
                <w:highlight w:val="none"/>
              </w:rPr>
            </w:pPr>
          </w:p>
        </w:tc>
        <w:tc>
          <w:tcPr>
            <w:tcW w:w="1440" w:type="dxa"/>
            <w:noWrap w:val="0"/>
            <w:vAlign w:val="top"/>
          </w:tcPr>
          <w:p w14:paraId="57A0AD2B">
            <w:pPr>
              <w:rPr>
                <w:rFonts w:ascii="宋体" w:hAnsi="宋体"/>
                <w:color w:val="auto"/>
                <w:szCs w:val="21"/>
                <w:highlight w:val="none"/>
              </w:rPr>
            </w:pPr>
          </w:p>
        </w:tc>
        <w:tc>
          <w:tcPr>
            <w:tcW w:w="1620" w:type="dxa"/>
            <w:noWrap w:val="0"/>
            <w:vAlign w:val="top"/>
          </w:tcPr>
          <w:p w14:paraId="4D5A874C">
            <w:pPr>
              <w:rPr>
                <w:rFonts w:ascii="宋体" w:hAnsi="宋体"/>
                <w:color w:val="auto"/>
                <w:szCs w:val="21"/>
                <w:highlight w:val="none"/>
              </w:rPr>
            </w:pPr>
          </w:p>
        </w:tc>
        <w:tc>
          <w:tcPr>
            <w:tcW w:w="1458" w:type="dxa"/>
            <w:noWrap w:val="0"/>
            <w:vAlign w:val="top"/>
          </w:tcPr>
          <w:p w14:paraId="704C7A86">
            <w:pPr>
              <w:rPr>
                <w:rFonts w:ascii="宋体" w:hAnsi="宋体"/>
                <w:color w:val="auto"/>
                <w:szCs w:val="21"/>
                <w:highlight w:val="none"/>
              </w:rPr>
            </w:pPr>
          </w:p>
        </w:tc>
        <w:tc>
          <w:tcPr>
            <w:tcW w:w="1505" w:type="dxa"/>
            <w:noWrap w:val="0"/>
            <w:vAlign w:val="top"/>
          </w:tcPr>
          <w:p w14:paraId="7D6973B4">
            <w:pPr>
              <w:rPr>
                <w:rFonts w:ascii="宋体" w:hAnsi="宋体"/>
                <w:color w:val="auto"/>
                <w:szCs w:val="21"/>
                <w:highlight w:val="none"/>
              </w:rPr>
            </w:pPr>
          </w:p>
        </w:tc>
      </w:tr>
      <w:tr w14:paraId="71E2BA9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28397AA3">
            <w:pPr>
              <w:rPr>
                <w:rFonts w:ascii="宋体" w:hAnsi="宋体"/>
                <w:color w:val="auto"/>
                <w:szCs w:val="21"/>
                <w:highlight w:val="none"/>
              </w:rPr>
            </w:pPr>
          </w:p>
        </w:tc>
        <w:tc>
          <w:tcPr>
            <w:tcW w:w="1080" w:type="dxa"/>
            <w:noWrap w:val="0"/>
            <w:vAlign w:val="top"/>
          </w:tcPr>
          <w:p w14:paraId="38A8DC5D">
            <w:pPr>
              <w:rPr>
                <w:rFonts w:ascii="宋体" w:hAnsi="宋体"/>
                <w:color w:val="auto"/>
                <w:szCs w:val="21"/>
                <w:highlight w:val="none"/>
              </w:rPr>
            </w:pPr>
          </w:p>
        </w:tc>
        <w:tc>
          <w:tcPr>
            <w:tcW w:w="1080" w:type="dxa"/>
            <w:noWrap w:val="0"/>
            <w:vAlign w:val="top"/>
          </w:tcPr>
          <w:p w14:paraId="02CE3830">
            <w:pPr>
              <w:rPr>
                <w:rFonts w:ascii="宋体" w:hAnsi="宋体"/>
                <w:color w:val="auto"/>
                <w:szCs w:val="21"/>
                <w:highlight w:val="none"/>
              </w:rPr>
            </w:pPr>
          </w:p>
        </w:tc>
        <w:tc>
          <w:tcPr>
            <w:tcW w:w="1440" w:type="dxa"/>
            <w:noWrap w:val="0"/>
            <w:vAlign w:val="top"/>
          </w:tcPr>
          <w:p w14:paraId="043636D5">
            <w:pPr>
              <w:rPr>
                <w:rFonts w:ascii="宋体" w:hAnsi="宋体"/>
                <w:color w:val="auto"/>
                <w:szCs w:val="21"/>
                <w:highlight w:val="none"/>
              </w:rPr>
            </w:pPr>
          </w:p>
        </w:tc>
        <w:tc>
          <w:tcPr>
            <w:tcW w:w="1620" w:type="dxa"/>
            <w:noWrap w:val="0"/>
            <w:vAlign w:val="top"/>
          </w:tcPr>
          <w:p w14:paraId="398F5B96">
            <w:pPr>
              <w:rPr>
                <w:rFonts w:ascii="宋体" w:hAnsi="宋体"/>
                <w:color w:val="auto"/>
                <w:szCs w:val="21"/>
                <w:highlight w:val="none"/>
              </w:rPr>
            </w:pPr>
          </w:p>
        </w:tc>
        <w:tc>
          <w:tcPr>
            <w:tcW w:w="1458" w:type="dxa"/>
            <w:noWrap w:val="0"/>
            <w:vAlign w:val="top"/>
          </w:tcPr>
          <w:p w14:paraId="6B71283A">
            <w:pPr>
              <w:rPr>
                <w:rFonts w:ascii="宋体" w:hAnsi="宋体"/>
                <w:color w:val="auto"/>
                <w:szCs w:val="21"/>
                <w:highlight w:val="none"/>
              </w:rPr>
            </w:pPr>
          </w:p>
        </w:tc>
        <w:tc>
          <w:tcPr>
            <w:tcW w:w="1505" w:type="dxa"/>
            <w:noWrap w:val="0"/>
            <w:vAlign w:val="top"/>
          </w:tcPr>
          <w:p w14:paraId="4C87DF3F">
            <w:pPr>
              <w:rPr>
                <w:rFonts w:ascii="宋体" w:hAnsi="宋体"/>
                <w:color w:val="auto"/>
                <w:szCs w:val="21"/>
                <w:highlight w:val="none"/>
              </w:rPr>
            </w:pPr>
          </w:p>
        </w:tc>
      </w:tr>
      <w:tr w14:paraId="6B87BA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1321D838">
            <w:pPr>
              <w:rPr>
                <w:rFonts w:ascii="宋体" w:hAnsi="宋体"/>
                <w:color w:val="auto"/>
                <w:szCs w:val="21"/>
                <w:highlight w:val="none"/>
              </w:rPr>
            </w:pPr>
          </w:p>
        </w:tc>
        <w:tc>
          <w:tcPr>
            <w:tcW w:w="1080" w:type="dxa"/>
            <w:noWrap w:val="0"/>
            <w:vAlign w:val="top"/>
          </w:tcPr>
          <w:p w14:paraId="7509B94F">
            <w:pPr>
              <w:rPr>
                <w:rFonts w:ascii="宋体" w:hAnsi="宋体"/>
                <w:color w:val="auto"/>
                <w:szCs w:val="21"/>
                <w:highlight w:val="none"/>
              </w:rPr>
            </w:pPr>
          </w:p>
        </w:tc>
        <w:tc>
          <w:tcPr>
            <w:tcW w:w="1080" w:type="dxa"/>
            <w:noWrap w:val="0"/>
            <w:vAlign w:val="top"/>
          </w:tcPr>
          <w:p w14:paraId="50166E9F">
            <w:pPr>
              <w:rPr>
                <w:rFonts w:ascii="宋体" w:hAnsi="宋体"/>
                <w:color w:val="auto"/>
                <w:szCs w:val="21"/>
                <w:highlight w:val="none"/>
              </w:rPr>
            </w:pPr>
          </w:p>
        </w:tc>
        <w:tc>
          <w:tcPr>
            <w:tcW w:w="1440" w:type="dxa"/>
            <w:noWrap w:val="0"/>
            <w:vAlign w:val="top"/>
          </w:tcPr>
          <w:p w14:paraId="6BE5E97A">
            <w:pPr>
              <w:rPr>
                <w:rFonts w:ascii="宋体" w:hAnsi="宋体"/>
                <w:color w:val="auto"/>
                <w:szCs w:val="21"/>
                <w:highlight w:val="none"/>
              </w:rPr>
            </w:pPr>
          </w:p>
        </w:tc>
        <w:tc>
          <w:tcPr>
            <w:tcW w:w="1620" w:type="dxa"/>
            <w:noWrap w:val="0"/>
            <w:vAlign w:val="top"/>
          </w:tcPr>
          <w:p w14:paraId="07D2F226">
            <w:pPr>
              <w:rPr>
                <w:rFonts w:ascii="宋体" w:hAnsi="宋体"/>
                <w:color w:val="auto"/>
                <w:szCs w:val="21"/>
                <w:highlight w:val="none"/>
              </w:rPr>
            </w:pPr>
          </w:p>
        </w:tc>
        <w:tc>
          <w:tcPr>
            <w:tcW w:w="1458" w:type="dxa"/>
            <w:noWrap w:val="0"/>
            <w:vAlign w:val="top"/>
          </w:tcPr>
          <w:p w14:paraId="0DD3792D">
            <w:pPr>
              <w:rPr>
                <w:rFonts w:ascii="宋体" w:hAnsi="宋体"/>
                <w:color w:val="auto"/>
                <w:szCs w:val="21"/>
                <w:highlight w:val="none"/>
              </w:rPr>
            </w:pPr>
          </w:p>
        </w:tc>
        <w:tc>
          <w:tcPr>
            <w:tcW w:w="1505" w:type="dxa"/>
            <w:noWrap w:val="0"/>
            <w:vAlign w:val="top"/>
          </w:tcPr>
          <w:p w14:paraId="7EE0C0B6">
            <w:pPr>
              <w:rPr>
                <w:rFonts w:ascii="宋体" w:hAnsi="宋体"/>
                <w:color w:val="auto"/>
                <w:szCs w:val="21"/>
                <w:highlight w:val="none"/>
              </w:rPr>
            </w:pPr>
          </w:p>
        </w:tc>
      </w:tr>
      <w:tr w14:paraId="44B0F6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noWrap w:val="0"/>
            <w:vAlign w:val="top"/>
          </w:tcPr>
          <w:p w14:paraId="1063AA22">
            <w:pPr>
              <w:rPr>
                <w:rFonts w:ascii="宋体" w:hAnsi="宋体"/>
                <w:color w:val="auto"/>
                <w:szCs w:val="21"/>
                <w:highlight w:val="none"/>
              </w:rPr>
            </w:pPr>
          </w:p>
        </w:tc>
        <w:tc>
          <w:tcPr>
            <w:tcW w:w="1080" w:type="dxa"/>
            <w:noWrap w:val="0"/>
            <w:vAlign w:val="top"/>
          </w:tcPr>
          <w:p w14:paraId="067478D1">
            <w:pPr>
              <w:rPr>
                <w:rFonts w:ascii="宋体" w:hAnsi="宋体"/>
                <w:color w:val="auto"/>
                <w:szCs w:val="21"/>
                <w:highlight w:val="none"/>
              </w:rPr>
            </w:pPr>
          </w:p>
        </w:tc>
        <w:tc>
          <w:tcPr>
            <w:tcW w:w="1080" w:type="dxa"/>
            <w:noWrap w:val="0"/>
            <w:vAlign w:val="top"/>
          </w:tcPr>
          <w:p w14:paraId="2DFF0FCD">
            <w:pPr>
              <w:rPr>
                <w:rFonts w:ascii="宋体" w:hAnsi="宋体"/>
                <w:color w:val="auto"/>
                <w:szCs w:val="21"/>
                <w:highlight w:val="none"/>
              </w:rPr>
            </w:pPr>
          </w:p>
        </w:tc>
        <w:tc>
          <w:tcPr>
            <w:tcW w:w="1440" w:type="dxa"/>
            <w:noWrap w:val="0"/>
            <w:vAlign w:val="top"/>
          </w:tcPr>
          <w:p w14:paraId="375D51E0">
            <w:pPr>
              <w:rPr>
                <w:rFonts w:ascii="宋体" w:hAnsi="宋体"/>
                <w:color w:val="auto"/>
                <w:szCs w:val="21"/>
                <w:highlight w:val="none"/>
              </w:rPr>
            </w:pPr>
          </w:p>
        </w:tc>
        <w:tc>
          <w:tcPr>
            <w:tcW w:w="1620" w:type="dxa"/>
            <w:noWrap w:val="0"/>
            <w:vAlign w:val="top"/>
          </w:tcPr>
          <w:p w14:paraId="626FB5AD">
            <w:pPr>
              <w:rPr>
                <w:rFonts w:ascii="宋体" w:hAnsi="宋体"/>
                <w:color w:val="auto"/>
                <w:szCs w:val="21"/>
                <w:highlight w:val="none"/>
              </w:rPr>
            </w:pPr>
          </w:p>
        </w:tc>
        <w:tc>
          <w:tcPr>
            <w:tcW w:w="1458" w:type="dxa"/>
            <w:noWrap w:val="0"/>
            <w:vAlign w:val="top"/>
          </w:tcPr>
          <w:p w14:paraId="369EF6EF">
            <w:pPr>
              <w:rPr>
                <w:rFonts w:ascii="宋体" w:hAnsi="宋体"/>
                <w:color w:val="auto"/>
                <w:szCs w:val="21"/>
                <w:highlight w:val="none"/>
              </w:rPr>
            </w:pPr>
          </w:p>
        </w:tc>
        <w:tc>
          <w:tcPr>
            <w:tcW w:w="1505" w:type="dxa"/>
            <w:noWrap w:val="0"/>
            <w:vAlign w:val="top"/>
          </w:tcPr>
          <w:p w14:paraId="2734E532">
            <w:pPr>
              <w:rPr>
                <w:rFonts w:ascii="宋体" w:hAnsi="宋体"/>
                <w:color w:val="auto"/>
                <w:szCs w:val="21"/>
                <w:highlight w:val="none"/>
              </w:rPr>
            </w:pPr>
          </w:p>
        </w:tc>
      </w:tr>
      <w:tr w14:paraId="1306930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noWrap w:val="0"/>
            <w:vAlign w:val="top"/>
          </w:tcPr>
          <w:p w14:paraId="6F9DF0E4">
            <w:pPr>
              <w:rPr>
                <w:rFonts w:ascii="宋体" w:hAnsi="宋体"/>
                <w:color w:val="auto"/>
                <w:szCs w:val="21"/>
                <w:highlight w:val="none"/>
              </w:rPr>
            </w:pPr>
          </w:p>
        </w:tc>
        <w:tc>
          <w:tcPr>
            <w:tcW w:w="1080" w:type="dxa"/>
            <w:noWrap w:val="0"/>
            <w:vAlign w:val="top"/>
          </w:tcPr>
          <w:p w14:paraId="753060A8">
            <w:pPr>
              <w:rPr>
                <w:rFonts w:ascii="宋体" w:hAnsi="宋体"/>
                <w:color w:val="auto"/>
                <w:szCs w:val="21"/>
                <w:highlight w:val="none"/>
              </w:rPr>
            </w:pPr>
          </w:p>
        </w:tc>
        <w:tc>
          <w:tcPr>
            <w:tcW w:w="1080" w:type="dxa"/>
            <w:noWrap w:val="0"/>
            <w:vAlign w:val="top"/>
          </w:tcPr>
          <w:p w14:paraId="3E5DB45A">
            <w:pPr>
              <w:rPr>
                <w:rFonts w:ascii="宋体" w:hAnsi="宋体"/>
                <w:color w:val="auto"/>
                <w:szCs w:val="21"/>
                <w:highlight w:val="none"/>
              </w:rPr>
            </w:pPr>
          </w:p>
        </w:tc>
        <w:tc>
          <w:tcPr>
            <w:tcW w:w="1440" w:type="dxa"/>
            <w:noWrap w:val="0"/>
            <w:vAlign w:val="top"/>
          </w:tcPr>
          <w:p w14:paraId="7D7B0560">
            <w:pPr>
              <w:rPr>
                <w:rFonts w:ascii="宋体" w:hAnsi="宋体"/>
                <w:color w:val="auto"/>
                <w:szCs w:val="21"/>
                <w:highlight w:val="none"/>
              </w:rPr>
            </w:pPr>
          </w:p>
        </w:tc>
        <w:tc>
          <w:tcPr>
            <w:tcW w:w="1620" w:type="dxa"/>
            <w:noWrap w:val="0"/>
            <w:vAlign w:val="top"/>
          </w:tcPr>
          <w:p w14:paraId="3C81C342">
            <w:pPr>
              <w:rPr>
                <w:rFonts w:ascii="宋体" w:hAnsi="宋体"/>
                <w:color w:val="auto"/>
                <w:szCs w:val="21"/>
                <w:highlight w:val="none"/>
              </w:rPr>
            </w:pPr>
          </w:p>
        </w:tc>
        <w:tc>
          <w:tcPr>
            <w:tcW w:w="1458" w:type="dxa"/>
            <w:noWrap w:val="0"/>
            <w:vAlign w:val="top"/>
          </w:tcPr>
          <w:p w14:paraId="694F9EE5">
            <w:pPr>
              <w:rPr>
                <w:rFonts w:ascii="宋体" w:hAnsi="宋体"/>
                <w:color w:val="auto"/>
                <w:szCs w:val="21"/>
                <w:highlight w:val="none"/>
              </w:rPr>
            </w:pPr>
          </w:p>
        </w:tc>
        <w:tc>
          <w:tcPr>
            <w:tcW w:w="1505" w:type="dxa"/>
            <w:noWrap w:val="0"/>
            <w:vAlign w:val="top"/>
          </w:tcPr>
          <w:p w14:paraId="61511E84">
            <w:pPr>
              <w:rPr>
                <w:rFonts w:ascii="宋体" w:hAnsi="宋体"/>
                <w:color w:val="auto"/>
                <w:szCs w:val="21"/>
                <w:highlight w:val="none"/>
              </w:rPr>
            </w:pPr>
          </w:p>
        </w:tc>
      </w:tr>
      <w:tr w14:paraId="32DEECE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31DAC928">
            <w:pPr>
              <w:rPr>
                <w:rFonts w:ascii="宋体" w:hAnsi="宋体"/>
                <w:color w:val="auto"/>
                <w:szCs w:val="21"/>
                <w:highlight w:val="none"/>
              </w:rPr>
            </w:pPr>
          </w:p>
        </w:tc>
        <w:tc>
          <w:tcPr>
            <w:tcW w:w="1080" w:type="dxa"/>
            <w:noWrap w:val="0"/>
            <w:vAlign w:val="top"/>
          </w:tcPr>
          <w:p w14:paraId="1AB28206">
            <w:pPr>
              <w:rPr>
                <w:rFonts w:ascii="宋体" w:hAnsi="宋体"/>
                <w:color w:val="auto"/>
                <w:szCs w:val="21"/>
                <w:highlight w:val="none"/>
              </w:rPr>
            </w:pPr>
          </w:p>
        </w:tc>
        <w:tc>
          <w:tcPr>
            <w:tcW w:w="1080" w:type="dxa"/>
            <w:noWrap w:val="0"/>
            <w:vAlign w:val="top"/>
          </w:tcPr>
          <w:p w14:paraId="122F1B20">
            <w:pPr>
              <w:rPr>
                <w:rFonts w:ascii="宋体" w:hAnsi="宋体"/>
                <w:color w:val="auto"/>
                <w:szCs w:val="21"/>
                <w:highlight w:val="none"/>
              </w:rPr>
            </w:pPr>
          </w:p>
        </w:tc>
        <w:tc>
          <w:tcPr>
            <w:tcW w:w="1440" w:type="dxa"/>
            <w:noWrap w:val="0"/>
            <w:vAlign w:val="top"/>
          </w:tcPr>
          <w:p w14:paraId="59394335">
            <w:pPr>
              <w:rPr>
                <w:rFonts w:ascii="宋体" w:hAnsi="宋体"/>
                <w:color w:val="auto"/>
                <w:szCs w:val="21"/>
                <w:highlight w:val="none"/>
              </w:rPr>
            </w:pPr>
          </w:p>
        </w:tc>
        <w:tc>
          <w:tcPr>
            <w:tcW w:w="1620" w:type="dxa"/>
            <w:noWrap w:val="0"/>
            <w:vAlign w:val="top"/>
          </w:tcPr>
          <w:p w14:paraId="7EFB05AC">
            <w:pPr>
              <w:rPr>
                <w:rFonts w:ascii="宋体" w:hAnsi="宋体"/>
                <w:color w:val="auto"/>
                <w:szCs w:val="21"/>
                <w:highlight w:val="none"/>
              </w:rPr>
            </w:pPr>
          </w:p>
        </w:tc>
        <w:tc>
          <w:tcPr>
            <w:tcW w:w="1458" w:type="dxa"/>
            <w:noWrap w:val="0"/>
            <w:vAlign w:val="top"/>
          </w:tcPr>
          <w:p w14:paraId="41F710B7">
            <w:pPr>
              <w:rPr>
                <w:rFonts w:ascii="宋体" w:hAnsi="宋体"/>
                <w:color w:val="auto"/>
                <w:szCs w:val="21"/>
                <w:highlight w:val="none"/>
              </w:rPr>
            </w:pPr>
          </w:p>
        </w:tc>
        <w:tc>
          <w:tcPr>
            <w:tcW w:w="1505" w:type="dxa"/>
            <w:noWrap w:val="0"/>
            <w:vAlign w:val="top"/>
          </w:tcPr>
          <w:p w14:paraId="187BFD3B">
            <w:pPr>
              <w:rPr>
                <w:rFonts w:ascii="宋体" w:hAnsi="宋体"/>
                <w:color w:val="auto"/>
                <w:szCs w:val="21"/>
                <w:highlight w:val="none"/>
              </w:rPr>
            </w:pPr>
          </w:p>
        </w:tc>
      </w:tr>
      <w:tr w14:paraId="266DFB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56FACA31">
            <w:pPr>
              <w:rPr>
                <w:rFonts w:ascii="宋体" w:hAnsi="宋体"/>
                <w:color w:val="auto"/>
                <w:szCs w:val="21"/>
                <w:highlight w:val="none"/>
              </w:rPr>
            </w:pPr>
          </w:p>
        </w:tc>
        <w:tc>
          <w:tcPr>
            <w:tcW w:w="1080" w:type="dxa"/>
            <w:noWrap w:val="0"/>
            <w:vAlign w:val="top"/>
          </w:tcPr>
          <w:p w14:paraId="0E04A15C">
            <w:pPr>
              <w:rPr>
                <w:rFonts w:ascii="宋体" w:hAnsi="宋体"/>
                <w:color w:val="auto"/>
                <w:szCs w:val="21"/>
                <w:highlight w:val="none"/>
              </w:rPr>
            </w:pPr>
          </w:p>
        </w:tc>
        <w:tc>
          <w:tcPr>
            <w:tcW w:w="1080" w:type="dxa"/>
            <w:noWrap w:val="0"/>
            <w:vAlign w:val="top"/>
          </w:tcPr>
          <w:p w14:paraId="7F72D969">
            <w:pPr>
              <w:rPr>
                <w:rFonts w:ascii="宋体" w:hAnsi="宋体"/>
                <w:color w:val="auto"/>
                <w:szCs w:val="21"/>
                <w:highlight w:val="none"/>
              </w:rPr>
            </w:pPr>
          </w:p>
        </w:tc>
        <w:tc>
          <w:tcPr>
            <w:tcW w:w="1440" w:type="dxa"/>
            <w:noWrap w:val="0"/>
            <w:vAlign w:val="top"/>
          </w:tcPr>
          <w:p w14:paraId="08F3C0F2">
            <w:pPr>
              <w:rPr>
                <w:rFonts w:ascii="宋体" w:hAnsi="宋体"/>
                <w:color w:val="auto"/>
                <w:szCs w:val="21"/>
                <w:highlight w:val="none"/>
              </w:rPr>
            </w:pPr>
          </w:p>
        </w:tc>
        <w:tc>
          <w:tcPr>
            <w:tcW w:w="1620" w:type="dxa"/>
            <w:noWrap w:val="0"/>
            <w:vAlign w:val="top"/>
          </w:tcPr>
          <w:p w14:paraId="013558E1">
            <w:pPr>
              <w:rPr>
                <w:rFonts w:ascii="宋体" w:hAnsi="宋体"/>
                <w:color w:val="auto"/>
                <w:szCs w:val="21"/>
                <w:highlight w:val="none"/>
              </w:rPr>
            </w:pPr>
          </w:p>
        </w:tc>
        <w:tc>
          <w:tcPr>
            <w:tcW w:w="1458" w:type="dxa"/>
            <w:noWrap w:val="0"/>
            <w:vAlign w:val="top"/>
          </w:tcPr>
          <w:p w14:paraId="14430B4A">
            <w:pPr>
              <w:rPr>
                <w:rFonts w:ascii="宋体" w:hAnsi="宋体"/>
                <w:color w:val="auto"/>
                <w:szCs w:val="21"/>
                <w:highlight w:val="none"/>
              </w:rPr>
            </w:pPr>
          </w:p>
        </w:tc>
        <w:tc>
          <w:tcPr>
            <w:tcW w:w="1505" w:type="dxa"/>
            <w:noWrap w:val="0"/>
            <w:vAlign w:val="top"/>
          </w:tcPr>
          <w:p w14:paraId="211E1C13">
            <w:pPr>
              <w:rPr>
                <w:rFonts w:ascii="宋体" w:hAnsi="宋体"/>
                <w:color w:val="auto"/>
                <w:szCs w:val="21"/>
                <w:highlight w:val="none"/>
              </w:rPr>
            </w:pPr>
          </w:p>
        </w:tc>
      </w:tr>
      <w:tr w14:paraId="7F6D840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8" w:hRule="atLeast"/>
        </w:trPr>
        <w:tc>
          <w:tcPr>
            <w:tcW w:w="1260" w:type="dxa"/>
            <w:noWrap w:val="0"/>
            <w:vAlign w:val="top"/>
          </w:tcPr>
          <w:p w14:paraId="25D9F511">
            <w:pPr>
              <w:rPr>
                <w:rFonts w:ascii="宋体" w:hAnsi="宋体"/>
                <w:color w:val="auto"/>
                <w:szCs w:val="21"/>
                <w:highlight w:val="none"/>
              </w:rPr>
            </w:pPr>
          </w:p>
        </w:tc>
        <w:tc>
          <w:tcPr>
            <w:tcW w:w="1080" w:type="dxa"/>
            <w:noWrap w:val="0"/>
            <w:vAlign w:val="top"/>
          </w:tcPr>
          <w:p w14:paraId="76867061">
            <w:pPr>
              <w:rPr>
                <w:rFonts w:ascii="宋体" w:hAnsi="宋体"/>
                <w:color w:val="auto"/>
                <w:szCs w:val="21"/>
                <w:highlight w:val="none"/>
              </w:rPr>
            </w:pPr>
          </w:p>
        </w:tc>
        <w:tc>
          <w:tcPr>
            <w:tcW w:w="1080" w:type="dxa"/>
            <w:noWrap w:val="0"/>
            <w:vAlign w:val="top"/>
          </w:tcPr>
          <w:p w14:paraId="3F0F300E">
            <w:pPr>
              <w:rPr>
                <w:rFonts w:ascii="宋体" w:hAnsi="宋体"/>
                <w:color w:val="auto"/>
                <w:szCs w:val="21"/>
                <w:highlight w:val="none"/>
              </w:rPr>
            </w:pPr>
          </w:p>
        </w:tc>
        <w:tc>
          <w:tcPr>
            <w:tcW w:w="1440" w:type="dxa"/>
            <w:noWrap w:val="0"/>
            <w:vAlign w:val="top"/>
          </w:tcPr>
          <w:p w14:paraId="57FDBA64">
            <w:pPr>
              <w:rPr>
                <w:rFonts w:ascii="宋体" w:hAnsi="宋体"/>
                <w:color w:val="auto"/>
                <w:szCs w:val="21"/>
                <w:highlight w:val="none"/>
              </w:rPr>
            </w:pPr>
          </w:p>
        </w:tc>
        <w:tc>
          <w:tcPr>
            <w:tcW w:w="1620" w:type="dxa"/>
            <w:noWrap w:val="0"/>
            <w:vAlign w:val="top"/>
          </w:tcPr>
          <w:p w14:paraId="4CB21200">
            <w:pPr>
              <w:rPr>
                <w:rFonts w:ascii="宋体" w:hAnsi="宋体"/>
                <w:color w:val="auto"/>
                <w:szCs w:val="21"/>
                <w:highlight w:val="none"/>
              </w:rPr>
            </w:pPr>
          </w:p>
        </w:tc>
        <w:tc>
          <w:tcPr>
            <w:tcW w:w="1458" w:type="dxa"/>
            <w:noWrap w:val="0"/>
            <w:vAlign w:val="top"/>
          </w:tcPr>
          <w:p w14:paraId="5EE3DFCB">
            <w:pPr>
              <w:rPr>
                <w:rFonts w:ascii="宋体" w:hAnsi="宋体"/>
                <w:color w:val="auto"/>
                <w:szCs w:val="21"/>
                <w:highlight w:val="none"/>
              </w:rPr>
            </w:pPr>
          </w:p>
        </w:tc>
        <w:tc>
          <w:tcPr>
            <w:tcW w:w="1505" w:type="dxa"/>
            <w:noWrap w:val="0"/>
            <w:vAlign w:val="top"/>
          </w:tcPr>
          <w:p w14:paraId="69FE4113">
            <w:pPr>
              <w:rPr>
                <w:rFonts w:ascii="宋体" w:hAnsi="宋体"/>
                <w:color w:val="auto"/>
                <w:szCs w:val="21"/>
                <w:highlight w:val="none"/>
              </w:rPr>
            </w:pPr>
          </w:p>
        </w:tc>
      </w:tr>
      <w:tr w14:paraId="7B5CEE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493D9507">
            <w:pPr>
              <w:rPr>
                <w:rFonts w:ascii="宋体" w:hAnsi="宋体"/>
                <w:color w:val="auto"/>
                <w:szCs w:val="21"/>
                <w:highlight w:val="none"/>
              </w:rPr>
            </w:pPr>
          </w:p>
        </w:tc>
        <w:tc>
          <w:tcPr>
            <w:tcW w:w="1080" w:type="dxa"/>
            <w:noWrap w:val="0"/>
            <w:vAlign w:val="top"/>
          </w:tcPr>
          <w:p w14:paraId="6EEB74ED">
            <w:pPr>
              <w:rPr>
                <w:rFonts w:ascii="宋体" w:hAnsi="宋体"/>
                <w:color w:val="auto"/>
                <w:szCs w:val="21"/>
                <w:highlight w:val="none"/>
              </w:rPr>
            </w:pPr>
          </w:p>
        </w:tc>
        <w:tc>
          <w:tcPr>
            <w:tcW w:w="1080" w:type="dxa"/>
            <w:noWrap w:val="0"/>
            <w:vAlign w:val="top"/>
          </w:tcPr>
          <w:p w14:paraId="1FBF63FF">
            <w:pPr>
              <w:rPr>
                <w:rFonts w:ascii="宋体" w:hAnsi="宋体"/>
                <w:color w:val="auto"/>
                <w:szCs w:val="21"/>
                <w:highlight w:val="none"/>
              </w:rPr>
            </w:pPr>
          </w:p>
        </w:tc>
        <w:tc>
          <w:tcPr>
            <w:tcW w:w="1440" w:type="dxa"/>
            <w:noWrap w:val="0"/>
            <w:vAlign w:val="top"/>
          </w:tcPr>
          <w:p w14:paraId="7E741832">
            <w:pPr>
              <w:rPr>
                <w:rFonts w:ascii="宋体" w:hAnsi="宋体"/>
                <w:color w:val="auto"/>
                <w:szCs w:val="21"/>
                <w:highlight w:val="none"/>
              </w:rPr>
            </w:pPr>
          </w:p>
        </w:tc>
        <w:tc>
          <w:tcPr>
            <w:tcW w:w="1620" w:type="dxa"/>
            <w:noWrap w:val="0"/>
            <w:vAlign w:val="top"/>
          </w:tcPr>
          <w:p w14:paraId="29E8FB7D">
            <w:pPr>
              <w:rPr>
                <w:rFonts w:ascii="宋体" w:hAnsi="宋体"/>
                <w:color w:val="auto"/>
                <w:szCs w:val="21"/>
                <w:highlight w:val="none"/>
              </w:rPr>
            </w:pPr>
          </w:p>
        </w:tc>
        <w:tc>
          <w:tcPr>
            <w:tcW w:w="1458" w:type="dxa"/>
            <w:noWrap w:val="0"/>
            <w:vAlign w:val="top"/>
          </w:tcPr>
          <w:p w14:paraId="462DE7B5">
            <w:pPr>
              <w:rPr>
                <w:rFonts w:ascii="宋体" w:hAnsi="宋体"/>
                <w:color w:val="auto"/>
                <w:szCs w:val="21"/>
                <w:highlight w:val="none"/>
              </w:rPr>
            </w:pPr>
          </w:p>
        </w:tc>
        <w:tc>
          <w:tcPr>
            <w:tcW w:w="1505" w:type="dxa"/>
            <w:noWrap w:val="0"/>
            <w:vAlign w:val="top"/>
          </w:tcPr>
          <w:p w14:paraId="6EBC88A9">
            <w:pPr>
              <w:rPr>
                <w:rFonts w:ascii="宋体" w:hAnsi="宋体"/>
                <w:color w:val="auto"/>
                <w:szCs w:val="21"/>
                <w:highlight w:val="none"/>
              </w:rPr>
            </w:pPr>
          </w:p>
        </w:tc>
      </w:tr>
      <w:tr w14:paraId="55E7363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41D28128">
            <w:pPr>
              <w:rPr>
                <w:rFonts w:ascii="宋体" w:hAnsi="宋体"/>
                <w:color w:val="auto"/>
                <w:szCs w:val="21"/>
                <w:highlight w:val="none"/>
              </w:rPr>
            </w:pPr>
          </w:p>
        </w:tc>
        <w:tc>
          <w:tcPr>
            <w:tcW w:w="1080" w:type="dxa"/>
            <w:noWrap w:val="0"/>
            <w:vAlign w:val="top"/>
          </w:tcPr>
          <w:p w14:paraId="3CF22ABA">
            <w:pPr>
              <w:rPr>
                <w:rFonts w:ascii="宋体" w:hAnsi="宋体"/>
                <w:color w:val="auto"/>
                <w:szCs w:val="21"/>
                <w:highlight w:val="none"/>
              </w:rPr>
            </w:pPr>
          </w:p>
        </w:tc>
        <w:tc>
          <w:tcPr>
            <w:tcW w:w="1080" w:type="dxa"/>
            <w:noWrap w:val="0"/>
            <w:vAlign w:val="top"/>
          </w:tcPr>
          <w:p w14:paraId="2AA91567">
            <w:pPr>
              <w:rPr>
                <w:rFonts w:ascii="宋体" w:hAnsi="宋体"/>
                <w:color w:val="auto"/>
                <w:szCs w:val="21"/>
                <w:highlight w:val="none"/>
              </w:rPr>
            </w:pPr>
          </w:p>
        </w:tc>
        <w:tc>
          <w:tcPr>
            <w:tcW w:w="1440" w:type="dxa"/>
            <w:noWrap w:val="0"/>
            <w:vAlign w:val="top"/>
          </w:tcPr>
          <w:p w14:paraId="3E97CFC8">
            <w:pPr>
              <w:rPr>
                <w:rFonts w:ascii="宋体" w:hAnsi="宋体"/>
                <w:color w:val="auto"/>
                <w:szCs w:val="21"/>
                <w:highlight w:val="none"/>
              </w:rPr>
            </w:pPr>
          </w:p>
        </w:tc>
        <w:tc>
          <w:tcPr>
            <w:tcW w:w="1620" w:type="dxa"/>
            <w:noWrap w:val="0"/>
            <w:vAlign w:val="top"/>
          </w:tcPr>
          <w:p w14:paraId="66D268B6">
            <w:pPr>
              <w:rPr>
                <w:rFonts w:ascii="宋体" w:hAnsi="宋体"/>
                <w:color w:val="auto"/>
                <w:szCs w:val="21"/>
                <w:highlight w:val="none"/>
              </w:rPr>
            </w:pPr>
          </w:p>
        </w:tc>
        <w:tc>
          <w:tcPr>
            <w:tcW w:w="1458" w:type="dxa"/>
            <w:noWrap w:val="0"/>
            <w:vAlign w:val="top"/>
          </w:tcPr>
          <w:p w14:paraId="118CBDCE">
            <w:pPr>
              <w:rPr>
                <w:rFonts w:ascii="宋体" w:hAnsi="宋体"/>
                <w:color w:val="auto"/>
                <w:szCs w:val="21"/>
                <w:highlight w:val="none"/>
              </w:rPr>
            </w:pPr>
          </w:p>
        </w:tc>
        <w:tc>
          <w:tcPr>
            <w:tcW w:w="1505" w:type="dxa"/>
            <w:noWrap w:val="0"/>
            <w:vAlign w:val="top"/>
          </w:tcPr>
          <w:p w14:paraId="31A1053F">
            <w:pPr>
              <w:rPr>
                <w:rFonts w:ascii="宋体" w:hAnsi="宋体"/>
                <w:color w:val="auto"/>
                <w:szCs w:val="21"/>
                <w:highlight w:val="none"/>
              </w:rPr>
            </w:pPr>
          </w:p>
        </w:tc>
      </w:tr>
      <w:tr w14:paraId="2CD30D1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7B0D3E92">
            <w:pPr>
              <w:rPr>
                <w:rFonts w:ascii="宋体" w:hAnsi="宋体"/>
                <w:color w:val="auto"/>
                <w:szCs w:val="21"/>
                <w:highlight w:val="none"/>
              </w:rPr>
            </w:pPr>
          </w:p>
        </w:tc>
        <w:tc>
          <w:tcPr>
            <w:tcW w:w="1080" w:type="dxa"/>
            <w:noWrap w:val="0"/>
            <w:vAlign w:val="top"/>
          </w:tcPr>
          <w:p w14:paraId="512A73ED">
            <w:pPr>
              <w:rPr>
                <w:rFonts w:ascii="宋体" w:hAnsi="宋体"/>
                <w:color w:val="auto"/>
                <w:szCs w:val="21"/>
                <w:highlight w:val="none"/>
              </w:rPr>
            </w:pPr>
          </w:p>
        </w:tc>
        <w:tc>
          <w:tcPr>
            <w:tcW w:w="1080" w:type="dxa"/>
            <w:noWrap w:val="0"/>
            <w:vAlign w:val="top"/>
          </w:tcPr>
          <w:p w14:paraId="31372F23">
            <w:pPr>
              <w:rPr>
                <w:rFonts w:ascii="宋体" w:hAnsi="宋体"/>
                <w:color w:val="auto"/>
                <w:szCs w:val="21"/>
                <w:highlight w:val="none"/>
              </w:rPr>
            </w:pPr>
          </w:p>
        </w:tc>
        <w:tc>
          <w:tcPr>
            <w:tcW w:w="1440" w:type="dxa"/>
            <w:noWrap w:val="0"/>
            <w:vAlign w:val="top"/>
          </w:tcPr>
          <w:p w14:paraId="71FD58B6">
            <w:pPr>
              <w:rPr>
                <w:rFonts w:ascii="宋体" w:hAnsi="宋体"/>
                <w:color w:val="auto"/>
                <w:szCs w:val="21"/>
                <w:highlight w:val="none"/>
              </w:rPr>
            </w:pPr>
          </w:p>
        </w:tc>
        <w:tc>
          <w:tcPr>
            <w:tcW w:w="1620" w:type="dxa"/>
            <w:noWrap w:val="0"/>
            <w:vAlign w:val="top"/>
          </w:tcPr>
          <w:p w14:paraId="78398B0D">
            <w:pPr>
              <w:rPr>
                <w:rFonts w:ascii="宋体" w:hAnsi="宋体"/>
                <w:color w:val="auto"/>
                <w:szCs w:val="21"/>
                <w:highlight w:val="none"/>
              </w:rPr>
            </w:pPr>
          </w:p>
        </w:tc>
        <w:tc>
          <w:tcPr>
            <w:tcW w:w="1458" w:type="dxa"/>
            <w:noWrap w:val="0"/>
            <w:vAlign w:val="top"/>
          </w:tcPr>
          <w:p w14:paraId="7E67F0DB">
            <w:pPr>
              <w:rPr>
                <w:rFonts w:ascii="宋体" w:hAnsi="宋体"/>
                <w:color w:val="auto"/>
                <w:szCs w:val="21"/>
                <w:highlight w:val="none"/>
              </w:rPr>
            </w:pPr>
          </w:p>
        </w:tc>
        <w:tc>
          <w:tcPr>
            <w:tcW w:w="1505" w:type="dxa"/>
            <w:noWrap w:val="0"/>
            <w:vAlign w:val="top"/>
          </w:tcPr>
          <w:p w14:paraId="74FA3A29">
            <w:pPr>
              <w:rPr>
                <w:rFonts w:ascii="宋体" w:hAnsi="宋体"/>
                <w:color w:val="auto"/>
                <w:szCs w:val="21"/>
                <w:highlight w:val="none"/>
              </w:rPr>
            </w:pPr>
          </w:p>
        </w:tc>
      </w:tr>
      <w:tr w14:paraId="1EF5C5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89" w:hRule="atLeast"/>
        </w:trPr>
        <w:tc>
          <w:tcPr>
            <w:tcW w:w="1260" w:type="dxa"/>
            <w:noWrap w:val="0"/>
            <w:vAlign w:val="top"/>
          </w:tcPr>
          <w:p w14:paraId="6E7BCFC0">
            <w:pPr>
              <w:rPr>
                <w:rFonts w:ascii="宋体" w:hAnsi="宋体"/>
                <w:color w:val="auto"/>
                <w:szCs w:val="21"/>
                <w:highlight w:val="none"/>
              </w:rPr>
            </w:pPr>
          </w:p>
        </w:tc>
        <w:tc>
          <w:tcPr>
            <w:tcW w:w="1080" w:type="dxa"/>
            <w:noWrap w:val="0"/>
            <w:vAlign w:val="top"/>
          </w:tcPr>
          <w:p w14:paraId="5B4138B6">
            <w:pPr>
              <w:rPr>
                <w:rFonts w:ascii="宋体" w:hAnsi="宋体"/>
                <w:color w:val="auto"/>
                <w:szCs w:val="21"/>
                <w:highlight w:val="none"/>
              </w:rPr>
            </w:pPr>
          </w:p>
        </w:tc>
        <w:tc>
          <w:tcPr>
            <w:tcW w:w="1080" w:type="dxa"/>
            <w:noWrap w:val="0"/>
            <w:vAlign w:val="top"/>
          </w:tcPr>
          <w:p w14:paraId="5D09B7AF">
            <w:pPr>
              <w:rPr>
                <w:rFonts w:ascii="宋体" w:hAnsi="宋体"/>
                <w:color w:val="auto"/>
                <w:szCs w:val="21"/>
                <w:highlight w:val="none"/>
              </w:rPr>
            </w:pPr>
          </w:p>
        </w:tc>
        <w:tc>
          <w:tcPr>
            <w:tcW w:w="1440" w:type="dxa"/>
            <w:noWrap w:val="0"/>
            <w:vAlign w:val="top"/>
          </w:tcPr>
          <w:p w14:paraId="6E0A463C">
            <w:pPr>
              <w:rPr>
                <w:rFonts w:ascii="宋体" w:hAnsi="宋体"/>
                <w:color w:val="auto"/>
                <w:szCs w:val="21"/>
                <w:highlight w:val="none"/>
              </w:rPr>
            </w:pPr>
          </w:p>
        </w:tc>
        <w:tc>
          <w:tcPr>
            <w:tcW w:w="1620" w:type="dxa"/>
            <w:noWrap w:val="0"/>
            <w:vAlign w:val="top"/>
          </w:tcPr>
          <w:p w14:paraId="7E33D566">
            <w:pPr>
              <w:rPr>
                <w:rFonts w:ascii="宋体" w:hAnsi="宋体"/>
                <w:color w:val="auto"/>
                <w:szCs w:val="21"/>
                <w:highlight w:val="none"/>
              </w:rPr>
            </w:pPr>
          </w:p>
        </w:tc>
        <w:tc>
          <w:tcPr>
            <w:tcW w:w="1458" w:type="dxa"/>
            <w:noWrap w:val="0"/>
            <w:vAlign w:val="top"/>
          </w:tcPr>
          <w:p w14:paraId="40675EA0">
            <w:pPr>
              <w:rPr>
                <w:rFonts w:ascii="宋体" w:hAnsi="宋体"/>
                <w:color w:val="auto"/>
                <w:szCs w:val="21"/>
                <w:highlight w:val="none"/>
              </w:rPr>
            </w:pPr>
          </w:p>
        </w:tc>
        <w:tc>
          <w:tcPr>
            <w:tcW w:w="1505" w:type="dxa"/>
            <w:noWrap w:val="0"/>
            <w:vAlign w:val="top"/>
          </w:tcPr>
          <w:p w14:paraId="7AEC2B90">
            <w:pPr>
              <w:rPr>
                <w:rFonts w:ascii="宋体" w:hAnsi="宋体"/>
                <w:color w:val="auto"/>
                <w:szCs w:val="21"/>
                <w:highlight w:val="none"/>
              </w:rPr>
            </w:pPr>
          </w:p>
        </w:tc>
      </w:tr>
    </w:tbl>
    <w:p w14:paraId="7C226870">
      <w:pPr>
        <w:rPr>
          <w:rFonts w:ascii="宋体" w:hAnsi="宋体"/>
          <w:color w:val="auto"/>
          <w:sz w:val="24"/>
          <w:szCs w:val="20"/>
          <w:highlight w:val="none"/>
        </w:rPr>
      </w:pPr>
      <w:r>
        <w:rPr>
          <w:rFonts w:hint="eastAsia" w:ascii="宋体" w:hAnsi="宋体"/>
          <w:color w:val="auto"/>
          <w:szCs w:val="21"/>
          <w:highlight w:val="none"/>
        </w:rPr>
        <w:t>注：本表后附各人员</w:t>
      </w:r>
      <w:r>
        <w:rPr>
          <w:rFonts w:hint="eastAsia"/>
          <w:color w:val="auto"/>
          <w:szCs w:val="21"/>
          <w:highlight w:val="none"/>
        </w:rPr>
        <w:t>相关资料</w:t>
      </w:r>
      <w:r>
        <w:rPr>
          <w:rFonts w:hint="eastAsia" w:ascii="宋体" w:hAnsi="宋体"/>
          <w:color w:val="auto"/>
          <w:szCs w:val="21"/>
          <w:highlight w:val="none"/>
        </w:rPr>
        <w:t>复印件。</w:t>
      </w:r>
    </w:p>
    <w:p w14:paraId="0B7A5088">
      <w:pPr>
        <w:snapToGrid w:val="0"/>
        <w:spacing w:line="360" w:lineRule="auto"/>
        <w:ind w:firstLine="480"/>
        <w:rPr>
          <w:rFonts w:ascii="宋体" w:hAnsi="宋体"/>
          <w:color w:val="auto"/>
          <w:sz w:val="24"/>
          <w:highlight w:val="none"/>
        </w:rPr>
      </w:pPr>
    </w:p>
    <w:p w14:paraId="7D07BF9F">
      <w:pPr>
        <w:snapToGrid w:val="0"/>
        <w:spacing w:line="360" w:lineRule="auto"/>
        <w:rPr>
          <w:rFonts w:ascii="宋体" w:hAnsi="宋体"/>
          <w:color w:val="auto"/>
          <w:sz w:val="24"/>
          <w:highlight w:val="none"/>
        </w:rPr>
      </w:pPr>
      <w:r>
        <w:rPr>
          <w:rFonts w:hint="eastAsia" w:ascii="宋体" w:hAnsi="宋体"/>
          <w:color w:val="auto"/>
          <w:sz w:val="24"/>
          <w:highlight w:val="none"/>
        </w:rPr>
        <w:t>法定代表人或授权委托人签名：</w:t>
      </w:r>
      <w:r>
        <w:rPr>
          <w:rFonts w:hint="eastAsia" w:ascii="宋体" w:hAnsi="宋体"/>
          <w:color w:val="auto"/>
          <w:spacing w:val="20"/>
          <w:sz w:val="24"/>
          <w:highlight w:val="none"/>
          <w:u w:val="single"/>
        </w:rPr>
        <w:t xml:space="preserve">            </w:t>
      </w:r>
    </w:p>
    <w:p w14:paraId="0C027F1E">
      <w:pPr>
        <w:snapToGrid w:val="0"/>
        <w:spacing w:line="360" w:lineRule="auto"/>
        <w:jc w:val="left"/>
        <w:rPr>
          <w:rFonts w:ascii="宋体" w:hAnsi="宋体"/>
          <w:color w:val="auto"/>
          <w:spacing w:val="20"/>
          <w:sz w:val="24"/>
          <w:highlight w:val="none"/>
        </w:rPr>
      </w:pPr>
      <w:r>
        <w:rPr>
          <w:rFonts w:hint="eastAsia" w:ascii="宋体" w:hAnsi="宋体"/>
          <w:color w:val="auto"/>
          <w:spacing w:val="20"/>
          <w:sz w:val="24"/>
          <w:highlight w:val="none"/>
        </w:rPr>
        <w:t>供应商全称（盖章）：</w:t>
      </w:r>
      <w:r>
        <w:rPr>
          <w:rFonts w:hint="eastAsia" w:ascii="宋体" w:hAnsi="宋体"/>
          <w:color w:val="auto"/>
          <w:spacing w:val="20"/>
          <w:sz w:val="24"/>
          <w:highlight w:val="none"/>
          <w:u w:val="single"/>
        </w:rPr>
        <w:t xml:space="preserve">                    </w:t>
      </w:r>
    </w:p>
    <w:p w14:paraId="100FFE56">
      <w:pPr>
        <w:snapToGrid w:val="0"/>
        <w:spacing w:line="360" w:lineRule="auto"/>
        <w:jc w:val="left"/>
        <w:rPr>
          <w:rFonts w:ascii="宋体" w:hAnsi="宋体"/>
          <w:color w:val="auto"/>
          <w:spacing w:val="20"/>
          <w:sz w:val="24"/>
          <w:highlight w:val="none"/>
          <w:u w:val="single"/>
        </w:rPr>
      </w:pPr>
      <w:r>
        <w:rPr>
          <w:rFonts w:hint="eastAsia" w:ascii="宋体" w:hAnsi="宋体"/>
          <w:color w:val="auto"/>
          <w:spacing w:val="20"/>
          <w:sz w:val="24"/>
          <w:highlight w:val="none"/>
        </w:rPr>
        <w:t>日  期：</w:t>
      </w:r>
      <w:r>
        <w:rPr>
          <w:rFonts w:hint="eastAsia" w:ascii="宋体" w:hAnsi="宋体"/>
          <w:color w:val="auto"/>
          <w:spacing w:val="20"/>
          <w:sz w:val="24"/>
          <w:highlight w:val="none"/>
          <w:u w:val="single"/>
        </w:rPr>
        <w:t xml:space="preserve">                             </w:t>
      </w:r>
    </w:p>
    <w:p w14:paraId="41EBF938">
      <w:pPr>
        <w:snapToGrid w:val="0"/>
        <w:ind w:firstLine="470" w:firstLineChars="196"/>
        <w:jc w:val="left"/>
        <w:rPr>
          <w:rFonts w:ascii="宋体" w:hAnsi="宋体"/>
          <w:color w:val="auto"/>
          <w:sz w:val="24"/>
          <w:highlight w:val="none"/>
        </w:rPr>
      </w:pPr>
    </w:p>
    <w:p w14:paraId="1F2368C9">
      <w:pPr>
        <w:rPr>
          <w:rFonts w:ascii="宋体" w:hAnsi="宋体" w:cs="宋体"/>
          <w:b/>
          <w:bCs/>
          <w:color w:val="auto"/>
          <w:sz w:val="24"/>
          <w:szCs w:val="32"/>
          <w:highlight w:val="none"/>
        </w:rPr>
      </w:pPr>
    </w:p>
    <w:bookmarkEnd w:id="89"/>
    <w:p w14:paraId="332E8C8C">
      <w:pPr>
        <w:widowControl/>
        <w:spacing w:line="560" w:lineRule="exact"/>
        <w:ind w:firstLine="4080" w:firstLineChars="1700"/>
        <w:rPr>
          <w:rFonts w:ascii="宋体" w:hAnsi="宋体"/>
          <w:color w:val="auto"/>
          <w:sz w:val="24"/>
          <w:highlight w:val="none"/>
        </w:rPr>
      </w:pPr>
    </w:p>
    <w:p w14:paraId="622BAF44">
      <w:pPr>
        <w:pStyle w:val="4"/>
        <w:keepNext w:val="0"/>
        <w:keepLines w:val="0"/>
        <w:pageBreakBefore/>
        <w:spacing w:line="415" w:lineRule="auto"/>
        <w:rPr>
          <w:rFonts w:hint="eastAsia" w:ascii="宋体" w:hAnsi="宋体" w:eastAsia="宋体" w:cs="宋体"/>
          <w:b w:val="0"/>
          <w:bCs w:val="0"/>
          <w:color w:val="auto"/>
          <w:sz w:val="24"/>
          <w:szCs w:val="24"/>
          <w:highlight w:val="none"/>
        </w:rPr>
      </w:pPr>
      <w:bookmarkStart w:id="97" w:name="_Toc10587"/>
      <w:bookmarkStart w:id="98" w:name="_Toc15951"/>
      <w:r>
        <w:rPr>
          <w:rFonts w:hint="eastAsia" w:ascii="宋体" w:hAnsi="宋体" w:eastAsia="宋体" w:cs="宋体"/>
          <w:b w:val="0"/>
          <w:bCs w:val="0"/>
          <w:color w:val="auto"/>
          <w:sz w:val="24"/>
          <w:szCs w:val="24"/>
          <w:highlight w:val="none"/>
        </w:rPr>
        <w:t>附件十</w:t>
      </w:r>
      <w:r>
        <w:rPr>
          <w:rFonts w:hint="eastAsia" w:ascii="宋体" w:hAnsi="宋体" w:eastAsia="宋体" w:cs="宋体"/>
          <w:b w:val="0"/>
          <w:bCs w:val="0"/>
          <w:color w:val="auto"/>
          <w:sz w:val="24"/>
          <w:szCs w:val="24"/>
          <w:highlight w:val="none"/>
          <w:lang w:val="en-US" w:eastAsia="zh-CN"/>
        </w:rPr>
        <w:t>五</w:t>
      </w:r>
      <w:r>
        <w:rPr>
          <w:rFonts w:hint="eastAsia" w:ascii="宋体" w:hAnsi="宋体" w:eastAsia="宋体" w:cs="宋体"/>
          <w:b w:val="0"/>
          <w:bCs w:val="0"/>
          <w:color w:val="auto"/>
          <w:sz w:val="24"/>
          <w:szCs w:val="24"/>
          <w:highlight w:val="none"/>
        </w:rPr>
        <w:t>：同类项目业绩</w:t>
      </w:r>
      <w:bookmarkEnd w:id="97"/>
      <w:bookmarkEnd w:id="98"/>
    </w:p>
    <w:p w14:paraId="16EAB51F">
      <w:pPr>
        <w:widowControl/>
        <w:jc w:val="left"/>
        <w:rPr>
          <w:rFonts w:ascii="宋体" w:hAnsi="宋体" w:cs="宋体"/>
          <w:color w:val="auto"/>
          <w:kern w:val="0"/>
          <w:sz w:val="24"/>
          <w:szCs w:val="20"/>
          <w:highlight w:val="none"/>
        </w:rPr>
      </w:pPr>
    </w:p>
    <w:p w14:paraId="244D3BD4">
      <w:pPr>
        <w:widowControl/>
        <w:jc w:val="center"/>
        <w:rPr>
          <w:rFonts w:ascii="宋体" w:hAnsi="宋体" w:cs="宋体"/>
          <w:b/>
          <w:color w:val="auto"/>
          <w:kern w:val="0"/>
          <w:sz w:val="28"/>
          <w:szCs w:val="28"/>
          <w:highlight w:val="none"/>
        </w:rPr>
      </w:pPr>
      <w:r>
        <w:rPr>
          <w:rFonts w:hint="eastAsia" w:ascii="宋体" w:hAnsi="宋体" w:cs="宋体"/>
          <w:b/>
          <w:color w:val="auto"/>
          <w:kern w:val="0"/>
          <w:sz w:val="28"/>
          <w:szCs w:val="28"/>
          <w:highlight w:val="none"/>
        </w:rPr>
        <w:t>同类项目业绩</w:t>
      </w:r>
    </w:p>
    <w:p w14:paraId="3061C07E">
      <w:pPr>
        <w:outlineLvl w:val="9"/>
        <w:rPr>
          <w:color w:val="auto"/>
          <w:highlight w:val="none"/>
        </w:rPr>
      </w:pPr>
    </w:p>
    <w:tbl>
      <w:tblPr>
        <w:tblStyle w:val="39"/>
        <w:tblW w:w="0" w:type="auto"/>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12"/>
        <w:gridCol w:w="1312"/>
        <w:gridCol w:w="1312"/>
        <w:gridCol w:w="1312"/>
        <w:gridCol w:w="1312"/>
        <w:gridCol w:w="1312"/>
        <w:gridCol w:w="1313"/>
      </w:tblGrid>
      <w:tr w14:paraId="789EB0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76" w:hRule="atLeast"/>
          <w:jc w:val="center"/>
        </w:trPr>
        <w:tc>
          <w:tcPr>
            <w:tcW w:w="1312" w:type="dxa"/>
            <w:noWrap w:val="0"/>
            <w:vAlign w:val="center"/>
          </w:tcPr>
          <w:p w14:paraId="3555A078">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项目名称</w:t>
            </w:r>
          </w:p>
        </w:tc>
        <w:tc>
          <w:tcPr>
            <w:tcW w:w="1312" w:type="dxa"/>
            <w:noWrap w:val="0"/>
            <w:vAlign w:val="center"/>
          </w:tcPr>
          <w:p w14:paraId="0BCD9B54">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w:t>
            </w:r>
          </w:p>
          <w:p w14:paraId="6E908546">
            <w:pPr>
              <w:jc w:val="center"/>
              <w:rPr>
                <w:rFonts w:ascii="宋体" w:hAnsi="宋体" w:cs="宋体"/>
                <w:color w:val="auto"/>
                <w:sz w:val="24"/>
                <w:highlight w:val="none"/>
                <w:lang w:val="zh-CN"/>
              </w:rPr>
            </w:pPr>
            <w:r>
              <w:rPr>
                <w:rFonts w:hint="eastAsia" w:ascii="宋体" w:hAnsi="宋体" w:cs="宋体"/>
                <w:color w:val="auto"/>
                <w:sz w:val="24"/>
                <w:highlight w:val="none"/>
                <w:lang w:val="zh-CN"/>
              </w:rPr>
              <w:t>类型</w:t>
            </w:r>
          </w:p>
        </w:tc>
        <w:tc>
          <w:tcPr>
            <w:tcW w:w="1312" w:type="dxa"/>
            <w:noWrap w:val="0"/>
            <w:vAlign w:val="center"/>
          </w:tcPr>
          <w:p w14:paraId="2A9B147D">
            <w:pPr>
              <w:jc w:val="center"/>
              <w:rPr>
                <w:rFonts w:ascii="宋体" w:hAnsi="宋体" w:cs="宋体"/>
                <w:color w:val="auto"/>
                <w:sz w:val="24"/>
                <w:highlight w:val="none"/>
                <w:lang w:val="zh-CN"/>
              </w:rPr>
            </w:pPr>
            <w:r>
              <w:rPr>
                <w:rFonts w:hint="eastAsia" w:ascii="宋体" w:hAnsi="宋体" w:cs="宋体"/>
                <w:color w:val="auto"/>
                <w:sz w:val="24"/>
                <w:highlight w:val="none"/>
                <w:lang w:val="zh-CN"/>
              </w:rPr>
              <w:t>简要描述</w:t>
            </w:r>
          </w:p>
        </w:tc>
        <w:tc>
          <w:tcPr>
            <w:tcW w:w="1312" w:type="dxa"/>
            <w:noWrap w:val="0"/>
            <w:vAlign w:val="center"/>
          </w:tcPr>
          <w:p w14:paraId="2C66003D">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w:t>
            </w:r>
          </w:p>
          <w:p w14:paraId="4408484C">
            <w:pPr>
              <w:jc w:val="center"/>
              <w:rPr>
                <w:rFonts w:ascii="宋体" w:hAnsi="宋体" w:cs="宋体"/>
                <w:color w:val="auto"/>
                <w:sz w:val="24"/>
                <w:highlight w:val="none"/>
                <w:lang w:val="zh-CN"/>
              </w:rPr>
            </w:pPr>
            <w:r>
              <w:rPr>
                <w:rFonts w:hint="eastAsia" w:ascii="宋体" w:hAnsi="宋体" w:cs="宋体"/>
                <w:color w:val="auto"/>
                <w:sz w:val="24"/>
                <w:highlight w:val="none"/>
                <w:lang w:val="zh-CN"/>
              </w:rPr>
              <w:t>金额</w:t>
            </w:r>
          </w:p>
          <w:p w14:paraId="13CF3DD4">
            <w:pPr>
              <w:jc w:val="center"/>
              <w:rPr>
                <w:rFonts w:ascii="宋体" w:hAnsi="宋体" w:cs="宋体"/>
                <w:color w:val="auto"/>
                <w:sz w:val="24"/>
                <w:highlight w:val="none"/>
                <w:lang w:val="zh-CN"/>
              </w:rPr>
            </w:pPr>
            <w:r>
              <w:rPr>
                <w:rFonts w:hint="eastAsia" w:ascii="宋体" w:hAnsi="宋体" w:cs="宋体"/>
                <w:color w:val="auto"/>
                <w:sz w:val="24"/>
                <w:highlight w:val="none"/>
                <w:lang w:val="zh-CN"/>
              </w:rPr>
              <w:t>（万元）</w:t>
            </w:r>
          </w:p>
        </w:tc>
        <w:tc>
          <w:tcPr>
            <w:tcW w:w="1312" w:type="dxa"/>
            <w:noWrap w:val="0"/>
            <w:vAlign w:val="center"/>
          </w:tcPr>
          <w:p w14:paraId="686C564A">
            <w:pPr>
              <w:jc w:val="center"/>
              <w:rPr>
                <w:rFonts w:ascii="宋体" w:hAnsi="宋体" w:cs="宋体"/>
                <w:color w:val="auto"/>
                <w:sz w:val="24"/>
                <w:highlight w:val="none"/>
                <w:lang w:val="zh-CN"/>
              </w:rPr>
            </w:pPr>
            <w:r>
              <w:rPr>
                <w:rFonts w:hint="eastAsia" w:ascii="宋体" w:hAnsi="宋体" w:cs="宋体"/>
                <w:color w:val="auto"/>
                <w:sz w:val="24"/>
                <w:highlight w:val="none"/>
                <w:lang w:val="zh-CN"/>
              </w:rPr>
              <w:t>实施时间</w:t>
            </w:r>
          </w:p>
        </w:tc>
        <w:tc>
          <w:tcPr>
            <w:tcW w:w="1312" w:type="dxa"/>
            <w:noWrap w:val="0"/>
            <w:vAlign w:val="center"/>
          </w:tcPr>
          <w:p w14:paraId="2B5E28F8">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项目单位、联系人及电话</w:t>
            </w:r>
          </w:p>
        </w:tc>
        <w:tc>
          <w:tcPr>
            <w:tcW w:w="1313" w:type="dxa"/>
            <w:noWrap w:val="0"/>
            <w:vAlign w:val="center"/>
          </w:tcPr>
          <w:p w14:paraId="07413EB2">
            <w:pPr>
              <w:jc w:val="center"/>
              <w:rPr>
                <w:rFonts w:ascii="宋体" w:hAnsi="宋体" w:cs="宋体"/>
                <w:color w:val="auto"/>
                <w:sz w:val="24"/>
                <w:highlight w:val="none"/>
                <w:lang w:val="zh-CN"/>
              </w:rPr>
            </w:pPr>
            <w:r>
              <w:rPr>
                <w:rFonts w:hint="eastAsia" w:ascii="宋体" w:hAnsi="宋体" w:cs="宋体"/>
                <w:color w:val="auto"/>
                <w:sz w:val="24"/>
                <w:highlight w:val="none"/>
                <w:lang w:val="zh-CN"/>
              </w:rPr>
              <w:t>项目完成情况</w:t>
            </w:r>
          </w:p>
        </w:tc>
      </w:tr>
      <w:tr w14:paraId="2733F0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44" w:hRule="atLeast"/>
          <w:jc w:val="center"/>
        </w:trPr>
        <w:tc>
          <w:tcPr>
            <w:tcW w:w="1312" w:type="dxa"/>
            <w:noWrap w:val="0"/>
            <w:vAlign w:val="center"/>
          </w:tcPr>
          <w:p w14:paraId="6CF67835">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79EC27D6">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0F6AE45A">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1450C05F">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5CCAE35">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6E92EA64">
            <w:pPr>
              <w:autoSpaceDE w:val="0"/>
              <w:autoSpaceDN w:val="0"/>
              <w:adjustRightInd w:val="0"/>
              <w:spacing w:line="360" w:lineRule="auto"/>
              <w:jc w:val="center"/>
              <w:rPr>
                <w:rFonts w:ascii="宋体" w:hAnsi="宋体" w:cs="宋体"/>
                <w:color w:val="auto"/>
                <w:sz w:val="24"/>
                <w:highlight w:val="none"/>
                <w:lang w:val="zh-CN"/>
              </w:rPr>
            </w:pPr>
          </w:p>
        </w:tc>
        <w:tc>
          <w:tcPr>
            <w:tcW w:w="1313" w:type="dxa"/>
            <w:noWrap w:val="0"/>
            <w:vAlign w:val="center"/>
          </w:tcPr>
          <w:p w14:paraId="3B3DCD44">
            <w:pPr>
              <w:autoSpaceDE w:val="0"/>
              <w:autoSpaceDN w:val="0"/>
              <w:adjustRightInd w:val="0"/>
              <w:spacing w:line="360" w:lineRule="auto"/>
              <w:jc w:val="center"/>
              <w:rPr>
                <w:rFonts w:ascii="宋体" w:hAnsi="宋体" w:cs="宋体"/>
                <w:color w:val="auto"/>
                <w:sz w:val="24"/>
                <w:highlight w:val="none"/>
                <w:lang w:val="zh-CN"/>
              </w:rPr>
            </w:pPr>
          </w:p>
        </w:tc>
      </w:tr>
      <w:tr w14:paraId="56B9EB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0" w:hRule="atLeast"/>
          <w:jc w:val="center"/>
        </w:trPr>
        <w:tc>
          <w:tcPr>
            <w:tcW w:w="1312" w:type="dxa"/>
            <w:noWrap w:val="0"/>
            <w:vAlign w:val="center"/>
          </w:tcPr>
          <w:p w14:paraId="4FC42999">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C313BAD">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707BC25B">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4DC83FD1">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05A2BC24">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64FEA8A3">
            <w:pPr>
              <w:autoSpaceDE w:val="0"/>
              <w:autoSpaceDN w:val="0"/>
              <w:adjustRightInd w:val="0"/>
              <w:spacing w:line="360" w:lineRule="auto"/>
              <w:jc w:val="center"/>
              <w:rPr>
                <w:rFonts w:ascii="宋体" w:hAnsi="宋体" w:cs="宋体"/>
                <w:color w:val="auto"/>
                <w:sz w:val="24"/>
                <w:highlight w:val="none"/>
                <w:lang w:val="zh-CN"/>
              </w:rPr>
            </w:pPr>
          </w:p>
        </w:tc>
        <w:tc>
          <w:tcPr>
            <w:tcW w:w="1313" w:type="dxa"/>
            <w:noWrap w:val="0"/>
            <w:vAlign w:val="center"/>
          </w:tcPr>
          <w:p w14:paraId="543A384B">
            <w:pPr>
              <w:autoSpaceDE w:val="0"/>
              <w:autoSpaceDN w:val="0"/>
              <w:adjustRightInd w:val="0"/>
              <w:spacing w:line="360" w:lineRule="auto"/>
              <w:jc w:val="center"/>
              <w:rPr>
                <w:rFonts w:ascii="宋体" w:hAnsi="宋体" w:cs="宋体"/>
                <w:color w:val="auto"/>
                <w:sz w:val="24"/>
                <w:highlight w:val="none"/>
                <w:lang w:val="zh-CN"/>
              </w:rPr>
            </w:pPr>
          </w:p>
        </w:tc>
      </w:tr>
      <w:tr w14:paraId="19CD4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44" w:hRule="atLeast"/>
          <w:jc w:val="center"/>
        </w:trPr>
        <w:tc>
          <w:tcPr>
            <w:tcW w:w="1312" w:type="dxa"/>
            <w:noWrap w:val="0"/>
            <w:vAlign w:val="center"/>
          </w:tcPr>
          <w:p w14:paraId="458B8341">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09008EB4">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44029C20">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7FA899B2">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C5D81BA">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D105612">
            <w:pPr>
              <w:autoSpaceDE w:val="0"/>
              <w:autoSpaceDN w:val="0"/>
              <w:adjustRightInd w:val="0"/>
              <w:spacing w:line="360" w:lineRule="auto"/>
              <w:jc w:val="center"/>
              <w:rPr>
                <w:rFonts w:ascii="宋体" w:hAnsi="宋体" w:cs="宋体"/>
                <w:color w:val="auto"/>
                <w:sz w:val="24"/>
                <w:highlight w:val="none"/>
                <w:lang w:val="zh-CN"/>
              </w:rPr>
            </w:pPr>
          </w:p>
        </w:tc>
        <w:tc>
          <w:tcPr>
            <w:tcW w:w="1313" w:type="dxa"/>
            <w:noWrap w:val="0"/>
            <w:vAlign w:val="center"/>
          </w:tcPr>
          <w:p w14:paraId="53952794">
            <w:pPr>
              <w:autoSpaceDE w:val="0"/>
              <w:autoSpaceDN w:val="0"/>
              <w:adjustRightInd w:val="0"/>
              <w:spacing w:line="360" w:lineRule="auto"/>
              <w:jc w:val="center"/>
              <w:rPr>
                <w:rFonts w:ascii="宋体" w:hAnsi="宋体" w:cs="宋体"/>
                <w:color w:val="auto"/>
                <w:sz w:val="24"/>
                <w:highlight w:val="none"/>
                <w:lang w:val="zh-CN"/>
              </w:rPr>
            </w:pPr>
          </w:p>
        </w:tc>
      </w:tr>
      <w:tr w14:paraId="0A5D4D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20" w:hRule="atLeast"/>
          <w:jc w:val="center"/>
        </w:trPr>
        <w:tc>
          <w:tcPr>
            <w:tcW w:w="1312" w:type="dxa"/>
            <w:noWrap w:val="0"/>
            <w:vAlign w:val="center"/>
          </w:tcPr>
          <w:p w14:paraId="4D07D23C">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0665FE7D">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F8E75FA">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18C6FA14">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1FB22324">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4A36A625">
            <w:pPr>
              <w:autoSpaceDE w:val="0"/>
              <w:autoSpaceDN w:val="0"/>
              <w:adjustRightInd w:val="0"/>
              <w:spacing w:line="360" w:lineRule="auto"/>
              <w:jc w:val="center"/>
              <w:rPr>
                <w:rFonts w:ascii="宋体" w:hAnsi="宋体" w:cs="宋体"/>
                <w:color w:val="auto"/>
                <w:sz w:val="24"/>
                <w:highlight w:val="none"/>
                <w:lang w:val="zh-CN"/>
              </w:rPr>
            </w:pPr>
          </w:p>
        </w:tc>
        <w:tc>
          <w:tcPr>
            <w:tcW w:w="1313" w:type="dxa"/>
            <w:noWrap w:val="0"/>
            <w:vAlign w:val="center"/>
          </w:tcPr>
          <w:p w14:paraId="427C252D">
            <w:pPr>
              <w:autoSpaceDE w:val="0"/>
              <w:autoSpaceDN w:val="0"/>
              <w:adjustRightInd w:val="0"/>
              <w:spacing w:line="360" w:lineRule="auto"/>
              <w:jc w:val="center"/>
              <w:rPr>
                <w:rFonts w:ascii="宋体" w:hAnsi="宋体" w:cs="宋体"/>
                <w:color w:val="auto"/>
                <w:sz w:val="24"/>
                <w:highlight w:val="none"/>
                <w:lang w:val="zh-CN"/>
              </w:rPr>
            </w:pPr>
          </w:p>
        </w:tc>
      </w:tr>
      <w:tr w14:paraId="376870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8" w:hRule="atLeast"/>
          <w:jc w:val="center"/>
        </w:trPr>
        <w:tc>
          <w:tcPr>
            <w:tcW w:w="1312" w:type="dxa"/>
            <w:noWrap w:val="0"/>
            <w:vAlign w:val="center"/>
          </w:tcPr>
          <w:p w14:paraId="366AE0D2">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77A2137C">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8AA2BB7">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625322BB">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4F2504C1">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65893EA">
            <w:pPr>
              <w:autoSpaceDE w:val="0"/>
              <w:autoSpaceDN w:val="0"/>
              <w:adjustRightInd w:val="0"/>
              <w:spacing w:line="360" w:lineRule="auto"/>
              <w:jc w:val="center"/>
              <w:rPr>
                <w:rFonts w:ascii="宋体" w:hAnsi="宋体" w:cs="宋体"/>
                <w:color w:val="auto"/>
                <w:sz w:val="24"/>
                <w:highlight w:val="none"/>
                <w:lang w:val="zh-CN"/>
              </w:rPr>
            </w:pPr>
          </w:p>
        </w:tc>
        <w:tc>
          <w:tcPr>
            <w:tcW w:w="1313" w:type="dxa"/>
            <w:noWrap w:val="0"/>
            <w:vAlign w:val="center"/>
          </w:tcPr>
          <w:p w14:paraId="1ED59A08">
            <w:pPr>
              <w:autoSpaceDE w:val="0"/>
              <w:autoSpaceDN w:val="0"/>
              <w:adjustRightInd w:val="0"/>
              <w:spacing w:line="360" w:lineRule="auto"/>
              <w:jc w:val="center"/>
              <w:rPr>
                <w:rFonts w:ascii="宋体" w:hAnsi="宋体" w:cs="宋体"/>
                <w:color w:val="auto"/>
                <w:sz w:val="24"/>
                <w:highlight w:val="none"/>
                <w:lang w:val="zh-CN"/>
              </w:rPr>
            </w:pPr>
          </w:p>
        </w:tc>
      </w:tr>
      <w:tr w14:paraId="6F75A8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6" w:hRule="atLeast"/>
          <w:jc w:val="center"/>
        </w:trPr>
        <w:tc>
          <w:tcPr>
            <w:tcW w:w="1312" w:type="dxa"/>
            <w:noWrap w:val="0"/>
            <w:vAlign w:val="center"/>
          </w:tcPr>
          <w:p w14:paraId="1D4F4655">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AAD1BE5">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3F6BA5E3">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2CBD622D">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5584D1CA">
            <w:pPr>
              <w:autoSpaceDE w:val="0"/>
              <w:autoSpaceDN w:val="0"/>
              <w:adjustRightInd w:val="0"/>
              <w:spacing w:line="360" w:lineRule="auto"/>
              <w:jc w:val="center"/>
              <w:rPr>
                <w:rFonts w:ascii="宋体" w:hAnsi="宋体" w:cs="宋体"/>
                <w:color w:val="auto"/>
                <w:sz w:val="24"/>
                <w:highlight w:val="none"/>
                <w:lang w:val="zh-CN"/>
              </w:rPr>
            </w:pPr>
          </w:p>
        </w:tc>
        <w:tc>
          <w:tcPr>
            <w:tcW w:w="1312" w:type="dxa"/>
            <w:noWrap w:val="0"/>
            <w:vAlign w:val="center"/>
          </w:tcPr>
          <w:p w14:paraId="79CB7A3B">
            <w:pPr>
              <w:autoSpaceDE w:val="0"/>
              <w:autoSpaceDN w:val="0"/>
              <w:adjustRightInd w:val="0"/>
              <w:spacing w:line="360" w:lineRule="auto"/>
              <w:jc w:val="center"/>
              <w:rPr>
                <w:rFonts w:ascii="宋体" w:hAnsi="宋体" w:cs="宋体"/>
                <w:color w:val="auto"/>
                <w:sz w:val="24"/>
                <w:highlight w:val="none"/>
                <w:lang w:val="zh-CN"/>
              </w:rPr>
            </w:pPr>
          </w:p>
        </w:tc>
        <w:tc>
          <w:tcPr>
            <w:tcW w:w="1313" w:type="dxa"/>
            <w:noWrap w:val="0"/>
            <w:vAlign w:val="center"/>
          </w:tcPr>
          <w:p w14:paraId="42908330">
            <w:pPr>
              <w:autoSpaceDE w:val="0"/>
              <w:autoSpaceDN w:val="0"/>
              <w:adjustRightInd w:val="0"/>
              <w:spacing w:line="360" w:lineRule="auto"/>
              <w:jc w:val="center"/>
              <w:rPr>
                <w:rFonts w:ascii="宋体" w:hAnsi="宋体" w:cs="宋体"/>
                <w:color w:val="auto"/>
                <w:sz w:val="24"/>
                <w:highlight w:val="none"/>
                <w:lang w:val="zh-CN"/>
              </w:rPr>
            </w:pPr>
          </w:p>
        </w:tc>
      </w:tr>
    </w:tbl>
    <w:p w14:paraId="12A4D4D1">
      <w:pPr>
        <w:snapToGrid w:val="0"/>
        <w:spacing w:line="360" w:lineRule="auto"/>
        <w:rPr>
          <w:rFonts w:ascii="宋体" w:hAnsi="宋体" w:cs="宋体"/>
          <w:b/>
          <w:color w:val="auto"/>
          <w:szCs w:val="21"/>
          <w:highlight w:val="none"/>
        </w:rPr>
      </w:pPr>
    </w:p>
    <w:p w14:paraId="420C9CCC">
      <w:pPr>
        <w:snapToGrid w:val="0"/>
        <w:spacing w:line="360" w:lineRule="auto"/>
        <w:rPr>
          <w:rFonts w:ascii="宋体" w:hAnsi="宋体" w:cs="宋体"/>
          <w:b/>
          <w:color w:val="auto"/>
          <w:szCs w:val="21"/>
          <w:highlight w:val="none"/>
        </w:rPr>
      </w:pPr>
      <w:r>
        <w:rPr>
          <w:rFonts w:hint="eastAsia" w:ascii="宋体" w:hAnsi="宋体" w:cs="宋体"/>
          <w:b/>
          <w:color w:val="auto"/>
          <w:szCs w:val="21"/>
          <w:highlight w:val="none"/>
        </w:rPr>
        <w:t>注：1、各供应商可以根据各自业绩量准备充分的表格，此页后须附证明材料。</w:t>
      </w:r>
    </w:p>
    <w:p w14:paraId="78CC2E2E">
      <w:pPr>
        <w:snapToGrid w:val="0"/>
        <w:spacing w:line="360" w:lineRule="auto"/>
        <w:rPr>
          <w:rFonts w:ascii="宋体" w:hAnsi="宋体" w:cs="宋体"/>
          <w:b/>
          <w:color w:val="auto"/>
          <w:szCs w:val="21"/>
          <w:highlight w:val="none"/>
        </w:rPr>
      </w:pPr>
      <w:r>
        <w:rPr>
          <w:rFonts w:hint="eastAsia" w:ascii="宋体" w:hAnsi="宋体" w:cs="宋体"/>
          <w:b/>
          <w:color w:val="auto"/>
          <w:szCs w:val="21"/>
          <w:highlight w:val="none"/>
        </w:rPr>
        <w:t xml:space="preserve">    2、供应商须真实仔细地填写本表格。</w:t>
      </w:r>
    </w:p>
    <w:p w14:paraId="118925A2">
      <w:pPr>
        <w:widowControl/>
        <w:jc w:val="left"/>
        <w:rPr>
          <w:rFonts w:ascii="宋体" w:hAnsi="宋体" w:cs="宋体"/>
          <w:color w:val="auto"/>
          <w:kern w:val="0"/>
          <w:sz w:val="24"/>
          <w:szCs w:val="20"/>
          <w:highlight w:val="none"/>
        </w:rPr>
      </w:pPr>
    </w:p>
    <w:p w14:paraId="5180BCD3">
      <w:pPr>
        <w:widowControl/>
        <w:jc w:val="left"/>
        <w:rPr>
          <w:rFonts w:ascii="宋体" w:hAnsi="宋体" w:cs="宋体"/>
          <w:color w:val="auto"/>
          <w:kern w:val="0"/>
          <w:sz w:val="24"/>
          <w:szCs w:val="20"/>
          <w:highlight w:val="none"/>
        </w:rPr>
      </w:pPr>
    </w:p>
    <w:p w14:paraId="05E3CB29">
      <w:pPr>
        <w:widowControl/>
        <w:jc w:val="left"/>
        <w:rPr>
          <w:rFonts w:ascii="宋体" w:hAnsi="宋体" w:cs="宋体"/>
          <w:color w:val="auto"/>
          <w:kern w:val="0"/>
          <w:sz w:val="24"/>
          <w:szCs w:val="20"/>
          <w:highlight w:val="none"/>
        </w:rPr>
      </w:pPr>
    </w:p>
    <w:p w14:paraId="2DC2382A">
      <w:pPr>
        <w:pStyle w:val="11"/>
        <w:overflowPunct w:val="0"/>
        <w:spacing w:line="360" w:lineRule="auto"/>
        <w:ind w:right="420" w:firstLine="3300" w:firstLineChars="1375"/>
        <w:rPr>
          <w:rFonts w:ascii="宋体" w:hAnsi="宋体" w:cs="宋体"/>
          <w:color w:val="auto"/>
          <w:sz w:val="24"/>
          <w:szCs w:val="24"/>
          <w:highlight w:val="none"/>
        </w:rPr>
      </w:pPr>
      <w:r>
        <w:rPr>
          <w:rFonts w:hint="eastAsia" w:ascii="宋体" w:hAnsi="宋体" w:cs="宋体"/>
          <w:color w:val="auto"/>
          <w:sz w:val="24"/>
          <w:szCs w:val="24"/>
          <w:highlight w:val="none"/>
        </w:rPr>
        <w:t>供应商（单位盖章）：</w:t>
      </w:r>
    </w:p>
    <w:p w14:paraId="6DA73E38">
      <w:pPr>
        <w:pStyle w:val="11"/>
        <w:overflowPunct w:val="0"/>
        <w:spacing w:line="360" w:lineRule="auto"/>
        <w:ind w:right="420" w:firstLine="3360" w:firstLineChars="1400"/>
        <w:rPr>
          <w:rFonts w:ascii="宋体" w:hAnsi="宋体" w:cs="宋体"/>
          <w:color w:val="auto"/>
          <w:sz w:val="24"/>
          <w:szCs w:val="24"/>
          <w:highlight w:val="none"/>
        </w:rPr>
      </w:pPr>
      <w:r>
        <w:rPr>
          <w:rFonts w:hint="eastAsia" w:ascii="宋体" w:hAnsi="宋体" w:cs="宋体"/>
          <w:color w:val="auto"/>
          <w:sz w:val="24"/>
          <w:szCs w:val="24"/>
          <w:highlight w:val="none"/>
        </w:rPr>
        <w:t xml:space="preserve">法定代表人或委托代理人（签字或盖章）：                         </w:t>
      </w:r>
    </w:p>
    <w:p w14:paraId="7F1A9590">
      <w:pPr>
        <w:spacing w:beforeLines="50" w:line="360" w:lineRule="auto"/>
        <w:ind w:right="-21" w:rightChars="-10" w:firstLine="470" w:firstLineChars="196"/>
        <w:jc w:val="right"/>
        <w:rPr>
          <w:rFonts w:ascii="宋体" w:hAnsi="宋体" w:cs="宋体"/>
          <w:color w:val="auto"/>
          <w:sz w:val="24"/>
          <w:highlight w:val="none"/>
        </w:rPr>
      </w:pPr>
      <w:r>
        <w:rPr>
          <w:rFonts w:hint="eastAsia" w:ascii="宋体" w:hAnsi="宋体" w:cs="宋体"/>
          <w:color w:val="auto"/>
          <w:sz w:val="24"/>
          <w:highlight w:val="none"/>
        </w:rPr>
        <w:t>年  月  日</w:t>
      </w:r>
    </w:p>
    <w:p w14:paraId="631AA7B6">
      <w:pPr>
        <w:widowControl/>
        <w:jc w:val="left"/>
        <w:rPr>
          <w:rFonts w:ascii="宋体" w:hAnsi="宋体" w:cs="宋体"/>
          <w:color w:val="auto"/>
          <w:kern w:val="0"/>
          <w:sz w:val="24"/>
          <w:szCs w:val="20"/>
          <w:highlight w:val="none"/>
        </w:rPr>
      </w:pPr>
    </w:p>
    <w:p w14:paraId="7521143F">
      <w:pPr>
        <w:rPr>
          <w:rFonts w:ascii="宋体" w:hAnsi="宋体" w:cs="宋体"/>
          <w:bCs/>
          <w:color w:val="auto"/>
          <w:sz w:val="24"/>
          <w:szCs w:val="32"/>
          <w:highlight w:val="none"/>
        </w:rPr>
      </w:pPr>
    </w:p>
    <w:p w14:paraId="623594B2">
      <w:pPr>
        <w:pageBreakBefore/>
        <w:spacing w:before="260" w:after="260" w:line="415" w:lineRule="auto"/>
        <w:outlineLvl w:val="1"/>
        <w:rPr>
          <w:rFonts w:ascii="宋体" w:hAnsi="宋体" w:cs="宋体"/>
          <w:bCs/>
          <w:color w:val="auto"/>
          <w:sz w:val="24"/>
          <w:highlight w:val="none"/>
        </w:rPr>
      </w:pPr>
      <w:bookmarkStart w:id="99" w:name="_Toc496598995"/>
      <w:bookmarkStart w:id="100" w:name="_Toc3061"/>
      <w:r>
        <w:rPr>
          <w:rFonts w:hint="eastAsia" w:ascii="宋体" w:hAnsi="宋体" w:cs="宋体"/>
          <w:bCs/>
          <w:color w:val="auto"/>
          <w:sz w:val="24"/>
          <w:highlight w:val="none"/>
        </w:rPr>
        <w:t>附件十</w:t>
      </w:r>
      <w:r>
        <w:rPr>
          <w:rFonts w:hint="eastAsia" w:ascii="宋体" w:hAnsi="宋体" w:cs="宋体"/>
          <w:bCs/>
          <w:color w:val="auto"/>
          <w:sz w:val="24"/>
          <w:highlight w:val="none"/>
          <w:lang w:val="en-US" w:eastAsia="zh-CN"/>
        </w:rPr>
        <w:t>六</w:t>
      </w:r>
      <w:r>
        <w:rPr>
          <w:rFonts w:hint="eastAsia" w:ascii="宋体" w:hAnsi="宋体" w:cs="宋体"/>
          <w:bCs/>
          <w:color w:val="auto"/>
          <w:sz w:val="24"/>
          <w:highlight w:val="none"/>
        </w:rPr>
        <w:t>:</w:t>
      </w:r>
      <w:bookmarkEnd w:id="99"/>
      <w:r>
        <w:rPr>
          <w:rFonts w:hint="eastAsia" w:ascii="宋体" w:hAnsi="宋体" w:cs="宋体"/>
          <w:bCs/>
          <w:color w:val="auto"/>
          <w:sz w:val="24"/>
          <w:highlight w:val="none"/>
        </w:rPr>
        <w:t>磋商函</w:t>
      </w:r>
      <w:bookmarkEnd w:id="100"/>
    </w:p>
    <w:p w14:paraId="43FBFF9E">
      <w:pPr>
        <w:snapToGrid w:val="0"/>
        <w:spacing w:beforeLines="50" w:after="50" w:line="480" w:lineRule="auto"/>
        <w:jc w:val="center"/>
        <w:rPr>
          <w:rFonts w:ascii="宋体" w:hAnsi="宋体" w:cs="宋体"/>
          <w:b/>
          <w:color w:val="auto"/>
          <w:sz w:val="40"/>
          <w:szCs w:val="40"/>
          <w:highlight w:val="none"/>
        </w:rPr>
      </w:pPr>
      <w:r>
        <w:rPr>
          <w:rFonts w:hint="eastAsia" w:ascii="宋体" w:hAnsi="宋体" w:cs="宋体"/>
          <w:b/>
          <w:color w:val="auto"/>
          <w:sz w:val="40"/>
          <w:szCs w:val="40"/>
          <w:highlight w:val="none"/>
        </w:rPr>
        <w:t>磋 商 函</w:t>
      </w:r>
    </w:p>
    <w:p w14:paraId="60EDF348">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致：</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（招标采购单位名称）：</w:t>
      </w:r>
    </w:p>
    <w:p w14:paraId="46D18242">
      <w:pPr>
        <w:snapToGrid w:val="0"/>
        <w:spacing w:line="360" w:lineRule="auto"/>
        <w:ind w:firstLine="480"/>
        <w:rPr>
          <w:rFonts w:ascii="宋体" w:hAnsi="宋体" w:cs="宋体"/>
          <w:color w:val="auto"/>
          <w:sz w:val="24"/>
          <w:highlight w:val="none"/>
        </w:rPr>
      </w:pPr>
      <w:r>
        <w:rPr>
          <w:rFonts w:hint="eastAsia" w:ascii="宋体" w:hAnsi="宋体" w:cs="宋体"/>
          <w:color w:val="auto"/>
          <w:sz w:val="24"/>
          <w:highlight w:val="none"/>
        </w:rPr>
        <w:t>根据</w:t>
      </w:r>
      <w:r>
        <w:rPr>
          <w:rFonts w:hint="eastAsia" w:ascii="宋体" w:hAnsi="宋体" w:cs="宋体"/>
          <w:color w:val="auto"/>
          <w:sz w:val="24"/>
          <w:highlight w:val="none"/>
          <w:lang w:eastAsia="zh-CN"/>
        </w:rPr>
        <w:t>贵方</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项目的磋商公告/磋商邀请书</w:t>
      </w:r>
    </w:p>
    <w:p w14:paraId="3371ABF3">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（项目编号：</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），签字代表</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（全名）经正式授权并代表供应商</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（供应商名称）提交电子磋商响应文件。</w:t>
      </w:r>
    </w:p>
    <w:p w14:paraId="250C1B00">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据此函，签字代表宣布同意如下：</w:t>
      </w:r>
    </w:p>
    <w:p w14:paraId="344423E7">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1.供应商已详细审查全部“磋商文件”，包括修改文件（如有的话）以及全部参考资料和有关附件，已经了解我方对于磋商文件、采购过程、采购结果有依法进行询问、质疑、投诉的权利及相关渠道和要求。</w:t>
      </w:r>
    </w:p>
    <w:p w14:paraId="5E1B8114">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2.供应商在磋商之前已经与贵方进行了充分的沟通，完全理解并接受磋商文件的各项规定和要求，对磋商文件的合理性、合法性不再有异议。</w:t>
      </w:r>
    </w:p>
    <w:p w14:paraId="4C9D73C6">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3.本磋商响应文件有效期自开标日起 ______天。</w:t>
      </w:r>
    </w:p>
    <w:p w14:paraId="386246B2">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4.如中标，本磋商响应文件至本项目合同履行完毕止均保持有效，本供应商将按“磋商文件”及政府采购法律、法规的规定履行合同责任和义务。</w:t>
      </w:r>
    </w:p>
    <w:p w14:paraId="39851D09">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5.供应商同意按照贵方要求提供与磋商有关的一切数据或资料。</w:t>
      </w:r>
    </w:p>
    <w:p w14:paraId="5037342A">
      <w:pPr>
        <w:snapToGrid w:val="0"/>
        <w:spacing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6.与本磋商有关的一切正式往来信函请寄：</w:t>
      </w:r>
    </w:p>
    <w:p w14:paraId="1E1BCA4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地址：__________</w:t>
      </w:r>
      <w:r>
        <w:rPr>
          <w:rFonts w:hint="eastAsia" w:ascii="宋体" w:hAnsi="宋体" w:cs="宋体"/>
          <w:color w:val="auto"/>
          <w:sz w:val="24"/>
          <w:highlight w:val="none"/>
          <w:u w:val="single"/>
        </w:rPr>
        <w:t xml:space="preserve">        _</w:t>
      </w:r>
      <w:r>
        <w:rPr>
          <w:rFonts w:hint="eastAsia" w:ascii="宋体" w:hAnsi="宋体" w:cs="宋体"/>
          <w:color w:val="auto"/>
          <w:sz w:val="24"/>
          <w:highlight w:val="none"/>
        </w:rPr>
        <w:t>____邮编：__________   电话：______________</w:t>
      </w:r>
    </w:p>
    <w:p w14:paraId="3EAA47BA">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传真：______________供应商代表姓名 ___________  职务：______</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_______</w:t>
      </w:r>
    </w:p>
    <w:p w14:paraId="3BEDF499">
      <w:pPr>
        <w:snapToGrid w:val="0"/>
        <w:spacing w:line="360" w:lineRule="auto"/>
        <w:rPr>
          <w:rFonts w:ascii="宋体" w:hAnsi="宋体" w:cs="宋体"/>
          <w:color w:val="auto"/>
          <w:sz w:val="24"/>
          <w:highlight w:val="none"/>
        </w:rPr>
      </w:pPr>
    </w:p>
    <w:p w14:paraId="28ECB34C">
      <w:pPr>
        <w:snapToGrid w:val="0"/>
        <w:spacing w:line="360" w:lineRule="auto"/>
        <w:rPr>
          <w:rFonts w:ascii="宋体" w:hAnsi="宋体" w:cs="宋体"/>
          <w:color w:val="auto"/>
          <w:sz w:val="24"/>
          <w:highlight w:val="none"/>
        </w:rPr>
      </w:pPr>
    </w:p>
    <w:p w14:paraId="672CEDBE">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供应商名称(公章):___________________</w:t>
      </w:r>
    </w:p>
    <w:p w14:paraId="6BCBED01">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 xml:space="preserve">委托代理人签字:___________ </w:t>
      </w:r>
    </w:p>
    <w:p w14:paraId="1624F1C7">
      <w:pPr>
        <w:snapToGrid w:val="0"/>
        <w:spacing w:line="360" w:lineRule="auto"/>
        <w:rPr>
          <w:rFonts w:ascii="宋体" w:hAnsi="宋体" w:cs="宋体"/>
          <w:color w:val="auto"/>
          <w:sz w:val="24"/>
          <w:highlight w:val="none"/>
        </w:rPr>
      </w:pPr>
      <w:r>
        <w:rPr>
          <w:rFonts w:hint="eastAsia" w:ascii="宋体" w:hAnsi="宋体" w:cs="宋体"/>
          <w:color w:val="auto"/>
          <w:sz w:val="24"/>
          <w:highlight w:val="none"/>
        </w:rPr>
        <w:t>日期:_____年___月___日</w:t>
      </w:r>
    </w:p>
    <w:p w14:paraId="4370AB50">
      <w:pPr>
        <w:snapToGrid w:val="0"/>
        <w:spacing w:before="156" w:after="156" w:line="360" w:lineRule="auto"/>
        <w:rPr>
          <w:rFonts w:ascii="宋体" w:hAnsi="宋体" w:cs="宋体"/>
          <w:color w:val="auto"/>
          <w:sz w:val="24"/>
          <w:highlight w:val="none"/>
        </w:rPr>
      </w:pPr>
    </w:p>
    <w:p w14:paraId="19054040">
      <w:pPr>
        <w:snapToGrid w:val="0"/>
        <w:spacing w:before="50" w:afterLines="50"/>
        <w:jc w:val="left"/>
        <w:rPr>
          <w:rFonts w:ascii="宋体" w:hAnsi="宋体" w:cs="宋体"/>
          <w:b/>
          <w:color w:val="auto"/>
          <w:sz w:val="24"/>
          <w:highlight w:val="none"/>
        </w:rPr>
      </w:pPr>
    </w:p>
    <w:p w14:paraId="6544AE37">
      <w:pPr>
        <w:snapToGrid w:val="0"/>
        <w:spacing w:before="50" w:afterLines="50"/>
        <w:jc w:val="left"/>
        <w:rPr>
          <w:rFonts w:ascii="宋体" w:hAnsi="宋体" w:cs="宋体"/>
          <w:b/>
          <w:color w:val="auto"/>
          <w:sz w:val="24"/>
          <w:highlight w:val="none"/>
        </w:rPr>
      </w:pPr>
    </w:p>
    <w:p w14:paraId="39A8D9A7">
      <w:pPr>
        <w:snapToGrid w:val="0"/>
        <w:spacing w:before="50" w:afterLines="50"/>
        <w:jc w:val="left"/>
        <w:rPr>
          <w:rFonts w:ascii="宋体" w:hAnsi="宋体" w:cs="宋体"/>
          <w:b/>
          <w:color w:val="auto"/>
          <w:sz w:val="24"/>
          <w:highlight w:val="none"/>
        </w:rPr>
      </w:pPr>
    </w:p>
    <w:p w14:paraId="61FCF4A8">
      <w:pPr>
        <w:keepNext/>
        <w:keepLines/>
        <w:pageBreakBefore/>
        <w:widowControl w:val="0"/>
        <w:kinsoku/>
        <w:wordWrap/>
        <w:overflowPunct/>
        <w:topLinePunct w:val="0"/>
        <w:autoSpaceDE/>
        <w:autoSpaceDN/>
        <w:bidi w:val="0"/>
        <w:adjustRightInd/>
        <w:snapToGrid/>
        <w:spacing w:before="260" w:after="260" w:line="360" w:lineRule="auto"/>
        <w:textAlignment w:val="auto"/>
        <w:outlineLvl w:val="1"/>
        <w:rPr>
          <w:rFonts w:ascii="宋体" w:hAnsi="宋体"/>
          <w:bCs/>
          <w:color w:val="auto"/>
          <w:sz w:val="24"/>
          <w:highlight w:val="none"/>
        </w:rPr>
      </w:pPr>
      <w:bookmarkStart w:id="101" w:name="_Toc14942623"/>
      <w:bookmarkStart w:id="102" w:name="_Toc26482"/>
      <w:bookmarkStart w:id="103" w:name="_Toc12413"/>
      <w:bookmarkStart w:id="104" w:name="_Toc6466"/>
      <w:bookmarkStart w:id="105" w:name="_Toc496598998"/>
      <w:bookmarkStart w:id="106" w:name="_Toc1663"/>
      <w:bookmarkStart w:id="107" w:name="_Toc2590"/>
      <w:r>
        <w:rPr>
          <w:rFonts w:hint="eastAsia" w:ascii="宋体" w:hAnsi="宋体"/>
          <w:bCs/>
          <w:color w:val="auto"/>
          <w:sz w:val="24"/>
          <w:highlight w:val="none"/>
        </w:rPr>
        <w:t>附件十</w:t>
      </w:r>
      <w:r>
        <w:rPr>
          <w:rFonts w:hint="eastAsia" w:ascii="宋体" w:hAnsi="宋体"/>
          <w:bCs/>
          <w:color w:val="auto"/>
          <w:sz w:val="24"/>
          <w:highlight w:val="none"/>
          <w:lang w:val="en-US" w:eastAsia="zh-CN"/>
        </w:rPr>
        <w:t>七</w:t>
      </w:r>
      <w:r>
        <w:rPr>
          <w:rFonts w:hint="eastAsia" w:ascii="宋体" w:hAnsi="宋体"/>
          <w:bCs/>
          <w:color w:val="auto"/>
          <w:sz w:val="24"/>
          <w:highlight w:val="none"/>
        </w:rPr>
        <w:t>：</w:t>
      </w:r>
      <w:bookmarkEnd w:id="101"/>
      <w:bookmarkEnd w:id="102"/>
      <w:bookmarkEnd w:id="103"/>
      <w:r>
        <w:rPr>
          <w:rFonts w:hint="eastAsia" w:ascii="宋体" w:hAnsi="宋体"/>
          <w:bCs/>
          <w:color w:val="auto"/>
          <w:sz w:val="24"/>
          <w:highlight w:val="none"/>
        </w:rPr>
        <w:t>初次报价表</w:t>
      </w:r>
      <w:bookmarkEnd w:id="104"/>
    </w:p>
    <w:p w14:paraId="7F5335E9">
      <w:pPr>
        <w:snapToGrid w:val="0"/>
        <w:spacing w:before="50" w:after="50" w:line="360" w:lineRule="auto"/>
        <w:jc w:val="center"/>
        <w:rPr>
          <w:rFonts w:ascii="宋体" w:hAnsi="宋体"/>
          <w:b/>
          <w:color w:val="auto"/>
          <w:sz w:val="24"/>
          <w:highlight w:val="none"/>
        </w:rPr>
      </w:pPr>
      <w:r>
        <w:rPr>
          <w:rFonts w:hint="eastAsia" w:ascii="宋体" w:hAnsi="宋体"/>
          <w:b/>
          <w:color w:val="auto"/>
          <w:sz w:val="24"/>
          <w:highlight w:val="none"/>
        </w:rPr>
        <w:t>初次报价表</w:t>
      </w:r>
    </w:p>
    <w:p w14:paraId="0F15BA66">
      <w:pPr>
        <w:spacing w:line="360" w:lineRule="auto"/>
        <w:rPr>
          <w:rFonts w:ascii="宋体" w:hAnsi="宋体"/>
          <w:b/>
          <w:color w:val="auto"/>
          <w:sz w:val="24"/>
          <w:highlight w:val="none"/>
        </w:rPr>
      </w:pPr>
      <w:r>
        <w:rPr>
          <w:rFonts w:hint="eastAsia" w:ascii="宋体" w:hAnsi="宋体"/>
          <w:b/>
          <w:color w:val="auto"/>
          <w:sz w:val="24"/>
          <w:highlight w:val="none"/>
        </w:rPr>
        <w:t xml:space="preserve">招标编号：                             </w:t>
      </w:r>
    </w:p>
    <w:p w14:paraId="51F94C69">
      <w:pPr>
        <w:spacing w:line="360" w:lineRule="auto"/>
        <w:rPr>
          <w:rFonts w:ascii="宋体" w:hAnsi="宋体"/>
          <w:b/>
          <w:color w:val="auto"/>
          <w:sz w:val="24"/>
          <w:highlight w:val="none"/>
        </w:rPr>
      </w:pPr>
      <w:r>
        <w:rPr>
          <w:rFonts w:hint="eastAsia" w:ascii="宋体" w:hAnsi="宋体"/>
          <w:b/>
          <w:color w:val="auto"/>
          <w:sz w:val="24"/>
          <w:highlight w:val="none"/>
        </w:rPr>
        <w:t>供应商名称：                                          单位：元</w:t>
      </w:r>
    </w:p>
    <w:tbl>
      <w:tblPr>
        <w:tblStyle w:val="39"/>
        <w:tblW w:w="983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824"/>
        <w:gridCol w:w="4015"/>
      </w:tblGrid>
      <w:tr w14:paraId="123D6B1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851" w:hRule="atLeast"/>
          <w:jc w:val="center"/>
        </w:trPr>
        <w:tc>
          <w:tcPr>
            <w:tcW w:w="5824" w:type="dxa"/>
            <w:tcBorders>
              <w:top w:val="single" w:color="auto" w:sz="4" w:space="0"/>
              <w:left w:val="single" w:color="auto" w:sz="4" w:space="0"/>
              <w:bottom w:val="single" w:color="auto" w:sz="4" w:space="0"/>
              <w:right w:val="single" w:color="auto" w:sz="4" w:space="0"/>
            </w:tcBorders>
            <w:noWrap w:val="0"/>
            <w:vAlign w:val="center"/>
          </w:tcPr>
          <w:p w14:paraId="19B64B9E">
            <w:pPr>
              <w:snapToGrid w:val="0"/>
              <w:spacing w:before="50" w:after="50"/>
              <w:jc w:val="center"/>
              <w:rPr>
                <w:rFonts w:ascii="宋体" w:hAnsi="宋体" w:cs="宋体"/>
                <w:b/>
                <w:color w:val="auto"/>
                <w:sz w:val="24"/>
                <w:highlight w:val="none"/>
              </w:rPr>
            </w:pPr>
            <w:r>
              <w:rPr>
                <w:rFonts w:hint="eastAsia" w:ascii="宋体" w:hAnsi="宋体" w:cs="宋体"/>
                <w:b/>
                <w:color w:val="auto"/>
                <w:sz w:val="24"/>
                <w:highlight w:val="none"/>
              </w:rPr>
              <w:t>采购内容</w:t>
            </w:r>
          </w:p>
        </w:tc>
        <w:tc>
          <w:tcPr>
            <w:tcW w:w="4015" w:type="dxa"/>
            <w:tcBorders>
              <w:top w:val="single" w:color="auto" w:sz="4" w:space="0"/>
              <w:left w:val="single" w:color="auto" w:sz="4" w:space="0"/>
              <w:bottom w:val="single" w:color="auto" w:sz="4" w:space="0"/>
              <w:right w:val="single" w:color="auto" w:sz="4" w:space="0"/>
            </w:tcBorders>
            <w:noWrap w:val="0"/>
            <w:vAlign w:val="center"/>
          </w:tcPr>
          <w:p w14:paraId="229CC370">
            <w:pPr>
              <w:snapToGrid w:val="0"/>
              <w:spacing w:before="50" w:after="50"/>
              <w:jc w:val="center"/>
              <w:rPr>
                <w:rFonts w:ascii="宋体" w:hAnsi="宋体" w:cs="宋体"/>
                <w:b/>
                <w:color w:val="auto"/>
                <w:sz w:val="24"/>
                <w:highlight w:val="none"/>
              </w:rPr>
            </w:pPr>
            <w:r>
              <w:rPr>
                <w:rFonts w:hint="eastAsia" w:ascii="宋体" w:hAnsi="宋体" w:cs="宋体"/>
                <w:b/>
                <w:bCs/>
                <w:color w:val="auto"/>
                <w:sz w:val="24"/>
                <w:highlight w:val="none"/>
              </w:rPr>
              <w:t>磋商报价（元）</w:t>
            </w:r>
          </w:p>
        </w:tc>
      </w:tr>
      <w:tr w14:paraId="529E5F1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057" w:hRule="atLeast"/>
          <w:jc w:val="center"/>
        </w:trPr>
        <w:tc>
          <w:tcPr>
            <w:tcW w:w="5824" w:type="dxa"/>
            <w:tcBorders>
              <w:top w:val="single" w:color="auto" w:sz="4" w:space="0"/>
              <w:left w:val="single" w:color="auto" w:sz="4" w:space="0"/>
              <w:bottom w:val="single" w:color="auto" w:sz="4" w:space="0"/>
              <w:right w:val="single" w:color="auto" w:sz="4" w:space="0"/>
            </w:tcBorders>
            <w:noWrap w:val="0"/>
            <w:vAlign w:val="center"/>
          </w:tcPr>
          <w:p w14:paraId="60FD5237">
            <w:pPr>
              <w:snapToGrid w:val="0"/>
              <w:spacing w:before="50" w:after="50"/>
              <w:jc w:val="center"/>
              <w:rPr>
                <w:rFonts w:hint="eastAsia" w:ascii="宋体" w:hAnsi="宋体" w:eastAsia="宋体" w:cs="宋体"/>
                <w:color w:val="auto"/>
                <w:sz w:val="24"/>
                <w:highlight w:val="none"/>
                <w:lang w:eastAsia="zh-CN"/>
              </w:rPr>
            </w:pPr>
            <w:r>
              <w:rPr>
                <w:rFonts w:hint="eastAsia" w:ascii="宋体" w:hAnsi="宋体" w:cs="宋体"/>
                <w:color w:val="auto"/>
                <w:sz w:val="24"/>
                <w:highlight w:val="none"/>
                <w:lang w:eastAsia="zh-CN"/>
              </w:rPr>
              <w:t>笠里小区环村路道路工程项目</w:t>
            </w:r>
          </w:p>
        </w:tc>
        <w:tc>
          <w:tcPr>
            <w:tcW w:w="4015" w:type="dxa"/>
            <w:tcBorders>
              <w:top w:val="single" w:color="auto" w:sz="4" w:space="0"/>
              <w:left w:val="single" w:color="auto" w:sz="4" w:space="0"/>
              <w:bottom w:val="single" w:color="auto" w:sz="4" w:space="0"/>
              <w:right w:val="single" w:color="auto" w:sz="4" w:space="0"/>
            </w:tcBorders>
            <w:noWrap w:val="0"/>
            <w:vAlign w:val="center"/>
          </w:tcPr>
          <w:p w14:paraId="6C261C46">
            <w:pPr>
              <w:snapToGrid w:val="0"/>
              <w:spacing w:before="50" w:after="50"/>
              <w:jc w:val="center"/>
              <w:rPr>
                <w:rFonts w:ascii="宋体" w:hAnsi="宋体" w:cs="宋体"/>
                <w:color w:val="auto"/>
                <w:sz w:val="24"/>
                <w:highlight w:val="none"/>
              </w:rPr>
            </w:pPr>
          </w:p>
        </w:tc>
      </w:tr>
      <w:tr w14:paraId="7E8A136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5" w:hRule="atLeast"/>
          <w:jc w:val="center"/>
        </w:trPr>
        <w:tc>
          <w:tcPr>
            <w:tcW w:w="9839" w:type="dxa"/>
            <w:gridSpan w:val="2"/>
            <w:tcBorders>
              <w:top w:val="single" w:color="auto" w:sz="4" w:space="0"/>
              <w:left w:val="single" w:color="auto" w:sz="4" w:space="0"/>
              <w:bottom w:val="single" w:color="auto" w:sz="4" w:space="0"/>
              <w:right w:val="single" w:color="auto" w:sz="4" w:space="0"/>
            </w:tcBorders>
            <w:noWrap w:val="0"/>
            <w:vAlign w:val="center"/>
          </w:tcPr>
          <w:p w14:paraId="0DEEFFBE">
            <w:pPr>
              <w:snapToGrid w:val="0"/>
              <w:spacing w:before="50" w:after="50"/>
              <w:rPr>
                <w:rFonts w:ascii="宋体" w:hAnsi="宋体" w:cs="宋体"/>
                <w:color w:val="auto"/>
                <w:sz w:val="24"/>
                <w:highlight w:val="none"/>
              </w:rPr>
            </w:pPr>
            <w:r>
              <w:rPr>
                <w:rFonts w:hint="eastAsia" w:ascii="宋体" w:hAnsi="宋体" w:cs="宋体"/>
                <w:color w:val="auto"/>
                <w:sz w:val="24"/>
                <w:highlight w:val="none"/>
              </w:rPr>
              <w:t>磋商报价大写（人民币）：</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 xml:space="preserve"> 小写：</w:t>
            </w:r>
            <w:r>
              <w:rPr>
                <w:rFonts w:hint="eastAsia" w:ascii="宋体" w:hAnsi="宋体" w:cs="宋体"/>
                <w:color w:val="auto"/>
                <w:sz w:val="24"/>
                <w:highlight w:val="none"/>
                <w:u w:val="single"/>
              </w:rPr>
              <w:t xml:space="preserve">                     </w:t>
            </w:r>
          </w:p>
        </w:tc>
      </w:tr>
    </w:tbl>
    <w:p w14:paraId="08BAB971">
      <w:pPr>
        <w:spacing w:line="360" w:lineRule="auto"/>
        <w:jc w:val="left"/>
        <w:rPr>
          <w:rFonts w:ascii="宋体" w:hAnsi="宋体"/>
          <w:color w:val="auto"/>
          <w:sz w:val="24"/>
          <w:highlight w:val="none"/>
        </w:rPr>
      </w:pPr>
    </w:p>
    <w:p w14:paraId="0CACE855">
      <w:pPr>
        <w:spacing w:line="360" w:lineRule="auto"/>
        <w:jc w:val="left"/>
        <w:rPr>
          <w:rFonts w:ascii="宋体" w:hAnsi="宋体"/>
          <w:color w:val="auto"/>
          <w:sz w:val="24"/>
          <w:highlight w:val="none"/>
        </w:rPr>
      </w:pPr>
      <w:r>
        <w:rPr>
          <w:rFonts w:ascii="宋体" w:hAnsi="宋体"/>
          <w:color w:val="auto"/>
          <w:sz w:val="24"/>
          <w:highlight w:val="none"/>
        </w:rPr>
        <w:t>注：</w:t>
      </w:r>
      <w:r>
        <w:rPr>
          <w:rFonts w:hint="eastAsia" w:ascii="宋体" w:hAnsi="宋体"/>
          <w:color w:val="auto"/>
          <w:sz w:val="24"/>
          <w:highlight w:val="none"/>
        </w:rPr>
        <w:t>▲1、磋商报价一栏必须填写，否则其磋商作无效标处理。</w:t>
      </w:r>
    </w:p>
    <w:p w14:paraId="00C65F38">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rPr>
        <w:t>▲2、磋商报价一经涂改，应在涂改处加盖单位公章或者由法定代表人或授权委托人签字或盖章，否则其磋商作无效标处理</w:t>
      </w:r>
      <w:r>
        <w:rPr>
          <w:rFonts w:hint="eastAsia" w:ascii="宋体" w:hAnsi="宋体" w:cs="Arial"/>
          <w:bCs/>
          <w:color w:val="auto"/>
          <w:sz w:val="24"/>
          <w:highlight w:val="none"/>
        </w:rPr>
        <w:t>；</w:t>
      </w:r>
    </w:p>
    <w:p w14:paraId="7BE119E7">
      <w:pPr>
        <w:spacing w:line="360" w:lineRule="auto"/>
        <w:ind w:firstLine="480" w:firstLineChars="200"/>
        <w:jc w:val="left"/>
        <w:rPr>
          <w:rFonts w:ascii="宋体" w:hAnsi="宋体"/>
          <w:color w:val="auto"/>
          <w:sz w:val="24"/>
          <w:highlight w:val="none"/>
        </w:rPr>
      </w:pPr>
      <w:r>
        <w:rPr>
          <w:rFonts w:hint="eastAsia" w:ascii="宋体" w:hAnsi="宋体" w:cs="Times New Roman"/>
          <w:color w:val="auto"/>
          <w:sz w:val="24"/>
          <w:highlight w:val="none"/>
          <w:lang w:val="en-US" w:eastAsia="zh-CN"/>
        </w:rPr>
        <w:t>3、</w:t>
      </w:r>
      <w:r>
        <w:rPr>
          <w:rFonts w:hint="eastAsia" w:ascii="宋体" w:hAnsi="宋体"/>
          <w:color w:val="auto"/>
          <w:sz w:val="24"/>
          <w:highlight w:val="none"/>
        </w:rPr>
        <w:t>磋商报价包括施工所需的施工费、材料费、机械费、人工费、服务费、运输费、安全措施费、招标代理费等实施本项目相关的一切费用及税金。</w:t>
      </w:r>
    </w:p>
    <w:p w14:paraId="0C271E49">
      <w:pPr>
        <w:spacing w:line="360" w:lineRule="auto"/>
        <w:ind w:firstLine="480" w:firstLineChars="200"/>
        <w:jc w:val="left"/>
        <w:rPr>
          <w:rFonts w:ascii="宋体" w:hAnsi="宋体"/>
          <w:color w:val="auto"/>
          <w:sz w:val="24"/>
          <w:highlight w:val="none"/>
        </w:rPr>
      </w:pPr>
      <w:r>
        <w:rPr>
          <w:rFonts w:hint="eastAsia" w:ascii="宋体" w:hAnsi="宋体"/>
          <w:color w:val="auto"/>
          <w:sz w:val="24"/>
          <w:highlight w:val="none"/>
          <w:lang w:val="en-US" w:eastAsia="zh-CN"/>
        </w:rPr>
        <w:t>4</w:t>
      </w:r>
      <w:r>
        <w:rPr>
          <w:rFonts w:hint="eastAsia" w:ascii="宋体" w:hAnsi="宋体"/>
          <w:color w:val="auto"/>
          <w:sz w:val="24"/>
          <w:highlight w:val="none"/>
        </w:rPr>
        <w:t>、本表格式不允许修改，否则作无效标处理。</w:t>
      </w:r>
    </w:p>
    <w:p w14:paraId="5054AE81">
      <w:pPr>
        <w:snapToGrid w:val="0"/>
        <w:spacing w:line="360" w:lineRule="auto"/>
        <w:ind w:firstLine="480" w:firstLineChars="200"/>
        <w:jc w:val="left"/>
        <w:rPr>
          <w:rFonts w:ascii="宋体" w:hAnsi="宋体"/>
          <w:color w:val="auto"/>
          <w:sz w:val="24"/>
          <w:highlight w:val="none"/>
        </w:rPr>
      </w:pPr>
    </w:p>
    <w:p w14:paraId="05E7F50C">
      <w:pPr>
        <w:snapToGrid w:val="0"/>
        <w:spacing w:line="360" w:lineRule="auto"/>
        <w:ind w:firstLine="480" w:firstLineChars="200"/>
        <w:jc w:val="left"/>
        <w:rPr>
          <w:rFonts w:ascii="宋体" w:hAnsi="宋体"/>
          <w:color w:val="auto"/>
          <w:sz w:val="24"/>
          <w:highlight w:val="none"/>
        </w:rPr>
      </w:pPr>
    </w:p>
    <w:p w14:paraId="291808E1">
      <w:pPr>
        <w:snapToGrid w:val="0"/>
        <w:spacing w:before="50" w:after="50"/>
        <w:ind w:left="-2" w:leftChars="-1" w:right="-817" w:rightChars="-389" w:firstLine="360" w:firstLineChars="150"/>
        <w:rPr>
          <w:rFonts w:ascii="宋体" w:hAnsi="宋体"/>
          <w:color w:val="auto"/>
          <w:sz w:val="24"/>
          <w:highlight w:val="none"/>
        </w:rPr>
      </w:pPr>
      <w:r>
        <w:rPr>
          <w:rFonts w:hint="eastAsia" w:ascii="宋体" w:hAnsi="宋体"/>
          <w:color w:val="auto"/>
          <w:sz w:val="24"/>
          <w:highlight w:val="none"/>
        </w:rPr>
        <w:t>法定代表人或委托代理人（签字或盖章）：</w:t>
      </w:r>
    </w:p>
    <w:p w14:paraId="30604854">
      <w:pPr>
        <w:snapToGrid w:val="0"/>
        <w:spacing w:before="50" w:after="50"/>
        <w:ind w:left="-2" w:leftChars="-1" w:right="-817" w:rightChars="-389" w:firstLine="360" w:firstLineChars="150"/>
        <w:rPr>
          <w:rFonts w:ascii="宋体" w:hAnsi="宋体"/>
          <w:color w:val="auto"/>
          <w:sz w:val="24"/>
          <w:highlight w:val="none"/>
        </w:rPr>
      </w:pPr>
    </w:p>
    <w:p w14:paraId="53E2A24F">
      <w:pPr>
        <w:snapToGrid w:val="0"/>
        <w:spacing w:before="50" w:after="50"/>
        <w:ind w:right="-817" w:rightChars="-389" w:firstLine="360" w:firstLineChars="150"/>
        <w:rPr>
          <w:rFonts w:ascii="宋体" w:hAnsi="宋体"/>
          <w:color w:val="auto"/>
          <w:sz w:val="24"/>
          <w:highlight w:val="none"/>
        </w:rPr>
      </w:pPr>
      <w:r>
        <w:rPr>
          <w:rFonts w:hint="eastAsia" w:ascii="宋体" w:hAnsi="宋体"/>
          <w:color w:val="auto"/>
          <w:sz w:val="24"/>
          <w:highlight w:val="none"/>
        </w:rPr>
        <w:t xml:space="preserve">供应商名称（盖章）：                                         </w:t>
      </w:r>
    </w:p>
    <w:p w14:paraId="59FFCEA9">
      <w:pPr>
        <w:snapToGrid w:val="0"/>
        <w:spacing w:before="50" w:after="50"/>
        <w:ind w:right="-817" w:rightChars="-389"/>
        <w:rPr>
          <w:rFonts w:ascii="宋体" w:hAnsi="宋体"/>
          <w:color w:val="auto"/>
          <w:sz w:val="24"/>
          <w:highlight w:val="none"/>
        </w:rPr>
      </w:pPr>
    </w:p>
    <w:p w14:paraId="159703A8">
      <w:pPr>
        <w:spacing w:line="380" w:lineRule="exact"/>
        <w:ind w:firstLine="6240" w:firstLineChars="2600"/>
        <w:rPr>
          <w:rFonts w:ascii="宋体" w:hAnsi="宋体"/>
          <w:b/>
          <w:color w:val="auto"/>
          <w:sz w:val="24"/>
          <w:highlight w:val="none"/>
        </w:rPr>
      </w:pPr>
      <w:r>
        <w:rPr>
          <w:rFonts w:hint="eastAsia" w:ascii="宋体" w:hAnsi="宋体"/>
          <w:color w:val="auto"/>
          <w:sz w:val="24"/>
          <w:highlight w:val="none"/>
        </w:rPr>
        <w:t>日期：    年   月   日</w:t>
      </w:r>
    </w:p>
    <w:p w14:paraId="2BBBA15C">
      <w:pPr>
        <w:outlineLvl w:val="9"/>
        <w:rPr>
          <w:color w:val="auto"/>
          <w:sz w:val="24"/>
          <w:szCs w:val="24"/>
          <w:highlight w:val="none"/>
        </w:rPr>
      </w:pPr>
    </w:p>
    <w:p w14:paraId="69AEEE76">
      <w:pPr>
        <w:outlineLvl w:val="9"/>
        <w:rPr>
          <w:color w:val="auto"/>
          <w:highlight w:val="none"/>
        </w:rPr>
      </w:pPr>
    </w:p>
    <w:bookmarkEnd w:id="105"/>
    <w:bookmarkEnd w:id="106"/>
    <w:bookmarkEnd w:id="107"/>
    <w:p w14:paraId="082D1F43">
      <w:pPr>
        <w:spacing w:before="260" w:after="260" w:line="360" w:lineRule="auto"/>
        <w:outlineLvl w:val="9"/>
        <w:rPr>
          <w:rFonts w:ascii="宋体" w:hAnsi="宋体"/>
          <w:bCs/>
          <w:color w:val="auto"/>
          <w:sz w:val="24"/>
          <w:highlight w:val="none"/>
        </w:rPr>
      </w:pPr>
      <w:bookmarkStart w:id="108" w:name="_Toc496599000"/>
    </w:p>
    <w:bookmarkEnd w:id="108"/>
    <w:p w14:paraId="5E8011DA">
      <w:pPr>
        <w:pageBreakBefore/>
        <w:spacing w:before="260" w:after="260" w:line="415" w:lineRule="auto"/>
        <w:outlineLvl w:val="1"/>
        <w:rPr>
          <w:rFonts w:ascii="宋体" w:hAnsi="宋体" w:cs="宋体"/>
          <w:bCs/>
          <w:color w:val="auto"/>
          <w:sz w:val="24"/>
          <w:highlight w:val="none"/>
        </w:rPr>
      </w:pPr>
      <w:bookmarkStart w:id="109" w:name="_Toc496599001"/>
      <w:bookmarkStart w:id="110" w:name="_Toc11727"/>
      <w:r>
        <w:rPr>
          <w:rFonts w:hint="eastAsia" w:ascii="宋体" w:hAnsi="宋体" w:cs="宋体"/>
          <w:bCs/>
          <w:color w:val="auto"/>
          <w:sz w:val="24"/>
          <w:highlight w:val="none"/>
        </w:rPr>
        <w:t>附件</w:t>
      </w:r>
      <w:r>
        <w:rPr>
          <w:rFonts w:hint="eastAsia" w:ascii="宋体" w:hAnsi="宋体" w:cs="宋体"/>
          <w:bCs/>
          <w:color w:val="auto"/>
          <w:sz w:val="24"/>
          <w:highlight w:val="none"/>
          <w:lang w:val="en-US" w:eastAsia="zh-CN"/>
        </w:rPr>
        <w:t>十八</w:t>
      </w:r>
      <w:r>
        <w:rPr>
          <w:rFonts w:hint="eastAsia" w:ascii="宋体" w:hAnsi="宋体" w:cs="宋体"/>
          <w:bCs/>
          <w:color w:val="auto"/>
          <w:sz w:val="24"/>
          <w:highlight w:val="none"/>
        </w:rPr>
        <w:t>：</w:t>
      </w:r>
      <w:bookmarkEnd w:id="109"/>
      <w:r>
        <w:rPr>
          <w:rFonts w:hint="eastAsia" w:ascii="宋体" w:hAnsi="宋体" w:cs="宋体"/>
          <w:bCs/>
          <w:color w:val="auto"/>
          <w:sz w:val="24"/>
          <w:highlight w:val="none"/>
        </w:rPr>
        <w:t>东阳市采购项目验收方案（投标时无需提供）</w:t>
      </w:r>
      <w:bookmarkEnd w:id="110"/>
    </w:p>
    <w:p w14:paraId="5B63DBD4">
      <w:pPr>
        <w:spacing w:after="120"/>
        <w:jc w:val="center"/>
        <w:rPr>
          <w:rFonts w:ascii="宋体" w:hAnsi="宋体" w:cs="宋体"/>
          <w:b/>
          <w:color w:val="auto"/>
          <w:sz w:val="24"/>
          <w:highlight w:val="none"/>
        </w:rPr>
      </w:pPr>
      <w:r>
        <w:rPr>
          <w:rFonts w:hint="eastAsia" w:ascii="宋体" w:hAnsi="宋体" w:cs="宋体"/>
          <w:b/>
          <w:color w:val="auto"/>
          <w:sz w:val="24"/>
          <w:highlight w:val="none"/>
        </w:rPr>
        <w:t>东阳市采购项目验收方案</w:t>
      </w:r>
    </w:p>
    <w:p w14:paraId="653884CC">
      <w:pPr>
        <w:spacing w:beforeLines="50" w:afterLines="50" w:line="360" w:lineRule="auto"/>
        <w:ind w:firstLine="480" w:firstLineChars="200"/>
        <w:rPr>
          <w:rFonts w:ascii="宋体" w:hAnsi="宋体" w:cs="宋体"/>
          <w:color w:val="auto"/>
          <w:sz w:val="24"/>
          <w:highlight w:val="none"/>
        </w:rPr>
      </w:pPr>
      <w:r>
        <w:rPr>
          <w:rFonts w:hint="eastAsia" w:ascii="宋体" w:hAnsi="宋体" w:cs="宋体"/>
          <w:color w:val="auto"/>
          <w:sz w:val="24"/>
          <w:highlight w:val="none"/>
        </w:rPr>
        <w:t>根据《政府采购法》及东阳市政府采购办东财预〔2009〕98号《关于加强政府采购管理工作的补充规定》等有关文件规定，为做好</w:t>
      </w:r>
      <w:r>
        <w:rPr>
          <w:rFonts w:hint="eastAsia" w:ascii="宋体" w:hAnsi="宋体" w:cs="宋体"/>
          <w:color w:val="auto"/>
          <w:sz w:val="24"/>
          <w:highlight w:val="none"/>
          <w:u w:val="single"/>
        </w:rPr>
        <w:t xml:space="preserve">                     </w:t>
      </w:r>
      <w:r>
        <w:rPr>
          <w:rFonts w:hint="eastAsia" w:ascii="宋体" w:hAnsi="宋体" w:cs="宋体"/>
          <w:color w:val="auto"/>
          <w:sz w:val="24"/>
          <w:highlight w:val="none"/>
        </w:rPr>
        <w:t>采购项目的验收管理工作，特制定本项目验收方案，具体如下。</w:t>
      </w:r>
    </w:p>
    <w:p w14:paraId="1901317C">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一、验收项目说明</w:t>
      </w:r>
    </w:p>
    <w:p w14:paraId="2F9A7D9F">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 xml:space="preserve">1、招标编号：               </w:t>
      </w:r>
    </w:p>
    <w:p w14:paraId="5A0104D2">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2、采购内容：</w:t>
      </w:r>
    </w:p>
    <w:p w14:paraId="231BEBBD">
      <w:pPr>
        <w:spacing w:after="120" w:line="360" w:lineRule="auto"/>
        <w:rPr>
          <w:rFonts w:ascii="宋体" w:hAnsi="宋体" w:cs="宋体"/>
          <w:b/>
          <w:color w:val="auto"/>
          <w:sz w:val="24"/>
          <w:highlight w:val="none"/>
        </w:rPr>
      </w:pPr>
    </w:p>
    <w:p w14:paraId="13AA78F1">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二、验收小组人员</w:t>
      </w:r>
    </w:p>
    <w:p w14:paraId="5A4F459F">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1、本次验收由</w:t>
      </w:r>
      <w:r>
        <w:rPr>
          <w:rFonts w:hint="eastAsia" w:ascii="宋体" w:hAnsi="宋体" w:cs="宋体"/>
          <w:b/>
          <w:color w:val="auto"/>
          <w:sz w:val="24"/>
          <w:highlight w:val="none"/>
          <w:u w:val="single"/>
        </w:rPr>
        <w:t xml:space="preserve">            </w:t>
      </w:r>
      <w:r>
        <w:rPr>
          <w:rFonts w:hint="eastAsia" w:ascii="宋体" w:hAnsi="宋体" w:cs="宋体"/>
          <w:color w:val="auto"/>
          <w:sz w:val="24"/>
          <w:highlight w:val="none"/>
          <w:u w:val="single"/>
        </w:rPr>
        <w:t xml:space="preserve"> </w:t>
      </w:r>
      <w:r>
        <w:rPr>
          <w:rFonts w:hint="eastAsia" w:ascii="宋体" w:hAnsi="宋体" w:cs="宋体"/>
          <w:b/>
          <w:color w:val="auto"/>
          <w:sz w:val="24"/>
          <w:highlight w:val="none"/>
        </w:rPr>
        <w:t>组织。</w:t>
      </w:r>
    </w:p>
    <w:p w14:paraId="0C7EDEB6">
      <w:pPr>
        <w:spacing w:after="120" w:line="360" w:lineRule="auto"/>
        <w:ind w:firstLine="472" w:firstLineChars="196"/>
        <w:rPr>
          <w:rFonts w:ascii="宋体" w:hAnsi="宋体" w:cs="宋体"/>
          <w:b/>
          <w:color w:val="auto"/>
          <w:sz w:val="24"/>
          <w:highlight w:val="none"/>
          <w:u w:val="single"/>
        </w:rPr>
      </w:pPr>
      <w:r>
        <w:rPr>
          <w:rFonts w:hint="eastAsia" w:ascii="宋体" w:hAnsi="宋体" w:cs="宋体"/>
          <w:b/>
          <w:color w:val="auto"/>
          <w:sz w:val="24"/>
          <w:highlight w:val="none"/>
        </w:rPr>
        <w:t>2、验收小组成员名单：</w:t>
      </w:r>
      <w:r>
        <w:rPr>
          <w:rFonts w:hint="eastAsia" w:ascii="宋体" w:hAnsi="宋体" w:cs="宋体"/>
          <w:b/>
          <w:color w:val="auto"/>
          <w:sz w:val="24"/>
          <w:highlight w:val="none"/>
          <w:u w:val="single"/>
        </w:rPr>
        <w:t xml:space="preserve">                                                       </w:t>
      </w:r>
    </w:p>
    <w:p w14:paraId="43353A9B">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3、验收小组成员签名：</w:t>
      </w:r>
      <w:r>
        <w:rPr>
          <w:rFonts w:hint="eastAsia" w:ascii="宋体" w:hAnsi="宋体" w:cs="宋体"/>
          <w:b/>
          <w:color w:val="auto"/>
          <w:sz w:val="24"/>
          <w:highlight w:val="none"/>
          <w:u w:val="single"/>
        </w:rPr>
        <w:t xml:space="preserve">                                                    </w:t>
      </w:r>
      <w:r>
        <w:rPr>
          <w:rFonts w:hint="eastAsia" w:ascii="宋体" w:hAnsi="宋体" w:cs="宋体"/>
          <w:b/>
          <w:color w:val="auto"/>
          <w:sz w:val="24"/>
          <w:highlight w:val="none"/>
        </w:rPr>
        <w:t xml:space="preserve">                                                                        </w:t>
      </w:r>
    </w:p>
    <w:p w14:paraId="4117D8F1">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三、验收方法与内容</w:t>
      </w:r>
    </w:p>
    <w:p w14:paraId="0562B28C">
      <w:pPr>
        <w:spacing w:after="120" w:line="360" w:lineRule="auto"/>
        <w:rPr>
          <w:rFonts w:ascii="宋体" w:hAnsi="宋体" w:cs="宋体"/>
          <w:b/>
          <w:color w:val="auto"/>
          <w:sz w:val="24"/>
          <w:highlight w:val="none"/>
        </w:rPr>
      </w:pPr>
    </w:p>
    <w:p w14:paraId="2CB2353D">
      <w:pPr>
        <w:spacing w:after="120" w:line="360" w:lineRule="auto"/>
        <w:ind w:firstLine="482" w:firstLineChars="200"/>
        <w:rPr>
          <w:rFonts w:ascii="宋体" w:hAnsi="宋体" w:cs="宋体"/>
          <w:b/>
          <w:color w:val="auto"/>
          <w:sz w:val="24"/>
          <w:highlight w:val="none"/>
        </w:rPr>
      </w:pPr>
      <w:r>
        <w:rPr>
          <w:rFonts w:hint="eastAsia" w:ascii="宋体" w:hAnsi="宋体" w:cs="宋体"/>
          <w:b/>
          <w:color w:val="auto"/>
          <w:sz w:val="24"/>
          <w:highlight w:val="none"/>
        </w:rPr>
        <w:t>四、验收时间</w:t>
      </w:r>
    </w:p>
    <w:p w14:paraId="3F738220">
      <w:pPr>
        <w:spacing w:after="120" w:line="360" w:lineRule="auto"/>
        <w:rPr>
          <w:rFonts w:ascii="宋体" w:hAnsi="宋体" w:cs="宋体"/>
          <w:b/>
          <w:color w:val="auto"/>
          <w:sz w:val="24"/>
          <w:highlight w:val="none"/>
        </w:rPr>
      </w:pPr>
    </w:p>
    <w:p w14:paraId="72874A94">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五、验收地点</w:t>
      </w:r>
    </w:p>
    <w:p w14:paraId="005A7782">
      <w:pPr>
        <w:spacing w:after="120" w:line="360" w:lineRule="auto"/>
        <w:rPr>
          <w:rFonts w:ascii="宋体" w:hAnsi="宋体" w:cs="宋体"/>
          <w:b/>
          <w:color w:val="auto"/>
          <w:sz w:val="24"/>
          <w:highlight w:val="none"/>
        </w:rPr>
      </w:pPr>
    </w:p>
    <w:p w14:paraId="2E6CD443">
      <w:pPr>
        <w:spacing w:after="120" w:line="360" w:lineRule="auto"/>
        <w:ind w:firstLine="472" w:firstLineChars="196"/>
        <w:rPr>
          <w:rFonts w:ascii="宋体" w:hAnsi="宋体" w:cs="宋体"/>
          <w:b/>
          <w:color w:val="auto"/>
          <w:sz w:val="24"/>
          <w:highlight w:val="none"/>
        </w:rPr>
      </w:pPr>
      <w:r>
        <w:rPr>
          <w:rFonts w:hint="eastAsia" w:ascii="宋体" w:hAnsi="宋体" w:cs="宋体"/>
          <w:b/>
          <w:color w:val="auto"/>
          <w:sz w:val="24"/>
          <w:highlight w:val="none"/>
        </w:rPr>
        <w:t>六、验收程序</w:t>
      </w:r>
    </w:p>
    <w:p w14:paraId="3EA68FF6">
      <w:pPr>
        <w:spacing w:after="120" w:line="360" w:lineRule="auto"/>
        <w:ind w:left="479" w:leftChars="228" w:firstLine="470" w:firstLineChars="195"/>
        <w:rPr>
          <w:rFonts w:ascii="宋体" w:hAnsi="宋体" w:cs="宋体"/>
          <w:b/>
          <w:color w:val="auto"/>
          <w:sz w:val="24"/>
          <w:highlight w:val="none"/>
        </w:rPr>
      </w:pPr>
    </w:p>
    <w:p w14:paraId="4BF674C4">
      <w:pPr>
        <w:spacing w:after="120" w:line="360" w:lineRule="auto"/>
        <w:ind w:left="479" w:leftChars="228" w:firstLine="470" w:firstLineChars="195"/>
        <w:rPr>
          <w:rFonts w:ascii="宋体" w:hAnsi="宋体" w:cs="宋体"/>
          <w:b/>
          <w:color w:val="auto"/>
          <w:sz w:val="24"/>
          <w:highlight w:val="none"/>
        </w:rPr>
      </w:pPr>
    </w:p>
    <w:p w14:paraId="332425F7">
      <w:pPr>
        <w:spacing w:after="120" w:line="360" w:lineRule="auto"/>
        <w:ind w:right="-6"/>
        <w:rPr>
          <w:rFonts w:ascii="宋体" w:hAnsi="宋体" w:cs="宋体"/>
          <w:b/>
          <w:color w:val="auto"/>
          <w:sz w:val="24"/>
          <w:highlight w:val="none"/>
        </w:rPr>
      </w:pPr>
      <w:r>
        <w:rPr>
          <w:rFonts w:hint="eastAsia" w:ascii="宋体" w:hAnsi="宋体" w:cs="宋体"/>
          <w:b/>
          <w:color w:val="auto"/>
          <w:sz w:val="24"/>
          <w:highlight w:val="none"/>
        </w:rPr>
        <w:t xml:space="preserve">                                            采购单位（盖章）：</w:t>
      </w:r>
    </w:p>
    <w:p w14:paraId="3B0A8BCA">
      <w:pPr>
        <w:spacing w:after="120" w:line="360" w:lineRule="auto"/>
        <w:ind w:right="960" w:firstLine="470" w:firstLineChars="196"/>
        <w:jc w:val="right"/>
        <w:rPr>
          <w:rFonts w:ascii="宋体" w:hAnsi="宋体" w:cs="宋体"/>
          <w:color w:val="auto"/>
          <w:sz w:val="24"/>
          <w:highlight w:val="none"/>
        </w:rPr>
      </w:pPr>
      <w:r>
        <w:rPr>
          <w:rFonts w:hint="eastAsia" w:ascii="宋体" w:hAnsi="宋体" w:cs="宋体"/>
          <w:color w:val="auto"/>
          <w:sz w:val="24"/>
          <w:highlight w:val="none"/>
        </w:rPr>
        <w:t>年  月  日</w:t>
      </w:r>
    </w:p>
    <w:p w14:paraId="46F29F20">
      <w:pPr>
        <w:pStyle w:val="4"/>
        <w:keepNext w:val="0"/>
        <w:keepLines w:val="0"/>
        <w:pageBreakBefore/>
        <w:rPr>
          <w:rFonts w:ascii="宋体" w:hAnsi="宋体" w:eastAsia="宋体" w:cs="宋体"/>
          <w:b w:val="0"/>
          <w:color w:val="auto"/>
          <w:sz w:val="24"/>
          <w:highlight w:val="none"/>
        </w:rPr>
      </w:pPr>
      <w:bookmarkStart w:id="111" w:name="_Toc24160"/>
      <w:bookmarkStart w:id="112" w:name="_Toc2489"/>
      <w:bookmarkStart w:id="113" w:name="_Toc7478"/>
      <w:r>
        <w:rPr>
          <w:rFonts w:hint="eastAsia" w:ascii="宋体" w:hAnsi="宋体" w:eastAsia="宋体" w:cs="宋体"/>
          <w:b w:val="0"/>
          <w:color w:val="auto"/>
          <w:sz w:val="24"/>
          <w:highlight w:val="none"/>
        </w:rPr>
        <w:t>附件</w:t>
      </w:r>
      <w:r>
        <w:rPr>
          <w:rFonts w:hint="eastAsia" w:ascii="宋体" w:hAnsi="宋体" w:eastAsia="宋体" w:cs="宋体"/>
          <w:b w:val="0"/>
          <w:color w:val="auto"/>
          <w:sz w:val="24"/>
          <w:highlight w:val="none"/>
          <w:lang w:val="en-US" w:eastAsia="zh-CN"/>
        </w:rPr>
        <w:t>十九</w:t>
      </w:r>
      <w:r>
        <w:rPr>
          <w:rFonts w:hint="eastAsia" w:ascii="宋体" w:hAnsi="宋体" w:eastAsia="宋体" w:cs="宋体"/>
          <w:b w:val="0"/>
          <w:color w:val="auto"/>
          <w:sz w:val="24"/>
          <w:highlight w:val="none"/>
        </w:rPr>
        <w:t>：质疑函范本</w:t>
      </w:r>
      <w:bookmarkEnd w:id="111"/>
      <w:bookmarkEnd w:id="112"/>
      <w:bookmarkEnd w:id="113"/>
    </w:p>
    <w:p w14:paraId="1AF159C5">
      <w:pPr>
        <w:jc w:val="center"/>
        <w:rPr>
          <w:rFonts w:ascii="仿宋" w:hAnsi="仿宋" w:eastAsia="仿宋" w:cs="仿宋"/>
          <w:b/>
          <w:bCs/>
          <w:color w:val="auto"/>
          <w:sz w:val="44"/>
          <w:szCs w:val="44"/>
          <w:highlight w:val="none"/>
        </w:rPr>
      </w:pPr>
      <w:r>
        <w:rPr>
          <w:rFonts w:hint="eastAsia" w:ascii="仿宋" w:hAnsi="仿宋" w:eastAsia="仿宋" w:cs="仿宋"/>
          <w:b/>
          <w:bCs/>
          <w:color w:val="auto"/>
          <w:sz w:val="44"/>
          <w:szCs w:val="44"/>
          <w:highlight w:val="none"/>
        </w:rPr>
        <w:t>质疑函范本</w:t>
      </w:r>
    </w:p>
    <w:p w14:paraId="7E93B5F8">
      <w:pPr>
        <w:adjustRightInd w:val="0"/>
        <w:snapToGrid w:val="0"/>
        <w:spacing w:beforeLines="100" w:line="360" w:lineRule="auto"/>
        <w:rPr>
          <w:rFonts w:hint="eastAsia"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一、质疑供应商基本信息</w:t>
      </w:r>
    </w:p>
    <w:p w14:paraId="5CA36646">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质疑供应商：</w:t>
      </w:r>
      <w:r>
        <w:rPr>
          <w:rFonts w:hint="eastAsia" w:ascii="宋体" w:hAnsi="宋体" w:eastAsia="宋体" w:cs="宋体"/>
          <w:color w:val="auto"/>
          <w:sz w:val="28"/>
          <w:szCs w:val="28"/>
          <w:highlight w:val="none"/>
          <w:u w:val="dotted"/>
        </w:rPr>
        <w:t xml:space="preserve">                                        </w:t>
      </w:r>
    </w:p>
    <w:p w14:paraId="63FC23B7">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地址：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p>
    <w:p w14:paraId="00B28ABD">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p>
    <w:p w14:paraId="0D538D14">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授权代表：</w:t>
      </w:r>
      <w:r>
        <w:rPr>
          <w:rFonts w:hint="eastAsia" w:ascii="宋体" w:hAnsi="宋体" w:eastAsia="宋体" w:cs="宋体"/>
          <w:color w:val="auto"/>
          <w:sz w:val="28"/>
          <w:szCs w:val="28"/>
          <w:highlight w:val="none"/>
          <w:u w:val="dotted"/>
        </w:rPr>
        <w:t xml:space="preserve">                                          </w:t>
      </w:r>
    </w:p>
    <w:p w14:paraId="4C4156AB">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5566140D">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地址： </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p>
    <w:p w14:paraId="00197236">
      <w:pPr>
        <w:adjustRightInd w:val="0"/>
        <w:snapToGrid w:val="0"/>
        <w:spacing w:line="360" w:lineRule="auto"/>
        <w:rPr>
          <w:rFonts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二、质疑项目基本情况</w:t>
      </w:r>
    </w:p>
    <w:p w14:paraId="1644D595">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质疑项目的名称：</w:t>
      </w:r>
      <w:r>
        <w:rPr>
          <w:rFonts w:hint="eastAsia" w:ascii="宋体" w:hAnsi="宋体" w:eastAsia="宋体" w:cs="宋体"/>
          <w:color w:val="auto"/>
          <w:sz w:val="28"/>
          <w:szCs w:val="28"/>
          <w:highlight w:val="none"/>
          <w:u w:val="dotted"/>
        </w:rPr>
        <w:t xml:space="preserve">                                      </w:t>
      </w:r>
    </w:p>
    <w:p w14:paraId="18444505">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质疑项目的编号：</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包号：</w:t>
      </w:r>
      <w:r>
        <w:rPr>
          <w:rFonts w:hint="eastAsia" w:ascii="宋体" w:hAnsi="宋体" w:eastAsia="宋体" w:cs="宋体"/>
          <w:color w:val="auto"/>
          <w:sz w:val="28"/>
          <w:szCs w:val="28"/>
          <w:highlight w:val="none"/>
          <w:u w:val="dotted"/>
        </w:rPr>
        <w:t xml:space="preserve">                 </w:t>
      </w:r>
    </w:p>
    <w:p w14:paraId="3ADC4775">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采购人名称：</w:t>
      </w:r>
      <w:r>
        <w:rPr>
          <w:rFonts w:hint="eastAsia" w:ascii="宋体" w:hAnsi="宋体" w:eastAsia="宋体" w:cs="宋体"/>
          <w:color w:val="auto"/>
          <w:sz w:val="28"/>
          <w:szCs w:val="28"/>
          <w:highlight w:val="none"/>
          <w:u w:val="dotted"/>
        </w:rPr>
        <w:t xml:space="preserve">                                         </w:t>
      </w:r>
    </w:p>
    <w:p w14:paraId="0DF4B05E">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采购文件获取日期：</w:t>
      </w:r>
      <w:r>
        <w:rPr>
          <w:rFonts w:hint="eastAsia" w:ascii="宋体" w:hAnsi="宋体" w:eastAsia="宋体" w:cs="宋体"/>
          <w:color w:val="auto"/>
          <w:sz w:val="28"/>
          <w:szCs w:val="28"/>
          <w:highlight w:val="none"/>
          <w:u w:val="dotted"/>
        </w:rPr>
        <w:t xml:space="preserve">                                           </w:t>
      </w:r>
    </w:p>
    <w:p w14:paraId="45DAED91">
      <w:pPr>
        <w:adjustRightInd w:val="0"/>
        <w:snapToGrid w:val="0"/>
        <w:spacing w:line="360" w:lineRule="auto"/>
        <w:rPr>
          <w:rFonts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三、质疑事项具体内容</w:t>
      </w:r>
    </w:p>
    <w:p w14:paraId="68CA08D1">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质疑事项1：</w:t>
      </w:r>
      <w:r>
        <w:rPr>
          <w:rFonts w:hint="eastAsia" w:ascii="宋体" w:hAnsi="宋体" w:eastAsia="宋体" w:cs="宋体"/>
          <w:color w:val="auto"/>
          <w:sz w:val="28"/>
          <w:szCs w:val="28"/>
          <w:highlight w:val="none"/>
          <w:u w:val="dotted"/>
        </w:rPr>
        <w:t xml:space="preserve">                                         </w:t>
      </w:r>
    </w:p>
    <w:p w14:paraId="75CE59E4">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事实依据：</w:t>
      </w:r>
      <w:r>
        <w:rPr>
          <w:rFonts w:hint="eastAsia" w:ascii="宋体" w:hAnsi="宋体" w:eastAsia="宋体" w:cs="宋体"/>
          <w:color w:val="auto"/>
          <w:sz w:val="28"/>
          <w:szCs w:val="28"/>
          <w:highlight w:val="none"/>
          <w:u w:val="dotted"/>
        </w:rPr>
        <w:t xml:space="preserve">                                          </w:t>
      </w:r>
    </w:p>
    <w:p w14:paraId="3B7A7CE5">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u w:val="dotted"/>
        </w:rPr>
        <w:t xml:space="preserve">                                                       </w:t>
      </w:r>
    </w:p>
    <w:p w14:paraId="60B8FC6A">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法律依据：</w:t>
      </w:r>
      <w:r>
        <w:rPr>
          <w:rFonts w:hint="eastAsia" w:ascii="宋体" w:hAnsi="宋体" w:eastAsia="宋体" w:cs="宋体"/>
          <w:color w:val="auto"/>
          <w:sz w:val="28"/>
          <w:szCs w:val="28"/>
          <w:highlight w:val="none"/>
          <w:u w:val="dotted"/>
        </w:rPr>
        <w:t xml:space="preserve">                                          </w:t>
      </w:r>
    </w:p>
    <w:p w14:paraId="686B814C">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p>
    <w:p w14:paraId="34531DC2">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质疑事项2</w:t>
      </w:r>
    </w:p>
    <w:p w14:paraId="24E01C49">
      <w:pPr>
        <w:adjustRightInd w:val="0"/>
        <w:snapToGrid w:val="0"/>
        <w:spacing w:line="360" w:lineRule="auto"/>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w:t>
      </w:r>
    </w:p>
    <w:p w14:paraId="3734983D">
      <w:pPr>
        <w:adjustRightInd w:val="0"/>
        <w:snapToGrid w:val="0"/>
        <w:spacing w:line="360" w:lineRule="auto"/>
        <w:rPr>
          <w:rFonts w:ascii="宋体" w:hAnsi="宋体" w:eastAsia="宋体" w:cs="宋体"/>
          <w:bCs/>
          <w:color w:val="auto"/>
          <w:sz w:val="28"/>
          <w:szCs w:val="28"/>
          <w:highlight w:val="none"/>
        </w:rPr>
      </w:pPr>
      <w:r>
        <w:rPr>
          <w:rFonts w:hint="eastAsia" w:ascii="宋体" w:hAnsi="宋体" w:eastAsia="宋体" w:cs="宋体"/>
          <w:bCs/>
          <w:color w:val="auto"/>
          <w:sz w:val="28"/>
          <w:szCs w:val="28"/>
          <w:highlight w:val="none"/>
        </w:rPr>
        <w:t>四、与质疑事项相关的质疑请求</w:t>
      </w:r>
    </w:p>
    <w:p w14:paraId="6D85B4CD">
      <w:pPr>
        <w:adjustRightInd w:val="0"/>
        <w:snapToGrid w:val="0"/>
        <w:spacing w:line="360" w:lineRule="auto"/>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请求：</w:t>
      </w:r>
      <w:r>
        <w:rPr>
          <w:rFonts w:hint="eastAsia" w:ascii="宋体" w:hAnsi="宋体" w:eastAsia="宋体" w:cs="宋体"/>
          <w:color w:val="auto"/>
          <w:sz w:val="28"/>
          <w:szCs w:val="28"/>
          <w:highlight w:val="none"/>
          <w:u w:val="dotted"/>
        </w:rPr>
        <w:t xml:space="preserve">                                               </w:t>
      </w:r>
    </w:p>
    <w:p w14:paraId="6294670A">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签字(签章)：                   公章：                      </w:t>
      </w:r>
    </w:p>
    <w:p w14:paraId="285E8713">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日期：    </w:t>
      </w:r>
    </w:p>
    <w:p w14:paraId="5149D8DB">
      <w:pPr>
        <w:adjustRightInd w:val="0"/>
        <w:snapToGrid w:val="0"/>
        <w:spacing w:line="360" w:lineRule="auto"/>
        <w:rPr>
          <w:rFonts w:ascii="宋体" w:hAnsi="宋体" w:eastAsia="宋体" w:cs="宋体"/>
          <w:color w:val="auto"/>
          <w:sz w:val="28"/>
          <w:szCs w:val="28"/>
          <w:highlight w:val="none"/>
        </w:rPr>
      </w:pPr>
    </w:p>
    <w:p w14:paraId="71063A59">
      <w:pPr>
        <w:adjustRightInd w:val="0"/>
        <w:snapToGrid w:val="0"/>
        <w:spacing w:line="360" w:lineRule="auto"/>
        <w:rPr>
          <w:rFonts w:ascii="宋体" w:hAnsi="宋体" w:eastAsia="宋体" w:cs="宋体"/>
          <w:color w:val="auto"/>
          <w:sz w:val="28"/>
          <w:szCs w:val="28"/>
          <w:highlight w:val="none"/>
        </w:rPr>
      </w:pPr>
    </w:p>
    <w:p w14:paraId="2CD089F8">
      <w:pPr>
        <w:rPr>
          <w:rFonts w:ascii="宋体" w:hAnsi="宋体" w:eastAsia="宋体" w:cs="宋体"/>
          <w:b/>
          <w:color w:val="auto"/>
          <w:sz w:val="28"/>
          <w:szCs w:val="28"/>
          <w:highlight w:val="none"/>
        </w:rPr>
      </w:pPr>
    </w:p>
    <w:p w14:paraId="4B63B146">
      <w:pPr>
        <w:rPr>
          <w:rFonts w:ascii="宋体" w:hAnsi="宋体" w:eastAsia="宋体" w:cs="宋体"/>
          <w:b/>
          <w:color w:val="auto"/>
          <w:sz w:val="28"/>
          <w:szCs w:val="28"/>
          <w:highlight w:val="none"/>
        </w:rPr>
      </w:pPr>
    </w:p>
    <w:p w14:paraId="01FA0606">
      <w:pPr>
        <w:rPr>
          <w:rFonts w:ascii="宋体" w:hAnsi="宋体" w:eastAsia="宋体" w:cs="宋体"/>
          <w:b/>
          <w:color w:val="auto"/>
          <w:sz w:val="28"/>
          <w:szCs w:val="28"/>
          <w:highlight w:val="none"/>
        </w:rPr>
      </w:pPr>
    </w:p>
    <w:p w14:paraId="394FA538">
      <w:pPr>
        <w:rPr>
          <w:rFonts w:ascii="宋体" w:hAnsi="宋体" w:eastAsia="宋体" w:cs="宋体"/>
          <w:b/>
          <w:color w:val="auto"/>
          <w:sz w:val="28"/>
          <w:szCs w:val="28"/>
          <w:highlight w:val="none"/>
        </w:rPr>
      </w:pPr>
    </w:p>
    <w:p w14:paraId="681C6095">
      <w:pPr>
        <w:rPr>
          <w:rFonts w:ascii="宋体" w:hAnsi="宋体" w:eastAsia="宋体" w:cs="宋体"/>
          <w:b/>
          <w:color w:val="auto"/>
          <w:sz w:val="28"/>
          <w:szCs w:val="28"/>
          <w:highlight w:val="none"/>
        </w:rPr>
      </w:pPr>
    </w:p>
    <w:p w14:paraId="1158969B">
      <w:pPr>
        <w:rPr>
          <w:rFonts w:ascii="宋体" w:hAnsi="宋体" w:eastAsia="宋体" w:cs="宋体"/>
          <w:b/>
          <w:color w:val="auto"/>
          <w:sz w:val="24"/>
          <w:highlight w:val="none"/>
        </w:rPr>
      </w:pPr>
      <w:r>
        <w:rPr>
          <w:rFonts w:hint="eastAsia" w:ascii="宋体" w:hAnsi="宋体" w:eastAsia="宋体" w:cs="宋体"/>
          <w:b/>
          <w:color w:val="auto"/>
          <w:sz w:val="24"/>
          <w:highlight w:val="none"/>
        </w:rPr>
        <w:t>质疑函制作说明：</w:t>
      </w:r>
    </w:p>
    <w:p w14:paraId="2708A553">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1.供应商提出质疑时，应提交质疑函和必要的证明材料。</w:t>
      </w:r>
    </w:p>
    <w:p w14:paraId="49537B64">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2.质疑供应商若委托代理人进行质疑的，质疑函应按要求列明“授权代表”的有关内容，并在附件中提交由质疑</w:t>
      </w:r>
      <w:r>
        <w:rPr>
          <w:rFonts w:hint="eastAsia" w:ascii="宋体" w:hAnsi="宋体" w:eastAsia="宋体" w:cs="宋体"/>
          <w:color w:val="auto"/>
          <w:kern w:val="0"/>
          <w:sz w:val="24"/>
          <w:highlight w:val="none"/>
        </w:rPr>
        <w:t>供应商签署的授权委托书。授权委托书应载明代理人的姓名或者名称、代理事项、具体权限、期限和相关事项。</w:t>
      </w:r>
    </w:p>
    <w:p w14:paraId="60B50A42">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3.质疑供应商若对项目的某一分包进行质疑，质疑函中应列明具体分包号。</w:t>
      </w:r>
    </w:p>
    <w:p w14:paraId="0A0E6373">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4.质疑函的质疑事项应具体、明确，并有必要的事实依据和法律依据。</w:t>
      </w:r>
    </w:p>
    <w:p w14:paraId="71B4FB3B">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5.质疑函的质疑请求应与质疑事项相关。</w:t>
      </w:r>
    </w:p>
    <w:p w14:paraId="15F49674">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6.质疑供应商为自然人的，质疑函应由本人签字；质疑供应商为法人或者其他组织的，质疑函应由法定代表人、主要负责人，或者其授权代表签字或者盖章，并加盖公章。</w:t>
      </w:r>
    </w:p>
    <w:p w14:paraId="6D0A5A33">
      <w:pPr>
        <w:widowControl/>
        <w:ind w:firstLine="480" w:firstLineChars="200"/>
        <w:jc w:val="left"/>
        <w:rPr>
          <w:rFonts w:ascii="宋体" w:hAnsi="宋体" w:eastAsia="宋体" w:cs="宋体"/>
          <w:color w:val="auto"/>
          <w:sz w:val="24"/>
          <w:highlight w:val="none"/>
        </w:rPr>
      </w:pPr>
    </w:p>
    <w:p w14:paraId="1058EC77">
      <w:pPr>
        <w:outlineLvl w:val="9"/>
        <w:rPr>
          <w:rFonts w:ascii="宋体" w:hAnsi="宋体" w:eastAsia="宋体" w:cs="宋体"/>
          <w:color w:val="auto"/>
          <w:sz w:val="20"/>
          <w:szCs w:val="22"/>
          <w:highlight w:val="none"/>
        </w:rPr>
      </w:pPr>
    </w:p>
    <w:p w14:paraId="0D229248">
      <w:pPr>
        <w:outlineLvl w:val="9"/>
        <w:rPr>
          <w:rFonts w:ascii="宋体" w:hAnsi="宋体" w:eastAsia="宋体" w:cs="宋体"/>
          <w:color w:val="auto"/>
          <w:sz w:val="28"/>
          <w:szCs w:val="28"/>
          <w:highlight w:val="none"/>
        </w:rPr>
      </w:pPr>
    </w:p>
    <w:p w14:paraId="68947ED5">
      <w:pPr>
        <w:outlineLvl w:val="9"/>
        <w:rPr>
          <w:rFonts w:ascii="宋体" w:hAnsi="宋体" w:eastAsia="宋体" w:cs="宋体"/>
          <w:color w:val="auto"/>
          <w:sz w:val="20"/>
          <w:szCs w:val="22"/>
          <w:highlight w:val="none"/>
        </w:rPr>
      </w:pPr>
    </w:p>
    <w:p w14:paraId="4594600B">
      <w:pPr>
        <w:outlineLvl w:val="9"/>
        <w:rPr>
          <w:rFonts w:ascii="宋体" w:hAnsi="宋体" w:eastAsia="宋体" w:cs="宋体"/>
          <w:color w:val="auto"/>
          <w:sz w:val="28"/>
          <w:szCs w:val="28"/>
          <w:highlight w:val="none"/>
        </w:rPr>
      </w:pPr>
    </w:p>
    <w:p w14:paraId="582FEE8F">
      <w:pPr>
        <w:outlineLvl w:val="9"/>
        <w:rPr>
          <w:rFonts w:ascii="宋体" w:hAnsi="宋体" w:eastAsia="宋体" w:cs="宋体"/>
          <w:color w:val="auto"/>
          <w:sz w:val="20"/>
          <w:szCs w:val="22"/>
          <w:highlight w:val="none"/>
        </w:rPr>
      </w:pPr>
    </w:p>
    <w:p w14:paraId="62BE58E7">
      <w:pPr>
        <w:pStyle w:val="17"/>
        <w:ind w:firstLine="560"/>
        <w:outlineLvl w:val="9"/>
        <w:rPr>
          <w:rFonts w:ascii="宋体" w:hAnsi="宋体" w:eastAsia="宋体" w:cs="宋体"/>
          <w:color w:val="auto"/>
          <w:sz w:val="28"/>
          <w:szCs w:val="22"/>
          <w:highlight w:val="none"/>
        </w:rPr>
      </w:pPr>
    </w:p>
    <w:p w14:paraId="62E476A2">
      <w:pPr>
        <w:pStyle w:val="18"/>
        <w:outlineLvl w:val="9"/>
        <w:rPr>
          <w:rFonts w:ascii="宋体" w:hAnsi="宋体" w:eastAsia="宋体" w:cs="宋体"/>
          <w:color w:val="auto"/>
          <w:sz w:val="20"/>
          <w:szCs w:val="22"/>
          <w:highlight w:val="none"/>
        </w:rPr>
      </w:pPr>
    </w:p>
    <w:p w14:paraId="310A5056">
      <w:pPr>
        <w:outlineLvl w:val="9"/>
        <w:rPr>
          <w:rFonts w:ascii="宋体" w:hAnsi="宋体" w:eastAsia="宋体" w:cs="宋体"/>
          <w:color w:val="auto"/>
          <w:sz w:val="20"/>
          <w:szCs w:val="22"/>
          <w:highlight w:val="none"/>
        </w:rPr>
      </w:pPr>
    </w:p>
    <w:p w14:paraId="1E9457EE">
      <w:pPr>
        <w:pStyle w:val="4"/>
        <w:keepNext w:val="0"/>
        <w:keepLines w:val="0"/>
        <w:pageBreakBefore/>
        <w:rPr>
          <w:rFonts w:ascii="宋体" w:hAnsi="宋体" w:eastAsia="宋体" w:cs="宋体"/>
          <w:b w:val="0"/>
          <w:color w:val="auto"/>
          <w:sz w:val="24"/>
          <w:highlight w:val="none"/>
        </w:rPr>
      </w:pPr>
      <w:bookmarkStart w:id="114" w:name="_Toc24711"/>
      <w:bookmarkStart w:id="115" w:name="_Toc32533"/>
      <w:bookmarkStart w:id="116" w:name="_Toc28792"/>
      <w:r>
        <w:rPr>
          <w:rFonts w:hint="eastAsia" w:ascii="宋体" w:hAnsi="宋体" w:eastAsia="宋体" w:cs="宋体"/>
          <w:b w:val="0"/>
          <w:color w:val="auto"/>
          <w:sz w:val="24"/>
          <w:highlight w:val="none"/>
        </w:rPr>
        <w:t>附件二十：投诉书范本</w:t>
      </w:r>
      <w:bookmarkEnd w:id="114"/>
      <w:bookmarkEnd w:id="115"/>
      <w:bookmarkEnd w:id="116"/>
    </w:p>
    <w:p w14:paraId="2519A750">
      <w:pPr>
        <w:jc w:val="center"/>
        <w:rPr>
          <w:rFonts w:ascii="宋体" w:hAnsi="宋体" w:eastAsia="宋体" w:cs="宋体"/>
          <w:b/>
          <w:color w:val="auto"/>
          <w:sz w:val="40"/>
          <w:szCs w:val="40"/>
          <w:highlight w:val="none"/>
        </w:rPr>
      </w:pPr>
      <w:r>
        <w:rPr>
          <w:rFonts w:hint="eastAsia" w:ascii="宋体" w:hAnsi="宋体" w:eastAsia="宋体" w:cs="宋体"/>
          <w:b/>
          <w:color w:val="auto"/>
          <w:sz w:val="40"/>
          <w:szCs w:val="40"/>
          <w:highlight w:val="none"/>
        </w:rPr>
        <w:t>投诉书范本</w:t>
      </w:r>
    </w:p>
    <w:p w14:paraId="23DA5022">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一、投诉相关主体基本情况</w:t>
      </w:r>
    </w:p>
    <w:p w14:paraId="43A12EA9">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投诉人：</w:t>
      </w:r>
      <w:r>
        <w:rPr>
          <w:rFonts w:hint="eastAsia" w:ascii="宋体" w:hAnsi="宋体" w:eastAsia="宋体" w:cs="宋体"/>
          <w:color w:val="auto"/>
          <w:sz w:val="28"/>
          <w:szCs w:val="28"/>
          <w:highlight w:val="none"/>
          <w:u w:val="dotted"/>
        </w:rPr>
        <w:t xml:space="preserve">                                               </w:t>
      </w:r>
    </w:p>
    <w:p w14:paraId="115454CB">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33D51DC2">
      <w:pPr>
        <w:tabs>
          <w:tab w:val="left" w:pos="6510"/>
        </w:tabs>
        <w:jc w:val="left"/>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法定代表人/主要负责人：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0C27EA3B">
      <w:pPr>
        <w:tabs>
          <w:tab w:val="left" w:pos="6510"/>
        </w:tabs>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p>
    <w:p w14:paraId="0C21E2BB">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授权代表：</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p>
    <w:p w14:paraId="75A20FE9">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r>
        <w:rPr>
          <w:rFonts w:hint="eastAsia" w:ascii="宋体" w:hAnsi="宋体" w:eastAsia="宋体" w:cs="宋体"/>
          <w:color w:val="auto"/>
          <w:sz w:val="28"/>
          <w:szCs w:val="28"/>
          <w:highlight w:val="none"/>
          <w:u w:val="dotted"/>
        </w:rPr>
        <w:t xml:space="preserve">                   </w:t>
      </w:r>
    </w:p>
    <w:p w14:paraId="65F3A610">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被投诉人1：</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28652D69">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7FA2EF9A">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5D939A67">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被投诉人2</w:t>
      </w:r>
    </w:p>
    <w:p w14:paraId="38EC9378">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w:t>
      </w:r>
    </w:p>
    <w:p w14:paraId="0F04AFA3">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相关供应商：</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1A624BD4">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地     址：</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邮编：</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3E53F704">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联系人：</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联系电话：</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35FA0908">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二、投诉项目基本情况</w:t>
      </w:r>
    </w:p>
    <w:p w14:paraId="6704F9D8">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采购项目名称：</w:t>
      </w:r>
      <w:r>
        <w:rPr>
          <w:rFonts w:hint="eastAsia" w:ascii="宋体" w:hAnsi="宋体" w:eastAsia="宋体" w:cs="宋体"/>
          <w:color w:val="auto"/>
          <w:sz w:val="28"/>
          <w:szCs w:val="28"/>
          <w:highlight w:val="none"/>
          <w:u w:val="dotted"/>
        </w:rPr>
        <w:t xml:space="preserve">                                        </w:t>
      </w:r>
    </w:p>
    <w:p w14:paraId="50110DE1">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采购项目编号：</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包号：</w:t>
      </w:r>
      <w:r>
        <w:rPr>
          <w:rFonts w:hint="eastAsia" w:ascii="宋体" w:hAnsi="宋体" w:eastAsia="宋体" w:cs="宋体"/>
          <w:color w:val="auto"/>
          <w:sz w:val="28"/>
          <w:szCs w:val="28"/>
          <w:highlight w:val="none"/>
          <w:u w:val="dotted"/>
        </w:rPr>
        <w:t xml:space="preserve">              </w:t>
      </w:r>
    </w:p>
    <w:p w14:paraId="08C6BD85">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采购人名称：</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u w:val="single"/>
        </w:rPr>
        <w:t xml:space="preserve">  </w:t>
      </w:r>
    </w:p>
    <w:p w14:paraId="0D441AFA">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代理机构名称：</w:t>
      </w:r>
      <w:r>
        <w:rPr>
          <w:rFonts w:hint="eastAsia" w:ascii="宋体" w:hAnsi="宋体" w:eastAsia="宋体" w:cs="宋体"/>
          <w:color w:val="auto"/>
          <w:sz w:val="28"/>
          <w:szCs w:val="28"/>
          <w:highlight w:val="none"/>
          <w:u w:val="dotted"/>
        </w:rPr>
        <w:t xml:space="preserve">                                         </w:t>
      </w:r>
    </w:p>
    <w:p w14:paraId="72F3D9A2">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采购文件公告:</w:t>
      </w:r>
      <w:r>
        <w:rPr>
          <w:rFonts w:hint="eastAsia" w:ascii="宋体" w:hAnsi="宋体" w:eastAsia="宋体" w:cs="宋体"/>
          <w:color w:val="auto"/>
          <w:sz w:val="28"/>
          <w:szCs w:val="28"/>
          <w:highlight w:val="none"/>
          <w:u w:val="dotted"/>
        </w:rPr>
        <w:t xml:space="preserve">是/否 </w:t>
      </w:r>
      <w:r>
        <w:rPr>
          <w:rFonts w:hint="eastAsia" w:ascii="宋体" w:hAnsi="宋体" w:eastAsia="宋体" w:cs="宋体"/>
          <w:color w:val="auto"/>
          <w:sz w:val="28"/>
          <w:szCs w:val="28"/>
          <w:highlight w:val="none"/>
        </w:rPr>
        <w:t>公告期限：</w:t>
      </w:r>
      <w:r>
        <w:rPr>
          <w:rFonts w:hint="eastAsia" w:ascii="宋体" w:hAnsi="宋体" w:eastAsia="宋体" w:cs="宋体"/>
          <w:color w:val="auto"/>
          <w:sz w:val="28"/>
          <w:szCs w:val="28"/>
          <w:highlight w:val="none"/>
          <w:u w:val="dotted"/>
        </w:rPr>
        <w:t xml:space="preserve">                                 </w:t>
      </w:r>
    </w:p>
    <w:p w14:paraId="5B08875C">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采购结果公告:</w:t>
      </w:r>
      <w:r>
        <w:rPr>
          <w:rFonts w:hint="eastAsia" w:ascii="宋体" w:hAnsi="宋体" w:eastAsia="宋体" w:cs="宋体"/>
          <w:color w:val="auto"/>
          <w:sz w:val="28"/>
          <w:szCs w:val="28"/>
          <w:highlight w:val="none"/>
          <w:u w:val="dotted"/>
        </w:rPr>
        <w:t xml:space="preserve">是/否 </w:t>
      </w:r>
      <w:r>
        <w:rPr>
          <w:rFonts w:hint="eastAsia" w:ascii="宋体" w:hAnsi="宋体" w:eastAsia="宋体" w:cs="宋体"/>
          <w:color w:val="auto"/>
          <w:sz w:val="28"/>
          <w:szCs w:val="28"/>
          <w:highlight w:val="none"/>
        </w:rPr>
        <w:t>公告期限：</w:t>
      </w:r>
      <w:r>
        <w:rPr>
          <w:rFonts w:hint="eastAsia" w:ascii="宋体" w:hAnsi="宋体" w:eastAsia="宋体" w:cs="宋体"/>
          <w:color w:val="auto"/>
          <w:sz w:val="28"/>
          <w:szCs w:val="28"/>
          <w:highlight w:val="none"/>
          <w:u w:val="dotted"/>
        </w:rPr>
        <w:t xml:space="preserve">                        </w:t>
      </w:r>
    </w:p>
    <w:p w14:paraId="2224D979">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三、质疑基本情况</w:t>
      </w:r>
    </w:p>
    <w:p w14:paraId="68C1BB46">
      <w:pPr>
        <w:ind w:firstLine="560" w:firstLineChars="200"/>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投诉人于</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日,向</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提出质疑，质疑事项为：</w:t>
      </w:r>
      <w:r>
        <w:rPr>
          <w:rFonts w:hint="eastAsia" w:ascii="宋体" w:hAnsi="宋体" w:eastAsia="宋体" w:cs="宋体"/>
          <w:color w:val="auto"/>
          <w:sz w:val="28"/>
          <w:szCs w:val="28"/>
          <w:highlight w:val="none"/>
          <w:u w:val="dotted"/>
        </w:rPr>
        <w:t xml:space="preserve">                                </w:t>
      </w:r>
    </w:p>
    <w:p w14:paraId="70563BBE">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5E160C1A">
      <w:pPr>
        <w:ind w:firstLine="420" w:firstLineChars="150"/>
        <w:rPr>
          <w:rFonts w:ascii="宋体" w:hAnsi="宋体" w:eastAsia="宋体" w:cs="宋体"/>
          <w:color w:val="auto"/>
          <w:sz w:val="28"/>
          <w:szCs w:val="28"/>
          <w:highlight w:val="none"/>
        </w:rPr>
      </w:pPr>
      <w:r>
        <w:rPr>
          <w:rFonts w:hint="eastAsia" w:ascii="宋体" w:hAnsi="宋体" w:eastAsia="宋体" w:cs="宋体"/>
          <w:color w:val="auto"/>
          <w:sz w:val="28"/>
          <w:szCs w:val="28"/>
          <w:highlight w:val="none"/>
          <w:u w:val="dotted"/>
        </w:rPr>
        <w:t>采购人/代理机构</w:t>
      </w:r>
      <w:r>
        <w:rPr>
          <w:rFonts w:hint="eastAsia" w:ascii="宋体" w:hAnsi="宋体" w:eastAsia="宋体" w:cs="宋体"/>
          <w:color w:val="auto"/>
          <w:sz w:val="28"/>
          <w:szCs w:val="28"/>
          <w:highlight w:val="none"/>
        </w:rPr>
        <w:t>于</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年</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月</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日,就质疑事项作出了答复/没有在法定期限内作出答复。</w:t>
      </w:r>
    </w:p>
    <w:p w14:paraId="411C5C27">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四、投诉事项具体内容</w:t>
      </w:r>
    </w:p>
    <w:p w14:paraId="3F9A4A31">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投诉事项 1：</w:t>
      </w:r>
      <w:r>
        <w:rPr>
          <w:rFonts w:hint="eastAsia" w:ascii="宋体" w:hAnsi="宋体" w:eastAsia="宋体" w:cs="宋体"/>
          <w:color w:val="auto"/>
          <w:sz w:val="28"/>
          <w:szCs w:val="28"/>
          <w:highlight w:val="none"/>
          <w:u w:val="dotted"/>
        </w:rPr>
        <w:t xml:space="preserve">                                       </w:t>
      </w:r>
    </w:p>
    <w:p w14:paraId="1C440FD2">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事实依据：</w:t>
      </w:r>
      <w:r>
        <w:rPr>
          <w:rFonts w:hint="eastAsia" w:ascii="宋体" w:hAnsi="宋体" w:eastAsia="宋体" w:cs="宋体"/>
          <w:color w:val="auto"/>
          <w:sz w:val="28"/>
          <w:szCs w:val="28"/>
          <w:highlight w:val="none"/>
          <w:u w:val="dotted"/>
        </w:rPr>
        <w:t xml:space="preserve">                                         </w:t>
      </w:r>
    </w:p>
    <w:p w14:paraId="11C8C4B5">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p>
    <w:p w14:paraId="1ECD74D3">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法律依据：</w:t>
      </w:r>
      <w:r>
        <w:rPr>
          <w:rFonts w:hint="eastAsia" w:ascii="宋体" w:hAnsi="宋体" w:eastAsia="宋体" w:cs="宋体"/>
          <w:color w:val="auto"/>
          <w:sz w:val="28"/>
          <w:szCs w:val="28"/>
          <w:highlight w:val="none"/>
          <w:u w:val="dotted"/>
        </w:rPr>
        <w:t xml:space="preserve">                                          </w:t>
      </w:r>
    </w:p>
    <w:p w14:paraId="6FB35C34">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u w:val="dotted"/>
        </w:rPr>
        <w:t xml:space="preserve">                                                      </w:t>
      </w:r>
    </w:p>
    <w:p w14:paraId="6328961A">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投诉事项2</w:t>
      </w:r>
    </w:p>
    <w:p w14:paraId="035AEDC2">
      <w:pPr>
        <w:rPr>
          <w:rFonts w:ascii="宋体" w:hAnsi="宋体" w:eastAsia="宋体" w:cs="宋体"/>
          <w:color w:val="auto"/>
          <w:sz w:val="28"/>
          <w:szCs w:val="28"/>
          <w:highlight w:val="none"/>
          <w:u w:val="dotted"/>
        </w:rPr>
      </w:pPr>
      <w:r>
        <w:rPr>
          <w:rFonts w:hint="eastAsia" w:ascii="宋体" w:hAnsi="宋体" w:eastAsia="宋体" w:cs="宋体"/>
          <w:color w:val="auto"/>
          <w:sz w:val="28"/>
          <w:szCs w:val="28"/>
          <w:highlight w:val="none"/>
        </w:rPr>
        <w:t>……</w:t>
      </w:r>
    </w:p>
    <w:p w14:paraId="641EB19A">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五、与投诉事项相关的投诉请求</w:t>
      </w:r>
    </w:p>
    <w:p w14:paraId="7CAAC5CE">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请求：</w:t>
      </w:r>
      <w:r>
        <w:rPr>
          <w:rFonts w:hint="eastAsia" w:ascii="宋体" w:hAnsi="宋体" w:eastAsia="宋体" w:cs="宋体"/>
          <w:color w:val="auto"/>
          <w:sz w:val="28"/>
          <w:szCs w:val="28"/>
          <w:highlight w:val="none"/>
          <w:u w:val="dotted"/>
        </w:rPr>
        <w:t xml:space="preserve">                                              </w:t>
      </w:r>
      <w:r>
        <w:rPr>
          <w:rFonts w:hint="eastAsia" w:ascii="宋体" w:hAnsi="宋体" w:eastAsia="宋体" w:cs="宋体"/>
          <w:color w:val="auto"/>
          <w:sz w:val="28"/>
          <w:szCs w:val="28"/>
          <w:highlight w:val="none"/>
        </w:rPr>
        <w:t xml:space="preserve"> </w:t>
      </w:r>
    </w:p>
    <w:p w14:paraId="29D59F62">
      <w:pPr>
        <w:rPr>
          <w:rFonts w:ascii="宋体" w:hAnsi="宋体" w:eastAsia="宋体" w:cs="宋体"/>
          <w:color w:val="auto"/>
          <w:sz w:val="28"/>
          <w:szCs w:val="28"/>
          <w:highlight w:val="none"/>
          <w:u w:val="single"/>
        </w:rPr>
      </w:pPr>
      <w:r>
        <w:rPr>
          <w:rFonts w:hint="eastAsia" w:ascii="宋体" w:hAnsi="宋体" w:eastAsia="宋体" w:cs="宋体"/>
          <w:color w:val="auto"/>
          <w:sz w:val="28"/>
          <w:szCs w:val="28"/>
          <w:highlight w:val="none"/>
        </w:rPr>
        <w:t xml:space="preserve">                                                                                                    </w:t>
      </w:r>
    </w:p>
    <w:p w14:paraId="69C47305">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签字(签章)：                   公章：                      </w:t>
      </w:r>
    </w:p>
    <w:p w14:paraId="6DE3A69A">
      <w:pPr>
        <w:rPr>
          <w:rFonts w:ascii="宋体" w:hAnsi="宋体" w:eastAsia="宋体" w:cs="宋体"/>
          <w:color w:val="auto"/>
          <w:sz w:val="28"/>
          <w:szCs w:val="28"/>
          <w:highlight w:val="none"/>
        </w:rPr>
      </w:pPr>
      <w:r>
        <w:rPr>
          <w:rFonts w:hint="eastAsia" w:ascii="宋体" w:hAnsi="宋体" w:eastAsia="宋体" w:cs="宋体"/>
          <w:color w:val="auto"/>
          <w:sz w:val="28"/>
          <w:szCs w:val="28"/>
          <w:highlight w:val="none"/>
        </w:rPr>
        <w:t xml:space="preserve">日期：    </w:t>
      </w:r>
    </w:p>
    <w:p w14:paraId="6C5412E5">
      <w:pPr>
        <w:rPr>
          <w:rFonts w:ascii="宋体" w:hAnsi="宋体" w:eastAsia="宋体" w:cs="宋体"/>
          <w:b/>
          <w:color w:val="auto"/>
          <w:sz w:val="28"/>
          <w:szCs w:val="28"/>
          <w:highlight w:val="none"/>
        </w:rPr>
      </w:pPr>
    </w:p>
    <w:p w14:paraId="24A87E2F">
      <w:pPr>
        <w:rPr>
          <w:rFonts w:ascii="宋体" w:hAnsi="宋体" w:eastAsia="宋体" w:cs="宋体"/>
          <w:b/>
          <w:color w:val="auto"/>
          <w:sz w:val="28"/>
          <w:szCs w:val="28"/>
          <w:highlight w:val="none"/>
        </w:rPr>
      </w:pPr>
    </w:p>
    <w:p w14:paraId="3BB609B5">
      <w:pPr>
        <w:rPr>
          <w:rFonts w:ascii="宋体" w:hAnsi="宋体" w:eastAsia="宋体" w:cs="宋体"/>
          <w:b/>
          <w:color w:val="auto"/>
          <w:sz w:val="28"/>
          <w:szCs w:val="28"/>
          <w:highlight w:val="none"/>
        </w:rPr>
      </w:pPr>
    </w:p>
    <w:p w14:paraId="42DF4F47">
      <w:pPr>
        <w:rPr>
          <w:rFonts w:ascii="宋体" w:hAnsi="宋体" w:eastAsia="宋体" w:cs="宋体"/>
          <w:b/>
          <w:color w:val="auto"/>
          <w:sz w:val="28"/>
          <w:szCs w:val="28"/>
          <w:highlight w:val="none"/>
        </w:rPr>
      </w:pPr>
    </w:p>
    <w:p w14:paraId="266E7770">
      <w:pPr>
        <w:rPr>
          <w:rFonts w:ascii="宋体" w:hAnsi="宋体" w:eastAsia="宋体" w:cs="宋体"/>
          <w:b/>
          <w:color w:val="auto"/>
          <w:sz w:val="28"/>
          <w:szCs w:val="28"/>
          <w:highlight w:val="none"/>
        </w:rPr>
      </w:pPr>
    </w:p>
    <w:p w14:paraId="5BE5BCFB">
      <w:pPr>
        <w:rPr>
          <w:rFonts w:ascii="宋体" w:hAnsi="宋体" w:eastAsia="宋体" w:cs="宋体"/>
          <w:b/>
          <w:color w:val="auto"/>
          <w:sz w:val="24"/>
          <w:highlight w:val="none"/>
        </w:rPr>
      </w:pPr>
      <w:r>
        <w:rPr>
          <w:rFonts w:hint="eastAsia" w:ascii="宋体" w:hAnsi="宋体" w:eastAsia="宋体" w:cs="宋体"/>
          <w:b/>
          <w:color w:val="auto"/>
          <w:sz w:val="24"/>
          <w:highlight w:val="none"/>
        </w:rPr>
        <w:t>投诉书制作说明：</w:t>
      </w:r>
    </w:p>
    <w:p w14:paraId="7EB31DD2">
      <w:pPr>
        <w:widowControl/>
        <w:ind w:firstLine="480" w:firstLineChars="200"/>
        <w:rPr>
          <w:rFonts w:ascii="宋体" w:hAnsi="宋体" w:eastAsia="宋体" w:cs="宋体"/>
          <w:color w:val="auto"/>
          <w:kern w:val="0"/>
          <w:sz w:val="24"/>
          <w:highlight w:val="none"/>
        </w:rPr>
      </w:pPr>
      <w:r>
        <w:rPr>
          <w:rFonts w:hint="eastAsia" w:ascii="宋体" w:hAnsi="宋体" w:eastAsia="宋体" w:cs="宋体"/>
          <w:color w:val="auto"/>
          <w:sz w:val="24"/>
          <w:highlight w:val="none"/>
        </w:rPr>
        <w:t>1.投诉人提起投诉时，应当提交投诉书和必要的证明材料，并按照被投诉人和与投诉事项有关的供应商数量提供投诉书副本。</w:t>
      </w:r>
    </w:p>
    <w:p w14:paraId="0E1DF6F5">
      <w:pPr>
        <w:widowControl/>
        <w:ind w:firstLine="480" w:firstLineChars="200"/>
        <w:jc w:val="left"/>
        <w:rPr>
          <w:rFonts w:ascii="宋体" w:hAnsi="宋体" w:eastAsia="宋体" w:cs="宋体"/>
          <w:color w:val="auto"/>
          <w:kern w:val="0"/>
          <w:sz w:val="24"/>
          <w:highlight w:val="none"/>
        </w:rPr>
      </w:pPr>
      <w:r>
        <w:rPr>
          <w:rFonts w:hint="eastAsia" w:ascii="宋体" w:hAnsi="宋体" w:eastAsia="宋体" w:cs="宋体"/>
          <w:color w:val="auto"/>
          <w:sz w:val="24"/>
          <w:highlight w:val="none"/>
        </w:rPr>
        <w:t>2.投诉人若委托代理人进行投诉的，投诉书应按照要求列明“授权代表”的有关内容，并在附件中提交由</w:t>
      </w:r>
      <w:r>
        <w:rPr>
          <w:rFonts w:hint="eastAsia" w:ascii="宋体" w:hAnsi="宋体" w:eastAsia="宋体" w:cs="宋体"/>
          <w:color w:val="auto"/>
          <w:kern w:val="0"/>
          <w:sz w:val="24"/>
          <w:highlight w:val="none"/>
        </w:rPr>
        <w:t>投诉人签署的授权委托书。授权委托书应当载明代理人的姓名或者名称、代理事项、具体权限、期限和相关事项。</w:t>
      </w:r>
    </w:p>
    <w:p w14:paraId="6A2CE5F5">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3.投诉人若对项目的某一分包进行投诉，投诉书应列明具体分包号。</w:t>
      </w:r>
    </w:p>
    <w:p w14:paraId="0D8DC3D5">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4.投诉书应简要列明质疑事项，质疑函、质疑答复等作为附件材料提供。</w:t>
      </w:r>
    </w:p>
    <w:p w14:paraId="5F7C8378">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5.投诉书的投诉事项应具体、明确，并有必要的事实依据和法律依据。</w:t>
      </w:r>
    </w:p>
    <w:p w14:paraId="53140D0A">
      <w:pPr>
        <w:widowControl/>
        <w:ind w:firstLine="480" w:firstLineChars="200"/>
        <w:jc w:val="left"/>
        <w:rPr>
          <w:rFonts w:ascii="宋体" w:hAnsi="宋体" w:eastAsia="宋体" w:cs="宋体"/>
          <w:color w:val="auto"/>
          <w:sz w:val="24"/>
          <w:highlight w:val="none"/>
        </w:rPr>
      </w:pPr>
      <w:r>
        <w:rPr>
          <w:rFonts w:hint="eastAsia" w:ascii="宋体" w:hAnsi="宋体" w:eastAsia="宋体" w:cs="宋体"/>
          <w:color w:val="auto"/>
          <w:sz w:val="24"/>
          <w:highlight w:val="none"/>
        </w:rPr>
        <w:t>6.投诉书的投诉请求应与投诉事项相关。</w:t>
      </w:r>
    </w:p>
    <w:p w14:paraId="0A84D855">
      <w:pPr>
        <w:widowControl/>
        <w:ind w:firstLine="480" w:firstLineChars="200"/>
        <w:jc w:val="left"/>
        <w:rPr>
          <w:rFonts w:ascii="宋体" w:hAnsi="宋体" w:eastAsia="宋体" w:cs="宋体"/>
          <w:color w:val="auto"/>
          <w:kern w:val="0"/>
          <w:sz w:val="24"/>
          <w:highlight w:val="none"/>
        </w:rPr>
      </w:pPr>
      <w:r>
        <w:rPr>
          <w:rFonts w:hint="eastAsia" w:ascii="宋体" w:hAnsi="宋体" w:eastAsia="宋体" w:cs="宋体"/>
          <w:color w:val="auto"/>
          <w:sz w:val="24"/>
          <w:highlight w:val="none"/>
        </w:rPr>
        <w:t>7.投诉人为自然人的，投诉书应当由本人签字；投诉人为法人或者其他组织的，投诉书应当由法定代表人、主要负责人，或者其授权代表签字或者盖章，并加盖公章。</w:t>
      </w:r>
    </w:p>
    <w:p w14:paraId="10D376BE">
      <w:pPr>
        <w:jc w:val="left"/>
        <w:rPr>
          <w:rFonts w:ascii="宋体" w:hAnsi="宋体" w:eastAsia="宋体" w:cs="宋体"/>
          <w:b/>
          <w:color w:val="auto"/>
          <w:sz w:val="28"/>
          <w:szCs w:val="28"/>
          <w:highlight w:val="none"/>
        </w:rPr>
      </w:pPr>
      <w:r>
        <w:rPr>
          <w:rFonts w:hint="eastAsia" w:ascii="宋体" w:hAnsi="宋体" w:eastAsia="宋体" w:cs="宋体"/>
          <w:color w:val="auto"/>
          <w:sz w:val="28"/>
          <w:szCs w:val="28"/>
          <w:highlight w:val="none"/>
        </w:rPr>
        <w:t xml:space="preserve">         </w:t>
      </w:r>
      <w:r>
        <w:rPr>
          <w:rFonts w:hint="eastAsia" w:ascii="宋体" w:hAnsi="宋体" w:eastAsia="宋体" w:cs="宋体"/>
          <w:b/>
          <w:color w:val="auto"/>
          <w:sz w:val="28"/>
          <w:szCs w:val="28"/>
          <w:highlight w:val="none"/>
        </w:rPr>
        <w:t xml:space="preserve"> </w:t>
      </w:r>
    </w:p>
    <w:p w14:paraId="0466D02F">
      <w:pPr>
        <w:jc w:val="left"/>
        <w:rPr>
          <w:rFonts w:ascii="宋体" w:hAnsi="宋体" w:eastAsia="宋体" w:cs="宋体"/>
          <w:b/>
          <w:color w:val="auto"/>
          <w:sz w:val="28"/>
          <w:szCs w:val="28"/>
          <w:highlight w:val="none"/>
        </w:rPr>
      </w:pPr>
    </w:p>
    <w:p w14:paraId="521992A2">
      <w:pPr>
        <w:pStyle w:val="3"/>
        <w:rPr>
          <w:rFonts w:ascii="宋体" w:hAnsi="宋体" w:eastAsia="宋体" w:cs="宋体"/>
          <w:b/>
          <w:color w:val="auto"/>
          <w:sz w:val="28"/>
          <w:szCs w:val="28"/>
          <w:highlight w:val="none"/>
        </w:rPr>
      </w:pPr>
    </w:p>
    <w:p w14:paraId="3B5FC5C5">
      <w:pPr>
        <w:rPr>
          <w:rFonts w:ascii="宋体" w:hAnsi="宋体" w:eastAsia="宋体" w:cs="宋体"/>
          <w:b/>
          <w:color w:val="auto"/>
          <w:sz w:val="28"/>
          <w:szCs w:val="28"/>
          <w:highlight w:val="none"/>
        </w:rPr>
      </w:pPr>
    </w:p>
    <w:p w14:paraId="16D00B97">
      <w:pPr>
        <w:pStyle w:val="3"/>
        <w:rPr>
          <w:rFonts w:ascii="宋体" w:hAnsi="宋体" w:eastAsia="宋体" w:cs="宋体"/>
          <w:b/>
          <w:color w:val="auto"/>
          <w:sz w:val="28"/>
          <w:szCs w:val="28"/>
          <w:highlight w:val="none"/>
        </w:rPr>
      </w:pPr>
    </w:p>
    <w:p w14:paraId="463D18DD">
      <w:pPr>
        <w:rPr>
          <w:rFonts w:ascii="宋体" w:hAnsi="宋体" w:eastAsia="宋体" w:cs="宋体"/>
          <w:b/>
          <w:color w:val="auto"/>
          <w:sz w:val="28"/>
          <w:szCs w:val="28"/>
          <w:highlight w:val="none"/>
        </w:rPr>
      </w:pPr>
    </w:p>
    <w:p w14:paraId="07157D4C">
      <w:pPr>
        <w:pStyle w:val="3"/>
        <w:rPr>
          <w:rFonts w:ascii="宋体" w:hAnsi="宋体" w:eastAsia="宋体" w:cs="宋体"/>
          <w:b/>
          <w:color w:val="auto"/>
          <w:sz w:val="28"/>
          <w:szCs w:val="28"/>
          <w:highlight w:val="none"/>
        </w:rPr>
      </w:pPr>
    </w:p>
    <w:p w14:paraId="208DFC3B">
      <w:pPr>
        <w:rPr>
          <w:rFonts w:ascii="宋体" w:hAnsi="宋体" w:eastAsia="宋体" w:cs="宋体"/>
          <w:b/>
          <w:color w:val="auto"/>
          <w:sz w:val="28"/>
          <w:szCs w:val="28"/>
          <w:highlight w:val="none"/>
        </w:rPr>
      </w:pPr>
    </w:p>
    <w:p w14:paraId="2DC4C215">
      <w:pPr>
        <w:rPr>
          <w:rFonts w:ascii="宋体" w:hAnsi="宋体" w:eastAsia="宋体" w:cs="宋体"/>
          <w:b/>
          <w:color w:val="auto"/>
          <w:sz w:val="28"/>
          <w:szCs w:val="28"/>
          <w:highlight w:val="none"/>
        </w:rPr>
      </w:pPr>
    </w:p>
    <w:p w14:paraId="5A401224">
      <w:pPr>
        <w:pStyle w:val="4"/>
        <w:keepNext w:val="0"/>
        <w:keepLines w:val="0"/>
        <w:pageBreakBefore/>
        <w:rPr>
          <w:rFonts w:hint="eastAsia" w:ascii="宋体" w:hAnsi="宋体" w:eastAsia="宋体" w:cs="宋体"/>
          <w:b w:val="0"/>
          <w:color w:val="auto"/>
          <w:sz w:val="24"/>
          <w:highlight w:val="none"/>
          <w:lang w:val="en-US" w:eastAsia="zh-CN"/>
        </w:rPr>
      </w:pPr>
      <w:bookmarkStart w:id="117" w:name="_Toc22519"/>
      <w:r>
        <w:rPr>
          <w:rFonts w:hint="eastAsia" w:ascii="宋体" w:hAnsi="宋体" w:eastAsia="宋体" w:cs="宋体"/>
          <w:b w:val="0"/>
          <w:color w:val="auto"/>
          <w:sz w:val="24"/>
          <w:highlight w:val="none"/>
          <w:lang w:val="en-US" w:eastAsia="zh-CN"/>
        </w:rPr>
        <w:t>附件二十一：预算审核函</w:t>
      </w:r>
      <w:bookmarkEnd w:id="117"/>
    </w:p>
    <w:p w14:paraId="391E9855">
      <w:pPr>
        <w:rPr>
          <w:rFonts w:hint="eastAsia" w:ascii="宋体" w:hAnsi="宋体" w:eastAsia="宋体" w:cs="宋体"/>
          <w:color w:val="auto"/>
          <w:sz w:val="24"/>
          <w:szCs w:val="24"/>
          <w:highlight w:val="none"/>
          <w:lang w:eastAsia="zh-CN"/>
        </w:rPr>
      </w:pPr>
      <w:r>
        <w:drawing>
          <wp:inline distT="0" distB="0" distL="114300" distR="114300">
            <wp:extent cx="5314950" cy="7534275"/>
            <wp:effectExtent l="0" t="0" r="0" b="9525"/>
            <wp:docPr id="8"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图片 1"/>
                    <pic:cNvPicPr>
                      <a:picLocks noChangeAspect="1"/>
                    </pic:cNvPicPr>
                  </pic:nvPicPr>
                  <pic:blipFill>
                    <a:blip r:embed="rId14"/>
                    <a:stretch>
                      <a:fillRect/>
                    </a:stretch>
                  </pic:blipFill>
                  <pic:spPr>
                    <a:xfrm>
                      <a:off x="0" y="0"/>
                      <a:ext cx="5314950" cy="7534275"/>
                    </a:xfrm>
                    <a:prstGeom prst="rect">
                      <a:avLst/>
                    </a:prstGeom>
                    <a:noFill/>
                    <a:ln>
                      <a:noFill/>
                    </a:ln>
                  </pic:spPr>
                </pic:pic>
              </a:graphicData>
            </a:graphic>
          </wp:inline>
        </w:drawing>
      </w:r>
    </w:p>
    <w:sectPr>
      <w:headerReference r:id="rId10" w:type="first"/>
      <w:footerReference r:id="rId12" w:type="first"/>
      <w:headerReference r:id="rId9" w:type="default"/>
      <w:footerReference r:id="rId11" w:type="default"/>
      <w:pgSz w:w="11906" w:h="16838"/>
      <w:pgMar w:top="851" w:right="1247" w:bottom="1021" w:left="1247" w:header="851" w:footer="907" w:gutter="0"/>
      <w:pgBorders>
        <w:top w:val="none" w:sz="0" w:space="0"/>
        <w:left w:val="none" w:sz="0" w:space="0"/>
        <w:bottom w:val="none" w:sz="0" w:space="0"/>
        <w:right w:val="none" w:sz="0" w:space="0"/>
      </w:pgBorders>
      <w:pgNumType w:fmt="decimal"/>
      <w:cols w:space="720" w:num="1"/>
      <w:titlePg/>
      <w:rtlGutter w:val="0"/>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1"/>
    <w:family w:val="auto"/>
    <w:pitch w:val="default"/>
    <w:sig w:usb0="E0002EFF" w:usb1="C000785B" w:usb2="00000009" w:usb3="00000000" w:csb0="400001FF" w:csb1="FFFF0000"/>
  </w:font>
  <w:font w:name="宋体">
    <w:panose1 w:val="02010600030101010101"/>
    <w:charset w:val="81"/>
    <w:family w:val="roman"/>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Cambria">
    <w:panose1 w:val="02040503050406030204"/>
    <w:charset w:val="00"/>
    <w:family w:val="roman"/>
    <w:pitch w:val="default"/>
    <w:sig w:usb0="E00006FF" w:usb1="420024FF" w:usb2="02000000" w:usb3="00000000" w:csb0="2000019F" w:csb1="00000000"/>
  </w:font>
  <w:font w:name="仿宋">
    <w:panose1 w:val="02010609060101010101"/>
    <w:charset w:val="7A"/>
    <w:family w:val="modern"/>
    <w:pitch w:val="default"/>
    <w:sig w:usb0="800002BF" w:usb1="38CF7CFA" w:usb2="00000016" w:usb3="00000000" w:csb0="00040001" w:csb1="00000000"/>
  </w:font>
  <w:font w:name="楷体">
    <w:panose1 w:val="02010609060101010101"/>
    <w:charset w:val="86"/>
    <w:family w:val="auto"/>
    <w:pitch w:val="default"/>
    <w:sig w:usb0="800002BF" w:usb1="38CF7CFA" w:usb2="00000016" w:usb3="00000000" w:csb0="00040001" w:csb1="00000000"/>
  </w:font>
  <w:font w:name="Tahoma">
    <w:panose1 w:val="020B0604030504040204"/>
    <w:charset w:val="00"/>
    <w:family w:val="swiss"/>
    <w:pitch w:val="default"/>
    <w:sig w:usb0="E1002EFF" w:usb1="C000605B" w:usb2="00000029" w:usb3="00000000" w:csb0="200101FF" w:csb1="20280000"/>
  </w:font>
  <w:font w:name="Verdana">
    <w:panose1 w:val="020B0604030504040204"/>
    <w:charset w:val="00"/>
    <w:family w:val="swiss"/>
    <w:pitch w:val="default"/>
    <w:sig w:usb0="A00006FF" w:usb1="4000205B" w:usb2="00000010" w:usb3="00000000" w:csb0="2000019F" w:csb1="00000000"/>
  </w:font>
  <w:font w:name="微软雅黑">
    <w:panose1 w:val="020B0503020204020204"/>
    <w:charset w:val="7A"/>
    <w:family w:val="swiss"/>
    <w:pitch w:val="default"/>
    <w:sig w:usb0="80000287" w:usb1="2ACF3C50" w:usb2="00000016" w:usb3="00000000" w:csb0="0004001F" w:csb1="00000000"/>
  </w:font>
  <w:font w:name="Calibri Light">
    <w:panose1 w:val="020F0302020204030204"/>
    <w:charset w:val="00"/>
    <w:family w:val="swiss"/>
    <w:pitch w:val="default"/>
    <w:sig w:usb0="E4002EFF" w:usb1="C000247B" w:usb2="00000009" w:usb3="00000000" w:csb0="200001FF" w:csb1="00000000"/>
  </w:font>
  <w:font w:name="新宋体">
    <w:panose1 w:val="02010609030101010101"/>
    <w:charset w:val="7A"/>
    <w:family w:val="modern"/>
    <w:pitch w:val="default"/>
    <w:sig w:usb0="00000283" w:usb1="288F0000" w:usb2="0000000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55183F6">
    <w:pPr>
      <w:pStyle w:val="28"/>
      <w:jc w:val="right"/>
      <w:rPr>
        <w:rFonts w:hint="eastAsia" w:ascii="宋体" w:hAnsi="宋体" w:eastAsia="宋体" w:cs="宋体"/>
        <w:lang w:eastAsia="zh-CN"/>
      </w:rP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177E9F4">
                          <w:pPr>
                            <w:pStyle w:val="28"/>
                          </w:pPr>
                          <w:r>
                            <w:fldChar w:fldCharType="begin"/>
                          </w:r>
                          <w:r>
                            <w:instrText xml:space="preserve"> PAGE  \* MERGEFORMAT </w:instrText>
                          </w:r>
                          <w:r>
                            <w:fldChar w:fldCharType="separate"/>
                          </w:r>
                          <w:r>
                            <w:t>22</w:t>
                          </w:r>
                          <w:r>
                            <w:fldChar w:fldCharType="end"/>
                          </w:r>
                        </w:p>
                      </w:txbxContent>
                    </wps:txbx>
                    <wps:bodyPr wrap="none" lIns="0" tIns="0" rIns="0" bIns="0" upright="1">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L9r1VskBAACZAwAADgAAAGRycy9lMm9Eb2MueG1srVPNjtMwEL4j8Q6W&#10;79Rph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0NeUOG5x4Jfv3y4/fl1+fiXL&#10;3J4+QI1ZDwHz0nDnB1ya2Q/ozKoHFW3+oh6CcWzu+dpcOSQi8qP1ar2uMCQwNl8Qnz0+DxHSW+kt&#10;yUZDI06vNJWf3kMaU+eUXM35e21MmaBxfzkQM3tY5j5yzFYa9sMkaO/bM+rpcfANdbjnlJh3Dvua&#10;d2Q24mzsZ+MYoj50SG1ZeEG4PSYkUbjlCiPsVBgnVtRN25VX4s97yXr8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v2vVWyQEAAJkDAAAOAAAAAAAAAAEAIAAAAB4BAABkcnMvZTJvRG9j&#10;LnhtbFBLBQYAAAAABgAGAFkBAABZBQAAAAA=&#10;">
              <v:fill on="f" focussize="0,0"/>
              <v:stroke on="f"/>
              <v:imagedata o:title=""/>
              <o:lock v:ext="edit" aspectratio="f"/>
              <v:textbox inset="0mm,0mm,0mm,0mm" style="mso-fit-shape-to-text:t;">
                <w:txbxContent>
                  <w:p w14:paraId="4177E9F4">
                    <w:pPr>
                      <w:pStyle w:val="28"/>
                    </w:pPr>
                    <w:r>
                      <w:fldChar w:fldCharType="begin"/>
                    </w:r>
                    <w:r>
                      <w:instrText xml:space="preserve"> PAGE  \* MERGEFORMAT </w:instrText>
                    </w:r>
                    <w:r>
                      <w:fldChar w:fldCharType="separate"/>
                    </w:r>
                    <w:r>
                      <w:t>22</w:t>
                    </w:r>
                    <w:r>
                      <w:fldChar w:fldCharType="end"/>
                    </w:r>
                  </w:p>
                </w:txbxContent>
              </v:textbox>
            </v:shape>
          </w:pict>
        </mc:Fallback>
      </mc:AlternateContent>
    </w:r>
    <w:r>
      <w:rPr>
        <w:rFonts w:hint="eastAsia" w:ascii="宋体" w:hAnsi="宋体" w:cs="宋体"/>
        <w:sz w:val="18"/>
        <w:szCs w:val="21"/>
        <w:lang w:eastAsia="zh-CN"/>
      </w:rPr>
      <w:t>浙江诚远工程咨询有限公司</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A633D91">
    <w:pPr>
      <w:pStyle w:val="2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FAFC3B">
    <w:pPr>
      <w:rPr>
        <w:rFonts w:ascii="仿宋" w:eastAsia="仿宋"/>
      </w:rPr>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4F8C1FF7">
                          <w:pPr>
                            <w:pStyle w:val="28"/>
                          </w:pPr>
                          <w:r>
                            <w:fldChar w:fldCharType="begin"/>
                          </w:r>
                          <w:r>
                            <w:instrText xml:space="preserve"> PAGE  \* MERGEFORMAT </w:instrText>
                          </w:r>
                          <w:r>
                            <w:fldChar w:fldCharType="separate"/>
                          </w:r>
                          <w:r>
                            <w:t>6</w:t>
                          </w:r>
                          <w:r>
                            <w:fldChar w:fldCharType="end"/>
                          </w:r>
                        </w:p>
                      </w:txbxContent>
                    </wps:txbx>
                    <wps:bodyPr wrap="none" lIns="0" tIns="0" rIns="0" bIns="0" upright="1">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3TbkV8kBAACZAwAADgAAAGRycy9lMm9Eb2MueG1srVPNjtMwEL4j8Q6W&#10;79RpJVAVNV3tqlqEhABp4QFcx24s+U8et0lfAN6AExfuPFefg7GTdGG57IGLM54Zf/N9M5PNzWAN&#10;OckI2ruGLhcVJdIJ32p3aOiXz/ev1pRA4q7lxjvZ0LMEerN9+WLTh1qufOdNKyNBEAd1HxrapRRq&#10;xkB00nJY+CAdBpWPlie8xgNrI+8R3Rq2qqo3rPexDdELCYDe3RikE2J8DqBXSgu58+JopUsjapSG&#10;J5QEnQ5At4WtUlKkj0qBTMQ0FJWmcmIRtPf5ZNsNrw+Rh06LiQJ/DoUnmizXDoteoXY8cXKM+h8o&#10;q0X04FVaCG/ZKKR0BFUsqye9eeh4kEULthrCtenw/2DFh9OnSHTb0NeUOG5x4Jfv3y4/fl1+fiWr&#10;3J4+QI1ZDwHz0nDnB1ya2Q/ozKoHFW3+oh6CcWzu+dpcOSQi8qP1ar2uMCQwNl8Qnz0+DxHSW+kt&#10;yUZDI06vNJWf3kMaU+eUXM35e21MmaBxfzkQM3tY5j5yzFYa9sMkaO/bM+rpcfANdbjnlJh3Dvua&#10;d2Q24mzsZ+MYoj50SG1ZeEG4PSYkUbjlCiPsVBgnVtRN25VX4s97yXr8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dNuRXyQEAAJkDAAAOAAAAAAAAAAEAIAAAAB4BAABkcnMvZTJvRG9j&#10;LnhtbFBLBQYAAAAABgAGAFkBAABZBQAAAAA=&#10;">
              <v:fill on="f" focussize="0,0"/>
              <v:stroke on="f"/>
              <v:imagedata o:title=""/>
              <o:lock v:ext="edit" aspectratio="f"/>
              <v:textbox inset="0mm,0mm,0mm,0mm" style="mso-fit-shape-to-text:t;">
                <w:txbxContent>
                  <w:p w14:paraId="4F8C1FF7">
                    <w:pPr>
                      <w:pStyle w:val="28"/>
                    </w:pPr>
                    <w:r>
                      <w:fldChar w:fldCharType="begin"/>
                    </w:r>
                    <w:r>
                      <w:instrText xml:space="preserve"> PAGE  \* MERGEFORMAT </w:instrText>
                    </w:r>
                    <w:r>
                      <w:fldChar w:fldCharType="separate"/>
                    </w:r>
                    <w:r>
                      <w:t>6</w:t>
                    </w:r>
                    <w:r>
                      <w:fldChar w:fldCharType="end"/>
                    </w:r>
                  </w:p>
                </w:txbxContent>
              </v:textbox>
            </v:shape>
          </w:pict>
        </mc:Fallback>
      </mc:AlternateContent>
    </w:r>
    <w:r>
      <w:rPr>
        <w:rFonts w:hint="eastAsia" w:ascii="宋体" w:hAnsi="宋体" w:cs="宋体"/>
        <w:sz w:val="18"/>
        <w:szCs w:val="21"/>
        <w:lang w:eastAsia="zh-CN"/>
      </w:rPr>
      <w:t>浙江诚远工程咨询有限公司</w: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C3579E0">
    <w:pPr>
      <w:pStyle w:val="28"/>
      <w:jc w:val="right"/>
    </w:pPr>
    <w:r>
      <w:rPr>
        <w:sz w:val="18"/>
      </w:rP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828800" cy="1828800"/>
              <wp:effectExtent l="0" t="0" r="0" b="0"/>
              <wp:wrapNone/>
              <wp:docPr id="7"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01D1F38C">
                          <w:pPr>
                            <w:pStyle w:val="28"/>
                          </w:pPr>
                          <w:r>
                            <w:fldChar w:fldCharType="begin"/>
                          </w:r>
                          <w:r>
                            <w:instrText xml:space="preserve"> PAGE  \* MERGEFORMAT </w:instrText>
                          </w:r>
                          <w:r>
                            <w:fldChar w:fldCharType="separate"/>
                          </w:r>
                          <w:r>
                            <w:t>54</w:t>
                          </w:r>
                          <w:r>
                            <w:fldChar w:fldCharType="end"/>
                          </w:r>
                        </w:p>
                      </w:txbxContent>
                    </wps:txbx>
                    <wps:bodyPr wrap="none" lIns="0" tIns="0" rIns="0" bIns="0" upright="1">
                      <a:spAutoFit/>
                    </wps:bodyPr>
                  </wps:wsp>
                </a:graphicData>
              </a:graphic>
            </wp:anchor>
          </w:drawing>
        </mc:Choice>
        <mc:Fallback>
          <w:pict>
            <v:shape id="文本框 3" o:spid="_x0000_s1026" o:spt="202" type="#_x0000_t202" style="position:absolute;left:0pt;margin-top:0pt;height:144pt;width:144pt;mso-position-horizontal:center;mso-position-horizontal-relative:margin;mso-wrap-style:none;z-index:251662336;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PjR/FckBAACZAwAADgAAAGRycy9lMm9Eb2MueG1srVPNjtMwEL4j8Q6W&#10;79RpkaCKmq5A1SIkBEjLPoDr2I0l/8njNukLwBtw4sKd5+pzMHaSLiyXPXBxxjPjb75vZrK5Gawh&#10;JxlBe9fQ5aKiRDrhW+0ODb3/cvtiTQkk7lpuvJMNPUugN9vnzzZ9qOXKd960MhIEcVD3oaFdSqFm&#10;DEQnLYeFD9JhUPloecJrPLA28h7RrWGrqnrFeh/bEL2QAOjdjUE6IcanAHqltJA7L45WujSiRml4&#10;QknQ6QB0W9gqJUX6pBTIRExDUWkqJxZBe59Ptt3w+hB56LSYKPCnUHikyXLtsOgVascTJ8eo/4Gy&#10;WkQPXqWF8JaNQkpHUMWyetSbu44HWbRgqyFcmw7/D1Z8PH2ORLcNfU2J4xYHfvn+7fLj1+XnV/Iy&#10;t6cPUGPWXcC8NLz1Ay7N7Ad0ZtWDijZ/UQ/BODb3fG2uHBIR+dF6tV5XGBIYmy+Izx6ehwjpnfSW&#10;ZKOhEadXmspPHyCNqXNKrub8rTamTNC4vxyImT0scx85ZisN+2EStPftGfX0OPiGOtxzSsx7h33N&#10;OzIbcTb2s3EMUR86pLYsvCC8OSYkUbjlCiPsVBgnVtRN25VX4s97yXr4o7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A+NH8VyQEAAJkDAAAOAAAAAAAAAAEAIAAAAB4BAABkcnMvZTJvRG9j&#10;LnhtbFBLBQYAAAAABgAGAFkBAABZBQAAAAA=&#10;">
              <v:fill on="f" focussize="0,0"/>
              <v:stroke on="f"/>
              <v:imagedata o:title=""/>
              <o:lock v:ext="edit" aspectratio="f"/>
              <v:textbox inset="0mm,0mm,0mm,0mm" style="mso-fit-shape-to-text:t;">
                <w:txbxContent>
                  <w:p w14:paraId="01D1F38C">
                    <w:pPr>
                      <w:pStyle w:val="28"/>
                    </w:pPr>
                    <w:r>
                      <w:fldChar w:fldCharType="begin"/>
                    </w:r>
                    <w:r>
                      <w:instrText xml:space="preserve"> PAGE  \* MERGEFORMAT </w:instrText>
                    </w:r>
                    <w:r>
                      <w:fldChar w:fldCharType="separate"/>
                    </w:r>
                    <w:r>
                      <w:t>54</w:t>
                    </w:r>
                    <w:r>
                      <w:fldChar w:fldCharType="end"/>
                    </w:r>
                  </w:p>
                </w:txbxContent>
              </v:textbox>
            </v:shape>
          </w:pict>
        </mc:Fallback>
      </mc:AlternateContent>
    </w:r>
    <w:r>
      <w:rPr>
        <w:rFonts w:hint="eastAsia" w:ascii="宋体" w:hAnsi="宋体" w:cs="宋体"/>
        <w:sz w:val="18"/>
        <w:szCs w:val="21"/>
        <w:lang w:eastAsia="zh-CN"/>
      </w:rPr>
      <w:t>浙江诚远工程咨询有限公司</w: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0FA963">
    <w:pPr>
      <w:jc w:val="right"/>
      <w:rPr>
        <w:rFonts w:ascii="仿宋" w:eastAsia="仿宋"/>
      </w:rPr>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6"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14:paraId="38889CB0">
                          <w:pPr>
                            <w:pStyle w:val="28"/>
                          </w:pPr>
                          <w:r>
                            <w:fldChar w:fldCharType="begin"/>
                          </w:r>
                          <w:r>
                            <w:instrText xml:space="preserve"> PAGE  \* MERGEFORMAT </w:instrText>
                          </w:r>
                          <w:r>
                            <w:fldChar w:fldCharType="separate"/>
                          </w:r>
                          <w:r>
                            <w:t>6</w:t>
                          </w:r>
                          <w:r>
                            <w:fldChar w:fldCharType="end"/>
                          </w:r>
                        </w:p>
                      </w:txbxContent>
                    </wps:txbx>
                    <wps:bodyPr wrap="none" lIns="0" tIns="0" rIns="0" bIns="0" upright="1">
                      <a:spAutoFit/>
                    </wps:bodyPr>
                  </wps:wsp>
                </a:graphicData>
              </a:graphic>
            </wp:anchor>
          </w:drawing>
        </mc:Choice>
        <mc:Fallback>
          <w:pict>
            <v:shape id="文本框 4"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yMwjeckBAACZAwAADgAAAGRycy9lMm9Eb2MueG1srVPNjtMwEL4j8Q6W&#10;79RphVZV1HQFqhYhIUBaeADXsRtL/pPHbdIXgDfgxIU7z9XnYOwk3WW57IGLM54Zf/N9M5PN7WAN&#10;OckI2ruGLhcVJdIJ32p3aOjXL3ev1pRA4q7lxjvZ0LMEert9+WLTh1qufOdNKyNBEAd1HxrapRRq&#10;xkB00nJY+CAdBpWPlie8xgNrI+8R3Rq2qqob1vvYhuiFBEDvbgzSCTE+B9ArpYXceXG00qURNUrD&#10;E0qCTgeg28JWKSnSJ6VAJmIaikpTObEI2vt8su2G14fIQ6fFRIE/h8ITTZZrh0WvUDueODlG/Q+U&#10;1SJ68CothLdsFFI6giqW1ZPe3Hc8yKIFWw3h2nT4f7Di4+lzJLpt6A0ljlsc+OXH98vP35df38jr&#10;3J4+QI1Z9wHz0vDWD7g0sx/QmVUPKtr8RT0E49jc87W5ckhE5Efr1XpdYUhgbL4gPnt4HiKkd9Jb&#10;ko2GRpxeaSo/fYA0ps4puZrzd9qYMkHj/nIgZvawzH3kmK007IdJ0N63Z9TT4+Ab6nDPKTHvHfY1&#10;78hsxNnYz8YxRH3okNqy8ILw5piQROGWK4ywU2GcWFE3bVdeicf3kvXwR23/AF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IzCN5yQEAAJkDAAAOAAAAAAAAAAEAIAAAAB4BAABkcnMvZTJvRG9j&#10;LnhtbFBLBQYAAAAABgAGAFkBAABZBQAAAAA=&#10;">
              <v:fill on="f" focussize="0,0"/>
              <v:stroke on="f"/>
              <v:imagedata o:title=""/>
              <o:lock v:ext="edit" aspectratio="f"/>
              <v:textbox inset="0mm,0mm,0mm,0mm" style="mso-fit-shape-to-text:t;">
                <w:txbxContent>
                  <w:p w14:paraId="38889CB0">
                    <w:pPr>
                      <w:pStyle w:val="28"/>
                    </w:pPr>
                    <w:r>
                      <w:fldChar w:fldCharType="begin"/>
                    </w:r>
                    <w:r>
                      <w:instrText xml:space="preserve"> PAGE  \* MERGEFORMAT </w:instrText>
                    </w:r>
                    <w:r>
                      <w:fldChar w:fldCharType="separate"/>
                    </w:r>
                    <w:r>
                      <w:t>6</w:t>
                    </w:r>
                    <w:r>
                      <w:fldChar w:fldCharType="end"/>
                    </w:r>
                  </w:p>
                </w:txbxContent>
              </v:textbox>
            </v:shape>
          </w:pict>
        </mc:Fallback>
      </mc:AlternateContent>
    </w:r>
    <w:r>
      <w:rPr>
        <w:rFonts w:hint="eastAsia" w:ascii="宋体" w:hAnsi="宋体" w:cs="宋体"/>
        <w:sz w:val="18"/>
        <w:szCs w:val="21"/>
        <w:lang w:eastAsia="zh-CN"/>
      </w:rPr>
      <w:t>浙江诚远工程咨询有限公司</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57E324F">
    <w:pPr>
      <w:pBdr>
        <w:bottom w:val="single" w:color="auto" w:sz="4" w:space="0"/>
      </w:pBdr>
      <w:bidi w:val="0"/>
      <w:rPr>
        <w:rFonts w:hint="eastAsia"/>
        <w:sz w:val="18"/>
        <w:szCs w:val="21"/>
        <w:lang w:eastAsia="zh-CN"/>
      </w:rPr>
    </w:pPr>
    <w:r>
      <w:rPr>
        <w:rFonts w:hint="eastAsia"/>
        <w:sz w:val="18"/>
        <w:szCs w:val="21"/>
        <w:lang w:eastAsia="zh-CN"/>
      </w:rPr>
      <w:t>笠里小区环村路道路工程项目</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3BB8FA6">
    <w:pPr>
      <w:pStyle w:val="30"/>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81F9E6">
    <w:pPr>
      <w:pStyle w:val="30"/>
      <w:jc w:val="both"/>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BBE9CE9">
    <w:pPr>
      <w:pStyle w:val="30"/>
      <w:jc w:val="left"/>
      <w:rPr>
        <w:rFonts w:hint="eastAsia" w:eastAsia="宋体" w:cs="Arial"/>
        <w:color w:val="000000"/>
        <w:sz w:val="16"/>
        <w:szCs w:val="16"/>
        <w:lang w:eastAsia="zh-CN"/>
      </w:rPr>
    </w:pPr>
    <w:r>
      <w:rPr>
        <w:rFonts w:hint="eastAsia" w:cs="Arial"/>
        <w:color w:val="000000"/>
        <w:sz w:val="16"/>
        <w:szCs w:val="16"/>
        <w:lang w:eastAsia="zh-CN"/>
      </w:rPr>
      <w:t>笠里小区环村路道路工程项目</w:t>
    </w: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CE7385">
    <w:pPr>
      <w:pStyle w:val="30"/>
      <w:rPr>
        <w:rFonts w:hint="eastAsia" w:eastAsia="宋体" w:cs="Arial"/>
        <w:color w:val="000000"/>
        <w:sz w:val="16"/>
        <w:szCs w:val="16"/>
        <w:lang w:eastAsia="zh-CN"/>
      </w:rPr>
    </w:pPr>
    <w:r>
      <w:rPr>
        <w:rFonts w:hint="eastAsia" w:cs="Arial"/>
        <w:color w:val="000000"/>
        <w:sz w:val="16"/>
        <w:szCs w:val="16"/>
        <w:lang w:eastAsia="zh-CN"/>
      </w:rPr>
      <w:t>笠里小区环村路道路工程项目</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00000001"/>
    <w:multiLevelType w:val="singleLevel"/>
    <w:tmpl w:val="00000001"/>
    <w:lvl w:ilvl="0" w:tentative="0">
      <w:start w:val="1"/>
      <w:numFmt w:val="decimal"/>
      <w:lvlText w:val="%1."/>
      <w:lvlJc w:val="left"/>
      <w:pPr>
        <w:tabs>
          <w:tab w:val="left" w:pos="312"/>
        </w:tabs>
      </w:pPr>
    </w:lvl>
  </w:abstractNum>
  <w:abstractNum w:abstractNumId="1">
    <w:nsid w:val="00000002"/>
    <w:multiLevelType w:val="singleLevel"/>
    <w:tmpl w:val="00000002"/>
    <w:lvl w:ilvl="0" w:tentative="0">
      <w:start w:val="1"/>
      <w:numFmt w:val="chineseCounting"/>
      <w:suff w:val="nothing"/>
      <w:lvlText w:val="%1、"/>
      <w:lvlJc w:val="left"/>
      <w:rPr>
        <w:rFonts w:hint="eastAsia"/>
      </w:rPr>
    </w:lvl>
  </w:abstractNum>
  <w:abstractNum w:abstractNumId="2">
    <w:nsid w:val="00000003"/>
    <w:multiLevelType w:val="multilevel"/>
    <w:tmpl w:val="00000003"/>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00000004"/>
    <w:multiLevelType w:val="multilevel"/>
    <w:tmpl w:val="00000004"/>
    <w:lvl w:ilvl="0" w:tentative="0">
      <w:start w:val="1"/>
      <w:numFmt w:val="decimal"/>
      <w:lvlText w:val="%1."/>
      <w:lvlJc w:val="left"/>
      <w:pPr>
        <w:tabs>
          <w:tab w:val="left" w:pos="1224"/>
        </w:tabs>
        <w:ind w:left="1224" w:hanging="1224"/>
      </w:pPr>
      <w:rPr>
        <w:rFonts w:hint="eastAsia"/>
      </w:rPr>
    </w:lvl>
    <w:lvl w:ilvl="1" w:tentative="0">
      <w:start w:val="1"/>
      <w:numFmt w:val="decimal"/>
      <w:lvlText w:val="%1.%2"/>
      <w:lvlJc w:val="left"/>
      <w:pPr>
        <w:tabs>
          <w:tab w:val="left" w:pos="1224"/>
        </w:tabs>
        <w:ind w:left="1224" w:hanging="1224"/>
      </w:pPr>
      <w:rPr>
        <w:rFonts w:hint="eastAsia"/>
        <w:sz w:val="24"/>
        <w:szCs w:val="24"/>
      </w:rPr>
    </w:lvl>
    <w:lvl w:ilvl="2" w:tentative="0">
      <w:start w:val="1"/>
      <w:numFmt w:val="decimal"/>
      <w:pStyle w:val="75"/>
      <w:lvlText w:val="%1.%2.%3"/>
      <w:lvlJc w:val="left"/>
      <w:pPr>
        <w:tabs>
          <w:tab w:val="left" w:pos="1224"/>
        </w:tabs>
        <w:ind w:left="1224" w:hanging="1224"/>
      </w:pPr>
      <w:rPr>
        <w:rFonts w:hint="default" w:ascii="Arial" w:hAnsi="Arial" w:eastAsia="仿宋"/>
        <w:sz w:val="24"/>
        <w:szCs w:val="24"/>
      </w:rPr>
    </w:lvl>
    <w:lvl w:ilvl="3" w:tentative="0">
      <w:start w:val="1"/>
      <w:numFmt w:val="decimal"/>
      <w:lvlText w:val="%1.%2.%3.%4."/>
      <w:lvlJc w:val="left"/>
      <w:pPr>
        <w:tabs>
          <w:tab w:val="left" w:pos="1225"/>
        </w:tabs>
        <w:ind w:left="1225" w:hanging="1225"/>
      </w:pPr>
      <w:rPr>
        <w:rFonts w:hint="eastAsia"/>
        <w:sz w:val="24"/>
        <w:szCs w:val="24"/>
      </w:rPr>
    </w:lvl>
    <w:lvl w:ilvl="4" w:tentative="0">
      <w:start w:val="1"/>
      <w:numFmt w:val="lowerLetter"/>
      <w:lvlText w:val="%5)"/>
      <w:lvlJc w:val="left"/>
      <w:pPr>
        <w:tabs>
          <w:tab w:val="left" w:pos="2100"/>
        </w:tabs>
        <w:ind w:left="2100" w:hanging="420"/>
      </w:pPr>
      <w:rPr>
        <w:rFonts w:hint="eastAsia"/>
      </w:rPr>
    </w:lvl>
    <w:lvl w:ilvl="5" w:tentative="0">
      <w:start w:val="1"/>
      <w:numFmt w:val="lowerRoman"/>
      <w:lvlText w:val="%6."/>
      <w:lvlJc w:val="right"/>
      <w:pPr>
        <w:tabs>
          <w:tab w:val="left" w:pos="2520"/>
        </w:tabs>
        <w:ind w:left="2520" w:hanging="420"/>
      </w:pPr>
      <w:rPr>
        <w:rFonts w:hint="eastAsia"/>
      </w:rPr>
    </w:lvl>
    <w:lvl w:ilvl="6" w:tentative="0">
      <w:start w:val="1"/>
      <w:numFmt w:val="decimal"/>
      <w:lvlText w:val="%7."/>
      <w:lvlJc w:val="left"/>
      <w:pPr>
        <w:tabs>
          <w:tab w:val="left" w:pos="2940"/>
        </w:tabs>
        <w:ind w:left="2940" w:hanging="420"/>
      </w:pPr>
      <w:rPr>
        <w:rFonts w:hint="eastAsia"/>
      </w:rPr>
    </w:lvl>
    <w:lvl w:ilvl="7" w:tentative="0">
      <w:start w:val="1"/>
      <w:numFmt w:val="lowerLetter"/>
      <w:lvlText w:val="%8)"/>
      <w:lvlJc w:val="left"/>
      <w:pPr>
        <w:tabs>
          <w:tab w:val="left" w:pos="3360"/>
        </w:tabs>
        <w:ind w:left="3360" w:hanging="420"/>
      </w:pPr>
      <w:rPr>
        <w:rFonts w:hint="eastAsia"/>
      </w:rPr>
    </w:lvl>
    <w:lvl w:ilvl="8" w:tentative="0">
      <w:start w:val="1"/>
      <w:numFmt w:val="lowerRoman"/>
      <w:lvlText w:val="%9."/>
      <w:lvlJc w:val="right"/>
      <w:pPr>
        <w:tabs>
          <w:tab w:val="left" w:pos="3780"/>
        </w:tabs>
        <w:ind w:left="3780" w:hanging="420"/>
      </w:pPr>
      <w:rPr>
        <w:rFonts w:hint="eastAsia"/>
      </w:rPr>
    </w:lvl>
  </w:abstractNum>
  <w:abstractNum w:abstractNumId="4">
    <w:nsid w:val="00000005"/>
    <w:multiLevelType w:val="singleLevel"/>
    <w:tmpl w:val="00000005"/>
    <w:lvl w:ilvl="0" w:tentative="0">
      <w:start w:val="4"/>
      <w:numFmt w:val="chineseCounting"/>
      <w:suff w:val="nothing"/>
      <w:lvlText w:val="（%1）"/>
      <w:lvlJc w:val="left"/>
      <w:rPr>
        <w:rFonts w:hint="eastAsia"/>
      </w:rPr>
    </w:lvl>
  </w:abstractNum>
  <w:abstractNum w:abstractNumId="5">
    <w:nsid w:val="00000006"/>
    <w:multiLevelType w:val="multilevel"/>
    <w:tmpl w:val="00000006"/>
    <w:lvl w:ilvl="0" w:tentative="0">
      <w:start w:val="1"/>
      <w:numFmt w:val="bullet"/>
      <w:lvlText w:val=""/>
      <w:lvlJc w:val="left"/>
      <w:pPr>
        <w:ind w:left="900" w:hanging="420"/>
      </w:pPr>
      <w:rPr>
        <w:rFonts w:hint="default" w:ascii="Wingdings" w:hAnsi="Wingdings"/>
      </w:rPr>
    </w:lvl>
    <w:lvl w:ilvl="1" w:tentative="0">
      <w:start w:val="1"/>
      <w:numFmt w:val="bullet"/>
      <w:lvlText w:val=""/>
      <w:lvlJc w:val="left"/>
      <w:pPr>
        <w:ind w:left="1320" w:hanging="420"/>
      </w:pPr>
      <w:rPr>
        <w:rFonts w:hint="default" w:ascii="Wingdings" w:hAnsi="Wingdings"/>
      </w:rPr>
    </w:lvl>
    <w:lvl w:ilvl="2" w:tentative="0">
      <w:start w:val="1"/>
      <w:numFmt w:val="bullet"/>
      <w:pStyle w:val="128"/>
      <w:lvlText w:val=""/>
      <w:lvlJc w:val="left"/>
      <w:pPr>
        <w:ind w:left="1740" w:hanging="420"/>
      </w:pPr>
      <w:rPr>
        <w:rFonts w:hint="default" w:ascii="Wingdings" w:hAnsi="Wingdings"/>
      </w:rPr>
    </w:lvl>
    <w:lvl w:ilvl="3" w:tentative="0">
      <w:start w:val="1"/>
      <w:numFmt w:val="bullet"/>
      <w:lvlText w:val=""/>
      <w:lvlJc w:val="left"/>
      <w:pPr>
        <w:ind w:left="2160" w:hanging="420"/>
      </w:pPr>
      <w:rPr>
        <w:rFonts w:hint="default" w:ascii="Wingdings" w:hAnsi="Wingdings"/>
      </w:rPr>
    </w:lvl>
    <w:lvl w:ilvl="4" w:tentative="0">
      <w:start w:val="1"/>
      <w:numFmt w:val="bullet"/>
      <w:lvlText w:val=""/>
      <w:lvlJc w:val="left"/>
      <w:pPr>
        <w:ind w:left="2580" w:hanging="420"/>
      </w:pPr>
      <w:rPr>
        <w:rFonts w:hint="default" w:ascii="Wingdings" w:hAnsi="Wingdings"/>
      </w:rPr>
    </w:lvl>
    <w:lvl w:ilvl="5" w:tentative="0">
      <w:start w:val="1"/>
      <w:numFmt w:val="bullet"/>
      <w:lvlText w:val=""/>
      <w:lvlJc w:val="left"/>
      <w:pPr>
        <w:ind w:left="3000" w:hanging="420"/>
      </w:pPr>
      <w:rPr>
        <w:rFonts w:hint="default" w:ascii="Wingdings" w:hAnsi="Wingdings"/>
      </w:rPr>
    </w:lvl>
    <w:lvl w:ilvl="6" w:tentative="0">
      <w:start w:val="1"/>
      <w:numFmt w:val="bullet"/>
      <w:lvlText w:val=""/>
      <w:lvlJc w:val="left"/>
      <w:pPr>
        <w:ind w:left="3420" w:hanging="420"/>
      </w:pPr>
      <w:rPr>
        <w:rFonts w:hint="default" w:ascii="Wingdings" w:hAnsi="Wingdings"/>
      </w:rPr>
    </w:lvl>
    <w:lvl w:ilvl="7" w:tentative="0">
      <w:start w:val="1"/>
      <w:numFmt w:val="bullet"/>
      <w:lvlText w:val=""/>
      <w:lvlJc w:val="left"/>
      <w:pPr>
        <w:ind w:left="3840" w:hanging="420"/>
      </w:pPr>
      <w:rPr>
        <w:rFonts w:hint="default" w:ascii="Wingdings" w:hAnsi="Wingdings"/>
      </w:rPr>
    </w:lvl>
    <w:lvl w:ilvl="8" w:tentative="0">
      <w:start w:val="1"/>
      <w:numFmt w:val="bullet"/>
      <w:lvlText w:val=""/>
      <w:lvlJc w:val="left"/>
      <w:pPr>
        <w:ind w:left="4260" w:hanging="420"/>
      </w:pPr>
      <w:rPr>
        <w:rFonts w:hint="default" w:ascii="Wingdings" w:hAnsi="Wingdings"/>
      </w:rPr>
    </w:lvl>
  </w:abstractNum>
  <w:abstractNum w:abstractNumId="6">
    <w:nsid w:val="00000007"/>
    <w:multiLevelType w:val="singleLevel"/>
    <w:tmpl w:val="00000007"/>
    <w:lvl w:ilvl="0" w:tentative="0">
      <w:start w:val="5"/>
      <w:numFmt w:val="chineseCounting"/>
      <w:suff w:val="space"/>
      <w:lvlText w:val="第%1章"/>
      <w:lvlJc w:val="left"/>
      <w:rPr>
        <w:rFonts w:hint="eastAsia"/>
      </w:rPr>
    </w:lvl>
  </w:abstractNum>
  <w:abstractNum w:abstractNumId="7">
    <w:nsid w:val="00000008"/>
    <w:multiLevelType w:val="multilevel"/>
    <w:tmpl w:val="00000008"/>
    <w:lvl w:ilvl="0" w:tentative="0">
      <w:start w:val="1"/>
      <w:numFmt w:val="decimal"/>
      <w:lvlText w:val="%1."/>
      <w:lvlJc w:val="left"/>
      <w:pPr>
        <w:tabs>
          <w:tab w:val="left" w:pos="1244"/>
        </w:tabs>
        <w:ind w:left="1244" w:hanging="420"/>
      </w:pPr>
      <w:rPr>
        <w:rFonts w:hint="eastAsia"/>
      </w:rPr>
    </w:lvl>
    <w:lvl w:ilvl="1" w:tentative="0">
      <w:start w:val="1"/>
      <w:numFmt w:val="lowerLetter"/>
      <w:lvlText w:val="%2)"/>
      <w:lvlJc w:val="left"/>
      <w:pPr>
        <w:tabs>
          <w:tab w:val="left" w:pos="824"/>
        </w:tabs>
        <w:ind w:left="824" w:hanging="420"/>
      </w:pPr>
    </w:lvl>
    <w:lvl w:ilvl="2" w:tentative="0">
      <w:start w:val="1"/>
      <w:numFmt w:val="lowerRoman"/>
      <w:lvlText w:val="%3."/>
      <w:lvlJc w:val="right"/>
      <w:pPr>
        <w:tabs>
          <w:tab w:val="left" w:pos="1244"/>
        </w:tabs>
        <w:ind w:left="1244" w:hanging="420"/>
      </w:pPr>
    </w:lvl>
    <w:lvl w:ilvl="3" w:tentative="0">
      <w:start w:val="1"/>
      <w:numFmt w:val="decimal"/>
      <w:lvlText w:val="%4."/>
      <w:lvlJc w:val="left"/>
      <w:pPr>
        <w:tabs>
          <w:tab w:val="left" w:pos="1664"/>
        </w:tabs>
        <w:ind w:left="1664" w:hanging="420"/>
      </w:pPr>
    </w:lvl>
    <w:lvl w:ilvl="4" w:tentative="0">
      <w:start w:val="1"/>
      <w:numFmt w:val="lowerLetter"/>
      <w:lvlText w:val="%5)"/>
      <w:lvlJc w:val="left"/>
      <w:pPr>
        <w:tabs>
          <w:tab w:val="left" w:pos="2084"/>
        </w:tabs>
        <w:ind w:left="2084" w:hanging="420"/>
      </w:pPr>
    </w:lvl>
    <w:lvl w:ilvl="5" w:tentative="0">
      <w:start w:val="1"/>
      <w:numFmt w:val="lowerRoman"/>
      <w:lvlText w:val="%6."/>
      <w:lvlJc w:val="right"/>
      <w:pPr>
        <w:tabs>
          <w:tab w:val="left" w:pos="2504"/>
        </w:tabs>
        <w:ind w:left="2504" w:hanging="420"/>
      </w:pPr>
    </w:lvl>
    <w:lvl w:ilvl="6" w:tentative="0">
      <w:start w:val="1"/>
      <w:numFmt w:val="decimal"/>
      <w:lvlText w:val="%7."/>
      <w:lvlJc w:val="left"/>
      <w:pPr>
        <w:tabs>
          <w:tab w:val="left" w:pos="2924"/>
        </w:tabs>
        <w:ind w:left="2924" w:hanging="420"/>
      </w:pPr>
    </w:lvl>
    <w:lvl w:ilvl="7" w:tentative="0">
      <w:start w:val="1"/>
      <w:numFmt w:val="lowerLetter"/>
      <w:lvlText w:val="%8)"/>
      <w:lvlJc w:val="left"/>
      <w:pPr>
        <w:tabs>
          <w:tab w:val="left" w:pos="3344"/>
        </w:tabs>
        <w:ind w:left="3344" w:hanging="420"/>
      </w:pPr>
    </w:lvl>
    <w:lvl w:ilvl="8" w:tentative="0">
      <w:start w:val="1"/>
      <w:numFmt w:val="lowerRoman"/>
      <w:lvlText w:val="%9."/>
      <w:lvlJc w:val="right"/>
      <w:pPr>
        <w:tabs>
          <w:tab w:val="left" w:pos="3764"/>
        </w:tabs>
        <w:ind w:left="3764" w:hanging="420"/>
      </w:pPr>
    </w:lvl>
  </w:abstractNum>
  <w:abstractNum w:abstractNumId="8">
    <w:nsid w:val="00000009"/>
    <w:multiLevelType w:val="multilevel"/>
    <w:tmpl w:val="00000009"/>
    <w:lvl w:ilvl="0" w:tentative="0">
      <w:start w:val="1"/>
      <w:numFmt w:val="decimal"/>
      <w:pStyle w:val="10"/>
      <w:lvlText w:val="%1、"/>
      <w:lvlJc w:val="left"/>
      <w:pPr>
        <w:tabs>
          <w:tab w:val="left" w:pos="360"/>
        </w:tabs>
        <w:ind w:left="360" w:hanging="360"/>
      </w:pPr>
    </w:lvl>
    <w:lvl w:ilvl="1" w:tentative="0">
      <w:start w:val="1"/>
      <w:numFmt w:val="decimal"/>
      <w:lvlText w:val="%2."/>
      <w:lvlJc w:val="left"/>
      <w:pPr>
        <w:tabs>
          <w:tab w:val="left" w:pos="1440"/>
        </w:tabs>
        <w:ind w:left="1440" w:hanging="360"/>
      </w:pPr>
    </w:lvl>
    <w:lvl w:ilvl="2" w:tentative="0">
      <w:start w:val="1"/>
      <w:numFmt w:val="decimal"/>
      <w:lvlText w:val="%3."/>
      <w:lvlJc w:val="left"/>
      <w:pPr>
        <w:tabs>
          <w:tab w:val="left" w:pos="2160"/>
        </w:tabs>
        <w:ind w:left="2160" w:hanging="360"/>
      </w:pPr>
    </w:lvl>
    <w:lvl w:ilvl="3" w:tentative="0">
      <w:start w:val="1"/>
      <w:numFmt w:val="decimal"/>
      <w:lvlText w:val="%4."/>
      <w:lvlJc w:val="left"/>
      <w:pPr>
        <w:tabs>
          <w:tab w:val="left" w:pos="2880"/>
        </w:tabs>
        <w:ind w:left="2880" w:hanging="360"/>
      </w:pPr>
    </w:lvl>
    <w:lvl w:ilvl="4" w:tentative="0">
      <w:start w:val="1"/>
      <w:numFmt w:val="decimal"/>
      <w:lvlText w:val="%5."/>
      <w:lvlJc w:val="left"/>
      <w:pPr>
        <w:tabs>
          <w:tab w:val="left" w:pos="3600"/>
        </w:tabs>
        <w:ind w:left="3600" w:hanging="360"/>
      </w:pPr>
    </w:lvl>
    <w:lvl w:ilvl="5" w:tentative="0">
      <w:start w:val="1"/>
      <w:numFmt w:val="decimal"/>
      <w:lvlText w:val="%6."/>
      <w:lvlJc w:val="left"/>
      <w:pPr>
        <w:tabs>
          <w:tab w:val="left" w:pos="4320"/>
        </w:tabs>
        <w:ind w:left="4320" w:hanging="360"/>
      </w:pPr>
    </w:lvl>
    <w:lvl w:ilvl="6" w:tentative="0">
      <w:start w:val="1"/>
      <w:numFmt w:val="decimal"/>
      <w:lvlText w:val="%7."/>
      <w:lvlJc w:val="left"/>
      <w:pPr>
        <w:tabs>
          <w:tab w:val="left" w:pos="5040"/>
        </w:tabs>
        <w:ind w:left="5040" w:hanging="360"/>
      </w:pPr>
    </w:lvl>
    <w:lvl w:ilvl="7" w:tentative="0">
      <w:start w:val="1"/>
      <w:numFmt w:val="decimal"/>
      <w:lvlText w:val="%8."/>
      <w:lvlJc w:val="left"/>
      <w:pPr>
        <w:tabs>
          <w:tab w:val="left" w:pos="5760"/>
        </w:tabs>
        <w:ind w:left="5760" w:hanging="360"/>
      </w:pPr>
    </w:lvl>
    <w:lvl w:ilvl="8" w:tentative="0">
      <w:start w:val="1"/>
      <w:numFmt w:val="decimal"/>
      <w:lvlText w:val="%9."/>
      <w:lvlJc w:val="left"/>
      <w:pPr>
        <w:tabs>
          <w:tab w:val="left" w:pos="6480"/>
        </w:tabs>
        <w:ind w:left="6480" w:hanging="360"/>
      </w:pPr>
    </w:lvl>
  </w:abstractNum>
  <w:abstractNum w:abstractNumId="9">
    <w:nsid w:val="0000000A"/>
    <w:multiLevelType w:val="multilevel"/>
    <w:tmpl w:val="0000000A"/>
    <w:lvl w:ilvl="0" w:tentative="0">
      <w:start w:val="1"/>
      <w:numFmt w:val="japaneseCounting"/>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8"/>
  </w:num>
  <w:num w:numId="2">
    <w:abstractNumId w:val="3"/>
  </w:num>
  <w:num w:numId="3">
    <w:abstractNumId w:val="5"/>
  </w:num>
  <w:num w:numId="4">
    <w:abstractNumId w:val="1"/>
  </w:num>
  <w:num w:numId="5">
    <w:abstractNumId w:val="2"/>
  </w:num>
  <w:num w:numId="6">
    <w:abstractNumId w:val="9"/>
  </w:num>
  <w:num w:numId="7">
    <w:abstractNumId w:val="0"/>
  </w:num>
  <w:num w:numId="8">
    <w:abstractNumId w:val="4"/>
  </w:num>
  <w:num w:numId="9">
    <w:abstractNumId w:val="6"/>
  </w:num>
  <w:num w:numId="1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50"/>
  <w:bordersDoNotSurroundHeader w:val="0"/>
  <w:bordersDoNotSurroundFooter w:val="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HorizontalSpacing w:val="105"/>
  <w:drawingGridVerticalSpacing w:val="156"/>
  <w:displayHorizontalDrawingGridEvery w:val="1"/>
  <w:displayVerticalDrawingGridEvery w:val="1"/>
  <w:doNotShadeFormData w:val="1"/>
  <w:noPunctuationKerning w:val="1"/>
  <w:characterSpacingControl w:val="compressPunctuation"/>
  <w:doNotValidateAgainstSchema/>
  <w:doNotDemarcateInvalidXml/>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OWM0MGI2NWE5NThhOGQxZjJiZTFjNDVkODY3NGRiN2YifQ=="/>
  </w:docVars>
  <w:rsids>
    <w:rsidRoot w:val="00172A27"/>
    <w:rsid w:val="00692FA7"/>
    <w:rsid w:val="01085400"/>
    <w:rsid w:val="01D63896"/>
    <w:rsid w:val="03380F32"/>
    <w:rsid w:val="03E52ED2"/>
    <w:rsid w:val="042F5143"/>
    <w:rsid w:val="044000C5"/>
    <w:rsid w:val="04732647"/>
    <w:rsid w:val="053D7EE8"/>
    <w:rsid w:val="066606B5"/>
    <w:rsid w:val="0C50326D"/>
    <w:rsid w:val="0D101598"/>
    <w:rsid w:val="0D692839"/>
    <w:rsid w:val="0E9418F5"/>
    <w:rsid w:val="0F02058A"/>
    <w:rsid w:val="10164837"/>
    <w:rsid w:val="108F25B6"/>
    <w:rsid w:val="11441776"/>
    <w:rsid w:val="11444DA7"/>
    <w:rsid w:val="115E3C80"/>
    <w:rsid w:val="11671785"/>
    <w:rsid w:val="11F35E75"/>
    <w:rsid w:val="122D5247"/>
    <w:rsid w:val="125A6BF4"/>
    <w:rsid w:val="15286A3C"/>
    <w:rsid w:val="158466F9"/>
    <w:rsid w:val="165123F5"/>
    <w:rsid w:val="16F51F87"/>
    <w:rsid w:val="170A508C"/>
    <w:rsid w:val="17274DC3"/>
    <w:rsid w:val="17771FF6"/>
    <w:rsid w:val="18803FAF"/>
    <w:rsid w:val="18954E2A"/>
    <w:rsid w:val="18C96881"/>
    <w:rsid w:val="1CAA53EC"/>
    <w:rsid w:val="1CB57848"/>
    <w:rsid w:val="1E720BA3"/>
    <w:rsid w:val="1ED96D61"/>
    <w:rsid w:val="1F7A235E"/>
    <w:rsid w:val="20337853"/>
    <w:rsid w:val="22A42520"/>
    <w:rsid w:val="23E8105A"/>
    <w:rsid w:val="24E940BD"/>
    <w:rsid w:val="26E75662"/>
    <w:rsid w:val="276205CD"/>
    <w:rsid w:val="29516021"/>
    <w:rsid w:val="298A7FC3"/>
    <w:rsid w:val="2B746DF6"/>
    <w:rsid w:val="2E212C36"/>
    <w:rsid w:val="2F2B29CC"/>
    <w:rsid w:val="2FE51D5D"/>
    <w:rsid w:val="31CD26AD"/>
    <w:rsid w:val="331F23B7"/>
    <w:rsid w:val="33F97BC3"/>
    <w:rsid w:val="3639699D"/>
    <w:rsid w:val="38352A14"/>
    <w:rsid w:val="38506B45"/>
    <w:rsid w:val="38591578"/>
    <w:rsid w:val="390A4D44"/>
    <w:rsid w:val="39E67B3C"/>
    <w:rsid w:val="3A1514CF"/>
    <w:rsid w:val="3B34776E"/>
    <w:rsid w:val="3B70668D"/>
    <w:rsid w:val="3B844B5E"/>
    <w:rsid w:val="3C7547A3"/>
    <w:rsid w:val="3C876996"/>
    <w:rsid w:val="3CB45C97"/>
    <w:rsid w:val="3D464A97"/>
    <w:rsid w:val="3D9A797A"/>
    <w:rsid w:val="3E09001C"/>
    <w:rsid w:val="3F302D68"/>
    <w:rsid w:val="40664832"/>
    <w:rsid w:val="40F97D3C"/>
    <w:rsid w:val="413A032A"/>
    <w:rsid w:val="414508EB"/>
    <w:rsid w:val="41E03580"/>
    <w:rsid w:val="452F7A78"/>
    <w:rsid w:val="457A6FA5"/>
    <w:rsid w:val="48221986"/>
    <w:rsid w:val="48712CA1"/>
    <w:rsid w:val="487D678D"/>
    <w:rsid w:val="4BF31D05"/>
    <w:rsid w:val="4DB017E2"/>
    <w:rsid w:val="4DF41807"/>
    <w:rsid w:val="4E3E6DEE"/>
    <w:rsid w:val="4E7740AE"/>
    <w:rsid w:val="4F1B4346"/>
    <w:rsid w:val="537B28DC"/>
    <w:rsid w:val="543B0177"/>
    <w:rsid w:val="55C40E60"/>
    <w:rsid w:val="56527255"/>
    <w:rsid w:val="565A6E45"/>
    <w:rsid w:val="568022D3"/>
    <w:rsid w:val="56C92D3F"/>
    <w:rsid w:val="57905034"/>
    <w:rsid w:val="58191F25"/>
    <w:rsid w:val="589E2E5B"/>
    <w:rsid w:val="5A5B2675"/>
    <w:rsid w:val="5A82368B"/>
    <w:rsid w:val="5CA71371"/>
    <w:rsid w:val="5D07352D"/>
    <w:rsid w:val="5D1F277B"/>
    <w:rsid w:val="5DDB5A14"/>
    <w:rsid w:val="5EF808F3"/>
    <w:rsid w:val="5F3A525C"/>
    <w:rsid w:val="5F3D7F26"/>
    <w:rsid w:val="608F5287"/>
    <w:rsid w:val="6117731B"/>
    <w:rsid w:val="61473EDF"/>
    <w:rsid w:val="61AA3103"/>
    <w:rsid w:val="61ED04B8"/>
    <w:rsid w:val="634D1699"/>
    <w:rsid w:val="640C1C1D"/>
    <w:rsid w:val="64CA0F84"/>
    <w:rsid w:val="68646EC7"/>
    <w:rsid w:val="69FF522C"/>
    <w:rsid w:val="6A3C6480"/>
    <w:rsid w:val="6C20148A"/>
    <w:rsid w:val="6C393418"/>
    <w:rsid w:val="6C3B00CE"/>
    <w:rsid w:val="6C922387"/>
    <w:rsid w:val="6D282CEC"/>
    <w:rsid w:val="6EE97CC4"/>
    <w:rsid w:val="6F280D81"/>
    <w:rsid w:val="71334DC6"/>
    <w:rsid w:val="714F0395"/>
    <w:rsid w:val="71B53490"/>
    <w:rsid w:val="71CD3E62"/>
    <w:rsid w:val="724D437D"/>
    <w:rsid w:val="73B01775"/>
    <w:rsid w:val="73CD286F"/>
    <w:rsid w:val="744D4771"/>
    <w:rsid w:val="76953FE8"/>
    <w:rsid w:val="773725DA"/>
    <w:rsid w:val="777C45C3"/>
    <w:rsid w:val="77844187"/>
    <w:rsid w:val="79A27982"/>
    <w:rsid w:val="7B494559"/>
    <w:rsid w:val="7BC260B9"/>
    <w:rsid w:val="7CCF0B56"/>
    <w:rsid w:val="7D0163B1"/>
    <w:rsid w:val="7DAA55FB"/>
    <w:rsid w:val="7EBB4891"/>
    <w:rsid w:val="7FAE28C0"/>
    <w:rsid w:val="7FB62DB4"/>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iPriority="0" w:name="heading 5"/>
    <w:lsdException w:qFormat="1" w:unhideWhenUsed="0" w:uiPriority="0" w:semiHidden="0" w:name="heading 6"/>
    <w:lsdException w:qFormat="1" w:uiPriority="0" w:name="heading 7"/>
    <w:lsdException w:qFormat="1" w:unhideWhenUsed="0" w:uiPriority="0" w:semiHidden="0" w:name="heading 8"/>
    <w:lsdException w:qFormat="1" w:unhideWhenUsed="0" w:uiPriority="0" w:semiHidden="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unhideWhenUsed="0" w:uiPriority="0" w:semiHidden="0" w:name="toc 4"/>
    <w:lsdException w:unhideWhenUsed="0" w:uiPriority="0" w:semiHidden="0" w:name="toc 5"/>
    <w:lsdException w:qFormat="1"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qFormat="1" w:unhideWhenUsed="0" w:uiPriority="0" w:semiHidden="0" w:name="envelope return"/>
    <w:lsdException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unhideWhenUsed="0" w:uiPriority="0" w:semiHidden="0" w:name="Block Text"/>
    <w:lsdException w:qFormat="1" w:unhideWhenUsed="0" w:uiPriority="0" w:semiHidden="0" w:name="Hyperlink"/>
    <w:lsdException w:qFormat="1" w:unhideWhenUsed="0" w:uiPriority="0" w:semiHidden="0" w:name="FollowedHyperlink"/>
    <w:lsdException w:qFormat="1" w:unhideWhenUsed="0" w:uiPriority="0" w:semiHidden="0" w:name="Strong"/>
    <w:lsdException w:qFormat="1" w:unhideWhenUsed="0" w:uiPriority="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semiHidden="0" w:name="Normal Table"/>
    <w:lsdException w:qFormat="1"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qFormat="1"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3">
    <w:name w:val="heading 1"/>
    <w:basedOn w:val="1"/>
    <w:next w:val="1"/>
    <w:link w:val="48"/>
    <w:qFormat/>
    <w:uiPriority w:val="0"/>
    <w:pPr>
      <w:keepNext/>
      <w:keepLines/>
      <w:spacing w:before="340" w:after="330" w:line="578" w:lineRule="auto"/>
      <w:outlineLvl w:val="0"/>
    </w:pPr>
    <w:rPr>
      <w:rFonts w:ascii="Times New Roman" w:hAnsi="Times New Roman" w:eastAsia="宋体" w:cs="Times New Roman"/>
      <w:b/>
      <w:bCs/>
      <w:kern w:val="44"/>
      <w:sz w:val="44"/>
      <w:szCs w:val="44"/>
    </w:rPr>
  </w:style>
  <w:style w:type="paragraph" w:styleId="4">
    <w:name w:val="heading 2"/>
    <w:basedOn w:val="1"/>
    <w:next w:val="1"/>
    <w:link w:val="49"/>
    <w:qFormat/>
    <w:uiPriority w:val="0"/>
    <w:pPr>
      <w:keepNext/>
      <w:keepLines/>
      <w:spacing w:before="260" w:after="260" w:line="416" w:lineRule="auto"/>
      <w:outlineLvl w:val="1"/>
    </w:pPr>
    <w:rPr>
      <w:rFonts w:ascii="Arial" w:hAnsi="Arial" w:eastAsia="黑体" w:cs="Times New Roman"/>
      <w:b/>
      <w:bCs/>
      <w:sz w:val="32"/>
      <w:szCs w:val="32"/>
    </w:rPr>
  </w:style>
  <w:style w:type="paragraph" w:styleId="5">
    <w:name w:val="heading 3"/>
    <w:basedOn w:val="1"/>
    <w:next w:val="1"/>
    <w:link w:val="50"/>
    <w:qFormat/>
    <w:uiPriority w:val="0"/>
    <w:pPr>
      <w:keepNext/>
      <w:keepLines/>
      <w:spacing w:before="260" w:after="260" w:line="413" w:lineRule="auto"/>
      <w:outlineLvl w:val="2"/>
    </w:pPr>
    <w:rPr>
      <w:rFonts w:ascii="Times New Roman" w:hAnsi="Times New Roman" w:eastAsia="宋体" w:cs="Times New Roman"/>
      <w:b/>
      <w:bCs/>
      <w:sz w:val="32"/>
      <w:szCs w:val="32"/>
    </w:rPr>
  </w:style>
  <w:style w:type="paragraph" w:styleId="6">
    <w:name w:val="heading 4"/>
    <w:basedOn w:val="1"/>
    <w:next w:val="1"/>
    <w:qFormat/>
    <w:uiPriority w:val="0"/>
    <w:pPr>
      <w:keepNext/>
      <w:keepLines/>
      <w:spacing w:before="280" w:after="290" w:line="372" w:lineRule="auto"/>
      <w:outlineLvl w:val="3"/>
    </w:pPr>
    <w:rPr>
      <w:rFonts w:ascii="Arial" w:hAnsi="Arial" w:eastAsia="黑体" w:cs="Times New Roman"/>
      <w:b/>
      <w:sz w:val="28"/>
    </w:rPr>
  </w:style>
  <w:style w:type="paragraph" w:styleId="7">
    <w:name w:val="heading 6"/>
    <w:basedOn w:val="1"/>
    <w:next w:val="1"/>
    <w:link w:val="51"/>
    <w:qFormat/>
    <w:uiPriority w:val="0"/>
    <w:pPr>
      <w:keepNext/>
      <w:keepLines/>
      <w:spacing w:before="240" w:after="64" w:line="320" w:lineRule="auto"/>
      <w:outlineLvl w:val="5"/>
    </w:pPr>
    <w:rPr>
      <w:rFonts w:ascii="Cambria" w:hAnsi="Cambria" w:eastAsia="宋体" w:cs="Times New Roman"/>
      <w:b/>
      <w:bCs/>
      <w:sz w:val="24"/>
    </w:rPr>
  </w:style>
  <w:style w:type="paragraph" w:styleId="8">
    <w:name w:val="heading 8"/>
    <w:basedOn w:val="1"/>
    <w:next w:val="1"/>
    <w:qFormat/>
    <w:uiPriority w:val="0"/>
    <w:pPr>
      <w:ind w:left="220" w:hanging="223"/>
      <w:outlineLvl w:val="7"/>
    </w:pPr>
    <w:rPr>
      <w:rFonts w:ascii="宋体" w:hAnsi="宋体" w:eastAsia="宋体" w:cs="宋体"/>
      <w:sz w:val="22"/>
      <w:szCs w:val="22"/>
      <w:lang w:val="zh-CN" w:bidi="zh-CN"/>
    </w:rPr>
  </w:style>
  <w:style w:type="paragraph" w:styleId="9">
    <w:name w:val="heading 9"/>
    <w:basedOn w:val="1"/>
    <w:next w:val="1"/>
    <w:qFormat/>
    <w:uiPriority w:val="0"/>
    <w:pPr>
      <w:ind w:left="640"/>
      <w:outlineLvl w:val="8"/>
    </w:pPr>
    <w:rPr>
      <w:rFonts w:ascii="宋体" w:hAnsi="宋体" w:eastAsia="宋体" w:cs="宋体"/>
      <w:b/>
      <w:bCs/>
      <w:szCs w:val="21"/>
      <w:lang w:val="zh-CN" w:bidi="zh-CN"/>
    </w:rPr>
  </w:style>
  <w:style w:type="character" w:default="1" w:styleId="41">
    <w:name w:val="Default Paragraph Font"/>
    <w:qFormat/>
    <w:uiPriority w:val="0"/>
    <w:rPr>
      <w:rFonts w:ascii="Times New Roman" w:hAnsi="Times New Roman" w:eastAsia="宋体" w:cs="Times New Roman"/>
    </w:rPr>
  </w:style>
  <w:style w:type="table" w:default="1" w:styleId="39">
    <w:name w:val="Normal Table"/>
    <w:qFormat/>
    <w:uiPriority w:val="0"/>
    <w:rPr>
      <w:rFonts w:ascii="Times New Roman" w:hAnsi="Times New Roman" w:eastAsia="宋体" w:cs="Times New Roman"/>
    </w:rPr>
    <w:tblPr>
      <w:tblCellMar>
        <w:top w:w="0" w:type="dxa"/>
        <w:left w:w="108" w:type="dxa"/>
        <w:bottom w:w="0" w:type="dxa"/>
        <w:right w:w="108" w:type="dxa"/>
      </w:tblCellMar>
    </w:tblPr>
  </w:style>
  <w:style w:type="paragraph" w:customStyle="1" w:styleId="2">
    <w:name w:val="标书正文"/>
    <w:basedOn w:val="1"/>
    <w:qFormat/>
    <w:uiPriority w:val="0"/>
    <w:pPr>
      <w:suppressAutoHyphens/>
      <w:autoSpaceDE w:val="0"/>
      <w:autoSpaceDN w:val="0"/>
      <w:adjustRightInd w:val="0"/>
      <w:snapToGrid w:val="0"/>
    </w:pPr>
    <w:rPr>
      <w:rFonts w:ascii="Times New Roman" w:hAnsi="Times New Roman" w:eastAsia="仿宋" w:cs="Times New Roman"/>
      <w:sz w:val="32"/>
      <w:szCs w:val="24"/>
    </w:rPr>
  </w:style>
  <w:style w:type="paragraph" w:styleId="10">
    <w:name w:val="List Number"/>
    <w:basedOn w:val="1"/>
    <w:qFormat/>
    <w:uiPriority w:val="0"/>
    <w:pPr>
      <w:widowControl/>
      <w:numPr>
        <w:ilvl w:val="0"/>
        <w:numId w:val="1"/>
      </w:numPr>
      <w:tabs>
        <w:tab w:val="left" w:pos="454"/>
        <w:tab w:val="left" w:pos="720"/>
      </w:tabs>
      <w:spacing w:afterLines="50"/>
      <w:jc w:val="left"/>
    </w:pPr>
    <w:rPr>
      <w:rFonts w:ascii="Times New Roman" w:hAnsi="Times New Roman" w:eastAsia="宋体" w:cs="Times New Roman"/>
      <w:kern w:val="0"/>
      <w:sz w:val="24"/>
      <w:szCs w:val="20"/>
    </w:rPr>
  </w:style>
  <w:style w:type="paragraph" w:styleId="11">
    <w:name w:val="Normal Indent"/>
    <w:basedOn w:val="1"/>
    <w:next w:val="1"/>
    <w:link w:val="52"/>
    <w:qFormat/>
    <w:uiPriority w:val="0"/>
    <w:pPr>
      <w:ind w:firstLine="420"/>
    </w:pPr>
    <w:rPr>
      <w:rFonts w:ascii="Times New Roman" w:hAnsi="Times New Roman" w:eastAsia="宋体" w:cs="Times New Roman"/>
      <w:szCs w:val="20"/>
    </w:rPr>
  </w:style>
  <w:style w:type="paragraph" w:styleId="12">
    <w:name w:val="caption"/>
    <w:basedOn w:val="1"/>
    <w:next w:val="1"/>
    <w:qFormat/>
    <w:uiPriority w:val="0"/>
    <w:pPr>
      <w:spacing w:before="152" w:after="160"/>
    </w:pPr>
    <w:rPr>
      <w:rFonts w:ascii="Arial" w:hAnsi="Arial" w:eastAsia="黑体" w:cs="Arial"/>
      <w:sz w:val="20"/>
      <w:szCs w:val="20"/>
    </w:rPr>
  </w:style>
  <w:style w:type="paragraph" w:styleId="13">
    <w:name w:val="Document Map"/>
    <w:basedOn w:val="1"/>
    <w:link w:val="53"/>
    <w:qFormat/>
    <w:uiPriority w:val="0"/>
    <w:rPr>
      <w:rFonts w:ascii="Arial" w:hAnsi="Arial" w:eastAsia="宋体" w:cs="Times New Roman"/>
      <w:sz w:val="24"/>
    </w:rPr>
  </w:style>
  <w:style w:type="paragraph" w:styleId="14">
    <w:name w:val="annotation text"/>
    <w:basedOn w:val="1"/>
    <w:link w:val="54"/>
    <w:qFormat/>
    <w:uiPriority w:val="0"/>
    <w:pPr>
      <w:jc w:val="left"/>
    </w:pPr>
    <w:rPr>
      <w:rFonts w:ascii="Times New Roman" w:hAnsi="Times New Roman" w:eastAsia="宋体" w:cs="Times New Roman"/>
    </w:rPr>
  </w:style>
  <w:style w:type="paragraph" w:styleId="15">
    <w:name w:val="Body Text 3"/>
    <w:basedOn w:val="1"/>
    <w:link w:val="55"/>
    <w:qFormat/>
    <w:uiPriority w:val="0"/>
    <w:pPr>
      <w:spacing w:after="120"/>
    </w:pPr>
    <w:rPr>
      <w:rFonts w:ascii="Times New Roman" w:hAnsi="Times New Roman" w:eastAsia="宋体" w:cs="Times New Roman"/>
      <w:sz w:val="16"/>
      <w:szCs w:val="16"/>
    </w:rPr>
  </w:style>
  <w:style w:type="paragraph" w:styleId="16">
    <w:name w:val="Body Text"/>
    <w:basedOn w:val="1"/>
    <w:next w:val="17"/>
    <w:link w:val="56"/>
    <w:qFormat/>
    <w:uiPriority w:val="0"/>
    <w:pPr>
      <w:spacing w:after="120"/>
    </w:pPr>
    <w:rPr>
      <w:rFonts w:ascii="Times New Roman" w:hAnsi="Times New Roman" w:eastAsia="宋体" w:cs="Times New Roman"/>
    </w:rPr>
  </w:style>
  <w:style w:type="paragraph" w:styleId="17">
    <w:name w:val="Body Text First Indent"/>
    <w:basedOn w:val="16"/>
    <w:next w:val="18"/>
    <w:qFormat/>
    <w:uiPriority w:val="0"/>
    <w:pPr>
      <w:spacing w:line="360" w:lineRule="auto"/>
      <w:ind w:firstLine="200" w:firstLineChars="200"/>
    </w:pPr>
    <w:rPr>
      <w:rFonts w:ascii="仿宋" w:hAnsi="Times New Roman" w:eastAsia="仿宋" w:cs="Times New Roman"/>
      <w:bCs/>
      <w:sz w:val="30"/>
    </w:rPr>
  </w:style>
  <w:style w:type="paragraph" w:styleId="18">
    <w:name w:val="toc 6"/>
    <w:basedOn w:val="1"/>
    <w:next w:val="1"/>
    <w:qFormat/>
    <w:uiPriority w:val="0"/>
    <w:pPr>
      <w:ind w:left="2100" w:leftChars="1000"/>
    </w:pPr>
    <w:rPr>
      <w:rFonts w:ascii="Times New Roman" w:hAnsi="Times New Roman" w:eastAsia="宋体" w:cs="Times New Roman"/>
    </w:rPr>
  </w:style>
  <w:style w:type="paragraph" w:styleId="19">
    <w:name w:val="Body Text Indent"/>
    <w:basedOn w:val="1"/>
    <w:next w:val="20"/>
    <w:qFormat/>
    <w:uiPriority w:val="0"/>
    <w:pPr>
      <w:spacing w:after="120"/>
      <w:ind w:left="420" w:leftChars="200"/>
    </w:pPr>
    <w:rPr>
      <w:rFonts w:ascii="Times New Roman" w:hAnsi="Times New Roman" w:eastAsia="宋体" w:cs="Times New Roman"/>
    </w:rPr>
  </w:style>
  <w:style w:type="paragraph" w:styleId="20">
    <w:name w:val="envelope return"/>
    <w:basedOn w:val="1"/>
    <w:qFormat/>
    <w:uiPriority w:val="0"/>
    <w:pPr>
      <w:snapToGrid w:val="0"/>
    </w:pPr>
    <w:rPr>
      <w:rFonts w:ascii="Arial" w:hAnsi="Arial" w:eastAsia="宋体" w:cs="Times New Roman"/>
    </w:rPr>
  </w:style>
  <w:style w:type="paragraph" w:styleId="21">
    <w:name w:val="List 2"/>
    <w:basedOn w:val="1"/>
    <w:qFormat/>
    <w:uiPriority w:val="0"/>
    <w:pPr>
      <w:ind w:left="100" w:leftChars="200" w:hanging="200" w:hangingChars="200"/>
    </w:pPr>
    <w:rPr>
      <w:rFonts w:ascii="Times New Roman" w:hAnsi="Times New Roman" w:eastAsia="宋体" w:cs="Times New Roman"/>
    </w:rPr>
  </w:style>
  <w:style w:type="paragraph" w:styleId="22">
    <w:name w:val="toc 3"/>
    <w:basedOn w:val="1"/>
    <w:next w:val="1"/>
    <w:qFormat/>
    <w:uiPriority w:val="0"/>
    <w:pPr>
      <w:ind w:left="840" w:leftChars="400"/>
    </w:pPr>
    <w:rPr>
      <w:rFonts w:ascii="Times New Roman" w:hAnsi="Times New Roman" w:eastAsia="宋体" w:cs="Times New Roman"/>
    </w:rPr>
  </w:style>
  <w:style w:type="paragraph" w:styleId="23">
    <w:name w:val="Plain Text"/>
    <w:basedOn w:val="1"/>
    <w:next w:val="1"/>
    <w:link w:val="57"/>
    <w:qFormat/>
    <w:uiPriority w:val="0"/>
    <w:rPr>
      <w:rFonts w:ascii="Times New Roman" w:hAnsi="Times New Roman" w:eastAsia="宋体" w:cs="Times New Roman"/>
      <w:sz w:val="24"/>
      <w:szCs w:val="20"/>
    </w:rPr>
  </w:style>
  <w:style w:type="paragraph" w:styleId="24">
    <w:name w:val="Date"/>
    <w:basedOn w:val="1"/>
    <w:next w:val="1"/>
    <w:link w:val="58"/>
    <w:qFormat/>
    <w:uiPriority w:val="0"/>
    <w:pPr>
      <w:ind w:left="2500" w:leftChars="2500"/>
    </w:pPr>
    <w:rPr>
      <w:rFonts w:ascii="Times New Roman" w:hAnsi="Times New Roman" w:eastAsia="楷体" w:cs="Times New Roman"/>
      <w:sz w:val="32"/>
      <w:szCs w:val="20"/>
    </w:rPr>
  </w:style>
  <w:style w:type="paragraph" w:styleId="25">
    <w:name w:val="Body Text Indent 2"/>
    <w:basedOn w:val="1"/>
    <w:link w:val="59"/>
    <w:qFormat/>
    <w:uiPriority w:val="0"/>
    <w:pPr>
      <w:spacing w:after="120" w:line="480" w:lineRule="auto"/>
      <w:ind w:left="420" w:leftChars="200"/>
    </w:pPr>
    <w:rPr>
      <w:rFonts w:ascii="Times New Roman" w:hAnsi="Times New Roman" w:eastAsia="宋体" w:cs="Times New Roman"/>
    </w:rPr>
  </w:style>
  <w:style w:type="paragraph" w:styleId="26">
    <w:name w:val="endnote text"/>
    <w:basedOn w:val="1"/>
    <w:link w:val="60"/>
    <w:qFormat/>
    <w:uiPriority w:val="0"/>
    <w:pPr>
      <w:snapToGrid w:val="0"/>
      <w:jc w:val="left"/>
    </w:pPr>
    <w:rPr>
      <w:rFonts w:ascii="Times New Roman" w:hAnsi="Times New Roman" w:eastAsia="宋体" w:cs="Times New Roman"/>
    </w:rPr>
  </w:style>
  <w:style w:type="paragraph" w:styleId="27">
    <w:name w:val="Balloon Text"/>
    <w:basedOn w:val="1"/>
    <w:link w:val="61"/>
    <w:qFormat/>
    <w:uiPriority w:val="0"/>
    <w:rPr>
      <w:rFonts w:ascii="Times New Roman" w:hAnsi="Times New Roman" w:eastAsia="宋体" w:cs="Times New Roman"/>
      <w:sz w:val="18"/>
      <w:szCs w:val="18"/>
    </w:rPr>
  </w:style>
  <w:style w:type="paragraph" w:styleId="28">
    <w:name w:val="footer"/>
    <w:basedOn w:val="1"/>
    <w:next w:val="29"/>
    <w:link w:val="62"/>
    <w:qFormat/>
    <w:uiPriority w:val="0"/>
    <w:pPr>
      <w:tabs>
        <w:tab w:val="center" w:pos="4153"/>
        <w:tab w:val="right" w:pos="8306"/>
      </w:tabs>
      <w:snapToGrid w:val="0"/>
      <w:jc w:val="left"/>
    </w:pPr>
    <w:rPr>
      <w:rFonts w:ascii="Times New Roman" w:hAnsi="Times New Roman" w:eastAsia="宋体" w:cs="Times New Roman"/>
      <w:sz w:val="18"/>
      <w:szCs w:val="18"/>
    </w:rPr>
  </w:style>
  <w:style w:type="paragraph" w:styleId="29">
    <w:name w:val="toc 2"/>
    <w:basedOn w:val="1"/>
    <w:next w:val="1"/>
    <w:qFormat/>
    <w:uiPriority w:val="0"/>
    <w:pPr>
      <w:ind w:left="420" w:leftChars="200"/>
    </w:pPr>
    <w:rPr>
      <w:rFonts w:ascii="Times New Roman" w:hAnsi="Times New Roman" w:eastAsia="宋体" w:cs="Times New Roman"/>
    </w:rPr>
  </w:style>
  <w:style w:type="paragraph" w:styleId="30">
    <w:name w:val="header"/>
    <w:basedOn w:val="1"/>
    <w:link w:val="63"/>
    <w:qFormat/>
    <w:uiPriority w:val="0"/>
    <w:pPr>
      <w:pBdr>
        <w:bottom w:val="single" w:color="auto" w:sz="6" w:space="1"/>
      </w:pBdr>
      <w:tabs>
        <w:tab w:val="center" w:pos="4153"/>
        <w:tab w:val="right" w:pos="8306"/>
      </w:tabs>
      <w:snapToGrid w:val="0"/>
      <w:jc w:val="center"/>
    </w:pPr>
    <w:rPr>
      <w:rFonts w:ascii="Times New Roman" w:hAnsi="Times New Roman" w:eastAsia="宋体" w:cs="Times New Roman"/>
      <w:sz w:val="18"/>
      <w:szCs w:val="18"/>
    </w:rPr>
  </w:style>
  <w:style w:type="paragraph" w:styleId="31">
    <w:name w:val="toc 1"/>
    <w:basedOn w:val="1"/>
    <w:next w:val="1"/>
    <w:qFormat/>
    <w:uiPriority w:val="0"/>
    <w:rPr>
      <w:rFonts w:ascii="Times New Roman" w:hAnsi="Times New Roman" w:eastAsia="宋体" w:cs="Times New Roman"/>
    </w:rPr>
  </w:style>
  <w:style w:type="paragraph" w:styleId="32">
    <w:name w:val="List"/>
    <w:basedOn w:val="1"/>
    <w:qFormat/>
    <w:uiPriority w:val="0"/>
    <w:pPr>
      <w:ind w:left="200" w:hanging="200" w:hangingChars="200"/>
    </w:pPr>
    <w:rPr>
      <w:rFonts w:ascii="Times New Roman" w:hAnsi="Times New Roman" w:eastAsia="宋体" w:cs="Times New Roman"/>
    </w:rPr>
  </w:style>
  <w:style w:type="paragraph" w:styleId="33">
    <w:name w:val="Body Text Indent 3"/>
    <w:basedOn w:val="1"/>
    <w:link w:val="64"/>
    <w:qFormat/>
    <w:uiPriority w:val="0"/>
    <w:pPr>
      <w:ind w:firstLine="435"/>
    </w:pPr>
    <w:rPr>
      <w:rFonts w:ascii="Times New Roman" w:hAnsi="Times New Roman" w:eastAsia="宋体" w:cs="Times New Roman"/>
    </w:rPr>
  </w:style>
  <w:style w:type="paragraph" w:styleId="34">
    <w:name w:val="Body Text 2"/>
    <w:basedOn w:val="1"/>
    <w:link w:val="65"/>
    <w:qFormat/>
    <w:uiPriority w:val="0"/>
    <w:pPr>
      <w:spacing w:after="120" w:line="480" w:lineRule="auto"/>
    </w:pPr>
    <w:rPr>
      <w:rFonts w:ascii="Times New Roman" w:hAnsi="Times New Roman" w:eastAsia="宋体" w:cs="Times New Roman"/>
    </w:rPr>
  </w:style>
  <w:style w:type="paragraph" w:styleId="35">
    <w:name w:val="Normal (Web)"/>
    <w:basedOn w:val="1"/>
    <w:next w:val="1"/>
    <w:qFormat/>
    <w:uiPriority w:val="0"/>
    <w:pPr>
      <w:widowControl/>
      <w:spacing w:before="240" w:after="240"/>
      <w:jc w:val="left"/>
    </w:pPr>
    <w:rPr>
      <w:rFonts w:ascii="宋体" w:hAnsi="宋体" w:eastAsia="宋体" w:cs="宋体"/>
      <w:kern w:val="0"/>
      <w:sz w:val="24"/>
    </w:rPr>
  </w:style>
  <w:style w:type="paragraph" w:styleId="36">
    <w:name w:val="Title"/>
    <w:basedOn w:val="1"/>
    <w:next w:val="1"/>
    <w:link w:val="66"/>
    <w:qFormat/>
    <w:uiPriority w:val="0"/>
    <w:pPr>
      <w:spacing w:before="240" w:after="60"/>
      <w:jc w:val="center"/>
      <w:outlineLvl w:val="0"/>
    </w:pPr>
    <w:rPr>
      <w:rFonts w:ascii="Cambria" w:hAnsi="Cambria" w:eastAsia="宋体" w:cs="Times New Roman"/>
      <w:b/>
      <w:bCs/>
      <w:sz w:val="32"/>
      <w:szCs w:val="32"/>
    </w:rPr>
  </w:style>
  <w:style w:type="paragraph" w:styleId="37">
    <w:name w:val="annotation subject"/>
    <w:basedOn w:val="14"/>
    <w:next w:val="14"/>
    <w:link w:val="67"/>
    <w:qFormat/>
    <w:uiPriority w:val="0"/>
    <w:rPr>
      <w:rFonts w:ascii="Times New Roman" w:hAnsi="Times New Roman" w:eastAsia="宋体" w:cs="Times New Roman"/>
      <w:b/>
      <w:bCs/>
    </w:rPr>
  </w:style>
  <w:style w:type="paragraph" w:styleId="38">
    <w:name w:val="Body Text First Indent 2"/>
    <w:basedOn w:val="19"/>
    <w:next w:val="1"/>
    <w:qFormat/>
    <w:uiPriority w:val="0"/>
    <w:pPr>
      <w:autoSpaceDE w:val="0"/>
      <w:autoSpaceDN w:val="0"/>
      <w:adjustRightInd w:val="0"/>
      <w:ind w:firstLine="420" w:firstLineChars="200"/>
      <w:jc w:val="left"/>
    </w:pPr>
    <w:rPr>
      <w:rFonts w:ascii="Times New Roman" w:hAnsi="Times New Roman" w:eastAsia="宋体" w:cs="Times New Roman"/>
    </w:rPr>
  </w:style>
  <w:style w:type="table" w:styleId="40">
    <w:name w:val="Table Grid"/>
    <w:basedOn w:val="39"/>
    <w:qFormat/>
    <w:uiPriority w:val="0"/>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
  </w:style>
  <w:style w:type="character" w:styleId="42">
    <w:name w:val="Strong"/>
    <w:qFormat/>
    <w:uiPriority w:val="0"/>
    <w:rPr>
      <w:rFonts w:ascii="Times New Roman" w:hAnsi="Times New Roman" w:eastAsia="宋体" w:cs="Times New Roman"/>
      <w:b/>
    </w:rPr>
  </w:style>
  <w:style w:type="character" w:styleId="43">
    <w:name w:val="endnote reference"/>
    <w:qFormat/>
    <w:uiPriority w:val="0"/>
    <w:rPr>
      <w:rFonts w:ascii="Times New Roman" w:hAnsi="Times New Roman" w:eastAsia="宋体" w:cs="Times New Roman"/>
      <w:vertAlign w:val="superscript"/>
    </w:rPr>
  </w:style>
  <w:style w:type="character" w:styleId="44">
    <w:name w:val="page number"/>
    <w:basedOn w:val="41"/>
    <w:qFormat/>
    <w:uiPriority w:val="0"/>
    <w:rPr>
      <w:rFonts w:ascii="Times New Roman" w:hAnsi="Times New Roman" w:eastAsia="宋体" w:cs="Times New Roman"/>
    </w:rPr>
  </w:style>
  <w:style w:type="character" w:styleId="45">
    <w:name w:val="FollowedHyperlink"/>
    <w:qFormat/>
    <w:uiPriority w:val="0"/>
    <w:rPr>
      <w:rFonts w:ascii="Times New Roman" w:hAnsi="Times New Roman" w:eastAsia="宋体" w:cs="Times New Roman"/>
      <w:color w:val="800080"/>
      <w:u w:val="single"/>
    </w:rPr>
  </w:style>
  <w:style w:type="character" w:styleId="46">
    <w:name w:val="Hyperlink"/>
    <w:qFormat/>
    <w:uiPriority w:val="0"/>
    <w:rPr>
      <w:rFonts w:ascii="Times New Roman" w:hAnsi="Times New Roman" w:eastAsia="宋体" w:cs="Times New Roman"/>
      <w:color w:val="0000FF"/>
      <w:u w:val="single"/>
    </w:rPr>
  </w:style>
  <w:style w:type="character" w:styleId="47">
    <w:name w:val="annotation reference"/>
    <w:qFormat/>
    <w:uiPriority w:val="0"/>
    <w:rPr>
      <w:rFonts w:ascii="Times New Roman" w:hAnsi="Times New Roman" w:eastAsia="宋体" w:cs="Times New Roman"/>
      <w:sz w:val="21"/>
      <w:szCs w:val="21"/>
    </w:rPr>
  </w:style>
  <w:style w:type="character" w:customStyle="1" w:styleId="48">
    <w:name w:val="标题 1 Char"/>
    <w:link w:val="3"/>
    <w:qFormat/>
    <w:uiPriority w:val="0"/>
    <w:rPr>
      <w:rFonts w:ascii="Times New Roman" w:hAnsi="Times New Roman" w:eastAsia="宋体" w:cs="Times New Roman"/>
      <w:b/>
      <w:bCs/>
      <w:kern w:val="44"/>
      <w:sz w:val="44"/>
      <w:szCs w:val="44"/>
      <w:lang w:val="en-US" w:eastAsia="zh-CN" w:bidi="ar-SA"/>
    </w:rPr>
  </w:style>
  <w:style w:type="character" w:customStyle="1" w:styleId="49">
    <w:name w:val="标题 2 Char"/>
    <w:link w:val="4"/>
    <w:qFormat/>
    <w:uiPriority w:val="0"/>
    <w:rPr>
      <w:rFonts w:ascii="Arial" w:hAnsi="Arial" w:eastAsia="黑体" w:cs="Times New Roman"/>
      <w:b/>
      <w:bCs/>
      <w:kern w:val="2"/>
      <w:sz w:val="32"/>
      <w:szCs w:val="32"/>
    </w:rPr>
  </w:style>
  <w:style w:type="character" w:customStyle="1" w:styleId="50">
    <w:name w:val="标题 3 Char"/>
    <w:link w:val="5"/>
    <w:qFormat/>
    <w:uiPriority w:val="0"/>
    <w:rPr>
      <w:rFonts w:ascii="Times New Roman" w:hAnsi="Times New Roman" w:eastAsia="宋体" w:cs="Times New Roman"/>
      <w:b/>
      <w:bCs/>
      <w:kern w:val="2"/>
      <w:sz w:val="32"/>
      <w:szCs w:val="32"/>
    </w:rPr>
  </w:style>
  <w:style w:type="character" w:customStyle="1" w:styleId="51">
    <w:name w:val="标题 6 Char"/>
    <w:link w:val="7"/>
    <w:qFormat/>
    <w:uiPriority w:val="0"/>
    <w:rPr>
      <w:rFonts w:ascii="Cambria" w:hAnsi="Cambria" w:eastAsia="宋体" w:cs="Times New Roman"/>
      <w:b/>
      <w:bCs/>
      <w:kern w:val="2"/>
      <w:sz w:val="24"/>
      <w:szCs w:val="24"/>
    </w:rPr>
  </w:style>
  <w:style w:type="character" w:customStyle="1" w:styleId="52">
    <w:name w:val="正文缩进 Char"/>
    <w:link w:val="11"/>
    <w:qFormat/>
    <w:uiPriority w:val="0"/>
    <w:rPr>
      <w:rFonts w:ascii="Times New Roman" w:hAnsi="Times New Roman" w:eastAsia="宋体" w:cs="Times New Roman"/>
      <w:kern w:val="2"/>
      <w:sz w:val="21"/>
    </w:rPr>
  </w:style>
  <w:style w:type="character" w:customStyle="1" w:styleId="53">
    <w:name w:val="文档结构图 Char"/>
    <w:link w:val="13"/>
    <w:qFormat/>
    <w:uiPriority w:val="0"/>
    <w:rPr>
      <w:rFonts w:ascii="Arial" w:hAnsi="Arial" w:eastAsia="宋体" w:cs="Times New Roman"/>
      <w:kern w:val="2"/>
      <w:sz w:val="24"/>
      <w:szCs w:val="24"/>
    </w:rPr>
  </w:style>
  <w:style w:type="character" w:customStyle="1" w:styleId="54">
    <w:name w:val="批注文字 Char"/>
    <w:link w:val="14"/>
    <w:qFormat/>
    <w:uiPriority w:val="0"/>
    <w:rPr>
      <w:rFonts w:ascii="Times New Roman" w:hAnsi="Times New Roman" w:eastAsia="宋体" w:cs="Times New Roman"/>
      <w:kern w:val="2"/>
      <w:sz w:val="21"/>
      <w:szCs w:val="24"/>
    </w:rPr>
  </w:style>
  <w:style w:type="character" w:customStyle="1" w:styleId="55">
    <w:name w:val="正文文本 3 Char"/>
    <w:link w:val="15"/>
    <w:qFormat/>
    <w:uiPriority w:val="0"/>
    <w:rPr>
      <w:rFonts w:ascii="Times New Roman" w:hAnsi="Times New Roman" w:eastAsia="宋体" w:cs="Times New Roman"/>
      <w:kern w:val="2"/>
      <w:sz w:val="16"/>
      <w:szCs w:val="16"/>
    </w:rPr>
  </w:style>
  <w:style w:type="character" w:customStyle="1" w:styleId="56">
    <w:name w:val="正文文本 Char"/>
    <w:link w:val="16"/>
    <w:qFormat/>
    <w:uiPriority w:val="0"/>
    <w:rPr>
      <w:rFonts w:ascii="Times New Roman" w:hAnsi="Times New Roman" w:eastAsia="宋体" w:cs="Times New Roman"/>
      <w:kern w:val="2"/>
      <w:sz w:val="21"/>
      <w:szCs w:val="24"/>
    </w:rPr>
  </w:style>
  <w:style w:type="character" w:customStyle="1" w:styleId="57">
    <w:name w:val="纯文本 Char"/>
    <w:link w:val="23"/>
    <w:qFormat/>
    <w:uiPriority w:val="0"/>
    <w:rPr>
      <w:rFonts w:ascii="Times New Roman" w:hAnsi="Times New Roman" w:eastAsia="宋体" w:cs="Times New Roman"/>
      <w:kern w:val="2"/>
      <w:sz w:val="24"/>
      <w:lang w:val="en-US" w:eastAsia="zh-CN" w:bidi="ar-SA"/>
    </w:rPr>
  </w:style>
  <w:style w:type="character" w:customStyle="1" w:styleId="58">
    <w:name w:val="日期 Char"/>
    <w:link w:val="24"/>
    <w:qFormat/>
    <w:uiPriority w:val="0"/>
    <w:rPr>
      <w:rFonts w:ascii="Times New Roman" w:hAnsi="Times New Roman" w:eastAsia="楷体" w:cs="Times New Roman"/>
      <w:kern w:val="2"/>
      <w:sz w:val="32"/>
    </w:rPr>
  </w:style>
  <w:style w:type="character" w:customStyle="1" w:styleId="59">
    <w:name w:val="正文文本缩进 2 Char"/>
    <w:link w:val="25"/>
    <w:qFormat/>
    <w:uiPriority w:val="0"/>
    <w:rPr>
      <w:rFonts w:ascii="Times New Roman" w:hAnsi="Times New Roman" w:eastAsia="宋体" w:cs="Times New Roman"/>
      <w:kern w:val="2"/>
      <w:sz w:val="21"/>
      <w:szCs w:val="24"/>
    </w:rPr>
  </w:style>
  <w:style w:type="character" w:customStyle="1" w:styleId="60">
    <w:name w:val="尾注文本 Char"/>
    <w:link w:val="26"/>
    <w:qFormat/>
    <w:uiPriority w:val="0"/>
    <w:rPr>
      <w:rFonts w:ascii="Times New Roman" w:hAnsi="Times New Roman" w:eastAsia="宋体" w:cs="Times New Roman"/>
      <w:kern w:val="2"/>
      <w:sz w:val="21"/>
      <w:szCs w:val="24"/>
    </w:rPr>
  </w:style>
  <w:style w:type="character" w:customStyle="1" w:styleId="61">
    <w:name w:val="批注框文本 Char"/>
    <w:link w:val="27"/>
    <w:qFormat/>
    <w:uiPriority w:val="0"/>
    <w:rPr>
      <w:rFonts w:ascii="Times New Roman" w:hAnsi="Times New Roman" w:eastAsia="宋体" w:cs="Times New Roman"/>
      <w:kern w:val="2"/>
      <w:sz w:val="18"/>
      <w:szCs w:val="18"/>
    </w:rPr>
  </w:style>
  <w:style w:type="character" w:customStyle="1" w:styleId="62">
    <w:name w:val="页脚 Char"/>
    <w:link w:val="28"/>
    <w:qFormat/>
    <w:uiPriority w:val="0"/>
    <w:rPr>
      <w:rFonts w:ascii="Times New Roman" w:hAnsi="Times New Roman" w:eastAsia="宋体" w:cs="Times New Roman"/>
      <w:kern w:val="2"/>
      <w:sz w:val="18"/>
      <w:szCs w:val="18"/>
    </w:rPr>
  </w:style>
  <w:style w:type="character" w:customStyle="1" w:styleId="63">
    <w:name w:val="页眉 Char"/>
    <w:link w:val="30"/>
    <w:qFormat/>
    <w:uiPriority w:val="0"/>
    <w:rPr>
      <w:rFonts w:ascii="Times New Roman" w:hAnsi="Times New Roman" w:eastAsia="宋体" w:cs="Times New Roman"/>
      <w:kern w:val="2"/>
      <w:sz w:val="18"/>
      <w:szCs w:val="18"/>
    </w:rPr>
  </w:style>
  <w:style w:type="character" w:customStyle="1" w:styleId="64">
    <w:name w:val="正文文本缩进 3 Char"/>
    <w:link w:val="33"/>
    <w:qFormat/>
    <w:uiPriority w:val="0"/>
    <w:rPr>
      <w:rFonts w:ascii="Times New Roman" w:hAnsi="Times New Roman" w:eastAsia="宋体" w:cs="Times New Roman"/>
      <w:kern w:val="2"/>
      <w:sz w:val="21"/>
      <w:szCs w:val="24"/>
    </w:rPr>
  </w:style>
  <w:style w:type="character" w:customStyle="1" w:styleId="65">
    <w:name w:val="正文文本 2 Char"/>
    <w:link w:val="34"/>
    <w:qFormat/>
    <w:uiPriority w:val="0"/>
    <w:rPr>
      <w:rFonts w:ascii="Times New Roman" w:hAnsi="Times New Roman" w:eastAsia="宋体" w:cs="Times New Roman"/>
      <w:kern w:val="2"/>
      <w:sz w:val="21"/>
      <w:szCs w:val="24"/>
    </w:rPr>
  </w:style>
  <w:style w:type="character" w:customStyle="1" w:styleId="66">
    <w:name w:val="标题 Char"/>
    <w:link w:val="36"/>
    <w:qFormat/>
    <w:uiPriority w:val="0"/>
    <w:rPr>
      <w:rFonts w:ascii="Cambria" w:hAnsi="Cambria" w:eastAsia="宋体" w:cs="Times New Roman"/>
      <w:b/>
      <w:bCs/>
      <w:kern w:val="2"/>
      <w:sz w:val="32"/>
      <w:szCs w:val="32"/>
    </w:rPr>
  </w:style>
  <w:style w:type="character" w:customStyle="1" w:styleId="67">
    <w:name w:val="批注主题 Char"/>
    <w:link w:val="37"/>
    <w:qFormat/>
    <w:uiPriority w:val="0"/>
    <w:rPr>
      <w:rFonts w:ascii="Times New Roman" w:hAnsi="Times New Roman" w:eastAsia="宋体" w:cs="Times New Roman"/>
      <w:b/>
      <w:bCs/>
      <w:kern w:val="2"/>
      <w:sz w:val="21"/>
      <w:szCs w:val="24"/>
    </w:rPr>
  </w:style>
  <w:style w:type="paragraph" w:customStyle="1" w:styleId="68">
    <w:name w:val="Default"/>
    <w:next w:val="28"/>
    <w:qFormat/>
    <w:uiPriority w:val="0"/>
    <w:pPr>
      <w:widowControl w:val="0"/>
      <w:autoSpaceDE w:val="0"/>
      <w:autoSpaceDN w:val="0"/>
      <w:adjustRightInd w:val="0"/>
    </w:pPr>
    <w:rPr>
      <w:rFonts w:ascii="Times New Roman" w:hAnsi="Times New Roman" w:eastAsia="宋体" w:cs="Times New Roman"/>
      <w:color w:val="000000"/>
      <w:sz w:val="24"/>
      <w:szCs w:val="24"/>
      <w:lang w:val="en-US" w:eastAsia="zh-CN" w:bidi="ar-SA"/>
    </w:rPr>
  </w:style>
  <w:style w:type="paragraph" w:customStyle="1" w:styleId="69">
    <w:name w:val="正文11"/>
    <w:basedOn w:val="13"/>
    <w:next w:val="1"/>
    <w:qFormat/>
    <w:uiPriority w:val="0"/>
    <w:pPr>
      <w:widowControl/>
      <w:overflowPunct w:val="0"/>
      <w:autoSpaceDE w:val="0"/>
      <w:autoSpaceDN w:val="0"/>
      <w:adjustRightInd w:val="0"/>
      <w:spacing w:line="400" w:lineRule="exact"/>
      <w:textAlignment w:val="baseline"/>
    </w:pPr>
    <w:rPr>
      <w:rFonts w:ascii="Times New Roman" w:hAnsi="Times New Roman" w:eastAsia="宋体" w:cs="Times New Roman"/>
      <w:kern w:val="0"/>
      <w:szCs w:val="20"/>
    </w:rPr>
  </w:style>
  <w:style w:type="paragraph" w:customStyle="1" w:styleId="70">
    <w:name w:val="样式 表格正文 + 两端对齐"/>
    <w:basedOn w:val="1"/>
    <w:next w:val="69"/>
    <w:qFormat/>
    <w:uiPriority w:val="0"/>
    <w:pPr>
      <w:spacing w:line="300" w:lineRule="auto"/>
    </w:pPr>
    <w:rPr>
      <w:rFonts w:ascii="Times New Roman" w:hAnsi="Times New Roman" w:eastAsia="宋体" w:cs="Times New Roman"/>
    </w:rPr>
  </w:style>
  <w:style w:type="paragraph" w:customStyle="1" w:styleId="71">
    <w:name w:val="默认段落字体 Para Char Char Char Char Char Char Char Char Char1 Char Char Char Char"/>
    <w:basedOn w:val="1"/>
    <w:qFormat/>
    <w:uiPriority w:val="0"/>
    <w:rPr>
      <w:rFonts w:ascii="Tahoma" w:hAnsi="Tahoma" w:eastAsia="宋体" w:cs="Times New Roman"/>
      <w:sz w:val="24"/>
      <w:szCs w:val="20"/>
    </w:rPr>
  </w:style>
  <w:style w:type="character" w:customStyle="1" w:styleId="72">
    <w:name w:val="标题 1字符"/>
    <w:qFormat/>
    <w:uiPriority w:val="0"/>
    <w:rPr>
      <w:rFonts w:ascii="Times New Roman" w:hAnsi="Times New Roman" w:eastAsia="宋体" w:cs="Times New Roman"/>
      <w:b/>
      <w:bCs/>
      <w:kern w:val="44"/>
      <w:sz w:val="44"/>
      <w:szCs w:val="44"/>
    </w:rPr>
  </w:style>
  <w:style w:type="character" w:customStyle="1" w:styleId="73">
    <w:name w:val="Char Char"/>
    <w:qFormat/>
    <w:uiPriority w:val="0"/>
    <w:rPr>
      <w:rFonts w:ascii="宋体" w:hAnsi="Courier New" w:eastAsia="宋体" w:cs="Times New Roman"/>
      <w:kern w:val="2"/>
      <w:sz w:val="24"/>
      <w:szCs w:val="24"/>
      <w:lang w:val="en-US" w:eastAsia="zh-CN" w:bidi="ar-SA"/>
    </w:rPr>
  </w:style>
  <w:style w:type="character" w:customStyle="1" w:styleId="74">
    <w:name w:val="NormalCharacter"/>
    <w:qFormat/>
    <w:uiPriority w:val="0"/>
    <w:rPr>
      <w:rFonts w:ascii="Times New Roman" w:hAnsi="Times New Roman" w:eastAsia="宋体" w:cs="Times New Roman"/>
    </w:rPr>
  </w:style>
  <w:style w:type="paragraph" w:customStyle="1" w:styleId="75">
    <w:name w:val="标3"/>
    <w:basedOn w:val="1"/>
    <w:link w:val="76"/>
    <w:qFormat/>
    <w:uiPriority w:val="0"/>
    <w:pPr>
      <w:numPr>
        <w:ilvl w:val="2"/>
        <w:numId w:val="2"/>
      </w:numPr>
      <w:adjustRightInd w:val="0"/>
      <w:snapToGrid w:val="0"/>
      <w:spacing w:beforeLines="50"/>
      <w:outlineLvl w:val="2"/>
    </w:pPr>
    <w:rPr>
      <w:rFonts w:ascii="Arial" w:hAnsi="Arial" w:eastAsia="仿宋" w:cs="Times New Roman"/>
      <w:kern w:val="0"/>
      <w:sz w:val="32"/>
      <w:szCs w:val="32"/>
    </w:rPr>
  </w:style>
  <w:style w:type="character" w:customStyle="1" w:styleId="76">
    <w:name w:val="标3 Char"/>
    <w:link w:val="75"/>
    <w:qFormat/>
    <w:uiPriority w:val="0"/>
    <w:rPr>
      <w:rFonts w:ascii="Arial" w:hAnsi="Arial" w:eastAsia="仿宋" w:cs="Times New Roman"/>
      <w:sz w:val="32"/>
      <w:szCs w:val="32"/>
    </w:rPr>
  </w:style>
  <w:style w:type="character" w:customStyle="1" w:styleId="77">
    <w:name w:val="font21"/>
    <w:qFormat/>
    <w:uiPriority w:val="0"/>
    <w:rPr>
      <w:rFonts w:ascii="宋体" w:hAnsi="宋体" w:eastAsia="宋体" w:cs="宋体"/>
      <w:color w:val="000000"/>
      <w:sz w:val="20"/>
      <w:szCs w:val="20"/>
      <w:u w:val="none"/>
    </w:rPr>
  </w:style>
  <w:style w:type="character" w:customStyle="1" w:styleId="78">
    <w:name w:val="纯文本 Char1"/>
    <w:qFormat/>
    <w:uiPriority w:val="0"/>
    <w:rPr>
      <w:rFonts w:ascii="宋体" w:hAnsi="Courier New" w:eastAsia="宋体" w:cs="Times New Roman"/>
      <w:szCs w:val="21"/>
    </w:rPr>
  </w:style>
  <w:style w:type="character" w:customStyle="1" w:styleId="79">
    <w:name w:val="Char Char Char"/>
    <w:qFormat/>
    <w:uiPriority w:val="0"/>
    <w:rPr>
      <w:rFonts w:ascii="宋体" w:hAnsi="Courier New" w:eastAsia="宋体" w:cs="Times New Roman"/>
      <w:kern w:val="2"/>
      <w:sz w:val="24"/>
      <w:szCs w:val="24"/>
      <w:lang w:val="en-US" w:eastAsia="zh-CN" w:bidi="ar-SA"/>
    </w:rPr>
  </w:style>
  <w:style w:type="character" w:customStyle="1" w:styleId="80">
    <w:name w:val="apple-converted-space"/>
    <w:qFormat/>
    <w:uiPriority w:val="0"/>
    <w:rPr>
      <w:rFonts w:ascii="Times New Roman" w:hAnsi="Times New Roman" w:eastAsia="宋体" w:cs="Times New Roman"/>
    </w:rPr>
  </w:style>
  <w:style w:type="character" w:customStyle="1" w:styleId="81">
    <w:name w:val="font12"/>
    <w:basedOn w:val="41"/>
    <w:qFormat/>
    <w:uiPriority w:val="0"/>
    <w:rPr>
      <w:rFonts w:hint="eastAsia" w:ascii="宋体" w:hAnsi="宋体" w:eastAsia="宋体" w:cs="宋体"/>
      <w:color w:val="000000"/>
      <w:sz w:val="20"/>
      <w:szCs w:val="20"/>
      <w:u w:val="none"/>
    </w:rPr>
  </w:style>
  <w:style w:type="character" w:customStyle="1" w:styleId="82">
    <w:name w:val="font112"/>
    <w:basedOn w:val="41"/>
    <w:qFormat/>
    <w:uiPriority w:val="0"/>
    <w:rPr>
      <w:rFonts w:hint="eastAsia" w:ascii="宋体" w:hAnsi="宋体" w:eastAsia="宋体" w:cs="宋体"/>
      <w:color w:val="000000"/>
      <w:sz w:val="20"/>
      <w:szCs w:val="20"/>
      <w:u w:val="none"/>
    </w:rPr>
  </w:style>
  <w:style w:type="character" w:customStyle="1" w:styleId="83">
    <w:name w:val="标题 1 Char1"/>
    <w:qFormat/>
    <w:uiPriority w:val="0"/>
    <w:rPr>
      <w:rFonts w:ascii="Times New Roman" w:hAnsi="Times New Roman" w:eastAsia="宋体" w:cs="Times New Roman"/>
      <w:b/>
      <w:bCs/>
      <w:kern w:val="44"/>
      <w:sz w:val="44"/>
      <w:szCs w:val="44"/>
      <w:lang w:val="en-US" w:eastAsia="zh-CN" w:bidi="ar-SA"/>
    </w:rPr>
  </w:style>
  <w:style w:type="character" w:customStyle="1" w:styleId="84">
    <w:name w:val="font41"/>
    <w:basedOn w:val="41"/>
    <w:qFormat/>
    <w:uiPriority w:val="0"/>
    <w:rPr>
      <w:rFonts w:hint="eastAsia" w:ascii="宋体" w:hAnsi="宋体" w:eastAsia="宋体" w:cs="宋体"/>
      <w:b/>
      <w:bCs/>
      <w:color w:val="000000"/>
      <w:sz w:val="22"/>
      <w:szCs w:val="22"/>
      <w:u w:val="none"/>
    </w:rPr>
  </w:style>
  <w:style w:type="character" w:customStyle="1" w:styleId="85">
    <w:name w:val="font31"/>
    <w:qFormat/>
    <w:uiPriority w:val="0"/>
    <w:rPr>
      <w:rFonts w:hint="eastAsia" w:ascii="宋体" w:hAnsi="宋体" w:eastAsia="宋体" w:cs="宋体"/>
      <w:color w:val="000000"/>
      <w:sz w:val="24"/>
      <w:szCs w:val="24"/>
      <w:u w:val="none"/>
    </w:rPr>
  </w:style>
  <w:style w:type="character" w:customStyle="1" w:styleId="86">
    <w:name w:val="font81"/>
    <w:basedOn w:val="41"/>
    <w:qFormat/>
    <w:uiPriority w:val="0"/>
    <w:rPr>
      <w:rFonts w:ascii="Calibri" w:hAnsi="Calibri" w:eastAsia="宋体" w:cs="Calibri"/>
      <w:b/>
      <w:bCs/>
      <w:color w:val="000000"/>
      <w:sz w:val="22"/>
      <w:szCs w:val="22"/>
      <w:u w:val="none"/>
    </w:rPr>
  </w:style>
  <w:style w:type="character" w:customStyle="1" w:styleId="87">
    <w:name w:val="bjh-p"/>
    <w:basedOn w:val="41"/>
    <w:qFormat/>
    <w:uiPriority w:val="0"/>
    <w:rPr>
      <w:rFonts w:ascii="Times New Roman" w:hAnsi="Times New Roman" w:eastAsia="宋体" w:cs="Times New Roman"/>
    </w:rPr>
  </w:style>
  <w:style w:type="paragraph" w:customStyle="1" w:styleId="88">
    <w:name w:val="表格文字"/>
    <w:next w:val="16"/>
    <w:link w:val="89"/>
    <w:qFormat/>
    <w:uiPriority w:val="0"/>
    <w:pPr>
      <w:spacing w:beforeLines="25" w:afterLines="25"/>
      <w:jc w:val="center"/>
    </w:pPr>
    <w:rPr>
      <w:rFonts w:ascii="Times New Roman" w:hAnsi="Times New Roman" w:eastAsia="宋体" w:cs="Times New Roman"/>
      <w:kern w:val="2"/>
      <w:sz w:val="24"/>
      <w:szCs w:val="28"/>
      <w:lang w:val="en-US" w:eastAsia="zh-CN" w:bidi="ar-SA"/>
    </w:rPr>
  </w:style>
  <w:style w:type="character" w:customStyle="1" w:styleId="89">
    <w:name w:val="表格文字 Char Char"/>
    <w:link w:val="88"/>
    <w:qFormat/>
    <w:uiPriority w:val="0"/>
    <w:rPr>
      <w:rFonts w:ascii="Times New Roman" w:hAnsi="Times New Roman" w:eastAsia="宋体" w:cs="Times New Roman"/>
      <w:kern w:val="2"/>
      <w:sz w:val="24"/>
      <w:szCs w:val="28"/>
      <w:lang w:val="en-US" w:eastAsia="zh-CN" w:bidi="ar-SA"/>
    </w:rPr>
  </w:style>
  <w:style w:type="character" w:customStyle="1" w:styleId="90">
    <w:name w:val="font11"/>
    <w:qFormat/>
    <w:uiPriority w:val="0"/>
    <w:rPr>
      <w:rFonts w:hint="eastAsia" w:ascii="宋体" w:hAnsi="宋体" w:eastAsia="宋体" w:cs="宋体"/>
      <w:b/>
      <w:color w:val="000000"/>
      <w:sz w:val="24"/>
      <w:szCs w:val="24"/>
      <w:u w:val="none"/>
    </w:rPr>
  </w:style>
  <w:style w:type="character" w:customStyle="1" w:styleId="91">
    <w:name w:val="font01"/>
    <w:qFormat/>
    <w:uiPriority w:val="0"/>
    <w:rPr>
      <w:rFonts w:hint="default" w:ascii="Arial" w:hAnsi="Arial" w:eastAsia="宋体" w:cs="Arial"/>
      <w:color w:val="000000"/>
      <w:sz w:val="24"/>
      <w:szCs w:val="24"/>
      <w:u w:val="none"/>
    </w:rPr>
  </w:style>
  <w:style w:type="character" w:customStyle="1" w:styleId="92">
    <w:name w:val="font71"/>
    <w:basedOn w:val="41"/>
    <w:qFormat/>
    <w:uiPriority w:val="0"/>
    <w:rPr>
      <w:rFonts w:hint="eastAsia" w:ascii="宋体" w:hAnsi="宋体" w:eastAsia="宋体" w:cs="宋体"/>
      <w:b/>
      <w:bCs/>
      <w:color w:val="000000"/>
      <w:sz w:val="30"/>
      <w:szCs w:val="30"/>
      <w:u w:val="none"/>
      <w:vertAlign w:val="superscript"/>
    </w:rPr>
  </w:style>
  <w:style w:type="character" w:customStyle="1" w:styleId="93">
    <w:name w:val="无"/>
    <w:qFormat/>
    <w:uiPriority w:val="0"/>
    <w:rPr>
      <w:rFonts w:ascii="Times New Roman" w:hAnsi="Times New Roman" w:eastAsia="宋体" w:cs="Times New Roman"/>
    </w:rPr>
  </w:style>
  <w:style w:type="paragraph" w:customStyle="1" w:styleId="94">
    <w:name w:val="正文首行缩进1"/>
    <w:basedOn w:val="16"/>
    <w:qFormat/>
    <w:uiPriority w:val="0"/>
    <w:pPr>
      <w:ind w:firstLine="420" w:firstLineChars="100"/>
    </w:pPr>
    <w:rPr>
      <w:rFonts w:ascii="Calibri" w:hAnsi="Calibri" w:eastAsia="宋体" w:cs="Times New Roman"/>
      <w:szCs w:val="22"/>
    </w:rPr>
  </w:style>
  <w:style w:type="paragraph" w:customStyle="1" w:styleId="95">
    <w:name w:val="xl53"/>
    <w:basedOn w:val="1"/>
    <w:next w:val="1"/>
    <w:qFormat/>
    <w:uiPriority w:val="0"/>
    <w:pPr>
      <w:spacing w:before="280" w:after="280" w:line="100" w:lineRule="exact"/>
      <w:jc w:val="center"/>
    </w:pPr>
    <w:rPr>
      <w:rFonts w:ascii="Times New Roman" w:hAnsi="Times New Roman" w:eastAsia="宋体" w:cs="Times New Roman"/>
      <w:b/>
    </w:rPr>
  </w:style>
  <w:style w:type="paragraph" w:customStyle="1" w:styleId="96">
    <w:name w:val="章正文"/>
    <w:basedOn w:val="1"/>
    <w:qFormat/>
    <w:uiPriority w:val="0"/>
    <w:pPr>
      <w:spacing w:beforeLines="50" w:after="120" w:line="300" w:lineRule="auto"/>
      <w:ind w:firstLine="480"/>
    </w:pPr>
    <w:rPr>
      <w:rFonts w:ascii="Arial" w:hAnsi="Arial" w:eastAsia="宋体" w:cs="Times New Roman"/>
      <w:kern w:val="0"/>
      <w:sz w:val="24"/>
    </w:rPr>
  </w:style>
  <w:style w:type="paragraph" w:customStyle="1" w:styleId="97">
    <w:name w:val="_Style 10"/>
    <w:basedOn w:val="1"/>
    <w:qFormat/>
    <w:uiPriority w:val="0"/>
    <w:rPr>
      <w:rFonts w:ascii="仿宋" w:hAnsi="Times New Roman" w:eastAsia="仿宋" w:cs="Times New Roman"/>
      <w:b/>
      <w:sz w:val="32"/>
      <w:szCs w:val="32"/>
    </w:rPr>
  </w:style>
  <w:style w:type="paragraph" w:customStyle="1" w:styleId="98">
    <w:name w:val="_Style 40"/>
    <w:basedOn w:val="1"/>
    <w:qFormat/>
    <w:uiPriority w:val="0"/>
    <w:rPr>
      <w:rFonts w:ascii="Times New Roman" w:hAnsi="Times New Roman" w:eastAsia="宋体" w:cs="Times New Roman"/>
    </w:rPr>
  </w:style>
  <w:style w:type="paragraph" w:customStyle="1" w:styleId="99">
    <w:name w:val="TOC2"/>
    <w:basedOn w:val="1"/>
    <w:next w:val="1"/>
    <w:qFormat/>
    <w:uiPriority w:val="0"/>
    <w:pPr>
      <w:ind w:left="420" w:leftChars="200"/>
      <w:textAlignment w:val="baseline"/>
    </w:pPr>
    <w:rPr>
      <w:rFonts w:ascii="Times New Roman" w:hAnsi="Times New Roman" w:eastAsia="宋体" w:cs="Times New Roman"/>
    </w:rPr>
  </w:style>
  <w:style w:type="paragraph" w:customStyle="1" w:styleId="100">
    <w:name w:val="BodyText"/>
    <w:basedOn w:val="1"/>
    <w:next w:val="99"/>
    <w:qFormat/>
    <w:uiPriority w:val="0"/>
    <w:pPr>
      <w:textAlignment w:val="baseline"/>
    </w:pPr>
    <w:rPr>
      <w:rFonts w:ascii="宋体" w:hAnsi="宋体" w:eastAsia="宋体" w:cs="Times New Roman"/>
      <w:szCs w:val="21"/>
      <w:lang w:val="zh-CN" w:bidi="zh-CN"/>
    </w:rPr>
  </w:style>
  <w:style w:type="paragraph" w:customStyle="1" w:styleId="101">
    <w:name w:val="分手多日，近况如何？"/>
    <w:next w:val="1"/>
    <w:qFormat/>
    <w:uiPriority w:val="0"/>
    <w:pPr>
      <w:widowControl w:val="0"/>
      <w:jc w:val="both"/>
    </w:pPr>
    <w:rPr>
      <w:rFonts w:ascii="Times New Roman" w:hAnsi="Times New Roman" w:eastAsia="宋体" w:cs="Times New Roman"/>
      <w:sz w:val="21"/>
      <w:lang w:val="en-US" w:eastAsia="zh-CN" w:bidi="ar-SA"/>
    </w:rPr>
  </w:style>
  <w:style w:type="paragraph" w:customStyle="1" w:styleId="102">
    <w:name w:val="xl39"/>
    <w:basedOn w:val="1"/>
    <w:next w:val="101"/>
    <w:qFormat/>
    <w:uiPriority w:val="0"/>
    <w:pPr>
      <w:widowControl/>
      <w:pBdr>
        <w:top w:val="single" w:color="auto" w:sz="4" w:space="0"/>
        <w:left w:val="single" w:color="auto" w:sz="4" w:space="0"/>
        <w:bottom w:val="single" w:color="auto" w:sz="4" w:space="0"/>
        <w:right w:val="single" w:color="auto" w:sz="4" w:space="0"/>
      </w:pBdr>
      <w:shd w:val="clear" w:color="auto" w:fill="CCFFFF"/>
      <w:spacing w:before="100" w:beforeAutospacing="1" w:after="100" w:afterAutospacing="1"/>
      <w:jc w:val="center"/>
      <w:textAlignment w:val="center"/>
    </w:pPr>
    <w:rPr>
      <w:rFonts w:ascii="宋体" w:hAnsi="宋体" w:eastAsia="宋体" w:cs="Times New Roman"/>
      <w:color w:val="000000"/>
      <w:kern w:val="0"/>
      <w:sz w:val="18"/>
      <w:szCs w:val="18"/>
    </w:rPr>
  </w:style>
  <w:style w:type="paragraph" w:customStyle="1" w:styleId="103">
    <w:name w:val="自动更正"/>
    <w:next w:val="10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04">
    <w:name w:val="正文1"/>
    <w:basedOn w:val="13"/>
    <w:next w:val="103"/>
    <w:qFormat/>
    <w:uiPriority w:val="0"/>
    <w:pPr>
      <w:adjustRightInd w:val="0"/>
      <w:spacing w:line="318" w:lineRule="atLeast"/>
      <w:ind w:left="369" w:firstLine="369"/>
      <w:textAlignment w:val="baseline"/>
    </w:pPr>
    <w:rPr>
      <w:rFonts w:ascii="宋体" w:hAnsi="Times New Roman" w:eastAsia="宋体" w:cs="Times New Roman"/>
      <w:szCs w:val="20"/>
    </w:rPr>
  </w:style>
  <w:style w:type="paragraph" w:customStyle="1" w:styleId="105">
    <w:name w:val="正文样式"/>
    <w:basedOn w:val="1"/>
    <w:qFormat/>
    <w:uiPriority w:val="0"/>
    <w:pPr>
      <w:spacing w:line="360" w:lineRule="auto"/>
      <w:ind w:firstLine="480" w:firstLineChars="200"/>
    </w:pPr>
    <w:rPr>
      <w:rFonts w:ascii="Times New Roman" w:hAnsi="Calibri" w:eastAsia="宋体" w:cs="Times New Roman"/>
      <w:sz w:val="24"/>
      <w:szCs w:val="20"/>
    </w:rPr>
  </w:style>
  <w:style w:type="paragraph" w:customStyle="1" w:styleId="106">
    <w:name w:val="彩色列表2"/>
    <w:basedOn w:val="1"/>
    <w:qFormat/>
    <w:uiPriority w:val="0"/>
    <w:pPr>
      <w:ind w:firstLine="420" w:firstLineChars="200"/>
    </w:pPr>
    <w:rPr>
      <w:rFonts w:ascii="Times New Roman" w:hAnsi="Times New Roman" w:eastAsia="宋体" w:cs="Times New Roman"/>
    </w:rPr>
  </w:style>
  <w:style w:type="paragraph" w:customStyle="1" w:styleId="107">
    <w:name w:val="Char Char3"/>
    <w:basedOn w:val="1"/>
    <w:qFormat/>
    <w:uiPriority w:val="0"/>
    <w:rPr>
      <w:rFonts w:ascii="Times New Roman" w:hAnsi="Times New Roman" w:eastAsia="宋体" w:cs="Times New Roman"/>
    </w:rPr>
  </w:style>
  <w:style w:type="paragraph" w:customStyle="1" w:styleId="108">
    <w:name w:val="彩色列表1"/>
    <w:basedOn w:val="1"/>
    <w:qFormat/>
    <w:uiPriority w:val="0"/>
    <w:pPr>
      <w:ind w:firstLine="420" w:firstLineChars="200"/>
    </w:pPr>
    <w:rPr>
      <w:rFonts w:ascii="Verdana" w:hAnsi="Verdana" w:eastAsia="微软雅黑" w:cs="Times New Roman"/>
      <w:szCs w:val="22"/>
    </w:rPr>
  </w:style>
  <w:style w:type="paragraph" w:customStyle="1" w:styleId="109">
    <w:name w:val="p0"/>
    <w:basedOn w:val="1"/>
    <w:qFormat/>
    <w:uiPriority w:val="0"/>
    <w:pPr>
      <w:widowControl/>
    </w:pPr>
    <w:rPr>
      <w:rFonts w:ascii="Calibri" w:hAnsi="Calibri" w:eastAsia="宋体" w:cs="Times New Roman"/>
      <w:kern w:val="0"/>
      <w:szCs w:val="21"/>
    </w:rPr>
  </w:style>
  <w:style w:type="paragraph" w:customStyle="1" w:styleId="110">
    <w:name w:val="样式 宋体 黑色 行距: 1.5 倍行距"/>
    <w:basedOn w:val="1"/>
    <w:qFormat/>
    <w:uiPriority w:val="0"/>
    <w:pPr>
      <w:spacing w:line="360" w:lineRule="auto"/>
    </w:pPr>
    <w:rPr>
      <w:rFonts w:ascii="宋体" w:hAnsi="宋体" w:eastAsia="宋体" w:cs="宋体"/>
      <w:color w:val="000000"/>
      <w:sz w:val="24"/>
      <w:szCs w:val="20"/>
    </w:rPr>
  </w:style>
  <w:style w:type="paragraph" w:customStyle="1" w:styleId="111">
    <w:name w:val="Char Char5"/>
    <w:basedOn w:val="1"/>
    <w:qFormat/>
    <w:uiPriority w:val="0"/>
    <w:rPr>
      <w:rFonts w:ascii="Times New Roman" w:hAnsi="Times New Roman" w:eastAsia="宋体" w:cs="Times New Roman"/>
    </w:rPr>
  </w:style>
  <w:style w:type="paragraph" w:customStyle="1" w:styleId="112">
    <w:name w:val="Table Paragraph"/>
    <w:basedOn w:val="1"/>
    <w:qFormat/>
    <w:uiPriority w:val="0"/>
    <w:rPr>
      <w:rFonts w:ascii="Times New Roman" w:hAnsi="Times New Roman" w:eastAsia="宋体" w:cs="Times New Roman"/>
    </w:rPr>
  </w:style>
  <w:style w:type="paragraph" w:customStyle="1" w:styleId="113">
    <w:name w:val="xl49"/>
    <w:basedOn w:val="1"/>
    <w:qFormat/>
    <w:uiPriority w:val="0"/>
    <w:pPr>
      <w:widowControl/>
      <w:spacing w:before="100" w:beforeAutospacing="1" w:after="100" w:afterAutospacing="1"/>
      <w:jc w:val="center"/>
      <w:textAlignment w:val="center"/>
    </w:pPr>
    <w:rPr>
      <w:rFonts w:ascii="宋体" w:hAnsi="宋体" w:eastAsia="宋体" w:cs="Times New Roman"/>
      <w:kern w:val="0"/>
      <w:sz w:val="24"/>
    </w:rPr>
  </w:style>
  <w:style w:type="paragraph" w:customStyle="1" w:styleId="114">
    <w:name w:val="List Paragraph1"/>
    <w:basedOn w:val="1"/>
    <w:qFormat/>
    <w:uiPriority w:val="0"/>
    <w:pPr>
      <w:widowControl/>
      <w:spacing w:after="200" w:line="276" w:lineRule="auto"/>
      <w:ind w:left="720"/>
      <w:jc w:val="left"/>
    </w:pPr>
    <w:rPr>
      <w:rFonts w:ascii="Times New Roman" w:hAnsi="Times New Roman" w:eastAsia="宋体" w:cs="Times New Roman"/>
      <w:kern w:val="0"/>
      <w:sz w:val="22"/>
      <w:szCs w:val="22"/>
      <w:lang w:eastAsia="zh-TW"/>
    </w:rPr>
  </w:style>
  <w:style w:type="paragraph" w:customStyle="1" w:styleId="115">
    <w:name w:val="彩色列表 - 强调文字颜色 11"/>
    <w:basedOn w:val="1"/>
    <w:qFormat/>
    <w:uiPriority w:val="0"/>
    <w:pPr>
      <w:ind w:firstLine="420" w:firstLineChars="200"/>
    </w:pPr>
    <w:rPr>
      <w:rFonts w:ascii="Calibri" w:hAnsi="Calibri" w:eastAsia="宋体" w:cs="Times New Roman"/>
      <w:szCs w:val="22"/>
    </w:rPr>
  </w:style>
  <w:style w:type="paragraph" w:customStyle="1" w:styleId="116">
    <w:name w:val="_Style 23"/>
    <w:basedOn w:val="1"/>
    <w:qFormat/>
    <w:uiPriority w:val="0"/>
    <w:rPr>
      <w:rFonts w:ascii="Times New Roman" w:hAnsi="Times New Roman" w:eastAsia="宋体" w:cs="Times New Roman"/>
    </w:rPr>
  </w:style>
  <w:style w:type="paragraph" w:customStyle="1" w:styleId="117">
    <w:name w:val="TOC 标题1"/>
    <w:basedOn w:val="3"/>
    <w:next w:val="1"/>
    <w:qFormat/>
    <w:uiPriority w:val="0"/>
    <w:pPr>
      <w:keepNext w:val="0"/>
      <w:keepLines w:val="0"/>
      <w:widowControl/>
      <w:spacing w:before="480" w:after="0" w:line="276" w:lineRule="auto"/>
      <w:jc w:val="left"/>
      <w:outlineLvl w:val="9"/>
    </w:pPr>
    <w:rPr>
      <w:rFonts w:ascii="Calibri Light" w:hAnsi="Calibri Light" w:eastAsia="宋体" w:cs="Times New Roman"/>
      <w:bCs w:val="0"/>
      <w:color w:val="2E75B5"/>
      <w:kern w:val="0"/>
      <w:sz w:val="28"/>
      <w:szCs w:val="28"/>
    </w:rPr>
  </w:style>
  <w:style w:type="paragraph" w:customStyle="1" w:styleId="118">
    <w:name w:val="正文2"/>
    <w:basedOn w:val="1"/>
    <w:qFormat/>
    <w:uiPriority w:val="0"/>
    <w:pPr>
      <w:spacing w:before="156" w:line="360" w:lineRule="auto"/>
      <w:ind w:firstLine="510" w:firstLineChars="200"/>
    </w:pPr>
    <w:rPr>
      <w:rFonts w:ascii="Times New Roman" w:hAnsi="Times New Roman" w:eastAsia="宋体" w:cs="Times New Roman"/>
      <w:sz w:val="24"/>
      <w:szCs w:val="20"/>
    </w:rPr>
  </w:style>
  <w:style w:type="paragraph" w:customStyle="1" w:styleId="119">
    <w:name w:val="表内文字"/>
    <w:basedOn w:val="1"/>
    <w:qFormat/>
    <w:uiPriority w:val="0"/>
    <w:pPr>
      <w:tabs>
        <w:tab w:val="left" w:pos="1418"/>
      </w:tabs>
      <w:spacing w:line="360" w:lineRule="auto"/>
      <w:jc w:val="center"/>
    </w:pPr>
    <w:rPr>
      <w:rFonts w:ascii="仿宋" w:hAnsi="Times New Roman" w:eastAsia="仿宋" w:cs="Times New Roman"/>
      <w:spacing w:val="-20"/>
      <w:kern w:val="0"/>
      <w:sz w:val="24"/>
    </w:rPr>
  </w:style>
  <w:style w:type="paragraph" w:customStyle="1" w:styleId="120">
    <w:name w:val="首行缩进"/>
    <w:basedOn w:val="1"/>
    <w:qFormat/>
    <w:uiPriority w:val="0"/>
    <w:pPr>
      <w:spacing w:line="360" w:lineRule="auto"/>
      <w:ind w:firstLine="480" w:firstLineChars="200"/>
    </w:pPr>
    <w:rPr>
      <w:rFonts w:ascii="Times New Roman" w:hAnsi="Times New Roman" w:eastAsia="宋体" w:cs="Times New Roman"/>
      <w:sz w:val="24"/>
      <w:szCs w:val="22"/>
      <w:lang w:val="zh-CN"/>
    </w:rPr>
  </w:style>
  <w:style w:type="paragraph" w:customStyle="1" w:styleId="121">
    <w:name w:val="Char Char Char Char Char Char Char"/>
    <w:basedOn w:val="1"/>
    <w:qFormat/>
    <w:uiPriority w:val="0"/>
    <w:rPr>
      <w:rFonts w:ascii="Times New Roman" w:hAnsi="Times New Roman" w:eastAsia="宋体" w:cs="Times New Roman"/>
    </w:rPr>
  </w:style>
  <w:style w:type="paragraph" w:customStyle="1" w:styleId="122">
    <w:name w:val="彩色列表11"/>
    <w:basedOn w:val="1"/>
    <w:qFormat/>
    <w:uiPriority w:val="0"/>
    <w:pPr>
      <w:ind w:firstLine="420" w:firstLineChars="200"/>
    </w:pPr>
    <w:rPr>
      <w:rFonts w:ascii="Times New Roman" w:hAnsi="Times New Roman" w:eastAsia="宋体" w:cs="Times New Roman"/>
    </w:rPr>
  </w:style>
  <w:style w:type="paragraph" w:customStyle="1" w:styleId="123">
    <w:name w:val="List Paragraph"/>
    <w:basedOn w:val="1"/>
    <w:qFormat/>
    <w:uiPriority w:val="0"/>
    <w:pPr>
      <w:ind w:firstLine="420" w:firstLineChars="200"/>
    </w:pPr>
    <w:rPr>
      <w:rFonts w:ascii="Calibri" w:hAnsi="Calibri" w:eastAsia="宋体" w:cs="Times New Roman"/>
      <w:szCs w:val="22"/>
    </w:rPr>
  </w:style>
  <w:style w:type="paragraph" w:customStyle="1" w:styleId="124">
    <w:name w:val="样式 样式1 + 首行缩进:  2 字符"/>
    <w:basedOn w:val="1"/>
    <w:qFormat/>
    <w:uiPriority w:val="0"/>
    <w:pPr>
      <w:spacing w:line="360" w:lineRule="exact"/>
      <w:ind w:firstLine="420" w:firstLineChars="200"/>
    </w:pPr>
    <w:rPr>
      <w:rFonts w:ascii="Arial" w:hAnsi="Arial" w:eastAsia="宋体" w:cs="宋体"/>
      <w:szCs w:val="20"/>
    </w:rPr>
  </w:style>
  <w:style w:type="paragraph" w:customStyle="1" w:styleId="125">
    <w:name w:val="Char Char Char Char Char Char Char Char Char Char Char Char Char Char Char"/>
    <w:basedOn w:val="1"/>
    <w:qFormat/>
    <w:uiPriority w:val="0"/>
    <w:pPr>
      <w:widowControl/>
      <w:spacing w:line="400" w:lineRule="exact"/>
      <w:jc w:val="center"/>
    </w:pPr>
    <w:rPr>
      <w:rFonts w:ascii="Verdana" w:hAnsi="Verdana" w:eastAsia="宋体" w:cs="Times New Roman"/>
      <w:kern w:val="0"/>
      <w:szCs w:val="20"/>
      <w:lang w:eastAsia="en-US"/>
    </w:rPr>
  </w:style>
  <w:style w:type="paragraph" w:customStyle="1" w:styleId="126">
    <w:name w:val="正文 A"/>
    <w:qFormat/>
    <w:uiPriority w:val="0"/>
    <w:pPr>
      <w:widowControl w:val="0"/>
      <w:pBdr>
        <w:top w:val="none" w:color="FFFFFF" w:sz="0" w:space="31"/>
        <w:left w:val="none" w:color="FFFFFF" w:sz="0" w:space="31"/>
        <w:bottom w:val="none" w:color="FFFFFF" w:sz="0" w:space="31"/>
        <w:right w:val="none" w:color="FFFFFF" w:sz="0" w:space="31"/>
      </w:pBdr>
      <w:jc w:val="both"/>
    </w:pPr>
    <w:rPr>
      <w:rFonts w:ascii="宋体" w:hAnsi="宋体" w:eastAsia="Times New Roman" w:cs="宋体"/>
      <w:color w:val="000000"/>
      <w:sz w:val="24"/>
      <w:szCs w:val="24"/>
      <w:u w:val="none" w:color="000000"/>
      <w:lang w:val="en-US" w:eastAsia="zh-CN" w:bidi="ar-SA"/>
    </w:rPr>
  </w:style>
  <w:style w:type="paragraph" w:customStyle="1" w:styleId="127">
    <w:name w:val="列出段落1"/>
    <w:basedOn w:val="1"/>
    <w:qFormat/>
    <w:uiPriority w:val="0"/>
    <w:pPr>
      <w:ind w:firstLine="420" w:firstLineChars="200"/>
    </w:pPr>
    <w:rPr>
      <w:rFonts w:ascii="Calibri" w:hAnsi="Calibri" w:eastAsia="宋体" w:cs="Times New Roman"/>
      <w:szCs w:val="22"/>
    </w:rPr>
  </w:style>
  <w:style w:type="paragraph" w:customStyle="1" w:styleId="128">
    <w:name w:val="样式1"/>
    <w:qFormat/>
    <w:uiPriority w:val="0"/>
    <w:pPr>
      <w:numPr>
        <w:ilvl w:val="2"/>
        <w:numId w:val="3"/>
      </w:numPr>
      <w:tabs>
        <w:tab w:val="left" w:pos="735"/>
      </w:tabs>
      <w:adjustRightInd w:val="0"/>
      <w:snapToGrid w:val="0"/>
      <w:spacing w:line="360" w:lineRule="auto"/>
      <w:jc w:val="both"/>
    </w:pPr>
    <w:rPr>
      <w:rFonts w:ascii="Times New Roman" w:hAnsi="Times New Roman" w:eastAsia="宋体" w:cs="Times New Roman"/>
      <w:bCs/>
      <w:kern w:val="2"/>
      <w:sz w:val="24"/>
      <w:szCs w:val="32"/>
      <w:lang w:val="en-US" w:eastAsia="zh-CN" w:bidi="ar-SA"/>
    </w:rPr>
  </w:style>
  <w:style w:type="paragraph" w:customStyle="1" w:styleId="129">
    <w:name w:val="★章标题"/>
    <w:basedOn w:val="1"/>
    <w:qFormat/>
    <w:uiPriority w:val="0"/>
    <w:pPr>
      <w:spacing w:before="120" w:after="120" w:line="360" w:lineRule="auto"/>
      <w:ind w:firstLine="200" w:firstLineChars="200"/>
      <w:jc w:val="center"/>
      <w:outlineLvl w:val="0"/>
    </w:pPr>
    <w:rPr>
      <w:rFonts w:ascii="Times New Roman" w:hAnsi="Times New Roman" w:eastAsia="黑体" w:cs="宋体"/>
      <w:b/>
      <w:bCs/>
      <w:color w:val="000000"/>
      <w:kern w:val="44"/>
      <w:sz w:val="44"/>
      <w:szCs w:val="20"/>
    </w:rPr>
  </w:style>
  <w:style w:type="paragraph" w:customStyle="1" w:styleId="130">
    <w:name w:val="BodyText1I"/>
    <w:basedOn w:val="100"/>
    <w:next w:val="1"/>
    <w:qFormat/>
    <w:uiPriority w:val="0"/>
    <w:pPr>
      <w:ind w:firstLine="420" w:firstLineChars="100"/>
    </w:pPr>
    <w:rPr>
      <w:rFonts w:ascii="Times New Roman" w:hAnsi="Times New Roman" w:eastAsia="宋体" w:cs="Times New Roman"/>
    </w:rPr>
  </w:style>
  <w:style w:type="paragraph" w:customStyle="1" w:styleId="131">
    <w:name w:val="_Style 3"/>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132">
    <w:name w:val="_Style 1"/>
    <w:qFormat/>
    <w:uiPriority w:val="0"/>
    <w:rPr>
      <w:rFonts w:ascii="Times New Roman" w:hAnsi="Times New Roman" w:eastAsia="宋体" w:cs="Times New Roman"/>
      <w:kern w:val="2"/>
      <w:sz w:val="28"/>
      <w:szCs w:val="22"/>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4.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7" Type="http://schemas.openxmlformats.org/officeDocument/2006/relationships/fontTable" Target="fontTable.xml"/><Relationship Id="rId16" Type="http://schemas.openxmlformats.org/officeDocument/2006/relationships/numbering" Target="numbering.xml"/><Relationship Id="rId15" Type="http://schemas.openxmlformats.org/officeDocument/2006/relationships/customXml" Target="../customXml/item1.xml"/><Relationship Id="rId14" Type="http://schemas.openxmlformats.org/officeDocument/2006/relationships/image" Target="media/image1.png"/><Relationship Id="rId13" Type="http://schemas.openxmlformats.org/officeDocument/2006/relationships/theme" Target="theme/theme1.xml"/><Relationship Id="rId12" Type="http://schemas.openxmlformats.org/officeDocument/2006/relationships/footer" Target="footer5.xml"/><Relationship Id="rId11" Type="http://schemas.openxmlformats.org/officeDocument/2006/relationships/footer" Target="footer4.xml"/><Relationship Id="rId10" Type="http://schemas.openxmlformats.org/officeDocument/2006/relationships/header" Target="header5.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69</Pages>
  <Words>33175</Words>
  <Characters>35228</Characters>
  <Lines>578</Lines>
  <Paragraphs>162</Paragraphs>
  <TotalTime>8</TotalTime>
  <ScaleCrop>false</ScaleCrop>
  <LinksUpToDate>false</LinksUpToDate>
  <CharactersWithSpaces>37236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2021-03-02T15:14:00Z</dcterms:created>
  <dc:creator>Administrator</dc:creator>
  <cp:lastModifiedBy>君子麟</cp:lastModifiedBy>
  <cp:lastPrinted>2025-03-17T06:21:00Z</cp:lastPrinted>
  <dcterms:modified xsi:type="dcterms:W3CDTF">2025-03-21T01:27:37Z</dcterms:modified>
  <dc:title>东阳市鑫盛工程咨询有限公司关于东阳市广福路以南、望江路以西地块-上王公寓</dc:title>
  <cp:revision>19</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4FF8BC73CE22431494DA121D7348B06B_13</vt:lpwstr>
  </property>
  <property fmtid="{D5CDD505-2E9C-101B-9397-08002B2CF9AE}" pid="4" name="KSOTemplateDocerSaveRecord">
    <vt:lpwstr>eyJoZGlkIjoiOWM0MGI2NWE5NThhOGQxZjJiZTFjNDVkODY3NGRiN2YiLCJ1c2VySWQiOiIxOTg4MTMxNTkifQ==</vt:lpwstr>
  </property>
</Properties>
</file>