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228A8">
      <w:pPr>
        <w:keepNext w:val="0"/>
        <w:keepLines w:val="0"/>
        <w:pageBreakBefore w:val="0"/>
        <w:widowControl w:val="0"/>
        <w:kinsoku/>
        <w:overflowPunct/>
        <w:topLinePunct w:val="0"/>
        <w:autoSpaceDE w:val="0"/>
        <w:autoSpaceDN w:val="0"/>
        <w:bidi w:val="0"/>
        <w:spacing w:line="360" w:lineRule="auto"/>
        <w:jc w:val="center"/>
        <w:textAlignment w:val="bottom"/>
        <w:rPr>
          <w:rFonts w:hint="eastAsia" w:ascii="宋体" w:hAnsi="宋体" w:eastAsia="宋体" w:cs="宋体"/>
          <w:b/>
          <w:color w:val="auto"/>
          <w:spacing w:val="0"/>
          <w:w w:val="100"/>
          <w:sz w:val="18"/>
          <w:szCs w:val="18"/>
          <w:highlight w:val="none"/>
        </w:rPr>
      </w:pPr>
    </w:p>
    <w:p w14:paraId="4C14F36E">
      <w:pPr>
        <w:pStyle w:val="26"/>
        <w:keepNext w:val="0"/>
        <w:keepLines w:val="0"/>
        <w:pageBreakBefore w:val="0"/>
        <w:widowControl w:val="0"/>
        <w:kinsoku/>
        <w:overflowPunct/>
        <w:topLinePunct w:val="0"/>
        <w:bidi w:val="0"/>
        <w:ind w:left="0" w:firstLine="0" w:firstLineChars="0"/>
        <w:jc w:val="center"/>
        <w:rPr>
          <w:rFonts w:hint="eastAsia" w:ascii="宋体" w:hAnsi="宋体" w:eastAsia="宋体" w:cs="宋体"/>
          <w:color w:val="auto"/>
          <w:spacing w:val="0"/>
          <w:w w:val="100"/>
          <w:highlight w:val="none"/>
        </w:rPr>
      </w:pPr>
    </w:p>
    <w:p w14:paraId="196B5BED">
      <w:pPr>
        <w:keepNext w:val="0"/>
        <w:keepLines w:val="0"/>
        <w:pageBreakBefore w:val="0"/>
        <w:widowControl w:val="0"/>
        <w:kinsoku/>
        <w:overflowPunct/>
        <w:topLinePunct w:val="0"/>
        <w:autoSpaceDE w:val="0"/>
        <w:autoSpaceDN w:val="0"/>
        <w:bidi w:val="0"/>
        <w:spacing w:line="360" w:lineRule="auto"/>
        <w:jc w:val="center"/>
        <w:textAlignment w:val="bottom"/>
        <w:rPr>
          <w:rFonts w:hint="eastAsia" w:ascii="宋体" w:hAnsi="宋体" w:eastAsia="宋体" w:cs="宋体"/>
          <w:b/>
          <w:color w:val="auto"/>
          <w:spacing w:val="0"/>
          <w:w w:val="100"/>
          <w:sz w:val="18"/>
          <w:szCs w:val="18"/>
          <w:highlight w:val="none"/>
        </w:rPr>
      </w:pPr>
    </w:p>
    <w:p w14:paraId="07080A05">
      <w:pPr>
        <w:keepNext w:val="0"/>
        <w:keepLines w:val="0"/>
        <w:pageBreakBefore w:val="0"/>
        <w:widowControl w:val="0"/>
        <w:kinsoku/>
        <w:overflowPunct/>
        <w:topLinePunct w:val="0"/>
        <w:autoSpaceDE w:val="0"/>
        <w:autoSpaceDN w:val="0"/>
        <w:bidi w:val="0"/>
        <w:spacing w:line="360" w:lineRule="auto"/>
        <w:jc w:val="center"/>
        <w:textAlignment w:val="bottom"/>
        <w:rPr>
          <w:rFonts w:hint="eastAsia" w:ascii="宋体" w:hAnsi="宋体" w:eastAsia="宋体" w:cs="宋体"/>
          <w:b/>
          <w:color w:val="auto"/>
          <w:spacing w:val="0"/>
          <w:w w:val="100"/>
          <w:sz w:val="18"/>
          <w:szCs w:val="18"/>
          <w:highlight w:val="none"/>
        </w:rPr>
      </w:pPr>
    </w:p>
    <w:p w14:paraId="68A47ED8">
      <w:pPr>
        <w:keepNext w:val="0"/>
        <w:keepLines w:val="0"/>
        <w:pageBreakBefore w:val="0"/>
        <w:widowControl w:val="0"/>
        <w:kinsoku/>
        <w:overflowPunct/>
        <w:topLinePunct w:val="0"/>
        <w:autoSpaceDE w:val="0"/>
        <w:autoSpaceDN w:val="0"/>
        <w:bidi w:val="0"/>
        <w:spacing w:line="360" w:lineRule="auto"/>
        <w:jc w:val="center"/>
        <w:textAlignment w:val="bottom"/>
        <w:rPr>
          <w:rFonts w:hint="eastAsia" w:ascii="宋体" w:hAnsi="宋体" w:eastAsia="宋体" w:cs="宋体"/>
          <w:b/>
          <w:color w:val="auto"/>
          <w:spacing w:val="0"/>
          <w:w w:val="100"/>
          <w:sz w:val="18"/>
          <w:szCs w:val="18"/>
          <w:highlight w:val="none"/>
        </w:rPr>
      </w:pPr>
    </w:p>
    <w:p w14:paraId="4865C7A0">
      <w:pPr>
        <w:keepNext w:val="0"/>
        <w:keepLines w:val="0"/>
        <w:pageBreakBefore w:val="0"/>
        <w:widowControl w:val="0"/>
        <w:kinsoku/>
        <w:overflowPunct/>
        <w:topLinePunct w:val="0"/>
        <w:autoSpaceDE w:val="0"/>
        <w:autoSpaceDN w:val="0"/>
        <w:bidi w:val="0"/>
        <w:spacing w:line="360" w:lineRule="auto"/>
        <w:jc w:val="center"/>
        <w:textAlignment w:val="bottom"/>
        <w:rPr>
          <w:rFonts w:hint="eastAsia" w:ascii="宋体" w:hAnsi="宋体" w:eastAsia="宋体" w:cs="宋体"/>
          <w:b/>
          <w:color w:val="auto"/>
          <w:spacing w:val="0"/>
          <w:w w:val="100"/>
          <w:sz w:val="18"/>
          <w:szCs w:val="18"/>
          <w:highlight w:val="none"/>
        </w:rPr>
      </w:pPr>
    </w:p>
    <w:p w14:paraId="36653F9B">
      <w:pPr>
        <w:keepNext w:val="0"/>
        <w:keepLines w:val="0"/>
        <w:pageBreakBefore w:val="0"/>
        <w:widowControl w:val="0"/>
        <w:kinsoku/>
        <w:overflowPunct/>
        <w:topLinePunct w:val="0"/>
        <w:autoSpaceDE w:val="0"/>
        <w:autoSpaceDN w:val="0"/>
        <w:bidi w:val="0"/>
        <w:jc w:val="center"/>
        <w:textAlignment w:val="bottom"/>
        <w:outlineLvl w:val="0"/>
        <w:rPr>
          <w:rFonts w:hint="eastAsia" w:ascii="宋体" w:hAnsi="宋体" w:eastAsia="宋体" w:cs="宋体"/>
          <w:color w:val="auto"/>
          <w:spacing w:val="0"/>
          <w:w w:val="100"/>
          <w:sz w:val="96"/>
          <w:szCs w:val="28"/>
          <w:highlight w:val="none"/>
        </w:rPr>
      </w:pPr>
      <w:bookmarkStart w:id="0" w:name="_Toc169"/>
      <w:bookmarkStart w:id="1" w:name="_Toc7117"/>
      <w:r>
        <w:rPr>
          <w:rFonts w:hint="eastAsia" w:ascii="宋体" w:hAnsi="宋体" w:eastAsia="宋体" w:cs="宋体"/>
          <w:b/>
          <w:color w:val="auto"/>
          <w:spacing w:val="0"/>
          <w:w w:val="100"/>
          <w:sz w:val="96"/>
          <w:szCs w:val="28"/>
          <w:highlight w:val="none"/>
        </w:rPr>
        <w:t>竞争性磋商</w:t>
      </w:r>
      <w:bookmarkEnd w:id="0"/>
      <w:bookmarkEnd w:id="1"/>
      <w:r>
        <w:rPr>
          <w:rFonts w:hint="eastAsia" w:ascii="宋体" w:hAnsi="宋体" w:eastAsia="宋体" w:cs="宋体"/>
          <w:b/>
          <w:color w:val="auto"/>
          <w:spacing w:val="0"/>
          <w:w w:val="100"/>
          <w:sz w:val="96"/>
          <w:szCs w:val="28"/>
          <w:highlight w:val="none"/>
        </w:rPr>
        <w:t>文件</w:t>
      </w:r>
    </w:p>
    <w:p w14:paraId="5165CA81">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51D90500">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07880832">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p w14:paraId="56DA8F06">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71CFEB5F">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4248BDB5">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424C4446">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p w14:paraId="0C638E91">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28FCDB80">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tbl>
      <w:tblPr>
        <w:tblStyle w:val="41"/>
        <w:tblpPr w:leftFromText="180" w:rightFromText="180" w:vertAnchor="text" w:horzAnchor="page" w:tblpXSpec="center" w:tblpY="73"/>
        <w:tblOverlap w:val="never"/>
        <w:tblW w:w="8607" w:type="dxa"/>
        <w:jc w:val="center"/>
        <w:tblLayout w:type="fixed"/>
        <w:tblCellMar>
          <w:top w:w="0" w:type="dxa"/>
          <w:left w:w="108" w:type="dxa"/>
          <w:bottom w:w="0" w:type="dxa"/>
          <w:right w:w="108" w:type="dxa"/>
        </w:tblCellMar>
      </w:tblPr>
      <w:tblGrid>
        <w:gridCol w:w="1725"/>
        <w:gridCol w:w="585"/>
        <w:gridCol w:w="6297"/>
      </w:tblGrid>
      <w:tr w14:paraId="040B0257">
        <w:tblPrEx>
          <w:tblCellMar>
            <w:top w:w="0" w:type="dxa"/>
            <w:left w:w="108" w:type="dxa"/>
            <w:bottom w:w="0" w:type="dxa"/>
            <w:right w:w="108" w:type="dxa"/>
          </w:tblCellMar>
        </w:tblPrEx>
        <w:trPr>
          <w:trHeight w:val="1417" w:hRule="atLeast"/>
          <w:jc w:val="center"/>
        </w:trPr>
        <w:tc>
          <w:tcPr>
            <w:tcW w:w="1725" w:type="dxa"/>
            <w:vAlign w:val="center"/>
          </w:tcPr>
          <w:p w14:paraId="0FF54994">
            <w:pPr>
              <w:keepNext w:val="0"/>
              <w:keepLines w:val="0"/>
              <w:pageBreakBefore w:val="0"/>
              <w:widowControl w:val="0"/>
              <w:kinsoku/>
              <w:overflowPunct/>
              <w:topLinePunct w:val="0"/>
              <w:autoSpaceDE w:val="0"/>
              <w:autoSpaceDN w:val="0"/>
              <w:bidi w:val="0"/>
              <w:ind w:left="-105" w:leftChars="-50" w:right="-105" w:rightChars="-50"/>
              <w:jc w:val="left"/>
              <w:textAlignment w:val="bottom"/>
              <w:outlineLvl w:val="0"/>
              <w:rPr>
                <w:rFonts w:hint="eastAsia" w:ascii="宋体" w:hAnsi="宋体" w:eastAsia="宋体" w:cs="宋体"/>
                <w:b/>
                <w:color w:val="auto"/>
                <w:spacing w:val="0"/>
                <w:w w:val="100"/>
                <w:sz w:val="34"/>
                <w:szCs w:val="34"/>
                <w:highlight w:val="none"/>
              </w:rPr>
            </w:pPr>
            <w:bookmarkStart w:id="2" w:name="_Toc14442"/>
            <w:r>
              <w:rPr>
                <w:rFonts w:hint="eastAsia" w:ascii="宋体" w:hAnsi="宋体" w:eastAsia="宋体" w:cs="宋体"/>
                <w:b/>
                <w:color w:val="auto"/>
                <w:spacing w:val="0"/>
                <w:w w:val="100"/>
                <w:sz w:val="34"/>
                <w:szCs w:val="34"/>
                <w:highlight w:val="none"/>
              </w:rPr>
              <w:t>采购编号：</w:t>
            </w:r>
            <w:bookmarkEnd w:id="2"/>
          </w:p>
        </w:tc>
        <w:tc>
          <w:tcPr>
            <w:tcW w:w="6882" w:type="dxa"/>
            <w:gridSpan w:val="2"/>
            <w:vAlign w:val="center"/>
          </w:tcPr>
          <w:p w14:paraId="26220BF5">
            <w:pPr>
              <w:keepNext w:val="0"/>
              <w:keepLines w:val="0"/>
              <w:pageBreakBefore w:val="0"/>
              <w:widowControl w:val="0"/>
              <w:kinsoku/>
              <w:overflowPunct/>
              <w:topLinePunct w:val="0"/>
              <w:autoSpaceDE w:val="0"/>
              <w:autoSpaceDN w:val="0"/>
              <w:bidi w:val="0"/>
              <w:jc w:val="left"/>
              <w:textAlignment w:val="bottom"/>
              <w:outlineLvl w:val="0"/>
              <w:rPr>
                <w:rFonts w:hint="eastAsia" w:ascii="宋体" w:hAnsi="宋体" w:eastAsia="宋体" w:cs="宋体"/>
                <w:b/>
                <w:color w:val="auto"/>
                <w:spacing w:val="0"/>
                <w:w w:val="100"/>
                <w:sz w:val="34"/>
                <w:szCs w:val="34"/>
                <w:highlight w:val="none"/>
                <w:lang w:val="en-US" w:eastAsia="zh-CN"/>
              </w:rPr>
            </w:pPr>
            <w:r>
              <w:rPr>
                <w:rFonts w:hint="eastAsia" w:ascii="宋体" w:hAnsi="宋体" w:eastAsia="宋体" w:cs="宋体"/>
                <w:b/>
                <w:color w:val="auto"/>
                <w:spacing w:val="0"/>
                <w:w w:val="100"/>
                <w:sz w:val="34"/>
                <w:szCs w:val="34"/>
                <w:highlight w:val="none"/>
                <w:lang w:eastAsia="zh-CN"/>
              </w:rPr>
              <w:t>浙诚远庆2024076号</w:t>
            </w:r>
          </w:p>
        </w:tc>
      </w:tr>
      <w:tr w14:paraId="0718C1A4">
        <w:tblPrEx>
          <w:tblCellMar>
            <w:top w:w="0" w:type="dxa"/>
            <w:left w:w="108" w:type="dxa"/>
            <w:bottom w:w="0" w:type="dxa"/>
            <w:right w:w="108" w:type="dxa"/>
          </w:tblCellMar>
        </w:tblPrEx>
        <w:trPr>
          <w:trHeight w:val="1417" w:hRule="atLeast"/>
          <w:jc w:val="center"/>
        </w:trPr>
        <w:tc>
          <w:tcPr>
            <w:tcW w:w="1725" w:type="dxa"/>
            <w:vAlign w:val="center"/>
          </w:tcPr>
          <w:p w14:paraId="43C9F4BA">
            <w:pPr>
              <w:keepNext w:val="0"/>
              <w:keepLines w:val="0"/>
              <w:pageBreakBefore w:val="0"/>
              <w:widowControl w:val="0"/>
              <w:kinsoku/>
              <w:overflowPunct/>
              <w:topLinePunct w:val="0"/>
              <w:autoSpaceDE w:val="0"/>
              <w:autoSpaceDN w:val="0"/>
              <w:bidi w:val="0"/>
              <w:ind w:left="-105" w:leftChars="-50" w:right="-105" w:rightChars="-50"/>
              <w:jc w:val="left"/>
              <w:textAlignment w:val="bottom"/>
              <w:outlineLvl w:val="0"/>
              <w:rPr>
                <w:rFonts w:hint="eastAsia" w:ascii="宋体" w:hAnsi="宋体" w:eastAsia="宋体" w:cs="宋体"/>
                <w:b/>
                <w:color w:val="auto"/>
                <w:spacing w:val="0"/>
                <w:w w:val="100"/>
                <w:sz w:val="34"/>
                <w:szCs w:val="34"/>
                <w:highlight w:val="none"/>
              </w:rPr>
            </w:pPr>
            <w:bookmarkStart w:id="3" w:name="_Toc16562"/>
            <w:r>
              <w:rPr>
                <w:rFonts w:hint="eastAsia" w:ascii="宋体" w:hAnsi="宋体" w:eastAsia="宋体" w:cs="宋体"/>
                <w:b/>
                <w:color w:val="auto"/>
                <w:spacing w:val="0"/>
                <w:w w:val="100"/>
                <w:sz w:val="34"/>
                <w:szCs w:val="34"/>
                <w:highlight w:val="none"/>
              </w:rPr>
              <w:t>项目名称：</w:t>
            </w:r>
            <w:bookmarkEnd w:id="3"/>
          </w:p>
        </w:tc>
        <w:tc>
          <w:tcPr>
            <w:tcW w:w="6882" w:type="dxa"/>
            <w:gridSpan w:val="2"/>
            <w:vAlign w:val="center"/>
          </w:tcPr>
          <w:p w14:paraId="5438FB93">
            <w:pPr>
              <w:keepNext w:val="0"/>
              <w:keepLines w:val="0"/>
              <w:pageBreakBefore w:val="0"/>
              <w:widowControl w:val="0"/>
              <w:kinsoku/>
              <w:overflowPunct/>
              <w:topLinePunct w:val="0"/>
              <w:autoSpaceDE w:val="0"/>
              <w:autoSpaceDN w:val="0"/>
              <w:bidi w:val="0"/>
              <w:jc w:val="left"/>
              <w:textAlignment w:val="bottom"/>
              <w:outlineLvl w:val="0"/>
              <w:rPr>
                <w:rFonts w:hint="eastAsia" w:ascii="宋体" w:hAnsi="宋体" w:eastAsia="宋体" w:cs="宋体"/>
                <w:b/>
                <w:color w:val="auto"/>
                <w:spacing w:val="0"/>
                <w:w w:val="100"/>
                <w:sz w:val="34"/>
                <w:szCs w:val="34"/>
                <w:highlight w:val="none"/>
                <w:lang w:eastAsia="zh-CN"/>
              </w:rPr>
            </w:pPr>
            <w:r>
              <w:rPr>
                <w:rFonts w:hint="eastAsia" w:ascii="宋体" w:hAnsi="宋体" w:eastAsia="宋体" w:cs="宋体"/>
                <w:b/>
                <w:color w:val="auto"/>
                <w:spacing w:val="0"/>
                <w:w w:val="100"/>
                <w:sz w:val="34"/>
                <w:szCs w:val="34"/>
                <w:highlight w:val="none"/>
                <w:lang w:eastAsia="zh-CN"/>
              </w:rPr>
              <w:t>2024-2025年度庆元县生态质量国家级样地生物多样性调查监测项目</w:t>
            </w:r>
          </w:p>
        </w:tc>
      </w:tr>
      <w:tr w14:paraId="7D6C4CBA">
        <w:tblPrEx>
          <w:tblCellMar>
            <w:top w:w="0" w:type="dxa"/>
            <w:left w:w="108" w:type="dxa"/>
            <w:bottom w:w="0" w:type="dxa"/>
            <w:right w:w="108" w:type="dxa"/>
          </w:tblCellMar>
        </w:tblPrEx>
        <w:trPr>
          <w:trHeight w:val="1417" w:hRule="atLeast"/>
          <w:jc w:val="center"/>
        </w:trPr>
        <w:tc>
          <w:tcPr>
            <w:tcW w:w="1725" w:type="dxa"/>
            <w:vAlign w:val="center"/>
          </w:tcPr>
          <w:p w14:paraId="3891BC9D">
            <w:pPr>
              <w:keepNext w:val="0"/>
              <w:keepLines w:val="0"/>
              <w:pageBreakBefore w:val="0"/>
              <w:widowControl w:val="0"/>
              <w:kinsoku/>
              <w:overflowPunct/>
              <w:topLinePunct w:val="0"/>
              <w:autoSpaceDE w:val="0"/>
              <w:autoSpaceDN w:val="0"/>
              <w:bidi w:val="0"/>
              <w:ind w:left="-105" w:leftChars="-50" w:right="-105" w:rightChars="-50"/>
              <w:jc w:val="left"/>
              <w:textAlignment w:val="bottom"/>
              <w:outlineLvl w:val="0"/>
              <w:rPr>
                <w:rFonts w:hint="eastAsia" w:ascii="宋体" w:hAnsi="宋体" w:eastAsia="宋体" w:cs="宋体"/>
                <w:b/>
                <w:color w:val="auto"/>
                <w:spacing w:val="0"/>
                <w:w w:val="100"/>
                <w:sz w:val="34"/>
                <w:szCs w:val="34"/>
                <w:highlight w:val="none"/>
              </w:rPr>
            </w:pPr>
            <w:bookmarkStart w:id="4" w:name="_Toc20401"/>
            <w:r>
              <w:rPr>
                <w:rFonts w:hint="eastAsia" w:ascii="宋体" w:hAnsi="宋体" w:eastAsia="宋体" w:cs="宋体"/>
                <w:b/>
                <w:color w:val="auto"/>
                <w:spacing w:val="0"/>
                <w:w w:val="100"/>
                <w:sz w:val="34"/>
                <w:szCs w:val="34"/>
                <w:highlight w:val="none"/>
              </w:rPr>
              <w:t>采 购 人：</w:t>
            </w:r>
            <w:bookmarkEnd w:id="4"/>
          </w:p>
        </w:tc>
        <w:tc>
          <w:tcPr>
            <w:tcW w:w="6882" w:type="dxa"/>
            <w:gridSpan w:val="2"/>
            <w:vAlign w:val="center"/>
          </w:tcPr>
          <w:p w14:paraId="6ACA7E39">
            <w:pPr>
              <w:keepNext w:val="0"/>
              <w:keepLines w:val="0"/>
              <w:pageBreakBefore w:val="0"/>
              <w:widowControl w:val="0"/>
              <w:kinsoku/>
              <w:overflowPunct/>
              <w:topLinePunct w:val="0"/>
              <w:autoSpaceDE w:val="0"/>
              <w:autoSpaceDN w:val="0"/>
              <w:bidi w:val="0"/>
              <w:jc w:val="left"/>
              <w:textAlignment w:val="bottom"/>
              <w:outlineLvl w:val="0"/>
              <w:rPr>
                <w:rFonts w:hint="eastAsia" w:ascii="宋体" w:hAnsi="宋体" w:eastAsia="宋体" w:cs="宋体"/>
                <w:b/>
                <w:color w:val="auto"/>
                <w:spacing w:val="0"/>
                <w:w w:val="100"/>
                <w:sz w:val="34"/>
                <w:szCs w:val="34"/>
                <w:highlight w:val="none"/>
                <w:lang w:eastAsia="zh-CN"/>
              </w:rPr>
            </w:pPr>
            <w:r>
              <w:rPr>
                <w:rFonts w:hint="eastAsia" w:ascii="宋体" w:hAnsi="宋体" w:eastAsia="宋体" w:cs="宋体"/>
                <w:b/>
                <w:color w:val="auto"/>
                <w:spacing w:val="0"/>
                <w:w w:val="100"/>
                <w:sz w:val="34"/>
                <w:szCs w:val="34"/>
                <w:highlight w:val="none"/>
                <w:lang w:eastAsia="zh-CN"/>
              </w:rPr>
              <w:t>丽水市生态环境局庆元分局</w:t>
            </w:r>
          </w:p>
        </w:tc>
      </w:tr>
      <w:tr w14:paraId="1670DA8D">
        <w:tblPrEx>
          <w:tblCellMar>
            <w:top w:w="0" w:type="dxa"/>
            <w:left w:w="108" w:type="dxa"/>
            <w:bottom w:w="0" w:type="dxa"/>
            <w:right w:w="108" w:type="dxa"/>
          </w:tblCellMar>
        </w:tblPrEx>
        <w:trPr>
          <w:trHeight w:val="1417" w:hRule="atLeast"/>
          <w:jc w:val="center"/>
        </w:trPr>
        <w:tc>
          <w:tcPr>
            <w:tcW w:w="2310" w:type="dxa"/>
            <w:gridSpan w:val="2"/>
            <w:vAlign w:val="center"/>
          </w:tcPr>
          <w:p w14:paraId="39C9059B">
            <w:pPr>
              <w:keepNext w:val="0"/>
              <w:keepLines w:val="0"/>
              <w:pageBreakBefore w:val="0"/>
              <w:widowControl w:val="0"/>
              <w:kinsoku/>
              <w:overflowPunct/>
              <w:topLinePunct w:val="0"/>
              <w:autoSpaceDE w:val="0"/>
              <w:autoSpaceDN w:val="0"/>
              <w:bidi w:val="0"/>
              <w:ind w:left="-105" w:leftChars="-50" w:right="-105" w:rightChars="-50"/>
              <w:jc w:val="left"/>
              <w:textAlignment w:val="bottom"/>
              <w:outlineLvl w:val="0"/>
              <w:rPr>
                <w:rFonts w:hint="eastAsia" w:ascii="宋体" w:hAnsi="宋体" w:eastAsia="宋体" w:cs="宋体"/>
                <w:b/>
                <w:color w:val="auto"/>
                <w:spacing w:val="0"/>
                <w:w w:val="100"/>
                <w:sz w:val="34"/>
                <w:szCs w:val="34"/>
                <w:highlight w:val="none"/>
              </w:rPr>
            </w:pPr>
            <w:bookmarkStart w:id="5" w:name="_Toc28987"/>
            <w:r>
              <w:rPr>
                <w:rFonts w:hint="eastAsia" w:ascii="宋体" w:hAnsi="宋体" w:eastAsia="宋体" w:cs="宋体"/>
                <w:b/>
                <w:color w:val="auto"/>
                <w:spacing w:val="0"/>
                <w:w w:val="100"/>
                <w:sz w:val="34"/>
                <w:szCs w:val="34"/>
                <w:highlight w:val="none"/>
              </w:rPr>
              <w:t>采购代理机构：</w:t>
            </w:r>
          </w:p>
        </w:tc>
        <w:tc>
          <w:tcPr>
            <w:tcW w:w="6297" w:type="dxa"/>
            <w:vAlign w:val="center"/>
          </w:tcPr>
          <w:p w14:paraId="700F0212">
            <w:pPr>
              <w:keepNext w:val="0"/>
              <w:keepLines w:val="0"/>
              <w:pageBreakBefore w:val="0"/>
              <w:widowControl w:val="0"/>
              <w:kinsoku/>
              <w:overflowPunct/>
              <w:topLinePunct w:val="0"/>
              <w:autoSpaceDE w:val="0"/>
              <w:autoSpaceDN w:val="0"/>
              <w:bidi w:val="0"/>
              <w:jc w:val="left"/>
              <w:textAlignment w:val="bottom"/>
              <w:outlineLvl w:val="0"/>
              <w:rPr>
                <w:rFonts w:hint="eastAsia" w:ascii="宋体" w:hAnsi="宋体" w:eastAsia="宋体" w:cs="宋体"/>
                <w:b/>
                <w:color w:val="auto"/>
                <w:spacing w:val="0"/>
                <w:w w:val="100"/>
                <w:sz w:val="34"/>
                <w:szCs w:val="34"/>
                <w:highlight w:val="none"/>
              </w:rPr>
            </w:pPr>
            <w:r>
              <w:rPr>
                <w:rFonts w:hint="eastAsia" w:ascii="宋体" w:hAnsi="宋体" w:eastAsia="宋体" w:cs="宋体"/>
                <w:b/>
                <w:color w:val="auto"/>
                <w:spacing w:val="0"/>
                <w:w w:val="100"/>
                <w:sz w:val="34"/>
                <w:szCs w:val="34"/>
                <w:highlight w:val="none"/>
              </w:rPr>
              <w:t>浙江诚远工程咨询有限公司</w:t>
            </w:r>
          </w:p>
        </w:tc>
      </w:tr>
    </w:tbl>
    <w:p w14:paraId="1F874F3D">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6C5B3EC6">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p w14:paraId="124E65E7">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p w14:paraId="6C969068">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7CAAC013">
      <w:pPr>
        <w:keepNext w:val="0"/>
        <w:keepLines w:val="0"/>
        <w:pageBreakBefore w:val="0"/>
        <w:widowControl w:val="0"/>
        <w:kinsoku/>
        <w:overflowPunct/>
        <w:topLinePunct w:val="0"/>
        <w:autoSpaceDE w:val="0"/>
        <w:autoSpaceDN w:val="0"/>
        <w:bidi w:val="0"/>
        <w:snapToGrid w:val="0"/>
        <w:jc w:val="center"/>
        <w:textAlignment w:val="bottom"/>
        <w:rPr>
          <w:rFonts w:hint="eastAsia" w:ascii="宋体" w:hAnsi="宋体" w:eastAsia="宋体" w:cs="宋体"/>
          <w:b/>
          <w:color w:val="auto"/>
          <w:spacing w:val="0"/>
          <w:w w:val="100"/>
          <w:sz w:val="18"/>
          <w:szCs w:val="18"/>
          <w:highlight w:val="none"/>
        </w:rPr>
      </w:pPr>
    </w:p>
    <w:p w14:paraId="4345CFB1">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bookmarkEnd w:id="5"/>
    <w:p w14:paraId="6EE99941">
      <w:pPr>
        <w:keepNext w:val="0"/>
        <w:keepLines w:val="0"/>
        <w:pageBreakBefore w:val="0"/>
        <w:widowControl w:val="0"/>
        <w:kinsoku/>
        <w:overflowPunct/>
        <w:topLinePunct w:val="0"/>
        <w:autoSpaceDE w:val="0"/>
        <w:autoSpaceDN w:val="0"/>
        <w:bidi w:val="0"/>
        <w:spacing w:line="360" w:lineRule="auto"/>
        <w:jc w:val="center"/>
        <w:textAlignment w:val="bottom"/>
        <w:outlineLvl w:val="0"/>
        <w:rPr>
          <w:rFonts w:hint="eastAsia" w:ascii="宋体" w:hAnsi="宋体" w:eastAsia="宋体" w:cs="宋体"/>
          <w:b/>
          <w:color w:val="auto"/>
          <w:spacing w:val="0"/>
          <w:w w:val="100"/>
          <w:sz w:val="34"/>
          <w:szCs w:val="34"/>
          <w:highlight w:val="none"/>
        </w:rPr>
      </w:pPr>
      <w:bookmarkStart w:id="6" w:name="_Toc2973"/>
      <w:r>
        <w:rPr>
          <w:rFonts w:hint="eastAsia" w:ascii="宋体" w:hAnsi="宋体" w:eastAsia="宋体" w:cs="宋体"/>
          <w:b/>
          <w:color w:val="auto"/>
          <w:spacing w:val="0"/>
          <w:w w:val="100"/>
          <w:sz w:val="34"/>
          <w:szCs w:val="34"/>
          <w:highlight w:val="none"/>
        </w:rPr>
        <w:t>二〇二</w:t>
      </w:r>
      <w:r>
        <w:rPr>
          <w:rFonts w:hint="eastAsia" w:ascii="宋体" w:hAnsi="宋体" w:eastAsia="宋体" w:cs="宋体"/>
          <w:b/>
          <w:color w:val="auto"/>
          <w:spacing w:val="0"/>
          <w:w w:val="100"/>
          <w:sz w:val="34"/>
          <w:szCs w:val="34"/>
          <w:highlight w:val="none"/>
          <w:lang w:eastAsia="zh-CN"/>
        </w:rPr>
        <w:t>四年九</w:t>
      </w:r>
      <w:r>
        <w:rPr>
          <w:rFonts w:hint="eastAsia" w:ascii="宋体" w:hAnsi="宋体" w:eastAsia="宋体" w:cs="宋体"/>
          <w:b/>
          <w:color w:val="auto"/>
          <w:spacing w:val="0"/>
          <w:w w:val="100"/>
          <w:sz w:val="34"/>
          <w:szCs w:val="34"/>
          <w:highlight w:val="none"/>
        </w:rPr>
        <w:t>月</w:t>
      </w:r>
      <w:bookmarkEnd w:id="6"/>
    </w:p>
    <w:p w14:paraId="66CE3307">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pPr>
    </w:p>
    <w:p w14:paraId="40AEEA5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pacing w:val="0"/>
          <w:w w:val="100"/>
          <w:sz w:val="21"/>
          <w:szCs w:val="21"/>
          <w:highlight w:val="none"/>
        </w:rPr>
      </w:pPr>
      <w:bookmarkStart w:id="7" w:name="_Toc15180"/>
      <w:bookmarkStart w:id="8" w:name="_Toc6781"/>
      <w:bookmarkStart w:id="9" w:name="_Toc25302"/>
    </w:p>
    <w:p w14:paraId="4B294810">
      <w:pPr>
        <w:pStyle w:val="3"/>
        <w:keepNext w:val="0"/>
        <w:spacing w:line="900" w:lineRule="exact"/>
        <w:ind w:left="0" w:leftChars="0" w:firstLine="0" w:firstLineChars="0"/>
        <w:jc w:val="center"/>
        <w:outlineLvl w:val="0"/>
        <w:rPr>
          <w:rFonts w:hint="eastAsia" w:ascii="宋体" w:hAnsi="宋体" w:eastAsia="宋体" w:cs="宋体"/>
          <w:b/>
          <w:bCs w:val="0"/>
          <w:color w:val="auto"/>
          <w:sz w:val="40"/>
          <w:szCs w:val="40"/>
          <w:highlight w:val="none"/>
        </w:rPr>
      </w:pPr>
      <w:r>
        <w:rPr>
          <w:rFonts w:hint="eastAsia" w:ascii="宋体" w:hAnsi="宋体" w:eastAsia="宋体" w:cs="宋体"/>
          <w:b/>
          <w:bCs w:val="0"/>
          <w:color w:val="auto"/>
          <w:sz w:val="40"/>
          <w:szCs w:val="40"/>
          <w:highlight w:val="none"/>
        </w:rPr>
        <w:t>目  录</w:t>
      </w:r>
      <w:bookmarkEnd w:id="7"/>
      <w:bookmarkEnd w:id="8"/>
      <w:bookmarkEnd w:id="9"/>
    </w:p>
    <w:p w14:paraId="30CA0FE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pacing w:val="0"/>
          <w:w w:val="100"/>
          <w:sz w:val="21"/>
          <w:szCs w:val="21"/>
          <w:highlight w:val="none"/>
        </w:rPr>
      </w:pPr>
    </w:p>
    <w:p w14:paraId="344DCC9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pacing w:val="0"/>
          <w:w w:val="100"/>
          <w:sz w:val="21"/>
          <w:szCs w:val="21"/>
          <w:highlight w:val="none"/>
        </w:rPr>
      </w:pPr>
    </w:p>
    <w:p w14:paraId="2E9C35EB">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auto"/>
          <w:highlight w:val="none"/>
          <w:lang w:val="en-US"/>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"_Toc21669"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第一章  综合说明</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rPr>
        <w:t>1</w:t>
      </w:r>
      <w:r>
        <w:rPr>
          <w:rFonts w:hint="eastAsia" w:ascii="宋体" w:hAnsi="宋体" w:eastAsia="宋体" w:cs="宋体"/>
          <w:b/>
          <w:bCs/>
          <w:color w:val="auto"/>
          <w:spacing w:val="0"/>
          <w:w w:val="100"/>
          <w:sz w:val="30"/>
          <w:szCs w:val="30"/>
          <w:highlight w:val="none"/>
        </w:rPr>
        <w:fldChar w:fldCharType="end"/>
      </w:r>
    </w:p>
    <w:p w14:paraId="6905F537">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auto"/>
          <w:highlight w:val="none"/>
          <w:lang w:val="en-US"/>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"_Toc3304"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第二章  供应商须知</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lang w:val="en-US" w:eastAsia="zh-CN"/>
        </w:rPr>
        <w:t>5</w:t>
      </w:r>
      <w:r>
        <w:rPr>
          <w:rFonts w:hint="eastAsia" w:ascii="宋体" w:hAnsi="宋体" w:eastAsia="宋体" w:cs="宋体"/>
          <w:b/>
          <w:bCs/>
          <w:color w:val="auto"/>
          <w:spacing w:val="0"/>
          <w:w w:val="100"/>
          <w:sz w:val="30"/>
          <w:szCs w:val="30"/>
          <w:highlight w:val="none"/>
        </w:rPr>
        <w:fldChar w:fldCharType="end"/>
      </w:r>
    </w:p>
    <w:p w14:paraId="7A42D8FA">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auto"/>
          <w:highlight w:val="none"/>
          <w:lang w:val="en-US"/>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"_Toc6808"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第三章  采购需求</w:t>
      </w:r>
      <w:r>
        <w:rPr>
          <w:rFonts w:hint="eastAsia" w:ascii="宋体" w:hAnsi="宋体" w:eastAsia="宋体" w:cs="宋体"/>
          <w:b/>
          <w:bCs/>
          <w:color w:val="auto"/>
          <w:spacing w:val="0"/>
          <w:w w:val="100"/>
          <w:sz w:val="30"/>
          <w:szCs w:val="30"/>
          <w:highlight w:val="none"/>
          <w:lang w:val="en-US" w:eastAsia="zh-CN"/>
        </w:rPr>
        <w:t xml:space="preserve"> </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rPr>
        <w:fldChar w:fldCharType="end"/>
      </w:r>
      <w:r>
        <w:rPr>
          <w:rFonts w:hint="eastAsia" w:ascii="宋体" w:hAnsi="宋体" w:eastAsia="宋体" w:cs="宋体"/>
          <w:b/>
          <w:bCs/>
          <w:color w:val="auto"/>
          <w:spacing w:val="0"/>
          <w:w w:val="100"/>
          <w:sz w:val="30"/>
          <w:szCs w:val="30"/>
          <w:highlight w:val="none"/>
          <w:lang w:val="en-US" w:eastAsia="zh-CN"/>
        </w:rPr>
        <w:t>23</w:t>
      </w:r>
    </w:p>
    <w:p w14:paraId="5B320AEE">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b/>
          <w:color w:val="auto"/>
          <w:spacing w:val="0"/>
          <w:w w:val="100"/>
          <w:sz w:val="30"/>
          <w:szCs w:val="30"/>
          <w:highlight w:val="none"/>
          <w:lang w:val="en-US" w:eastAsia="zh-CN"/>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"_Toc12776"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第四章  政府采购合同格式（范本）</w:t>
      </w:r>
      <w:r>
        <w:rPr>
          <w:rFonts w:hint="eastAsia" w:ascii="宋体" w:hAnsi="宋体" w:eastAsia="宋体" w:cs="宋体"/>
          <w:b/>
          <w:bCs/>
          <w:color w:val="auto"/>
          <w:spacing w:val="0"/>
          <w:w w:val="100"/>
          <w:sz w:val="30"/>
          <w:szCs w:val="30"/>
          <w:highlight w:val="none"/>
          <w:lang w:val="en-US" w:eastAsia="zh-CN"/>
        </w:rPr>
        <w:t xml:space="preserve"> </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color w:val="auto"/>
          <w:spacing w:val="0"/>
          <w:w w:val="100"/>
          <w:sz w:val="30"/>
          <w:szCs w:val="30"/>
          <w:highlight w:val="none"/>
          <w:lang w:val="en-US" w:eastAsia="zh-CN"/>
        </w:rPr>
        <w:t>2</w:t>
      </w:r>
      <w:r>
        <w:rPr>
          <w:rFonts w:hint="eastAsia" w:ascii="宋体" w:hAnsi="宋体" w:eastAsia="宋体" w:cs="宋体"/>
          <w:b/>
          <w:color w:val="auto"/>
          <w:spacing w:val="0"/>
          <w:w w:val="100"/>
          <w:sz w:val="30"/>
          <w:szCs w:val="30"/>
          <w:highlight w:val="none"/>
        </w:rPr>
        <w:fldChar w:fldCharType="end"/>
      </w:r>
      <w:r>
        <w:rPr>
          <w:rFonts w:hint="eastAsia" w:ascii="宋体" w:hAnsi="宋体" w:eastAsia="宋体" w:cs="宋体"/>
          <w:b/>
          <w:color w:val="auto"/>
          <w:spacing w:val="0"/>
          <w:w w:val="100"/>
          <w:sz w:val="30"/>
          <w:szCs w:val="30"/>
          <w:highlight w:val="none"/>
          <w:lang w:val="en-US" w:eastAsia="zh-CN"/>
        </w:rPr>
        <w:t>7</w:t>
      </w:r>
    </w:p>
    <w:p w14:paraId="5C35CC9A">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b/>
          <w:color w:val="auto"/>
          <w:spacing w:val="0"/>
          <w:w w:val="100"/>
          <w:sz w:val="30"/>
          <w:szCs w:val="30"/>
          <w:highlight w:val="none"/>
          <w:lang w:val="en-US" w:eastAsia="zh-CN"/>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"_Toc6007"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第五章  磋商相关文件格式</w:t>
      </w:r>
      <w:r>
        <w:rPr>
          <w:rFonts w:hint="eastAsia" w:ascii="宋体" w:hAnsi="宋体" w:eastAsia="宋体" w:cs="宋体"/>
          <w:b/>
          <w:bCs/>
          <w:color w:val="auto"/>
          <w:spacing w:val="0"/>
          <w:w w:val="100"/>
          <w:sz w:val="30"/>
          <w:szCs w:val="30"/>
          <w:highlight w:val="none"/>
          <w:lang w:val="en-US" w:eastAsia="zh-CN"/>
        </w:rPr>
        <w:t xml:space="preserve"> </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lang w:val="en-US" w:eastAsia="zh-CN"/>
        </w:rPr>
        <w:t>3</w:t>
      </w:r>
      <w:r>
        <w:rPr>
          <w:rFonts w:hint="eastAsia" w:ascii="宋体" w:hAnsi="宋体" w:eastAsia="宋体" w:cs="宋体"/>
          <w:b/>
          <w:bCs/>
          <w:color w:val="auto"/>
          <w:spacing w:val="0"/>
          <w:w w:val="100"/>
          <w:sz w:val="30"/>
          <w:szCs w:val="30"/>
          <w:highlight w:val="none"/>
        </w:rPr>
        <w:fldChar w:fldCharType="end"/>
      </w:r>
      <w:r>
        <w:rPr>
          <w:rFonts w:hint="eastAsia" w:ascii="宋体" w:hAnsi="宋体" w:eastAsia="宋体" w:cs="宋体"/>
          <w:b/>
          <w:bCs/>
          <w:color w:val="auto"/>
          <w:spacing w:val="0"/>
          <w:w w:val="100"/>
          <w:sz w:val="30"/>
          <w:szCs w:val="30"/>
          <w:highlight w:val="none"/>
          <w:lang w:val="en-US" w:eastAsia="zh-CN"/>
        </w:rPr>
        <w:t>2</w:t>
      </w:r>
    </w:p>
    <w:p w14:paraId="6A06285D">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b/>
          <w:color w:val="auto"/>
          <w:spacing w:val="0"/>
          <w:w w:val="100"/>
          <w:sz w:val="30"/>
          <w:szCs w:val="30"/>
          <w:highlight w:val="none"/>
          <w:lang w:val="en-US" w:eastAsia="zh-CN"/>
        </w:rPr>
      </w:pPr>
      <w:r>
        <w:rPr>
          <w:rFonts w:hint="eastAsia" w:ascii="宋体" w:hAnsi="宋体" w:eastAsia="宋体" w:cs="宋体"/>
          <w:color w:val="auto"/>
          <w:spacing w:val="0"/>
          <w:w w:val="100"/>
          <w:sz w:val="30"/>
          <w:szCs w:val="30"/>
          <w:highlight w:val="none"/>
        </w:rPr>
        <w:fldChar w:fldCharType="begin"/>
      </w:r>
      <w:r>
        <w:rPr>
          <w:rFonts w:hint="eastAsia" w:ascii="宋体" w:hAnsi="宋体" w:eastAsia="宋体" w:cs="宋体"/>
          <w:color w:val="auto"/>
          <w:spacing w:val="0"/>
          <w:w w:val="100"/>
          <w:sz w:val="30"/>
          <w:szCs w:val="30"/>
          <w:highlight w:val="none"/>
        </w:rPr>
        <w:instrText xml:space="preserve"> HYPERLINK \l "_Toc2466" </w:instrText>
      </w:r>
      <w:r>
        <w:rPr>
          <w:rFonts w:hint="eastAsia" w:ascii="宋体" w:hAnsi="宋体" w:eastAsia="宋体" w:cs="宋体"/>
          <w:color w:val="auto"/>
          <w:spacing w:val="0"/>
          <w:w w:val="100"/>
          <w:sz w:val="30"/>
          <w:szCs w:val="30"/>
          <w:highlight w:val="none"/>
        </w:rPr>
        <w:fldChar w:fldCharType="separate"/>
      </w:r>
      <w:r>
        <w:rPr>
          <w:rFonts w:hint="eastAsia" w:ascii="宋体" w:hAnsi="宋体" w:eastAsia="宋体" w:cs="宋体"/>
          <w:b/>
          <w:bCs/>
          <w:color w:val="auto"/>
          <w:spacing w:val="0"/>
          <w:w w:val="100"/>
          <w:sz w:val="30"/>
          <w:szCs w:val="30"/>
          <w:highlight w:val="none"/>
        </w:rPr>
        <w:t>第六章  磋商办法和细则</w:t>
      </w:r>
      <w:r>
        <w:rPr>
          <w:rFonts w:hint="eastAsia" w:ascii="宋体" w:hAnsi="宋体" w:eastAsia="宋体" w:cs="宋体"/>
          <w:b/>
          <w:bCs/>
          <w:color w:val="auto"/>
          <w:spacing w:val="0"/>
          <w:w w:val="100"/>
          <w:sz w:val="30"/>
          <w:szCs w:val="30"/>
          <w:highlight w:val="none"/>
          <w:lang w:val="en-US" w:eastAsia="zh-CN"/>
        </w:rPr>
        <w:t xml:space="preserve"> </w:t>
      </w:r>
      <w:r>
        <w:rPr>
          <w:rFonts w:hint="eastAsia" w:ascii="宋体" w:hAnsi="宋体" w:eastAsia="宋体" w:cs="宋体"/>
          <w:b/>
          <w:bCs/>
          <w:color w:val="auto"/>
          <w:spacing w:val="0"/>
          <w:w w:val="100"/>
          <w:sz w:val="30"/>
          <w:szCs w:val="30"/>
          <w:highlight w:val="none"/>
          <w:lang w:eastAsia="zh-CN"/>
        </w:rPr>
        <w:t>……………………………………………</w:t>
      </w:r>
      <w:r>
        <w:rPr>
          <w:rFonts w:hint="eastAsia" w:ascii="宋体" w:hAnsi="宋体" w:eastAsia="宋体" w:cs="宋体"/>
          <w:b/>
          <w:bCs/>
          <w:color w:val="auto"/>
          <w:spacing w:val="0"/>
          <w:w w:val="100"/>
          <w:sz w:val="30"/>
          <w:szCs w:val="30"/>
          <w:highlight w:val="none"/>
          <w:lang w:val="en-US" w:eastAsia="zh-CN"/>
        </w:rPr>
        <w:t>5</w:t>
      </w:r>
      <w:r>
        <w:rPr>
          <w:rFonts w:hint="eastAsia" w:ascii="宋体" w:hAnsi="宋体" w:eastAsia="宋体" w:cs="宋体"/>
          <w:b/>
          <w:bCs/>
          <w:color w:val="auto"/>
          <w:spacing w:val="0"/>
          <w:w w:val="100"/>
          <w:sz w:val="30"/>
          <w:szCs w:val="30"/>
          <w:highlight w:val="none"/>
        </w:rPr>
        <w:fldChar w:fldCharType="end"/>
      </w:r>
      <w:r>
        <w:rPr>
          <w:rFonts w:hint="eastAsia" w:ascii="宋体" w:hAnsi="宋体" w:eastAsia="宋体" w:cs="宋体"/>
          <w:b/>
          <w:bCs/>
          <w:color w:val="auto"/>
          <w:spacing w:val="0"/>
          <w:w w:val="100"/>
          <w:sz w:val="30"/>
          <w:szCs w:val="30"/>
          <w:highlight w:val="none"/>
          <w:lang w:val="en-US" w:eastAsia="zh-CN"/>
        </w:rPr>
        <w:t>7</w:t>
      </w:r>
    </w:p>
    <w:p w14:paraId="69F880E4">
      <w:pPr>
        <w:rPr>
          <w:rFonts w:hint="eastAsia" w:ascii="宋体" w:hAnsi="宋体" w:eastAsia="宋体" w:cs="宋体"/>
          <w:color w:val="auto"/>
          <w:highlight w:val="none"/>
          <w:lang w:val="en-US"/>
        </w:rPr>
      </w:pPr>
    </w:p>
    <w:p w14:paraId="472A7D86">
      <w:pPr>
        <w:pStyle w:val="26"/>
        <w:keepNext w:val="0"/>
        <w:keepLines w:val="0"/>
        <w:pageBreakBefore w:val="0"/>
        <w:widowControl w:val="0"/>
        <w:kinsoku/>
        <w:overflowPunct/>
        <w:topLinePunct w:val="0"/>
        <w:bidi w:val="0"/>
        <w:snapToGrid w:val="0"/>
        <w:spacing w:after="0"/>
        <w:ind w:left="0" w:firstLine="0" w:firstLineChars="0"/>
        <w:jc w:val="center"/>
        <w:rPr>
          <w:rFonts w:hint="eastAsia" w:ascii="宋体" w:hAnsi="宋体" w:eastAsia="宋体" w:cs="宋体"/>
          <w:color w:val="auto"/>
          <w:spacing w:val="0"/>
          <w:w w:val="100"/>
          <w:highlight w:val="none"/>
          <w:lang w:val="en-US"/>
        </w:rPr>
        <w:sectPr>
          <w:head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7233889E">
      <w:pPr>
        <w:pStyle w:val="3"/>
        <w:keepNext w:val="0"/>
        <w:keepLines w:val="0"/>
        <w:pageBreakBefore w:val="0"/>
        <w:widowControl w:val="0"/>
        <w:kinsoku/>
        <w:wordWrap/>
        <w:overflowPunct/>
        <w:topLinePunct w:val="0"/>
        <w:bidi w:val="0"/>
        <w:spacing w:after="0" w:line="500" w:lineRule="exact"/>
        <w:ind w:left="0"/>
        <w:jc w:val="center"/>
        <w:rPr>
          <w:rFonts w:hint="eastAsia" w:ascii="宋体" w:hAnsi="宋体" w:eastAsia="宋体" w:cs="宋体"/>
          <w:b/>
          <w:bCs/>
          <w:color w:val="auto"/>
          <w:spacing w:val="0"/>
          <w:w w:val="100"/>
          <w:sz w:val="36"/>
          <w:szCs w:val="36"/>
          <w:highlight w:val="none"/>
        </w:rPr>
      </w:pPr>
      <w:bookmarkStart w:id="10" w:name="_Toc21669"/>
      <w:bookmarkStart w:id="11" w:name="_Toc18430"/>
      <w:bookmarkStart w:id="12" w:name="_Toc145493459"/>
      <w:bookmarkStart w:id="13" w:name="_Toc391969406"/>
      <w:r>
        <w:rPr>
          <w:rFonts w:hint="eastAsia" w:ascii="宋体" w:hAnsi="宋体" w:eastAsia="宋体" w:cs="宋体"/>
          <w:b/>
          <w:bCs/>
          <w:color w:val="auto"/>
          <w:spacing w:val="0"/>
          <w:w w:val="100"/>
          <w:sz w:val="36"/>
          <w:szCs w:val="36"/>
          <w:highlight w:val="none"/>
        </w:rPr>
        <w:t xml:space="preserve">第一章  </w:t>
      </w:r>
      <w:bookmarkEnd w:id="10"/>
      <w:bookmarkEnd w:id="11"/>
      <w:bookmarkEnd w:id="12"/>
      <w:bookmarkEnd w:id="13"/>
      <w:bookmarkStart w:id="14" w:name="_Toc145493460"/>
      <w:bookmarkStart w:id="15" w:name="_Toc391969407"/>
      <w:bookmarkStart w:id="16" w:name="_Toc50448805"/>
      <w:bookmarkStart w:id="17" w:name="_Toc26903"/>
      <w:bookmarkStart w:id="18" w:name="_Toc51317766"/>
      <w:bookmarkStart w:id="19" w:name="_Toc391969408"/>
      <w:r>
        <w:rPr>
          <w:rFonts w:hint="eastAsia" w:ascii="宋体" w:hAnsi="宋体" w:eastAsia="宋体" w:cs="宋体"/>
          <w:b/>
          <w:bCs/>
          <w:color w:val="auto"/>
          <w:spacing w:val="0"/>
          <w:w w:val="100"/>
          <w:sz w:val="32"/>
          <w:szCs w:val="32"/>
          <w:highlight w:val="none"/>
        </w:rPr>
        <w:t xml:space="preserve"> </w:t>
      </w:r>
      <w:r>
        <w:rPr>
          <w:rFonts w:hint="eastAsia" w:ascii="宋体" w:hAnsi="宋体" w:eastAsia="宋体" w:cs="宋体"/>
          <w:b/>
          <w:bCs/>
          <w:color w:val="auto"/>
          <w:spacing w:val="0"/>
          <w:w w:val="100"/>
          <w:sz w:val="36"/>
          <w:szCs w:val="36"/>
          <w:highlight w:val="none"/>
        </w:rPr>
        <w:t>竞争性磋商</w:t>
      </w:r>
      <w:bookmarkEnd w:id="14"/>
      <w:bookmarkEnd w:id="15"/>
      <w:r>
        <w:rPr>
          <w:rFonts w:hint="eastAsia" w:ascii="宋体" w:hAnsi="宋体" w:eastAsia="宋体" w:cs="宋体"/>
          <w:b/>
          <w:bCs/>
          <w:color w:val="auto"/>
          <w:spacing w:val="0"/>
          <w:w w:val="100"/>
          <w:sz w:val="36"/>
          <w:szCs w:val="36"/>
          <w:highlight w:val="none"/>
        </w:rPr>
        <w:t>公告</w:t>
      </w:r>
      <w:bookmarkEnd w:id="16"/>
      <w:bookmarkEnd w:id="17"/>
      <w:bookmarkEnd w:id="18"/>
    </w:p>
    <w:p w14:paraId="29EC8655">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11B94089">
      <w:pPr>
        <w:keepNext w:val="0"/>
        <w:keepLines w:val="0"/>
        <w:pageBreakBefore w:val="0"/>
        <w:widowControl w:val="0"/>
        <w:pBdr>
          <w:top w:val="single" w:color="auto" w:sz="4" w:space="0"/>
          <w:left w:val="single" w:color="auto" w:sz="4" w:space="4"/>
          <w:bottom w:val="single" w:color="auto" w:sz="4" w:space="1"/>
          <w:right w:val="single" w:color="auto" w:sz="4" w:space="10"/>
        </w:pBdr>
        <w:kinsoku/>
        <w:overflowPunct/>
        <w:topLinePunct w:val="0"/>
        <w:bidi w:val="0"/>
        <w:spacing w:line="460" w:lineRule="exact"/>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项目概况：</w:t>
      </w:r>
    </w:p>
    <w:p w14:paraId="1883D3E7">
      <w:pPr>
        <w:keepNext w:val="0"/>
        <w:keepLines w:val="0"/>
        <w:pageBreakBefore w:val="0"/>
        <w:widowControl w:val="0"/>
        <w:pBdr>
          <w:top w:val="single" w:color="auto" w:sz="4" w:space="0"/>
          <w:left w:val="single" w:color="auto" w:sz="4" w:space="4"/>
          <w:bottom w:val="single" w:color="auto" w:sz="4" w:space="1"/>
          <w:right w:val="single" w:color="auto" w:sz="4" w:space="10"/>
        </w:pBdr>
        <w:kinsoku/>
        <w:overflowPunct/>
        <w:topLinePunct w:val="0"/>
        <w:bidi w:val="0"/>
        <w:spacing w:line="460" w:lineRule="exact"/>
        <w:ind w:firstLine="442" w:firstLineChars="200"/>
        <w:rPr>
          <w:rFonts w:hint="eastAsia" w:ascii="宋体" w:hAnsi="宋体" w:eastAsia="宋体" w:cs="宋体"/>
          <w:snapToGrid w:val="0"/>
          <w:color w:val="auto"/>
          <w:spacing w:val="0"/>
          <w:w w:val="100"/>
          <w:kern w:val="0"/>
          <w:sz w:val="22"/>
          <w:szCs w:val="22"/>
          <w:highlight w:val="none"/>
        </w:rPr>
      </w:pPr>
      <w:r>
        <w:rPr>
          <w:rFonts w:hint="eastAsia" w:ascii="宋体" w:hAnsi="宋体" w:eastAsia="宋体" w:cs="宋体"/>
          <w:b/>
          <w:bCs/>
          <w:snapToGrid w:val="0"/>
          <w:color w:val="auto"/>
          <w:spacing w:val="0"/>
          <w:w w:val="100"/>
          <w:kern w:val="0"/>
          <w:sz w:val="22"/>
          <w:szCs w:val="22"/>
          <w:highlight w:val="none"/>
          <w:u w:val="single"/>
          <w:lang w:eastAsia="zh-CN"/>
        </w:rPr>
        <w:t>2024-2025年度庆元县生态质量国家级样地生物多样性调查监测</w:t>
      </w:r>
      <w:r>
        <w:rPr>
          <w:rFonts w:hint="eastAsia" w:ascii="宋体" w:hAnsi="宋体" w:eastAsia="宋体" w:cs="宋体"/>
          <w:b/>
          <w:bCs/>
          <w:snapToGrid w:val="0"/>
          <w:color w:val="auto"/>
          <w:spacing w:val="0"/>
          <w:w w:val="100"/>
          <w:kern w:val="0"/>
          <w:sz w:val="22"/>
          <w:szCs w:val="22"/>
          <w:highlight w:val="none"/>
          <w:u w:val="single"/>
          <w:lang w:eastAsia="zh-CN"/>
        </w:rPr>
        <w:t>项目</w:t>
      </w:r>
      <w:r>
        <w:rPr>
          <w:rFonts w:hint="eastAsia" w:ascii="宋体" w:hAnsi="宋体" w:eastAsia="宋体" w:cs="宋体"/>
          <w:snapToGrid w:val="0"/>
          <w:color w:val="auto"/>
          <w:spacing w:val="0"/>
          <w:w w:val="100"/>
          <w:kern w:val="0"/>
          <w:sz w:val="22"/>
          <w:szCs w:val="22"/>
          <w:highlight w:val="none"/>
          <w:u w:val="none"/>
          <w:lang w:eastAsia="zh-CN"/>
        </w:rPr>
        <w:t>的</w:t>
      </w:r>
      <w:r>
        <w:rPr>
          <w:rFonts w:hint="eastAsia" w:ascii="宋体" w:hAnsi="宋体" w:eastAsia="宋体" w:cs="宋体"/>
          <w:snapToGrid w:val="0"/>
          <w:color w:val="auto"/>
          <w:spacing w:val="0"/>
          <w:w w:val="100"/>
          <w:kern w:val="0"/>
          <w:sz w:val="22"/>
          <w:szCs w:val="22"/>
          <w:highlight w:val="none"/>
        </w:rPr>
        <w:t>潜在</w:t>
      </w:r>
      <w:r>
        <w:rPr>
          <w:rFonts w:hint="eastAsia" w:ascii="宋体" w:hAnsi="宋体" w:eastAsia="宋体" w:cs="宋体"/>
          <w:snapToGrid w:val="0"/>
          <w:color w:val="auto"/>
          <w:spacing w:val="0"/>
          <w:w w:val="100"/>
          <w:kern w:val="0"/>
          <w:sz w:val="22"/>
          <w:szCs w:val="22"/>
          <w:highlight w:val="none"/>
          <w:lang w:eastAsia="zh-CN"/>
        </w:rPr>
        <w:t>供应商</w:t>
      </w:r>
      <w:r>
        <w:rPr>
          <w:rFonts w:hint="eastAsia" w:ascii="宋体" w:hAnsi="宋体" w:eastAsia="宋体" w:cs="宋体"/>
          <w:snapToGrid w:val="0"/>
          <w:color w:val="auto"/>
          <w:spacing w:val="0"/>
          <w:w w:val="100"/>
          <w:kern w:val="0"/>
          <w:sz w:val="22"/>
          <w:szCs w:val="22"/>
          <w:highlight w:val="none"/>
        </w:rPr>
        <w:t>应在政采云平台线上获</w:t>
      </w:r>
      <w:r>
        <w:rPr>
          <w:rFonts w:hint="eastAsia" w:ascii="宋体" w:hAnsi="宋体" w:eastAsia="宋体" w:cs="宋体"/>
          <w:snapToGrid w:val="0"/>
          <w:color w:val="auto"/>
          <w:spacing w:val="0"/>
          <w:w w:val="100"/>
          <w:kern w:val="0"/>
          <w:sz w:val="22"/>
          <w:szCs w:val="22"/>
          <w:highlight w:val="none"/>
          <w:lang w:eastAsia="zh-CN"/>
        </w:rPr>
        <w:t>取（</w:t>
      </w:r>
      <w:r>
        <w:rPr>
          <w:rFonts w:hint="eastAsia" w:ascii="宋体" w:hAnsi="宋体" w:eastAsia="宋体" w:cs="宋体"/>
          <w:snapToGrid w:val="0"/>
          <w:color w:val="auto"/>
          <w:spacing w:val="0"/>
          <w:w w:val="100"/>
          <w:kern w:val="0"/>
          <w:sz w:val="22"/>
          <w:szCs w:val="22"/>
          <w:highlight w:val="none"/>
        </w:rPr>
        <w:t>下载）采购文件，并于</w:t>
      </w:r>
      <w:r>
        <w:rPr>
          <w:rFonts w:hint="eastAsia" w:ascii="宋体" w:hAnsi="宋体" w:eastAsia="宋体" w:cs="宋体"/>
          <w:snapToGrid w:val="0"/>
          <w:color w:val="auto"/>
          <w:spacing w:val="0"/>
          <w:w w:val="100"/>
          <w:kern w:val="0"/>
          <w:sz w:val="22"/>
          <w:szCs w:val="22"/>
          <w:highlight w:val="none"/>
          <w:lang w:eastAsia="zh-CN"/>
        </w:rPr>
        <w:t>2024年</w:t>
      </w:r>
      <w:r>
        <w:rPr>
          <w:rFonts w:hint="eastAsia" w:ascii="宋体" w:hAnsi="宋体" w:eastAsia="宋体" w:cs="宋体"/>
          <w:snapToGrid w:val="0"/>
          <w:color w:val="auto"/>
          <w:spacing w:val="0"/>
          <w:w w:val="100"/>
          <w:kern w:val="0"/>
          <w:sz w:val="22"/>
          <w:szCs w:val="22"/>
          <w:highlight w:val="none"/>
          <w:lang w:val="en-US" w:eastAsia="zh-CN"/>
        </w:rPr>
        <w:t>9月23日</w:t>
      </w:r>
      <w:r>
        <w:rPr>
          <w:rFonts w:hint="eastAsia" w:ascii="宋体" w:hAnsi="宋体" w:eastAsia="宋体" w:cs="宋体"/>
          <w:b/>
          <w:bCs w:val="0"/>
          <w:snapToGrid w:val="0"/>
          <w:color w:val="auto"/>
          <w:spacing w:val="0"/>
          <w:w w:val="100"/>
          <w:sz w:val="22"/>
          <w:szCs w:val="22"/>
          <w:highlight w:val="none"/>
          <w:lang w:eastAsia="zh-CN"/>
        </w:rPr>
        <w:t>09:00</w:t>
      </w:r>
      <w:r>
        <w:rPr>
          <w:rFonts w:hint="eastAsia" w:ascii="宋体" w:hAnsi="宋体" w:eastAsia="宋体" w:cs="宋体"/>
          <w:snapToGrid w:val="0"/>
          <w:color w:val="auto"/>
          <w:spacing w:val="0"/>
          <w:w w:val="100"/>
          <w:kern w:val="0"/>
          <w:sz w:val="22"/>
          <w:szCs w:val="22"/>
          <w:highlight w:val="none"/>
        </w:rPr>
        <w:t>（北京时间）前提交</w:t>
      </w:r>
      <w:r>
        <w:rPr>
          <w:rFonts w:hint="eastAsia" w:ascii="宋体" w:hAnsi="宋体" w:eastAsia="宋体" w:cs="宋体"/>
          <w:bCs/>
          <w:color w:val="auto"/>
          <w:szCs w:val="21"/>
          <w:highlight w:val="none"/>
          <w:lang w:eastAsia="zh-CN"/>
        </w:rPr>
        <w:t>（上</w:t>
      </w:r>
      <w:r>
        <w:rPr>
          <w:rFonts w:hint="eastAsia" w:ascii="宋体" w:hAnsi="宋体" w:eastAsia="宋体" w:cs="宋体"/>
          <w:bCs/>
          <w:color w:val="auto"/>
          <w:szCs w:val="21"/>
          <w:highlight w:val="none"/>
        </w:rPr>
        <w:t>传</w:t>
      </w:r>
      <w:r>
        <w:rPr>
          <w:rFonts w:hint="eastAsia" w:ascii="宋体" w:hAnsi="宋体" w:eastAsia="宋体" w:cs="宋体"/>
          <w:bCs/>
          <w:color w:val="auto"/>
          <w:szCs w:val="21"/>
          <w:highlight w:val="none"/>
          <w:lang w:eastAsia="zh-CN"/>
        </w:rPr>
        <w:t>）响应</w:t>
      </w:r>
      <w:r>
        <w:rPr>
          <w:rFonts w:hint="eastAsia" w:ascii="宋体" w:hAnsi="宋体" w:eastAsia="宋体" w:cs="宋体"/>
          <w:snapToGrid w:val="0"/>
          <w:color w:val="auto"/>
          <w:spacing w:val="0"/>
          <w:w w:val="100"/>
          <w:kern w:val="0"/>
          <w:sz w:val="22"/>
          <w:szCs w:val="22"/>
          <w:highlight w:val="none"/>
        </w:rPr>
        <w:t>文件。</w:t>
      </w:r>
    </w:p>
    <w:p w14:paraId="2E7E956D">
      <w:pPr>
        <w:pStyle w:val="3"/>
        <w:keepNext w:val="0"/>
        <w:keepLines w:val="0"/>
        <w:pageBreakBefore w:val="0"/>
        <w:widowControl w:val="0"/>
        <w:kinsoku/>
        <w:overflowPunct/>
        <w:topLinePunct w:val="0"/>
        <w:bidi w:val="0"/>
        <w:snapToGrid w:val="0"/>
        <w:spacing w:after="0" w:line="480" w:lineRule="exact"/>
        <w:ind w:left="0"/>
        <w:jc w:val="left"/>
        <w:textAlignment w:val="auto"/>
        <w:rPr>
          <w:rFonts w:hint="eastAsia" w:ascii="宋体" w:hAnsi="宋体" w:eastAsia="宋体" w:cs="宋体"/>
          <w:b/>
          <w:bCs/>
          <w:color w:val="auto"/>
          <w:spacing w:val="0"/>
          <w:w w:val="100"/>
          <w:sz w:val="22"/>
          <w:szCs w:val="22"/>
          <w:highlight w:val="none"/>
        </w:rPr>
      </w:pPr>
      <w:bookmarkStart w:id="20" w:name="_Toc35393629"/>
      <w:bookmarkStart w:id="21" w:name="_Toc45525492"/>
      <w:bookmarkStart w:id="22" w:name="_Toc28359089"/>
      <w:bookmarkStart w:id="23" w:name="_Toc28359012"/>
      <w:bookmarkStart w:id="24" w:name="_Toc17952"/>
      <w:bookmarkStart w:id="25" w:name="_Toc51317767"/>
      <w:bookmarkStart w:id="26" w:name="_Toc45640129"/>
      <w:bookmarkStart w:id="27" w:name="_Toc45525443"/>
      <w:bookmarkStart w:id="28" w:name="_Toc35393798"/>
      <w:bookmarkStart w:id="29" w:name="_Toc16823"/>
      <w:r>
        <w:rPr>
          <w:rFonts w:hint="eastAsia" w:ascii="宋体" w:hAnsi="宋体" w:eastAsia="宋体" w:cs="宋体"/>
          <w:b/>
          <w:bCs/>
          <w:color w:val="auto"/>
          <w:spacing w:val="0"/>
          <w:w w:val="100"/>
          <w:sz w:val="22"/>
          <w:szCs w:val="22"/>
          <w:highlight w:val="none"/>
        </w:rPr>
        <w:t>一、项目基本情况</w:t>
      </w:r>
      <w:bookmarkEnd w:id="20"/>
      <w:bookmarkEnd w:id="21"/>
      <w:bookmarkEnd w:id="22"/>
      <w:bookmarkEnd w:id="23"/>
      <w:bookmarkEnd w:id="24"/>
      <w:bookmarkEnd w:id="25"/>
      <w:bookmarkEnd w:id="26"/>
      <w:bookmarkEnd w:id="27"/>
      <w:bookmarkEnd w:id="28"/>
      <w:bookmarkEnd w:id="29"/>
    </w:p>
    <w:p w14:paraId="1FBDDD43">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项目编号：</w:t>
      </w:r>
      <w:r>
        <w:rPr>
          <w:rFonts w:hint="eastAsia" w:ascii="宋体" w:hAnsi="宋体" w:eastAsia="宋体" w:cs="宋体"/>
          <w:color w:val="auto"/>
          <w:spacing w:val="0"/>
          <w:w w:val="100"/>
          <w:sz w:val="22"/>
          <w:szCs w:val="22"/>
          <w:highlight w:val="none"/>
          <w:lang w:eastAsia="zh-CN"/>
        </w:rPr>
        <w:t>浙诚远庆2024076号</w:t>
      </w:r>
    </w:p>
    <w:p w14:paraId="0CBEAE1C">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项目名称：</w:t>
      </w:r>
      <w:r>
        <w:rPr>
          <w:rFonts w:hint="eastAsia" w:ascii="宋体" w:hAnsi="宋体" w:eastAsia="宋体" w:cs="宋体"/>
          <w:color w:val="auto"/>
          <w:spacing w:val="0"/>
          <w:w w:val="100"/>
          <w:sz w:val="22"/>
          <w:szCs w:val="22"/>
          <w:highlight w:val="none"/>
          <w:lang w:eastAsia="zh-CN"/>
        </w:rPr>
        <w:t>2024-2025年度庆元县生态质量国家级样地生物多样性调查监测项目</w:t>
      </w:r>
    </w:p>
    <w:p w14:paraId="4306171E">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采购方式：竞争性磋商</w:t>
      </w:r>
    </w:p>
    <w:p w14:paraId="62B3BFC5">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val="en-US"/>
        </w:rPr>
      </w:pPr>
      <w:r>
        <w:rPr>
          <w:rFonts w:hint="eastAsia" w:ascii="宋体" w:hAnsi="宋体" w:eastAsia="宋体" w:cs="宋体"/>
          <w:color w:val="auto"/>
          <w:spacing w:val="0"/>
          <w:w w:val="100"/>
          <w:sz w:val="22"/>
          <w:szCs w:val="22"/>
          <w:highlight w:val="none"/>
        </w:rPr>
        <w:t>预算金额</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lang w:val="en-US" w:eastAsia="zh-CN"/>
        </w:rPr>
        <w:t>元）</w:t>
      </w:r>
      <w:r>
        <w:rPr>
          <w:rFonts w:hint="eastAsia" w:ascii="宋体" w:hAnsi="宋体" w:eastAsia="宋体" w:cs="宋体"/>
          <w:color w:val="auto"/>
          <w:spacing w:val="0"/>
          <w:w w:val="100"/>
          <w:sz w:val="22"/>
          <w:szCs w:val="22"/>
          <w:highlight w:val="none"/>
        </w:rPr>
        <w:t>：</w:t>
      </w:r>
      <w:r>
        <w:rPr>
          <w:rFonts w:hint="eastAsia" w:ascii="宋体" w:hAnsi="宋体" w:eastAsia="宋体" w:cs="宋体"/>
          <w:color w:val="auto"/>
          <w:spacing w:val="0"/>
          <w:w w:val="100"/>
          <w:sz w:val="22"/>
          <w:szCs w:val="22"/>
          <w:highlight w:val="none"/>
          <w:lang w:val="en-US" w:eastAsia="zh-CN"/>
        </w:rPr>
        <w:t>450000</w:t>
      </w:r>
    </w:p>
    <w:p w14:paraId="64E87ADD">
      <w:pPr>
        <w:keepNext w:val="0"/>
        <w:keepLines w:val="0"/>
        <w:pageBreakBefore w:val="0"/>
        <w:widowControl w:val="0"/>
        <w:kinsoku/>
        <w:overflowPunct/>
        <w:topLinePunct w:val="0"/>
        <w:bidi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最高限价</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lang w:val="en-US" w:eastAsia="zh-CN"/>
        </w:rPr>
        <w:t>元）</w:t>
      </w:r>
      <w:r>
        <w:rPr>
          <w:rFonts w:hint="eastAsia" w:ascii="宋体" w:hAnsi="宋体" w:eastAsia="宋体" w:cs="宋体"/>
          <w:color w:val="auto"/>
          <w:spacing w:val="0"/>
          <w:w w:val="100"/>
          <w:sz w:val="22"/>
          <w:szCs w:val="22"/>
          <w:highlight w:val="none"/>
        </w:rPr>
        <w:t>：</w:t>
      </w:r>
      <w:r>
        <w:rPr>
          <w:rFonts w:hint="eastAsia" w:ascii="宋体" w:hAnsi="宋体" w:eastAsia="宋体" w:cs="宋体"/>
          <w:color w:val="auto"/>
          <w:spacing w:val="0"/>
          <w:w w:val="100"/>
          <w:sz w:val="22"/>
          <w:szCs w:val="22"/>
          <w:highlight w:val="none"/>
          <w:lang w:val="en-US" w:eastAsia="zh-CN"/>
        </w:rPr>
        <w:t>450000</w:t>
      </w:r>
    </w:p>
    <w:p w14:paraId="14D72F0B">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采购需求：详见磋商文件第三章采购需求</w:t>
      </w:r>
    </w:p>
    <w:p w14:paraId="7CD0AA89">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eastAsia="zh-CN"/>
        </w:rPr>
      </w:pPr>
    </w:p>
    <w:p w14:paraId="6BE3C121">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数量：1</w:t>
      </w:r>
    </w:p>
    <w:p w14:paraId="0648F373">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预算金额（元）：</w:t>
      </w:r>
      <w:r>
        <w:rPr>
          <w:rFonts w:hint="eastAsia" w:ascii="宋体" w:hAnsi="宋体" w:eastAsia="宋体" w:cs="宋体"/>
          <w:color w:val="auto"/>
          <w:spacing w:val="0"/>
          <w:w w:val="100"/>
          <w:sz w:val="22"/>
          <w:szCs w:val="22"/>
          <w:highlight w:val="none"/>
          <w:lang w:val="en-US" w:eastAsia="zh-CN"/>
        </w:rPr>
        <w:t>450000</w:t>
      </w:r>
    </w:p>
    <w:p w14:paraId="65B8104E">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单位：项</w:t>
      </w:r>
    </w:p>
    <w:p w14:paraId="70F6EF99">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简要规格描述：详见磋商文件</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第三章</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采购需求</w:t>
      </w:r>
    </w:p>
    <w:p w14:paraId="18D61990">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备注：</w:t>
      </w:r>
    </w:p>
    <w:p w14:paraId="00100A72">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p>
    <w:p w14:paraId="3A18DC17">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合同履约期限：详见磋商文件</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第三章</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采购需求</w:t>
      </w:r>
    </w:p>
    <w:p w14:paraId="14CEA984">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本项目不接受联合体投标。</w:t>
      </w:r>
    </w:p>
    <w:p w14:paraId="581B291B">
      <w:pPr>
        <w:keepNext w:val="0"/>
        <w:keepLines w:val="0"/>
        <w:pageBreakBefore w:val="0"/>
        <w:widowControl w:val="0"/>
        <w:kinsoku/>
        <w:overflowPunct/>
        <w:topLinePunct w:val="0"/>
        <w:bidi w:val="0"/>
        <w:snapToGrid w:val="0"/>
        <w:spacing w:line="480" w:lineRule="exact"/>
        <w:ind w:left="0"/>
        <w:jc w:val="left"/>
        <w:textAlignment w:val="auto"/>
        <w:rPr>
          <w:rFonts w:hint="eastAsia" w:ascii="宋体" w:hAnsi="宋体" w:eastAsia="宋体" w:cs="宋体"/>
          <w:b/>
          <w:color w:val="auto"/>
          <w:spacing w:val="0"/>
          <w:w w:val="100"/>
          <w:sz w:val="22"/>
          <w:szCs w:val="22"/>
          <w:highlight w:val="none"/>
        </w:rPr>
      </w:pPr>
      <w:bookmarkStart w:id="30" w:name="_Toc28359080"/>
      <w:bookmarkStart w:id="31" w:name="_Toc35393791"/>
      <w:bookmarkStart w:id="32" w:name="_Toc35393622"/>
      <w:bookmarkStart w:id="33" w:name="_Toc28359003"/>
      <w:bookmarkStart w:id="34" w:name="_Toc28359091"/>
      <w:bookmarkStart w:id="35" w:name="_Toc28359014"/>
      <w:r>
        <w:rPr>
          <w:rFonts w:hint="eastAsia" w:ascii="宋体" w:hAnsi="宋体" w:eastAsia="宋体" w:cs="宋体"/>
          <w:b/>
          <w:color w:val="auto"/>
          <w:spacing w:val="0"/>
          <w:w w:val="100"/>
          <w:sz w:val="22"/>
          <w:szCs w:val="22"/>
          <w:highlight w:val="none"/>
        </w:rPr>
        <w:t>二、申请人的资格要求</w:t>
      </w:r>
      <w:bookmarkEnd w:id="30"/>
      <w:bookmarkEnd w:id="31"/>
      <w:bookmarkEnd w:id="32"/>
      <w:bookmarkEnd w:id="33"/>
    </w:p>
    <w:p w14:paraId="1986981C">
      <w:pPr>
        <w:keepNext w:val="0"/>
        <w:keepLines w:val="0"/>
        <w:pageBreakBefore w:val="0"/>
        <w:widowControl w:val="0"/>
        <w:kinsoku/>
        <w:wordWrap/>
        <w:overflowPunct/>
        <w:topLinePunct w:val="0"/>
        <w:autoSpaceDE/>
        <w:autoSpaceDN/>
        <w:bidi w:val="0"/>
        <w:adjustRightInd/>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bookmarkStart w:id="36" w:name="_Toc28359004"/>
      <w:bookmarkStart w:id="37" w:name="_Toc35393623"/>
      <w:bookmarkStart w:id="38" w:name="_Toc28359081"/>
      <w:bookmarkStart w:id="39" w:name="_Toc35393792"/>
      <w:r>
        <w:rPr>
          <w:rFonts w:hint="eastAsia" w:ascii="宋体" w:hAnsi="宋体" w:eastAsia="宋体" w:cs="宋体"/>
          <w:color w:val="auto"/>
          <w:spacing w:val="0"/>
          <w:w w:val="100"/>
          <w:sz w:val="22"/>
          <w:szCs w:val="22"/>
          <w:highlight w:val="none"/>
        </w:rPr>
        <w:t>1.满足《中华人民共和国政府采购法》第二十二条规定；未被“信用中国”网站（www.creditchina.gov.cn）、中国政府采购网（www.ccgp.gov.cn）列入失信被执行人、重大税收违法当事人名单、政府采购严重违法失信行为记录名单；</w:t>
      </w:r>
    </w:p>
    <w:p w14:paraId="7D0B8113">
      <w:pPr>
        <w:keepNext w:val="0"/>
        <w:keepLines w:val="0"/>
        <w:pageBreakBefore w:val="0"/>
        <w:widowControl w:val="0"/>
        <w:kinsoku/>
        <w:wordWrap/>
        <w:overflowPunct/>
        <w:topLinePunct w:val="0"/>
        <w:autoSpaceDE/>
        <w:autoSpaceDN/>
        <w:bidi w:val="0"/>
        <w:adjustRightInd/>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2.落实政府采购政策需满足的资格要求：本项目专门面向中小企业</w:t>
      </w:r>
      <w:r>
        <w:rPr>
          <w:rFonts w:hint="eastAsia" w:ascii="宋体" w:hAnsi="宋体" w:eastAsia="宋体" w:cs="宋体"/>
          <w:color w:val="auto"/>
          <w:spacing w:val="0"/>
          <w:w w:val="100"/>
          <w:sz w:val="22"/>
          <w:szCs w:val="22"/>
          <w:highlight w:val="none"/>
          <w:lang w:eastAsia="zh-CN"/>
        </w:rPr>
        <w:t>，供</w:t>
      </w:r>
      <w:r>
        <w:rPr>
          <w:rFonts w:hint="eastAsia" w:ascii="宋体" w:hAnsi="宋体" w:eastAsia="宋体" w:cs="宋体"/>
          <w:color w:val="auto"/>
          <w:spacing w:val="0"/>
          <w:w w:val="100"/>
          <w:sz w:val="22"/>
          <w:szCs w:val="22"/>
          <w:highlight w:val="none"/>
        </w:rPr>
        <w:t>应商应为中小微企业</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监狱企业</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残疾人福利性单位；</w:t>
      </w:r>
    </w:p>
    <w:p w14:paraId="406CDA2C">
      <w:pPr>
        <w:keepNext w:val="0"/>
        <w:keepLines w:val="0"/>
        <w:pageBreakBefore w:val="0"/>
        <w:widowControl w:val="0"/>
        <w:kinsoku/>
        <w:wordWrap/>
        <w:overflowPunct/>
        <w:topLinePunct w:val="0"/>
        <w:autoSpaceDE/>
        <w:autoSpaceDN/>
        <w:bidi w:val="0"/>
        <w:adjustRightInd/>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3.本项目的特定资格要求：</w:t>
      </w:r>
      <w:r>
        <w:rPr>
          <w:rFonts w:hint="eastAsia" w:ascii="宋体" w:hAnsi="宋体" w:eastAsia="宋体" w:cs="宋体"/>
          <w:color w:val="auto"/>
          <w:spacing w:val="0"/>
          <w:w w:val="100"/>
          <w:sz w:val="22"/>
          <w:szCs w:val="22"/>
          <w:highlight w:val="none"/>
          <w:lang w:eastAsia="zh-CN"/>
        </w:rPr>
        <w:t>无</w:t>
      </w:r>
    </w:p>
    <w:p w14:paraId="76B0DBC4">
      <w:pPr>
        <w:keepNext w:val="0"/>
        <w:keepLines w:val="0"/>
        <w:pageBreakBefore w:val="0"/>
        <w:widowControl w:val="0"/>
        <w:kinsoku/>
        <w:overflowPunct/>
        <w:topLinePunct w:val="0"/>
        <w:bidi w:val="0"/>
        <w:snapToGrid w:val="0"/>
        <w:spacing w:line="480" w:lineRule="exact"/>
        <w:ind w:left="0"/>
        <w:jc w:val="left"/>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三、获取（下载）采购文件</w:t>
      </w:r>
    </w:p>
    <w:p w14:paraId="4EF40B8C">
      <w:pPr>
        <w:pStyle w:val="26"/>
        <w:keepNext w:val="0"/>
        <w:keepLines w:val="0"/>
        <w:pageBreakBefore w:val="0"/>
        <w:widowControl w:val="0"/>
        <w:kinsoku/>
        <w:overflowPunct/>
        <w:topLinePunct w:val="0"/>
        <w:bidi w:val="0"/>
        <w:snapToGrid w:val="0"/>
        <w:spacing w:after="0" w:line="480" w:lineRule="exact"/>
        <w:ind w:left="0" w:firstLine="440" w:firstLineChars="200"/>
        <w:textAlignment w:val="auto"/>
        <w:rPr>
          <w:rFonts w:hint="eastAsia" w:ascii="宋体" w:hAnsi="宋体" w:eastAsia="宋体" w:cs="宋体"/>
          <w:color w:val="auto"/>
          <w:spacing w:val="0"/>
          <w:w w:val="100"/>
          <w:kern w:val="2"/>
          <w:sz w:val="22"/>
          <w:szCs w:val="22"/>
          <w:highlight w:val="none"/>
          <w:lang w:val="en-US"/>
        </w:rPr>
      </w:pPr>
      <w:r>
        <w:rPr>
          <w:rFonts w:hint="eastAsia" w:ascii="宋体" w:hAnsi="宋体" w:eastAsia="宋体" w:cs="宋体"/>
          <w:color w:val="auto"/>
          <w:spacing w:val="0"/>
          <w:w w:val="100"/>
          <w:kern w:val="2"/>
          <w:sz w:val="22"/>
          <w:szCs w:val="22"/>
          <w:highlight w:val="none"/>
          <w:lang w:val="en-US"/>
        </w:rPr>
        <w:t>时间：发布公告之日至</w:t>
      </w:r>
      <w:r>
        <w:rPr>
          <w:rFonts w:hint="eastAsia" w:ascii="宋体" w:hAnsi="宋体" w:eastAsia="宋体" w:cs="宋体"/>
          <w:b/>
          <w:bCs w:val="0"/>
          <w:snapToGrid w:val="0"/>
          <w:color w:val="auto"/>
          <w:spacing w:val="0"/>
          <w:w w:val="100"/>
          <w:kern w:val="2"/>
          <w:sz w:val="22"/>
          <w:szCs w:val="22"/>
          <w:highlight w:val="none"/>
          <w:lang w:val="en-US" w:eastAsia="zh-CN" w:bidi="ar-SA"/>
        </w:rPr>
        <w:t>2024年9月</w:t>
      </w:r>
      <w:r>
        <w:rPr>
          <w:rFonts w:hint="eastAsia" w:ascii="宋体" w:cs="宋体"/>
          <w:b/>
          <w:bCs w:val="0"/>
          <w:snapToGrid w:val="0"/>
          <w:color w:val="auto"/>
          <w:spacing w:val="0"/>
          <w:w w:val="100"/>
          <w:kern w:val="2"/>
          <w:sz w:val="22"/>
          <w:szCs w:val="22"/>
          <w:highlight w:val="none"/>
          <w:lang w:val="en-US" w:eastAsia="zh-CN" w:bidi="ar-SA"/>
        </w:rPr>
        <w:t>23</w:t>
      </w:r>
      <w:r>
        <w:rPr>
          <w:rFonts w:hint="eastAsia" w:ascii="宋体" w:hAnsi="宋体" w:eastAsia="宋体" w:cs="宋体"/>
          <w:b/>
          <w:bCs w:val="0"/>
          <w:snapToGrid w:val="0"/>
          <w:color w:val="auto"/>
          <w:spacing w:val="0"/>
          <w:w w:val="100"/>
          <w:kern w:val="2"/>
          <w:sz w:val="22"/>
          <w:szCs w:val="22"/>
          <w:highlight w:val="none"/>
          <w:lang w:val="en-US" w:eastAsia="zh-CN" w:bidi="ar-SA"/>
        </w:rPr>
        <w:t>日上午09:00，</w:t>
      </w:r>
      <w:r>
        <w:rPr>
          <w:rFonts w:hint="eastAsia" w:ascii="宋体" w:hAnsi="宋体" w:eastAsia="宋体" w:cs="宋体"/>
          <w:color w:val="auto"/>
          <w:spacing w:val="0"/>
          <w:w w:val="100"/>
          <w:kern w:val="2"/>
          <w:sz w:val="22"/>
          <w:szCs w:val="22"/>
          <w:highlight w:val="none"/>
          <w:lang w:val="en-US"/>
        </w:rPr>
        <w:t>每天上午00:00至12:00，下午12:00至23:59（北京时间，线上获取法定节假日均可，线下获取文件法定节假日除外）</w:t>
      </w:r>
    </w:p>
    <w:p w14:paraId="4778EB68">
      <w:pPr>
        <w:pStyle w:val="26"/>
        <w:keepNext w:val="0"/>
        <w:keepLines w:val="0"/>
        <w:pageBreakBefore w:val="0"/>
        <w:widowControl w:val="0"/>
        <w:kinsoku/>
        <w:overflowPunct/>
        <w:topLinePunct w:val="0"/>
        <w:bidi w:val="0"/>
        <w:snapToGrid w:val="0"/>
        <w:spacing w:after="0" w:line="480" w:lineRule="exact"/>
        <w:ind w:left="0" w:firstLine="440" w:firstLineChars="200"/>
        <w:textAlignment w:val="auto"/>
        <w:rPr>
          <w:rFonts w:hint="eastAsia" w:ascii="宋体" w:hAnsi="宋体" w:eastAsia="宋体" w:cs="宋体"/>
          <w:color w:val="auto"/>
          <w:spacing w:val="0"/>
          <w:w w:val="100"/>
          <w:sz w:val="22"/>
          <w:szCs w:val="22"/>
          <w:highlight w:val="none"/>
          <w:lang w:val="en-US"/>
        </w:rPr>
      </w:pPr>
      <w:r>
        <w:rPr>
          <w:rFonts w:hint="eastAsia" w:ascii="宋体" w:hAnsi="宋体" w:eastAsia="宋体" w:cs="宋体"/>
          <w:color w:val="auto"/>
          <w:spacing w:val="0"/>
          <w:w w:val="100"/>
          <w:sz w:val="22"/>
          <w:szCs w:val="22"/>
          <w:highlight w:val="none"/>
        </w:rPr>
        <w:t>地点</w:t>
      </w:r>
      <w:r>
        <w:rPr>
          <w:rFonts w:hint="eastAsia" w:ascii="宋体" w:hAnsi="宋体" w:eastAsia="宋体" w:cs="宋体"/>
          <w:color w:val="auto"/>
          <w:spacing w:val="0"/>
          <w:w w:val="100"/>
          <w:sz w:val="22"/>
          <w:szCs w:val="22"/>
          <w:highlight w:val="none"/>
          <w:lang w:val="en-US"/>
        </w:rPr>
        <w:t>（</w:t>
      </w:r>
      <w:r>
        <w:rPr>
          <w:rFonts w:hint="eastAsia" w:ascii="宋体" w:hAnsi="宋体" w:eastAsia="宋体" w:cs="宋体"/>
          <w:color w:val="auto"/>
          <w:spacing w:val="0"/>
          <w:w w:val="100"/>
          <w:sz w:val="22"/>
          <w:szCs w:val="22"/>
          <w:highlight w:val="none"/>
        </w:rPr>
        <w:t>网址</w:t>
      </w:r>
      <w:r>
        <w:rPr>
          <w:rFonts w:hint="eastAsia" w:ascii="宋体" w:hAnsi="宋体" w:eastAsia="宋体" w:cs="宋体"/>
          <w:color w:val="auto"/>
          <w:spacing w:val="0"/>
          <w:w w:val="100"/>
          <w:sz w:val="22"/>
          <w:szCs w:val="22"/>
          <w:highlight w:val="none"/>
          <w:lang w:val="en-US"/>
        </w:rPr>
        <w:t>）：政采云平台线上获取</w:t>
      </w:r>
    </w:p>
    <w:p w14:paraId="040F8147">
      <w:pPr>
        <w:pStyle w:val="26"/>
        <w:keepNext w:val="0"/>
        <w:keepLines w:val="0"/>
        <w:pageBreakBefore w:val="0"/>
        <w:widowControl w:val="0"/>
        <w:kinsoku/>
        <w:overflowPunct/>
        <w:topLinePunct w:val="0"/>
        <w:bidi w:val="0"/>
        <w:snapToGrid w:val="0"/>
        <w:spacing w:after="0"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方式：供应商登录政采云平台https://www.zcygov.cn/在线申请获取采购文件（进入“项目采购”应用，在获取采购文件菜单中选择项目，申请获取采购文件）</w:t>
      </w:r>
    </w:p>
    <w:p w14:paraId="4EF561A5">
      <w:pPr>
        <w:pStyle w:val="26"/>
        <w:keepNext w:val="0"/>
        <w:keepLines w:val="0"/>
        <w:pageBreakBefore w:val="0"/>
        <w:widowControl w:val="0"/>
        <w:kinsoku/>
        <w:overflowPunct/>
        <w:topLinePunct w:val="0"/>
        <w:bidi w:val="0"/>
        <w:snapToGrid w:val="0"/>
        <w:spacing w:after="0"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售价（元）：0</w:t>
      </w:r>
    </w:p>
    <w:p w14:paraId="417B626A">
      <w:pPr>
        <w:keepNext w:val="0"/>
        <w:keepLines w:val="0"/>
        <w:pageBreakBefore w:val="0"/>
        <w:widowControl w:val="0"/>
        <w:kinsoku/>
        <w:overflowPunct/>
        <w:topLinePunct w:val="0"/>
        <w:bidi w:val="0"/>
        <w:snapToGrid w:val="0"/>
        <w:spacing w:line="480" w:lineRule="exact"/>
        <w:ind w:left="0"/>
        <w:textAlignment w:val="auto"/>
        <w:rPr>
          <w:rFonts w:hint="eastAsia" w:ascii="宋体" w:hAnsi="宋体" w:eastAsia="宋体" w:cs="宋体"/>
          <w:b/>
          <w:color w:val="auto"/>
          <w:spacing w:val="0"/>
          <w:w w:val="100"/>
          <w:sz w:val="22"/>
          <w:szCs w:val="22"/>
          <w:highlight w:val="none"/>
        </w:rPr>
      </w:pPr>
      <w:bookmarkStart w:id="40" w:name="_Toc35393625"/>
      <w:bookmarkStart w:id="41" w:name="_Toc35393794"/>
      <w:bookmarkStart w:id="42" w:name="_Toc28359084"/>
      <w:bookmarkStart w:id="43" w:name="_Toc28359007"/>
      <w:r>
        <w:rPr>
          <w:rFonts w:hint="eastAsia" w:ascii="宋体" w:hAnsi="宋体" w:eastAsia="宋体" w:cs="宋体"/>
          <w:b/>
          <w:color w:val="auto"/>
          <w:spacing w:val="0"/>
          <w:w w:val="100"/>
          <w:sz w:val="22"/>
          <w:szCs w:val="22"/>
          <w:highlight w:val="none"/>
        </w:rPr>
        <w:t>四、响应文件提交（上传）</w:t>
      </w:r>
    </w:p>
    <w:p w14:paraId="70000273">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bCs/>
          <w:color w:val="auto"/>
          <w:spacing w:val="0"/>
          <w:w w:val="100"/>
          <w:sz w:val="22"/>
          <w:szCs w:val="22"/>
          <w:highlight w:val="none"/>
          <w:u w:val="single"/>
        </w:rPr>
      </w:pPr>
      <w:r>
        <w:rPr>
          <w:rFonts w:hint="eastAsia" w:ascii="宋体" w:hAnsi="宋体" w:eastAsia="宋体" w:cs="宋体"/>
          <w:bCs/>
          <w:color w:val="auto"/>
          <w:spacing w:val="0"/>
          <w:w w:val="100"/>
          <w:sz w:val="22"/>
          <w:szCs w:val="22"/>
          <w:highlight w:val="none"/>
          <w:lang w:val="en-US" w:eastAsia="zh-CN"/>
        </w:rPr>
        <w:t>1.</w:t>
      </w:r>
      <w:r>
        <w:rPr>
          <w:rFonts w:hint="eastAsia" w:ascii="宋体" w:hAnsi="宋体" w:eastAsia="宋体" w:cs="宋体"/>
          <w:bCs/>
          <w:color w:val="auto"/>
          <w:spacing w:val="0"/>
          <w:w w:val="100"/>
          <w:sz w:val="22"/>
          <w:szCs w:val="22"/>
          <w:highlight w:val="none"/>
        </w:rPr>
        <w:t>截止时间：</w:t>
      </w:r>
      <w:r>
        <w:rPr>
          <w:rFonts w:hint="eastAsia" w:ascii="宋体" w:hAnsi="宋体" w:eastAsia="宋体" w:cs="宋体"/>
          <w:bCs/>
          <w:snapToGrid w:val="0"/>
          <w:color w:val="auto"/>
          <w:spacing w:val="0"/>
          <w:w w:val="100"/>
          <w:sz w:val="22"/>
          <w:szCs w:val="22"/>
          <w:highlight w:val="none"/>
          <w:lang w:eastAsia="zh-CN"/>
        </w:rPr>
        <w:t>2024年9月</w:t>
      </w:r>
      <w:r>
        <w:rPr>
          <w:rFonts w:hint="eastAsia" w:ascii="宋体" w:hAnsi="宋体" w:eastAsia="宋体" w:cs="宋体"/>
          <w:bCs/>
          <w:snapToGrid w:val="0"/>
          <w:color w:val="auto"/>
          <w:spacing w:val="0"/>
          <w:w w:val="100"/>
          <w:sz w:val="22"/>
          <w:szCs w:val="22"/>
          <w:highlight w:val="none"/>
          <w:lang w:val="en-US" w:eastAsia="zh-CN"/>
        </w:rPr>
        <w:t>23</w:t>
      </w:r>
      <w:r>
        <w:rPr>
          <w:rFonts w:hint="eastAsia" w:ascii="宋体" w:hAnsi="宋体" w:eastAsia="宋体" w:cs="宋体"/>
          <w:bCs/>
          <w:snapToGrid w:val="0"/>
          <w:color w:val="auto"/>
          <w:spacing w:val="0"/>
          <w:w w:val="100"/>
          <w:sz w:val="22"/>
          <w:szCs w:val="22"/>
          <w:highlight w:val="none"/>
          <w:lang w:eastAsia="zh-CN"/>
        </w:rPr>
        <w:t>日</w:t>
      </w:r>
      <w:r>
        <w:rPr>
          <w:rFonts w:hint="eastAsia" w:ascii="宋体" w:hAnsi="宋体" w:eastAsia="宋体" w:cs="宋体"/>
          <w:b/>
          <w:bCs w:val="0"/>
          <w:snapToGrid w:val="0"/>
          <w:color w:val="auto"/>
          <w:spacing w:val="0"/>
          <w:w w:val="100"/>
          <w:sz w:val="22"/>
          <w:szCs w:val="22"/>
          <w:highlight w:val="none"/>
        </w:rPr>
        <w:t>09</w:t>
      </w:r>
      <w:r>
        <w:rPr>
          <w:rFonts w:hint="eastAsia" w:ascii="宋体" w:hAnsi="宋体" w:eastAsia="宋体" w:cs="宋体"/>
          <w:b/>
          <w:bCs w:val="0"/>
          <w:color w:val="auto"/>
          <w:spacing w:val="0"/>
          <w:w w:val="100"/>
          <w:sz w:val="22"/>
          <w:szCs w:val="22"/>
          <w:highlight w:val="none"/>
        </w:rPr>
        <w:t>:</w:t>
      </w:r>
      <w:r>
        <w:rPr>
          <w:rFonts w:hint="eastAsia" w:ascii="宋体" w:hAnsi="宋体" w:eastAsia="宋体" w:cs="宋体"/>
          <w:b/>
          <w:bCs w:val="0"/>
          <w:snapToGrid w:val="0"/>
          <w:color w:val="auto"/>
          <w:spacing w:val="0"/>
          <w:w w:val="100"/>
          <w:sz w:val="22"/>
          <w:szCs w:val="22"/>
          <w:highlight w:val="none"/>
        </w:rPr>
        <w:t>00</w:t>
      </w:r>
      <w:r>
        <w:rPr>
          <w:rFonts w:hint="eastAsia" w:ascii="宋体" w:hAnsi="宋体" w:eastAsia="宋体" w:cs="宋体"/>
          <w:b/>
          <w:bCs w:val="0"/>
          <w:color w:val="auto"/>
          <w:spacing w:val="0"/>
          <w:w w:val="100"/>
          <w:sz w:val="22"/>
          <w:szCs w:val="22"/>
          <w:highlight w:val="none"/>
        </w:rPr>
        <w:t>（北京时间）</w:t>
      </w:r>
    </w:p>
    <w:p w14:paraId="3A9E5B84">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地点（网址）：</w:t>
      </w:r>
    </w:p>
    <w:p w14:paraId="4FF80426">
      <w:pPr>
        <w:pStyle w:val="22"/>
        <w:keepNext w:val="0"/>
        <w:keepLines w:val="0"/>
        <w:pageBreakBefore w:val="0"/>
        <w:widowControl w:val="0"/>
        <w:kinsoku/>
        <w:overflowPunct/>
        <w:topLinePunct w:val="0"/>
        <w:autoSpaceDE/>
        <w:autoSpaceDN/>
        <w:bidi w:val="0"/>
        <w:adjustRightInd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 1 \* GB2 </w:instrText>
      </w:r>
      <w:r>
        <w:rPr>
          <w:rFonts w:hint="eastAsia" w:ascii="宋体" w:hAnsi="宋体" w:eastAsia="宋体" w:cs="宋体"/>
          <w:color w:val="auto"/>
          <w:spacing w:val="0"/>
          <w:w w:val="100"/>
          <w:sz w:val="22"/>
          <w:szCs w:val="22"/>
          <w:highlight w:val="none"/>
        </w:rPr>
        <w:fldChar w:fldCharType="separate"/>
      </w:r>
      <w:r>
        <w:rPr>
          <w:rFonts w:hint="eastAsia" w:ascii="宋体" w:hAnsi="宋体" w:eastAsia="宋体" w:cs="宋体"/>
          <w:color w:val="auto"/>
          <w:spacing w:val="0"/>
          <w:w w:val="100"/>
          <w:sz w:val="22"/>
          <w:szCs w:val="22"/>
          <w:highlight w:val="none"/>
        </w:rPr>
        <w:t>⑴</w:t>
      </w:r>
      <w:r>
        <w:rPr>
          <w:rFonts w:hint="eastAsia" w:ascii="宋体" w:hAnsi="宋体" w:eastAsia="宋体" w:cs="宋体"/>
          <w:color w:val="auto"/>
          <w:spacing w:val="0"/>
          <w:w w:val="100"/>
          <w:sz w:val="22"/>
          <w:szCs w:val="22"/>
          <w:highlight w:val="none"/>
        </w:rPr>
        <w:fldChar w:fldCharType="end"/>
      </w:r>
      <w:r>
        <w:rPr>
          <w:rFonts w:hint="eastAsia" w:ascii="宋体" w:hAnsi="宋体" w:eastAsia="宋体" w:cs="宋体"/>
          <w:color w:val="auto"/>
          <w:spacing w:val="0"/>
          <w:w w:val="100"/>
          <w:sz w:val="22"/>
          <w:szCs w:val="22"/>
          <w:highlight w:val="none"/>
        </w:rPr>
        <w:t>电子加密磋商响应文件：在“政府采购云平台”上传提交，“电子加密磋商响应文件”成功上传提交后，供应商自行打印磋商响应文件接收回执。</w:t>
      </w:r>
    </w:p>
    <w:p w14:paraId="2D357861">
      <w:pPr>
        <w:pStyle w:val="22"/>
        <w:keepNext w:val="0"/>
        <w:keepLines w:val="0"/>
        <w:pageBreakBefore w:val="0"/>
        <w:widowControl w:val="0"/>
        <w:kinsoku/>
        <w:overflowPunct/>
        <w:topLinePunct w:val="0"/>
        <w:autoSpaceDE/>
        <w:autoSpaceDN/>
        <w:bidi w:val="0"/>
        <w:adjustRightInd w:val="0"/>
        <w:snapToGrid w:val="0"/>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 2 \* GB2 </w:instrText>
      </w:r>
      <w:r>
        <w:rPr>
          <w:rFonts w:hint="eastAsia" w:ascii="宋体" w:hAnsi="宋体" w:eastAsia="宋体" w:cs="宋体"/>
          <w:color w:val="auto"/>
          <w:spacing w:val="0"/>
          <w:w w:val="100"/>
          <w:sz w:val="22"/>
          <w:szCs w:val="22"/>
          <w:highlight w:val="none"/>
        </w:rPr>
        <w:fldChar w:fldCharType="separate"/>
      </w:r>
      <w:r>
        <w:rPr>
          <w:rFonts w:hint="eastAsia" w:ascii="宋体" w:hAnsi="宋体" w:eastAsia="宋体" w:cs="宋体"/>
          <w:color w:val="auto"/>
          <w:spacing w:val="0"/>
          <w:w w:val="100"/>
          <w:sz w:val="22"/>
          <w:szCs w:val="22"/>
          <w:highlight w:val="none"/>
        </w:rPr>
        <w:t>⑵</w:t>
      </w:r>
      <w:r>
        <w:rPr>
          <w:rFonts w:hint="eastAsia" w:ascii="宋体" w:hAnsi="宋体" w:eastAsia="宋体" w:cs="宋体"/>
          <w:color w:val="auto"/>
          <w:spacing w:val="0"/>
          <w:w w:val="100"/>
          <w:sz w:val="22"/>
          <w:szCs w:val="22"/>
          <w:highlight w:val="none"/>
        </w:rPr>
        <w:fldChar w:fldCharType="end"/>
      </w:r>
      <w:r>
        <w:rPr>
          <w:rFonts w:hint="eastAsia" w:ascii="宋体" w:hAnsi="宋体" w:eastAsia="宋体" w:cs="宋体"/>
          <w:color w:val="auto"/>
          <w:spacing w:val="0"/>
          <w:w w:val="100"/>
          <w:sz w:val="22"/>
          <w:szCs w:val="22"/>
          <w:highlight w:val="none"/>
        </w:rPr>
        <w:t>备份磋商响应文件：供应商自行确定是否提交；若提交请将备份磋商响应文件以电子邮件的形式发送至</w:t>
      </w:r>
      <w:r>
        <w:rPr>
          <w:rFonts w:hint="eastAsia" w:ascii="宋体" w:hAnsi="宋体" w:eastAsia="宋体" w:cs="宋体"/>
          <w:color w:val="auto"/>
          <w:spacing w:val="0"/>
          <w:w w:val="100"/>
          <w:kern w:val="2"/>
          <w:sz w:val="22"/>
          <w:szCs w:val="22"/>
          <w:highlight w:val="none"/>
          <w:lang w:val="en-US" w:eastAsia="zh-CN" w:bidi="ar-SA"/>
        </w:rPr>
        <w:t>（1262850359@qq.com），备份磋商响应文件在“电子加密磋商响应文件”在线解密失败后启用，否则不予以启用；未在规定时间内发送备份磋商响应文件造成的响应无效或失败由供应商自行承担。</w:t>
      </w:r>
    </w:p>
    <w:p w14:paraId="2668E50F">
      <w:pPr>
        <w:keepNext w:val="0"/>
        <w:keepLines w:val="0"/>
        <w:pageBreakBefore w:val="0"/>
        <w:widowControl w:val="0"/>
        <w:kinsoku/>
        <w:overflowPunct/>
        <w:topLinePunct w:val="0"/>
        <w:autoSpaceDE/>
        <w:autoSpaceDN/>
        <w:bidi w:val="0"/>
        <w:snapToGrid w:val="0"/>
        <w:spacing w:line="480" w:lineRule="exact"/>
        <w:ind w:left="0"/>
        <w:textAlignment w:val="auto"/>
        <w:rPr>
          <w:rFonts w:hint="eastAsia" w:ascii="宋体" w:hAnsi="宋体" w:eastAsia="宋体" w:cs="宋体"/>
          <w:b/>
          <w:color w:val="auto"/>
          <w:spacing w:val="0"/>
          <w:w w:val="100"/>
          <w:sz w:val="22"/>
          <w:szCs w:val="22"/>
          <w:highlight w:val="none"/>
        </w:rPr>
      </w:pPr>
      <w:bookmarkStart w:id="44" w:name="_Toc19808"/>
      <w:bookmarkStart w:id="45" w:name="_Toc10360"/>
      <w:bookmarkStart w:id="46" w:name="_Toc30775"/>
      <w:bookmarkStart w:id="47" w:name="_Toc7332"/>
      <w:bookmarkStart w:id="48" w:name="_Toc45525496"/>
      <w:bookmarkStart w:id="49" w:name="_Toc51317771"/>
      <w:bookmarkStart w:id="50" w:name="_Toc31891"/>
      <w:bookmarkStart w:id="51" w:name="_Toc14904"/>
      <w:bookmarkStart w:id="52" w:name="_Toc45640133"/>
      <w:bookmarkStart w:id="53" w:name="_Toc45525447"/>
      <w:bookmarkStart w:id="54" w:name="_Toc11766"/>
      <w:bookmarkStart w:id="55" w:name="_Toc1383"/>
      <w:bookmarkStart w:id="56" w:name="_Toc23422"/>
      <w:bookmarkStart w:id="57" w:name="_Toc18546"/>
      <w:r>
        <w:rPr>
          <w:rFonts w:hint="eastAsia" w:ascii="宋体" w:hAnsi="宋体" w:eastAsia="宋体" w:cs="宋体"/>
          <w:b/>
          <w:color w:val="auto"/>
          <w:spacing w:val="0"/>
          <w:w w:val="100"/>
          <w:sz w:val="22"/>
          <w:szCs w:val="22"/>
          <w:highlight w:val="none"/>
        </w:rPr>
        <w:t>五、磋商响应文件开启</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3F5B9A5">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b w:val="0"/>
          <w:bCs w:val="0"/>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.开</w:t>
      </w:r>
      <w:r>
        <w:rPr>
          <w:rFonts w:hint="eastAsia" w:ascii="宋体" w:hAnsi="宋体" w:eastAsia="宋体" w:cs="宋体"/>
          <w:b w:val="0"/>
          <w:bCs w:val="0"/>
          <w:color w:val="auto"/>
          <w:spacing w:val="0"/>
          <w:w w:val="100"/>
          <w:sz w:val="22"/>
          <w:szCs w:val="22"/>
          <w:highlight w:val="none"/>
        </w:rPr>
        <w:t>启时间：</w:t>
      </w:r>
      <w:r>
        <w:rPr>
          <w:rFonts w:hint="eastAsia" w:ascii="宋体" w:hAnsi="宋体" w:eastAsia="宋体" w:cs="宋体"/>
          <w:b w:val="0"/>
          <w:bCs w:val="0"/>
          <w:snapToGrid w:val="0"/>
          <w:color w:val="auto"/>
          <w:spacing w:val="0"/>
          <w:w w:val="100"/>
          <w:sz w:val="22"/>
          <w:szCs w:val="22"/>
          <w:highlight w:val="none"/>
          <w:lang w:eastAsia="zh-CN"/>
        </w:rPr>
        <w:t>2024年9月</w:t>
      </w:r>
      <w:r>
        <w:rPr>
          <w:rFonts w:hint="eastAsia" w:ascii="宋体" w:hAnsi="宋体" w:eastAsia="宋体" w:cs="宋体"/>
          <w:b w:val="0"/>
          <w:bCs w:val="0"/>
          <w:snapToGrid w:val="0"/>
          <w:color w:val="auto"/>
          <w:spacing w:val="0"/>
          <w:w w:val="100"/>
          <w:sz w:val="22"/>
          <w:szCs w:val="22"/>
          <w:highlight w:val="none"/>
          <w:lang w:val="en-US" w:eastAsia="zh-CN"/>
        </w:rPr>
        <w:t>23</w:t>
      </w:r>
      <w:r>
        <w:rPr>
          <w:rFonts w:hint="eastAsia" w:ascii="宋体" w:hAnsi="宋体" w:eastAsia="宋体" w:cs="宋体"/>
          <w:b w:val="0"/>
          <w:bCs w:val="0"/>
          <w:snapToGrid w:val="0"/>
          <w:color w:val="auto"/>
          <w:spacing w:val="0"/>
          <w:w w:val="100"/>
          <w:sz w:val="22"/>
          <w:szCs w:val="22"/>
          <w:highlight w:val="none"/>
          <w:lang w:eastAsia="zh-CN"/>
        </w:rPr>
        <w:t>日09:00（北京时间）</w:t>
      </w:r>
    </w:p>
    <w:p w14:paraId="0EDB40CA">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b w:val="0"/>
          <w:bCs w:val="0"/>
          <w:color w:val="auto"/>
          <w:spacing w:val="0"/>
          <w:w w:val="100"/>
          <w:sz w:val="22"/>
          <w:szCs w:val="22"/>
          <w:highlight w:val="none"/>
          <w:lang w:eastAsia="zh-CN"/>
        </w:rPr>
      </w:pPr>
      <w:r>
        <w:rPr>
          <w:rFonts w:hint="eastAsia" w:ascii="宋体" w:hAnsi="宋体" w:eastAsia="宋体" w:cs="宋体"/>
          <w:b w:val="0"/>
          <w:bCs w:val="0"/>
          <w:color w:val="auto"/>
          <w:spacing w:val="0"/>
          <w:w w:val="100"/>
          <w:sz w:val="22"/>
          <w:szCs w:val="22"/>
          <w:highlight w:val="none"/>
          <w:lang w:val="en-US" w:eastAsia="zh-CN"/>
        </w:rPr>
        <w:t>2</w:t>
      </w:r>
      <w:r>
        <w:rPr>
          <w:rFonts w:hint="eastAsia" w:ascii="宋体" w:hAnsi="宋体" w:eastAsia="宋体" w:cs="宋体"/>
          <w:b w:val="0"/>
          <w:bCs w:val="0"/>
          <w:color w:val="auto"/>
          <w:spacing w:val="0"/>
          <w:w w:val="100"/>
          <w:sz w:val="22"/>
          <w:szCs w:val="22"/>
          <w:highlight w:val="none"/>
        </w:rPr>
        <w:t>.地点（网址）：</w:t>
      </w:r>
      <w:r>
        <w:rPr>
          <w:rFonts w:hint="eastAsia" w:ascii="宋体" w:hAnsi="宋体" w:eastAsia="宋体" w:cs="宋体"/>
          <w:color w:val="auto"/>
          <w:szCs w:val="21"/>
          <w:highlight w:val="none"/>
        </w:rPr>
        <w:t>“政府采购云平台（</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"http://www.zcygov.cn/"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https://www.zcygov.cn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）”在线开标</w:t>
      </w:r>
      <w:r>
        <w:rPr>
          <w:rFonts w:hint="eastAsia" w:ascii="宋体" w:hAnsi="宋体" w:eastAsia="宋体" w:cs="宋体"/>
          <w:b w:val="0"/>
          <w:bCs w:val="0"/>
          <w:color w:val="auto"/>
          <w:spacing w:val="0"/>
          <w:w w:val="100"/>
          <w:kern w:val="0"/>
          <w:sz w:val="22"/>
          <w:szCs w:val="22"/>
          <w:highlight w:val="none"/>
          <w:lang w:eastAsia="zh-CN"/>
        </w:rPr>
        <w:t>，</w:t>
      </w:r>
      <w:r>
        <w:rPr>
          <w:rFonts w:hint="eastAsia" w:ascii="宋体" w:hAnsi="宋体" w:eastAsia="宋体" w:cs="宋体"/>
          <w:b w:val="0"/>
          <w:bCs w:val="0"/>
          <w:color w:val="auto"/>
          <w:spacing w:val="0"/>
          <w:w w:val="100"/>
          <w:sz w:val="22"/>
          <w:szCs w:val="22"/>
          <w:highlight w:val="none"/>
        </w:rPr>
        <w:t>浙江政府采购网—用户入驻/登录—用户登录—项目采购—开标评标—进入开标大厅</w:t>
      </w:r>
      <w:r>
        <w:rPr>
          <w:rFonts w:hint="eastAsia" w:ascii="宋体" w:hAnsi="宋体" w:eastAsia="宋体" w:cs="宋体"/>
          <w:b w:val="0"/>
          <w:bCs w:val="0"/>
          <w:color w:val="auto"/>
          <w:spacing w:val="0"/>
          <w:w w:val="100"/>
          <w:sz w:val="22"/>
          <w:szCs w:val="22"/>
          <w:highlight w:val="none"/>
          <w:lang w:eastAsia="zh-CN"/>
        </w:rPr>
        <w:t>。</w:t>
      </w:r>
    </w:p>
    <w:p w14:paraId="3EA995CD">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b w:val="0"/>
          <w:bCs w:val="0"/>
          <w:color w:val="auto"/>
          <w:spacing w:val="0"/>
          <w:w w:val="100"/>
          <w:sz w:val="22"/>
          <w:szCs w:val="22"/>
          <w:highlight w:val="none"/>
          <w:lang w:val="en-US" w:eastAsia="zh-CN"/>
        </w:rPr>
      </w:pPr>
      <w:r>
        <w:rPr>
          <w:rFonts w:hint="eastAsia" w:ascii="宋体" w:hAnsi="宋体" w:eastAsia="宋体" w:cs="宋体"/>
          <w:b w:val="0"/>
          <w:bCs w:val="0"/>
          <w:color w:val="auto"/>
          <w:spacing w:val="0"/>
          <w:w w:val="100"/>
          <w:sz w:val="22"/>
          <w:szCs w:val="22"/>
          <w:highlight w:val="none"/>
          <w:lang w:val="en-US" w:eastAsia="zh-CN"/>
        </w:rPr>
        <w:t>注：开标时间后30分钟内，供应商须登录政府采购云平台，用“项目采购－开标评标”功能解密响应文件（线上）。</w:t>
      </w:r>
    </w:p>
    <w:p w14:paraId="4A928C50">
      <w:pPr>
        <w:keepNext w:val="0"/>
        <w:keepLines w:val="0"/>
        <w:pageBreakBefore w:val="0"/>
        <w:widowControl w:val="0"/>
        <w:kinsoku/>
        <w:overflowPunct/>
        <w:topLinePunct w:val="0"/>
        <w:bidi w:val="0"/>
        <w:snapToGrid w:val="0"/>
        <w:spacing w:line="480" w:lineRule="exact"/>
        <w:ind w:left="0"/>
        <w:jc w:val="left"/>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eastAsia="zh-CN"/>
        </w:rPr>
        <w:t>六</w:t>
      </w:r>
      <w:r>
        <w:rPr>
          <w:rFonts w:hint="eastAsia" w:ascii="宋体" w:hAnsi="宋体" w:eastAsia="宋体" w:cs="宋体"/>
          <w:b/>
          <w:color w:val="auto"/>
          <w:spacing w:val="0"/>
          <w:w w:val="100"/>
          <w:sz w:val="22"/>
          <w:szCs w:val="22"/>
          <w:highlight w:val="none"/>
        </w:rPr>
        <w:t>、公告期限</w:t>
      </w:r>
      <w:bookmarkEnd w:id="40"/>
      <w:bookmarkEnd w:id="41"/>
      <w:bookmarkEnd w:id="42"/>
      <w:bookmarkEnd w:id="43"/>
    </w:p>
    <w:p w14:paraId="2B70F264">
      <w:pPr>
        <w:keepNext w:val="0"/>
        <w:keepLines w:val="0"/>
        <w:pageBreakBefore w:val="0"/>
        <w:widowControl w:val="0"/>
        <w:kinsoku/>
        <w:overflowPunct/>
        <w:topLinePunct w:val="0"/>
        <w:bidi w:val="0"/>
        <w:snapToGrid w:val="0"/>
        <w:spacing w:line="480" w:lineRule="exact"/>
        <w:ind w:left="0" w:firstLine="440" w:firstLineChars="200"/>
        <w:textAlignment w:val="auto"/>
        <w:rPr>
          <w:rFonts w:hint="eastAsia" w:ascii="宋体" w:hAnsi="宋体" w:eastAsia="宋体" w:cs="宋体"/>
          <w:color w:val="auto"/>
          <w:spacing w:val="0"/>
          <w:w w:val="100"/>
          <w:kern w:val="0"/>
          <w:sz w:val="22"/>
          <w:szCs w:val="22"/>
          <w:highlight w:val="none"/>
        </w:rPr>
      </w:pPr>
      <w:r>
        <w:rPr>
          <w:rFonts w:hint="eastAsia" w:ascii="宋体" w:hAnsi="宋体" w:eastAsia="宋体" w:cs="宋体"/>
          <w:color w:val="auto"/>
          <w:spacing w:val="0"/>
          <w:w w:val="100"/>
          <w:kern w:val="0"/>
          <w:sz w:val="22"/>
          <w:szCs w:val="22"/>
          <w:highlight w:val="none"/>
        </w:rPr>
        <w:t>自本公告发布之日起3个工作日。</w:t>
      </w:r>
    </w:p>
    <w:p w14:paraId="79280F52">
      <w:pPr>
        <w:keepNext w:val="0"/>
        <w:keepLines w:val="0"/>
        <w:pageBreakBefore w:val="0"/>
        <w:widowControl w:val="0"/>
        <w:kinsoku/>
        <w:overflowPunct/>
        <w:topLinePunct w:val="0"/>
        <w:bidi w:val="0"/>
        <w:snapToGrid w:val="0"/>
        <w:spacing w:line="480" w:lineRule="exact"/>
        <w:ind w:left="0"/>
        <w:jc w:val="left"/>
        <w:textAlignment w:val="auto"/>
        <w:rPr>
          <w:rFonts w:hint="eastAsia" w:ascii="宋体" w:hAnsi="宋体" w:eastAsia="宋体" w:cs="宋体"/>
          <w:b/>
          <w:color w:val="auto"/>
          <w:spacing w:val="0"/>
          <w:w w:val="100"/>
          <w:sz w:val="22"/>
          <w:szCs w:val="22"/>
          <w:highlight w:val="none"/>
        </w:rPr>
      </w:pPr>
      <w:bookmarkStart w:id="58" w:name="_Toc35393795"/>
      <w:bookmarkStart w:id="59" w:name="_Toc35393626"/>
      <w:r>
        <w:rPr>
          <w:rFonts w:hint="eastAsia" w:ascii="宋体" w:hAnsi="宋体" w:eastAsia="宋体" w:cs="宋体"/>
          <w:b/>
          <w:color w:val="auto"/>
          <w:spacing w:val="0"/>
          <w:w w:val="100"/>
          <w:sz w:val="22"/>
          <w:szCs w:val="22"/>
          <w:highlight w:val="none"/>
          <w:lang w:eastAsia="zh-CN"/>
        </w:rPr>
        <w:t>七</w:t>
      </w:r>
      <w:r>
        <w:rPr>
          <w:rFonts w:hint="eastAsia" w:ascii="宋体" w:hAnsi="宋体" w:eastAsia="宋体" w:cs="宋体"/>
          <w:b/>
          <w:color w:val="auto"/>
          <w:spacing w:val="0"/>
          <w:w w:val="100"/>
          <w:sz w:val="22"/>
          <w:szCs w:val="22"/>
          <w:highlight w:val="none"/>
        </w:rPr>
        <w:t>、其他补充事宜</w:t>
      </w:r>
      <w:bookmarkEnd w:id="58"/>
      <w:bookmarkEnd w:id="59"/>
    </w:p>
    <w:p w14:paraId="422C7831">
      <w:pPr>
        <w:keepNext w:val="0"/>
        <w:keepLines w:val="0"/>
        <w:pageBreakBefore w:val="0"/>
        <w:widowControl w:val="0"/>
        <w:kinsoku/>
        <w:overflowPunct/>
        <w:topLinePunct w:val="0"/>
        <w:autoSpaceDE/>
        <w:autoSpaceDN/>
        <w:bidi w:val="0"/>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362441F0">
      <w:pPr>
        <w:keepNext w:val="0"/>
        <w:keepLines w:val="0"/>
        <w:pageBreakBefore w:val="0"/>
        <w:widowControl w:val="0"/>
        <w:kinsoku/>
        <w:overflowPunct/>
        <w:topLinePunct w:val="0"/>
        <w:autoSpaceDE/>
        <w:autoSpaceDN/>
        <w:bidi w:val="0"/>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F67BC6">
      <w:pPr>
        <w:keepNext w:val="0"/>
        <w:keepLines w:val="0"/>
        <w:pageBreakBefore w:val="0"/>
        <w:widowControl w:val="0"/>
        <w:kinsoku/>
        <w:overflowPunct/>
        <w:topLinePunct w:val="0"/>
        <w:autoSpaceDE/>
        <w:autoSpaceDN/>
        <w:bidi w:val="0"/>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22A6AC3">
      <w:pPr>
        <w:keepNext w:val="0"/>
        <w:keepLines w:val="0"/>
        <w:pageBreakBefore w:val="0"/>
        <w:widowControl w:val="0"/>
        <w:kinsoku/>
        <w:overflowPunct/>
        <w:topLinePunct w:val="0"/>
        <w:bidi w:val="0"/>
        <w:snapToGrid w:val="0"/>
        <w:spacing w:line="480" w:lineRule="exact"/>
        <w:ind w:left="0"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kern w:val="0"/>
          <w:sz w:val="22"/>
          <w:szCs w:val="22"/>
          <w:highlight w:val="none"/>
          <w:lang w:val="en-US" w:eastAsia="zh-CN"/>
        </w:rPr>
        <w:t>4</w:t>
      </w:r>
      <w:r>
        <w:rPr>
          <w:rFonts w:hint="eastAsia" w:ascii="宋体" w:hAnsi="宋体" w:eastAsia="宋体" w:cs="宋体"/>
          <w:b/>
          <w:color w:val="auto"/>
          <w:spacing w:val="0"/>
          <w:w w:val="100"/>
          <w:kern w:val="0"/>
          <w:sz w:val="22"/>
          <w:szCs w:val="22"/>
          <w:highlight w:val="none"/>
        </w:rPr>
        <w:t>.其他注意事项：</w:t>
      </w:r>
      <w:r>
        <w:rPr>
          <w:rFonts w:hint="eastAsia" w:ascii="宋体" w:hAnsi="宋体" w:eastAsia="宋体" w:cs="宋体"/>
          <w:b w:val="0"/>
          <w:bCs/>
          <w:color w:val="auto"/>
          <w:spacing w:val="0"/>
          <w:w w:val="100"/>
          <w:kern w:val="0"/>
          <w:sz w:val="22"/>
          <w:szCs w:val="22"/>
          <w:highlight w:val="none"/>
        </w:rPr>
        <w:t>本项目采用“电子交易/不见面开评标”，</w:t>
      </w:r>
      <w:r>
        <w:rPr>
          <w:rFonts w:hint="eastAsia" w:ascii="宋体" w:hAnsi="宋体" w:eastAsia="宋体" w:cs="宋体"/>
          <w:b w:val="0"/>
          <w:bCs/>
          <w:color w:val="auto"/>
          <w:spacing w:val="0"/>
          <w:w w:val="100"/>
          <w:kern w:val="0"/>
          <w:sz w:val="22"/>
          <w:szCs w:val="22"/>
          <w:highlight w:val="none"/>
          <w:lang w:eastAsia="zh-CN"/>
        </w:rPr>
        <w:t>供应商</w:t>
      </w:r>
      <w:r>
        <w:rPr>
          <w:rFonts w:hint="eastAsia" w:ascii="宋体" w:hAnsi="宋体" w:eastAsia="宋体" w:cs="宋体"/>
          <w:b w:val="0"/>
          <w:bCs/>
          <w:color w:val="auto"/>
          <w:spacing w:val="0"/>
          <w:w w:val="100"/>
          <w:kern w:val="0"/>
          <w:sz w:val="22"/>
          <w:szCs w:val="22"/>
          <w:highlight w:val="none"/>
        </w:rPr>
        <w:t>无须派人员到现场出席开标会议。具体操作指南：见政采云平台“服务中心</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帮助文档</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项目采购</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操作流程</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电子招投标</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政府采购项目电子交易管理操作指南</w:t>
      </w:r>
      <w:r>
        <w:rPr>
          <w:rFonts w:hint="eastAsia" w:ascii="宋体" w:hAnsi="宋体" w:eastAsia="宋体" w:cs="宋体"/>
          <w:b w:val="0"/>
          <w:bCs/>
          <w:color w:val="auto"/>
          <w:spacing w:val="0"/>
          <w:w w:val="100"/>
          <w:kern w:val="0"/>
          <w:sz w:val="22"/>
          <w:szCs w:val="22"/>
          <w:highlight w:val="none"/>
          <w:lang w:eastAsia="zh-CN"/>
        </w:rPr>
        <w:t>－</w:t>
      </w:r>
      <w:r>
        <w:rPr>
          <w:rFonts w:hint="eastAsia" w:ascii="宋体" w:hAnsi="宋体" w:eastAsia="宋体" w:cs="宋体"/>
          <w:b w:val="0"/>
          <w:bCs/>
          <w:color w:val="auto"/>
          <w:spacing w:val="0"/>
          <w:w w:val="100"/>
          <w:kern w:val="0"/>
          <w:sz w:val="22"/>
          <w:szCs w:val="22"/>
          <w:highlight w:val="none"/>
        </w:rPr>
        <w:t>供应商”。</w:t>
      </w:r>
    </w:p>
    <w:p w14:paraId="4AC92D6B">
      <w:pPr>
        <w:keepNext w:val="0"/>
        <w:keepLines w:val="0"/>
        <w:pageBreakBefore w:val="0"/>
        <w:widowControl w:val="0"/>
        <w:kinsoku/>
        <w:overflowPunct/>
        <w:topLinePunct w:val="0"/>
        <w:bidi w:val="0"/>
        <w:snapToGrid w:val="0"/>
        <w:spacing w:line="480" w:lineRule="exact"/>
        <w:ind w:left="0"/>
        <w:jc w:val="left"/>
        <w:textAlignment w:val="auto"/>
        <w:rPr>
          <w:rFonts w:hint="eastAsia" w:ascii="宋体" w:hAnsi="宋体" w:eastAsia="宋体" w:cs="宋体"/>
          <w:bCs/>
          <w:color w:val="auto"/>
          <w:spacing w:val="0"/>
          <w:w w:val="100"/>
          <w:sz w:val="22"/>
          <w:szCs w:val="22"/>
          <w:highlight w:val="none"/>
        </w:rPr>
      </w:pPr>
      <w:bookmarkStart w:id="60" w:name="_Toc28359085"/>
      <w:bookmarkStart w:id="61" w:name="_Toc35393796"/>
      <w:bookmarkStart w:id="62" w:name="_Toc28359008"/>
      <w:bookmarkStart w:id="63" w:name="_Toc35393627"/>
      <w:r>
        <w:rPr>
          <w:rFonts w:hint="eastAsia" w:ascii="宋体" w:hAnsi="宋体" w:eastAsia="宋体" w:cs="宋体"/>
          <w:b/>
          <w:color w:val="auto"/>
          <w:spacing w:val="0"/>
          <w:w w:val="100"/>
          <w:sz w:val="22"/>
          <w:szCs w:val="22"/>
          <w:highlight w:val="none"/>
        </w:rPr>
        <w:t>七、</w:t>
      </w:r>
      <w:bookmarkEnd w:id="60"/>
      <w:bookmarkEnd w:id="61"/>
      <w:bookmarkEnd w:id="62"/>
      <w:bookmarkEnd w:id="63"/>
      <w:r>
        <w:rPr>
          <w:rFonts w:hint="eastAsia" w:ascii="宋体" w:hAnsi="宋体" w:eastAsia="宋体" w:cs="宋体"/>
          <w:b/>
          <w:bCs/>
          <w:color w:val="auto"/>
          <w:spacing w:val="0"/>
          <w:w w:val="100"/>
          <w:sz w:val="22"/>
          <w:szCs w:val="22"/>
          <w:highlight w:val="none"/>
        </w:rPr>
        <w:t>凡对本次招标提出询问、质疑、投诉，请按以下方式联系</w:t>
      </w:r>
    </w:p>
    <w:bookmarkEnd w:id="34"/>
    <w:bookmarkEnd w:id="35"/>
    <w:bookmarkEnd w:id="36"/>
    <w:bookmarkEnd w:id="37"/>
    <w:bookmarkEnd w:id="38"/>
    <w:bookmarkEnd w:id="39"/>
    <w:p w14:paraId="0499CE59">
      <w:pPr>
        <w:keepNext w:val="0"/>
        <w:keepLines w:val="0"/>
        <w:pageBreakBefore w:val="0"/>
        <w:widowControl w:val="0"/>
        <w:tabs>
          <w:tab w:val="left" w:pos="540"/>
        </w:tabs>
        <w:kinsoku/>
        <w:overflowPunct/>
        <w:topLinePunct w:val="0"/>
        <w:bidi w:val="0"/>
        <w:snapToGrid w:val="0"/>
        <w:spacing w:line="480" w:lineRule="exact"/>
        <w:ind w:left="0" w:firstLine="440" w:firstLineChars="200"/>
        <w:jc w:val="left"/>
        <w:textAlignment w:val="auto"/>
        <w:rPr>
          <w:rFonts w:hint="eastAsia" w:ascii="宋体" w:hAnsi="宋体" w:eastAsia="宋体" w:cs="宋体"/>
          <w:bCs/>
          <w:color w:val="auto"/>
          <w:spacing w:val="0"/>
          <w:w w:val="100"/>
          <w:sz w:val="22"/>
          <w:szCs w:val="22"/>
          <w:highlight w:val="none"/>
          <w:lang w:eastAsia="zh-CN"/>
        </w:rPr>
      </w:pPr>
      <w:r>
        <w:rPr>
          <w:rFonts w:hint="eastAsia" w:ascii="宋体" w:hAnsi="宋体" w:eastAsia="宋体" w:cs="宋体"/>
          <w:bCs/>
          <w:color w:val="auto"/>
          <w:spacing w:val="0"/>
          <w:w w:val="100"/>
          <w:sz w:val="22"/>
          <w:szCs w:val="22"/>
          <w:highlight w:val="none"/>
        </w:rPr>
        <w:t>1. 采购人名称：</w:t>
      </w:r>
      <w:r>
        <w:rPr>
          <w:rFonts w:hint="eastAsia" w:ascii="宋体" w:hAnsi="宋体" w:eastAsia="宋体" w:cs="宋体"/>
          <w:bCs/>
          <w:color w:val="auto"/>
          <w:spacing w:val="0"/>
          <w:w w:val="100"/>
          <w:sz w:val="22"/>
          <w:szCs w:val="22"/>
          <w:highlight w:val="none"/>
          <w:lang w:eastAsia="zh-CN"/>
        </w:rPr>
        <w:t>丽水市生态环境局庆元分局</w:t>
      </w:r>
    </w:p>
    <w:p w14:paraId="6926BA1E">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eastAsia="zh-CN"/>
        </w:rPr>
        <w:t>项目</w:t>
      </w:r>
      <w:r>
        <w:rPr>
          <w:rFonts w:hint="eastAsia" w:ascii="宋体" w:hAnsi="宋体" w:eastAsia="宋体" w:cs="宋体"/>
          <w:bCs/>
          <w:color w:val="auto"/>
          <w:spacing w:val="0"/>
          <w:w w:val="100"/>
          <w:sz w:val="22"/>
          <w:szCs w:val="22"/>
          <w:highlight w:val="none"/>
        </w:rPr>
        <w:t>联系人：</w:t>
      </w:r>
      <w:r>
        <w:rPr>
          <w:rFonts w:hint="eastAsia" w:ascii="宋体" w:hAnsi="宋体" w:eastAsia="宋体" w:cs="宋体"/>
          <w:bCs/>
          <w:color w:val="auto"/>
          <w:spacing w:val="0"/>
          <w:w w:val="100"/>
          <w:sz w:val="22"/>
          <w:szCs w:val="22"/>
          <w:highlight w:val="none"/>
          <w:lang w:val="en-US" w:eastAsia="zh-CN"/>
        </w:rPr>
        <w:t>张远孝</w:t>
      </w:r>
      <w:r>
        <w:rPr>
          <w:rFonts w:hint="eastAsia" w:ascii="宋体" w:hAnsi="宋体" w:eastAsia="宋体" w:cs="宋体"/>
          <w:bCs/>
          <w:color w:val="auto"/>
          <w:spacing w:val="0"/>
          <w:w w:val="100"/>
          <w:sz w:val="22"/>
          <w:szCs w:val="22"/>
          <w:highlight w:val="none"/>
        </w:rPr>
        <w:t xml:space="preserve">  </w:t>
      </w:r>
      <w:r>
        <w:rPr>
          <w:rFonts w:hint="eastAsia" w:ascii="宋体" w:hAnsi="宋体" w:eastAsia="宋体" w:cs="宋体"/>
          <w:bCs/>
          <w:color w:val="auto"/>
          <w:spacing w:val="0"/>
          <w:w w:val="100"/>
          <w:sz w:val="22"/>
          <w:szCs w:val="22"/>
          <w:highlight w:val="none"/>
          <w:lang w:val="en-US" w:eastAsia="zh-CN"/>
        </w:rPr>
        <w:t xml:space="preserve">    </w:t>
      </w:r>
      <w:r>
        <w:rPr>
          <w:rFonts w:hint="eastAsia" w:ascii="宋体" w:hAnsi="宋体" w:eastAsia="宋体" w:cs="宋体"/>
          <w:bCs/>
          <w:color w:val="auto"/>
          <w:spacing w:val="0"/>
          <w:w w:val="100"/>
          <w:sz w:val="22"/>
          <w:szCs w:val="22"/>
          <w:highlight w:val="none"/>
        </w:rPr>
        <w:t>联系电话：</w:t>
      </w:r>
      <w:r>
        <w:rPr>
          <w:rFonts w:hint="eastAsia" w:ascii="宋体" w:hAnsi="宋体" w:eastAsia="宋体" w:cs="宋体"/>
          <w:bCs/>
          <w:color w:val="auto"/>
          <w:spacing w:val="0"/>
          <w:w w:val="100"/>
          <w:sz w:val="22"/>
          <w:szCs w:val="22"/>
          <w:highlight w:val="none"/>
          <w:lang w:val="en-US" w:eastAsia="zh-CN"/>
        </w:rPr>
        <w:t>0578-6019868</w:t>
      </w:r>
    </w:p>
    <w:p w14:paraId="392D1663">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bCs/>
          <w:color w:val="auto"/>
          <w:spacing w:val="0"/>
          <w:w w:val="100"/>
          <w:sz w:val="22"/>
          <w:szCs w:val="22"/>
          <w:highlight w:val="none"/>
          <w:lang w:val="en-US"/>
        </w:rPr>
      </w:pPr>
      <w:r>
        <w:rPr>
          <w:rFonts w:hint="eastAsia" w:ascii="宋体" w:hAnsi="宋体" w:eastAsia="宋体" w:cs="宋体"/>
          <w:bCs/>
          <w:color w:val="auto"/>
          <w:spacing w:val="0"/>
          <w:w w:val="100"/>
          <w:sz w:val="22"/>
          <w:szCs w:val="22"/>
          <w:highlight w:val="none"/>
          <w:lang w:eastAsia="zh-CN"/>
        </w:rPr>
        <w:t>质疑联系人：</w:t>
      </w:r>
      <w:r>
        <w:rPr>
          <w:rFonts w:hint="eastAsia" w:ascii="宋体" w:hAnsi="宋体" w:eastAsia="宋体" w:cs="宋体"/>
          <w:bCs/>
          <w:color w:val="auto"/>
          <w:spacing w:val="0"/>
          <w:w w:val="100"/>
          <w:sz w:val="22"/>
          <w:szCs w:val="22"/>
          <w:highlight w:val="none"/>
          <w:lang w:val="en-US" w:eastAsia="zh-CN"/>
        </w:rPr>
        <w:t>陈  文      联系电话：0578-6019870</w:t>
      </w:r>
    </w:p>
    <w:p w14:paraId="5E350ADE">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rPr>
        <w:t>地</w:t>
      </w:r>
      <w:r>
        <w:rPr>
          <w:rFonts w:hint="eastAsia" w:ascii="宋体" w:hAnsi="宋体" w:eastAsia="宋体" w:cs="宋体"/>
          <w:bCs/>
          <w:color w:val="auto"/>
          <w:spacing w:val="0"/>
          <w:w w:val="100"/>
          <w:sz w:val="22"/>
          <w:szCs w:val="22"/>
          <w:highlight w:val="none"/>
          <w:lang w:val="en-US" w:eastAsia="zh-CN"/>
        </w:rPr>
        <w:t xml:space="preserve">  </w:t>
      </w:r>
      <w:r>
        <w:rPr>
          <w:rFonts w:hint="eastAsia" w:ascii="宋体" w:hAnsi="宋体" w:eastAsia="宋体" w:cs="宋体"/>
          <w:bCs/>
          <w:color w:val="auto"/>
          <w:spacing w:val="0"/>
          <w:w w:val="100"/>
          <w:sz w:val="22"/>
          <w:szCs w:val="22"/>
          <w:highlight w:val="none"/>
        </w:rPr>
        <w:t>址：</w:t>
      </w:r>
      <w:r>
        <w:rPr>
          <w:rFonts w:hint="eastAsia" w:ascii="宋体" w:hAnsi="宋体" w:eastAsia="宋体" w:cs="宋体"/>
          <w:bCs/>
          <w:color w:val="auto"/>
          <w:spacing w:val="0"/>
          <w:w w:val="100"/>
          <w:sz w:val="22"/>
          <w:szCs w:val="22"/>
          <w:highlight w:val="none"/>
          <w:lang w:eastAsia="zh-CN"/>
        </w:rPr>
        <w:t>庆元县行政服务大楼</w:t>
      </w:r>
      <w:r>
        <w:rPr>
          <w:rFonts w:hint="eastAsia" w:ascii="宋体" w:hAnsi="宋体" w:eastAsia="宋体" w:cs="宋体"/>
          <w:bCs/>
          <w:color w:val="auto"/>
          <w:spacing w:val="0"/>
          <w:w w:val="100"/>
          <w:sz w:val="22"/>
          <w:szCs w:val="22"/>
          <w:highlight w:val="none"/>
          <w:lang w:val="en-US" w:eastAsia="zh-CN"/>
        </w:rPr>
        <w:t>12楼（庆元县濛洲街222号）</w:t>
      </w:r>
    </w:p>
    <w:p w14:paraId="59176F41">
      <w:pPr>
        <w:keepNext w:val="0"/>
        <w:keepLines w:val="0"/>
        <w:pageBreakBefore w:val="0"/>
        <w:widowControl w:val="0"/>
        <w:kinsoku/>
        <w:overflowPunct/>
        <w:topLinePunct w:val="0"/>
        <w:bidi w:val="0"/>
        <w:snapToGrid w:val="0"/>
        <w:spacing w:line="480" w:lineRule="exact"/>
        <w:ind w:left="0" w:firstLine="440" w:firstLineChars="200"/>
        <w:jc w:val="left"/>
        <w:textAlignment w:val="auto"/>
        <w:rPr>
          <w:rFonts w:hint="eastAsia" w:ascii="宋体" w:hAnsi="宋体" w:eastAsia="宋体" w:cs="宋体"/>
          <w:bCs/>
          <w:color w:val="auto"/>
          <w:spacing w:val="0"/>
          <w:w w:val="100"/>
          <w:sz w:val="22"/>
          <w:szCs w:val="22"/>
          <w:highlight w:val="none"/>
        </w:rPr>
      </w:pPr>
    </w:p>
    <w:p w14:paraId="29189811">
      <w:pPr>
        <w:keepNext w:val="0"/>
        <w:keepLines w:val="0"/>
        <w:pageBreakBefore w:val="0"/>
        <w:widowControl w:val="0"/>
        <w:kinsoku/>
        <w:overflowPunct/>
        <w:topLinePunct w:val="0"/>
        <w:bidi w:val="0"/>
        <w:snapToGrid w:val="0"/>
        <w:spacing w:line="480" w:lineRule="exact"/>
        <w:ind w:left="0" w:firstLine="440" w:firstLineChars="200"/>
        <w:jc w:val="left"/>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 采购代理机构名称：浙江诚远工程咨询有限公司</w:t>
      </w:r>
    </w:p>
    <w:p w14:paraId="4A93ABC1">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项目负责人：</w:t>
      </w:r>
      <w:r>
        <w:rPr>
          <w:rFonts w:hint="eastAsia" w:ascii="宋体" w:hAnsi="宋体" w:eastAsia="宋体" w:cs="宋体"/>
          <w:color w:val="auto"/>
          <w:spacing w:val="0"/>
          <w:w w:val="100"/>
          <w:sz w:val="22"/>
          <w:szCs w:val="22"/>
          <w:highlight w:val="none"/>
          <w:lang w:eastAsia="zh-CN"/>
        </w:rPr>
        <w:t>夏永聪</w:t>
      </w:r>
      <w:r>
        <w:rPr>
          <w:rFonts w:hint="eastAsia" w:ascii="宋体" w:hAnsi="宋体" w:eastAsia="宋体" w:cs="宋体"/>
          <w:color w:val="auto"/>
          <w:spacing w:val="0"/>
          <w:w w:val="100"/>
          <w:sz w:val="22"/>
          <w:szCs w:val="22"/>
          <w:highlight w:val="none"/>
        </w:rPr>
        <w:t xml:space="preserve">      联系电话：0578-6163619</w:t>
      </w:r>
      <w:r>
        <w:rPr>
          <w:rFonts w:hint="eastAsia" w:ascii="宋体" w:hAnsi="宋体" w:eastAsia="宋体" w:cs="宋体"/>
          <w:color w:val="auto"/>
          <w:spacing w:val="0"/>
          <w:w w:val="100"/>
          <w:sz w:val="22"/>
          <w:szCs w:val="22"/>
          <w:highlight w:val="none"/>
          <w:lang w:eastAsia="zh-CN"/>
        </w:rPr>
        <w:t xml:space="preserve"> </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lang w:eastAsia="zh-CN"/>
        </w:rPr>
        <w:t xml:space="preserve"> 传真：0578-6161128</w:t>
      </w:r>
    </w:p>
    <w:p w14:paraId="19679A65">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质疑联系人：</w:t>
      </w:r>
      <w:r>
        <w:rPr>
          <w:rFonts w:hint="eastAsia" w:ascii="宋体" w:hAnsi="宋体" w:eastAsia="宋体" w:cs="宋体"/>
          <w:color w:val="auto"/>
          <w:spacing w:val="0"/>
          <w:w w:val="100"/>
          <w:sz w:val="22"/>
          <w:szCs w:val="22"/>
          <w:highlight w:val="none"/>
          <w:lang w:eastAsia="zh-CN"/>
        </w:rPr>
        <w:t>周伟平</w:t>
      </w:r>
      <w:r>
        <w:rPr>
          <w:rFonts w:hint="eastAsia" w:ascii="宋体" w:hAnsi="宋体" w:eastAsia="宋体" w:cs="宋体"/>
          <w:color w:val="auto"/>
          <w:spacing w:val="0"/>
          <w:w w:val="100"/>
          <w:sz w:val="22"/>
          <w:szCs w:val="22"/>
          <w:highlight w:val="none"/>
        </w:rPr>
        <w:t xml:space="preserve">      联系电话：0578-6163619</w:t>
      </w:r>
      <w:r>
        <w:rPr>
          <w:rFonts w:hint="eastAsia" w:ascii="宋体" w:hAnsi="宋体" w:eastAsia="宋体" w:cs="宋体"/>
          <w:color w:val="auto"/>
          <w:spacing w:val="0"/>
          <w:w w:val="100"/>
          <w:sz w:val="22"/>
          <w:szCs w:val="22"/>
          <w:highlight w:val="none"/>
          <w:lang w:eastAsia="zh-CN"/>
        </w:rPr>
        <w:t xml:space="preserve"> </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lang w:eastAsia="zh-CN"/>
        </w:rPr>
        <w:t xml:space="preserve"> 传真：0578-6161128</w:t>
      </w:r>
    </w:p>
    <w:p w14:paraId="225C6EBD">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地</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址：丽水市庆元县大济路236号710室</w:t>
      </w:r>
    </w:p>
    <w:p w14:paraId="28007398">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rPr>
      </w:pPr>
    </w:p>
    <w:p w14:paraId="0DAC26ED">
      <w:pPr>
        <w:keepNext w:val="0"/>
        <w:keepLines w:val="0"/>
        <w:pageBreakBefore w:val="0"/>
        <w:widowControl w:val="0"/>
        <w:numPr>
          <w:ilvl w:val="0"/>
          <w:numId w:val="1"/>
        </w:numPr>
        <w:kinsoku/>
        <w:overflowPunct/>
        <w:topLinePunct w:val="0"/>
        <w:bidi w:val="0"/>
        <w:snapToGrid w:val="0"/>
        <w:spacing w:line="480" w:lineRule="exact"/>
        <w:ind w:firstLine="440" w:firstLineChars="200"/>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同级政府采购监督管理部门名称：庆元县财政局</w:t>
      </w:r>
    </w:p>
    <w:p w14:paraId="6E34F0D2">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联系人：</w:t>
      </w:r>
      <w:r>
        <w:rPr>
          <w:rFonts w:hint="eastAsia" w:ascii="宋体" w:hAnsi="宋体" w:eastAsia="宋体" w:cs="宋体"/>
          <w:color w:val="auto"/>
          <w:spacing w:val="0"/>
          <w:w w:val="100"/>
          <w:sz w:val="22"/>
          <w:szCs w:val="22"/>
          <w:highlight w:val="none"/>
          <w:lang w:eastAsia="zh-CN"/>
        </w:rPr>
        <w:t>蒋烨芳</w:t>
      </w:r>
      <w:r>
        <w:rPr>
          <w:rFonts w:hint="eastAsia" w:ascii="宋体" w:hAnsi="宋体" w:eastAsia="宋体" w:cs="宋体"/>
          <w:color w:val="auto"/>
          <w:spacing w:val="0"/>
          <w:w w:val="100"/>
          <w:sz w:val="22"/>
          <w:szCs w:val="22"/>
          <w:highlight w:val="none"/>
        </w:rPr>
        <w:t xml:space="preserve">  </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 xml:space="preserve">  监督投诉电话：0578－6019125 </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 xml:space="preserve">  传真：0578－6019125</w:t>
      </w:r>
    </w:p>
    <w:p w14:paraId="177ED9AD">
      <w:pPr>
        <w:keepNext w:val="0"/>
        <w:keepLines w:val="0"/>
        <w:pageBreakBefore w:val="0"/>
        <w:widowControl w:val="0"/>
        <w:kinsoku/>
        <w:overflowPunct/>
        <w:topLinePunct w:val="0"/>
        <w:bidi w:val="0"/>
        <w:snapToGrid w:val="0"/>
        <w:spacing w:line="480" w:lineRule="exact"/>
        <w:ind w:left="0" w:firstLine="770" w:firstLineChars="350"/>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地 址：庆元县濛洲街198号</w:t>
      </w:r>
    </w:p>
    <w:p w14:paraId="3299055F">
      <w:pPr>
        <w:pStyle w:val="39"/>
        <w:keepNext w:val="0"/>
        <w:keepLines w:val="0"/>
        <w:pageBreakBefore w:val="0"/>
        <w:widowControl w:val="0"/>
        <w:kinsoku/>
        <w:overflowPunct/>
        <w:topLinePunct w:val="0"/>
        <w:bidi w:val="0"/>
        <w:snapToGrid w:val="0"/>
        <w:spacing w:before="0" w:beforeAutospacing="0" w:after="0" w:afterAutospacing="0" w:line="480" w:lineRule="exact"/>
        <w:ind w:left="0" w:firstLine="442" w:firstLineChars="200"/>
        <w:textAlignment w:val="auto"/>
        <w:rPr>
          <w:rFonts w:hint="eastAsia" w:ascii="宋体" w:hAnsi="宋体" w:eastAsia="宋体" w:cs="宋体"/>
          <w:b/>
          <w:bCs/>
          <w:color w:val="auto"/>
          <w:spacing w:val="0"/>
          <w:w w:val="100"/>
          <w:sz w:val="22"/>
          <w:szCs w:val="22"/>
          <w:highlight w:val="none"/>
        </w:rPr>
      </w:pPr>
    </w:p>
    <w:p w14:paraId="075110D2">
      <w:pPr>
        <w:pStyle w:val="39"/>
        <w:keepNext w:val="0"/>
        <w:keepLines w:val="0"/>
        <w:pageBreakBefore w:val="0"/>
        <w:widowControl w:val="0"/>
        <w:kinsoku/>
        <w:overflowPunct/>
        <w:topLinePunct w:val="0"/>
        <w:bidi w:val="0"/>
        <w:snapToGrid w:val="0"/>
        <w:spacing w:before="0" w:beforeAutospacing="0" w:after="0" w:afterAutospacing="0" w:line="480" w:lineRule="exact"/>
        <w:ind w:left="0" w:firstLine="442" w:firstLineChars="200"/>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特别提醒：若对项目采购电子交易系统操作有疑问，可登录政采云https://www.zcygov.cn</w:t>
      </w:r>
      <w:r>
        <w:rPr>
          <w:rFonts w:hint="eastAsia" w:ascii="宋体" w:hAnsi="宋体" w:eastAsia="宋体" w:cs="宋体"/>
          <w:b/>
          <w:bCs/>
          <w:color w:val="auto"/>
          <w:spacing w:val="0"/>
          <w:w w:val="100"/>
          <w:sz w:val="22"/>
          <w:szCs w:val="22"/>
          <w:highlight w:val="none"/>
          <w:lang w:val="en-US" w:eastAsia="zh-CN"/>
        </w:rPr>
        <w:t>/</w:t>
      </w:r>
      <w:r>
        <w:rPr>
          <w:rFonts w:hint="eastAsia" w:ascii="宋体" w:hAnsi="宋体" w:eastAsia="宋体" w:cs="宋体"/>
          <w:b/>
          <w:bCs/>
          <w:color w:val="auto"/>
          <w:spacing w:val="0"/>
          <w:w w:val="100"/>
          <w:sz w:val="22"/>
          <w:szCs w:val="22"/>
          <w:highlight w:val="none"/>
        </w:rPr>
        <w:t>，点击右侧咨询小采，获取采小蜜智能服务管家帮助，或拨打政采云服务热线400-881-7190获取热线服务帮助。</w:t>
      </w:r>
    </w:p>
    <w:p w14:paraId="061690BC">
      <w:pPr>
        <w:pStyle w:val="39"/>
        <w:keepNext w:val="0"/>
        <w:keepLines w:val="0"/>
        <w:pageBreakBefore w:val="0"/>
        <w:widowControl w:val="0"/>
        <w:kinsoku/>
        <w:overflowPunct/>
        <w:topLinePunct w:val="0"/>
        <w:bidi w:val="0"/>
        <w:snapToGrid w:val="0"/>
        <w:spacing w:before="0" w:beforeAutospacing="0" w:after="0" w:afterAutospacing="0" w:line="480" w:lineRule="exact"/>
        <w:ind w:left="0" w:firstLine="442" w:firstLineChars="200"/>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CA问题联系电话（人工）：汇信CA 400-888-4636；天谷CA 400-087-8198。</w:t>
      </w:r>
    </w:p>
    <w:p w14:paraId="2DDC60DB">
      <w:pPr>
        <w:pStyle w:val="39"/>
        <w:keepNext w:val="0"/>
        <w:keepLines w:val="0"/>
        <w:pageBreakBefore w:val="0"/>
        <w:widowControl w:val="0"/>
        <w:kinsoku/>
        <w:overflowPunct/>
        <w:topLinePunct w:val="0"/>
        <w:bidi w:val="0"/>
        <w:snapToGrid w:val="0"/>
        <w:spacing w:before="0" w:beforeAutospacing="0" w:after="0" w:afterAutospacing="0" w:line="480" w:lineRule="exact"/>
        <w:ind w:left="0" w:firstLine="442" w:firstLineChars="200"/>
        <w:textAlignment w:val="auto"/>
        <w:rPr>
          <w:rFonts w:hint="eastAsia" w:ascii="宋体" w:hAnsi="宋体" w:eastAsia="宋体" w:cs="宋体"/>
          <w:b/>
          <w:bCs/>
          <w:color w:val="auto"/>
          <w:spacing w:val="0"/>
          <w:w w:val="100"/>
          <w:sz w:val="22"/>
          <w:szCs w:val="22"/>
          <w:highlight w:val="none"/>
        </w:rPr>
      </w:pPr>
    </w:p>
    <w:p w14:paraId="1A0DF43A">
      <w:pPr>
        <w:keepNext w:val="0"/>
        <w:keepLines w:val="0"/>
        <w:pageBreakBefore w:val="0"/>
        <w:widowControl w:val="0"/>
        <w:kinsoku/>
        <w:overflowPunct/>
        <w:topLinePunct w:val="0"/>
        <w:bidi w:val="0"/>
        <w:rPr>
          <w:rFonts w:hint="eastAsia" w:ascii="宋体" w:hAnsi="宋体" w:eastAsia="宋体" w:cs="宋体"/>
          <w:b/>
          <w:bCs/>
          <w:color w:val="auto"/>
          <w:spacing w:val="0"/>
          <w:w w:val="100"/>
          <w:sz w:val="36"/>
          <w:szCs w:val="36"/>
          <w:highlight w:val="none"/>
        </w:rPr>
      </w:pPr>
      <w:bookmarkStart w:id="64" w:name="_Toc3304"/>
      <w:bookmarkStart w:id="65" w:name="_Toc12427"/>
      <w:r>
        <w:rPr>
          <w:rFonts w:hint="eastAsia" w:ascii="宋体" w:hAnsi="宋体" w:eastAsia="宋体" w:cs="宋体"/>
          <w:b/>
          <w:bCs/>
          <w:color w:val="auto"/>
          <w:spacing w:val="0"/>
          <w:w w:val="100"/>
          <w:sz w:val="36"/>
          <w:szCs w:val="36"/>
          <w:highlight w:val="none"/>
        </w:rPr>
        <w:br w:type="page"/>
      </w:r>
    </w:p>
    <w:p w14:paraId="24608D7E">
      <w:pPr>
        <w:pStyle w:val="3"/>
        <w:keepNext w:val="0"/>
        <w:keepLines w:val="0"/>
        <w:pageBreakBefore w:val="0"/>
        <w:widowControl w:val="0"/>
        <w:kinsoku/>
        <w:overflowPunct/>
        <w:topLinePunct w:val="0"/>
        <w:bidi w:val="0"/>
        <w:ind w:left="0"/>
        <w:jc w:val="center"/>
        <w:rPr>
          <w:rFonts w:hint="eastAsia" w:ascii="宋体" w:hAnsi="宋体" w:eastAsia="宋体" w:cs="宋体"/>
          <w:b/>
          <w:bCs/>
          <w:color w:val="auto"/>
          <w:spacing w:val="0"/>
          <w:w w:val="100"/>
          <w:sz w:val="36"/>
          <w:szCs w:val="36"/>
          <w:highlight w:val="none"/>
        </w:rPr>
      </w:pPr>
      <w:r>
        <w:rPr>
          <w:rFonts w:hint="eastAsia" w:ascii="宋体" w:hAnsi="宋体" w:eastAsia="宋体" w:cs="宋体"/>
          <w:b/>
          <w:bCs/>
          <w:color w:val="auto"/>
          <w:spacing w:val="0"/>
          <w:w w:val="100"/>
          <w:sz w:val="36"/>
          <w:szCs w:val="36"/>
          <w:highlight w:val="none"/>
        </w:rPr>
        <w:t>第二章  供应商须知</w:t>
      </w:r>
      <w:bookmarkEnd w:id="19"/>
      <w:bookmarkEnd w:id="64"/>
      <w:bookmarkEnd w:id="65"/>
    </w:p>
    <w:p w14:paraId="5B636210">
      <w:pPr>
        <w:pStyle w:val="4"/>
        <w:keepNext w:val="0"/>
        <w:keepLines w:val="0"/>
        <w:pageBreakBefore w:val="0"/>
        <w:widowControl w:val="0"/>
        <w:tabs>
          <w:tab w:val="left" w:pos="1080"/>
        </w:tabs>
        <w:kinsoku/>
        <w:overflowPunct/>
        <w:topLinePunct w:val="0"/>
        <w:bidi w:val="0"/>
        <w:ind w:left="0" w:firstLine="0"/>
        <w:rPr>
          <w:rFonts w:hint="eastAsia" w:ascii="宋体" w:hAnsi="宋体" w:eastAsia="宋体" w:cs="宋体"/>
          <w:b/>
          <w:bCs/>
          <w:color w:val="auto"/>
          <w:spacing w:val="0"/>
          <w:w w:val="100"/>
          <w:sz w:val="24"/>
          <w:szCs w:val="24"/>
          <w:highlight w:val="none"/>
        </w:rPr>
      </w:pPr>
      <w:bookmarkStart w:id="66" w:name="_Toc7506"/>
      <w:r>
        <w:rPr>
          <w:rFonts w:hint="eastAsia" w:ascii="宋体" w:hAnsi="宋体" w:eastAsia="宋体" w:cs="宋体"/>
          <w:b/>
          <w:bCs/>
          <w:color w:val="auto"/>
          <w:spacing w:val="0"/>
          <w:w w:val="100"/>
          <w:sz w:val="24"/>
          <w:szCs w:val="24"/>
          <w:highlight w:val="none"/>
        </w:rPr>
        <w:t>前附表</w:t>
      </w:r>
      <w:bookmarkEnd w:id="66"/>
    </w:p>
    <w:tbl>
      <w:tblPr>
        <w:tblStyle w:val="41"/>
        <w:tblW w:w="9354" w:type="dxa"/>
        <w:jc w:val="center"/>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86"/>
        <w:gridCol w:w="2583"/>
        <w:gridCol w:w="1424"/>
        <w:gridCol w:w="3313"/>
      </w:tblGrid>
      <w:tr w14:paraId="20F74C8A">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607" w:hRule="exact"/>
          <w:jc w:val="center"/>
        </w:trPr>
        <w:tc>
          <w:tcPr>
            <w:tcW w:w="648" w:type="dxa"/>
            <w:vAlign w:val="center"/>
          </w:tcPr>
          <w:p w14:paraId="5C90DC1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宋体" w:hAnsi="宋体" w:eastAsia="宋体" w:cs="宋体"/>
                <w:b/>
                <w:bCs/>
                <w:snapToGrid w:val="0"/>
                <w:color w:val="auto"/>
                <w:spacing w:val="0"/>
                <w:w w:val="100"/>
                <w:sz w:val="22"/>
                <w:szCs w:val="22"/>
                <w:highlight w:val="none"/>
              </w:rPr>
            </w:pPr>
            <w:bookmarkStart w:id="67" w:name="_Toc172608433"/>
            <w:bookmarkStart w:id="68" w:name="_Toc391969409"/>
            <w:r>
              <w:rPr>
                <w:rFonts w:hint="eastAsia" w:ascii="宋体" w:hAnsi="宋体" w:eastAsia="宋体" w:cs="宋体"/>
                <w:b/>
                <w:bCs/>
                <w:snapToGrid w:val="0"/>
                <w:color w:val="auto"/>
                <w:spacing w:val="0"/>
                <w:w w:val="100"/>
                <w:sz w:val="22"/>
                <w:szCs w:val="22"/>
                <w:highlight w:val="none"/>
              </w:rPr>
              <w:t>序号</w:t>
            </w:r>
          </w:p>
        </w:tc>
        <w:tc>
          <w:tcPr>
            <w:tcW w:w="1386" w:type="dxa"/>
            <w:vAlign w:val="center"/>
          </w:tcPr>
          <w:p w14:paraId="1F96A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须知项目</w:t>
            </w:r>
          </w:p>
        </w:tc>
        <w:tc>
          <w:tcPr>
            <w:tcW w:w="7320" w:type="dxa"/>
            <w:gridSpan w:val="3"/>
            <w:vAlign w:val="center"/>
          </w:tcPr>
          <w:p w14:paraId="559C9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内容、要求和时间</w:t>
            </w:r>
          </w:p>
        </w:tc>
      </w:tr>
      <w:tr w14:paraId="40E84452">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792" w:hRule="exact"/>
          <w:jc w:val="center"/>
        </w:trPr>
        <w:tc>
          <w:tcPr>
            <w:tcW w:w="648" w:type="dxa"/>
            <w:vAlign w:val="center"/>
          </w:tcPr>
          <w:p w14:paraId="230A5A23">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1</w:t>
            </w:r>
          </w:p>
        </w:tc>
        <w:tc>
          <w:tcPr>
            <w:tcW w:w="1386" w:type="dxa"/>
            <w:vAlign w:val="center"/>
          </w:tcPr>
          <w:p w14:paraId="72E2BC75">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项目名称</w:t>
            </w:r>
          </w:p>
        </w:tc>
        <w:tc>
          <w:tcPr>
            <w:tcW w:w="7320" w:type="dxa"/>
            <w:gridSpan w:val="3"/>
            <w:vAlign w:val="center"/>
          </w:tcPr>
          <w:p w14:paraId="19E6F4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napToGrid w:val="0"/>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lang w:eastAsia="zh-CN"/>
              </w:rPr>
              <w:t>2024-2025年度庆元县生态质量国家级样地生物多样性调查监测项目</w:t>
            </w:r>
          </w:p>
        </w:tc>
      </w:tr>
      <w:tr w14:paraId="619CA6CE">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47" w:hRule="exact"/>
          <w:jc w:val="center"/>
        </w:trPr>
        <w:tc>
          <w:tcPr>
            <w:tcW w:w="648" w:type="dxa"/>
            <w:vAlign w:val="center"/>
          </w:tcPr>
          <w:p w14:paraId="47F68A2B">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2</w:t>
            </w:r>
          </w:p>
        </w:tc>
        <w:tc>
          <w:tcPr>
            <w:tcW w:w="1386" w:type="dxa"/>
            <w:vAlign w:val="center"/>
          </w:tcPr>
          <w:p w14:paraId="62FC2897">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采购人</w:t>
            </w:r>
          </w:p>
        </w:tc>
        <w:tc>
          <w:tcPr>
            <w:tcW w:w="7320" w:type="dxa"/>
            <w:gridSpan w:val="3"/>
            <w:vAlign w:val="center"/>
          </w:tcPr>
          <w:p w14:paraId="3B4F86C6">
            <w:pPr>
              <w:keepNext w:val="0"/>
              <w:keepLines w:val="0"/>
              <w:pageBreakBefore w:val="0"/>
              <w:widowControl w:val="0"/>
              <w:kinsoku/>
              <w:overflowPunct/>
              <w:topLinePunct w:val="0"/>
              <w:bidi w:val="0"/>
              <w:spacing w:line="440" w:lineRule="exact"/>
              <w:rPr>
                <w:rFonts w:hint="eastAsia" w:ascii="宋体" w:hAnsi="宋体" w:eastAsia="宋体" w:cs="宋体"/>
                <w:bCs/>
                <w:snapToGrid w:val="0"/>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lang w:eastAsia="zh-CN"/>
              </w:rPr>
              <w:t>丽水市生态环境局庆元分局</w:t>
            </w:r>
          </w:p>
        </w:tc>
      </w:tr>
      <w:tr w14:paraId="73791356">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29" w:hRule="exact"/>
          <w:jc w:val="center"/>
        </w:trPr>
        <w:tc>
          <w:tcPr>
            <w:tcW w:w="648" w:type="dxa"/>
            <w:vAlign w:val="center"/>
          </w:tcPr>
          <w:p w14:paraId="36DF83D9">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3</w:t>
            </w:r>
          </w:p>
        </w:tc>
        <w:tc>
          <w:tcPr>
            <w:tcW w:w="1386" w:type="dxa"/>
            <w:vAlign w:val="center"/>
          </w:tcPr>
          <w:p w14:paraId="5A1EE418">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采购代理机构</w:t>
            </w:r>
          </w:p>
        </w:tc>
        <w:tc>
          <w:tcPr>
            <w:tcW w:w="7320" w:type="dxa"/>
            <w:gridSpan w:val="3"/>
            <w:vAlign w:val="center"/>
          </w:tcPr>
          <w:p w14:paraId="2C0D76CE">
            <w:pPr>
              <w:keepNext w:val="0"/>
              <w:keepLines w:val="0"/>
              <w:pageBreakBefore w:val="0"/>
              <w:widowControl w:val="0"/>
              <w:kinsoku/>
              <w:overflowPunct/>
              <w:topLinePunct w:val="0"/>
              <w:bidi w:val="0"/>
              <w:spacing w:line="440" w:lineRule="exact"/>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浙江诚远工程咨询有限公司</w:t>
            </w:r>
          </w:p>
        </w:tc>
      </w:tr>
      <w:tr w14:paraId="06A536B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57" w:hRule="exact"/>
          <w:jc w:val="center"/>
        </w:trPr>
        <w:tc>
          <w:tcPr>
            <w:tcW w:w="648" w:type="dxa"/>
            <w:vAlign w:val="center"/>
          </w:tcPr>
          <w:p w14:paraId="5C8EBFFA">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4</w:t>
            </w:r>
          </w:p>
        </w:tc>
        <w:tc>
          <w:tcPr>
            <w:tcW w:w="1386" w:type="dxa"/>
            <w:vAlign w:val="center"/>
          </w:tcPr>
          <w:p w14:paraId="7A007F72">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采购方式</w:t>
            </w:r>
          </w:p>
        </w:tc>
        <w:tc>
          <w:tcPr>
            <w:tcW w:w="2583" w:type="dxa"/>
            <w:vAlign w:val="center"/>
          </w:tcPr>
          <w:p w14:paraId="16EC608F">
            <w:pPr>
              <w:keepNext w:val="0"/>
              <w:keepLines w:val="0"/>
              <w:pageBreakBefore w:val="0"/>
              <w:widowControl w:val="0"/>
              <w:kinsoku/>
              <w:overflowPunct/>
              <w:topLinePunct w:val="0"/>
              <w:bidi w:val="0"/>
              <w:spacing w:line="440" w:lineRule="exact"/>
              <w:jc w:val="center"/>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竞争性磋商</w:t>
            </w:r>
          </w:p>
        </w:tc>
        <w:tc>
          <w:tcPr>
            <w:tcW w:w="1424" w:type="dxa"/>
            <w:vAlign w:val="center"/>
          </w:tcPr>
          <w:p w14:paraId="3A23E897">
            <w:pPr>
              <w:keepNext w:val="0"/>
              <w:keepLines w:val="0"/>
              <w:pageBreakBefore w:val="0"/>
              <w:widowControl w:val="0"/>
              <w:kinsoku/>
              <w:overflowPunct/>
              <w:topLinePunct w:val="0"/>
              <w:bidi w:val="0"/>
              <w:spacing w:line="440" w:lineRule="exact"/>
              <w:jc w:val="center"/>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组织方式</w:t>
            </w:r>
          </w:p>
        </w:tc>
        <w:tc>
          <w:tcPr>
            <w:tcW w:w="3313" w:type="dxa"/>
            <w:vAlign w:val="center"/>
          </w:tcPr>
          <w:p w14:paraId="38E267C9">
            <w:pPr>
              <w:keepNext w:val="0"/>
              <w:keepLines w:val="0"/>
              <w:pageBreakBefore w:val="0"/>
              <w:widowControl w:val="0"/>
              <w:kinsoku/>
              <w:overflowPunct/>
              <w:topLinePunct w:val="0"/>
              <w:bidi w:val="0"/>
              <w:spacing w:line="440" w:lineRule="exact"/>
              <w:jc w:val="center"/>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分散采购</w:t>
            </w:r>
          </w:p>
        </w:tc>
      </w:tr>
      <w:tr w14:paraId="69D08FEA">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777" w:hRule="exact"/>
          <w:jc w:val="center"/>
        </w:trPr>
        <w:tc>
          <w:tcPr>
            <w:tcW w:w="648" w:type="dxa"/>
            <w:vAlign w:val="center"/>
          </w:tcPr>
          <w:p w14:paraId="64BF0829">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5</w:t>
            </w:r>
          </w:p>
        </w:tc>
        <w:tc>
          <w:tcPr>
            <w:tcW w:w="1386" w:type="dxa"/>
            <w:vAlign w:val="center"/>
          </w:tcPr>
          <w:p w14:paraId="5BDB0985">
            <w:pPr>
              <w:keepNext w:val="0"/>
              <w:keepLines w:val="0"/>
              <w:pageBreakBefore w:val="0"/>
              <w:widowControl w:val="0"/>
              <w:kinsoku/>
              <w:overflowPunct/>
              <w:topLinePunct w:val="0"/>
              <w:bidi w:val="0"/>
              <w:spacing w:line="440" w:lineRule="exact"/>
              <w:ind w:left="-105" w:leftChars="-50" w:right="-105" w:rightChars="-50"/>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资格审查方式</w:t>
            </w:r>
          </w:p>
        </w:tc>
        <w:tc>
          <w:tcPr>
            <w:tcW w:w="7320" w:type="dxa"/>
            <w:gridSpan w:val="3"/>
            <w:vAlign w:val="center"/>
          </w:tcPr>
          <w:p w14:paraId="6D7C644E">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采用资格后审，供应商获取竞争性磋商文件或提交响应文件不表明已获取磋商资格，磋商会上通过资格审查的供应商才具有磋商资格。</w:t>
            </w:r>
          </w:p>
        </w:tc>
      </w:tr>
      <w:tr w14:paraId="12AFDB9D">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93" w:hRule="exact"/>
          <w:jc w:val="center"/>
        </w:trPr>
        <w:tc>
          <w:tcPr>
            <w:tcW w:w="648" w:type="dxa"/>
            <w:vAlign w:val="center"/>
          </w:tcPr>
          <w:p w14:paraId="3B8DB609">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6</w:t>
            </w:r>
          </w:p>
        </w:tc>
        <w:tc>
          <w:tcPr>
            <w:tcW w:w="1386" w:type="dxa"/>
            <w:vAlign w:val="center"/>
          </w:tcPr>
          <w:p w14:paraId="149BD067">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磋商有效期</w:t>
            </w:r>
          </w:p>
        </w:tc>
        <w:tc>
          <w:tcPr>
            <w:tcW w:w="7320" w:type="dxa"/>
            <w:gridSpan w:val="3"/>
            <w:vAlign w:val="center"/>
          </w:tcPr>
          <w:p w14:paraId="2D4EE90E">
            <w:pPr>
              <w:keepNext w:val="0"/>
              <w:keepLines w:val="0"/>
              <w:pageBreakBefore w:val="0"/>
              <w:widowControl w:val="0"/>
              <w:kinsoku/>
              <w:overflowPunct/>
              <w:topLinePunct w:val="0"/>
              <w:bidi w:val="0"/>
              <w:spacing w:line="440" w:lineRule="exact"/>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color w:val="auto"/>
                <w:spacing w:val="0"/>
                <w:w w:val="100"/>
                <w:sz w:val="22"/>
                <w:szCs w:val="22"/>
                <w:highlight w:val="none"/>
              </w:rPr>
              <w:t>响应文件提交截止</w:t>
            </w:r>
            <w:r>
              <w:rPr>
                <w:rFonts w:hint="eastAsia" w:ascii="宋体" w:hAnsi="宋体" w:eastAsia="宋体" w:cs="宋体"/>
                <w:bCs/>
                <w:snapToGrid w:val="0"/>
                <w:color w:val="auto"/>
                <w:spacing w:val="0"/>
                <w:w w:val="100"/>
                <w:sz w:val="22"/>
                <w:szCs w:val="22"/>
                <w:highlight w:val="none"/>
              </w:rPr>
              <w:t>之日起90天内有效</w:t>
            </w:r>
          </w:p>
        </w:tc>
      </w:tr>
      <w:tr w14:paraId="1745DDDE">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985" w:hRule="exact"/>
          <w:jc w:val="center"/>
        </w:trPr>
        <w:tc>
          <w:tcPr>
            <w:tcW w:w="648" w:type="dxa"/>
            <w:vAlign w:val="center"/>
          </w:tcPr>
          <w:p w14:paraId="116B6693">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7</w:t>
            </w:r>
          </w:p>
        </w:tc>
        <w:tc>
          <w:tcPr>
            <w:tcW w:w="1386" w:type="dxa"/>
            <w:vAlign w:val="center"/>
          </w:tcPr>
          <w:p w14:paraId="3E644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磋商文件</w:t>
            </w:r>
          </w:p>
          <w:p w14:paraId="43587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质疑</w:t>
            </w:r>
          </w:p>
        </w:tc>
        <w:tc>
          <w:tcPr>
            <w:tcW w:w="7320" w:type="dxa"/>
            <w:gridSpan w:val="3"/>
            <w:vAlign w:val="center"/>
          </w:tcPr>
          <w:p w14:paraId="2A1847B1">
            <w:pPr>
              <w:keepNext w:val="0"/>
              <w:keepLines w:val="0"/>
              <w:pageBreakBefore w:val="0"/>
              <w:widowControl w:val="0"/>
              <w:kinsoku/>
              <w:overflowPunct/>
              <w:topLinePunct w:val="0"/>
              <w:bidi w:val="0"/>
              <w:spacing w:line="400" w:lineRule="exact"/>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color w:val="auto"/>
                <w:spacing w:val="0"/>
                <w:w w:val="100"/>
                <w:sz w:val="22"/>
                <w:szCs w:val="22"/>
                <w:highlight w:val="none"/>
              </w:rPr>
              <w:t>1、只有通过电子交易平台“潜在供应商”栏获取竞争性磋商文件的供应商才能对竞争性磋商文件提出质疑（质疑时间详见前附表），否则不予受</w:t>
            </w:r>
            <w:r>
              <w:rPr>
                <w:rFonts w:hint="eastAsia" w:ascii="宋体" w:hAnsi="宋体" w:eastAsia="宋体" w:cs="宋体"/>
                <w:bCs/>
                <w:snapToGrid w:val="0"/>
                <w:color w:val="auto"/>
                <w:spacing w:val="0"/>
                <w:w w:val="100"/>
                <w:sz w:val="22"/>
                <w:szCs w:val="22"/>
                <w:highlight w:val="none"/>
              </w:rPr>
              <w:t>理。</w:t>
            </w:r>
          </w:p>
          <w:p w14:paraId="443CCF13">
            <w:pPr>
              <w:keepNext w:val="0"/>
              <w:keepLines w:val="0"/>
              <w:pageBreakBefore w:val="0"/>
              <w:widowControl w:val="0"/>
              <w:kinsoku/>
              <w:overflowPunct/>
              <w:topLinePunct w:val="0"/>
              <w:bidi w:val="0"/>
              <w:spacing w:line="400" w:lineRule="exact"/>
              <w:rPr>
                <w:rFonts w:hint="eastAsia" w:ascii="宋体" w:hAnsi="宋体" w:eastAsia="宋体" w:cs="宋体"/>
                <w:bCs/>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2、质疑期限为自磋商公告期限届满之日（磋商公告届满日为公告发布后的第4个工作日）起7个工作日内，以书面形式向采购人和采购代理机构一次性提出质疑。</w:t>
            </w:r>
          </w:p>
        </w:tc>
      </w:tr>
      <w:tr w14:paraId="134CEC6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648" w:type="dxa"/>
            <w:vAlign w:val="center"/>
          </w:tcPr>
          <w:p w14:paraId="4D5B8C3B">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8</w:t>
            </w:r>
          </w:p>
        </w:tc>
        <w:tc>
          <w:tcPr>
            <w:tcW w:w="1386" w:type="dxa"/>
            <w:vAlign w:val="center"/>
          </w:tcPr>
          <w:p w14:paraId="19BD2410">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磋商文件澄清或修改时间</w:t>
            </w:r>
          </w:p>
        </w:tc>
        <w:tc>
          <w:tcPr>
            <w:tcW w:w="7320" w:type="dxa"/>
            <w:gridSpan w:val="3"/>
            <w:vAlign w:val="center"/>
          </w:tcPr>
          <w:p w14:paraId="0A162191">
            <w:pPr>
              <w:keepNext w:val="0"/>
              <w:keepLines w:val="0"/>
              <w:pageBreakBefore w:val="0"/>
              <w:widowControl w:val="0"/>
              <w:kinsoku/>
              <w:overflowPunct/>
              <w:topLinePunct w:val="0"/>
              <w:bidi w:val="0"/>
              <w:spacing w:line="440" w:lineRule="exact"/>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color w:val="auto"/>
                <w:spacing w:val="0"/>
                <w:w w:val="100"/>
                <w:sz w:val="22"/>
                <w:szCs w:val="22"/>
                <w:highlight w:val="none"/>
              </w:rPr>
              <w:t>提交响应文件截止时间5日前，</w:t>
            </w:r>
            <w:r>
              <w:rPr>
                <w:rFonts w:hint="eastAsia" w:ascii="宋体" w:hAnsi="宋体" w:eastAsia="宋体" w:cs="宋体"/>
                <w:color w:val="auto"/>
                <w:spacing w:val="0"/>
                <w:w w:val="100"/>
                <w:sz w:val="22"/>
                <w:szCs w:val="22"/>
                <w:highlight w:val="none"/>
              </w:rPr>
              <w:t>发布网址同磋商公告发布网址。</w:t>
            </w:r>
          </w:p>
        </w:tc>
      </w:tr>
      <w:tr w14:paraId="4AEF1B8F">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366" w:hRule="exact"/>
          <w:jc w:val="center"/>
        </w:trPr>
        <w:tc>
          <w:tcPr>
            <w:tcW w:w="648" w:type="dxa"/>
            <w:vAlign w:val="center"/>
          </w:tcPr>
          <w:p w14:paraId="474A957B">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9</w:t>
            </w:r>
          </w:p>
        </w:tc>
        <w:tc>
          <w:tcPr>
            <w:tcW w:w="1386" w:type="dxa"/>
            <w:vAlign w:val="center"/>
          </w:tcPr>
          <w:p w14:paraId="36C33246">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响应文件</w:t>
            </w:r>
          </w:p>
          <w:p w14:paraId="3A8E95EB">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提交方式</w:t>
            </w:r>
          </w:p>
        </w:tc>
        <w:tc>
          <w:tcPr>
            <w:tcW w:w="7320" w:type="dxa"/>
            <w:gridSpan w:val="3"/>
            <w:vAlign w:val="center"/>
          </w:tcPr>
          <w:p w14:paraId="4F85788D">
            <w:pPr>
              <w:pStyle w:val="82"/>
              <w:keepNext w:val="0"/>
              <w:keepLines w:val="0"/>
              <w:pageBreakBefore w:val="0"/>
              <w:widowControl w:val="0"/>
              <w:kinsoku/>
              <w:overflowPunct/>
              <w:topLinePunct w:val="0"/>
              <w:autoSpaceDE/>
              <w:autoSpaceDN/>
              <w:bidi w:val="0"/>
              <w:spacing w:line="380" w:lineRule="exact"/>
              <w:ind w:left="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接收人：浙江诚远工程咨询有限公司</w:t>
            </w:r>
          </w:p>
          <w:p w14:paraId="02C6590B">
            <w:pPr>
              <w:keepNext w:val="0"/>
              <w:keepLines w:val="0"/>
              <w:pageBreakBefore w:val="0"/>
              <w:widowControl w:val="0"/>
              <w:kinsoku/>
              <w:overflowPunct/>
              <w:topLinePunct w:val="0"/>
              <w:autoSpaceDE/>
              <w:autoSpaceDN/>
              <w:bidi w:val="0"/>
              <w:spacing w:line="380" w:lineRule="exact"/>
              <w:ind w:left="118" w:hanging="108" w:hangingChars="49"/>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提交响应文件截止时间</w:t>
            </w:r>
            <w:r>
              <w:rPr>
                <w:rFonts w:hint="eastAsia" w:ascii="宋体" w:hAnsi="宋体" w:eastAsia="宋体" w:cs="宋体"/>
                <w:color w:val="auto"/>
                <w:spacing w:val="0"/>
                <w:w w:val="100"/>
                <w:sz w:val="22"/>
                <w:szCs w:val="22"/>
                <w:highlight w:val="none"/>
              </w:rPr>
              <w:t>：</w:t>
            </w:r>
            <w:r>
              <w:rPr>
                <w:rFonts w:hint="eastAsia" w:ascii="宋体" w:hAnsi="宋体" w:eastAsia="宋体" w:cs="宋体"/>
                <w:b/>
                <w:color w:val="auto"/>
                <w:spacing w:val="0"/>
                <w:w w:val="100"/>
                <w:sz w:val="22"/>
                <w:szCs w:val="22"/>
                <w:highlight w:val="none"/>
                <w:u w:val="single"/>
                <w:lang w:eastAsia="zh-CN"/>
              </w:rPr>
              <w:t>2024年9月</w:t>
            </w:r>
            <w:r>
              <w:rPr>
                <w:rFonts w:hint="eastAsia" w:ascii="宋体" w:hAnsi="宋体" w:eastAsia="宋体" w:cs="宋体"/>
                <w:b/>
                <w:color w:val="auto"/>
                <w:spacing w:val="0"/>
                <w:w w:val="100"/>
                <w:sz w:val="22"/>
                <w:szCs w:val="22"/>
                <w:highlight w:val="none"/>
                <w:u w:val="single"/>
                <w:lang w:val="en-US" w:eastAsia="zh-CN"/>
              </w:rPr>
              <w:t>23</w:t>
            </w:r>
            <w:r>
              <w:rPr>
                <w:rFonts w:hint="eastAsia" w:ascii="宋体" w:hAnsi="宋体" w:eastAsia="宋体" w:cs="宋体"/>
                <w:b/>
                <w:color w:val="auto"/>
                <w:spacing w:val="0"/>
                <w:w w:val="100"/>
                <w:sz w:val="22"/>
                <w:szCs w:val="22"/>
                <w:highlight w:val="none"/>
                <w:u w:val="single"/>
                <w:lang w:eastAsia="zh-CN"/>
              </w:rPr>
              <w:t>日</w:t>
            </w:r>
            <w:r>
              <w:rPr>
                <w:rFonts w:hint="eastAsia" w:ascii="宋体" w:hAnsi="宋体" w:eastAsia="宋体" w:cs="宋体"/>
                <w:b/>
                <w:color w:val="auto"/>
                <w:spacing w:val="0"/>
                <w:w w:val="100"/>
                <w:sz w:val="22"/>
                <w:szCs w:val="22"/>
                <w:highlight w:val="none"/>
                <w:u w:val="single"/>
              </w:rPr>
              <w:t>09时00分</w:t>
            </w:r>
          </w:p>
          <w:p w14:paraId="4C8B7545">
            <w:pPr>
              <w:keepNext w:val="0"/>
              <w:keepLines w:val="0"/>
              <w:pageBreakBefore w:val="0"/>
              <w:widowControl w:val="0"/>
              <w:tabs>
                <w:tab w:val="left" w:pos="0"/>
                <w:tab w:val="left" w:pos="1134"/>
              </w:tabs>
              <w:kinsoku/>
              <w:overflowPunct/>
              <w:topLinePunct w:val="0"/>
              <w:autoSpaceDE/>
              <w:autoSpaceDN/>
              <w:bidi w:val="0"/>
              <w:adjustRightInd w:val="0"/>
              <w:snapToGrid w:val="0"/>
              <w:spacing w:line="380" w:lineRule="exact"/>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提交响应文件地点：</w:t>
            </w:r>
          </w:p>
          <w:p w14:paraId="07DC0F98">
            <w:pPr>
              <w:pStyle w:val="22"/>
              <w:keepNext w:val="0"/>
              <w:keepLines w:val="0"/>
              <w:pageBreakBefore w:val="0"/>
              <w:widowControl w:val="0"/>
              <w:kinsoku/>
              <w:overflowPunct/>
              <w:topLinePunct w:val="0"/>
              <w:autoSpaceDE/>
              <w:autoSpaceDN/>
              <w:bidi w:val="0"/>
              <w:adjustRightInd w:val="0"/>
              <w:snapToGrid w:val="0"/>
              <w:spacing w:line="380" w:lineRule="exact"/>
              <w:ind w:left="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（1）电子响应文件：磋商截止时间前在政采云平台完成电子响应文件的传输提交；</w:t>
            </w:r>
          </w:p>
          <w:p w14:paraId="31D53FF2">
            <w:pPr>
              <w:pStyle w:val="22"/>
              <w:keepNext w:val="0"/>
              <w:keepLines w:val="0"/>
              <w:pageBreakBefore w:val="0"/>
              <w:widowControl w:val="0"/>
              <w:kinsoku/>
              <w:overflowPunct/>
              <w:topLinePunct w:val="0"/>
              <w:autoSpaceDE/>
              <w:autoSpaceDN/>
              <w:bidi w:val="0"/>
              <w:adjustRightInd w:val="0"/>
              <w:snapToGrid w:val="0"/>
              <w:spacing w:line="380" w:lineRule="exact"/>
              <w:ind w:left="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color w:val="auto"/>
                <w:spacing w:val="0"/>
                <w:w w:val="100"/>
                <w:sz w:val="22"/>
                <w:szCs w:val="22"/>
                <w:highlight w:val="none"/>
              </w:rPr>
              <w:t>（2）备份响应文件：备份响应文件是否提交由供应商自行决定，如不提交的，当电子响应文件无法解密时，将导致无备份响应文件而失去磋商资格；如提交备份响应文件的，应在磋商截止时间前将最后生成的具有电子签章的备份响应文件通过电子邮件方式传送至代理机构邮箱（1262850359@qq.com），传送的备份响应文件须打包压缩并加密，密码由供应商自行保管，压缩包命名为“备份响应文件”，并在邮件中注明供应商名称及项目名称。</w:t>
            </w:r>
          </w:p>
        </w:tc>
      </w:tr>
      <w:tr w14:paraId="55E08EC8">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03" w:hRule="exact"/>
          <w:jc w:val="center"/>
        </w:trPr>
        <w:tc>
          <w:tcPr>
            <w:tcW w:w="648" w:type="dxa"/>
            <w:vAlign w:val="center"/>
          </w:tcPr>
          <w:p w14:paraId="27FDC5DB">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10</w:t>
            </w:r>
          </w:p>
        </w:tc>
        <w:tc>
          <w:tcPr>
            <w:tcW w:w="1386" w:type="dxa"/>
            <w:vAlign w:val="center"/>
          </w:tcPr>
          <w:p w14:paraId="392F2825">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磋商时间</w:t>
            </w:r>
          </w:p>
          <w:p w14:paraId="43D24808">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及地点</w:t>
            </w:r>
          </w:p>
        </w:tc>
        <w:tc>
          <w:tcPr>
            <w:tcW w:w="7320" w:type="dxa"/>
            <w:gridSpan w:val="3"/>
            <w:vAlign w:val="center"/>
          </w:tcPr>
          <w:p w14:paraId="08BFA192">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时间：</w:t>
            </w:r>
            <w:r>
              <w:rPr>
                <w:rFonts w:hint="eastAsia" w:ascii="宋体" w:hAnsi="宋体" w:eastAsia="宋体" w:cs="宋体"/>
                <w:b/>
                <w:color w:val="auto"/>
                <w:spacing w:val="0"/>
                <w:w w:val="100"/>
                <w:sz w:val="22"/>
                <w:szCs w:val="22"/>
                <w:highlight w:val="none"/>
                <w:u w:val="single"/>
                <w:lang w:eastAsia="zh-CN"/>
              </w:rPr>
              <w:t>2024年9月</w:t>
            </w:r>
            <w:r>
              <w:rPr>
                <w:rFonts w:hint="eastAsia" w:ascii="宋体" w:hAnsi="宋体" w:eastAsia="宋体" w:cs="宋体"/>
                <w:b/>
                <w:color w:val="auto"/>
                <w:spacing w:val="0"/>
                <w:w w:val="100"/>
                <w:sz w:val="22"/>
                <w:szCs w:val="22"/>
                <w:highlight w:val="none"/>
                <w:u w:val="single"/>
                <w:lang w:val="en-US" w:eastAsia="zh-CN"/>
              </w:rPr>
              <w:t>23</w:t>
            </w:r>
            <w:r>
              <w:rPr>
                <w:rFonts w:hint="eastAsia" w:ascii="宋体" w:hAnsi="宋体" w:eastAsia="宋体" w:cs="宋体"/>
                <w:b/>
                <w:color w:val="auto"/>
                <w:spacing w:val="0"/>
                <w:w w:val="100"/>
                <w:sz w:val="22"/>
                <w:szCs w:val="22"/>
                <w:highlight w:val="none"/>
                <w:u w:val="single"/>
                <w:lang w:eastAsia="zh-CN"/>
              </w:rPr>
              <w:t>日</w:t>
            </w:r>
            <w:r>
              <w:rPr>
                <w:rFonts w:hint="eastAsia" w:ascii="宋体" w:hAnsi="宋体" w:eastAsia="宋体" w:cs="宋体"/>
                <w:b/>
                <w:color w:val="auto"/>
                <w:spacing w:val="0"/>
                <w:w w:val="100"/>
                <w:sz w:val="22"/>
                <w:szCs w:val="22"/>
                <w:highlight w:val="none"/>
                <w:u w:val="single"/>
              </w:rPr>
              <w:t>09时00分开始</w:t>
            </w:r>
          </w:p>
          <w:p w14:paraId="65BDF7AA">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kern w:val="0"/>
                <w:sz w:val="22"/>
                <w:szCs w:val="22"/>
                <w:highlight w:val="none"/>
              </w:rPr>
              <w:t>地点：</w:t>
            </w:r>
            <w:r>
              <w:rPr>
                <w:rFonts w:hint="eastAsia" w:ascii="宋体" w:hAnsi="宋体" w:eastAsia="宋体" w:cs="宋体"/>
                <w:color w:val="auto"/>
                <w:spacing w:val="0"/>
                <w:w w:val="100"/>
                <w:sz w:val="22"/>
                <w:szCs w:val="22"/>
                <w:highlight w:val="none"/>
              </w:rPr>
              <w:t>浙江政府采购网</w:t>
            </w:r>
            <w:r>
              <w:rPr>
                <w:rFonts w:hint="eastAsia" w:ascii="宋体" w:hAnsi="宋体" w:eastAsia="宋体" w:cs="宋体"/>
                <w:color w:val="auto"/>
                <w:spacing w:val="0"/>
                <w:w w:val="100"/>
                <w:sz w:val="22"/>
                <w:szCs w:val="22"/>
                <w:highlight w:val="none"/>
                <w:lang w:val="en-US"/>
              </w:rPr>
              <w:t>http://zfcg.czt.zj.gov.cn</w:t>
            </w:r>
          </w:p>
        </w:tc>
      </w:tr>
      <w:tr w14:paraId="4EA0CEDC">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506" w:hRule="exact"/>
          <w:jc w:val="center"/>
        </w:trPr>
        <w:tc>
          <w:tcPr>
            <w:tcW w:w="648" w:type="dxa"/>
            <w:vAlign w:val="center"/>
          </w:tcPr>
          <w:p w14:paraId="4EAEEA8C">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11</w:t>
            </w:r>
          </w:p>
        </w:tc>
        <w:tc>
          <w:tcPr>
            <w:tcW w:w="1386" w:type="dxa"/>
            <w:vAlign w:val="center"/>
          </w:tcPr>
          <w:p w14:paraId="7349AE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成交结果公告及成交通知书</w:t>
            </w:r>
          </w:p>
        </w:tc>
        <w:tc>
          <w:tcPr>
            <w:tcW w:w="7320" w:type="dxa"/>
            <w:gridSpan w:val="3"/>
            <w:vAlign w:val="center"/>
          </w:tcPr>
          <w:p w14:paraId="404E39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kern w:val="0"/>
                <w:sz w:val="22"/>
                <w:szCs w:val="22"/>
                <w:highlight w:val="none"/>
              </w:rPr>
              <w:t>评审报告经采购人确认后2个工作日内，成交公告在浙江政府采购网（</w:t>
            </w:r>
            <w:r>
              <w:rPr>
                <w:rStyle w:val="46"/>
                <w:rFonts w:hint="eastAsia" w:ascii="宋体" w:hAnsi="宋体" w:eastAsia="宋体" w:cs="宋体"/>
                <w:color w:val="auto"/>
                <w:spacing w:val="0"/>
                <w:w w:val="100"/>
                <w:sz w:val="22"/>
                <w:szCs w:val="22"/>
                <w:highlight w:val="none"/>
              </w:rPr>
              <w:t>http://zfcg.czt.zj.gov.cn</w:t>
            </w:r>
            <w:r>
              <w:rPr>
                <w:rFonts w:hint="eastAsia" w:ascii="宋体" w:hAnsi="宋体" w:eastAsia="宋体" w:cs="宋体"/>
                <w:color w:val="auto"/>
                <w:spacing w:val="0"/>
                <w:w w:val="100"/>
                <w:sz w:val="22"/>
                <w:szCs w:val="22"/>
                <w:highlight w:val="none"/>
                <w:u w:val="single"/>
              </w:rPr>
              <w:t>/</w:t>
            </w:r>
            <w:r>
              <w:rPr>
                <w:rFonts w:hint="eastAsia" w:ascii="宋体" w:hAnsi="宋体" w:eastAsia="宋体" w:cs="宋体"/>
                <w:bCs/>
                <w:color w:val="auto"/>
                <w:spacing w:val="0"/>
                <w:w w:val="100"/>
                <w:kern w:val="0"/>
                <w:sz w:val="22"/>
                <w:szCs w:val="22"/>
                <w:highlight w:val="none"/>
              </w:rPr>
              <w:t>）、丽水市公共资源交易网（庆元）（http://lssggzy.lishui.gov.cn/qyweb/）等媒体上发布，并同时发出成交通知书。</w:t>
            </w:r>
          </w:p>
        </w:tc>
      </w:tr>
      <w:tr w14:paraId="63087708">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09" w:hRule="exact"/>
          <w:jc w:val="center"/>
        </w:trPr>
        <w:tc>
          <w:tcPr>
            <w:tcW w:w="648" w:type="dxa"/>
            <w:vAlign w:val="center"/>
          </w:tcPr>
          <w:p w14:paraId="2DE30D9C">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sz w:val="22"/>
                <w:szCs w:val="22"/>
                <w:highlight w:val="none"/>
              </w:rPr>
            </w:pPr>
            <w:r>
              <w:rPr>
                <w:rFonts w:hint="eastAsia" w:ascii="宋体" w:hAnsi="宋体" w:eastAsia="宋体" w:cs="宋体"/>
                <w:b/>
                <w:bCs w:val="0"/>
                <w:snapToGrid w:val="0"/>
                <w:color w:val="auto"/>
                <w:spacing w:val="0"/>
                <w:w w:val="100"/>
                <w:sz w:val="22"/>
                <w:szCs w:val="22"/>
                <w:highlight w:val="none"/>
              </w:rPr>
              <w:t>12</w:t>
            </w:r>
          </w:p>
        </w:tc>
        <w:tc>
          <w:tcPr>
            <w:tcW w:w="1386" w:type="dxa"/>
            <w:vAlign w:val="center"/>
          </w:tcPr>
          <w:p w14:paraId="43B067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评审办法和细则</w:t>
            </w:r>
          </w:p>
        </w:tc>
        <w:tc>
          <w:tcPr>
            <w:tcW w:w="7320" w:type="dxa"/>
            <w:gridSpan w:val="3"/>
            <w:vAlign w:val="center"/>
          </w:tcPr>
          <w:p w14:paraId="48039947">
            <w:pPr>
              <w:keepNext w:val="0"/>
              <w:keepLines w:val="0"/>
              <w:pageBreakBefore w:val="0"/>
              <w:widowControl w:val="0"/>
              <w:kinsoku/>
              <w:overflowPunct/>
              <w:topLinePunct w:val="0"/>
              <w:bidi w:val="0"/>
              <w:spacing w:line="440" w:lineRule="exact"/>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详见本磋商文件第六章</w:t>
            </w:r>
          </w:p>
        </w:tc>
      </w:tr>
      <w:tr w14:paraId="277FDC5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09" w:hRule="exact"/>
          <w:jc w:val="center"/>
        </w:trPr>
        <w:tc>
          <w:tcPr>
            <w:tcW w:w="648" w:type="dxa"/>
            <w:vAlign w:val="center"/>
          </w:tcPr>
          <w:p w14:paraId="5BB7C877">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2"/>
                <w:sz w:val="22"/>
                <w:szCs w:val="22"/>
                <w:highlight w:val="none"/>
                <w:lang w:val="en-US" w:eastAsia="zh-CN" w:bidi="ar-SA"/>
              </w:rPr>
            </w:pPr>
            <w:r>
              <w:rPr>
                <w:rFonts w:hint="eastAsia" w:ascii="宋体" w:hAnsi="宋体" w:eastAsia="宋体" w:cs="宋体"/>
                <w:b/>
                <w:bCs w:val="0"/>
                <w:snapToGrid w:val="0"/>
                <w:color w:val="auto"/>
                <w:spacing w:val="0"/>
                <w:w w:val="100"/>
                <w:sz w:val="22"/>
                <w:szCs w:val="22"/>
                <w:highlight w:val="none"/>
              </w:rPr>
              <w:t>13</w:t>
            </w:r>
          </w:p>
        </w:tc>
        <w:tc>
          <w:tcPr>
            <w:tcW w:w="1386" w:type="dxa"/>
            <w:vAlign w:val="center"/>
          </w:tcPr>
          <w:p w14:paraId="5E851E9F">
            <w:pPr>
              <w:keepNext w:val="0"/>
              <w:keepLines w:val="0"/>
              <w:pageBreakBefore w:val="0"/>
              <w:widowControl w:val="0"/>
              <w:kinsoku/>
              <w:overflowPunct/>
              <w:topLinePunct w:val="0"/>
              <w:bidi w:val="0"/>
              <w:spacing w:line="40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踏勘现场</w:t>
            </w:r>
          </w:p>
        </w:tc>
        <w:tc>
          <w:tcPr>
            <w:tcW w:w="7320" w:type="dxa"/>
            <w:gridSpan w:val="3"/>
            <w:vAlign w:val="center"/>
          </w:tcPr>
          <w:p w14:paraId="068AB0B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不组织，供应商如有需要，可自行前往，踏勘期间发生的费用或意外导致伤亡等一切责任和损失均由供应商自负。</w:t>
            </w:r>
          </w:p>
        </w:tc>
      </w:tr>
      <w:tr w14:paraId="7DE11BF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64" w:hRule="exact"/>
          <w:jc w:val="center"/>
        </w:trPr>
        <w:tc>
          <w:tcPr>
            <w:tcW w:w="648" w:type="dxa"/>
            <w:vAlign w:val="center"/>
          </w:tcPr>
          <w:p w14:paraId="1DD10F0C">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2"/>
                <w:sz w:val="22"/>
                <w:szCs w:val="22"/>
                <w:highlight w:val="none"/>
                <w:lang w:val="en-US" w:eastAsia="zh-CN" w:bidi="ar-SA"/>
              </w:rPr>
            </w:pPr>
            <w:r>
              <w:rPr>
                <w:rFonts w:hint="eastAsia" w:ascii="宋体" w:hAnsi="宋体" w:eastAsia="宋体" w:cs="宋体"/>
                <w:b/>
                <w:bCs w:val="0"/>
                <w:snapToGrid w:val="0"/>
                <w:color w:val="auto"/>
                <w:spacing w:val="0"/>
                <w:w w:val="100"/>
                <w:sz w:val="22"/>
                <w:szCs w:val="22"/>
                <w:highlight w:val="none"/>
              </w:rPr>
              <w:t>14</w:t>
            </w:r>
          </w:p>
        </w:tc>
        <w:tc>
          <w:tcPr>
            <w:tcW w:w="1386" w:type="dxa"/>
            <w:vAlign w:val="center"/>
          </w:tcPr>
          <w:p w14:paraId="7701904F">
            <w:pPr>
              <w:keepNext w:val="0"/>
              <w:keepLines w:val="0"/>
              <w:pageBreakBefore w:val="0"/>
              <w:widowControl w:val="0"/>
              <w:kinsoku/>
              <w:overflowPunct/>
              <w:topLinePunct w:val="0"/>
              <w:bidi w:val="0"/>
              <w:spacing w:line="40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答疑会</w:t>
            </w:r>
          </w:p>
        </w:tc>
        <w:tc>
          <w:tcPr>
            <w:tcW w:w="7320" w:type="dxa"/>
            <w:gridSpan w:val="3"/>
            <w:vAlign w:val="center"/>
          </w:tcPr>
          <w:p w14:paraId="4001BCAC">
            <w:pPr>
              <w:keepNext w:val="0"/>
              <w:keepLines w:val="0"/>
              <w:pageBreakBefore w:val="0"/>
              <w:widowControl w:val="0"/>
              <w:kinsoku/>
              <w:overflowPunct/>
              <w:topLinePunct w:val="0"/>
              <w:bidi w:val="0"/>
              <w:spacing w:line="400" w:lineRule="exact"/>
              <w:jc w:val="left"/>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不召开</w:t>
            </w:r>
          </w:p>
        </w:tc>
      </w:tr>
      <w:tr w14:paraId="23C3BE71">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609" w:hRule="exact"/>
          <w:jc w:val="center"/>
        </w:trPr>
        <w:tc>
          <w:tcPr>
            <w:tcW w:w="648" w:type="dxa"/>
            <w:vAlign w:val="center"/>
          </w:tcPr>
          <w:p w14:paraId="44FC5302">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2"/>
                <w:sz w:val="22"/>
                <w:szCs w:val="22"/>
                <w:highlight w:val="none"/>
                <w:lang w:val="en-US" w:eastAsia="zh-CN" w:bidi="ar-SA"/>
              </w:rPr>
            </w:pPr>
            <w:r>
              <w:rPr>
                <w:rFonts w:hint="eastAsia" w:ascii="宋体" w:hAnsi="宋体" w:eastAsia="宋体" w:cs="宋体"/>
                <w:b/>
                <w:bCs w:val="0"/>
                <w:snapToGrid w:val="0"/>
                <w:color w:val="auto"/>
                <w:spacing w:val="0"/>
                <w:w w:val="100"/>
                <w:sz w:val="22"/>
                <w:szCs w:val="22"/>
                <w:highlight w:val="none"/>
              </w:rPr>
              <w:t>15</w:t>
            </w:r>
          </w:p>
        </w:tc>
        <w:tc>
          <w:tcPr>
            <w:tcW w:w="1386" w:type="dxa"/>
            <w:vAlign w:val="center"/>
          </w:tcPr>
          <w:p w14:paraId="0AA04402">
            <w:pPr>
              <w:keepNext w:val="0"/>
              <w:keepLines w:val="0"/>
              <w:pageBreakBefore w:val="0"/>
              <w:widowControl w:val="0"/>
              <w:kinsoku/>
              <w:overflowPunct/>
              <w:topLinePunct w:val="0"/>
              <w:bidi w:val="0"/>
              <w:spacing w:line="440" w:lineRule="exact"/>
              <w:jc w:val="center"/>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签订合同</w:t>
            </w:r>
          </w:p>
        </w:tc>
        <w:tc>
          <w:tcPr>
            <w:tcW w:w="7320" w:type="dxa"/>
            <w:gridSpan w:val="3"/>
            <w:vAlign w:val="center"/>
          </w:tcPr>
          <w:p w14:paraId="3D811D4D">
            <w:pPr>
              <w:keepNext w:val="0"/>
              <w:keepLines w:val="0"/>
              <w:pageBreakBefore w:val="0"/>
              <w:widowControl w:val="0"/>
              <w:kinsoku/>
              <w:overflowPunct/>
              <w:topLinePunct w:val="0"/>
              <w:bidi w:val="0"/>
              <w:spacing w:line="440" w:lineRule="exact"/>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成交通知书发出之日起30日内，按磋商文件确定的事项签订政府采购合同</w:t>
            </w:r>
          </w:p>
        </w:tc>
      </w:tr>
      <w:tr w14:paraId="49598666">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13" w:hRule="exact"/>
          <w:jc w:val="center"/>
        </w:trPr>
        <w:tc>
          <w:tcPr>
            <w:tcW w:w="648" w:type="dxa"/>
            <w:vAlign w:val="center"/>
          </w:tcPr>
          <w:p w14:paraId="54771B23">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2"/>
                <w:sz w:val="22"/>
                <w:szCs w:val="22"/>
                <w:highlight w:val="none"/>
                <w:lang w:val="en-US" w:eastAsia="zh-CN" w:bidi="ar-SA"/>
              </w:rPr>
            </w:pPr>
            <w:r>
              <w:rPr>
                <w:rFonts w:hint="eastAsia" w:ascii="宋体" w:hAnsi="宋体" w:eastAsia="宋体" w:cs="宋体"/>
                <w:b/>
                <w:bCs w:val="0"/>
                <w:snapToGrid w:val="0"/>
                <w:color w:val="auto"/>
                <w:spacing w:val="0"/>
                <w:w w:val="100"/>
                <w:sz w:val="22"/>
                <w:szCs w:val="22"/>
                <w:highlight w:val="none"/>
              </w:rPr>
              <w:t>16</w:t>
            </w:r>
          </w:p>
        </w:tc>
        <w:tc>
          <w:tcPr>
            <w:tcW w:w="1386" w:type="dxa"/>
            <w:vAlign w:val="center"/>
          </w:tcPr>
          <w:p w14:paraId="2864C857">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rPr>
            </w:pPr>
            <w:r>
              <w:rPr>
                <w:rFonts w:hint="eastAsia" w:ascii="宋体" w:hAnsi="宋体" w:eastAsia="宋体" w:cs="宋体"/>
                <w:bCs/>
                <w:snapToGrid w:val="0"/>
                <w:color w:val="auto"/>
                <w:spacing w:val="0"/>
                <w:w w:val="100"/>
                <w:sz w:val="22"/>
                <w:szCs w:val="22"/>
                <w:highlight w:val="none"/>
              </w:rPr>
              <w:t>发布媒体</w:t>
            </w:r>
          </w:p>
        </w:tc>
        <w:tc>
          <w:tcPr>
            <w:tcW w:w="7320" w:type="dxa"/>
            <w:gridSpan w:val="3"/>
            <w:vAlign w:val="center"/>
          </w:tcPr>
          <w:p w14:paraId="175CFD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浙江政府采购网（</w:t>
            </w: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HYPERLINK "http://zfcg.czt.zj.gov.cn/" </w:instrText>
            </w:r>
            <w:r>
              <w:rPr>
                <w:rFonts w:hint="eastAsia" w:ascii="宋体" w:hAnsi="宋体" w:eastAsia="宋体" w:cs="宋体"/>
                <w:color w:val="auto"/>
                <w:spacing w:val="0"/>
                <w:w w:val="100"/>
                <w:sz w:val="22"/>
                <w:szCs w:val="22"/>
                <w:highlight w:val="none"/>
              </w:rPr>
              <w:fldChar w:fldCharType="separate"/>
            </w:r>
            <w:r>
              <w:rPr>
                <w:rStyle w:val="46"/>
                <w:rFonts w:hint="eastAsia" w:ascii="宋体" w:hAnsi="宋体" w:eastAsia="宋体" w:cs="宋体"/>
                <w:color w:val="auto"/>
                <w:spacing w:val="0"/>
                <w:w w:val="100"/>
                <w:sz w:val="22"/>
                <w:szCs w:val="22"/>
                <w:highlight w:val="none"/>
              </w:rPr>
              <w:t>http://zfcg.czt.zj.gov.cn/</w:t>
            </w:r>
            <w:r>
              <w:rPr>
                <w:rStyle w:val="46"/>
                <w:rFonts w:hint="eastAsia" w:ascii="宋体" w:hAnsi="宋体" w:eastAsia="宋体" w:cs="宋体"/>
                <w:color w:val="auto"/>
                <w:spacing w:val="0"/>
                <w:w w:val="100"/>
                <w:sz w:val="22"/>
                <w:szCs w:val="22"/>
                <w:highlight w:val="none"/>
              </w:rPr>
              <w:fldChar w:fldCharType="end"/>
            </w:r>
            <w:r>
              <w:rPr>
                <w:rFonts w:hint="eastAsia" w:ascii="宋体" w:hAnsi="宋体" w:eastAsia="宋体" w:cs="宋体"/>
                <w:bCs/>
                <w:color w:val="auto"/>
                <w:spacing w:val="0"/>
                <w:w w:val="100"/>
                <w:sz w:val="22"/>
                <w:szCs w:val="22"/>
                <w:highlight w:val="none"/>
              </w:rPr>
              <w:t>）</w:t>
            </w:r>
          </w:p>
          <w:p w14:paraId="7A334E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kern w:val="0"/>
                <w:sz w:val="22"/>
                <w:szCs w:val="22"/>
                <w:highlight w:val="none"/>
              </w:rPr>
              <w:t>丽水市公共资源交易网（庆元）（http://lssggzy.lishui.gov.cn/qyweb/）</w:t>
            </w:r>
          </w:p>
        </w:tc>
      </w:tr>
      <w:tr w14:paraId="68224D70">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48" w:type="dxa"/>
            <w:vAlign w:val="center"/>
          </w:tcPr>
          <w:p w14:paraId="0F971574">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0"/>
                <w:sz w:val="22"/>
                <w:szCs w:val="22"/>
                <w:highlight w:val="none"/>
                <w:lang w:val="en-US" w:eastAsia="zh-CN" w:bidi="ar-SA"/>
              </w:rPr>
            </w:pPr>
            <w:r>
              <w:rPr>
                <w:rFonts w:hint="eastAsia" w:ascii="宋体" w:hAnsi="宋体" w:eastAsia="宋体" w:cs="宋体"/>
                <w:b/>
                <w:bCs w:val="0"/>
                <w:snapToGrid w:val="0"/>
                <w:color w:val="auto"/>
                <w:spacing w:val="0"/>
                <w:w w:val="100"/>
                <w:kern w:val="0"/>
                <w:sz w:val="22"/>
                <w:szCs w:val="22"/>
                <w:highlight w:val="none"/>
                <w:lang w:val="en-US" w:eastAsia="zh-CN"/>
              </w:rPr>
              <w:t>17</w:t>
            </w:r>
          </w:p>
        </w:tc>
        <w:tc>
          <w:tcPr>
            <w:tcW w:w="1386" w:type="dxa"/>
            <w:vAlign w:val="center"/>
          </w:tcPr>
          <w:p w14:paraId="09F8CA7E">
            <w:pPr>
              <w:keepNext w:val="0"/>
              <w:keepLines w:val="0"/>
              <w:pageBreakBefore w:val="0"/>
              <w:widowControl w:val="0"/>
              <w:kinsoku/>
              <w:overflowPunct/>
              <w:topLinePunct w:val="0"/>
              <w:bidi w:val="0"/>
              <w:spacing w:line="440" w:lineRule="exact"/>
              <w:jc w:val="center"/>
              <w:rPr>
                <w:rFonts w:hint="eastAsia" w:ascii="宋体" w:hAnsi="宋体" w:eastAsia="宋体" w:cs="宋体"/>
                <w:bCs/>
                <w:snapToGrid w:val="0"/>
                <w:color w:val="auto"/>
                <w:spacing w:val="0"/>
                <w:w w:val="100"/>
                <w:sz w:val="22"/>
                <w:szCs w:val="22"/>
                <w:highlight w:val="none"/>
                <w:lang w:eastAsia="zh-CN"/>
              </w:rPr>
            </w:pPr>
            <w:r>
              <w:rPr>
                <w:rFonts w:hint="eastAsia" w:ascii="宋体" w:hAnsi="宋体" w:eastAsia="宋体" w:cs="宋体"/>
                <w:bCs/>
                <w:color w:val="auto"/>
                <w:spacing w:val="0"/>
                <w:w w:val="100"/>
                <w:sz w:val="22"/>
                <w:szCs w:val="22"/>
                <w:highlight w:val="none"/>
                <w:lang w:eastAsia="zh-CN"/>
              </w:rPr>
              <w:t>履约保证金</w:t>
            </w:r>
          </w:p>
        </w:tc>
        <w:tc>
          <w:tcPr>
            <w:tcW w:w="7320" w:type="dxa"/>
            <w:gridSpan w:val="3"/>
            <w:vAlign w:val="center"/>
          </w:tcPr>
          <w:p w14:paraId="5DBDADB2">
            <w:pPr>
              <w:keepNext w:val="0"/>
              <w:keepLines w:val="0"/>
              <w:pageBreakBefore w:val="0"/>
              <w:widowControl w:val="0"/>
              <w:kinsoku/>
              <w:overflowPunct/>
              <w:topLinePunct w:val="0"/>
              <w:bidi w:val="0"/>
              <w:spacing w:line="440" w:lineRule="exact"/>
              <w:rPr>
                <w:rFonts w:hint="eastAsia" w:ascii="宋体" w:hAnsi="宋体" w:eastAsia="宋体" w:cs="宋体"/>
                <w:bCs/>
                <w:color w:val="auto"/>
                <w:spacing w:val="0"/>
                <w:w w:val="100"/>
                <w:sz w:val="22"/>
                <w:szCs w:val="22"/>
                <w:highlight w:val="none"/>
                <w:lang w:eastAsia="zh-CN"/>
              </w:rPr>
            </w:pPr>
            <w:r>
              <w:rPr>
                <w:rFonts w:hint="eastAsia" w:ascii="宋体" w:hAnsi="宋体" w:eastAsia="宋体" w:cs="宋体"/>
                <w:bCs/>
                <w:color w:val="auto"/>
                <w:spacing w:val="0"/>
                <w:w w:val="100"/>
                <w:sz w:val="22"/>
                <w:szCs w:val="22"/>
                <w:highlight w:val="none"/>
                <w:lang w:eastAsia="zh-CN"/>
              </w:rPr>
              <w:t>无</w:t>
            </w:r>
          </w:p>
        </w:tc>
      </w:tr>
      <w:tr w14:paraId="2196A928">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483" w:hRule="exact"/>
          <w:jc w:val="center"/>
        </w:trPr>
        <w:tc>
          <w:tcPr>
            <w:tcW w:w="648" w:type="dxa"/>
            <w:vAlign w:val="center"/>
          </w:tcPr>
          <w:p w14:paraId="68FC012A">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2"/>
                <w:sz w:val="22"/>
                <w:szCs w:val="22"/>
                <w:highlight w:val="none"/>
                <w:lang w:val="en-US" w:eastAsia="zh-CN" w:bidi="ar-SA"/>
              </w:rPr>
            </w:pPr>
            <w:r>
              <w:rPr>
                <w:rFonts w:hint="eastAsia" w:ascii="宋体" w:hAnsi="宋体" w:eastAsia="宋体" w:cs="宋体"/>
                <w:b/>
                <w:bCs w:val="0"/>
                <w:snapToGrid w:val="0"/>
                <w:color w:val="auto"/>
                <w:spacing w:val="0"/>
                <w:w w:val="100"/>
                <w:sz w:val="22"/>
                <w:szCs w:val="22"/>
                <w:highlight w:val="none"/>
                <w:lang w:val="en-US" w:eastAsia="zh-CN"/>
              </w:rPr>
              <w:t>18</w:t>
            </w:r>
          </w:p>
        </w:tc>
        <w:tc>
          <w:tcPr>
            <w:tcW w:w="1386" w:type="dxa"/>
            <w:vAlign w:val="center"/>
          </w:tcPr>
          <w:p w14:paraId="5406E776">
            <w:pPr>
              <w:spacing w:line="400" w:lineRule="exact"/>
              <w:jc w:val="center"/>
              <w:rPr>
                <w:rFonts w:hint="eastAsia" w:ascii="宋体" w:hAnsi="宋体" w:eastAsia="宋体" w:cs="宋体"/>
                <w:bCs/>
                <w:color w:val="auto"/>
                <w:spacing w:val="0"/>
                <w:w w:val="100"/>
                <w:sz w:val="22"/>
                <w:szCs w:val="22"/>
                <w:highlight w:val="none"/>
                <w:lang w:eastAsia="zh-CN"/>
              </w:rPr>
            </w:pPr>
            <w:r>
              <w:rPr>
                <w:rFonts w:hint="eastAsia" w:ascii="宋体" w:hAnsi="宋体" w:eastAsia="宋体" w:cs="宋体"/>
                <w:bCs/>
                <w:color w:val="auto"/>
                <w:sz w:val="22"/>
                <w:szCs w:val="22"/>
                <w:highlight w:val="none"/>
              </w:rPr>
              <w:t>供应商信用信息查询、存档与使用</w:t>
            </w:r>
          </w:p>
        </w:tc>
        <w:tc>
          <w:tcPr>
            <w:tcW w:w="7320" w:type="dxa"/>
            <w:gridSpan w:val="3"/>
            <w:vAlign w:val="center"/>
          </w:tcPr>
          <w:p w14:paraId="2A9C79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根据《关于在政府采购活动中查询及使用信用记录有关问题的通知》财库[2016]125 号的规定：</w:t>
            </w:r>
          </w:p>
          <w:p w14:paraId="0948F0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1</w:t>
            </w:r>
            <w:r>
              <w:rPr>
                <w:rFonts w:hint="eastAsia" w:ascii="宋体" w:hAnsi="宋体" w:eastAsia="宋体" w:cs="宋体"/>
                <w:bCs/>
                <w:color w:val="auto"/>
                <w:kern w:val="0"/>
                <w:sz w:val="22"/>
                <w:szCs w:val="22"/>
                <w:highlight w:val="none"/>
                <w:lang w:val="en-US" w:eastAsia="zh-CN"/>
              </w:rPr>
              <w:t>)</w:t>
            </w:r>
            <w:r>
              <w:rPr>
                <w:rFonts w:hint="eastAsia" w:ascii="宋体" w:hAnsi="宋体" w:eastAsia="宋体" w:cs="宋体"/>
                <w:bCs/>
                <w:color w:val="auto"/>
                <w:kern w:val="0"/>
                <w:sz w:val="22"/>
                <w:szCs w:val="22"/>
                <w:highlight w:val="none"/>
              </w:rPr>
              <w:t>采购人或采购代理机构将对本项目供应商的信用信息进行查询。</w:t>
            </w:r>
          </w:p>
          <w:p w14:paraId="215E75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2</w:t>
            </w: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查询渠道为信用中国网站（www.creditchina.gov.cn）、中国政府采购网（www.ccgp.gov.cn）。</w:t>
            </w:r>
          </w:p>
          <w:p w14:paraId="598CF6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3</w:t>
            </w: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列入失信被执行人名单、重大税收违法案件当事人名单、政府采购严重违法失信行为记录名单等供应商信用信息均将用于本项目。</w:t>
            </w:r>
          </w:p>
          <w:p w14:paraId="301BFB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4</w:t>
            </w:r>
            <w:r>
              <w:rPr>
                <w:rFonts w:hint="eastAsia" w:ascii="宋体" w:hAnsi="宋体" w:eastAsia="宋体" w:cs="宋体"/>
                <w:bCs/>
                <w:color w:val="auto"/>
                <w:kern w:val="0"/>
                <w:sz w:val="22"/>
                <w:szCs w:val="22"/>
                <w:highlight w:val="none"/>
                <w:lang w:eastAsia="zh-CN"/>
              </w:rPr>
              <w:t>)</w:t>
            </w:r>
            <w:r>
              <w:rPr>
                <w:rFonts w:hint="eastAsia" w:ascii="宋体" w:hAnsi="宋体" w:eastAsia="宋体" w:cs="宋体"/>
                <w:color w:val="auto"/>
                <w:sz w:val="22"/>
                <w:szCs w:val="22"/>
                <w:highlight w:val="none"/>
              </w:rPr>
              <w:t>采购代理机构经办人和监督人员将查询网页打印与其他采购文件一并保存。</w:t>
            </w:r>
          </w:p>
          <w:p w14:paraId="171ADF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5</w:t>
            </w: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磋商响应文件提交截止日当日网站显示的信用信息将作为评审和确定成交供应商的依据。</w:t>
            </w:r>
          </w:p>
          <w:p w14:paraId="21F72C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spacing w:val="0"/>
                <w:w w:val="100"/>
                <w:sz w:val="22"/>
                <w:szCs w:val="22"/>
                <w:highlight w:val="none"/>
                <w:lang w:eastAsia="zh-CN"/>
              </w:rPr>
            </w:pP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6</w:t>
            </w:r>
            <w:r>
              <w:rPr>
                <w:rFonts w:hint="eastAsia" w:ascii="宋体" w:hAnsi="宋体" w:eastAsia="宋体" w:cs="宋体"/>
                <w:bCs/>
                <w:color w:val="auto"/>
                <w:kern w:val="0"/>
                <w:sz w:val="22"/>
                <w:szCs w:val="22"/>
                <w:highlight w:val="none"/>
                <w:lang w:eastAsia="zh-CN"/>
              </w:rPr>
              <w:t>)</w:t>
            </w:r>
            <w:r>
              <w:rPr>
                <w:rFonts w:hint="eastAsia" w:ascii="宋体" w:hAnsi="宋体" w:eastAsia="宋体" w:cs="宋体"/>
                <w:bCs/>
                <w:color w:val="auto"/>
                <w:kern w:val="0"/>
                <w:sz w:val="22"/>
                <w:szCs w:val="22"/>
                <w:highlight w:val="none"/>
              </w:rPr>
              <w:t>联合体成员存在以上不良信用记录的，视同联合体存在不良信用记录。</w:t>
            </w:r>
          </w:p>
        </w:tc>
      </w:tr>
      <w:tr w14:paraId="0CACF3C4">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14" w:hRule="exact"/>
          <w:jc w:val="center"/>
        </w:trPr>
        <w:tc>
          <w:tcPr>
            <w:tcW w:w="648" w:type="dxa"/>
            <w:vAlign w:val="center"/>
          </w:tcPr>
          <w:p w14:paraId="6D83F58E">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0"/>
                <w:sz w:val="22"/>
                <w:szCs w:val="22"/>
                <w:highlight w:val="none"/>
                <w:lang w:val="en-US" w:eastAsia="zh-CN" w:bidi="ar-SA"/>
              </w:rPr>
            </w:pPr>
            <w:r>
              <w:rPr>
                <w:rFonts w:hint="eastAsia" w:ascii="宋体" w:hAnsi="宋体" w:eastAsia="宋体" w:cs="宋体"/>
                <w:b/>
                <w:bCs w:val="0"/>
                <w:snapToGrid w:val="0"/>
                <w:color w:val="auto"/>
                <w:spacing w:val="0"/>
                <w:w w:val="100"/>
                <w:kern w:val="0"/>
                <w:sz w:val="22"/>
                <w:szCs w:val="22"/>
                <w:highlight w:val="none"/>
                <w:lang w:val="en-US" w:eastAsia="zh-CN" w:bidi="ar-SA"/>
              </w:rPr>
              <w:t>19</w:t>
            </w:r>
          </w:p>
        </w:tc>
        <w:tc>
          <w:tcPr>
            <w:tcW w:w="1386" w:type="dxa"/>
            <w:vAlign w:val="center"/>
          </w:tcPr>
          <w:p w14:paraId="282EE255">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供应商解</w:t>
            </w:r>
          </w:p>
          <w:p w14:paraId="10C023B7">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密硬件准备</w:t>
            </w:r>
          </w:p>
        </w:tc>
        <w:tc>
          <w:tcPr>
            <w:tcW w:w="7320" w:type="dxa"/>
            <w:gridSpan w:val="3"/>
            <w:vAlign w:val="center"/>
          </w:tcPr>
          <w:p w14:paraId="1FD882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1.电脑、网络（供电子响应文件解密和澄清答疑使用）；</w:t>
            </w:r>
          </w:p>
          <w:p w14:paraId="5937893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2.电子响应文件解密CA锁</w:t>
            </w:r>
            <w:r>
              <w:rPr>
                <w:rFonts w:hint="eastAsia" w:ascii="宋体" w:hAnsi="宋体" w:eastAsia="宋体" w:cs="宋体"/>
                <w:b/>
                <w:bCs/>
                <w:color w:val="auto"/>
                <w:spacing w:val="0"/>
                <w:w w:val="100"/>
                <w:sz w:val="22"/>
                <w:szCs w:val="22"/>
                <w:highlight w:val="none"/>
                <w:lang w:eastAsia="zh-CN"/>
              </w:rPr>
              <w:t>（</w:t>
            </w:r>
            <w:r>
              <w:rPr>
                <w:rFonts w:hint="eastAsia" w:ascii="宋体" w:hAnsi="宋体" w:eastAsia="宋体" w:cs="宋体"/>
                <w:b/>
                <w:bCs/>
                <w:color w:val="auto"/>
                <w:spacing w:val="0"/>
                <w:w w:val="100"/>
                <w:sz w:val="22"/>
                <w:szCs w:val="22"/>
                <w:highlight w:val="none"/>
              </w:rPr>
              <w:t>即原编制电子响应文件加密的CA锁</w:t>
            </w:r>
            <w:r>
              <w:rPr>
                <w:rFonts w:hint="eastAsia" w:ascii="宋体" w:hAnsi="宋体" w:eastAsia="宋体" w:cs="宋体"/>
                <w:b/>
                <w:bCs/>
                <w:color w:val="auto"/>
                <w:spacing w:val="0"/>
                <w:w w:val="100"/>
                <w:sz w:val="22"/>
                <w:szCs w:val="22"/>
                <w:highlight w:val="none"/>
                <w:lang w:eastAsia="zh-CN"/>
              </w:rPr>
              <w:t>）</w:t>
            </w:r>
            <w:r>
              <w:rPr>
                <w:rFonts w:hint="eastAsia" w:ascii="宋体" w:hAnsi="宋体" w:eastAsia="宋体" w:cs="宋体"/>
                <w:b/>
                <w:bCs/>
                <w:color w:val="auto"/>
                <w:spacing w:val="0"/>
                <w:w w:val="100"/>
                <w:sz w:val="22"/>
                <w:szCs w:val="22"/>
                <w:highlight w:val="none"/>
              </w:rPr>
              <w:t>；</w:t>
            </w:r>
          </w:p>
        </w:tc>
      </w:tr>
      <w:tr w14:paraId="51E0F500">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624" w:hRule="exact"/>
          <w:jc w:val="center"/>
        </w:trPr>
        <w:tc>
          <w:tcPr>
            <w:tcW w:w="648" w:type="dxa"/>
            <w:vAlign w:val="center"/>
          </w:tcPr>
          <w:p w14:paraId="1D2FA090">
            <w:pPr>
              <w:keepNext w:val="0"/>
              <w:keepLines w:val="0"/>
              <w:pageBreakBefore w:val="0"/>
              <w:widowControl w:val="0"/>
              <w:kinsoku/>
              <w:overflowPunct/>
              <w:topLinePunct w:val="0"/>
              <w:bidi w:val="0"/>
              <w:spacing w:line="440" w:lineRule="exact"/>
              <w:jc w:val="center"/>
              <w:rPr>
                <w:rFonts w:hint="eastAsia" w:ascii="宋体" w:hAnsi="宋体" w:eastAsia="宋体" w:cs="宋体"/>
                <w:b/>
                <w:bCs w:val="0"/>
                <w:snapToGrid w:val="0"/>
                <w:color w:val="auto"/>
                <w:spacing w:val="0"/>
                <w:w w:val="100"/>
                <w:kern w:val="0"/>
                <w:sz w:val="22"/>
                <w:szCs w:val="22"/>
                <w:highlight w:val="none"/>
                <w:lang w:val="en-US" w:eastAsia="zh-CN" w:bidi="ar-SA"/>
              </w:rPr>
            </w:pPr>
            <w:bookmarkStart w:id="69" w:name="_Toc390938575"/>
            <w:r>
              <w:rPr>
                <w:rFonts w:hint="eastAsia" w:ascii="宋体" w:hAnsi="宋体" w:eastAsia="宋体" w:cs="宋体"/>
                <w:b/>
                <w:bCs w:val="0"/>
                <w:snapToGrid w:val="0"/>
                <w:color w:val="auto"/>
                <w:spacing w:val="0"/>
                <w:w w:val="100"/>
                <w:kern w:val="0"/>
                <w:sz w:val="22"/>
                <w:szCs w:val="22"/>
                <w:highlight w:val="none"/>
                <w:lang w:val="en-US" w:eastAsia="zh-CN" w:bidi="ar-SA"/>
              </w:rPr>
              <w:t>20</w:t>
            </w:r>
          </w:p>
        </w:tc>
        <w:tc>
          <w:tcPr>
            <w:tcW w:w="1386" w:type="dxa"/>
            <w:vAlign w:val="center"/>
          </w:tcPr>
          <w:p w14:paraId="396222A7">
            <w:pPr>
              <w:keepNext w:val="0"/>
              <w:keepLines w:val="0"/>
              <w:pageBreakBefore w:val="0"/>
              <w:widowControl w:val="0"/>
              <w:kinsoku/>
              <w:overflowPunct/>
              <w:topLinePunct w:val="0"/>
              <w:bidi w:val="0"/>
              <w:spacing w:line="400" w:lineRule="exact"/>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color w:val="auto"/>
                <w:spacing w:val="0"/>
                <w:w w:val="100"/>
                <w:sz w:val="22"/>
                <w:szCs w:val="22"/>
                <w:highlight w:val="none"/>
              </w:rPr>
              <w:t>特别提醒</w:t>
            </w:r>
          </w:p>
        </w:tc>
        <w:tc>
          <w:tcPr>
            <w:tcW w:w="7320" w:type="dxa"/>
            <w:gridSpan w:val="3"/>
            <w:vAlign w:val="center"/>
          </w:tcPr>
          <w:p w14:paraId="05CB54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color w:val="auto"/>
                <w:spacing w:val="0"/>
                <w:w w:val="100"/>
                <w:sz w:val="22"/>
                <w:szCs w:val="22"/>
                <w:highlight w:val="none"/>
              </w:rPr>
              <w:t>成交供应商应提供与电子磋商响应文件内容一致的纸质磋商响应文件副本三份，装订成册，采用胶订或线订，不得采用活页夹等可随时拆换的方式装订。（胶订或线订以外装订形式视为活页装订）成交供应商在领取成交通知书时提供纸质磋商响应文件。</w:t>
            </w:r>
          </w:p>
        </w:tc>
      </w:tr>
      <w:bookmarkEnd w:id="67"/>
      <w:bookmarkEnd w:id="68"/>
    </w:tbl>
    <w:p w14:paraId="0086F6B8">
      <w:pPr>
        <w:keepNext w:val="0"/>
        <w:keepLines w:val="0"/>
        <w:pageBreakBefore w:val="0"/>
        <w:widowControl w:val="0"/>
        <w:kinsoku/>
        <w:overflowPunct/>
        <w:topLinePunct w:val="0"/>
        <w:bidi w:val="0"/>
        <w:rPr>
          <w:rFonts w:hint="eastAsia" w:ascii="宋体" w:hAnsi="宋体" w:eastAsia="宋体" w:cs="宋体"/>
          <w:b/>
          <w:bCs/>
          <w:color w:val="auto"/>
          <w:spacing w:val="0"/>
          <w:w w:val="100"/>
          <w:sz w:val="28"/>
          <w:szCs w:val="28"/>
          <w:highlight w:val="none"/>
        </w:rPr>
      </w:pPr>
      <w:bookmarkStart w:id="70" w:name="_Toc31159"/>
      <w:bookmarkStart w:id="71" w:name="_Toc29281"/>
      <w:r>
        <w:rPr>
          <w:rFonts w:hint="eastAsia" w:ascii="宋体" w:hAnsi="宋体" w:eastAsia="宋体" w:cs="宋体"/>
          <w:b/>
          <w:bCs/>
          <w:color w:val="auto"/>
          <w:spacing w:val="0"/>
          <w:w w:val="100"/>
          <w:sz w:val="28"/>
          <w:szCs w:val="28"/>
          <w:highlight w:val="none"/>
        </w:rPr>
        <w:br w:type="page"/>
      </w:r>
    </w:p>
    <w:p w14:paraId="4C253075">
      <w:pPr>
        <w:pStyle w:val="4"/>
        <w:keepNext w:val="0"/>
        <w:keepLines w:val="0"/>
        <w:pageBreakBefore w:val="0"/>
        <w:widowControl w:val="0"/>
        <w:kinsoku/>
        <w:overflowPunct/>
        <w:topLinePunct w:val="0"/>
        <w:bidi w:val="0"/>
        <w:spacing w:line="560" w:lineRule="exact"/>
        <w:ind w:left="0" w:firstLine="0"/>
        <w:rPr>
          <w:rFonts w:hint="eastAsia" w:ascii="宋体" w:hAnsi="宋体" w:eastAsia="宋体" w:cs="宋体"/>
          <w:b/>
          <w:bCs/>
          <w:color w:val="auto"/>
          <w:spacing w:val="0"/>
          <w:w w:val="100"/>
          <w:sz w:val="28"/>
          <w:szCs w:val="28"/>
          <w:highlight w:val="none"/>
        </w:rPr>
      </w:pPr>
      <w:r>
        <w:rPr>
          <w:rFonts w:hint="eastAsia" w:ascii="宋体" w:hAnsi="宋体" w:eastAsia="宋体" w:cs="宋体"/>
          <w:b/>
          <w:bCs/>
          <w:color w:val="auto"/>
          <w:spacing w:val="0"/>
          <w:w w:val="100"/>
          <w:sz w:val="28"/>
          <w:szCs w:val="28"/>
          <w:highlight w:val="none"/>
        </w:rPr>
        <w:t>一</w:t>
      </w:r>
      <w:bookmarkEnd w:id="69"/>
      <w:r>
        <w:rPr>
          <w:rFonts w:hint="eastAsia" w:ascii="宋体" w:hAnsi="宋体" w:eastAsia="宋体" w:cs="宋体"/>
          <w:b/>
          <w:bCs/>
          <w:color w:val="auto"/>
          <w:spacing w:val="0"/>
          <w:w w:val="100"/>
          <w:sz w:val="28"/>
          <w:szCs w:val="28"/>
          <w:highlight w:val="none"/>
        </w:rPr>
        <w:t xml:space="preserve">  总则</w:t>
      </w:r>
      <w:bookmarkEnd w:id="70"/>
      <w:bookmarkEnd w:id="71"/>
    </w:p>
    <w:p w14:paraId="0516DBE7">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 适用范围</w:t>
      </w:r>
    </w:p>
    <w:p w14:paraId="19C8CDB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磋商文件适用于本次采购项目的采购行为，法律、法规另有规定的，从其规定。</w:t>
      </w:r>
    </w:p>
    <w:p w14:paraId="09794CB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
          <w:color w:val="auto"/>
          <w:spacing w:val="0"/>
          <w:w w:val="100"/>
          <w:sz w:val="22"/>
          <w:szCs w:val="22"/>
          <w:highlight w:val="none"/>
        </w:rPr>
        <w:t>2. 定义</w:t>
      </w:r>
    </w:p>
    <w:p w14:paraId="715BC45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2.1“采购人”是指依法进行政府采购的国家机关、事业单位、团体组织，见“磋商须知前附表”，本文件中招标人与采购人意思相同。</w:t>
      </w:r>
    </w:p>
    <w:p w14:paraId="21E5955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2.2“采购代理机构”是指受采购人委托，在委托的范围内办理政府采购事宜的机构，见“磋商须知前附表”。</w:t>
      </w:r>
    </w:p>
    <w:p w14:paraId="4E616A7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2.3“供应商/投标人”是指参加本政府采购项目磋商、签订合同、实施的单位，按阶段不同，分别理解为潜在供应商、磋商供应商、成交候选供应商、成交供应商、乙方。</w:t>
      </w:r>
    </w:p>
    <w:p w14:paraId="60E9D34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w:t>
      </w:r>
      <w:r>
        <w:rPr>
          <w:rFonts w:hint="eastAsia" w:ascii="宋体" w:hAnsi="宋体" w:eastAsia="宋体" w:cs="宋体"/>
          <w:bCs/>
          <w:color w:val="auto"/>
          <w:spacing w:val="0"/>
          <w:w w:val="100"/>
          <w:sz w:val="22"/>
          <w:szCs w:val="22"/>
          <w:highlight w:val="none"/>
          <w:lang w:val="en-US" w:eastAsia="zh-CN"/>
        </w:rPr>
        <w:t>4</w:t>
      </w:r>
      <w:r>
        <w:rPr>
          <w:rFonts w:hint="eastAsia" w:ascii="宋体" w:hAnsi="宋体" w:eastAsia="宋体" w:cs="宋体"/>
          <w:bCs/>
          <w:color w:val="auto"/>
          <w:spacing w:val="0"/>
          <w:w w:val="100"/>
          <w:sz w:val="22"/>
          <w:szCs w:val="22"/>
          <w:highlight w:val="none"/>
        </w:rPr>
        <w:t>“竞争性磋商采购文件”是指向供应商发出的采购需求文件，本文件中采购文件与竞争性磋商采购文件意思相同；</w:t>
      </w:r>
    </w:p>
    <w:p w14:paraId="4F2FB4B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w:t>
      </w:r>
      <w:r>
        <w:rPr>
          <w:rFonts w:hint="eastAsia" w:ascii="宋体" w:hAnsi="宋体" w:eastAsia="宋体" w:cs="宋体"/>
          <w:bCs/>
          <w:color w:val="auto"/>
          <w:spacing w:val="0"/>
          <w:w w:val="100"/>
          <w:sz w:val="22"/>
          <w:szCs w:val="22"/>
          <w:highlight w:val="none"/>
          <w:lang w:val="en-US" w:eastAsia="zh-CN"/>
        </w:rPr>
        <w:t>5</w:t>
      </w:r>
      <w:r>
        <w:rPr>
          <w:rFonts w:hint="eastAsia" w:ascii="宋体" w:hAnsi="宋体" w:eastAsia="宋体" w:cs="宋体"/>
          <w:bCs/>
          <w:color w:val="auto"/>
          <w:spacing w:val="0"/>
          <w:w w:val="100"/>
          <w:sz w:val="22"/>
          <w:szCs w:val="22"/>
          <w:highlight w:val="none"/>
        </w:rPr>
        <w:t>“磋商响应文件”指供应商针对采购文件作出响应的文件，包括电子磋商响应文件、备份电子磋商响应文件、成交后提供的纸质磋商响应文件，所有磋商响应文件内容应保持一致。本文件中响应文件与磋商响应文件意思相同；</w:t>
      </w:r>
    </w:p>
    <w:p w14:paraId="1228182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w:t>
      </w:r>
      <w:r>
        <w:rPr>
          <w:rFonts w:hint="eastAsia" w:ascii="宋体" w:hAnsi="宋体" w:eastAsia="宋体" w:cs="宋体"/>
          <w:bCs/>
          <w:color w:val="auto"/>
          <w:spacing w:val="0"/>
          <w:w w:val="100"/>
          <w:sz w:val="22"/>
          <w:szCs w:val="22"/>
          <w:highlight w:val="none"/>
          <w:lang w:val="en-US" w:eastAsia="zh-CN"/>
        </w:rPr>
        <w:t>6</w:t>
      </w:r>
      <w:r>
        <w:rPr>
          <w:rFonts w:hint="eastAsia" w:ascii="宋体" w:hAnsi="宋体" w:eastAsia="宋体" w:cs="宋体"/>
          <w:bCs/>
          <w:color w:val="auto"/>
          <w:spacing w:val="0"/>
          <w:w w:val="100"/>
          <w:sz w:val="22"/>
          <w:szCs w:val="22"/>
          <w:highlight w:val="none"/>
        </w:rPr>
        <w:t>“磋商代表”是指参加本项目采购活动的供应商法定代表人或法定代表人授权代表；</w:t>
      </w:r>
    </w:p>
    <w:p w14:paraId="7BE4799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“负责人”系指法人企业的法定代表人，或其他组织为法律、行政法规规定代表单位行使职权的主要负责人。</w:t>
      </w:r>
    </w:p>
    <w:p w14:paraId="2B955E4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8</w:t>
      </w:r>
      <w:r>
        <w:rPr>
          <w:rFonts w:hint="eastAsia" w:ascii="宋体" w:hAnsi="宋体" w:eastAsia="宋体" w:cs="宋体"/>
          <w:color w:val="auto"/>
          <w:spacing w:val="0"/>
          <w:w w:val="100"/>
          <w:sz w:val="22"/>
          <w:szCs w:val="22"/>
          <w:highlight w:val="none"/>
        </w:rPr>
        <w:t>“联合体”系指两个以上供应商组成联合体，以一个供应商的身份参加磋商。</w:t>
      </w:r>
    </w:p>
    <w:p w14:paraId="36E558B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9</w:t>
      </w:r>
      <w:r>
        <w:rPr>
          <w:rFonts w:hint="eastAsia" w:ascii="宋体" w:hAnsi="宋体" w:eastAsia="宋体" w:cs="宋体"/>
          <w:color w:val="auto"/>
          <w:spacing w:val="0"/>
          <w:w w:val="100"/>
          <w:sz w:val="22"/>
          <w:szCs w:val="22"/>
          <w:highlight w:val="none"/>
        </w:rPr>
        <w:t>“分包单位”系指与供应商签订分包意向协议的，将承担部分合同内容的其他单位。</w:t>
      </w:r>
    </w:p>
    <w:p w14:paraId="2F669EC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10</w:t>
      </w:r>
      <w:r>
        <w:rPr>
          <w:rFonts w:hint="eastAsia" w:ascii="宋体" w:hAnsi="宋体" w:eastAsia="宋体" w:cs="宋体"/>
          <w:color w:val="auto"/>
          <w:spacing w:val="0"/>
          <w:w w:val="100"/>
          <w:sz w:val="22"/>
          <w:szCs w:val="22"/>
          <w:highlight w:val="none"/>
        </w:rPr>
        <w:t>“合同”系指采购人与成交人双方签署的规定双方权利与义务的协议，以及所有附件、附录、磋商文件和响应文件所提到的构成合同的所有文件。</w:t>
      </w:r>
    </w:p>
    <w:p w14:paraId="42D596B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11</w:t>
      </w:r>
      <w:r>
        <w:rPr>
          <w:rFonts w:hint="eastAsia" w:ascii="宋体" w:hAnsi="宋体" w:eastAsia="宋体" w:cs="宋体"/>
          <w:color w:val="auto"/>
          <w:spacing w:val="0"/>
          <w:w w:val="100"/>
          <w:sz w:val="22"/>
          <w:szCs w:val="22"/>
          <w:highlight w:val="none"/>
        </w:rPr>
        <w:t>“产品”系指供应商按磋商文件规定，须向采购人提供的一切产品（包括：虚拟产品），以及产品相关的保险、税金、备品备件、附件、耗材、工具、手册及其它有关技术资料和材料等。</w:t>
      </w:r>
    </w:p>
    <w:p w14:paraId="18E7AE8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val="0"/>
          <w:bCs w:val="0"/>
          <w:color w:val="auto"/>
          <w:spacing w:val="0"/>
          <w:w w:val="100"/>
          <w:sz w:val="22"/>
          <w:szCs w:val="22"/>
          <w:highlight w:val="none"/>
        </w:rPr>
      </w:pPr>
      <w:r>
        <w:rPr>
          <w:rFonts w:hint="eastAsia" w:ascii="宋体" w:hAnsi="宋体" w:eastAsia="宋体" w:cs="宋体"/>
          <w:b w:val="0"/>
          <w:bCs w:val="0"/>
          <w:color w:val="auto"/>
          <w:spacing w:val="0"/>
          <w:w w:val="100"/>
          <w:sz w:val="22"/>
          <w:szCs w:val="22"/>
          <w:highlight w:val="none"/>
        </w:rPr>
        <w:t>2.</w:t>
      </w:r>
      <w:r>
        <w:rPr>
          <w:rFonts w:hint="eastAsia" w:ascii="宋体" w:hAnsi="宋体" w:eastAsia="宋体" w:cs="宋体"/>
          <w:b w:val="0"/>
          <w:bCs w:val="0"/>
          <w:color w:val="auto"/>
          <w:spacing w:val="0"/>
          <w:w w:val="100"/>
          <w:sz w:val="22"/>
          <w:szCs w:val="22"/>
          <w:highlight w:val="none"/>
          <w:lang w:val="en-US" w:eastAsia="zh-CN"/>
        </w:rPr>
        <w:t>12</w:t>
      </w:r>
      <w:r>
        <w:rPr>
          <w:rFonts w:hint="eastAsia" w:ascii="宋体" w:hAnsi="宋体" w:eastAsia="宋体" w:cs="宋体"/>
          <w:b w:val="0"/>
          <w:bCs w:val="0"/>
          <w:color w:val="auto"/>
          <w:spacing w:val="0"/>
          <w:w w:val="100"/>
          <w:sz w:val="22"/>
          <w:szCs w:val="22"/>
          <w:highlight w:val="none"/>
        </w:rPr>
        <w:t>“服务”系指供应商按磋商文件规定应承担的送货上门、安装、调试、技术协助、校准、培训、技术指导以及其他类似的附随义务。</w:t>
      </w:r>
    </w:p>
    <w:p w14:paraId="45D5433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val="0"/>
          <w:bCs w:val="0"/>
          <w:color w:val="auto"/>
          <w:spacing w:val="0"/>
          <w:w w:val="100"/>
          <w:sz w:val="22"/>
          <w:szCs w:val="22"/>
          <w:highlight w:val="none"/>
        </w:rPr>
      </w:pPr>
      <w:r>
        <w:rPr>
          <w:rFonts w:hint="eastAsia" w:ascii="宋体" w:hAnsi="宋体" w:eastAsia="宋体" w:cs="宋体"/>
          <w:b w:val="0"/>
          <w:bCs w:val="0"/>
          <w:color w:val="auto"/>
          <w:spacing w:val="0"/>
          <w:w w:val="100"/>
          <w:sz w:val="22"/>
          <w:szCs w:val="22"/>
          <w:highlight w:val="none"/>
        </w:rPr>
        <w:t>2.</w:t>
      </w:r>
      <w:r>
        <w:rPr>
          <w:rFonts w:hint="eastAsia" w:ascii="宋体" w:hAnsi="宋体" w:eastAsia="宋体" w:cs="宋体"/>
          <w:b w:val="0"/>
          <w:bCs w:val="0"/>
          <w:color w:val="auto"/>
          <w:spacing w:val="0"/>
          <w:w w:val="100"/>
          <w:sz w:val="22"/>
          <w:szCs w:val="22"/>
          <w:highlight w:val="none"/>
          <w:lang w:val="en-US" w:eastAsia="zh-CN"/>
        </w:rPr>
        <w:t>13</w:t>
      </w:r>
      <w:r>
        <w:rPr>
          <w:rFonts w:hint="eastAsia" w:ascii="宋体" w:hAnsi="宋体" w:eastAsia="宋体" w:cs="宋体"/>
          <w:b w:val="0"/>
          <w:bCs w:val="0"/>
          <w:color w:val="auto"/>
          <w:spacing w:val="0"/>
          <w:w w:val="100"/>
          <w:sz w:val="22"/>
          <w:szCs w:val="22"/>
          <w:highlight w:val="none"/>
        </w:rPr>
        <w:t>本文件所指的公章均指供应商的CA电子章。</w:t>
      </w:r>
    </w:p>
    <w:p w14:paraId="1D6BE31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val="0"/>
          <w:bCs w:val="0"/>
          <w:color w:val="auto"/>
          <w:spacing w:val="0"/>
          <w:w w:val="100"/>
          <w:sz w:val="22"/>
          <w:szCs w:val="22"/>
          <w:highlight w:val="none"/>
        </w:rPr>
      </w:pPr>
      <w:r>
        <w:rPr>
          <w:rFonts w:hint="eastAsia" w:ascii="宋体" w:hAnsi="宋体" w:eastAsia="宋体" w:cs="宋体"/>
          <w:b w:val="0"/>
          <w:bCs w:val="0"/>
          <w:color w:val="auto"/>
          <w:spacing w:val="0"/>
          <w:w w:val="100"/>
          <w:sz w:val="22"/>
          <w:szCs w:val="22"/>
          <w:highlight w:val="none"/>
        </w:rPr>
        <w:t>2.1</w:t>
      </w:r>
      <w:r>
        <w:rPr>
          <w:rFonts w:hint="eastAsia" w:ascii="宋体" w:hAnsi="宋体" w:eastAsia="宋体" w:cs="宋体"/>
          <w:b w:val="0"/>
          <w:bCs w:val="0"/>
          <w:color w:val="auto"/>
          <w:spacing w:val="0"/>
          <w:w w:val="100"/>
          <w:sz w:val="22"/>
          <w:szCs w:val="22"/>
          <w:highlight w:val="none"/>
          <w:lang w:val="en-US" w:eastAsia="zh-CN"/>
        </w:rPr>
        <w:t>4</w:t>
      </w:r>
      <w:r>
        <w:rPr>
          <w:rFonts w:hint="eastAsia" w:ascii="宋体" w:hAnsi="宋体" w:eastAsia="宋体" w:cs="宋体"/>
          <w:b w:val="0"/>
          <w:bCs w:val="0"/>
          <w:color w:val="auto"/>
          <w:spacing w:val="0"/>
          <w:w w:val="100"/>
          <w:sz w:val="22"/>
          <w:szCs w:val="22"/>
          <w:highlight w:val="none"/>
        </w:rPr>
        <w:t>“▲”系指实质性要求条款。供应商响应时应对所有“实质性条款（或要求）”作出实质性响应，且不得出现负偏离，否则响应无效。</w:t>
      </w:r>
    </w:p>
    <w:p w14:paraId="691ED12D">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3.供应商基本要求</w:t>
      </w:r>
    </w:p>
    <w:p w14:paraId="1E315A8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3.1 符合本文件第一章 采购公告第“二”条的规定；</w:t>
      </w:r>
    </w:p>
    <w:p w14:paraId="3E0B50D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3.2 供应商应遵守有关的法律、法规和规章条例。</w:t>
      </w:r>
    </w:p>
    <w:p w14:paraId="5EEED3D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4.联合体说明</w:t>
      </w:r>
    </w:p>
    <w:p w14:paraId="209E468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0000FF"/>
          <w:spacing w:val="0"/>
          <w:w w:val="100"/>
          <w:sz w:val="22"/>
          <w:szCs w:val="22"/>
          <w:highlight w:val="none"/>
        </w:rPr>
      </w:pPr>
      <w:r>
        <w:rPr>
          <w:rFonts w:hint="eastAsia" w:ascii="宋体" w:hAnsi="宋体" w:eastAsia="宋体" w:cs="宋体"/>
          <w:bCs/>
          <w:color w:val="0000FF"/>
          <w:spacing w:val="0"/>
          <w:w w:val="100"/>
          <w:sz w:val="22"/>
          <w:szCs w:val="22"/>
          <w:highlight w:val="none"/>
        </w:rPr>
        <w:t>4.1本项目</w:t>
      </w:r>
      <w:r>
        <w:rPr>
          <w:rFonts w:hint="eastAsia" w:ascii="宋体" w:hAnsi="宋体" w:eastAsia="宋体" w:cs="宋体"/>
          <w:b/>
          <w:bCs w:val="0"/>
          <w:color w:val="0000FF"/>
          <w:spacing w:val="0"/>
          <w:w w:val="100"/>
          <w:sz w:val="22"/>
          <w:szCs w:val="22"/>
          <w:highlight w:val="none"/>
          <w:lang w:eastAsia="zh-CN"/>
        </w:rPr>
        <w:t>（</w:t>
      </w:r>
      <w:r>
        <w:rPr>
          <w:rFonts w:hint="eastAsia" w:ascii="宋体" w:hAnsi="宋体" w:eastAsia="宋体" w:cs="宋体"/>
          <w:b/>
          <w:bCs w:val="0"/>
          <w:color w:val="0000FF"/>
          <w:spacing w:val="0"/>
          <w:w w:val="100"/>
          <w:sz w:val="22"/>
          <w:szCs w:val="22"/>
          <w:highlight w:val="none"/>
          <w:u w:val="single"/>
        </w:rPr>
        <w:sym w:font="Wingdings 2" w:char="00A3"/>
      </w:r>
      <w:r>
        <w:rPr>
          <w:rFonts w:hint="eastAsia" w:ascii="宋体" w:hAnsi="宋体" w:eastAsia="宋体" w:cs="宋体"/>
          <w:b/>
          <w:bCs w:val="0"/>
          <w:color w:val="0000FF"/>
          <w:spacing w:val="0"/>
          <w:w w:val="100"/>
          <w:sz w:val="22"/>
          <w:szCs w:val="22"/>
          <w:highlight w:val="none"/>
          <w:u w:val="single"/>
          <w:lang w:eastAsia="zh-CN"/>
        </w:rPr>
        <w:t>是</w:t>
      </w:r>
      <w:r>
        <w:rPr>
          <w:rFonts w:hint="eastAsia" w:ascii="宋体" w:hAnsi="宋体" w:eastAsia="宋体" w:cs="宋体"/>
          <w:b/>
          <w:bCs w:val="0"/>
          <w:color w:val="0000FF"/>
          <w:spacing w:val="0"/>
          <w:w w:val="100"/>
          <w:sz w:val="22"/>
          <w:szCs w:val="22"/>
          <w:highlight w:val="none"/>
          <w:u w:val="none"/>
          <w:lang w:val="en-US" w:eastAsia="zh-CN"/>
        </w:rPr>
        <w:t xml:space="preserve">   </w:t>
      </w:r>
      <w:r>
        <w:rPr>
          <w:rFonts w:hint="eastAsia" w:ascii="宋体" w:hAnsi="宋体" w:eastAsia="宋体" w:cs="宋体"/>
          <w:b/>
          <w:bCs w:val="0"/>
          <w:color w:val="0000FF"/>
          <w:spacing w:val="0"/>
          <w:w w:val="100"/>
          <w:sz w:val="22"/>
          <w:szCs w:val="22"/>
          <w:highlight w:val="none"/>
          <w:u w:val="single"/>
          <w:lang w:val="en-US" w:eastAsia="zh-CN"/>
        </w:rPr>
        <w:sym w:font="Wingdings 2" w:char="0052"/>
      </w:r>
      <w:r>
        <w:rPr>
          <w:rFonts w:hint="eastAsia" w:ascii="宋体" w:hAnsi="宋体" w:eastAsia="宋体" w:cs="宋体"/>
          <w:b/>
          <w:bCs w:val="0"/>
          <w:color w:val="0000FF"/>
          <w:spacing w:val="0"/>
          <w:w w:val="100"/>
          <w:sz w:val="22"/>
          <w:szCs w:val="22"/>
          <w:highlight w:val="none"/>
          <w:u w:val="single"/>
          <w:lang w:val="en-US" w:eastAsia="zh-CN"/>
        </w:rPr>
        <w:t>否</w:t>
      </w:r>
      <w:r>
        <w:rPr>
          <w:rFonts w:hint="eastAsia" w:ascii="宋体" w:hAnsi="宋体" w:eastAsia="宋体" w:cs="宋体"/>
          <w:b/>
          <w:bCs w:val="0"/>
          <w:color w:val="0000FF"/>
          <w:spacing w:val="0"/>
          <w:w w:val="100"/>
          <w:sz w:val="22"/>
          <w:szCs w:val="22"/>
          <w:highlight w:val="none"/>
          <w:u w:val="none"/>
          <w:lang w:val="en-US" w:eastAsia="zh-CN"/>
        </w:rPr>
        <w:t>）</w:t>
      </w:r>
      <w:r>
        <w:rPr>
          <w:rFonts w:hint="eastAsia" w:ascii="宋体" w:hAnsi="宋体" w:eastAsia="宋体" w:cs="宋体"/>
          <w:bCs/>
          <w:color w:val="0000FF"/>
          <w:spacing w:val="0"/>
          <w:w w:val="100"/>
          <w:sz w:val="22"/>
          <w:szCs w:val="22"/>
          <w:highlight w:val="none"/>
        </w:rPr>
        <w:t>联合体参加磋商。</w:t>
      </w:r>
    </w:p>
    <w:p w14:paraId="48070A4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bookmarkStart w:id="72" w:name="_Toc24745"/>
      <w:r>
        <w:rPr>
          <w:rFonts w:hint="eastAsia" w:ascii="宋体" w:hAnsi="宋体" w:eastAsia="宋体" w:cs="宋体"/>
          <w:bCs/>
          <w:color w:val="auto"/>
          <w:spacing w:val="0"/>
          <w:w w:val="100"/>
          <w:sz w:val="22"/>
          <w:szCs w:val="22"/>
          <w:highlight w:val="none"/>
        </w:rPr>
        <w:t>4.2以联合体形式参加本项目采购的，联合体的主办方和成员单位均应当具备采购文件规定的供应商资格要求，并在响应文件中分别提供联合体的主办方及成员单位的资格条件证明材料，在响应文件中提交联合体协议。</w:t>
      </w:r>
    </w:p>
    <w:p w14:paraId="47E9FFE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4.3以联合体形式参加采购活动的，应当在响应文件中提交由所有联合体成员各方盖章的联合体协议。联合体协议应载明联合体各方承担的工作和义务；联合体协议应当指定主办方，授权其代表所有联合体各成员方，具体负责参与项目投标和合同实施阶段的主办、协调工作；联合体协议中应当载明由联合体各成员方共同与采购人签订合同，并就采购合同约定的事项对采购人承担连带责任。</w:t>
      </w:r>
    </w:p>
    <w:p w14:paraId="2815AD9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4.4响应文件的报价表中应列明联合体各成员方的各自承担的内容及对应报价。</w:t>
      </w:r>
    </w:p>
    <w:p w14:paraId="1FD6626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4.5响应文件盖章事宜，按联合体协议约定由主办方盖章，也可由联合体所有成员单位盖章。</w:t>
      </w:r>
    </w:p>
    <w:p w14:paraId="3274209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4.6联合体成交的，本项目的采购代理服务费由联合体主办方交纳，也可由联合体所有成员分摊交纳。</w:t>
      </w:r>
    </w:p>
    <w:p w14:paraId="40A5A0B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4.7联合体协议中仅约定由联合体主办方或成员单位中某一方与采购人签订合同的，或联合体协议中仅约定由联合体主办方或成员单位中某一方就采购合同约定的事项对采购人承担责任的，视为联合体协议不成立，该联合体的响应文件将被作无效处理。</w:t>
      </w:r>
    </w:p>
    <w:p w14:paraId="691620B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4.8采购文件的响应文件格式中除明确说明外所列供应商为联合体协议指定的主办方。</w:t>
      </w:r>
    </w:p>
    <w:p w14:paraId="6AC7BAB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4.9若为联合体参加的，除另行说明外，联合体各方的资信、业绩及荣誉等所有涉及内容均予以认可。</w:t>
      </w:r>
    </w:p>
    <w:p w14:paraId="562BCCEE">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outlineLvl w:val="1"/>
        <w:rPr>
          <w:rFonts w:hint="eastAsia" w:ascii="宋体" w:hAnsi="宋体" w:eastAsia="宋体" w:cs="宋体"/>
          <w:b/>
          <w:bCs/>
          <w:color w:val="auto"/>
          <w:spacing w:val="0"/>
          <w:kern w:val="0"/>
          <w:sz w:val="22"/>
          <w:szCs w:val="22"/>
          <w:highlight w:val="none"/>
        </w:rPr>
      </w:pPr>
      <w:r>
        <w:rPr>
          <w:rFonts w:hint="eastAsia" w:ascii="宋体" w:hAnsi="宋体" w:eastAsia="宋体" w:cs="宋体"/>
          <w:b/>
          <w:bCs/>
          <w:color w:val="auto"/>
          <w:spacing w:val="0"/>
          <w:kern w:val="0"/>
          <w:sz w:val="22"/>
          <w:szCs w:val="22"/>
          <w:highlight w:val="none"/>
        </w:rPr>
        <w:t>5.费用</w:t>
      </w:r>
      <w:bookmarkEnd w:id="72"/>
    </w:p>
    <w:p w14:paraId="52386F84">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kern w:val="0"/>
          <w:sz w:val="22"/>
          <w:szCs w:val="22"/>
          <w:highlight w:val="none"/>
        </w:rPr>
      </w:pPr>
      <w:r>
        <w:rPr>
          <w:rFonts w:hint="eastAsia" w:ascii="宋体" w:hAnsi="宋体" w:eastAsia="宋体" w:cs="宋体"/>
          <w:color w:val="auto"/>
          <w:spacing w:val="0"/>
          <w:kern w:val="0"/>
          <w:sz w:val="22"/>
          <w:szCs w:val="22"/>
          <w:highlight w:val="none"/>
        </w:rPr>
        <w:t>5.1无论采购活动中的做法和结果如何，供应商自行承担采购活动中所发生的全部费用。</w:t>
      </w:r>
    </w:p>
    <w:p w14:paraId="11DFD2D5">
      <w:pPr>
        <w:keepNext w:val="0"/>
        <w:keepLines w:val="0"/>
        <w:pageBreakBefore w:val="0"/>
        <w:widowControl w:val="0"/>
        <w:kinsoku/>
        <w:wordWrap/>
        <w:overflowPunct/>
        <w:topLinePunct w:val="0"/>
        <w:autoSpaceDE/>
        <w:autoSpaceDN/>
        <w:bidi w:val="0"/>
        <w:adjustRightInd/>
        <w:snapToGrid w:val="0"/>
        <w:spacing w:line="480" w:lineRule="exact"/>
        <w:ind w:left="0" w:firstLine="442" w:firstLineChars="200"/>
        <w:textAlignment w:val="auto"/>
        <w:outlineLvl w:val="1"/>
        <w:rPr>
          <w:rFonts w:hint="eastAsia" w:ascii="宋体" w:hAnsi="宋体" w:eastAsia="宋体" w:cs="宋体"/>
          <w:b/>
          <w:bCs/>
          <w:color w:val="auto"/>
          <w:spacing w:val="0"/>
          <w:kern w:val="0"/>
          <w:sz w:val="22"/>
          <w:szCs w:val="22"/>
          <w:highlight w:val="none"/>
        </w:rPr>
      </w:pPr>
      <w:bookmarkStart w:id="73" w:name="_Toc2047"/>
      <w:r>
        <w:rPr>
          <w:rFonts w:hint="eastAsia" w:ascii="宋体" w:hAnsi="宋体" w:eastAsia="宋体" w:cs="宋体"/>
          <w:b/>
          <w:bCs/>
          <w:color w:val="auto"/>
          <w:spacing w:val="0"/>
          <w:kern w:val="0"/>
          <w:sz w:val="22"/>
          <w:szCs w:val="22"/>
          <w:highlight w:val="none"/>
          <w:lang w:val="en-US" w:eastAsia="zh-CN"/>
        </w:rPr>
        <w:t>6</w:t>
      </w:r>
      <w:r>
        <w:rPr>
          <w:rFonts w:hint="eastAsia" w:ascii="宋体" w:hAnsi="宋体" w:eastAsia="宋体" w:cs="宋体"/>
          <w:b/>
          <w:bCs/>
          <w:color w:val="auto"/>
          <w:spacing w:val="0"/>
          <w:kern w:val="0"/>
          <w:sz w:val="22"/>
          <w:szCs w:val="22"/>
          <w:highlight w:val="none"/>
        </w:rPr>
        <w:t>.特别说明</w:t>
      </w:r>
      <w:bookmarkEnd w:id="73"/>
    </w:p>
    <w:p w14:paraId="02B8BA9E">
      <w:pPr>
        <w:keepNext w:val="0"/>
        <w:keepLines w:val="0"/>
        <w:pageBreakBefore w:val="0"/>
        <w:widowControl w:val="0"/>
        <w:kinsoku/>
        <w:wordWrap/>
        <w:overflowPunct/>
        <w:topLinePunct w:val="0"/>
        <w:autoSpaceDE/>
        <w:autoSpaceDN/>
        <w:bidi w:val="0"/>
        <w:adjustRightInd/>
        <w:snapToGrid w:val="0"/>
        <w:spacing w:line="480" w:lineRule="exact"/>
        <w:ind w:left="0" w:firstLine="440" w:firstLineChars="200"/>
        <w:textAlignment w:val="auto"/>
        <w:rPr>
          <w:rFonts w:hint="eastAsia" w:ascii="宋体" w:hAnsi="宋体" w:eastAsia="宋体" w:cs="宋体"/>
          <w:color w:val="auto"/>
          <w:spacing w:val="0"/>
          <w:kern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.1</w:t>
      </w:r>
      <w:r>
        <w:rPr>
          <w:rFonts w:hint="eastAsia" w:ascii="宋体" w:hAnsi="宋体" w:eastAsia="宋体" w:cs="宋体"/>
          <w:color w:val="auto"/>
          <w:spacing w:val="0"/>
          <w:kern w:val="0"/>
          <w:sz w:val="22"/>
          <w:szCs w:val="22"/>
          <w:highlight w:val="none"/>
        </w:rPr>
        <w:t>根据政府采购相关法律、法规、规章、文件规定并满足采购文件规定资格条件的区域性分支机构、个体工商户、个人独资企业、合伙企业参加本项目响应并由单位负责人签署的相关响应资料与本采购文件规定由法定代表人签署的文件材料具有同等效力。</w:t>
      </w:r>
    </w:p>
    <w:p w14:paraId="474C01C8">
      <w:pPr>
        <w:pStyle w:val="13"/>
        <w:keepNext w:val="0"/>
        <w:keepLines w:val="0"/>
        <w:pageBreakBefore w:val="0"/>
        <w:widowControl w:val="0"/>
        <w:kinsoku/>
        <w:wordWrap/>
        <w:overflowPunct/>
        <w:topLinePunct w:val="0"/>
        <w:autoSpaceDE/>
        <w:autoSpaceDN/>
        <w:bidi w:val="0"/>
        <w:adjustRightInd/>
        <w:snapToGrid w:val="0"/>
        <w:spacing w:line="480" w:lineRule="exact"/>
        <w:ind w:left="0" w:firstLine="442" w:firstLineChars="200"/>
        <w:textAlignment w:val="auto"/>
        <w:rPr>
          <w:rFonts w:hint="eastAsia" w:ascii="宋体" w:hAnsi="宋体" w:eastAsia="宋体" w:cs="宋体"/>
          <w:b/>
          <w:bCs/>
          <w:color w:val="auto"/>
          <w:spacing w:val="0"/>
          <w:sz w:val="22"/>
          <w:szCs w:val="22"/>
          <w:highlight w:val="none"/>
        </w:rPr>
      </w:pPr>
      <w:r>
        <w:rPr>
          <w:rFonts w:hint="eastAsia" w:ascii="宋体" w:hAnsi="宋体" w:eastAsia="宋体" w:cs="宋体"/>
          <w:b/>
          <w:bCs/>
          <w:color w:val="auto"/>
          <w:spacing w:val="0"/>
          <w:sz w:val="22"/>
          <w:szCs w:val="22"/>
          <w:highlight w:val="none"/>
          <w:lang w:val="en-US" w:eastAsia="zh-CN"/>
        </w:rPr>
        <w:t>6</w:t>
      </w:r>
      <w:r>
        <w:rPr>
          <w:rFonts w:hint="eastAsia" w:ascii="宋体" w:hAnsi="宋体" w:eastAsia="宋体" w:cs="宋体"/>
          <w:b/>
          <w:bCs/>
          <w:color w:val="auto"/>
          <w:spacing w:val="0"/>
          <w:sz w:val="22"/>
          <w:szCs w:val="22"/>
          <w:highlight w:val="none"/>
        </w:rPr>
        <w:t>.2供应商母公司（总机构）或者同一母公司下属的其他子公司</w:t>
      </w:r>
      <w:r>
        <w:rPr>
          <w:rFonts w:hint="eastAsia" w:ascii="宋体" w:hAnsi="宋体" w:eastAsia="宋体" w:cs="宋体"/>
          <w:b/>
          <w:bCs/>
          <w:color w:val="auto"/>
          <w:spacing w:val="0"/>
          <w:sz w:val="22"/>
          <w:szCs w:val="22"/>
          <w:highlight w:val="none"/>
          <w:lang w:val="en-US" w:eastAsia="zh-Hans"/>
        </w:rPr>
        <w:t>或同一总机构下属的其他分支机构</w:t>
      </w:r>
      <w:r>
        <w:rPr>
          <w:rFonts w:hint="eastAsia" w:ascii="宋体" w:hAnsi="宋体" w:eastAsia="宋体" w:cs="宋体"/>
          <w:b/>
          <w:bCs/>
          <w:color w:val="auto"/>
          <w:spacing w:val="0"/>
          <w:sz w:val="22"/>
          <w:szCs w:val="22"/>
          <w:highlight w:val="none"/>
          <w:lang w:eastAsia="zh-Hans"/>
        </w:rPr>
        <w:t>（</w:t>
      </w:r>
      <w:r>
        <w:rPr>
          <w:rFonts w:hint="eastAsia" w:ascii="宋体" w:hAnsi="宋体" w:eastAsia="宋体" w:cs="宋体"/>
          <w:b/>
          <w:bCs/>
          <w:color w:val="auto"/>
          <w:spacing w:val="0"/>
          <w:sz w:val="22"/>
          <w:szCs w:val="22"/>
          <w:highlight w:val="none"/>
          <w:lang w:val="en-US" w:eastAsia="zh-Hans"/>
        </w:rPr>
        <w:t>包括分公司</w:t>
      </w:r>
      <w:r>
        <w:rPr>
          <w:rFonts w:hint="eastAsia" w:ascii="宋体" w:hAnsi="宋体" w:eastAsia="宋体" w:cs="宋体"/>
          <w:b/>
          <w:bCs/>
          <w:color w:val="auto"/>
          <w:spacing w:val="0"/>
          <w:sz w:val="22"/>
          <w:szCs w:val="22"/>
          <w:highlight w:val="none"/>
          <w:lang w:eastAsia="zh-Hans"/>
        </w:rPr>
        <w:t>）</w:t>
      </w:r>
      <w:r>
        <w:rPr>
          <w:rFonts w:hint="eastAsia" w:ascii="宋体" w:hAnsi="宋体" w:eastAsia="宋体" w:cs="宋体"/>
          <w:b/>
          <w:bCs/>
          <w:color w:val="auto"/>
          <w:spacing w:val="0"/>
          <w:sz w:val="22"/>
          <w:szCs w:val="22"/>
          <w:highlight w:val="none"/>
        </w:rPr>
        <w:t>的人员、业绩、荣誉、知识产权、项目案例等不允许作为供应商的资信证明文件。</w:t>
      </w:r>
    </w:p>
    <w:p w14:paraId="72FF2071">
      <w:pPr>
        <w:keepNext w:val="0"/>
        <w:keepLines w:val="0"/>
        <w:pageBreakBefore w:val="0"/>
        <w:widowControl w:val="0"/>
        <w:kinsoku/>
        <w:wordWrap/>
        <w:overflowPunct/>
        <w:topLinePunct w:val="0"/>
        <w:autoSpaceDE/>
        <w:autoSpaceDN/>
        <w:bidi w:val="0"/>
        <w:adjustRightInd/>
        <w:snapToGrid w:val="0"/>
        <w:spacing w:line="480" w:lineRule="exact"/>
        <w:ind w:left="0"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.3采购文件中如有描述歧义或前后不一致的地方，磋商小组有权按公平、合理的原则进行评判，但对同一条款的评判适用于每个供应商。</w:t>
      </w:r>
    </w:p>
    <w:p w14:paraId="13C37B48">
      <w:pPr>
        <w:pStyle w:val="31"/>
        <w:keepNext w:val="0"/>
        <w:keepLines w:val="0"/>
        <w:pageBreakBefore w:val="0"/>
        <w:widowControl w:val="0"/>
        <w:kinsoku/>
        <w:overflowPunct/>
        <w:topLinePunct w:val="0"/>
        <w:autoSpaceDE/>
        <w:autoSpaceDN/>
        <w:bidi w:val="0"/>
        <w:snapToGrid w:val="0"/>
        <w:spacing w:line="480" w:lineRule="exact"/>
        <w:ind w:left="0" w:firstLine="442" w:firstLineChars="200"/>
        <w:textAlignment w:val="auto"/>
        <w:rPr>
          <w:rFonts w:hint="eastAsia" w:ascii="宋体" w:hAnsi="宋体" w:eastAsia="宋体" w:cs="宋体"/>
          <w:b/>
          <w:bCs/>
          <w:color w:val="auto"/>
          <w:spacing w:val="0"/>
          <w:sz w:val="22"/>
          <w:szCs w:val="22"/>
          <w:highlight w:val="none"/>
        </w:rPr>
      </w:pPr>
      <w:r>
        <w:rPr>
          <w:rFonts w:hint="eastAsia" w:ascii="宋体" w:hAnsi="宋体" w:eastAsia="宋体" w:cs="宋体"/>
          <w:b/>
          <w:bCs/>
          <w:color w:val="auto"/>
          <w:spacing w:val="0"/>
          <w:sz w:val="22"/>
          <w:szCs w:val="22"/>
          <w:highlight w:val="none"/>
          <w:lang w:val="en-US" w:eastAsia="zh-CN"/>
        </w:rPr>
        <w:t>6</w:t>
      </w:r>
      <w:r>
        <w:rPr>
          <w:rFonts w:hint="eastAsia" w:ascii="宋体" w:hAnsi="宋体" w:eastAsia="宋体" w:cs="宋体"/>
          <w:b/>
          <w:bCs/>
          <w:color w:val="auto"/>
          <w:spacing w:val="0"/>
          <w:sz w:val="22"/>
          <w:szCs w:val="22"/>
          <w:highlight w:val="none"/>
        </w:rPr>
        <w:t>.4 ▲供应商对所参加磋商的标项内的采购内容必须全部进行响应。</w:t>
      </w:r>
    </w:p>
    <w:p w14:paraId="487F1A33">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.5磋商响应文件的响应内容必须真实、明确、准确。否则，磋商小组将对其作出不利的评审。</w:t>
      </w:r>
    </w:p>
    <w:p w14:paraId="3ADD05E3">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.6成交供应商为履行合同引起的相关人员的差旅费、食宿费以及其它不可预知的费用由成交供应商自理，合同实施过程中，须与采购人积极配合。</w:t>
      </w:r>
    </w:p>
    <w:p w14:paraId="73A468D1">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7供应商须对所响应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DFAEB36">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outlineLvl w:val="2"/>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.8供应商自行承担所有与磋商有关的全部费用。</w:t>
      </w:r>
    </w:p>
    <w:p w14:paraId="1C88F9F0">
      <w:pPr>
        <w:keepNext w:val="0"/>
        <w:keepLines w:val="0"/>
        <w:pageBreakBefore w:val="0"/>
        <w:widowControl w:val="0"/>
        <w:kinsoku/>
        <w:overflowPunct/>
        <w:topLinePunct w:val="0"/>
        <w:autoSpaceDE/>
        <w:autoSpaceDN/>
        <w:bidi w:val="0"/>
        <w:adjustRightInd w:val="0"/>
        <w:snapToGrid w:val="0"/>
        <w:spacing w:line="480" w:lineRule="exact"/>
        <w:ind w:left="0"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rPr>
        <w:t>.9参与磋商活动的各方应对竞争性磋商文件和响应文件中的商业和技术等秘密保密，违者应对此造成的后果承担法律责任。</w:t>
      </w:r>
    </w:p>
    <w:p w14:paraId="410157CE">
      <w:pPr>
        <w:keepNext w:val="0"/>
        <w:keepLines w:val="0"/>
        <w:pageBreakBefore w:val="0"/>
        <w:widowControl w:val="0"/>
        <w:kinsoku/>
        <w:overflowPunct/>
        <w:topLinePunct w:val="0"/>
        <w:autoSpaceDE/>
        <w:autoSpaceDN/>
        <w:bidi w:val="0"/>
        <w:snapToGrid w:val="0"/>
        <w:spacing w:line="480" w:lineRule="exact"/>
        <w:ind w:left="0" w:firstLine="442" w:firstLineChars="200"/>
        <w:textAlignment w:val="auto"/>
        <w:rPr>
          <w:rFonts w:hint="eastAsia" w:ascii="宋体" w:hAnsi="宋体" w:eastAsia="宋体" w:cs="宋体"/>
          <w:b/>
          <w:bCs/>
          <w:color w:val="auto"/>
          <w:spacing w:val="0"/>
          <w:sz w:val="22"/>
          <w:szCs w:val="22"/>
          <w:highlight w:val="none"/>
        </w:rPr>
      </w:pPr>
      <w:r>
        <w:rPr>
          <w:rFonts w:hint="eastAsia" w:ascii="宋体" w:hAnsi="宋体" w:eastAsia="宋体" w:cs="宋体"/>
          <w:b/>
          <w:bCs/>
          <w:color w:val="auto"/>
          <w:spacing w:val="0"/>
          <w:sz w:val="22"/>
          <w:szCs w:val="22"/>
          <w:highlight w:val="none"/>
          <w:lang w:val="en-US" w:eastAsia="zh-CN"/>
        </w:rPr>
        <w:t>6</w:t>
      </w:r>
      <w:r>
        <w:rPr>
          <w:rFonts w:hint="eastAsia" w:ascii="宋体" w:hAnsi="宋体" w:eastAsia="宋体" w:cs="宋体"/>
          <w:b/>
          <w:bCs/>
          <w:color w:val="auto"/>
          <w:spacing w:val="0"/>
          <w:sz w:val="22"/>
          <w:szCs w:val="22"/>
          <w:highlight w:val="none"/>
        </w:rPr>
        <w:t>.10对采购文件提出质疑的，质疑期限自供应商获得采购文件之日起计算（采购文件公告期限届满后获取采购文件的，以采购文件公告期限届满之日为准），且应当在磋商响应截止时间之前提出，否则，被质疑人可不予接受。</w:t>
      </w:r>
    </w:p>
    <w:p w14:paraId="03EE82B3">
      <w:pPr>
        <w:keepNext w:val="0"/>
        <w:keepLines w:val="0"/>
        <w:pageBreakBefore w:val="0"/>
        <w:widowControl w:val="0"/>
        <w:kinsoku/>
        <w:overflowPunct/>
        <w:topLinePunct w:val="0"/>
        <w:autoSpaceDE/>
        <w:autoSpaceDN/>
        <w:bidi w:val="0"/>
        <w:snapToGrid w:val="0"/>
        <w:spacing w:line="480" w:lineRule="exact"/>
        <w:ind w:left="0" w:firstLine="440" w:firstLineChars="200"/>
        <w:textAlignment w:val="auto"/>
        <w:outlineLvl w:val="2"/>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6.11</w:t>
      </w:r>
      <w:r>
        <w:rPr>
          <w:rFonts w:hint="eastAsia" w:ascii="宋体" w:hAnsi="宋体" w:eastAsia="宋体" w:cs="宋体"/>
          <w:color w:val="auto"/>
          <w:spacing w:val="0"/>
          <w:sz w:val="22"/>
          <w:szCs w:val="22"/>
          <w:highlight w:val="none"/>
        </w:rPr>
        <w:t>中标</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成交</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供应商放弃中标</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成交</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资格导致重新采购的，应当承担支付代理费和专家评审费等费用在内的赔偿责任</w:t>
      </w:r>
      <w:r>
        <w:rPr>
          <w:rFonts w:hint="eastAsia" w:ascii="宋体" w:hAnsi="宋体" w:eastAsia="宋体" w:cs="宋体"/>
          <w:color w:val="auto"/>
          <w:spacing w:val="0"/>
          <w:sz w:val="22"/>
          <w:szCs w:val="22"/>
          <w:highlight w:val="none"/>
          <w:lang w:eastAsia="zh-CN"/>
        </w:rPr>
        <w:t>。</w:t>
      </w:r>
    </w:p>
    <w:p w14:paraId="36C7D6F4">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74" w:name="_Toc390938576"/>
      <w:bookmarkStart w:id="75" w:name="_Toc26184"/>
      <w:bookmarkStart w:id="76" w:name="_Toc495479093"/>
      <w:bookmarkStart w:id="77" w:name="_Toc27258"/>
      <w:r>
        <w:rPr>
          <w:rFonts w:hint="eastAsia" w:ascii="宋体" w:hAnsi="宋体" w:eastAsia="宋体" w:cs="宋体"/>
          <w:b/>
          <w:bCs/>
          <w:color w:val="auto"/>
          <w:spacing w:val="0"/>
          <w:w w:val="100"/>
          <w:sz w:val="28"/>
          <w:szCs w:val="28"/>
          <w:highlight w:val="none"/>
        </w:rPr>
        <w:t>二  磋商文件说明</w:t>
      </w:r>
      <w:bookmarkEnd w:id="74"/>
      <w:bookmarkEnd w:id="75"/>
      <w:bookmarkEnd w:id="76"/>
      <w:bookmarkEnd w:id="77"/>
    </w:p>
    <w:p w14:paraId="1628C408">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7</w:t>
      </w:r>
      <w:r>
        <w:rPr>
          <w:rFonts w:hint="eastAsia" w:ascii="宋体" w:hAnsi="宋体" w:eastAsia="宋体" w:cs="宋体"/>
          <w:b/>
          <w:color w:val="auto"/>
          <w:spacing w:val="0"/>
          <w:w w:val="100"/>
          <w:sz w:val="22"/>
          <w:szCs w:val="22"/>
          <w:highlight w:val="none"/>
        </w:rPr>
        <w:t>.</w:t>
      </w:r>
      <w:r>
        <w:rPr>
          <w:rFonts w:hint="eastAsia" w:ascii="宋体" w:hAnsi="宋体" w:eastAsia="宋体" w:cs="宋体"/>
          <w:color w:val="auto"/>
          <w:spacing w:val="0"/>
          <w:w w:val="100"/>
          <w:sz w:val="22"/>
          <w:szCs w:val="22"/>
          <w:highlight w:val="none"/>
        </w:rPr>
        <w:t xml:space="preserve"> </w:t>
      </w:r>
      <w:r>
        <w:rPr>
          <w:rFonts w:hint="eastAsia" w:ascii="宋体" w:hAnsi="宋体" w:eastAsia="宋体" w:cs="宋体"/>
          <w:b/>
          <w:color w:val="auto"/>
          <w:spacing w:val="0"/>
          <w:w w:val="100"/>
          <w:sz w:val="22"/>
          <w:szCs w:val="22"/>
          <w:highlight w:val="none"/>
        </w:rPr>
        <w:t>磋商文件的构成</w:t>
      </w:r>
    </w:p>
    <w:p w14:paraId="403530E1">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.1磋商文件用以阐明所需货物及服务、磋商、磋商程序和合同条款等。本磋商文件由下述部分组成：</w:t>
      </w:r>
    </w:p>
    <w:p w14:paraId="11FF7F69">
      <w:pPr>
        <w:keepNext w:val="0"/>
        <w:keepLines w:val="0"/>
        <w:pageBreakBefore w:val="0"/>
        <w:widowControl w:val="0"/>
        <w:tabs>
          <w:tab w:val="left" w:pos="6585"/>
        </w:tabs>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竞争性磋商公告</w:t>
      </w:r>
    </w:p>
    <w:p w14:paraId="7ABD9FE3">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供应商须知</w:t>
      </w:r>
    </w:p>
    <w:p w14:paraId="00FDCDDC">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采购需求</w:t>
      </w:r>
    </w:p>
    <w:p w14:paraId="7F7AAE94">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政府采购合同</w:t>
      </w:r>
    </w:p>
    <w:p w14:paraId="7EB6BFD7">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磋商相关文件格式</w:t>
      </w:r>
    </w:p>
    <w:p w14:paraId="3106B7D3">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磋商办法和细则</w:t>
      </w:r>
    </w:p>
    <w:p w14:paraId="7FC3FE38">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与本项目有关的磋商文件澄清、答复、更正、补充的内容</w:t>
      </w:r>
    </w:p>
    <w:p w14:paraId="09D3DB9D">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8</w:t>
      </w:r>
      <w:r>
        <w:rPr>
          <w:rFonts w:hint="eastAsia" w:ascii="宋体" w:hAnsi="宋体" w:eastAsia="宋体" w:cs="宋体"/>
          <w:b/>
          <w:color w:val="auto"/>
          <w:spacing w:val="0"/>
          <w:w w:val="100"/>
          <w:sz w:val="22"/>
          <w:szCs w:val="22"/>
          <w:highlight w:val="none"/>
        </w:rPr>
        <w:t>.供应商的风险</w:t>
      </w:r>
    </w:p>
    <w:p w14:paraId="3B52137A">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供应商应认真阅读磋商文件中的所有条款。供应商没有按照磋商文件的要求提供全部资料，或者供应商没有对磋商文件在各方面作出实质性响应是供应商的风险，并可能导致其磋商被拒绝。</w:t>
      </w:r>
    </w:p>
    <w:p w14:paraId="0B448991">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9</w:t>
      </w:r>
      <w:r>
        <w:rPr>
          <w:rFonts w:hint="eastAsia" w:ascii="宋体" w:hAnsi="宋体" w:eastAsia="宋体" w:cs="宋体"/>
          <w:b/>
          <w:color w:val="auto"/>
          <w:spacing w:val="0"/>
          <w:w w:val="100"/>
          <w:sz w:val="22"/>
          <w:szCs w:val="22"/>
          <w:highlight w:val="none"/>
        </w:rPr>
        <w:t>.</w:t>
      </w:r>
      <w:r>
        <w:rPr>
          <w:rFonts w:hint="eastAsia" w:ascii="宋体" w:hAnsi="宋体" w:eastAsia="宋体" w:cs="宋体"/>
          <w:color w:val="auto"/>
          <w:spacing w:val="0"/>
          <w:w w:val="100"/>
          <w:sz w:val="22"/>
          <w:szCs w:val="22"/>
          <w:highlight w:val="none"/>
        </w:rPr>
        <w:t xml:space="preserve"> </w:t>
      </w:r>
      <w:r>
        <w:rPr>
          <w:rFonts w:hint="eastAsia" w:ascii="宋体" w:hAnsi="宋体" w:eastAsia="宋体" w:cs="宋体"/>
          <w:b/>
          <w:color w:val="auto"/>
          <w:spacing w:val="0"/>
          <w:w w:val="100"/>
          <w:sz w:val="22"/>
          <w:szCs w:val="22"/>
          <w:highlight w:val="none"/>
        </w:rPr>
        <w:t>磋商文件的澄清和修改</w:t>
      </w:r>
    </w:p>
    <w:p w14:paraId="75112816">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9</w:t>
      </w:r>
      <w:r>
        <w:rPr>
          <w:rFonts w:hint="eastAsia" w:ascii="宋体" w:hAnsi="宋体" w:eastAsia="宋体" w:cs="宋体"/>
          <w:color w:val="auto"/>
          <w:spacing w:val="0"/>
          <w:w w:val="100"/>
          <w:sz w:val="22"/>
          <w:szCs w:val="22"/>
          <w:highlight w:val="none"/>
        </w:rPr>
        <w:t>.1磋商文件澄清、答复、修改、补充的内容为磋商文件的组成部分。</w:t>
      </w:r>
    </w:p>
    <w:p w14:paraId="56FDB1ED">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9</w:t>
      </w:r>
      <w:r>
        <w:rPr>
          <w:rFonts w:hint="eastAsia" w:ascii="宋体" w:hAnsi="宋体" w:eastAsia="宋体" w:cs="宋体"/>
          <w:color w:val="auto"/>
          <w:spacing w:val="0"/>
          <w:w w:val="100"/>
          <w:sz w:val="22"/>
          <w:szCs w:val="22"/>
          <w:highlight w:val="none"/>
        </w:rPr>
        <w:t>.2依法获取竞争性磋商文件的</w:t>
      </w:r>
      <w:r>
        <w:rPr>
          <w:rFonts w:hint="eastAsia" w:ascii="宋体" w:hAnsi="宋体" w:eastAsia="宋体" w:cs="宋体"/>
          <w:bCs/>
          <w:color w:val="auto"/>
          <w:spacing w:val="0"/>
          <w:w w:val="100"/>
          <w:sz w:val="22"/>
          <w:szCs w:val="22"/>
          <w:highlight w:val="none"/>
        </w:rPr>
        <w:t>供应商认真阅读</w:t>
      </w:r>
      <w:r>
        <w:rPr>
          <w:rFonts w:hint="eastAsia" w:ascii="宋体" w:hAnsi="宋体" w:eastAsia="宋体" w:cs="宋体"/>
          <w:color w:val="auto"/>
          <w:spacing w:val="0"/>
          <w:w w:val="100"/>
          <w:sz w:val="22"/>
          <w:szCs w:val="22"/>
          <w:highlight w:val="none"/>
        </w:rPr>
        <w:t>磋商</w:t>
      </w:r>
      <w:r>
        <w:rPr>
          <w:rFonts w:hint="eastAsia" w:ascii="宋体" w:hAnsi="宋体" w:eastAsia="宋体" w:cs="宋体"/>
          <w:bCs/>
          <w:color w:val="auto"/>
          <w:spacing w:val="0"/>
          <w:w w:val="100"/>
          <w:sz w:val="22"/>
          <w:szCs w:val="22"/>
          <w:highlight w:val="none"/>
        </w:rPr>
        <w:t>文件，如有疑问应于</w:t>
      </w:r>
      <w:r>
        <w:rPr>
          <w:rFonts w:hint="eastAsia" w:ascii="宋体" w:hAnsi="宋体" w:eastAsia="宋体" w:cs="宋体"/>
          <w:b/>
          <w:snapToGrid w:val="0"/>
          <w:color w:val="auto"/>
          <w:spacing w:val="0"/>
          <w:w w:val="100"/>
          <w:sz w:val="22"/>
          <w:szCs w:val="22"/>
          <w:highlight w:val="none"/>
          <w:u w:val="single"/>
        </w:rPr>
        <w:t>提交响应文件的截止时间5日前</w:t>
      </w:r>
      <w:r>
        <w:rPr>
          <w:rFonts w:hint="eastAsia" w:ascii="宋体" w:hAnsi="宋体" w:eastAsia="宋体" w:cs="宋体"/>
          <w:bCs/>
          <w:color w:val="auto"/>
          <w:spacing w:val="0"/>
          <w:w w:val="100"/>
          <w:sz w:val="22"/>
          <w:szCs w:val="22"/>
          <w:highlight w:val="none"/>
        </w:rPr>
        <w:t>向采购代理机构（可传真）提出澄清申请。采购代理机构对已发出的竞争性磋商文件进行必要澄清或修改，</w:t>
      </w:r>
      <w:r>
        <w:rPr>
          <w:rFonts w:hint="eastAsia" w:ascii="宋体" w:hAnsi="宋体" w:eastAsia="宋体" w:cs="宋体"/>
          <w:color w:val="auto"/>
          <w:spacing w:val="0"/>
          <w:w w:val="100"/>
          <w:sz w:val="22"/>
          <w:szCs w:val="22"/>
          <w:highlight w:val="none"/>
        </w:rPr>
        <w:t>澄清或者修改内容可能影响</w:t>
      </w:r>
      <w:r>
        <w:rPr>
          <w:rFonts w:hint="eastAsia" w:ascii="宋体" w:hAnsi="宋体" w:eastAsia="宋体" w:cs="宋体"/>
          <w:color w:val="auto"/>
          <w:spacing w:val="0"/>
          <w:w w:val="100"/>
          <w:sz w:val="22"/>
          <w:szCs w:val="22"/>
          <w:highlight w:val="none"/>
          <w:lang w:eastAsia="zh-CN"/>
        </w:rPr>
        <w:t>响应</w:t>
      </w:r>
      <w:r>
        <w:rPr>
          <w:rFonts w:hint="eastAsia" w:ascii="宋体" w:hAnsi="宋体" w:eastAsia="宋体" w:cs="宋体"/>
          <w:color w:val="auto"/>
          <w:spacing w:val="0"/>
          <w:w w:val="100"/>
          <w:sz w:val="22"/>
          <w:szCs w:val="22"/>
          <w:highlight w:val="none"/>
        </w:rPr>
        <w:t>文件编制的，采购代理机构在磋商截止时间5日前，在“浙江政府采购网</w:t>
      </w: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HYPERLINK "http://60.190.126.3:8080/wcm/WCMV6/editor/editor/招标文件（新版）.doc" </w:instrText>
      </w:r>
      <w:r>
        <w:rPr>
          <w:rFonts w:hint="eastAsia" w:ascii="宋体" w:hAnsi="宋体" w:eastAsia="宋体" w:cs="宋体"/>
          <w:color w:val="auto"/>
          <w:spacing w:val="0"/>
          <w:w w:val="100"/>
          <w:sz w:val="22"/>
          <w:szCs w:val="22"/>
          <w:highlight w:val="none"/>
        </w:rPr>
        <w:fldChar w:fldCharType="separate"/>
      </w:r>
      <w:r>
        <w:rPr>
          <w:rStyle w:val="46"/>
          <w:rFonts w:hint="eastAsia" w:ascii="宋体" w:hAnsi="宋体" w:eastAsia="宋体" w:cs="宋体"/>
          <w:color w:val="auto"/>
          <w:spacing w:val="0"/>
          <w:w w:val="100"/>
          <w:sz w:val="22"/>
          <w:szCs w:val="22"/>
          <w:highlight w:val="none"/>
          <w:u w:val="none"/>
        </w:rPr>
        <w:t>http://zfcg.czt.zj.gov.cn/</w:t>
      </w:r>
      <w:r>
        <w:rPr>
          <w:rStyle w:val="46"/>
          <w:rFonts w:hint="eastAsia" w:ascii="宋体" w:hAnsi="宋体" w:eastAsia="宋体" w:cs="宋体"/>
          <w:color w:val="auto"/>
          <w:spacing w:val="0"/>
          <w:w w:val="100"/>
          <w:sz w:val="22"/>
          <w:szCs w:val="22"/>
          <w:highlight w:val="none"/>
          <w:u w:val="none"/>
        </w:rPr>
        <w:fldChar w:fldCharType="end"/>
      </w:r>
      <w:r>
        <w:rPr>
          <w:rFonts w:hint="eastAsia" w:ascii="宋体" w:hAnsi="宋体" w:eastAsia="宋体" w:cs="宋体"/>
          <w:color w:val="auto"/>
          <w:spacing w:val="0"/>
          <w:w w:val="100"/>
          <w:sz w:val="22"/>
          <w:szCs w:val="22"/>
          <w:highlight w:val="none"/>
        </w:rPr>
        <w:t>、</w:t>
      </w:r>
      <w:r>
        <w:rPr>
          <w:rFonts w:hint="eastAsia" w:ascii="宋体" w:hAnsi="宋体" w:eastAsia="宋体" w:cs="宋体"/>
          <w:bCs/>
          <w:color w:val="auto"/>
          <w:spacing w:val="0"/>
          <w:w w:val="100"/>
          <w:kern w:val="0"/>
          <w:sz w:val="22"/>
          <w:szCs w:val="22"/>
          <w:highlight w:val="none"/>
        </w:rPr>
        <w:t>丽水市公共资源交易网（庆元）（http://lssggzy.lishui.gov.cn/qyweb/）</w:t>
      </w:r>
      <w:r>
        <w:rPr>
          <w:rStyle w:val="46"/>
          <w:rFonts w:hint="eastAsia" w:ascii="宋体" w:hAnsi="宋体" w:eastAsia="宋体" w:cs="宋体"/>
          <w:color w:val="auto"/>
          <w:spacing w:val="0"/>
          <w:w w:val="100"/>
          <w:sz w:val="22"/>
          <w:szCs w:val="22"/>
          <w:highlight w:val="none"/>
          <w:u w:val="none"/>
        </w:rPr>
        <w:t>”</w:t>
      </w:r>
      <w:r>
        <w:rPr>
          <w:rFonts w:hint="eastAsia" w:ascii="宋体" w:hAnsi="宋体" w:eastAsia="宋体" w:cs="宋体"/>
          <w:color w:val="auto"/>
          <w:spacing w:val="0"/>
          <w:w w:val="100"/>
          <w:sz w:val="22"/>
          <w:szCs w:val="22"/>
          <w:highlight w:val="none"/>
        </w:rPr>
        <w:t>发布更正公告，并对其具有约束力。不足5日的，采购代理机构有权顺延提交响应文件的截止时间。</w:t>
      </w:r>
    </w:p>
    <w:p w14:paraId="6780A96C">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78" w:name="_Toc23307"/>
      <w:bookmarkStart w:id="79" w:name="_Toc495479094"/>
      <w:bookmarkStart w:id="80" w:name="_Toc16"/>
      <w:bookmarkStart w:id="81" w:name="_Toc390938577"/>
      <w:r>
        <w:rPr>
          <w:rFonts w:hint="eastAsia" w:ascii="宋体" w:hAnsi="宋体" w:eastAsia="宋体" w:cs="宋体"/>
          <w:b/>
          <w:bCs/>
          <w:color w:val="auto"/>
          <w:spacing w:val="0"/>
          <w:w w:val="100"/>
          <w:sz w:val="28"/>
          <w:szCs w:val="28"/>
          <w:highlight w:val="none"/>
        </w:rPr>
        <w:t>三  响应文件的编制</w:t>
      </w:r>
      <w:bookmarkEnd w:id="78"/>
      <w:bookmarkEnd w:id="79"/>
      <w:bookmarkEnd w:id="80"/>
      <w:bookmarkEnd w:id="81"/>
    </w:p>
    <w:p w14:paraId="42F59BA3">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10</w:t>
      </w:r>
      <w:r>
        <w:rPr>
          <w:rFonts w:hint="eastAsia" w:ascii="宋体" w:hAnsi="宋体" w:eastAsia="宋体" w:cs="宋体"/>
          <w:b/>
          <w:color w:val="auto"/>
          <w:spacing w:val="0"/>
          <w:w w:val="100"/>
          <w:sz w:val="22"/>
          <w:szCs w:val="22"/>
          <w:highlight w:val="none"/>
        </w:rPr>
        <w:t>.要求</w:t>
      </w:r>
    </w:p>
    <w:p w14:paraId="0A4ED2EC">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10</w:t>
      </w:r>
      <w:r>
        <w:rPr>
          <w:rFonts w:hint="eastAsia" w:ascii="宋体" w:hAnsi="宋体" w:eastAsia="宋体" w:cs="宋体"/>
          <w:color w:val="auto"/>
          <w:spacing w:val="0"/>
          <w:w w:val="100"/>
          <w:sz w:val="22"/>
          <w:szCs w:val="22"/>
          <w:highlight w:val="none"/>
        </w:rPr>
        <w:t>.1 供应商应仔细阅读磋商文件的所有内容，按照磋商文件的要求提交响应文件，并对所提供的全部资料的真实性承担法律责任。</w:t>
      </w:r>
    </w:p>
    <w:p w14:paraId="434C6891">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10</w:t>
      </w:r>
      <w:r>
        <w:rPr>
          <w:rFonts w:hint="eastAsia" w:ascii="宋体" w:hAnsi="宋体" w:eastAsia="宋体" w:cs="宋体"/>
          <w:color w:val="auto"/>
          <w:spacing w:val="0"/>
          <w:w w:val="100"/>
          <w:sz w:val="22"/>
          <w:szCs w:val="22"/>
          <w:highlight w:val="none"/>
        </w:rPr>
        <w:t>.2响应文件、供应商与采购有关的往来通知、函件和文件均应使用中文。如涉及非中文内容的，供应商有义务将其内容翻译成中文，一切对非中文内容的误解，都将由供应商承担。</w:t>
      </w:r>
    </w:p>
    <w:p w14:paraId="5023FC9E">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10</w:t>
      </w:r>
      <w:r>
        <w:rPr>
          <w:rFonts w:hint="eastAsia" w:ascii="宋体" w:hAnsi="宋体" w:eastAsia="宋体" w:cs="宋体"/>
          <w:b/>
          <w:color w:val="auto"/>
          <w:spacing w:val="0"/>
          <w:w w:val="100"/>
          <w:sz w:val="22"/>
          <w:szCs w:val="22"/>
          <w:highlight w:val="none"/>
        </w:rPr>
        <w:t>.3响应文件的形式和效力</w:t>
      </w:r>
    </w:p>
    <w:p w14:paraId="60F8B225">
      <w:pPr>
        <w:keepNext w:val="0"/>
        <w:keepLines w:val="0"/>
        <w:pageBreakBefore w:val="0"/>
        <w:widowControl w:val="0"/>
        <w:kinsoku/>
        <w:wordWrap/>
        <w:overflowPunct/>
        <w:topLinePunct w:val="0"/>
        <w:autoSpaceDE/>
        <w:autoSpaceDN/>
        <w:bidi w:val="0"/>
        <w:adjustRightInd/>
        <w:snapToGrid w:val="0"/>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10</w:t>
      </w:r>
      <w:r>
        <w:rPr>
          <w:rFonts w:hint="eastAsia" w:ascii="宋体" w:hAnsi="宋体" w:eastAsia="宋体" w:cs="宋体"/>
          <w:b/>
          <w:color w:val="auto"/>
          <w:spacing w:val="0"/>
          <w:w w:val="100"/>
          <w:sz w:val="22"/>
          <w:szCs w:val="22"/>
          <w:highlight w:val="none"/>
        </w:rPr>
        <w:t>.3.1 响应文件的形式：响应文件分为电子响应文件、备份响应文件。</w:t>
      </w:r>
    </w:p>
    <w:p w14:paraId="196D169D">
      <w:pPr>
        <w:keepNext w:val="0"/>
        <w:keepLines w:val="0"/>
        <w:pageBreakBefore w:val="0"/>
        <w:widowControl w:val="0"/>
        <w:kinsoku/>
        <w:wordWrap/>
        <w:overflowPunct/>
        <w:topLinePunct w:val="0"/>
        <w:autoSpaceDE/>
        <w:autoSpaceDN/>
        <w:bidi w:val="0"/>
        <w:adjustRightInd/>
        <w:snapToGrid w:val="0"/>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10</w:t>
      </w:r>
      <w:r>
        <w:rPr>
          <w:rFonts w:hint="eastAsia" w:ascii="宋体" w:hAnsi="宋体" w:eastAsia="宋体" w:cs="宋体"/>
          <w:b/>
          <w:color w:val="auto"/>
          <w:spacing w:val="0"/>
          <w:w w:val="100"/>
          <w:sz w:val="22"/>
          <w:szCs w:val="22"/>
          <w:highlight w:val="none"/>
        </w:rPr>
        <w:t>.3.2 响应文件的效力</w:t>
      </w:r>
    </w:p>
    <w:p w14:paraId="21A18547">
      <w:pPr>
        <w:keepNext w:val="0"/>
        <w:keepLines w:val="0"/>
        <w:pageBreakBefore w:val="0"/>
        <w:widowControl w:val="0"/>
        <w:kinsoku/>
        <w:wordWrap/>
        <w:overflowPunct/>
        <w:topLinePunct w:val="0"/>
        <w:autoSpaceDE/>
        <w:autoSpaceDN/>
        <w:bidi w:val="0"/>
        <w:adjustRightInd/>
        <w:snapToGrid w:val="0"/>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响应文件的启用，按先后顺位分别为电子响应文件、备份响应文件。</w:t>
      </w:r>
    </w:p>
    <w:p w14:paraId="43A1E309">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电子响应文件未按时解密，供应商已在规定时间内按规定方式提交了备份响应文件，且经代理机构工作人员通知后提供备份响应文件密码的，以备份响应文件为依据，否则视为响应文件撤回；电子响应文件已按时解密的，备份响应文件自动失效。</w:t>
      </w:r>
    </w:p>
    <w:p w14:paraId="56463E61">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11</w:t>
      </w:r>
      <w:r>
        <w:rPr>
          <w:rFonts w:hint="eastAsia" w:ascii="宋体" w:hAnsi="宋体" w:eastAsia="宋体" w:cs="宋体"/>
          <w:b/>
          <w:color w:val="auto"/>
          <w:spacing w:val="0"/>
          <w:w w:val="100"/>
          <w:sz w:val="22"/>
          <w:szCs w:val="22"/>
          <w:highlight w:val="none"/>
        </w:rPr>
        <w:t>.响应文件的组成</w:t>
      </w:r>
    </w:p>
    <w:p w14:paraId="44C400E3">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w:t>
      </w:r>
      <w:r>
        <w:rPr>
          <w:rFonts w:hint="eastAsia" w:ascii="宋体" w:hAnsi="宋体" w:eastAsia="宋体" w:cs="宋体"/>
          <w:b/>
          <w:bCs/>
          <w:color w:val="auto"/>
          <w:spacing w:val="0"/>
          <w:w w:val="100"/>
          <w:sz w:val="22"/>
          <w:szCs w:val="22"/>
          <w:highlight w:val="none"/>
          <w:lang w:val="en-US" w:eastAsia="zh-CN"/>
        </w:rPr>
        <w:t>11</w:t>
      </w:r>
      <w:r>
        <w:rPr>
          <w:rFonts w:hint="eastAsia" w:ascii="宋体" w:hAnsi="宋体" w:eastAsia="宋体" w:cs="宋体"/>
          <w:b/>
          <w:bCs/>
          <w:color w:val="auto"/>
          <w:spacing w:val="0"/>
          <w:w w:val="100"/>
          <w:sz w:val="22"/>
          <w:szCs w:val="22"/>
          <w:highlight w:val="none"/>
        </w:rPr>
        <w:t>.1提交的响应文件应分为</w:t>
      </w:r>
      <w:r>
        <w:rPr>
          <w:rFonts w:hint="eastAsia" w:ascii="宋体" w:hAnsi="宋体" w:eastAsia="宋体" w:cs="宋体"/>
          <w:b/>
          <w:bCs/>
          <w:color w:val="auto"/>
          <w:spacing w:val="0"/>
          <w:w w:val="100"/>
          <w:kern w:val="0"/>
          <w:sz w:val="22"/>
          <w:szCs w:val="22"/>
          <w:highlight w:val="none"/>
        </w:rPr>
        <w:t>资格审查文件、</w:t>
      </w:r>
      <w:r>
        <w:rPr>
          <w:rFonts w:hint="eastAsia" w:ascii="宋体" w:hAnsi="宋体" w:eastAsia="宋体" w:cs="宋体"/>
          <w:b/>
          <w:bCs/>
          <w:color w:val="auto"/>
          <w:spacing w:val="0"/>
          <w:w w:val="100"/>
          <w:sz w:val="22"/>
          <w:szCs w:val="22"/>
          <w:highlight w:val="none"/>
        </w:rPr>
        <w:t>资信商务及技术文件、报价文件三部分，报价文件如有资信商务及技术文件内容，其资信商务及技术文件内容在评审时将作为无效内容。</w:t>
      </w:r>
    </w:p>
    <w:p w14:paraId="1691B141">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12</w:t>
      </w:r>
      <w:r>
        <w:rPr>
          <w:rFonts w:hint="eastAsia" w:ascii="宋体" w:hAnsi="宋体" w:eastAsia="宋体" w:cs="宋体"/>
          <w:b/>
          <w:color w:val="auto"/>
          <w:spacing w:val="0"/>
          <w:w w:val="100"/>
          <w:sz w:val="22"/>
          <w:szCs w:val="22"/>
          <w:highlight w:val="none"/>
        </w:rPr>
        <w:t>.响应文件编制的内容和要求。</w:t>
      </w:r>
    </w:p>
    <w:p w14:paraId="40F35D78">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12</w:t>
      </w:r>
      <w:r>
        <w:rPr>
          <w:rFonts w:hint="eastAsia" w:ascii="宋体" w:hAnsi="宋体" w:eastAsia="宋体" w:cs="宋体"/>
          <w:b/>
          <w:color w:val="auto"/>
          <w:spacing w:val="0"/>
          <w:w w:val="100"/>
          <w:sz w:val="22"/>
          <w:szCs w:val="22"/>
          <w:highlight w:val="none"/>
        </w:rPr>
        <w:t>.1资格审查文件编制的内容和要求：详见第五章格式</w:t>
      </w:r>
    </w:p>
    <w:p w14:paraId="51C8AA5E">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注：资格审查不通过的，不进入下一阶段评标。</w:t>
      </w:r>
    </w:p>
    <w:p w14:paraId="003FAAA1">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12</w:t>
      </w:r>
      <w:r>
        <w:rPr>
          <w:rFonts w:hint="eastAsia" w:ascii="宋体" w:hAnsi="宋体" w:eastAsia="宋体" w:cs="宋体"/>
          <w:b/>
          <w:color w:val="auto"/>
          <w:spacing w:val="0"/>
          <w:w w:val="100"/>
          <w:sz w:val="22"/>
          <w:szCs w:val="22"/>
          <w:highlight w:val="none"/>
        </w:rPr>
        <w:t>.2资信商务及技术文件编制内容和要求：</w:t>
      </w:r>
    </w:p>
    <w:p w14:paraId="1FB9EDB7">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12</w:t>
      </w:r>
      <w:r>
        <w:rPr>
          <w:rFonts w:hint="eastAsia" w:ascii="宋体" w:hAnsi="宋体" w:eastAsia="宋体" w:cs="宋体"/>
          <w:b/>
          <w:color w:val="auto"/>
          <w:spacing w:val="0"/>
          <w:w w:val="100"/>
          <w:sz w:val="22"/>
          <w:szCs w:val="22"/>
          <w:highlight w:val="none"/>
        </w:rPr>
        <w:t>.2.1资信商务部分详见第五章格式。</w:t>
      </w:r>
    </w:p>
    <w:p w14:paraId="5E681C99">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12</w:t>
      </w:r>
      <w:r>
        <w:rPr>
          <w:rFonts w:hint="eastAsia" w:ascii="宋体" w:hAnsi="宋体" w:eastAsia="宋体" w:cs="宋体"/>
          <w:b/>
          <w:color w:val="auto"/>
          <w:spacing w:val="0"/>
          <w:w w:val="100"/>
          <w:sz w:val="22"/>
          <w:szCs w:val="22"/>
          <w:highlight w:val="none"/>
        </w:rPr>
        <w:t>.2.2技术部分编制内容和要求（包含但不限于）：</w:t>
      </w:r>
    </w:p>
    <w:p w14:paraId="6DC60578">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按磋商文件“第五章 磋商相关文件格式”所列的内容和格式。</w:t>
      </w:r>
    </w:p>
    <w:p w14:paraId="28F8B011">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供应商应对照磋商文件“第三章 采购需求”所列的内容提供完整产品、服务、技术指标等。</w:t>
      </w:r>
    </w:p>
    <w:p w14:paraId="2F4C8E19">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项目承诺：磋商文件规定的要求仅为基本要求，供应商可以作出优于或高于磋商文件中所要求的承诺。</w:t>
      </w:r>
    </w:p>
    <w:p w14:paraId="15CF608A">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供应商认为有必要提交的其他技术证明资料。</w:t>
      </w:r>
    </w:p>
    <w:p w14:paraId="7AB94B04">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.2.3报价文件的编制内容和要求详见第五章格式</w:t>
      </w:r>
    </w:p>
    <w:p w14:paraId="671CB242">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lang w:val="en-US" w:eastAsia="zh-CN"/>
        </w:rPr>
        <w:t>12</w:t>
      </w:r>
      <w:r>
        <w:rPr>
          <w:rFonts w:hint="eastAsia" w:ascii="宋体" w:hAnsi="宋体" w:eastAsia="宋体" w:cs="宋体"/>
          <w:b/>
          <w:bCs/>
          <w:color w:val="auto"/>
          <w:spacing w:val="0"/>
          <w:w w:val="100"/>
          <w:sz w:val="22"/>
          <w:szCs w:val="22"/>
          <w:highlight w:val="none"/>
        </w:rPr>
        <w:t>.3磋商报价</w:t>
      </w:r>
    </w:p>
    <w:p w14:paraId="0010A6CC">
      <w:pPr>
        <w:pStyle w:val="39"/>
        <w:keepNext w:val="0"/>
        <w:keepLines w:val="0"/>
        <w:pageBreakBefore w:val="0"/>
        <w:widowControl w:val="0"/>
        <w:kinsoku/>
        <w:wordWrap/>
        <w:overflowPunct/>
        <w:topLinePunct w:val="0"/>
        <w:autoSpaceDE/>
        <w:autoSpaceDN/>
        <w:bidi w:val="0"/>
        <w:adjustRightInd/>
        <w:spacing w:before="0" w:beforeAutospacing="0" w:after="0" w:afterAutospacing="0" w:line="480" w:lineRule="exact"/>
        <w:ind w:firstLine="440" w:firstLineChars="200"/>
        <w:textAlignment w:val="auto"/>
        <w:rPr>
          <w:rFonts w:hint="eastAsia" w:ascii="宋体" w:hAnsi="宋体" w:eastAsia="宋体" w:cs="宋体"/>
          <w:color w:val="auto"/>
          <w:spacing w:val="0"/>
          <w:w w:val="100"/>
          <w:kern w:val="2"/>
          <w:sz w:val="22"/>
          <w:szCs w:val="22"/>
          <w:highlight w:val="none"/>
          <w:lang w:val="en-US" w:eastAsia="zh-CN"/>
        </w:rPr>
      </w:pPr>
      <w:r>
        <w:rPr>
          <w:rFonts w:hint="eastAsia" w:ascii="宋体" w:hAnsi="宋体" w:eastAsia="宋体" w:cs="宋体"/>
          <w:color w:val="auto"/>
          <w:spacing w:val="0"/>
          <w:w w:val="100"/>
          <w:kern w:val="2"/>
          <w:sz w:val="22"/>
          <w:szCs w:val="22"/>
          <w:highlight w:val="none"/>
          <w:lang w:val="en-US" w:eastAsia="zh-CN"/>
        </w:rPr>
        <w:t>▲12.3.2供应商应在磋商文件所附的报价书上写明磋商报价，只允许有一个报价，采购人不接受任何选择性的报价。最终报价高于预算金额（或最高限价）的作无效标处理。</w:t>
      </w:r>
    </w:p>
    <w:p w14:paraId="2A7BA79D">
      <w:pPr>
        <w:pStyle w:val="39"/>
        <w:keepNext w:val="0"/>
        <w:keepLines w:val="0"/>
        <w:pageBreakBefore w:val="0"/>
        <w:widowControl w:val="0"/>
        <w:kinsoku/>
        <w:wordWrap/>
        <w:overflowPunct/>
        <w:topLinePunct w:val="0"/>
        <w:autoSpaceDE/>
        <w:autoSpaceDN/>
        <w:bidi w:val="0"/>
        <w:adjustRightInd/>
        <w:spacing w:before="0" w:beforeAutospacing="0" w:after="0" w:afterAutospacing="0" w:line="480" w:lineRule="exact"/>
        <w:ind w:firstLine="440" w:firstLineChars="200"/>
        <w:textAlignment w:val="auto"/>
        <w:rPr>
          <w:rFonts w:hint="eastAsia" w:ascii="宋体" w:hAnsi="宋体" w:eastAsia="宋体" w:cs="宋体"/>
          <w:color w:val="auto"/>
          <w:spacing w:val="0"/>
          <w:w w:val="100"/>
          <w:kern w:val="2"/>
          <w:sz w:val="22"/>
          <w:szCs w:val="22"/>
          <w:highlight w:val="none"/>
        </w:rPr>
      </w:pPr>
      <w:r>
        <w:rPr>
          <w:rFonts w:hint="eastAsia" w:ascii="宋体" w:hAnsi="宋体" w:eastAsia="宋体" w:cs="宋体"/>
          <w:color w:val="auto"/>
          <w:spacing w:val="0"/>
          <w:w w:val="100"/>
          <w:kern w:val="2"/>
          <w:sz w:val="22"/>
          <w:szCs w:val="22"/>
          <w:highlight w:val="none"/>
          <w:lang w:val="en-US" w:eastAsia="zh-CN"/>
        </w:rPr>
        <w:t>12.3.2最终报价是履行合同的最终价格，除磋商文件特殊说明外，应包括政策性文件规定及合同包含的所有风险、责任、安全伤亡事故等一切费用。</w:t>
      </w:r>
    </w:p>
    <w:p w14:paraId="057E0777">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.4排版</w:t>
      </w:r>
      <w:r>
        <w:rPr>
          <w:rFonts w:hint="eastAsia" w:ascii="宋体" w:hAnsi="宋体" w:eastAsia="宋体" w:cs="宋体"/>
          <w:color w:val="auto"/>
          <w:spacing w:val="0"/>
          <w:w w:val="100"/>
          <w:sz w:val="22"/>
          <w:szCs w:val="22"/>
          <w:highlight w:val="none"/>
        </w:rPr>
        <w:t>：</w:t>
      </w:r>
      <w:r>
        <w:rPr>
          <w:rFonts w:hint="eastAsia" w:ascii="宋体" w:hAnsi="宋体" w:eastAsia="宋体" w:cs="宋体"/>
          <w:color w:val="auto"/>
          <w:spacing w:val="0"/>
          <w:w w:val="100"/>
          <w:kern w:val="0"/>
          <w:sz w:val="22"/>
          <w:szCs w:val="22"/>
          <w:highlight w:val="none"/>
        </w:rPr>
        <w:t>所有文字及表格建议采用黑色，正文字体采用宋体小四号字体，标题字体采用宋体小二号字体，页码应逐页连续编注。</w:t>
      </w:r>
    </w:p>
    <w:p w14:paraId="155F2F01">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.5封面</w:t>
      </w:r>
      <w:r>
        <w:rPr>
          <w:rFonts w:hint="eastAsia" w:ascii="宋体" w:hAnsi="宋体" w:eastAsia="宋体" w:cs="宋体"/>
          <w:color w:val="auto"/>
          <w:spacing w:val="0"/>
          <w:w w:val="100"/>
          <w:sz w:val="22"/>
          <w:szCs w:val="22"/>
          <w:highlight w:val="none"/>
        </w:rPr>
        <w:t>：按照磋商文件第五章提供的格式制作封面。</w:t>
      </w:r>
    </w:p>
    <w:p w14:paraId="3B8040DC">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3</w:t>
      </w:r>
      <w:r>
        <w:rPr>
          <w:rFonts w:hint="eastAsia" w:ascii="宋体" w:hAnsi="宋体" w:eastAsia="宋体" w:cs="宋体"/>
          <w:b/>
          <w:color w:val="auto"/>
          <w:spacing w:val="0"/>
          <w:w w:val="100"/>
          <w:sz w:val="22"/>
          <w:szCs w:val="22"/>
          <w:highlight w:val="none"/>
        </w:rPr>
        <w:t>.响应文件格式</w:t>
      </w:r>
    </w:p>
    <w:p w14:paraId="0950C09B">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.1供应商应按竞争性磋商文件规定的文件格式、内容和要求制作响应文件。</w:t>
      </w:r>
    </w:p>
    <w:p w14:paraId="1C008D28">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4</w:t>
      </w:r>
      <w:r>
        <w:rPr>
          <w:rFonts w:hint="eastAsia" w:ascii="宋体" w:hAnsi="宋体" w:eastAsia="宋体" w:cs="宋体"/>
          <w:b/>
          <w:color w:val="auto"/>
          <w:spacing w:val="0"/>
          <w:w w:val="100"/>
          <w:sz w:val="22"/>
          <w:szCs w:val="22"/>
          <w:highlight w:val="none"/>
        </w:rPr>
        <w:t>.竞争性磋商有效期</w:t>
      </w:r>
    </w:p>
    <w:p w14:paraId="014080CE">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.1响应文件提交截止</w:t>
      </w:r>
      <w:r>
        <w:rPr>
          <w:rFonts w:hint="eastAsia" w:ascii="宋体" w:hAnsi="宋体" w:eastAsia="宋体" w:cs="宋体"/>
          <w:bCs/>
          <w:snapToGrid w:val="0"/>
          <w:color w:val="auto"/>
          <w:spacing w:val="0"/>
          <w:w w:val="100"/>
          <w:sz w:val="22"/>
          <w:szCs w:val="22"/>
          <w:highlight w:val="none"/>
        </w:rPr>
        <w:t>之日起90天内有效</w:t>
      </w:r>
      <w:r>
        <w:rPr>
          <w:rFonts w:hint="eastAsia" w:ascii="宋体" w:hAnsi="宋体" w:eastAsia="宋体" w:cs="宋体"/>
          <w:color w:val="auto"/>
          <w:spacing w:val="0"/>
          <w:w w:val="100"/>
          <w:sz w:val="22"/>
          <w:szCs w:val="22"/>
          <w:highlight w:val="none"/>
        </w:rPr>
        <w:t>。</w:t>
      </w:r>
    </w:p>
    <w:p w14:paraId="4C04C004">
      <w:pPr>
        <w:keepNext w:val="0"/>
        <w:keepLines w:val="0"/>
        <w:pageBreakBefore w:val="0"/>
        <w:widowControl w:val="0"/>
        <w:kinsoku/>
        <w:wordWrap/>
        <w:overflowPunct/>
        <w:topLinePunct w:val="0"/>
        <w:autoSpaceDE/>
        <w:autoSpaceDN/>
        <w:bidi w:val="0"/>
        <w:adjustRightIn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5</w:t>
      </w:r>
      <w:r>
        <w:rPr>
          <w:rFonts w:hint="eastAsia" w:ascii="宋体" w:hAnsi="宋体" w:eastAsia="宋体" w:cs="宋体"/>
          <w:b/>
          <w:color w:val="auto"/>
          <w:spacing w:val="0"/>
          <w:w w:val="100"/>
          <w:sz w:val="22"/>
          <w:szCs w:val="22"/>
          <w:highlight w:val="none"/>
        </w:rPr>
        <w:t>.响应文件的签署及规定</w:t>
      </w:r>
    </w:p>
    <w:p w14:paraId="0CF162A2">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bookmarkStart w:id="82" w:name="_Toc390938578"/>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.1供应商应按磋商文件规定的内容和要求编制响应文件，响应文件须清楚</w:t>
      </w:r>
      <w:r>
        <w:rPr>
          <w:rFonts w:hint="eastAsia" w:ascii="宋体" w:hAnsi="宋体" w:eastAsia="宋体" w:cs="宋体"/>
          <w:color w:val="auto"/>
          <w:spacing w:val="0"/>
          <w:w w:val="100"/>
          <w:sz w:val="22"/>
          <w:szCs w:val="22"/>
          <w:highlight w:val="none"/>
          <w:lang w:eastAsia="zh-CN"/>
        </w:rPr>
        <w:t>地</w:t>
      </w:r>
      <w:r>
        <w:rPr>
          <w:rFonts w:hint="eastAsia" w:ascii="宋体" w:hAnsi="宋体" w:eastAsia="宋体" w:cs="宋体"/>
          <w:color w:val="auto"/>
          <w:spacing w:val="0"/>
          <w:w w:val="100"/>
          <w:sz w:val="22"/>
          <w:szCs w:val="22"/>
          <w:highlight w:val="none"/>
        </w:rPr>
        <w:t>标明“</w:t>
      </w:r>
      <w:r>
        <w:rPr>
          <w:rFonts w:hint="eastAsia" w:ascii="宋体" w:hAnsi="宋体" w:eastAsia="宋体" w:cs="宋体"/>
          <w:color w:val="auto"/>
          <w:spacing w:val="0"/>
          <w:w w:val="100"/>
          <w:kern w:val="0"/>
          <w:sz w:val="22"/>
          <w:szCs w:val="22"/>
          <w:highlight w:val="none"/>
        </w:rPr>
        <w:t>资格审查文件</w:t>
      </w:r>
      <w:r>
        <w:rPr>
          <w:rFonts w:hint="eastAsia" w:ascii="宋体" w:hAnsi="宋体" w:eastAsia="宋体" w:cs="宋体"/>
          <w:color w:val="auto"/>
          <w:spacing w:val="0"/>
          <w:w w:val="100"/>
          <w:kern w:val="0"/>
          <w:sz w:val="22"/>
          <w:szCs w:val="22"/>
          <w:highlight w:val="none"/>
          <w:lang w:eastAsia="zh-CN"/>
        </w:rPr>
        <w:t>”“</w:t>
      </w:r>
      <w:r>
        <w:rPr>
          <w:rFonts w:hint="eastAsia" w:ascii="宋体" w:hAnsi="宋体" w:eastAsia="宋体" w:cs="宋体"/>
          <w:color w:val="auto"/>
          <w:spacing w:val="0"/>
          <w:w w:val="100"/>
          <w:sz w:val="22"/>
          <w:szCs w:val="22"/>
          <w:highlight w:val="none"/>
        </w:rPr>
        <w:t>资信商务及技术文件</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报价文件”。</w:t>
      </w:r>
    </w:p>
    <w:p w14:paraId="7AFF23E7">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.2</w:t>
      </w:r>
      <w:r>
        <w:rPr>
          <w:rFonts w:hint="eastAsia" w:ascii="宋体" w:hAnsi="宋体" w:eastAsia="宋体" w:cs="宋体"/>
          <w:bCs/>
          <w:color w:val="auto"/>
          <w:spacing w:val="0"/>
          <w:w w:val="100"/>
          <w:sz w:val="22"/>
          <w:szCs w:val="22"/>
          <w:highlight w:val="none"/>
        </w:rPr>
        <w:t>电子响应文件及备份响应文件中须加盖公章部分均采用CA签章。</w:t>
      </w:r>
    </w:p>
    <w:p w14:paraId="08B6C02B">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.3电报、电话、传真形式的磋商概不接受。</w:t>
      </w:r>
    </w:p>
    <w:bookmarkEnd w:id="82"/>
    <w:p w14:paraId="603CD3F7">
      <w:pPr>
        <w:pStyle w:val="4"/>
        <w:keepNext w:val="0"/>
        <w:keepLines w:val="0"/>
        <w:pageBreakBefore w:val="0"/>
        <w:widowControl w:val="0"/>
        <w:kinsoku/>
        <w:overflowPunct/>
        <w:topLinePunct w:val="0"/>
        <w:bidi w:val="0"/>
        <w:snapToGrid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83" w:name="_Toc107820049"/>
      <w:bookmarkStart w:id="84" w:name="_Toc56928685"/>
      <w:bookmarkStart w:id="85" w:name="_Toc4881"/>
      <w:bookmarkStart w:id="86" w:name="_Toc23195"/>
      <w:bookmarkStart w:id="87" w:name="_Toc390938579"/>
      <w:bookmarkStart w:id="88" w:name="_Toc495479096"/>
      <w:r>
        <w:rPr>
          <w:rFonts w:hint="eastAsia" w:ascii="宋体" w:hAnsi="宋体" w:eastAsia="宋体" w:cs="宋体"/>
          <w:b/>
          <w:bCs/>
          <w:color w:val="auto"/>
          <w:spacing w:val="0"/>
          <w:w w:val="100"/>
          <w:sz w:val="28"/>
          <w:szCs w:val="28"/>
          <w:highlight w:val="none"/>
        </w:rPr>
        <w:t>四  响应文件的加密、提交</w:t>
      </w:r>
      <w:bookmarkEnd w:id="83"/>
      <w:bookmarkEnd w:id="84"/>
      <w:r>
        <w:rPr>
          <w:rFonts w:hint="eastAsia" w:ascii="宋体" w:hAnsi="宋体" w:eastAsia="宋体" w:cs="宋体"/>
          <w:b/>
          <w:bCs/>
          <w:color w:val="auto"/>
          <w:spacing w:val="0"/>
          <w:w w:val="100"/>
          <w:sz w:val="28"/>
          <w:szCs w:val="28"/>
          <w:highlight w:val="none"/>
        </w:rPr>
        <w:t>、修改和撤回</w:t>
      </w:r>
      <w:bookmarkEnd w:id="85"/>
      <w:bookmarkEnd w:id="86"/>
      <w:bookmarkEnd w:id="87"/>
      <w:bookmarkEnd w:id="88"/>
    </w:p>
    <w:p w14:paraId="7BBCABE6">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16</w:t>
      </w:r>
      <w:r>
        <w:rPr>
          <w:rFonts w:hint="eastAsia" w:ascii="宋体" w:hAnsi="宋体" w:eastAsia="宋体" w:cs="宋体"/>
          <w:b/>
          <w:color w:val="auto"/>
          <w:spacing w:val="0"/>
          <w:w w:val="100"/>
          <w:sz w:val="22"/>
          <w:szCs w:val="22"/>
          <w:highlight w:val="none"/>
        </w:rPr>
        <w:t>.响应文件的加密</w:t>
      </w:r>
    </w:p>
    <w:p w14:paraId="47CF4B7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16</w:t>
      </w:r>
      <w:r>
        <w:rPr>
          <w:rFonts w:hint="eastAsia" w:ascii="宋体" w:hAnsi="宋体" w:eastAsia="宋体" w:cs="宋体"/>
          <w:color w:val="auto"/>
          <w:spacing w:val="0"/>
          <w:w w:val="100"/>
          <w:sz w:val="22"/>
          <w:szCs w:val="22"/>
          <w:highlight w:val="none"/>
        </w:rPr>
        <w:t>.1供应商应当将资格审查文件、资信商务及技术文件和报价文件三部分分别导入相应位置，各文件之间不得混装；</w:t>
      </w:r>
    </w:p>
    <w:p w14:paraId="0B9F2AE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16</w:t>
      </w:r>
      <w:r>
        <w:rPr>
          <w:rFonts w:hint="eastAsia" w:ascii="宋体" w:hAnsi="宋体" w:eastAsia="宋体" w:cs="宋体"/>
          <w:color w:val="auto"/>
          <w:spacing w:val="0"/>
          <w:w w:val="100"/>
          <w:sz w:val="22"/>
          <w:szCs w:val="22"/>
          <w:highlight w:val="none"/>
        </w:rPr>
        <w:t>.1</w:t>
      </w:r>
      <w:r>
        <w:rPr>
          <w:rFonts w:hint="eastAsia" w:ascii="宋体" w:hAnsi="宋体" w:eastAsia="宋体" w:cs="宋体"/>
          <w:b/>
          <w:color w:val="auto"/>
          <w:spacing w:val="0"/>
          <w:w w:val="100"/>
          <w:sz w:val="22"/>
          <w:szCs w:val="22"/>
          <w:highlight w:val="none"/>
        </w:rPr>
        <w:t>电子响应文件按政采云平台供应商项目采购</w:t>
      </w:r>
      <w:r>
        <w:rPr>
          <w:rFonts w:hint="eastAsia" w:ascii="宋体" w:hAnsi="宋体" w:eastAsia="宋体" w:cs="宋体"/>
          <w:b/>
          <w:color w:val="auto"/>
          <w:spacing w:val="0"/>
          <w:w w:val="100"/>
          <w:sz w:val="22"/>
          <w:szCs w:val="22"/>
          <w:highlight w:val="none"/>
          <w:lang w:eastAsia="zh-CN"/>
        </w:rPr>
        <w:t>－</w:t>
      </w:r>
      <w:r>
        <w:rPr>
          <w:rFonts w:hint="eastAsia" w:ascii="宋体" w:hAnsi="宋体" w:eastAsia="宋体" w:cs="宋体"/>
          <w:b/>
          <w:color w:val="auto"/>
          <w:spacing w:val="0"/>
          <w:w w:val="100"/>
          <w:sz w:val="22"/>
          <w:szCs w:val="22"/>
          <w:highlight w:val="none"/>
        </w:rPr>
        <w:t>电子招投标操作指南</w:t>
      </w:r>
      <w:r>
        <w:rPr>
          <w:rFonts w:hint="eastAsia" w:ascii="宋体" w:hAnsi="宋体" w:eastAsia="宋体" w:cs="宋体"/>
          <w:b/>
          <w:color w:val="auto"/>
          <w:spacing w:val="0"/>
          <w:w w:val="100"/>
          <w:sz w:val="22"/>
          <w:szCs w:val="22"/>
          <w:highlight w:val="none"/>
          <w:lang w:val="en-US" w:eastAsia="zh-CN"/>
        </w:rPr>
        <w:t>(</w:t>
      </w:r>
      <w:r>
        <w:rPr>
          <w:rFonts w:hint="eastAsia" w:ascii="宋体" w:hAnsi="宋体" w:eastAsia="宋体" w:cs="宋体"/>
          <w:b/>
          <w:color w:val="auto"/>
          <w:szCs w:val="21"/>
          <w:highlight w:val="none"/>
        </w:rPr>
        <w:t>（网址：https://help.zcygov.cn/web/site_2/2018/12-28/2573.html）</w:t>
      </w:r>
      <w:r>
        <w:rPr>
          <w:rFonts w:hint="eastAsia" w:ascii="宋体" w:hAnsi="宋体" w:eastAsia="宋体" w:cs="宋体"/>
          <w:b/>
          <w:color w:val="auto"/>
          <w:szCs w:val="21"/>
          <w:highlight w:val="none"/>
          <w:lang w:val="en-US" w:eastAsia="zh-CN"/>
        </w:rPr>
        <w:t>)</w:t>
      </w:r>
      <w:r>
        <w:rPr>
          <w:rFonts w:hint="eastAsia" w:ascii="宋体" w:hAnsi="宋体" w:eastAsia="宋体" w:cs="宋体"/>
          <w:b/>
          <w:color w:val="auto"/>
          <w:spacing w:val="0"/>
          <w:w w:val="100"/>
          <w:sz w:val="22"/>
          <w:szCs w:val="22"/>
          <w:highlight w:val="none"/>
        </w:rPr>
        <w:t>进行加密；</w:t>
      </w:r>
      <w:r>
        <w:rPr>
          <w:rFonts w:hint="eastAsia" w:ascii="宋体" w:hAnsi="宋体" w:eastAsia="宋体" w:cs="宋体"/>
          <w:color w:val="auto"/>
          <w:spacing w:val="0"/>
          <w:w w:val="100"/>
          <w:sz w:val="22"/>
          <w:szCs w:val="22"/>
          <w:highlight w:val="none"/>
        </w:rPr>
        <w:t>将最后生成的具有电子签章的备份响应文件进行压缩并加密。</w:t>
      </w:r>
    </w:p>
    <w:p w14:paraId="41566C14">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7</w:t>
      </w:r>
      <w:r>
        <w:rPr>
          <w:rFonts w:hint="eastAsia" w:ascii="宋体" w:hAnsi="宋体" w:eastAsia="宋体" w:cs="宋体"/>
          <w:b/>
          <w:color w:val="auto"/>
          <w:spacing w:val="0"/>
          <w:w w:val="100"/>
          <w:sz w:val="22"/>
          <w:szCs w:val="22"/>
          <w:highlight w:val="none"/>
        </w:rPr>
        <w:t>.响应文件的提交</w:t>
      </w:r>
    </w:p>
    <w:p w14:paraId="55D7112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.1响应文件提交截止时间和提交地点详见本章前附表。</w:t>
      </w:r>
    </w:p>
    <w:p w14:paraId="5635DC8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.2不予接收的电子响应文件情形：</w:t>
      </w:r>
    </w:p>
    <w:p w14:paraId="61D6BD6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 1 \* GB2 </w:instrText>
      </w:r>
      <w:r>
        <w:rPr>
          <w:rFonts w:hint="eastAsia" w:ascii="宋体" w:hAnsi="宋体" w:eastAsia="宋体" w:cs="宋体"/>
          <w:color w:val="auto"/>
          <w:spacing w:val="0"/>
          <w:w w:val="100"/>
          <w:sz w:val="22"/>
          <w:szCs w:val="22"/>
          <w:highlight w:val="none"/>
        </w:rPr>
        <w:fldChar w:fldCharType="separate"/>
      </w:r>
      <w:r>
        <w:rPr>
          <w:rFonts w:hint="eastAsia" w:ascii="宋体" w:hAnsi="宋体" w:eastAsia="宋体" w:cs="宋体"/>
          <w:color w:val="auto"/>
          <w:spacing w:val="0"/>
          <w:w w:val="100"/>
          <w:sz w:val="22"/>
          <w:szCs w:val="22"/>
          <w:highlight w:val="none"/>
        </w:rPr>
        <w:t>⑴</w:t>
      </w:r>
      <w:r>
        <w:rPr>
          <w:rFonts w:hint="eastAsia" w:ascii="宋体" w:hAnsi="宋体" w:eastAsia="宋体" w:cs="宋体"/>
          <w:color w:val="auto"/>
          <w:spacing w:val="0"/>
          <w:w w:val="100"/>
          <w:sz w:val="22"/>
          <w:szCs w:val="22"/>
          <w:highlight w:val="none"/>
        </w:rPr>
        <w:fldChar w:fldCharType="end"/>
      </w:r>
      <w:r>
        <w:rPr>
          <w:rFonts w:hint="eastAsia" w:ascii="宋体" w:hAnsi="宋体" w:eastAsia="宋体" w:cs="宋体"/>
          <w:color w:val="auto"/>
          <w:spacing w:val="0"/>
          <w:w w:val="100"/>
          <w:sz w:val="22"/>
          <w:szCs w:val="22"/>
          <w:highlight w:val="none"/>
        </w:rPr>
        <w:t>磋商截止时间前未完成传输的电子响应文件；</w:t>
      </w:r>
    </w:p>
    <w:p w14:paraId="22DB06A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fldChar w:fldCharType="begin"/>
      </w:r>
      <w:r>
        <w:rPr>
          <w:rFonts w:hint="eastAsia" w:ascii="宋体" w:hAnsi="宋体" w:eastAsia="宋体" w:cs="宋体"/>
          <w:color w:val="auto"/>
          <w:spacing w:val="0"/>
          <w:w w:val="100"/>
          <w:sz w:val="22"/>
          <w:szCs w:val="22"/>
          <w:highlight w:val="none"/>
        </w:rPr>
        <w:instrText xml:space="preserve"> = 2 \* GB2 </w:instrText>
      </w:r>
      <w:r>
        <w:rPr>
          <w:rFonts w:hint="eastAsia" w:ascii="宋体" w:hAnsi="宋体" w:eastAsia="宋体" w:cs="宋体"/>
          <w:color w:val="auto"/>
          <w:spacing w:val="0"/>
          <w:w w:val="100"/>
          <w:sz w:val="22"/>
          <w:szCs w:val="22"/>
          <w:highlight w:val="none"/>
        </w:rPr>
        <w:fldChar w:fldCharType="separate"/>
      </w:r>
      <w:r>
        <w:rPr>
          <w:rFonts w:hint="eastAsia" w:ascii="宋体" w:hAnsi="宋体" w:eastAsia="宋体" w:cs="宋体"/>
          <w:color w:val="auto"/>
          <w:spacing w:val="0"/>
          <w:w w:val="100"/>
          <w:sz w:val="22"/>
          <w:szCs w:val="22"/>
          <w:highlight w:val="none"/>
        </w:rPr>
        <w:t>⑵</w:t>
      </w:r>
      <w:r>
        <w:rPr>
          <w:rFonts w:hint="eastAsia" w:ascii="宋体" w:hAnsi="宋体" w:eastAsia="宋体" w:cs="宋体"/>
          <w:color w:val="auto"/>
          <w:spacing w:val="0"/>
          <w:w w:val="100"/>
          <w:sz w:val="22"/>
          <w:szCs w:val="22"/>
          <w:highlight w:val="none"/>
        </w:rPr>
        <w:fldChar w:fldCharType="end"/>
      </w:r>
      <w:r>
        <w:rPr>
          <w:rFonts w:hint="eastAsia" w:ascii="宋体" w:hAnsi="宋体" w:eastAsia="宋体" w:cs="宋体"/>
          <w:color w:val="auto"/>
          <w:spacing w:val="0"/>
          <w:w w:val="100"/>
          <w:sz w:val="22"/>
          <w:szCs w:val="22"/>
          <w:highlight w:val="none"/>
        </w:rPr>
        <w:t>未生成加密的电子响应文件；</w:t>
      </w:r>
    </w:p>
    <w:p w14:paraId="21455E8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⑶在规定时间内未解密的电子响应文件或者解密不成功又未在规定时间内提交备份响应文件的。</w:t>
      </w:r>
    </w:p>
    <w:p w14:paraId="148A13E7">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8</w:t>
      </w:r>
      <w:r>
        <w:rPr>
          <w:rFonts w:hint="eastAsia" w:ascii="宋体" w:hAnsi="宋体" w:eastAsia="宋体" w:cs="宋体"/>
          <w:b/>
          <w:color w:val="auto"/>
          <w:spacing w:val="0"/>
          <w:w w:val="100"/>
          <w:sz w:val="22"/>
          <w:szCs w:val="22"/>
          <w:highlight w:val="none"/>
        </w:rPr>
        <w:t>.响应文件的修改和撤回</w:t>
      </w:r>
    </w:p>
    <w:p w14:paraId="009085C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8</w:t>
      </w:r>
      <w:r>
        <w:rPr>
          <w:rFonts w:hint="eastAsia" w:ascii="宋体" w:hAnsi="宋体" w:eastAsia="宋体" w:cs="宋体"/>
          <w:color w:val="auto"/>
          <w:spacing w:val="0"/>
          <w:w w:val="100"/>
          <w:sz w:val="22"/>
          <w:szCs w:val="22"/>
          <w:highlight w:val="none"/>
        </w:rPr>
        <w:t>.1在提交响应文件截止时间前，可以修改或撤回其响应文件：</w:t>
      </w:r>
      <w:r>
        <w:rPr>
          <w:rFonts w:hint="eastAsia" w:ascii="宋体" w:hAnsi="宋体" w:eastAsia="宋体" w:cs="宋体"/>
          <w:b/>
          <w:color w:val="auto"/>
          <w:spacing w:val="0"/>
          <w:w w:val="100"/>
          <w:sz w:val="22"/>
          <w:szCs w:val="22"/>
          <w:highlight w:val="none"/>
        </w:rPr>
        <w:t>（1）电子响应文件补充、修改或撤回的，应当先行撤回原文件，补充、修改后重新传输提交；（2）备份响应文件补充、修改或撤回的应以书面形式通知采购代理机构。</w:t>
      </w:r>
    </w:p>
    <w:p w14:paraId="5516238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8</w:t>
      </w:r>
      <w:r>
        <w:rPr>
          <w:rFonts w:hint="eastAsia" w:ascii="宋体" w:hAnsi="宋体" w:eastAsia="宋体" w:cs="宋体"/>
          <w:color w:val="auto"/>
          <w:spacing w:val="0"/>
          <w:w w:val="100"/>
          <w:sz w:val="22"/>
          <w:szCs w:val="22"/>
          <w:highlight w:val="none"/>
        </w:rPr>
        <w:t>.2修改后重新提交的响应文件应按磋商文件的规定编制、标记和提交。</w:t>
      </w:r>
    </w:p>
    <w:p w14:paraId="0F0D406C">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w:t>
      </w: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8</w:t>
      </w:r>
      <w:r>
        <w:rPr>
          <w:rFonts w:hint="eastAsia" w:ascii="宋体" w:hAnsi="宋体" w:eastAsia="宋体" w:cs="宋体"/>
          <w:color w:val="auto"/>
          <w:spacing w:val="0"/>
          <w:w w:val="100"/>
          <w:sz w:val="22"/>
          <w:szCs w:val="22"/>
          <w:highlight w:val="none"/>
        </w:rPr>
        <w:t>.3在提交响应文件截止时间后，供应商不得修改、撤回已提交的响应文件。</w:t>
      </w:r>
    </w:p>
    <w:p w14:paraId="38B8559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▲1</w:t>
      </w:r>
      <w:r>
        <w:rPr>
          <w:rFonts w:hint="eastAsia" w:ascii="宋体" w:hAnsi="宋体" w:eastAsia="宋体" w:cs="宋体"/>
          <w:b/>
          <w:color w:val="auto"/>
          <w:spacing w:val="0"/>
          <w:w w:val="100"/>
          <w:sz w:val="22"/>
          <w:szCs w:val="22"/>
          <w:highlight w:val="none"/>
          <w:lang w:val="en-US" w:eastAsia="zh-CN"/>
        </w:rPr>
        <w:t>8</w:t>
      </w:r>
      <w:r>
        <w:rPr>
          <w:rFonts w:hint="eastAsia" w:ascii="宋体" w:hAnsi="宋体" w:eastAsia="宋体" w:cs="宋体"/>
          <w:b/>
          <w:color w:val="auto"/>
          <w:spacing w:val="0"/>
          <w:w w:val="100"/>
          <w:sz w:val="22"/>
          <w:szCs w:val="22"/>
          <w:highlight w:val="none"/>
        </w:rPr>
        <w:t>.4补充、修改后的电子响应文件、备份响应文件内容均应相同。</w:t>
      </w:r>
    </w:p>
    <w:p w14:paraId="4DBE5E8F">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89" w:name="_Toc107820050"/>
      <w:bookmarkStart w:id="90" w:name="_Toc495479097"/>
      <w:bookmarkStart w:id="91" w:name="_Toc390938580"/>
      <w:bookmarkStart w:id="92" w:name="_Toc5889"/>
      <w:bookmarkStart w:id="93" w:name="_Toc31295"/>
      <w:r>
        <w:rPr>
          <w:rFonts w:hint="eastAsia" w:ascii="宋体" w:hAnsi="宋体" w:eastAsia="宋体" w:cs="宋体"/>
          <w:b/>
          <w:bCs/>
          <w:color w:val="auto"/>
          <w:spacing w:val="0"/>
          <w:w w:val="100"/>
          <w:sz w:val="28"/>
          <w:szCs w:val="28"/>
          <w:highlight w:val="none"/>
        </w:rPr>
        <w:t>五</w:t>
      </w:r>
      <w:bookmarkEnd w:id="89"/>
      <w:r>
        <w:rPr>
          <w:rFonts w:hint="eastAsia" w:ascii="宋体" w:hAnsi="宋体" w:eastAsia="宋体" w:cs="宋体"/>
          <w:b/>
          <w:bCs/>
          <w:color w:val="auto"/>
          <w:spacing w:val="0"/>
          <w:w w:val="100"/>
          <w:sz w:val="28"/>
          <w:szCs w:val="28"/>
          <w:highlight w:val="none"/>
        </w:rPr>
        <w:t xml:space="preserve">  开标和磋商</w:t>
      </w:r>
      <w:bookmarkEnd w:id="90"/>
      <w:bookmarkEnd w:id="91"/>
      <w:r>
        <w:rPr>
          <w:rFonts w:hint="eastAsia" w:ascii="宋体" w:hAnsi="宋体" w:eastAsia="宋体" w:cs="宋体"/>
          <w:b/>
          <w:bCs/>
          <w:color w:val="auto"/>
          <w:spacing w:val="0"/>
          <w:w w:val="100"/>
          <w:sz w:val="28"/>
          <w:szCs w:val="28"/>
          <w:highlight w:val="none"/>
        </w:rPr>
        <w:t>评审</w:t>
      </w:r>
      <w:bookmarkEnd w:id="92"/>
      <w:bookmarkEnd w:id="93"/>
    </w:p>
    <w:p w14:paraId="44FA568B">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lang w:val="en-US" w:eastAsia="zh-CN"/>
        </w:rPr>
      </w:pPr>
      <w:r>
        <w:rPr>
          <w:rFonts w:hint="eastAsia" w:ascii="宋体" w:hAnsi="宋体" w:eastAsia="宋体" w:cs="宋体"/>
          <w:b/>
          <w:color w:val="auto"/>
          <w:spacing w:val="0"/>
          <w:w w:val="100"/>
          <w:sz w:val="22"/>
          <w:szCs w:val="22"/>
          <w:highlight w:val="none"/>
          <w:lang w:val="en-US" w:eastAsia="zh-CN"/>
        </w:rPr>
        <w:t>19</w:t>
      </w:r>
      <w:r>
        <w:rPr>
          <w:rFonts w:hint="eastAsia" w:ascii="宋体" w:hAnsi="宋体" w:eastAsia="宋体" w:cs="宋体"/>
          <w:b/>
          <w:color w:val="auto"/>
          <w:spacing w:val="0"/>
          <w:w w:val="100"/>
          <w:sz w:val="22"/>
          <w:szCs w:val="22"/>
          <w:highlight w:val="none"/>
        </w:rPr>
        <w:t>．</w:t>
      </w:r>
      <w:r>
        <w:rPr>
          <w:rFonts w:hint="eastAsia" w:ascii="宋体" w:hAnsi="宋体" w:eastAsia="宋体" w:cs="宋体"/>
          <w:b/>
          <w:color w:val="auto"/>
          <w:spacing w:val="0"/>
          <w:w w:val="100"/>
          <w:sz w:val="22"/>
          <w:szCs w:val="22"/>
          <w:highlight w:val="none"/>
          <w:lang w:val="en-US" w:eastAsia="zh-CN"/>
        </w:rPr>
        <w:t>开标</w:t>
      </w:r>
    </w:p>
    <w:p w14:paraId="319EC34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val="0"/>
          <w:bCs/>
          <w:color w:val="auto"/>
          <w:spacing w:val="0"/>
          <w:w w:val="100"/>
          <w:sz w:val="22"/>
          <w:szCs w:val="22"/>
          <w:highlight w:val="none"/>
          <w:lang w:eastAsia="zh-CN"/>
        </w:rPr>
      </w:pPr>
      <w:r>
        <w:rPr>
          <w:rFonts w:hint="eastAsia" w:ascii="宋体" w:hAnsi="宋体" w:eastAsia="宋体" w:cs="宋体"/>
          <w:b w:val="0"/>
          <w:bCs/>
          <w:color w:val="auto"/>
          <w:spacing w:val="0"/>
          <w:w w:val="100"/>
          <w:sz w:val="22"/>
          <w:szCs w:val="22"/>
          <w:highlight w:val="none"/>
          <w:lang w:val="en-US" w:eastAsia="zh-CN"/>
        </w:rPr>
        <w:t>19</w:t>
      </w:r>
      <w:r>
        <w:rPr>
          <w:rFonts w:hint="eastAsia" w:ascii="宋体" w:hAnsi="宋体" w:eastAsia="宋体" w:cs="宋体"/>
          <w:b w:val="0"/>
          <w:bCs/>
          <w:color w:val="auto"/>
          <w:spacing w:val="0"/>
          <w:w w:val="100"/>
          <w:sz w:val="22"/>
          <w:szCs w:val="22"/>
          <w:highlight w:val="none"/>
        </w:rPr>
        <w:t>.1优先采用电子响应文件进行</w:t>
      </w:r>
      <w:r>
        <w:rPr>
          <w:rFonts w:hint="eastAsia" w:ascii="宋体" w:hAnsi="宋体" w:eastAsia="宋体" w:cs="宋体"/>
          <w:b w:val="0"/>
          <w:bCs/>
          <w:color w:val="auto"/>
          <w:spacing w:val="0"/>
          <w:w w:val="100"/>
          <w:sz w:val="22"/>
          <w:szCs w:val="22"/>
          <w:highlight w:val="none"/>
          <w:lang w:eastAsia="zh-CN"/>
        </w:rPr>
        <w:t>开标</w:t>
      </w:r>
      <w:r>
        <w:rPr>
          <w:rFonts w:hint="eastAsia" w:ascii="宋体" w:hAnsi="宋体" w:eastAsia="宋体" w:cs="宋体"/>
          <w:b w:val="0"/>
          <w:bCs/>
          <w:color w:val="auto"/>
          <w:spacing w:val="0"/>
          <w:w w:val="100"/>
          <w:sz w:val="22"/>
          <w:szCs w:val="22"/>
          <w:highlight w:val="none"/>
        </w:rPr>
        <w:t>，</w:t>
      </w:r>
      <w:r>
        <w:rPr>
          <w:rFonts w:hint="eastAsia" w:ascii="宋体" w:hAnsi="宋体" w:eastAsia="宋体" w:cs="宋体"/>
          <w:color w:val="auto"/>
          <w:spacing w:val="0"/>
          <w:w w:val="100"/>
          <w:sz w:val="22"/>
          <w:szCs w:val="22"/>
          <w:highlight w:val="none"/>
        </w:rPr>
        <w:t>由代理机构工作人员开启电子响应文件解密通道，解密时限以电子交易平台为准</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b w:val="0"/>
          <w:bCs/>
          <w:color w:val="auto"/>
          <w:spacing w:val="0"/>
          <w:w w:val="100"/>
          <w:sz w:val="22"/>
          <w:szCs w:val="22"/>
          <w:highlight w:val="none"/>
        </w:rPr>
        <w:t>电子响应文件未按时解密的，采用备份响应文件</w:t>
      </w:r>
      <w:r>
        <w:rPr>
          <w:rFonts w:hint="eastAsia" w:ascii="宋体" w:hAnsi="宋体" w:eastAsia="宋体" w:cs="宋体"/>
          <w:b w:val="0"/>
          <w:bCs/>
          <w:color w:val="auto"/>
          <w:spacing w:val="0"/>
          <w:w w:val="100"/>
          <w:sz w:val="22"/>
          <w:szCs w:val="22"/>
          <w:highlight w:val="none"/>
          <w:lang w:eastAsia="zh-CN"/>
        </w:rPr>
        <w:t>开标。</w:t>
      </w:r>
    </w:p>
    <w:p w14:paraId="4497518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19</w:t>
      </w:r>
      <w:r>
        <w:rPr>
          <w:rFonts w:hint="eastAsia" w:ascii="宋体" w:hAnsi="宋体" w:eastAsia="宋体" w:cs="宋体"/>
          <w:color w:val="auto"/>
          <w:spacing w:val="0"/>
          <w:w w:val="100"/>
          <w:sz w:val="22"/>
          <w:szCs w:val="22"/>
          <w:highlight w:val="none"/>
        </w:rPr>
        <w:t>.2采购代理机构在磋商文件规定的时间和地点组织开标会，供应商自行决定是否安排人员赴现场参与投标。</w:t>
      </w:r>
    </w:p>
    <w:p w14:paraId="488B5A3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19</w:t>
      </w:r>
      <w:r>
        <w:rPr>
          <w:rFonts w:hint="eastAsia" w:ascii="宋体" w:hAnsi="宋体" w:eastAsia="宋体" w:cs="宋体"/>
          <w:color w:val="auto"/>
          <w:spacing w:val="0"/>
          <w:w w:val="100"/>
          <w:sz w:val="22"/>
          <w:szCs w:val="22"/>
          <w:highlight w:val="none"/>
        </w:rPr>
        <w:t>.</w:t>
      </w: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bCs/>
          <w:color w:val="auto"/>
          <w:spacing w:val="0"/>
          <w:w w:val="100"/>
          <w:sz w:val="22"/>
          <w:szCs w:val="22"/>
          <w:highlight w:val="none"/>
        </w:rPr>
        <w:t>电子响应文件无法解密的，代理机构通过电子交易平台“异常处理”通道上传备份响应文件，上传之前须由供应商代表提供备份响应文件密码进行解密。</w:t>
      </w:r>
    </w:p>
    <w:p w14:paraId="3F5B8D8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kern w:val="0"/>
          <w:sz w:val="22"/>
          <w:szCs w:val="22"/>
          <w:highlight w:val="none"/>
          <w:lang w:val="en-US" w:eastAsia="zh-CN"/>
        </w:rPr>
        <w:t>19.4</w:t>
      </w:r>
      <w:r>
        <w:rPr>
          <w:rFonts w:hint="eastAsia" w:ascii="宋体" w:hAnsi="宋体" w:eastAsia="宋体" w:cs="宋体"/>
          <w:color w:val="auto"/>
          <w:spacing w:val="0"/>
          <w:w w:val="100"/>
          <w:kern w:val="0"/>
          <w:sz w:val="22"/>
          <w:szCs w:val="22"/>
          <w:highlight w:val="none"/>
        </w:rPr>
        <w:t>解密成功的供应商不足三家的，按相关规定重新组织采购。</w:t>
      </w:r>
    </w:p>
    <w:p w14:paraId="2660CB5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kern w:val="0"/>
          <w:sz w:val="22"/>
          <w:szCs w:val="22"/>
          <w:highlight w:val="none"/>
        </w:rPr>
      </w:pPr>
      <w:r>
        <w:rPr>
          <w:rFonts w:hint="eastAsia" w:ascii="宋体" w:hAnsi="宋体" w:eastAsia="宋体" w:cs="宋体"/>
          <w:color w:val="auto"/>
          <w:spacing w:val="0"/>
          <w:w w:val="100"/>
          <w:sz w:val="22"/>
          <w:szCs w:val="22"/>
          <w:highlight w:val="none"/>
          <w:lang w:val="en-US" w:eastAsia="zh-CN"/>
        </w:rPr>
        <w:t>19.5</w:t>
      </w:r>
      <w:r>
        <w:rPr>
          <w:rFonts w:hint="eastAsia" w:ascii="宋体" w:hAnsi="宋体" w:eastAsia="宋体" w:cs="宋体"/>
          <w:color w:val="auto"/>
          <w:spacing w:val="0"/>
          <w:w w:val="100"/>
          <w:kern w:val="0"/>
          <w:sz w:val="22"/>
          <w:szCs w:val="22"/>
          <w:highlight w:val="none"/>
        </w:rPr>
        <w:t>采购代理机构做好会议记录，供应商在解密完成后可查看其他供应商名单。</w:t>
      </w:r>
    </w:p>
    <w:p w14:paraId="6E10122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19.6</w:t>
      </w:r>
      <w:r>
        <w:rPr>
          <w:rFonts w:hint="eastAsia" w:ascii="宋体" w:hAnsi="宋体" w:eastAsia="宋体" w:cs="宋体"/>
          <w:bCs/>
          <w:color w:val="auto"/>
          <w:spacing w:val="0"/>
          <w:w w:val="100"/>
          <w:sz w:val="22"/>
          <w:szCs w:val="22"/>
          <w:highlight w:val="none"/>
        </w:rPr>
        <w:t>供应商认为采购人员及相关人员与其他供应商有利害关系的，可向采购代理机构提出回避申请，并说明理由，申请须由供应商代表签字或盖章。</w:t>
      </w:r>
    </w:p>
    <w:p w14:paraId="04C7F64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19.7供应商根据解密后交易平台公布的供应商名单及信息，通过现场或邮件方式（1262850359@qq.com）提交《政府采购活动现场确认声明书》，提交时限为“开启标书信息”后30分钟内，否则视同该供应商已如实确认与采购人以及参加本次采购的其他供应商不存在影响公平竞争的利害关系。</w:t>
      </w:r>
    </w:p>
    <w:p w14:paraId="25F75E8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kern w:val="0"/>
          <w:sz w:val="22"/>
          <w:szCs w:val="22"/>
          <w:highlight w:val="none"/>
        </w:rPr>
        <w:t>1</w:t>
      </w:r>
      <w:r>
        <w:rPr>
          <w:rFonts w:hint="eastAsia" w:ascii="宋体" w:hAnsi="宋体" w:eastAsia="宋体" w:cs="宋体"/>
          <w:color w:val="auto"/>
          <w:spacing w:val="0"/>
          <w:w w:val="100"/>
          <w:kern w:val="0"/>
          <w:sz w:val="22"/>
          <w:szCs w:val="22"/>
          <w:highlight w:val="none"/>
          <w:lang w:val="en-US" w:eastAsia="zh-CN"/>
        </w:rPr>
        <w:t>9</w:t>
      </w:r>
      <w:r>
        <w:rPr>
          <w:rFonts w:hint="eastAsia" w:ascii="宋体" w:hAnsi="宋体" w:eastAsia="宋体" w:cs="宋体"/>
          <w:color w:val="auto"/>
          <w:spacing w:val="0"/>
          <w:w w:val="100"/>
          <w:kern w:val="0"/>
          <w:sz w:val="22"/>
          <w:szCs w:val="22"/>
          <w:highlight w:val="none"/>
        </w:rPr>
        <w:t>.8供应商对开标过程有疑义的，</w:t>
      </w:r>
      <w:r>
        <w:rPr>
          <w:rFonts w:hint="eastAsia" w:ascii="宋体" w:hAnsi="宋体" w:eastAsia="宋体" w:cs="宋体"/>
          <w:color w:val="auto"/>
          <w:spacing w:val="0"/>
          <w:w w:val="100"/>
          <w:sz w:val="22"/>
          <w:szCs w:val="22"/>
          <w:highlight w:val="none"/>
        </w:rPr>
        <w:t>供应商代表在开标会议结束前可以向采购代理机构通过现场或电子邮件的方式（1262850359@qq.com）提出申请，并说明理由，申请须由供应商代表签字或盖章。</w:t>
      </w:r>
    </w:p>
    <w:p w14:paraId="5D43C7E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kern w:val="0"/>
          <w:sz w:val="22"/>
          <w:szCs w:val="22"/>
          <w:highlight w:val="none"/>
        </w:rPr>
      </w:pPr>
      <w:r>
        <w:rPr>
          <w:rFonts w:hint="eastAsia" w:ascii="宋体" w:hAnsi="宋体" w:eastAsia="宋体" w:cs="宋体"/>
          <w:color w:val="auto"/>
          <w:spacing w:val="0"/>
          <w:w w:val="100"/>
          <w:kern w:val="0"/>
          <w:sz w:val="22"/>
          <w:szCs w:val="22"/>
          <w:highlight w:val="none"/>
        </w:rPr>
        <w:t>1</w:t>
      </w:r>
      <w:r>
        <w:rPr>
          <w:rFonts w:hint="eastAsia" w:ascii="宋体" w:hAnsi="宋体" w:eastAsia="宋体" w:cs="宋体"/>
          <w:color w:val="auto"/>
          <w:spacing w:val="0"/>
          <w:w w:val="100"/>
          <w:kern w:val="0"/>
          <w:sz w:val="22"/>
          <w:szCs w:val="22"/>
          <w:highlight w:val="none"/>
          <w:lang w:val="en-US" w:eastAsia="zh-CN"/>
        </w:rPr>
        <w:t>9.</w:t>
      </w:r>
      <w:r>
        <w:rPr>
          <w:rFonts w:hint="eastAsia" w:ascii="宋体" w:hAnsi="宋体" w:eastAsia="宋体" w:cs="宋体"/>
          <w:color w:val="auto"/>
          <w:spacing w:val="0"/>
          <w:w w:val="100"/>
          <w:kern w:val="0"/>
          <w:sz w:val="22"/>
          <w:szCs w:val="22"/>
          <w:highlight w:val="none"/>
        </w:rPr>
        <w:t>9</w:t>
      </w:r>
      <w:r>
        <w:rPr>
          <w:rFonts w:hint="eastAsia" w:ascii="宋体" w:hAnsi="宋体" w:eastAsia="宋体" w:cs="宋体"/>
          <w:color w:val="auto"/>
          <w:spacing w:val="0"/>
          <w:w w:val="100"/>
          <w:kern w:val="0"/>
          <w:sz w:val="22"/>
          <w:szCs w:val="22"/>
          <w:highlight w:val="none"/>
          <w:lang w:eastAsia="zh-CN"/>
        </w:rPr>
        <w:t>开标</w:t>
      </w:r>
      <w:r>
        <w:rPr>
          <w:rFonts w:hint="eastAsia" w:ascii="宋体" w:hAnsi="宋体" w:eastAsia="宋体" w:cs="宋体"/>
          <w:color w:val="auto"/>
          <w:spacing w:val="0"/>
          <w:w w:val="100"/>
          <w:kern w:val="0"/>
          <w:sz w:val="22"/>
          <w:szCs w:val="22"/>
          <w:highlight w:val="none"/>
        </w:rPr>
        <w:t>会议结束。</w:t>
      </w:r>
    </w:p>
    <w:p w14:paraId="47B168E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20</w:t>
      </w:r>
      <w:r>
        <w:rPr>
          <w:rFonts w:hint="eastAsia" w:ascii="宋体" w:hAnsi="宋体" w:eastAsia="宋体" w:cs="宋体"/>
          <w:b/>
          <w:color w:val="auto"/>
          <w:spacing w:val="0"/>
          <w:w w:val="100"/>
          <w:sz w:val="22"/>
          <w:szCs w:val="22"/>
          <w:highlight w:val="none"/>
        </w:rPr>
        <w:t>.资格审查</w:t>
      </w:r>
    </w:p>
    <w:p w14:paraId="2AEBAB0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20</w:t>
      </w:r>
      <w:r>
        <w:rPr>
          <w:rFonts w:hint="eastAsia" w:ascii="宋体" w:hAnsi="宋体" w:eastAsia="宋体" w:cs="宋体"/>
          <w:color w:val="auto"/>
          <w:spacing w:val="0"/>
          <w:w w:val="100"/>
          <w:sz w:val="22"/>
          <w:szCs w:val="22"/>
          <w:highlight w:val="none"/>
        </w:rPr>
        <w:t>.1采购人或采购代理按资格要求对供应商进行资格审查及记录，资格审查顺序为电子交易平台解密后自动生成的“投标（响应）文件签收登记表”名单顺序。</w:t>
      </w:r>
    </w:p>
    <w:p w14:paraId="0129732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20</w:t>
      </w:r>
      <w:r>
        <w:rPr>
          <w:rFonts w:hint="eastAsia" w:ascii="宋体" w:hAnsi="宋体" w:eastAsia="宋体" w:cs="宋体"/>
          <w:color w:val="auto"/>
          <w:spacing w:val="0"/>
          <w:w w:val="100"/>
          <w:sz w:val="22"/>
          <w:szCs w:val="22"/>
          <w:highlight w:val="none"/>
        </w:rPr>
        <w:t>.2经资格审查合格的供应商不足三家的，按相关规定重新组织采购。</w:t>
      </w:r>
    </w:p>
    <w:p w14:paraId="7A32D671">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2</w:t>
      </w:r>
      <w:r>
        <w:rPr>
          <w:rFonts w:hint="eastAsia" w:ascii="宋体" w:hAnsi="宋体" w:eastAsia="宋体" w:cs="宋体"/>
          <w:b/>
          <w:color w:val="auto"/>
          <w:spacing w:val="0"/>
          <w:w w:val="100"/>
          <w:sz w:val="22"/>
          <w:szCs w:val="22"/>
          <w:highlight w:val="none"/>
          <w:lang w:val="en-US" w:eastAsia="zh-CN"/>
        </w:rPr>
        <w:t>1</w:t>
      </w:r>
      <w:r>
        <w:rPr>
          <w:rFonts w:hint="eastAsia" w:ascii="宋体" w:hAnsi="宋体" w:eastAsia="宋体" w:cs="宋体"/>
          <w:b/>
          <w:color w:val="auto"/>
          <w:spacing w:val="0"/>
          <w:w w:val="100"/>
          <w:sz w:val="22"/>
          <w:szCs w:val="22"/>
          <w:highlight w:val="none"/>
        </w:rPr>
        <w:t>.磋商流程：详见第六章。</w:t>
      </w:r>
    </w:p>
    <w:p w14:paraId="06106B24">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2</w:t>
      </w: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.响应文件的澄清</w:t>
      </w:r>
    </w:p>
    <w:p w14:paraId="7482EF5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1对响应文件中含义不明确、同类问题表述不一致或者有明显文字和计算错误的内容，磋商小组应当通过电子交易平台交换数据电文的形式要求供应商作出必要的澄清、说明或者补正。澄清、说明或者补正应当采用电子交易平台交换数据电文的形式提交，供应商的澄清、说明或者补正不得超出响应文件的范围或者改变响应文件的实质性内容。供应商的澄清、说明或补正将作为投标</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响应</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文件的一部分。</w:t>
      </w:r>
    </w:p>
    <w:p w14:paraId="340889C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2磋商过程中，实质性变动的内容，经采购人代表确认后，磋商小组可以根据磋商文件和磋商情况实质性变动采购需求中的技术、服务要求以及合同草案条款，但不得变动磋商文件中其他内容，否则磋商小组不得变动磋商文件中的实质性内容。供应商应当根据磋商变动情况和磋商小组的要求重新提交响应内容，响应内容应当通过电子交易平台交换数据电文的形式提交。</w:t>
      </w:r>
    </w:p>
    <w:p w14:paraId="67C7864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.3报价算术错误将按以下方法修正：</w:t>
      </w:r>
    </w:p>
    <w:p w14:paraId="7400237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1</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“政采云平台”填报的初次报价与加密的报价文件不一致时以加密报价文件为准进行修正；</w:t>
      </w:r>
    </w:p>
    <w:p w14:paraId="1FBEC20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2</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报价文件中开标一览表（报价表）内容与报价文件中明细表相应内容不一致的，以开标一览表（报价表）为准；</w:t>
      </w:r>
    </w:p>
    <w:p w14:paraId="6BEB985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outlineLvl w:val="3"/>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3</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报价文件的大写金额和小写金额不一致的，以大写金额为准；</w:t>
      </w:r>
    </w:p>
    <w:p w14:paraId="7D32DBE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4</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单价金额小数点或者百分比有明显错位的，以开标一览表（报价表）的总价为准，并修改单价；</w:t>
      </w:r>
    </w:p>
    <w:p w14:paraId="33126E6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5</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总价金额与按单价汇总金额不一致的，以单价金额计算结果为准；</w:t>
      </w:r>
    </w:p>
    <w:p w14:paraId="67F5B27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outlineLvl w:val="3"/>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6</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同时出现两种以上不一致的，按上述顺序修正；</w:t>
      </w:r>
    </w:p>
    <w:p w14:paraId="10EC84F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7</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对不同文字文本响应文件的解释发生异议的，以中文文本为准；</w:t>
      </w:r>
    </w:p>
    <w:p w14:paraId="7599164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8</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修正错误的磋商最终报价，供应商应当通过电子交易平台交换数据电文的形式提交，调整后的磋商最终报价对供应商具有约束作用。若供应商不接受修正后的磋商最终报价，则其响应文件将作为无效响应处理。</w:t>
      </w:r>
    </w:p>
    <w:p w14:paraId="2EA9D7D1">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2</w:t>
      </w:r>
      <w:r>
        <w:rPr>
          <w:rFonts w:hint="eastAsia" w:ascii="宋体" w:hAnsi="宋体" w:eastAsia="宋体" w:cs="宋体"/>
          <w:b/>
          <w:color w:val="auto"/>
          <w:spacing w:val="0"/>
          <w:w w:val="100"/>
          <w:sz w:val="22"/>
          <w:szCs w:val="22"/>
          <w:highlight w:val="none"/>
          <w:lang w:val="en-US" w:eastAsia="zh-CN"/>
        </w:rPr>
        <w:t>3.</w:t>
      </w:r>
      <w:r>
        <w:rPr>
          <w:rFonts w:hint="eastAsia" w:ascii="宋体" w:hAnsi="宋体" w:eastAsia="宋体" w:cs="宋体"/>
          <w:b/>
          <w:color w:val="auto"/>
          <w:spacing w:val="0"/>
          <w:w w:val="100"/>
          <w:sz w:val="22"/>
          <w:szCs w:val="22"/>
          <w:highlight w:val="none"/>
        </w:rPr>
        <w:t>对响应文件的比较和评估</w:t>
      </w:r>
    </w:p>
    <w:p w14:paraId="189CF52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w:t>
      </w: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1磋商小组根据磋商文件规定的评审办法和标准、对符合性审查合格供应商的响应文件、澄清答复内容及重新承诺情况进行商务和技术评估，综合比较与评价，并按照平等、客观、公正的原则对响应文件进行综合评审和评分。</w:t>
      </w:r>
    </w:p>
    <w:p w14:paraId="4D12CF04">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2</w:t>
      </w:r>
      <w:r>
        <w:rPr>
          <w:rFonts w:hint="eastAsia" w:ascii="宋体" w:hAnsi="宋体" w:eastAsia="宋体" w:cs="宋体"/>
          <w:b/>
          <w:color w:val="auto"/>
          <w:spacing w:val="0"/>
          <w:w w:val="100"/>
          <w:sz w:val="22"/>
          <w:szCs w:val="22"/>
          <w:highlight w:val="none"/>
          <w:lang w:val="en-US" w:eastAsia="zh-CN"/>
        </w:rPr>
        <w:t>4</w:t>
      </w:r>
      <w:r>
        <w:rPr>
          <w:rFonts w:hint="eastAsia" w:ascii="宋体" w:hAnsi="宋体" w:eastAsia="宋体" w:cs="宋体"/>
          <w:b/>
          <w:color w:val="auto"/>
          <w:spacing w:val="0"/>
          <w:w w:val="100"/>
          <w:sz w:val="22"/>
          <w:szCs w:val="22"/>
          <w:highlight w:val="none"/>
        </w:rPr>
        <w:t>．评审报告</w:t>
      </w:r>
    </w:p>
    <w:p w14:paraId="729659D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磋商小组根据磋商记录、全体磋商小组成员签字的原始评审记录、评审结果编写评审报告，并推荐成交候选人，评审报告由磋商小组成员签字确认后提交。</w:t>
      </w:r>
    </w:p>
    <w:p w14:paraId="7245555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25</w:t>
      </w:r>
      <w:r>
        <w:rPr>
          <w:rFonts w:hint="eastAsia" w:ascii="宋体" w:hAnsi="宋体" w:eastAsia="宋体" w:cs="宋体"/>
          <w:b/>
          <w:color w:val="auto"/>
          <w:spacing w:val="0"/>
          <w:w w:val="100"/>
          <w:sz w:val="22"/>
          <w:szCs w:val="22"/>
          <w:highlight w:val="none"/>
        </w:rPr>
        <w:t>.采购过程中出现以下情形，导致电子交易平台无法正常运行，或者无法保证电子交易的公平、公正和安全时，可中止电子交易活动：</w:t>
      </w:r>
    </w:p>
    <w:p w14:paraId="342CA38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（一）电子交易平台发生故障而无法登录访问的；</w:t>
      </w:r>
    </w:p>
    <w:p w14:paraId="1B18323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（二）电子交易平台应用或数据库出现错误，不能进行正常操作的；</w:t>
      </w:r>
    </w:p>
    <w:p w14:paraId="7E06E9B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（三）电子交易平台发现严重安全漏洞，有潜在泄密危险的；</w:t>
      </w:r>
    </w:p>
    <w:p w14:paraId="5A6BB1C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（四）病毒发作导致不能进行正常操作的；</w:t>
      </w:r>
    </w:p>
    <w:p w14:paraId="4658CD9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（五）其他无法保证电子交易的公平、公正和安全的情况。</w:t>
      </w:r>
    </w:p>
    <w:p w14:paraId="4058668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出现前款规定情形，不影响采购公平、公正性的，采购代理机构可以待上述情形消除后继续组织电子交易活动；影响或可能影响采购公平、公正性的，重新组织采购。</w:t>
      </w:r>
    </w:p>
    <w:p w14:paraId="0689D763">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sz w:val="22"/>
          <w:szCs w:val="22"/>
          <w:highlight w:val="none"/>
        </w:rPr>
      </w:pPr>
      <w:r>
        <w:rPr>
          <w:rFonts w:hint="eastAsia" w:ascii="宋体" w:hAnsi="宋体" w:eastAsia="宋体" w:cs="宋体"/>
          <w:b/>
          <w:color w:val="auto"/>
          <w:spacing w:val="0"/>
          <w:sz w:val="22"/>
          <w:szCs w:val="22"/>
          <w:highlight w:val="none"/>
        </w:rPr>
        <w:t>2</w:t>
      </w:r>
      <w:r>
        <w:rPr>
          <w:rFonts w:hint="eastAsia" w:ascii="宋体" w:hAnsi="宋体" w:eastAsia="宋体" w:cs="宋体"/>
          <w:b/>
          <w:color w:val="auto"/>
          <w:spacing w:val="0"/>
          <w:sz w:val="22"/>
          <w:szCs w:val="22"/>
          <w:highlight w:val="none"/>
          <w:lang w:val="en-US" w:eastAsia="zh-CN"/>
        </w:rPr>
        <w:t>6</w:t>
      </w:r>
      <w:r>
        <w:rPr>
          <w:rFonts w:hint="eastAsia" w:ascii="宋体" w:hAnsi="宋体" w:eastAsia="宋体" w:cs="宋体"/>
          <w:b/>
          <w:color w:val="auto"/>
          <w:spacing w:val="0"/>
          <w:sz w:val="22"/>
          <w:szCs w:val="22"/>
          <w:highlight w:val="none"/>
        </w:rPr>
        <w:t>.出现下列情形之一的，采购组织机构将终止竞争性磋商采购活动：</w:t>
      </w:r>
    </w:p>
    <w:p w14:paraId="3373EFD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1</w:t>
      </w:r>
      <w:r>
        <w:rPr>
          <w:rFonts w:hint="eastAsia" w:ascii="宋体" w:hAnsi="宋体" w:eastAsia="宋体" w:cs="宋体"/>
          <w:color w:val="auto"/>
          <w:spacing w:val="0"/>
          <w:sz w:val="22"/>
          <w:szCs w:val="22"/>
          <w:highlight w:val="none"/>
          <w:lang w:val="en-US" w:eastAsia="zh-CN"/>
        </w:rPr>
        <w:t>)</w:t>
      </w:r>
      <w:r>
        <w:rPr>
          <w:rFonts w:hint="eastAsia" w:ascii="宋体" w:hAnsi="宋体" w:eastAsia="宋体" w:cs="宋体"/>
          <w:color w:val="auto"/>
          <w:spacing w:val="0"/>
          <w:sz w:val="22"/>
          <w:szCs w:val="22"/>
          <w:highlight w:val="none"/>
        </w:rPr>
        <w:t>因情况变化，不再符合规定的竞争性磋商采购方式适用情形的；</w:t>
      </w:r>
    </w:p>
    <w:p w14:paraId="1450127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outlineLvl w:val="2"/>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2</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出现影响采购公正的违法、违规行为的；</w:t>
      </w:r>
    </w:p>
    <w:p w14:paraId="2C052D7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3</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除《政府采购竞争性磋商采购方式管理暂行办法》第二十一条第三款和《关于政府采购竞争性磋商采购方式管理暂行办法有关问题的补充通知》（财库〔2015〕124 号）规定情形外，在采购过程中符合要求的供应商或者报价未超过采购预算的供应商不足3家的；</w:t>
      </w:r>
    </w:p>
    <w:p w14:paraId="1206A83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4</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符合《政府采购竞争性磋商采购方式管理暂行办法》第二十一条第三款和《关于政府采购竞争性磋商采购方式管理暂行办法有关问题的补充通知》（财库〔2015〕124号）规定情形，但在采购过程中符合要求的供应商或者报价未超过采购预算的供应商不足2家的；</w:t>
      </w:r>
    </w:p>
    <w:p w14:paraId="3E5A24C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5</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所有报价经磋商小组认定明显高于市场价格；</w:t>
      </w:r>
    </w:p>
    <w:p w14:paraId="5A3AA5C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w:t>
      </w:r>
      <w:r>
        <w:rPr>
          <w:rFonts w:hint="eastAsia" w:ascii="宋体" w:hAnsi="宋体" w:eastAsia="宋体" w:cs="宋体"/>
          <w:color w:val="auto"/>
          <w:spacing w:val="0"/>
          <w:sz w:val="22"/>
          <w:szCs w:val="22"/>
          <w:highlight w:val="none"/>
        </w:rPr>
        <w:t>6</w:t>
      </w:r>
      <w:r>
        <w:rPr>
          <w:rFonts w:hint="eastAsia" w:ascii="宋体" w:hAnsi="宋体" w:eastAsia="宋体" w:cs="宋体"/>
          <w:color w:val="auto"/>
          <w:spacing w:val="0"/>
          <w:sz w:val="22"/>
          <w:szCs w:val="22"/>
          <w:highlight w:val="none"/>
          <w:lang w:val="en-US" w:eastAsia="zh-CN"/>
        </w:rPr>
        <w:t>)</w:t>
      </w:r>
      <w:r>
        <w:rPr>
          <w:rFonts w:hint="eastAsia" w:ascii="宋体" w:hAnsi="宋体" w:eastAsia="宋体" w:cs="宋体"/>
          <w:color w:val="auto"/>
          <w:spacing w:val="0"/>
          <w:sz w:val="22"/>
          <w:szCs w:val="22"/>
          <w:highlight w:val="none"/>
        </w:rPr>
        <w:t>因重大变故，采购任务取消的。</w:t>
      </w:r>
    </w:p>
    <w:p w14:paraId="6C31085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27</w:t>
      </w:r>
      <w:r>
        <w:rPr>
          <w:rFonts w:hint="eastAsia" w:ascii="宋体" w:hAnsi="宋体" w:eastAsia="宋体" w:cs="宋体"/>
          <w:color w:val="auto"/>
          <w:spacing w:val="0"/>
          <w:w w:val="100"/>
          <w:sz w:val="22"/>
          <w:szCs w:val="22"/>
          <w:highlight w:val="none"/>
        </w:rPr>
        <w:t>.采购代理机构或评审小组因不可抗力（不可抗力包括但不限于自然灾害、断电、传播疫病等）原因造成电子交易活动无法正常运行的，将采取以下措施：</w:t>
      </w:r>
    </w:p>
    <w:p w14:paraId="5B6FB18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1</w:t>
      </w:r>
      <w:r>
        <w:rPr>
          <w:rFonts w:hint="eastAsia" w:ascii="宋体" w:hAnsi="宋体" w:eastAsia="宋体" w:cs="宋体"/>
          <w:color w:val="auto"/>
          <w:spacing w:val="0"/>
          <w:sz w:val="22"/>
          <w:szCs w:val="22"/>
          <w:highlight w:val="none"/>
          <w:lang w:val="en-US" w:eastAsia="zh-CN"/>
        </w:rPr>
        <w:t>)</w:t>
      </w:r>
      <w:r>
        <w:rPr>
          <w:rFonts w:hint="eastAsia" w:ascii="宋体" w:hAnsi="宋体" w:eastAsia="宋体" w:cs="宋体"/>
          <w:color w:val="auto"/>
          <w:spacing w:val="0"/>
          <w:w w:val="100"/>
          <w:sz w:val="22"/>
          <w:szCs w:val="22"/>
          <w:highlight w:val="none"/>
        </w:rPr>
        <w:t>短时间内能消除不可抗力因素的，采购代理机构或评审小组在消除不可抗力因素后继续组织电子交易活动。</w:t>
      </w:r>
    </w:p>
    <w:p w14:paraId="1D7FDE3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lang w:val="en-US" w:eastAsia="zh-CN"/>
        </w:rPr>
        <w:t>2)</w:t>
      </w:r>
      <w:r>
        <w:rPr>
          <w:rFonts w:hint="eastAsia" w:ascii="宋体" w:hAnsi="宋体" w:eastAsia="宋体" w:cs="宋体"/>
          <w:color w:val="auto"/>
          <w:spacing w:val="0"/>
          <w:w w:val="100"/>
          <w:sz w:val="22"/>
          <w:szCs w:val="22"/>
          <w:highlight w:val="none"/>
        </w:rPr>
        <w:t>长时间内无法消除不可抗力因素的，采购代理机构或评审小组将中止电子交易活动。中止电子交易活动的，采购人应当重新组织政府采购活动。</w:t>
      </w:r>
    </w:p>
    <w:p w14:paraId="41EA1884">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28</w:t>
      </w:r>
      <w:r>
        <w:rPr>
          <w:rFonts w:hint="eastAsia" w:ascii="宋体" w:hAnsi="宋体" w:eastAsia="宋体" w:cs="宋体"/>
          <w:b/>
          <w:color w:val="auto"/>
          <w:spacing w:val="0"/>
          <w:w w:val="100"/>
          <w:sz w:val="22"/>
          <w:szCs w:val="22"/>
          <w:highlight w:val="none"/>
        </w:rPr>
        <w:t>.保密和磋商过程的监控</w:t>
      </w:r>
    </w:p>
    <w:p w14:paraId="59EEA3F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(1)</w:t>
      </w:r>
      <w:r>
        <w:rPr>
          <w:rFonts w:hint="eastAsia" w:ascii="宋体" w:hAnsi="宋体" w:eastAsia="宋体" w:cs="宋体"/>
          <w:bCs/>
          <w:color w:val="auto"/>
          <w:spacing w:val="0"/>
          <w:w w:val="100"/>
          <w:sz w:val="22"/>
          <w:szCs w:val="22"/>
          <w:highlight w:val="none"/>
        </w:rPr>
        <w:t>自</w:t>
      </w:r>
      <w:r>
        <w:rPr>
          <w:rFonts w:hint="eastAsia" w:ascii="宋体" w:hAnsi="宋体" w:eastAsia="宋体" w:cs="宋体"/>
          <w:color w:val="auto"/>
          <w:spacing w:val="0"/>
          <w:w w:val="100"/>
          <w:sz w:val="22"/>
          <w:szCs w:val="22"/>
          <w:highlight w:val="none"/>
        </w:rPr>
        <w:t>磋商</w:t>
      </w:r>
      <w:r>
        <w:rPr>
          <w:rFonts w:hint="eastAsia" w:ascii="宋体" w:hAnsi="宋体" w:eastAsia="宋体" w:cs="宋体"/>
          <w:bCs/>
          <w:color w:val="auto"/>
          <w:spacing w:val="0"/>
          <w:w w:val="100"/>
          <w:sz w:val="22"/>
          <w:szCs w:val="22"/>
          <w:highlight w:val="none"/>
        </w:rPr>
        <w:t>时间起至成交公告发布时间止，凡属于审查、澄清、评估和比较</w:t>
      </w:r>
      <w:r>
        <w:rPr>
          <w:rFonts w:hint="eastAsia" w:ascii="宋体" w:hAnsi="宋体" w:eastAsia="宋体" w:cs="宋体"/>
          <w:color w:val="auto"/>
          <w:spacing w:val="0"/>
          <w:w w:val="100"/>
          <w:sz w:val="22"/>
          <w:szCs w:val="22"/>
          <w:highlight w:val="none"/>
        </w:rPr>
        <w:t>磋商</w:t>
      </w:r>
      <w:r>
        <w:rPr>
          <w:rFonts w:hint="eastAsia" w:ascii="宋体" w:hAnsi="宋体" w:eastAsia="宋体" w:cs="宋体"/>
          <w:bCs/>
          <w:color w:val="auto"/>
          <w:spacing w:val="0"/>
          <w:w w:val="100"/>
          <w:sz w:val="22"/>
          <w:szCs w:val="22"/>
          <w:highlight w:val="none"/>
        </w:rPr>
        <w:t>的有关资料，且与授予合同有关的信息都不得向任何供应商或与上述评审过程无关的人员透露。</w:t>
      </w:r>
    </w:p>
    <w:p w14:paraId="4184436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本项目磋商过程实行全程录音、录像监控，供应商在磋商过程中所进行的试图影响评审结果的不公正行为或授予合同决定的过程施加影响的企图和行为，可能导致其磋商被拒绝。</w:t>
      </w:r>
    </w:p>
    <w:p w14:paraId="0E2A783A">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94" w:name="_Toc7149"/>
      <w:bookmarkStart w:id="95" w:name="_Toc28005"/>
      <w:bookmarkStart w:id="96" w:name="_Toc13570"/>
      <w:bookmarkStart w:id="97" w:name="_Toc2980"/>
      <w:bookmarkStart w:id="98" w:name="_Toc19956"/>
      <w:bookmarkStart w:id="99" w:name="_Toc495479098"/>
      <w:bookmarkStart w:id="100" w:name="_Toc390938581"/>
      <w:bookmarkStart w:id="101" w:name="_Toc31319"/>
      <w:bookmarkStart w:id="102" w:name="_Toc18935"/>
      <w:r>
        <w:rPr>
          <w:rFonts w:hint="eastAsia" w:ascii="宋体" w:hAnsi="宋体" w:eastAsia="宋体" w:cs="宋体"/>
          <w:b/>
          <w:bCs/>
          <w:color w:val="auto"/>
          <w:spacing w:val="0"/>
          <w:w w:val="100"/>
          <w:sz w:val="28"/>
          <w:szCs w:val="28"/>
          <w:highlight w:val="none"/>
        </w:rPr>
        <w:t>六  确定采购结果</w:t>
      </w:r>
      <w:bookmarkEnd w:id="94"/>
      <w:bookmarkEnd w:id="95"/>
      <w:bookmarkEnd w:id="96"/>
      <w:bookmarkEnd w:id="97"/>
      <w:bookmarkEnd w:id="98"/>
    </w:p>
    <w:p w14:paraId="3AA3900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29.采购代理机构在评审结束后 2 个工作日内将评审报告送采购人确认；</w:t>
      </w:r>
    </w:p>
    <w:p w14:paraId="79760C2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30.采购人在收到评审报告后 5 个工作日内，从评审报告提出的成交候选供应商中，确定排序第一的成交候选人为成交供应商，如排序并列，按技术水平得分高者为成交供应商，如技术水平得分也相同，按履约能力得分高者为成交供应商。采购人逾期未确定成交供应商且不提出异议的，视为确定评审报告提出的排序第一的供应商为成交供应商。</w:t>
      </w:r>
      <w:bookmarkStart w:id="103" w:name="_Toc19001"/>
      <w:bookmarkStart w:id="104" w:name="_Toc4369"/>
    </w:p>
    <w:p w14:paraId="5C48B0B7">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05" w:name="_Toc31771"/>
      <w:bookmarkStart w:id="106" w:name="_Toc18433"/>
      <w:bookmarkStart w:id="107" w:name="_Toc11563"/>
      <w:r>
        <w:rPr>
          <w:rFonts w:hint="eastAsia" w:ascii="宋体" w:hAnsi="宋体" w:eastAsia="宋体" w:cs="宋体"/>
          <w:b/>
          <w:bCs/>
          <w:color w:val="auto"/>
          <w:spacing w:val="0"/>
          <w:w w:val="100"/>
          <w:sz w:val="28"/>
          <w:szCs w:val="28"/>
          <w:highlight w:val="none"/>
        </w:rPr>
        <w:t>七  结果公告</w:t>
      </w:r>
      <w:bookmarkEnd w:id="105"/>
      <w:bookmarkEnd w:id="106"/>
      <w:bookmarkEnd w:id="107"/>
    </w:p>
    <w:p w14:paraId="6BCD563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31.在采购人确认采购结果后，采购代理机构将成交结果发布在浙江政府采购网（</w:t>
      </w:r>
      <w:r>
        <w:rPr>
          <w:rFonts w:hint="eastAsia" w:ascii="宋体" w:hAnsi="宋体" w:eastAsia="宋体" w:cs="宋体"/>
          <w:bCs/>
          <w:color w:val="auto"/>
          <w:spacing w:val="0"/>
          <w:w w:val="100"/>
          <w:sz w:val="22"/>
          <w:szCs w:val="22"/>
          <w:highlight w:val="none"/>
          <w:lang w:val="en-US" w:eastAsia="zh-CN"/>
        </w:rPr>
        <w:fldChar w:fldCharType="begin"/>
      </w:r>
      <w:r>
        <w:rPr>
          <w:rFonts w:hint="eastAsia" w:ascii="宋体" w:hAnsi="宋体" w:eastAsia="宋体" w:cs="宋体"/>
          <w:bCs/>
          <w:color w:val="auto"/>
          <w:spacing w:val="0"/>
          <w:w w:val="100"/>
          <w:sz w:val="22"/>
          <w:szCs w:val="22"/>
          <w:highlight w:val="none"/>
          <w:lang w:val="en-US" w:eastAsia="zh-CN"/>
        </w:rPr>
        <w:instrText xml:space="preserve"> HYPERLINK "http://zfcg.czt.zj.gov.cn/" </w:instrText>
      </w:r>
      <w:r>
        <w:rPr>
          <w:rFonts w:hint="eastAsia" w:ascii="宋体" w:hAnsi="宋体" w:eastAsia="宋体" w:cs="宋体"/>
          <w:bCs/>
          <w:color w:val="auto"/>
          <w:spacing w:val="0"/>
          <w:w w:val="100"/>
          <w:sz w:val="22"/>
          <w:szCs w:val="22"/>
          <w:highlight w:val="none"/>
          <w:lang w:val="en-US" w:eastAsia="zh-CN"/>
        </w:rPr>
        <w:fldChar w:fldCharType="separate"/>
      </w:r>
      <w:r>
        <w:rPr>
          <w:rFonts w:hint="eastAsia" w:ascii="宋体" w:hAnsi="宋体" w:eastAsia="宋体" w:cs="宋体"/>
          <w:bCs/>
          <w:color w:val="auto"/>
          <w:spacing w:val="0"/>
          <w:w w:val="100"/>
          <w:sz w:val="22"/>
          <w:szCs w:val="22"/>
          <w:highlight w:val="none"/>
          <w:lang w:val="en-US" w:eastAsia="zh-CN"/>
        </w:rPr>
        <w:t>https://zfcg.czt.zj.gov.cn/</w:t>
      </w:r>
      <w:r>
        <w:rPr>
          <w:rFonts w:hint="eastAsia" w:ascii="宋体" w:hAnsi="宋体" w:eastAsia="宋体" w:cs="宋体"/>
          <w:bCs/>
          <w:color w:val="auto"/>
          <w:spacing w:val="0"/>
          <w:w w:val="100"/>
          <w:sz w:val="22"/>
          <w:szCs w:val="22"/>
          <w:highlight w:val="none"/>
          <w:lang w:val="en-US" w:eastAsia="zh-CN"/>
        </w:rPr>
        <w:fldChar w:fldCharType="end"/>
      </w:r>
      <w:r>
        <w:rPr>
          <w:rFonts w:hint="eastAsia" w:ascii="宋体" w:hAnsi="宋体" w:eastAsia="宋体" w:cs="宋体"/>
          <w:bCs/>
          <w:color w:val="auto"/>
          <w:spacing w:val="0"/>
          <w:w w:val="100"/>
          <w:sz w:val="22"/>
          <w:szCs w:val="22"/>
          <w:highlight w:val="none"/>
          <w:lang w:val="en-US" w:eastAsia="zh-CN"/>
        </w:rPr>
        <w:t>）和丽水市公共资源交易网（庆元）（https://lssggzy.lishui.gov.cn/）上进行公告。采购人、采购代理机构及磋商小组对未成交的供应商不作落标原因解释。</w:t>
      </w:r>
    </w:p>
    <w:bookmarkEnd w:id="103"/>
    <w:bookmarkEnd w:id="104"/>
    <w:p w14:paraId="455FD866">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08" w:name="_Toc1943"/>
      <w:bookmarkStart w:id="109" w:name="_Toc5425"/>
      <w:bookmarkStart w:id="110" w:name="_Toc24484"/>
      <w:bookmarkStart w:id="111" w:name="_Toc31177"/>
      <w:bookmarkStart w:id="112" w:name="_Toc4940"/>
      <w:r>
        <w:rPr>
          <w:rFonts w:hint="eastAsia" w:ascii="宋体" w:hAnsi="宋体" w:eastAsia="宋体" w:cs="宋体"/>
          <w:b/>
          <w:bCs/>
          <w:color w:val="auto"/>
          <w:spacing w:val="0"/>
          <w:w w:val="100"/>
          <w:sz w:val="28"/>
          <w:szCs w:val="28"/>
          <w:highlight w:val="none"/>
        </w:rPr>
        <w:t>八  发出成交通知书</w:t>
      </w:r>
      <w:bookmarkEnd w:id="108"/>
      <w:bookmarkEnd w:id="109"/>
      <w:bookmarkEnd w:id="110"/>
      <w:bookmarkEnd w:id="111"/>
      <w:bookmarkEnd w:id="112"/>
    </w:p>
    <w:p w14:paraId="51478BE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32.发布成交结果公告后，采购代理机构将以书面形式向成交供应商发出成交通知书。</w:t>
      </w:r>
    </w:p>
    <w:p w14:paraId="79B46EA9">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r>
        <w:rPr>
          <w:rFonts w:hint="eastAsia" w:ascii="宋体" w:hAnsi="宋体" w:eastAsia="宋体" w:cs="宋体"/>
          <w:b/>
          <w:bCs/>
          <w:color w:val="auto"/>
          <w:spacing w:val="0"/>
          <w:w w:val="100"/>
          <w:sz w:val="28"/>
          <w:szCs w:val="28"/>
          <w:highlight w:val="none"/>
          <w:lang w:eastAsia="zh-CN"/>
        </w:rPr>
        <w:t>九</w:t>
      </w:r>
      <w:r>
        <w:rPr>
          <w:rFonts w:hint="eastAsia" w:ascii="宋体" w:hAnsi="宋体" w:eastAsia="宋体" w:cs="宋体"/>
          <w:b/>
          <w:bCs/>
          <w:color w:val="auto"/>
          <w:spacing w:val="0"/>
          <w:w w:val="100"/>
          <w:sz w:val="28"/>
          <w:szCs w:val="28"/>
          <w:highlight w:val="none"/>
        </w:rPr>
        <w:t xml:space="preserve">  磋商无效的情形</w:t>
      </w:r>
      <w:bookmarkEnd w:id="99"/>
      <w:bookmarkEnd w:id="100"/>
      <w:bookmarkEnd w:id="101"/>
      <w:bookmarkEnd w:id="102"/>
    </w:p>
    <w:p w14:paraId="4A31FB8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bookmarkStart w:id="113" w:name="_Toc390938582"/>
      <w:r>
        <w:rPr>
          <w:rFonts w:hint="eastAsia" w:ascii="宋体" w:hAnsi="宋体" w:eastAsia="宋体" w:cs="宋体"/>
          <w:color w:val="auto"/>
          <w:spacing w:val="0"/>
          <w:w w:val="100"/>
          <w:sz w:val="22"/>
          <w:szCs w:val="22"/>
          <w:highlight w:val="none"/>
          <w:lang w:eastAsia="zh-CN"/>
        </w:rPr>
        <w:t>33.</w:t>
      </w:r>
      <w:r>
        <w:rPr>
          <w:rFonts w:hint="eastAsia" w:ascii="宋体" w:hAnsi="宋体" w:eastAsia="宋体" w:cs="宋体"/>
          <w:color w:val="auto"/>
          <w:spacing w:val="0"/>
          <w:w w:val="100"/>
          <w:sz w:val="22"/>
          <w:szCs w:val="22"/>
          <w:highlight w:val="none"/>
        </w:rPr>
        <w:t>实质上没有响应磋商文件要求的响应文件将被视为无效。供应商如有下列情形之一的，其磋商将被拒绝，响应文件无效：</w:t>
      </w:r>
    </w:p>
    <w:p w14:paraId="699461B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电报、电话、传真形式提交响应文件的；</w:t>
      </w:r>
    </w:p>
    <w:p w14:paraId="4F98C23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供应商没有按磋商文件规定的时间和地点提交电子响应文件的；</w:t>
      </w:r>
    </w:p>
    <w:p w14:paraId="2B37F0D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未按竞争性磋商文件规定要求签署、盖章的；</w:t>
      </w:r>
    </w:p>
    <w:p w14:paraId="5FA19ED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不具备竞争性磋商文件规定的资格要求的；</w:t>
      </w:r>
    </w:p>
    <w:p w14:paraId="54C6A46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磋商有效期不足的；</w:t>
      </w:r>
    </w:p>
    <w:p w14:paraId="67BB770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磋商小组评定有实质性负偏离或出现“▲”条款的负偏离；</w:t>
      </w:r>
    </w:p>
    <w:p w14:paraId="118F9AF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响应文件含有采购人不能接受的附加条款的；</w:t>
      </w:r>
    </w:p>
    <w:p w14:paraId="55EB7C9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(8)最终报价高于磋商文件中规定的预算金额（或最高限价）的；</w:t>
      </w:r>
    </w:p>
    <w:p w14:paraId="42E0A99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(9)</w:t>
      </w:r>
      <w:r>
        <w:rPr>
          <w:rFonts w:hint="eastAsia" w:ascii="宋体" w:hAnsi="宋体" w:eastAsia="宋体" w:cs="宋体"/>
          <w:b/>
          <w:color w:val="auto"/>
          <w:spacing w:val="0"/>
          <w:w w:val="100"/>
          <w:sz w:val="22"/>
          <w:szCs w:val="22"/>
          <w:highlight w:val="none"/>
        </w:rPr>
        <w:t>磋商文件中未要求，但供应商给予赠品、回扣或与采购无关的其他商品、服务的</w:t>
      </w:r>
      <w:r>
        <w:rPr>
          <w:rFonts w:hint="eastAsia" w:ascii="宋体" w:hAnsi="宋体" w:eastAsia="宋体" w:cs="宋体"/>
          <w:b/>
          <w:color w:val="auto"/>
          <w:spacing w:val="0"/>
          <w:w w:val="100"/>
          <w:sz w:val="22"/>
          <w:szCs w:val="22"/>
          <w:highlight w:val="none"/>
          <w:lang w:val="en-US" w:eastAsia="zh-CN"/>
        </w:rPr>
        <w:t>；</w:t>
      </w:r>
    </w:p>
    <w:p w14:paraId="4D3DE16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(10)</w:t>
      </w:r>
      <w:r>
        <w:rPr>
          <w:rFonts w:hint="eastAsia" w:ascii="宋体" w:hAnsi="宋体" w:eastAsia="宋体" w:cs="宋体"/>
          <w:color w:val="auto"/>
          <w:spacing w:val="0"/>
          <w:w w:val="100"/>
          <w:sz w:val="22"/>
          <w:szCs w:val="22"/>
          <w:highlight w:val="none"/>
        </w:rPr>
        <w:t>磋商报价存在漏项或报价数量少于采购要求的；</w:t>
      </w:r>
    </w:p>
    <w:p w14:paraId="493D9F3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lang w:val="en-US" w:eastAsia="zh-CN"/>
        </w:rPr>
        <w:t>(11)</w:t>
      </w:r>
      <w:r>
        <w:rPr>
          <w:rFonts w:hint="eastAsia" w:ascii="宋体" w:hAnsi="宋体" w:eastAsia="宋体" w:cs="宋体"/>
          <w:b/>
          <w:color w:val="auto"/>
          <w:spacing w:val="0"/>
          <w:w w:val="100"/>
          <w:sz w:val="22"/>
          <w:szCs w:val="22"/>
          <w:highlight w:val="none"/>
        </w:rPr>
        <w:t>报价明显低于其他通过符合性审查供应商的报价，有可能影响产品质量或者不能诚信履约的，供应商代表应在磋商小组规定的时间内通过电子交易平台提交说明，必要时提交相关证明材料；供应商不能证明其报价合理性的，磋商小组应当将其作为无效磋商处理</w:t>
      </w:r>
      <w:r>
        <w:rPr>
          <w:rFonts w:hint="eastAsia" w:ascii="宋体" w:hAnsi="宋体" w:eastAsia="宋体" w:cs="宋体"/>
          <w:b/>
          <w:color w:val="auto"/>
          <w:spacing w:val="0"/>
          <w:w w:val="100"/>
          <w:sz w:val="22"/>
          <w:szCs w:val="22"/>
          <w:highlight w:val="none"/>
          <w:lang w:eastAsia="zh-CN"/>
        </w:rPr>
        <w:t>；</w:t>
      </w:r>
    </w:p>
    <w:p w14:paraId="2EC8D1A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(12)</w:t>
      </w:r>
      <w:r>
        <w:rPr>
          <w:rFonts w:hint="eastAsia" w:ascii="宋体" w:hAnsi="宋体" w:eastAsia="宋体" w:cs="宋体"/>
          <w:color w:val="auto"/>
          <w:spacing w:val="0"/>
          <w:w w:val="100"/>
          <w:sz w:val="22"/>
          <w:szCs w:val="22"/>
          <w:highlight w:val="none"/>
        </w:rPr>
        <w:t>供应商已明知采购期间或之后企业将发生兼并改制，或提供的产品将停产、淘汰，或必须有偿使用专供的备品备件和试剂耗材的，及其他应当告知采购人可能影响采购项目实施或损害采购人利益的信息，不在响应文件中予以特别说明的；</w:t>
      </w:r>
    </w:p>
    <w:p w14:paraId="779AFE7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kern w:val="0"/>
          <w:sz w:val="22"/>
          <w:szCs w:val="22"/>
          <w:highlight w:val="none"/>
        </w:rPr>
      </w:pPr>
      <w:r>
        <w:rPr>
          <w:rFonts w:hint="eastAsia" w:ascii="宋体" w:hAnsi="宋体" w:eastAsia="宋体" w:cs="宋体"/>
          <w:color w:val="auto"/>
          <w:spacing w:val="0"/>
          <w:w w:val="100"/>
          <w:sz w:val="22"/>
          <w:szCs w:val="22"/>
          <w:highlight w:val="none"/>
          <w:lang w:val="en-US" w:eastAsia="zh-CN"/>
        </w:rPr>
        <w:t>(13)</w:t>
      </w:r>
      <w:r>
        <w:rPr>
          <w:rFonts w:hint="eastAsia" w:ascii="宋体" w:hAnsi="宋体" w:eastAsia="宋体" w:cs="宋体"/>
          <w:color w:val="auto"/>
          <w:spacing w:val="0"/>
          <w:w w:val="100"/>
          <w:sz w:val="22"/>
          <w:szCs w:val="22"/>
          <w:highlight w:val="none"/>
        </w:rPr>
        <w:t>提供虚假材料谋取成交的；</w:t>
      </w:r>
    </w:p>
    <w:p w14:paraId="0712E77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(14)</w:t>
      </w:r>
      <w:r>
        <w:rPr>
          <w:rFonts w:hint="eastAsia" w:ascii="宋体" w:hAnsi="宋体" w:eastAsia="宋体" w:cs="宋体"/>
          <w:color w:val="auto"/>
          <w:spacing w:val="0"/>
          <w:w w:val="100"/>
          <w:sz w:val="22"/>
          <w:szCs w:val="22"/>
          <w:highlight w:val="none"/>
        </w:rPr>
        <w:t>不按磋商文件和成交人的响应文件订立合同，或者与采购人另行订立背离合同实质性内容的协议的；</w:t>
      </w:r>
    </w:p>
    <w:p w14:paraId="499E739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(15)</w:t>
      </w:r>
      <w:r>
        <w:rPr>
          <w:rFonts w:hint="eastAsia" w:ascii="宋体" w:hAnsi="宋体" w:eastAsia="宋体" w:cs="宋体"/>
          <w:color w:val="auto"/>
          <w:spacing w:val="0"/>
          <w:w w:val="100"/>
          <w:sz w:val="22"/>
          <w:szCs w:val="22"/>
          <w:highlight w:val="none"/>
        </w:rPr>
        <w:t>磋商文件规定的其他响应文件无效情形。</w:t>
      </w:r>
    </w:p>
    <w:p w14:paraId="6398053C">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14" w:name="_Toc26962"/>
      <w:bookmarkStart w:id="115" w:name="_Toc495479099"/>
      <w:bookmarkStart w:id="116" w:name="_Toc22934"/>
      <w:r>
        <w:rPr>
          <w:rFonts w:hint="eastAsia" w:ascii="宋体" w:hAnsi="宋体" w:eastAsia="宋体" w:cs="宋体"/>
          <w:b/>
          <w:bCs/>
          <w:color w:val="auto"/>
          <w:spacing w:val="0"/>
          <w:w w:val="100"/>
          <w:sz w:val="28"/>
          <w:szCs w:val="28"/>
          <w:highlight w:val="none"/>
          <w:lang w:eastAsia="zh-CN"/>
        </w:rPr>
        <w:t>十</w:t>
      </w:r>
      <w:r>
        <w:rPr>
          <w:rFonts w:hint="eastAsia" w:ascii="宋体" w:hAnsi="宋体" w:eastAsia="宋体" w:cs="宋体"/>
          <w:b/>
          <w:bCs/>
          <w:color w:val="auto"/>
          <w:spacing w:val="0"/>
          <w:w w:val="100"/>
          <w:sz w:val="28"/>
          <w:szCs w:val="28"/>
          <w:highlight w:val="none"/>
        </w:rPr>
        <w:t xml:space="preserve">  法律责任</w:t>
      </w:r>
      <w:bookmarkEnd w:id="113"/>
      <w:bookmarkEnd w:id="114"/>
      <w:bookmarkEnd w:id="115"/>
      <w:bookmarkEnd w:id="116"/>
    </w:p>
    <w:p w14:paraId="541F683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bookmarkStart w:id="117" w:name="_Toc390938583"/>
      <w:r>
        <w:rPr>
          <w:rFonts w:hint="eastAsia" w:ascii="宋体" w:hAnsi="宋体" w:eastAsia="宋体" w:cs="宋体"/>
          <w:color w:val="auto"/>
          <w:spacing w:val="0"/>
          <w:w w:val="100"/>
          <w:sz w:val="22"/>
          <w:szCs w:val="22"/>
          <w:highlight w:val="none"/>
          <w:lang w:val="en-US" w:eastAsia="zh-CN"/>
        </w:rPr>
        <w:t>34</w:t>
      </w:r>
      <w:r>
        <w:rPr>
          <w:rFonts w:hint="eastAsia" w:ascii="宋体" w:hAnsi="宋体" w:eastAsia="宋体" w:cs="宋体"/>
          <w:color w:val="auto"/>
          <w:spacing w:val="0"/>
          <w:w w:val="100"/>
          <w:sz w:val="22"/>
          <w:szCs w:val="22"/>
          <w:highlight w:val="none"/>
        </w:rPr>
        <w:t>.供应商有下列情形之一的，处以政府采购项目成交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14:paraId="00EEE1D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提供虚假材料谋取成交的；</w:t>
      </w:r>
    </w:p>
    <w:p w14:paraId="537E17D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采取不正当手段诋毁、排挤其他供应商的；</w:t>
      </w:r>
    </w:p>
    <w:p w14:paraId="6792117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与采购人、其他供应商或者采购代理机构恶意串通的；</w:t>
      </w:r>
    </w:p>
    <w:p w14:paraId="6154331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向采购人、采购代理机构行贿或者提供其他不正当利益的；</w:t>
      </w:r>
    </w:p>
    <w:p w14:paraId="534A4DF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在采购过程中与采购人进行协商谈判的；</w:t>
      </w:r>
    </w:p>
    <w:p w14:paraId="5D0FE6A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拒绝有关部门监督检查或者提供虚假情况的；</w:t>
      </w:r>
    </w:p>
    <w:p w14:paraId="2095C0C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供应商有前款</w:t>
      </w: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至</w:t>
      </w: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项情形之一的，成交无效。</w:t>
      </w:r>
    </w:p>
    <w:p w14:paraId="4AFEE74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35</w:t>
      </w:r>
      <w:r>
        <w:rPr>
          <w:rFonts w:hint="eastAsia" w:ascii="宋体" w:hAnsi="宋体" w:eastAsia="宋体" w:cs="宋体"/>
          <w:color w:val="auto"/>
          <w:spacing w:val="0"/>
          <w:w w:val="100"/>
          <w:sz w:val="22"/>
          <w:szCs w:val="22"/>
          <w:highlight w:val="none"/>
        </w:rPr>
        <w:t>.供应商有下列情形之一的，依照政府采购法第七十七条第一款的规定追究法律责任：</w:t>
      </w:r>
    </w:p>
    <w:p w14:paraId="1A9575A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向磋商小组或者磋商小组成员行贿或者提供其他不正当利益；</w:t>
      </w:r>
    </w:p>
    <w:p w14:paraId="7D5EE55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成交或者成交后无正当理由拒不与采购人签订政府采购合同；</w:t>
      </w:r>
    </w:p>
    <w:p w14:paraId="161B1E2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未按照磋商文件确定的事项签订政府采购合同；</w:t>
      </w:r>
    </w:p>
    <w:p w14:paraId="2CDA462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将政府采购合同转包；</w:t>
      </w:r>
    </w:p>
    <w:p w14:paraId="43DB906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提供假冒伪劣产品；</w:t>
      </w:r>
    </w:p>
    <w:p w14:paraId="700DF7B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擅自变更、中止或者终止政府采购合同。</w:t>
      </w:r>
    </w:p>
    <w:p w14:paraId="1036EA8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供应商有前款第一项规定情形的，成交无效。评审阶段资格发生变化，供应商未依照《中华人民共和国政府采购法实施条例》第二十一条的规定通知采购人和采购代理机构的，处以采购金额5‰的罚款，列入不良行为记录名单，成交无效。</w:t>
      </w:r>
    </w:p>
    <w:p w14:paraId="001B8D6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35</w:t>
      </w:r>
      <w:r>
        <w:rPr>
          <w:rFonts w:hint="eastAsia" w:ascii="宋体" w:hAnsi="宋体" w:eastAsia="宋体" w:cs="宋体"/>
          <w:color w:val="auto"/>
          <w:spacing w:val="0"/>
          <w:w w:val="100"/>
          <w:sz w:val="22"/>
          <w:szCs w:val="22"/>
          <w:highlight w:val="none"/>
        </w:rPr>
        <w:t>.供应商捏造事实、提供虚假材料或者以非法手段取得证明材料进行投诉的，由财政部门列入不良行为记录名单，禁止其1至3年内参加政府采购活动。</w:t>
      </w:r>
    </w:p>
    <w:p w14:paraId="506DDDE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36</w:t>
      </w:r>
      <w:r>
        <w:rPr>
          <w:rFonts w:hint="eastAsia" w:ascii="宋体" w:hAnsi="宋体" w:eastAsia="宋体" w:cs="宋体"/>
          <w:color w:val="auto"/>
          <w:spacing w:val="0"/>
          <w:w w:val="100"/>
          <w:sz w:val="22"/>
          <w:szCs w:val="22"/>
          <w:highlight w:val="none"/>
        </w:rPr>
        <w:t>.有下列情形之一的，属于恶意串通，对供应商依照政府采购法第七十七条第一款的规定追究法律责任，对采购人、采购代理机构及其工作人员依照政府采购法第七十二条的规定追究法律责任：</w:t>
      </w:r>
    </w:p>
    <w:p w14:paraId="6865DCA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供应商直接或者间接从采购人或者采购代理机构处获得其他供应商的相关情况并修改其响应文件；</w:t>
      </w:r>
    </w:p>
    <w:p w14:paraId="75153B9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供应商按照采购人或者采购代理机构的授意撤换、修改响应文件；</w:t>
      </w:r>
    </w:p>
    <w:p w14:paraId="592C27A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供应商之间协商报价、技术方案等响应文件或者响应文件的实质性内容；</w:t>
      </w:r>
    </w:p>
    <w:p w14:paraId="48EC5BE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属于同一集团、协会、商会等组织成员的供应商按照该组织要求协同参加政府采购活动；</w:t>
      </w:r>
    </w:p>
    <w:p w14:paraId="5AD074F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(5)</w:t>
      </w:r>
      <w:r>
        <w:rPr>
          <w:rFonts w:hint="eastAsia" w:ascii="宋体" w:hAnsi="宋体" w:eastAsia="宋体" w:cs="宋体"/>
          <w:color w:val="auto"/>
          <w:spacing w:val="0"/>
          <w:w w:val="100"/>
          <w:sz w:val="22"/>
          <w:szCs w:val="22"/>
          <w:highlight w:val="none"/>
        </w:rPr>
        <w:t>供应商之间事先约定由某一特定供应商成交；</w:t>
      </w:r>
    </w:p>
    <w:p w14:paraId="49F0E8D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(6)</w:t>
      </w:r>
      <w:r>
        <w:rPr>
          <w:rFonts w:hint="eastAsia" w:ascii="宋体" w:hAnsi="宋体" w:eastAsia="宋体" w:cs="宋体"/>
          <w:color w:val="auto"/>
          <w:spacing w:val="0"/>
          <w:w w:val="100"/>
          <w:sz w:val="22"/>
          <w:szCs w:val="22"/>
          <w:highlight w:val="none"/>
        </w:rPr>
        <w:t>供应商之间商定部分供应商放弃参加政府采购活动或者放弃成交；</w:t>
      </w:r>
    </w:p>
    <w:p w14:paraId="5F0A732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(7)</w:t>
      </w:r>
      <w:r>
        <w:rPr>
          <w:rFonts w:hint="eastAsia" w:ascii="宋体" w:hAnsi="宋体" w:eastAsia="宋体" w:cs="宋体"/>
          <w:color w:val="auto"/>
          <w:spacing w:val="0"/>
          <w:w w:val="100"/>
          <w:sz w:val="22"/>
          <w:szCs w:val="22"/>
          <w:highlight w:val="none"/>
        </w:rPr>
        <w:t>供应商与采购人或者采购代理机构之间、供应商相互之间，为谋求特定供应商成交或者排斥其他供应商的其他串通行为；</w:t>
      </w:r>
    </w:p>
    <w:p w14:paraId="796D067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(8)</w:t>
      </w:r>
      <w:r>
        <w:rPr>
          <w:rFonts w:hint="eastAsia" w:ascii="宋体" w:hAnsi="宋体" w:eastAsia="宋体" w:cs="宋体"/>
          <w:color w:val="auto"/>
          <w:spacing w:val="0"/>
          <w:w w:val="100"/>
          <w:sz w:val="22"/>
          <w:szCs w:val="22"/>
          <w:highlight w:val="none"/>
        </w:rPr>
        <w:t>不同供应商的响应文件由同一单位或者个人编制；</w:t>
      </w:r>
    </w:p>
    <w:p w14:paraId="6B0A8BB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(9)</w:t>
      </w:r>
      <w:r>
        <w:rPr>
          <w:rFonts w:hint="eastAsia" w:ascii="宋体" w:hAnsi="宋体" w:eastAsia="宋体" w:cs="宋体"/>
          <w:color w:val="auto"/>
          <w:spacing w:val="0"/>
          <w:w w:val="100"/>
          <w:sz w:val="22"/>
          <w:szCs w:val="22"/>
          <w:highlight w:val="none"/>
        </w:rPr>
        <w:t>不同供应商委托同一单位或者个人办理磋商事宜；</w:t>
      </w:r>
    </w:p>
    <w:p w14:paraId="599F465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(10)</w:t>
      </w:r>
      <w:r>
        <w:rPr>
          <w:rFonts w:hint="eastAsia" w:ascii="宋体" w:hAnsi="宋体" w:eastAsia="宋体" w:cs="宋体"/>
          <w:color w:val="auto"/>
          <w:spacing w:val="0"/>
          <w:w w:val="100"/>
          <w:sz w:val="22"/>
          <w:szCs w:val="22"/>
          <w:highlight w:val="none"/>
        </w:rPr>
        <w:t>不同供应商的响应文件载明的项目管理成员或者联系人员为同一人；</w:t>
      </w:r>
    </w:p>
    <w:p w14:paraId="784B92B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(11)</w:t>
      </w:r>
      <w:r>
        <w:rPr>
          <w:rFonts w:hint="eastAsia" w:ascii="宋体" w:hAnsi="宋体" w:eastAsia="宋体" w:cs="宋体"/>
          <w:color w:val="auto"/>
          <w:spacing w:val="0"/>
          <w:w w:val="100"/>
          <w:sz w:val="22"/>
          <w:szCs w:val="22"/>
          <w:highlight w:val="none"/>
        </w:rPr>
        <w:t>不同供应商的响应文件异常一致或者磋商报价呈规律性差异；</w:t>
      </w:r>
    </w:p>
    <w:p w14:paraId="6B14D16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(12)</w:t>
      </w:r>
      <w:r>
        <w:rPr>
          <w:rFonts w:hint="eastAsia" w:ascii="宋体" w:hAnsi="宋体" w:eastAsia="宋体" w:cs="宋体"/>
          <w:color w:val="auto"/>
          <w:spacing w:val="0"/>
          <w:w w:val="100"/>
          <w:sz w:val="22"/>
          <w:szCs w:val="22"/>
          <w:highlight w:val="none"/>
        </w:rPr>
        <w:t>不同供应商的响应文件相互混装。</w:t>
      </w:r>
    </w:p>
    <w:bookmarkEnd w:id="117"/>
    <w:p w14:paraId="28177C05">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18" w:name="_Toc20052"/>
      <w:bookmarkStart w:id="119" w:name="_Toc24093"/>
      <w:r>
        <w:rPr>
          <w:rFonts w:hint="eastAsia" w:ascii="宋体" w:hAnsi="宋体" w:eastAsia="宋体" w:cs="宋体"/>
          <w:b/>
          <w:bCs/>
          <w:color w:val="auto"/>
          <w:spacing w:val="0"/>
          <w:w w:val="100"/>
          <w:sz w:val="28"/>
          <w:szCs w:val="28"/>
          <w:highlight w:val="none"/>
          <w:lang w:eastAsia="zh-CN"/>
        </w:rPr>
        <w:t>十一</w:t>
      </w:r>
      <w:r>
        <w:rPr>
          <w:rFonts w:hint="eastAsia" w:ascii="宋体" w:hAnsi="宋体" w:eastAsia="宋体" w:cs="宋体"/>
          <w:b/>
          <w:bCs/>
          <w:color w:val="auto"/>
          <w:spacing w:val="0"/>
          <w:w w:val="100"/>
          <w:sz w:val="28"/>
          <w:szCs w:val="28"/>
          <w:highlight w:val="none"/>
        </w:rPr>
        <w:t xml:space="preserve">  澄清、修改发布媒体</w:t>
      </w:r>
      <w:bookmarkEnd w:id="118"/>
      <w:bookmarkEnd w:id="119"/>
    </w:p>
    <w:p w14:paraId="54B39A76">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bookmarkStart w:id="120" w:name="_Toc334087237"/>
      <w:bookmarkStart w:id="121" w:name="_Toc495479101"/>
      <w:bookmarkStart w:id="122" w:name="_Toc176659672"/>
      <w:bookmarkStart w:id="123" w:name="_Toc390938584"/>
      <w:bookmarkStart w:id="124" w:name="_Toc335664279"/>
      <w:bookmarkStart w:id="125" w:name="_Toc107820051"/>
      <w:r>
        <w:rPr>
          <w:rFonts w:hint="eastAsia" w:ascii="宋体" w:hAnsi="宋体" w:eastAsia="宋体" w:cs="宋体"/>
          <w:color w:val="auto"/>
          <w:spacing w:val="0"/>
          <w:w w:val="100"/>
          <w:sz w:val="22"/>
          <w:szCs w:val="22"/>
          <w:highlight w:val="none"/>
          <w:lang w:val="en-US" w:eastAsia="zh-CN"/>
        </w:rPr>
        <w:t>37.</w:t>
      </w:r>
      <w:r>
        <w:rPr>
          <w:rFonts w:hint="eastAsia" w:ascii="宋体" w:hAnsi="宋体" w:eastAsia="宋体" w:cs="宋体"/>
          <w:color w:val="auto"/>
          <w:spacing w:val="0"/>
          <w:w w:val="100"/>
          <w:sz w:val="22"/>
          <w:szCs w:val="22"/>
          <w:highlight w:val="none"/>
        </w:rPr>
        <w:t>针对潜在供应商提出的询问，采购代理机构一般在3个工作日内作出答复，如需澄清或修改的，采购代理机构将在磋商截止时间五日前将澄清或修改内容在浙江政府采购网、丽水市公共资源交易网（庆元）</w:t>
      </w:r>
      <w:r>
        <w:rPr>
          <w:rFonts w:hint="eastAsia" w:ascii="宋体" w:hAnsi="宋体" w:eastAsia="宋体" w:cs="宋体"/>
          <w:color w:val="auto"/>
          <w:spacing w:val="0"/>
          <w:w w:val="100"/>
          <w:sz w:val="22"/>
          <w:szCs w:val="22"/>
          <w:highlight w:val="none"/>
          <w:lang w:eastAsia="zh-CN"/>
        </w:rPr>
        <w:t>上</w:t>
      </w:r>
      <w:r>
        <w:rPr>
          <w:rFonts w:hint="eastAsia" w:ascii="宋体" w:hAnsi="宋体" w:eastAsia="宋体" w:cs="宋体"/>
          <w:color w:val="auto"/>
          <w:spacing w:val="0"/>
          <w:w w:val="100"/>
          <w:sz w:val="22"/>
          <w:szCs w:val="22"/>
          <w:highlight w:val="none"/>
        </w:rPr>
        <w:t>予以公布，潜在供应商应自行关注网站更正公告等内容，采购代理机构不再一一通知。</w:t>
      </w:r>
    </w:p>
    <w:p w14:paraId="14CBE051">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38.</w:t>
      </w:r>
      <w:r>
        <w:rPr>
          <w:rFonts w:hint="eastAsia" w:ascii="宋体" w:hAnsi="宋体" w:eastAsia="宋体" w:cs="宋体"/>
          <w:color w:val="auto"/>
          <w:spacing w:val="0"/>
          <w:w w:val="100"/>
          <w:sz w:val="22"/>
          <w:szCs w:val="22"/>
          <w:highlight w:val="none"/>
        </w:rPr>
        <w:t>潜在供应商提出的询问超出采购人对采购代理机构委托授权范围的，供应商应向采购人提出。</w:t>
      </w:r>
    </w:p>
    <w:p w14:paraId="48173077">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26" w:name="_Toc21618"/>
      <w:bookmarkStart w:id="127" w:name="_Toc25978"/>
      <w:r>
        <w:rPr>
          <w:rFonts w:hint="eastAsia" w:ascii="宋体" w:hAnsi="宋体" w:eastAsia="宋体" w:cs="宋体"/>
          <w:b/>
          <w:bCs/>
          <w:color w:val="auto"/>
          <w:spacing w:val="0"/>
          <w:w w:val="100"/>
          <w:sz w:val="28"/>
          <w:szCs w:val="28"/>
          <w:highlight w:val="none"/>
          <w:lang w:eastAsia="zh-CN"/>
        </w:rPr>
        <w:t>十二</w:t>
      </w:r>
      <w:r>
        <w:rPr>
          <w:rFonts w:hint="eastAsia" w:ascii="宋体" w:hAnsi="宋体" w:eastAsia="宋体" w:cs="宋体"/>
          <w:b/>
          <w:bCs/>
          <w:color w:val="auto"/>
          <w:spacing w:val="0"/>
          <w:w w:val="100"/>
          <w:sz w:val="28"/>
          <w:szCs w:val="28"/>
          <w:highlight w:val="none"/>
        </w:rPr>
        <w:t xml:space="preserve">  质疑</w:t>
      </w:r>
      <w:bookmarkEnd w:id="120"/>
      <w:bookmarkEnd w:id="121"/>
      <w:bookmarkEnd w:id="122"/>
      <w:bookmarkEnd w:id="123"/>
      <w:bookmarkEnd w:id="124"/>
      <w:bookmarkEnd w:id="126"/>
      <w:bookmarkEnd w:id="127"/>
    </w:p>
    <w:p w14:paraId="58F7784B">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bookmarkStart w:id="128" w:name="_Toc335664280"/>
      <w:bookmarkStart w:id="129" w:name="_Toc334087238"/>
      <w:bookmarkStart w:id="130" w:name="_Toc390938585"/>
      <w:r>
        <w:rPr>
          <w:rFonts w:hint="eastAsia" w:ascii="宋体" w:hAnsi="宋体" w:eastAsia="宋体" w:cs="宋体"/>
          <w:color w:val="auto"/>
          <w:spacing w:val="0"/>
          <w:w w:val="100"/>
          <w:sz w:val="22"/>
          <w:szCs w:val="22"/>
          <w:highlight w:val="none"/>
          <w:lang w:val="en-US" w:eastAsia="zh-CN"/>
        </w:rPr>
        <w:t>39</w:t>
      </w:r>
      <w:r>
        <w:rPr>
          <w:rFonts w:hint="eastAsia" w:ascii="宋体" w:hAnsi="宋体" w:eastAsia="宋体" w:cs="宋体"/>
          <w:color w:val="auto"/>
          <w:spacing w:val="0"/>
          <w:w w:val="100"/>
          <w:sz w:val="22"/>
          <w:szCs w:val="22"/>
          <w:highlight w:val="none"/>
        </w:rPr>
        <w:t>.供应商认为采购文件、采购过程和成交、成交结果使自己的权益受到损害的，可以在知道或者应知其权益受到损害之日起七个工作日内提出，否则被质疑人可以不予接受，以书面形式向采购代理机构提出质疑。对可以质疑的采购文件提出质疑的，为收到采购文件之日或者采购文件公告期限届满之日且应当在磋商响应截止时间之前提出；对采购过程提出质疑的，为各采购程序环节结束之日；对成交结果提出质疑的，为成交结果公告期限届满之日。</w:t>
      </w:r>
    </w:p>
    <w:p w14:paraId="179173E6">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4</w:t>
      </w:r>
      <w:r>
        <w:rPr>
          <w:rFonts w:hint="eastAsia" w:ascii="宋体" w:hAnsi="宋体" w:eastAsia="宋体" w:cs="宋体"/>
          <w:color w:val="auto"/>
          <w:spacing w:val="0"/>
          <w:w w:val="100"/>
          <w:sz w:val="22"/>
          <w:szCs w:val="22"/>
          <w:highlight w:val="none"/>
          <w:lang w:val="en-US" w:eastAsia="zh-CN"/>
        </w:rPr>
        <w:t>0</w:t>
      </w:r>
      <w:r>
        <w:rPr>
          <w:rFonts w:hint="eastAsia" w:ascii="宋体" w:hAnsi="宋体" w:eastAsia="宋体" w:cs="宋体"/>
          <w:color w:val="auto"/>
          <w:spacing w:val="0"/>
          <w:w w:val="100"/>
          <w:sz w:val="22"/>
          <w:szCs w:val="22"/>
          <w:highlight w:val="none"/>
        </w:rPr>
        <w:t>.质疑的主要内容应符合《政府采购质疑和投诉办法》（94号令）规定以及浙江省和丽水市相关文件的规定。质疑内容涉及保密事项，质疑供应商应提供有效的信息来源或有效证据。</w:t>
      </w:r>
    </w:p>
    <w:p w14:paraId="7D690190">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41</w:t>
      </w:r>
      <w:r>
        <w:rPr>
          <w:rFonts w:hint="eastAsia" w:ascii="宋体" w:hAnsi="宋体" w:eastAsia="宋体" w:cs="宋体"/>
          <w:color w:val="auto"/>
          <w:spacing w:val="0"/>
          <w:w w:val="100"/>
          <w:sz w:val="22"/>
          <w:szCs w:val="22"/>
          <w:highlight w:val="none"/>
        </w:rPr>
        <w:t>.质疑供应商可直接提交、传真或邮寄方式提交质疑书（一式三份以上）。以其他方式提出的质疑，采购代理机构可不予接受、答复。</w:t>
      </w:r>
    </w:p>
    <w:p w14:paraId="4918E709">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邮寄方式送达质疑书的，以采购代理机构实际收到邮件之日作为收到质疑的日期。</w:t>
      </w:r>
    </w:p>
    <w:p w14:paraId="5466BDFF">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传真方式送达质疑书的，质疑供应商应当取得采购代理机构确认收到传真的意见，并及时将质疑书原件送达采购代理机构。采购代理机构以实际收到原件之日作为收到质疑的日期。</w:t>
      </w:r>
    </w:p>
    <w:p w14:paraId="5D04CFA0">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在质疑期限届满前，质疑书已经邮寄或传真成功的，质疑不视为过期。</w:t>
      </w:r>
    </w:p>
    <w:p w14:paraId="74FB3F3D">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42</w:t>
      </w:r>
      <w:r>
        <w:rPr>
          <w:rFonts w:hint="eastAsia" w:ascii="宋体" w:hAnsi="宋体" w:eastAsia="宋体" w:cs="宋体"/>
          <w:color w:val="auto"/>
          <w:spacing w:val="0"/>
          <w:w w:val="100"/>
          <w:sz w:val="22"/>
          <w:szCs w:val="22"/>
          <w:highlight w:val="none"/>
        </w:rPr>
        <w:t>.质疑供应商提供的相关材料中有外文资料的，应将与质疑相关的外文资料完整、客观、真实地翻译为中文，并注明翻译人员姓名、工作单位、联系方式等信息。</w:t>
      </w:r>
    </w:p>
    <w:p w14:paraId="757C12D8">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43</w:t>
      </w:r>
      <w:r>
        <w:rPr>
          <w:rFonts w:hint="eastAsia" w:ascii="宋体" w:hAnsi="宋体" w:eastAsia="宋体" w:cs="宋体"/>
          <w:color w:val="auto"/>
          <w:spacing w:val="0"/>
          <w:w w:val="100"/>
          <w:sz w:val="22"/>
          <w:szCs w:val="22"/>
          <w:highlight w:val="none"/>
        </w:rPr>
        <w:t>.采购代理机构在收到质疑供应商的书面质疑后7个工作日内作出答复，并以书面形式答复质疑供应商。</w:t>
      </w:r>
    </w:p>
    <w:p w14:paraId="5DFBA3C3">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44</w:t>
      </w:r>
      <w:r>
        <w:rPr>
          <w:rFonts w:hint="eastAsia" w:ascii="宋体" w:hAnsi="宋体" w:eastAsia="宋体" w:cs="宋体"/>
          <w:color w:val="auto"/>
          <w:spacing w:val="0"/>
          <w:w w:val="100"/>
          <w:sz w:val="22"/>
          <w:szCs w:val="22"/>
          <w:highlight w:val="none"/>
        </w:rPr>
        <w:t>.质疑供应商捏造事实、提供虚假材料进行质疑的，采购代理机构报告同级财政部门，由同级财政部门审查，情况属实的，应列入不良行为记录，并在指定的媒体上公告。</w:t>
      </w:r>
    </w:p>
    <w:p w14:paraId="48A26431">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45</w:t>
      </w:r>
      <w:r>
        <w:rPr>
          <w:rFonts w:hint="eastAsia" w:ascii="宋体" w:hAnsi="宋体" w:eastAsia="宋体" w:cs="宋体"/>
          <w:color w:val="auto"/>
          <w:spacing w:val="0"/>
          <w:w w:val="100"/>
          <w:sz w:val="22"/>
          <w:szCs w:val="22"/>
          <w:highlight w:val="none"/>
        </w:rPr>
        <w:t>.如联合体参与采购活动，质疑应由组成联合体的所有供应商共同提出。</w:t>
      </w:r>
    </w:p>
    <w:p w14:paraId="06B0EAC4">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31" w:name="_Toc24404"/>
      <w:bookmarkStart w:id="132" w:name="_Toc495479102"/>
      <w:bookmarkStart w:id="133" w:name="_Toc25983"/>
      <w:r>
        <w:rPr>
          <w:rFonts w:hint="eastAsia" w:ascii="宋体" w:hAnsi="宋体" w:eastAsia="宋体" w:cs="宋体"/>
          <w:b/>
          <w:bCs/>
          <w:color w:val="auto"/>
          <w:spacing w:val="0"/>
          <w:w w:val="100"/>
          <w:sz w:val="28"/>
          <w:szCs w:val="28"/>
          <w:highlight w:val="none"/>
        </w:rPr>
        <w:t>十</w:t>
      </w:r>
      <w:r>
        <w:rPr>
          <w:rFonts w:hint="eastAsia" w:ascii="宋体" w:hAnsi="宋体" w:eastAsia="宋体" w:cs="宋体"/>
          <w:b/>
          <w:bCs/>
          <w:color w:val="auto"/>
          <w:spacing w:val="0"/>
          <w:w w:val="100"/>
          <w:sz w:val="28"/>
          <w:szCs w:val="28"/>
          <w:highlight w:val="none"/>
          <w:lang w:eastAsia="zh-CN"/>
        </w:rPr>
        <w:t>三</w:t>
      </w:r>
      <w:r>
        <w:rPr>
          <w:rFonts w:hint="eastAsia" w:ascii="宋体" w:hAnsi="宋体" w:eastAsia="宋体" w:cs="宋体"/>
          <w:b/>
          <w:bCs/>
          <w:color w:val="auto"/>
          <w:spacing w:val="0"/>
          <w:w w:val="100"/>
          <w:sz w:val="28"/>
          <w:szCs w:val="28"/>
          <w:highlight w:val="none"/>
        </w:rPr>
        <w:t xml:space="preserve">  投诉</w:t>
      </w:r>
      <w:bookmarkEnd w:id="128"/>
      <w:bookmarkEnd w:id="129"/>
      <w:bookmarkEnd w:id="130"/>
      <w:bookmarkEnd w:id="131"/>
      <w:bookmarkEnd w:id="132"/>
      <w:bookmarkEnd w:id="133"/>
    </w:p>
    <w:p w14:paraId="784822F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kern w:val="0"/>
          <w:sz w:val="22"/>
          <w:szCs w:val="22"/>
          <w:highlight w:val="none"/>
        </w:rPr>
      </w:pPr>
      <w:bookmarkStart w:id="134" w:name="_Toc335664281"/>
      <w:bookmarkStart w:id="135" w:name="_Toc390938586"/>
      <w:bookmarkStart w:id="136" w:name="_Toc334087239"/>
      <w:r>
        <w:rPr>
          <w:rFonts w:hint="eastAsia" w:ascii="宋体" w:hAnsi="宋体" w:eastAsia="宋体" w:cs="宋体"/>
          <w:color w:val="auto"/>
          <w:spacing w:val="0"/>
          <w:w w:val="100"/>
          <w:sz w:val="22"/>
          <w:szCs w:val="22"/>
          <w:highlight w:val="none"/>
          <w:lang w:val="en-US" w:eastAsia="zh-CN"/>
        </w:rPr>
        <w:t>46</w:t>
      </w:r>
      <w:r>
        <w:rPr>
          <w:rFonts w:hint="eastAsia" w:ascii="宋体" w:hAnsi="宋体" w:eastAsia="宋体" w:cs="宋体"/>
          <w:color w:val="auto"/>
          <w:spacing w:val="0"/>
          <w:w w:val="100"/>
          <w:sz w:val="22"/>
          <w:szCs w:val="22"/>
          <w:highlight w:val="none"/>
        </w:rPr>
        <w:t>.</w:t>
      </w:r>
      <w:r>
        <w:rPr>
          <w:rFonts w:hint="eastAsia" w:ascii="宋体" w:hAnsi="宋体" w:eastAsia="宋体" w:cs="宋体"/>
          <w:color w:val="auto"/>
          <w:spacing w:val="0"/>
          <w:w w:val="100"/>
          <w:kern w:val="0"/>
          <w:sz w:val="22"/>
          <w:szCs w:val="22"/>
          <w:highlight w:val="none"/>
        </w:rPr>
        <w:t>质疑供应商对采购代理机构的答复不满意或者采购代理机构未在规定时间内答复的，可以在答复期满后十五个工作日内按有关规定，以书面形式向同级监督管理部门投诉。</w:t>
      </w:r>
    </w:p>
    <w:p w14:paraId="6EF18E4B">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37" w:name="_Toc16294"/>
      <w:bookmarkStart w:id="138" w:name="_Toc495479103"/>
      <w:bookmarkStart w:id="139" w:name="_Toc5520"/>
      <w:r>
        <w:rPr>
          <w:rFonts w:hint="eastAsia" w:ascii="宋体" w:hAnsi="宋体" w:eastAsia="宋体" w:cs="宋体"/>
          <w:b/>
          <w:bCs/>
          <w:color w:val="auto"/>
          <w:spacing w:val="0"/>
          <w:w w:val="100"/>
          <w:sz w:val="28"/>
          <w:szCs w:val="28"/>
          <w:highlight w:val="none"/>
        </w:rPr>
        <w:t>十</w:t>
      </w:r>
      <w:r>
        <w:rPr>
          <w:rFonts w:hint="eastAsia" w:ascii="宋体" w:hAnsi="宋体" w:eastAsia="宋体" w:cs="宋体"/>
          <w:b/>
          <w:bCs/>
          <w:color w:val="auto"/>
          <w:spacing w:val="0"/>
          <w:w w:val="100"/>
          <w:sz w:val="28"/>
          <w:szCs w:val="28"/>
          <w:highlight w:val="none"/>
          <w:lang w:eastAsia="zh-CN"/>
        </w:rPr>
        <w:t>四</w:t>
      </w:r>
      <w:r>
        <w:rPr>
          <w:rFonts w:hint="eastAsia" w:ascii="宋体" w:hAnsi="宋体" w:eastAsia="宋体" w:cs="宋体"/>
          <w:b/>
          <w:bCs/>
          <w:color w:val="auto"/>
          <w:spacing w:val="0"/>
          <w:w w:val="100"/>
          <w:sz w:val="28"/>
          <w:szCs w:val="28"/>
          <w:highlight w:val="none"/>
        </w:rPr>
        <w:t xml:space="preserve">  授予合同</w:t>
      </w:r>
      <w:bookmarkEnd w:id="125"/>
      <w:bookmarkEnd w:id="134"/>
      <w:bookmarkEnd w:id="135"/>
      <w:bookmarkEnd w:id="136"/>
      <w:bookmarkEnd w:id="137"/>
      <w:bookmarkEnd w:id="138"/>
      <w:bookmarkEnd w:id="139"/>
    </w:p>
    <w:p w14:paraId="72C712CD">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bookmarkStart w:id="140" w:name="_Toc15813254"/>
      <w:bookmarkStart w:id="141" w:name="_Toc45506731"/>
      <w:bookmarkStart w:id="142" w:name="_Toc390938587"/>
      <w:bookmarkStart w:id="143" w:name="_Toc47756031"/>
      <w:bookmarkStart w:id="144" w:name="_Toc15805937"/>
      <w:bookmarkStart w:id="145" w:name="_Toc107820052"/>
      <w:bookmarkStart w:id="146" w:name="_Toc335664282"/>
      <w:bookmarkStart w:id="147" w:name="_Toc334087240"/>
      <w:r>
        <w:rPr>
          <w:rFonts w:hint="eastAsia" w:ascii="宋体" w:hAnsi="宋体" w:eastAsia="宋体" w:cs="宋体"/>
          <w:color w:val="auto"/>
          <w:spacing w:val="0"/>
          <w:w w:val="100"/>
          <w:sz w:val="22"/>
          <w:szCs w:val="22"/>
          <w:highlight w:val="none"/>
          <w:lang w:val="en-US" w:eastAsia="zh-CN"/>
        </w:rPr>
        <w:t>47.授予合同时变更数量的权力</w:t>
      </w:r>
    </w:p>
    <w:p w14:paraId="6D40D905">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采购人需追加与合同标的相同的货物、工程或者服务，在不改变合同其他条款的前提下，可以与成交人签订补充合同，但所有补充合同的采购总额不得超过原合同采购金额的百分之十。签订补充合同之前，采购人经同级政府采购监督管理部门同意，补充合同交同级政府采购监督管理部门备案。</w:t>
      </w:r>
    </w:p>
    <w:p w14:paraId="27359126">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48.签订合同</w:t>
      </w:r>
    </w:p>
    <w:p w14:paraId="3A55A3BB">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(1)成交人自成交通知书发出之日起30日内与采购人签订合同。</w:t>
      </w:r>
    </w:p>
    <w:p w14:paraId="41C1A05A">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(2)磋商文件、成交人的响应文件及其澄清文件等，均为签订合同的依据。</w:t>
      </w:r>
    </w:p>
    <w:p w14:paraId="69F0AC70">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(3)成交人不遵守磋商文件和响应文件的要约条款及所作的承诺，擅自修改报价或在成交通知书发出之日起30日内，无故拖延、拒签合同者，采购代理机构和采购人有权取消供应商的成交资格。</w:t>
      </w:r>
    </w:p>
    <w:p w14:paraId="3C9F5ACA">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按有关法律法规成交人拒绝与采购人签订合同的，采购人可以按照评审报告推荐的成交候选人名单排序，确定下一候选人为成交人，也可以重新开展政府采购活动。</w:t>
      </w:r>
    </w:p>
    <w:p w14:paraId="10955A2D">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(4)询问或者质疑事项可能影响成交结果的，采购人应当暂停签订合同，已经签订合同的，应当中止履行合同。（成交结果的质疑期为成交结果公告期限届满之日起七个工作日）。</w:t>
      </w:r>
    </w:p>
    <w:p w14:paraId="5B078DEE">
      <w:pPr>
        <w:keepNext w:val="0"/>
        <w:keepLines w:val="0"/>
        <w:pageBreakBefore w:val="0"/>
        <w:widowControl w:val="0"/>
        <w:kinsoku/>
        <w:wordWrap/>
        <w:overflowPunct/>
        <w:topLinePunct w:val="0"/>
        <w:autoSpaceDE/>
        <w:autoSpaceDN/>
        <w:bidi w:val="0"/>
        <w:adjustRightInd/>
        <w:snapToGrid/>
        <w:spacing w:line="50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(5)采购人自政府采购合同签订之日起2个工作日内，将政府采购合同在省级以上人民政府财政部门指定的媒体上公告，但政府采购合同中涉及国家秘密、商业秘密的内容除外。</w:t>
      </w:r>
    </w:p>
    <w:bookmarkEnd w:id="140"/>
    <w:bookmarkEnd w:id="141"/>
    <w:bookmarkEnd w:id="142"/>
    <w:bookmarkEnd w:id="143"/>
    <w:bookmarkEnd w:id="144"/>
    <w:bookmarkEnd w:id="145"/>
    <w:bookmarkEnd w:id="146"/>
    <w:bookmarkEnd w:id="147"/>
    <w:p w14:paraId="0B291512">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48" w:name="_Toc495479104"/>
      <w:bookmarkStart w:id="149" w:name="_Toc494558365"/>
      <w:bookmarkStart w:id="150" w:name="_Toc493955970"/>
      <w:bookmarkStart w:id="151" w:name="_Toc8815"/>
      <w:bookmarkStart w:id="152" w:name="_Toc3322"/>
      <w:r>
        <w:rPr>
          <w:rFonts w:hint="eastAsia" w:ascii="宋体" w:hAnsi="宋体" w:eastAsia="宋体" w:cs="宋体"/>
          <w:b/>
          <w:bCs/>
          <w:color w:val="auto"/>
          <w:spacing w:val="0"/>
          <w:w w:val="100"/>
          <w:sz w:val="28"/>
          <w:szCs w:val="28"/>
          <w:highlight w:val="none"/>
        </w:rPr>
        <w:t>十</w:t>
      </w:r>
      <w:r>
        <w:rPr>
          <w:rFonts w:hint="eastAsia" w:ascii="宋体" w:hAnsi="宋体" w:eastAsia="宋体" w:cs="宋体"/>
          <w:b/>
          <w:bCs/>
          <w:color w:val="auto"/>
          <w:spacing w:val="0"/>
          <w:w w:val="100"/>
          <w:sz w:val="28"/>
          <w:szCs w:val="28"/>
          <w:highlight w:val="none"/>
          <w:lang w:eastAsia="zh-CN"/>
        </w:rPr>
        <w:t>五</w:t>
      </w:r>
      <w:r>
        <w:rPr>
          <w:rFonts w:hint="eastAsia" w:ascii="宋体" w:hAnsi="宋体" w:eastAsia="宋体" w:cs="宋体"/>
          <w:b/>
          <w:bCs/>
          <w:color w:val="auto"/>
          <w:spacing w:val="0"/>
          <w:w w:val="100"/>
          <w:sz w:val="28"/>
          <w:szCs w:val="28"/>
          <w:highlight w:val="none"/>
        </w:rPr>
        <w:t xml:space="preserve">  验收</w:t>
      </w:r>
      <w:bookmarkEnd w:id="148"/>
      <w:bookmarkEnd w:id="149"/>
      <w:bookmarkEnd w:id="150"/>
      <w:bookmarkEnd w:id="151"/>
      <w:bookmarkEnd w:id="152"/>
    </w:p>
    <w:p w14:paraId="507A677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49.采购人应当按照政府采购合同规定的技术、服务、安全标准组织对供应商履约情况进行验收，并出具验收书。验收书应当包括每一项技术、质量要求、时间、安全标准的履约情况。</w:t>
      </w:r>
    </w:p>
    <w:p w14:paraId="2869CC7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50.如本项目采购人将邀请其他供应商或者第三方机构参与验收、核对成交标的的技术指标、承诺等内容，是否和磋商文件、成交人响应文件的内容相符合。</w:t>
      </w:r>
    </w:p>
    <w:p w14:paraId="34E1639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51.其他供应商如要参与验收，在项目成交结果公告前将参与验收的人员名单、联系方式等相关信息书面告知采购人。采购人在验收二日前告知其参加验收的具体时间和地址。参加验收工作的人员，应提供供应商出具的授权委托书。</w:t>
      </w:r>
    </w:p>
    <w:p w14:paraId="1E084D5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lang w:val="en-US" w:eastAsia="zh-CN"/>
        </w:rPr>
        <w:t>52.其他供应商应遵守诚实信用、实事求是的原则，在验收期间积极配合采购人组织的验收工作，不得影响或阻扰验收工作的正常进行。参与验收的一切费用，原则上由供应商自行承担。</w:t>
      </w:r>
    </w:p>
    <w:p w14:paraId="10F9273A">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bookmarkStart w:id="153" w:name="_Toc23629"/>
      <w:bookmarkStart w:id="154" w:name="_Toc18070"/>
      <w:bookmarkStart w:id="155" w:name="_Toc493955972"/>
      <w:bookmarkStart w:id="156" w:name="_Toc494558367"/>
      <w:bookmarkStart w:id="157" w:name="_Toc495479106"/>
      <w:r>
        <w:rPr>
          <w:rFonts w:hint="eastAsia" w:ascii="宋体" w:hAnsi="宋体" w:eastAsia="宋体" w:cs="宋体"/>
          <w:b/>
          <w:bCs/>
          <w:color w:val="auto"/>
          <w:spacing w:val="0"/>
          <w:w w:val="100"/>
          <w:sz w:val="28"/>
          <w:szCs w:val="28"/>
          <w:highlight w:val="none"/>
        </w:rPr>
        <w:t>十</w:t>
      </w:r>
      <w:r>
        <w:rPr>
          <w:rFonts w:hint="eastAsia" w:ascii="宋体" w:hAnsi="宋体" w:eastAsia="宋体" w:cs="宋体"/>
          <w:b/>
          <w:bCs/>
          <w:color w:val="auto"/>
          <w:spacing w:val="0"/>
          <w:w w:val="100"/>
          <w:sz w:val="28"/>
          <w:szCs w:val="28"/>
          <w:highlight w:val="none"/>
          <w:lang w:eastAsia="zh-CN"/>
        </w:rPr>
        <w:t>六</w:t>
      </w:r>
      <w:r>
        <w:rPr>
          <w:rFonts w:hint="eastAsia" w:ascii="宋体" w:hAnsi="宋体" w:eastAsia="宋体" w:cs="宋体"/>
          <w:b/>
          <w:bCs/>
          <w:color w:val="auto"/>
          <w:spacing w:val="0"/>
          <w:w w:val="100"/>
          <w:sz w:val="28"/>
          <w:szCs w:val="28"/>
          <w:highlight w:val="none"/>
        </w:rPr>
        <w:t xml:space="preserve">  政府采购政策</w:t>
      </w:r>
      <w:bookmarkEnd w:id="153"/>
      <w:bookmarkEnd w:id="154"/>
    </w:p>
    <w:p w14:paraId="6767CF47">
      <w:pPr>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宋体" w:hAnsi="宋体" w:eastAsia="宋体" w:cs="宋体"/>
          <w:color w:val="auto"/>
          <w:spacing w:val="0"/>
          <w:w w:val="100"/>
          <w:sz w:val="22"/>
          <w:szCs w:val="21"/>
          <w:highlight w:val="none"/>
        </w:rPr>
      </w:pPr>
      <w:bookmarkStart w:id="158" w:name="_Toc22062"/>
      <w:bookmarkStart w:id="159" w:name="_Toc32694"/>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关于中小企业参与政府采购活动的规定</w:t>
      </w:r>
    </w:p>
    <w:p w14:paraId="315160CE">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.1</w:t>
      </w:r>
      <w:r>
        <w:rPr>
          <w:rFonts w:hint="eastAsia" w:ascii="宋体" w:hAnsi="宋体" w:eastAsia="宋体" w:cs="宋体"/>
          <w:b/>
          <w:color w:val="auto"/>
          <w:spacing w:val="0"/>
          <w:w w:val="100"/>
          <w:sz w:val="22"/>
          <w:szCs w:val="21"/>
          <w:highlight w:val="none"/>
        </w:rPr>
        <w:t>本项目</w:t>
      </w:r>
      <w:r>
        <w:rPr>
          <w:rFonts w:hint="eastAsia" w:ascii="宋体" w:hAnsi="宋体" w:eastAsia="宋体" w:cs="宋体"/>
          <w:b/>
          <w:color w:val="auto"/>
          <w:spacing w:val="0"/>
          <w:w w:val="100"/>
          <w:sz w:val="22"/>
          <w:szCs w:val="21"/>
          <w:highlight w:val="none"/>
          <w:u w:val="single"/>
        </w:rPr>
        <w:t xml:space="preserve"> 是 </w:t>
      </w:r>
      <w:r>
        <w:rPr>
          <w:rFonts w:hint="eastAsia" w:ascii="宋体" w:hAnsi="宋体" w:eastAsia="宋体" w:cs="宋体"/>
          <w:b/>
          <w:color w:val="auto"/>
          <w:spacing w:val="0"/>
          <w:w w:val="100"/>
          <w:sz w:val="22"/>
          <w:szCs w:val="21"/>
          <w:highlight w:val="none"/>
        </w:rPr>
        <w:t>专门面向中小企业采购。</w:t>
      </w:r>
    </w:p>
    <w:p w14:paraId="3142B717">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b/>
          <w:color w:val="auto"/>
          <w:spacing w:val="0"/>
          <w:w w:val="100"/>
          <w:sz w:val="22"/>
          <w:szCs w:val="21"/>
          <w:highlight w:val="none"/>
          <w:u w:val="singl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.2本项目对应的中小企业划分标准所属行业：</w:t>
      </w:r>
      <w:r>
        <w:rPr>
          <w:rFonts w:hint="eastAsia" w:ascii="宋体" w:hAnsi="宋体" w:eastAsia="宋体" w:cs="宋体"/>
          <w:b/>
          <w:color w:val="auto"/>
          <w:spacing w:val="0"/>
          <w:w w:val="100"/>
          <w:sz w:val="22"/>
          <w:szCs w:val="21"/>
          <w:highlight w:val="none"/>
          <w:u w:val="single"/>
        </w:rPr>
        <w:t>其他未列明行业。</w:t>
      </w:r>
    </w:p>
    <w:p w14:paraId="056E41C1">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.3中小企业是指在中华人民共和国境内依法设立，依据国务院批准的中小企业划分标准确定的中型企业、小型企业和微型企业，但与大企业的负责人为同一人，或者与大企业存在直接控股、管理关系的除外。</w:t>
      </w:r>
    </w:p>
    <w:p w14:paraId="73343611">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符合中小企业划分标准的个体工商户，在政府采购活动中视同中小企业。</w:t>
      </w:r>
    </w:p>
    <w:p w14:paraId="4C38E97C">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.4在政府采购活动中，供应商提供的货物、工程或者服务符合下列情形的，视为本办法规定的中小企业：</w:t>
      </w:r>
    </w:p>
    <w:p w14:paraId="66E9ECEB">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（一）在货物采购项目中，货物由中小企业制造，即货物由中小企业生产且使用该中小企业商号或者注册商标；</w:t>
      </w:r>
    </w:p>
    <w:p w14:paraId="13FEDAF4">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（二）在工程采购项目中，工程由中小企业承建，即工程施工单位为中小企业；</w:t>
      </w:r>
    </w:p>
    <w:p w14:paraId="2507AF30">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（三）在服务采购项目中，服务由中小企业承接，即提供服务的人员为中小企业依照《中华人民共和国劳动合同法》订立劳动合同的从业人员。</w:t>
      </w:r>
    </w:p>
    <w:p w14:paraId="67B8F8E1">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在货物采购项目中，供应商提供的货物既有中小企业制造货物，也有大型企业制造货物的，视为非中小企业。</w:t>
      </w:r>
    </w:p>
    <w:p w14:paraId="2978FF8D">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rPr>
        <w:t>以联合体形式参加政府采购活动，联合体各方均为中小企业的，联合体视同中小企业。其中，联合体各方均为小微企业的，联合体视同小微企业。</w:t>
      </w:r>
    </w:p>
    <w:p w14:paraId="6C309D46">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.5中小企业应按照采购文件格式要求提供《中小企业声明函》</w:t>
      </w:r>
      <w:r>
        <w:rPr>
          <w:rFonts w:hint="eastAsia" w:ascii="宋体" w:hAnsi="宋体" w:eastAsia="宋体" w:cs="宋体"/>
          <w:color w:val="auto"/>
          <w:spacing w:val="0"/>
          <w:w w:val="100"/>
          <w:kern w:val="0"/>
          <w:sz w:val="22"/>
          <w:szCs w:val="24"/>
          <w:highlight w:val="none"/>
        </w:rPr>
        <w:t>，否则</w:t>
      </w:r>
      <w:r>
        <w:rPr>
          <w:rFonts w:hint="eastAsia" w:ascii="宋体" w:hAnsi="宋体" w:eastAsia="宋体" w:cs="宋体"/>
          <w:color w:val="auto"/>
          <w:spacing w:val="0"/>
          <w:w w:val="100"/>
          <w:sz w:val="22"/>
          <w:szCs w:val="21"/>
          <w:highlight w:val="none"/>
        </w:rPr>
        <w:t>视为非中小企业。</w:t>
      </w:r>
    </w:p>
    <w:p w14:paraId="6A799DE5">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6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22B64665">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7根据《关于促进残疾人就业政府采购政策的通知》（财库[2017]141号）规定，在政府采购活动中，残疾人福利性单位视同小型、微型企业。残疾人福利性单位参加政府采购活动时，提供《残疾人福利性单位声明函》。</w:t>
      </w:r>
    </w:p>
    <w:p w14:paraId="44D96EAE">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.8小微企业不得将合同分包给大中型企业，中型企业不得将合同分包给大型企业。</w:t>
      </w:r>
    </w:p>
    <w:p w14:paraId="3716B438">
      <w:pPr>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宋体" w:hAnsi="宋体" w:eastAsia="宋体" w:cs="宋体"/>
          <w:bCs/>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53</w:t>
      </w:r>
      <w:r>
        <w:rPr>
          <w:rFonts w:hint="eastAsia" w:ascii="宋体" w:hAnsi="宋体" w:eastAsia="宋体" w:cs="宋体"/>
          <w:color w:val="auto"/>
          <w:spacing w:val="0"/>
          <w:w w:val="100"/>
          <w:sz w:val="22"/>
          <w:szCs w:val="21"/>
          <w:highlight w:val="none"/>
        </w:rPr>
        <w:t>.9供应商按照《政府采购促进中小企业发展管理办法》（财库﹝2020﹞46号）规定提供声明函内容不实的，属于提供虚假材料谋取中标、成交，依照《中华人民共和国政府采购法》等国家有关规定追究相应责任。</w:t>
      </w:r>
    </w:p>
    <w:p w14:paraId="7AC3889C">
      <w:pPr>
        <w:pStyle w:val="4"/>
        <w:keepNext w:val="0"/>
        <w:keepLines w:val="0"/>
        <w:pageBreakBefore w:val="0"/>
        <w:widowControl w:val="0"/>
        <w:kinsoku/>
        <w:overflowPunct/>
        <w:topLinePunct w:val="0"/>
        <w:bidi w:val="0"/>
        <w:spacing w:before="240" w:after="240" w:line="480" w:lineRule="exact"/>
        <w:ind w:left="0" w:firstLine="0"/>
        <w:rPr>
          <w:rFonts w:hint="eastAsia" w:ascii="宋体" w:hAnsi="宋体" w:eastAsia="宋体" w:cs="宋体"/>
          <w:b/>
          <w:bCs/>
          <w:color w:val="auto"/>
          <w:spacing w:val="0"/>
          <w:w w:val="100"/>
          <w:sz w:val="28"/>
          <w:szCs w:val="28"/>
          <w:highlight w:val="none"/>
        </w:rPr>
      </w:pPr>
      <w:r>
        <w:rPr>
          <w:rFonts w:hint="eastAsia" w:ascii="宋体" w:hAnsi="宋体" w:eastAsia="宋体" w:cs="宋体"/>
          <w:b/>
          <w:bCs/>
          <w:color w:val="auto"/>
          <w:spacing w:val="0"/>
          <w:w w:val="100"/>
          <w:sz w:val="28"/>
          <w:szCs w:val="28"/>
          <w:highlight w:val="none"/>
        </w:rPr>
        <w:t>十</w:t>
      </w:r>
      <w:bookmarkEnd w:id="158"/>
      <w:bookmarkEnd w:id="159"/>
      <w:bookmarkStart w:id="160" w:name="_Toc2850"/>
      <w:bookmarkStart w:id="161" w:name="_Toc20113"/>
      <w:r>
        <w:rPr>
          <w:rFonts w:hint="eastAsia" w:ascii="宋体" w:hAnsi="宋体" w:eastAsia="宋体" w:cs="宋体"/>
          <w:b/>
          <w:bCs/>
          <w:color w:val="auto"/>
          <w:spacing w:val="0"/>
          <w:w w:val="100"/>
          <w:sz w:val="28"/>
          <w:szCs w:val="28"/>
          <w:highlight w:val="none"/>
          <w:lang w:eastAsia="zh-CN"/>
        </w:rPr>
        <w:t>七</w:t>
      </w:r>
      <w:r>
        <w:rPr>
          <w:rFonts w:hint="eastAsia" w:ascii="宋体" w:hAnsi="宋体" w:eastAsia="宋体" w:cs="宋体"/>
          <w:b/>
          <w:bCs/>
          <w:color w:val="auto"/>
          <w:spacing w:val="0"/>
          <w:w w:val="100"/>
          <w:sz w:val="28"/>
          <w:szCs w:val="28"/>
          <w:highlight w:val="none"/>
        </w:rPr>
        <w:t xml:space="preserve">  其他事项</w:t>
      </w:r>
      <w:bookmarkEnd w:id="155"/>
      <w:bookmarkEnd w:id="156"/>
      <w:bookmarkEnd w:id="157"/>
      <w:bookmarkEnd w:id="160"/>
      <w:bookmarkEnd w:id="161"/>
    </w:p>
    <w:p w14:paraId="4122E41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54</w:t>
      </w:r>
      <w:r>
        <w:rPr>
          <w:rFonts w:hint="eastAsia" w:ascii="宋体" w:hAnsi="宋体" w:eastAsia="宋体" w:cs="宋体"/>
          <w:bCs/>
          <w:color w:val="auto"/>
          <w:spacing w:val="0"/>
          <w:w w:val="100"/>
          <w:sz w:val="22"/>
          <w:szCs w:val="22"/>
          <w:highlight w:val="none"/>
        </w:rPr>
        <w:t xml:space="preserve">. 解释权 </w:t>
      </w:r>
    </w:p>
    <w:p w14:paraId="323C83D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54</w:t>
      </w:r>
      <w:r>
        <w:rPr>
          <w:rFonts w:hint="eastAsia" w:ascii="宋体" w:hAnsi="宋体" w:eastAsia="宋体" w:cs="宋体"/>
          <w:bCs/>
          <w:color w:val="auto"/>
          <w:spacing w:val="0"/>
          <w:w w:val="100"/>
          <w:sz w:val="22"/>
          <w:szCs w:val="22"/>
          <w:highlight w:val="none"/>
        </w:rPr>
        <w:t>.1本磋商文件是根据国家有关法律、法规、规章和有关规定编制的，解释权属采购代理机构。</w:t>
      </w:r>
    </w:p>
    <w:p w14:paraId="48A9DE7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54</w:t>
      </w:r>
      <w:r>
        <w:rPr>
          <w:rFonts w:hint="eastAsia" w:ascii="宋体" w:hAnsi="宋体" w:eastAsia="宋体" w:cs="宋体"/>
          <w:bCs/>
          <w:color w:val="auto"/>
          <w:spacing w:val="0"/>
          <w:w w:val="100"/>
          <w:sz w:val="22"/>
          <w:szCs w:val="22"/>
          <w:highlight w:val="none"/>
        </w:rPr>
        <w:t>.2采购代理机构对决标结果不负责解释。</w:t>
      </w:r>
    </w:p>
    <w:p w14:paraId="0D33C1AD">
      <w:pPr>
        <w:keepNext w:val="0"/>
        <w:keepLines w:val="0"/>
        <w:pageBreakBefore w:val="0"/>
        <w:widowControl w:val="0"/>
        <w:kinsoku/>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55</w:t>
      </w:r>
      <w:r>
        <w:rPr>
          <w:rFonts w:hint="eastAsia" w:ascii="宋体" w:hAnsi="宋体" w:eastAsia="宋体" w:cs="宋体"/>
          <w:bCs/>
          <w:color w:val="auto"/>
          <w:spacing w:val="0"/>
          <w:w w:val="100"/>
          <w:sz w:val="22"/>
          <w:szCs w:val="22"/>
          <w:highlight w:val="none"/>
        </w:rPr>
        <w:t>.采购代理服务费：</w:t>
      </w:r>
    </w:p>
    <w:p w14:paraId="1F9D02E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本项目采购代理服务费由成交人支付。收费标准按照下表以差额定律累进计费方式计算，少于5000元按5000元计取。成交人在成交结果公告发出后五个工作日内向采购代理机构支付代理服务费。</w:t>
      </w:r>
    </w:p>
    <w:tbl>
      <w:tblPr>
        <w:tblStyle w:val="41"/>
        <w:tblpPr w:leftFromText="180" w:rightFromText="180" w:vertAnchor="text" w:horzAnchor="margin" w:tblpXSpec="center" w:tblpY="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2"/>
        <w:gridCol w:w="4140"/>
      </w:tblGrid>
      <w:tr w14:paraId="0CFD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32" w:type="dxa"/>
            <w:tcBorders>
              <w:top w:val="single" w:color="auto" w:sz="4" w:space="0"/>
              <w:left w:val="single" w:color="auto" w:sz="4" w:space="0"/>
              <w:bottom w:val="single" w:color="auto" w:sz="4" w:space="0"/>
              <w:right w:val="single" w:color="auto" w:sz="4" w:space="0"/>
            </w:tcBorders>
            <w:noWrap w:val="0"/>
            <w:vAlign w:val="center"/>
          </w:tcPr>
          <w:p w14:paraId="51B36F7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中标金额（万元）</w:t>
            </w:r>
          </w:p>
        </w:tc>
        <w:tc>
          <w:tcPr>
            <w:tcW w:w="4140" w:type="dxa"/>
            <w:tcBorders>
              <w:top w:val="single" w:color="auto" w:sz="4" w:space="0"/>
              <w:left w:val="single" w:color="auto" w:sz="4" w:space="0"/>
              <w:bottom w:val="single" w:color="auto" w:sz="4" w:space="0"/>
              <w:right w:val="single" w:color="auto" w:sz="4" w:space="0"/>
            </w:tcBorders>
            <w:noWrap w:val="0"/>
            <w:vAlign w:val="center"/>
          </w:tcPr>
          <w:p w14:paraId="1DB5CB3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服务招标</w:t>
            </w:r>
          </w:p>
        </w:tc>
      </w:tr>
      <w:tr w14:paraId="1649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832" w:type="dxa"/>
            <w:tcBorders>
              <w:top w:val="single" w:color="auto" w:sz="4" w:space="0"/>
              <w:left w:val="single" w:color="auto" w:sz="4" w:space="0"/>
              <w:bottom w:val="single" w:color="auto" w:sz="4" w:space="0"/>
              <w:right w:val="single" w:color="auto" w:sz="4" w:space="0"/>
            </w:tcBorders>
            <w:noWrap w:val="0"/>
            <w:vAlign w:val="center"/>
          </w:tcPr>
          <w:p w14:paraId="153F240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100以下</w:t>
            </w:r>
          </w:p>
        </w:tc>
        <w:tc>
          <w:tcPr>
            <w:tcW w:w="4140" w:type="dxa"/>
            <w:tcBorders>
              <w:top w:val="single" w:color="auto" w:sz="4" w:space="0"/>
              <w:left w:val="single" w:color="auto" w:sz="4" w:space="0"/>
              <w:bottom w:val="single" w:color="auto" w:sz="4" w:space="0"/>
              <w:right w:val="single" w:color="auto" w:sz="4" w:space="0"/>
            </w:tcBorders>
            <w:noWrap w:val="0"/>
            <w:vAlign w:val="center"/>
          </w:tcPr>
          <w:p w14:paraId="725D2E1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1.5%</w:t>
            </w:r>
          </w:p>
        </w:tc>
      </w:tr>
    </w:tbl>
    <w:p w14:paraId="43280D25">
      <w:pPr>
        <w:pStyle w:val="25"/>
        <w:keepNext w:val="0"/>
        <w:keepLines w:val="0"/>
        <w:pageBreakBefore w:val="0"/>
        <w:widowControl w:val="0"/>
        <w:kinsoku/>
        <w:wordWrap w:val="0"/>
        <w:overflowPunct/>
        <w:topLinePunct w:val="0"/>
        <w:autoSpaceDE/>
        <w:autoSpaceDN/>
        <w:bidi w:val="0"/>
        <w:adjustRightInd/>
        <w:snapToGrid w:val="0"/>
        <w:spacing w:line="480" w:lineRule="exact"/>
        <w:ind w:left="0" w:firstLine="440" w:firstLineChars="200"/>
        <w:jc w:val="left"/>
        <w:textAlignment w:val="auto"/>
        <w:rPr>
          <w:rFonts w:hint="eastAsia" w:ascii="宋体" w:hAnsi="宋体" w:eastAsia="宋体" w:cs="宋体"/>
          <w:color w:val="auto"/>
          <w:spacing w:val="0"/>
          <w:w w:val="100"/>
          <w:sz w:val="22"/>
          <w:szCs w:val="22"/>
          <w:highlight w:val="none"/>
          <w:shd w:val="clear" w:color="auto" w:fill="auto"/>
          <w:lang w:eastAsia="zh-CN"/>
        </w:rPr>
      </w:pPr>
      <w:r>
        <w:rPr>
          <w:rFonts w:hint="eastAsia" w:ascii="宋体" w:hAnsi="宋体" w:eastAsia="宋体" w:cs="宋体"/>
          <w:color w:val="auto"/>
          <w:spacing w:val="0"/>
          <w:w w:val="100"/>
          <w:sz w:val="22"/>
          <w:szCs w:val="22"/>
          <w:highlight w:val="none"/>
          <w:shd w:val="clear" w:color="auto" w:fill="auto"/>
          <w:lang w:eastAsia="zh-CN"/>
        </w:rPr>
        <w:t>收款账户名称：浙江诚远工程咨询有限公司庆元分公司</w:t>
      </w:r>
    </w:p>
    <w:p w14:paraId="0D63EDFC">
      <w:pPr>
        <w:pStyle w:val="25"/>
        <w:keepNext w:val="0"/>
        <w:keepLines w:val="0"/>
        <w:pageBreakBefore w:val="0"/>
        <w:widowControl w:val="0"/>
        <w:kinsoku/>
        <w:wordWrap w:val="0"/>
        <w:overflowPunct/>
        <w:topLinePunct w:val="0"/>
        <w:autoSpaceDE/>
        <w:autoSpaceDN/>
        <w:bidi w:val="0"/>
        <w:adjustRightInd/>
        <w:snapToGrid w:val="0"/>
        <w:spacing w:line="480" w:lineRule="exact"/>
        <w:ind w:left="0" w:firstLine="440" w:firstLineChars="200"/>
        <w:jc w:val="left"/>
        <w:textAlignment w:val="auto"/>
        <w:rPr>
          <w:rFonts w:hint="eastAsia" w:ascii="宋体" w:hAnsi="宋体" w:eastAsia="宋体" w:cs="宋体"/>
          <w:color w:val="auto"/>
          <w:spacing w:val="0"/>
          <w:w w:val="100"/>
          <w:sz w:val="22"/>
          <w:szCs w:val="22"/>
          <w:highlight w:val="none"/>
          <w:shd w:val="clear" w:color="auto" w:fill="auto"/>
          <w:lang w:eastAsia="zh-CN"/>
        </w:rPr>
      </w:pPr>
      <w:r>
        <w:rPr>
          <w:rFonts w:hint="eastAsia" w:ascii="宋体" w:hAnsi="宋体" w:eastAsia="宋体" w:cs="宋体"/>
          <w:color w:val="auto"/>
          <w:spacing w:val="0"/>
          <w:w w:val="100"/>
          <w:sz w:val="22"/>
          <w:szCs w:val="22"/>
          <w:highlight w:val="none"/>
          <w:shd w:val="clear" w:color="auto" w:fill="auto"/>
          <w:lang w:eastAsia="zh-CN"/>
        </w:rPr>
        <w:t>开户行：</w:t>
      </w:r>
      <w:r>
        <w:rPr>
          <w:rFonts w:hint="eastAsia" w:ascii="宋体" w:hAnsi="宋体" w:eastAsia="宋体" w:cs="宋体"/>
          <w:color w:val="auto"/>
          <w:spacing w:val="0"/>
          <w:w w:val="100"/>
          <w:sz w:val="22"/>
          <w:szCs w:val="22"/>
          <w:highlight w:val="none"/>
          <w:shd w:val="clear" w:color="auto" w:fill="auto"/>
          <w:lang w:val="zh-CN" w:eastAsia="zh-CN"/>
        </w:rPr>
        <w:t>中国建设银行股份有限公司庆元支行</w:t>
      </w:r>
    </w:p>
    <w:p w14:paraId="5E6A54DD">
      <w:pPr>
        <w:pStyle w:val="25"/>
        <w:keepNext w:val="0"/>
        <w:keepLines w:val="0"/>
        <w:pageBreakBefore w:val="0"/>
        <w:widowControl w:val="0"/>
        <w:kinsoku/>
        <w:wordWrap w:val="0"/>
        <w:overflowPunct/>
        <w:topLinePunct w:val="0"/>
        <w:autoSpaceDE/>
        <w:autoSpaceDN/>
        <w:bidi w:val="0"/>
        <w:adjustRightInd/>
        <w:snapToGrid w:val="0"/>
        <w:spacing w:line="480" w:lineRule="exact"/>
        <w:ind w:left="0" w:firstLine="440" w:firstLineChars="200"/>
        <w:jc w:val="left"/>
        <w:textAlignment w:val="auto"/>
        <w:rPr>
          <w:rFonts w:hint="eastAsia" w:ascii="宋体" w:hAnsi="宋体" w:eastAsia="宋体" w:cs="宋体"/>
          <w:color w:val="auto"/>
          <w:spacing w:val="0"/>
          <w:w w:val="100"/>
          <w:sz w:val="22"/>
          <w:szCs w:val="22"/>
          <w:highlight w:val="none"/>
          <w:shd w:val="clear" w:color="auto" w:fill="auto"/>
          <w:lang w:val="en-US" w:eastAsia="zh-CN"/>
        </w:rPr>
      </w:pPr>
      <w:r>
        <w:rPr>
          <w:rFonts w:hint="eastAsia" w:ascii="宋体" w:hAnsi="宋体" w:eastAsia="宋体" w:cs="宋体"/>
          <w:color w:val="auto"/>
          <w:spacing w:val="0"/>
          <w:w w:val="100"/>
          <w:sz w:val="22"/>
          <w:szCs w:val="22"/>
          <w:highlight w:val="none"/>
          <w:shd w:val="clear" w:color="auto" w:fill="auto"/>
          <w:lang w:eastAsia="zh-CN"/>
        </w:rPr>
        <w:t>账</w:t>
      </w:r>
      <w:r>
        <w:rPr>
          <w:rFonts w:hint="eastAsia" w:ascii="宋体" w:hAnsi="宋体" w:eastAsia="宋体" w:cs="宋体"/>
          <w:color w:val="auto"/>
          <w:spacing w:val="0"/>
          <w:w w:val="100"/>
          <w:sz w:val="22"/>
          <w:szCs w:val="22"/>
          <w:highlight w:val="none"/>
          <w:shd w:val="clear" w:color="auto" w:fill="auto"/>
          <w:lang w:val="en-US" w:eastAsia="zh-CN"/>
        </w:rPr>
        <w:t xml:space="preserve">  </w:t>
      </w:r>
      <w:r>
        <w:rPr>
          <w:rFonts w:hint="eastAsia" w:ascii="宋体" w:hAnsi="宋体" w:eastAsia="宋体" w:cs="宋体"/>
          <w:color w:val="auto"/>
          <w:spacing w:val="0"/>
          <w:w w:val="100"/>
          <w:sz w:val="22"/>
          <w:szCs w:val="22"/>
          <w:highlight w:val="none"/>
          <w:shd w:val="clear" w:color="auto" w:fill="auto"/>
          <w:lang w:eastAsia="zh-CN"/>
        </w:rPr>
        <w:t>号：</w:t>
      </w:r>
      <w:r>
        <w:rPr>
          <w:rFonts w:hint="eastAsia" w:ascii="宋体" w:hAnsi="宋体" w:eastAsia="宋体" w:cs="宋体"/>
          <w:color w:val="auto"/>
          <w:spacing w:val="0"/>
          <w:w w:val="100"/>
          <w:sz w:val="22"/>
          <w:szCs w:val="22"/>
          <w:highlight w:val="none"/>
          <w:shd w:val="clear" w:color="auto" w:fill="auto"/>
          <w:lang w:val="en-US" w:eastAsia="zh-CN"/>
        </w:rPr>
        <w:t>33050169733500001411</w:t>
      </w:r>
    </w:p>
    <w:p w14:paraId="59943401">
      <w:pPr>
        <w:keepNext w:val="0"/>
        <w:keepLines w:val="0"/>
        <w:pageBreakBefore w:val="0"/>
        <w:widowControl w:val="0"/>
        <w:kinsoku/>
        <w:overflowPunct/>
        <w:topLinePunct w:val="0"/>
        <w:bidi w:val="0"/>
        <w:rPr>
          <w:rFonts w:hint="eastAsia" w:ascii="宋体" w:hAnsi="宋体" w:eastAsia="宋体" w:cs="宋体"/>
          <w:bCs/>
          <w:color w:val="auto"/>
          <w:spacing w:val="0"/>
          <w:w w:val="100"/>
          <w:szCs w:val="21"/>
          <w:highlight w:val="none"/>
        </w:rPr>
      </w:pPr>
      <w:r>
        <w:rPr>
          <w:rFonts w:hint="eastAsia" w:ascii="宋体" w:hAnsi="宋体" w:eastAsia="宋体" w:cs="宋体"/>
          <w:bCs/>
          <w:color w:val="auto"/>
          <w:spacing w:val="0"/>
          <w:w w:val="100"/>
          <w:szCs w:val="21"/>
          <w:highlight w:val="none"/>
        </w:rPr>
        <w:br w:type="page"/>
      </w:r>
    </w:p>
    <w:p w14:paraId="09BD2C1F">
      <w:pPr>
        <w:pStyle w:val="3"/>
        <w:keepNext w:val="0"/>
        <w:keepLines w:val="0"/>
        <w:pageBreakBefore w:val="0"/>
        <w:widowControl w:val="0"/>
        <w:numPr>
          <w:ilvl w:val="0"/>
          <w:numId w:val="0"/>
        </w:numPr>
        <w:kinsoku/>
        <w:overflowPunct/>
        <w:topLinePunct w:val="0"/>
        <w:bidi w:val="0"/>
        <w:spacing w:line="480" w:lineRule="exact"/>
        <w:jc w:val="center"/>
        <w:rPr>
          <w:rFonts w:hint="eastAsia" w:ascii="宋体" w:hAnsi="宋体" w:eastAsia="宋体" w:cs="宋体"/>
          <w:b/>
          <w:bCs/>
          <w:color w:val="auto"/>
          <w:spacing w:val="0"/>
          <w:w w:val="100"/>
          <w:sz w:val="36"/>
          <w:szCs w:val="36"/>
          <w:highlight w:val="none"/>
        </w:rPr>
      </w:pPr>
      <w:bookmarkStart w:id="162" w:name="_Toc3539"/>
      <w:bookmarkStart w:id="163" w:name="_Toc41566461"/>
      <w:bookmarkStart w:id="164" w:name="_Toc29734948"/>
      <w:bookmarkStart w:id="165" w:name="_Toc13528"/>
      <w:bookmarkStart w:id="166" w:name="_Toc12776"/>
      <w:bookmarkStart w:id="167" w:name="_Toc21207"/>
      <w:bookmarkStart w:id="168" w:name="_Toc390938597"/>
      <w:r>
        <w:rPr>
          <w:rFonts w:hint="eastAsia" w:ascii="宋体" w:hAnsi="宋体" w:eastAsia="宋体" w:cs="宋体"/>
          <w:b/>
          <w:bCs/>
          <w:color w:val="auto"/>
          <w:spacing w:val="0"/>
          <w:w w:val="100"/>
          <w:sz w:val="36"/>
          <w:szCs w:val="36"/>
          <w:highlight w:val="none"/>
          <w:lang w:eastAsia="zh-CN"/>
        </w:rPr>
        <w:t>第三章</w:t>
      </w:r>
      <w:r>
        <w:rPr>
          <w:rFonts w:hint="eastAsia" w:ascii="宋体" w:hAnsi="宋体" w:eastAsia="宋体" w:cs="宋体"/>
          <w:b/>
          <w:bCs/>
          <w:color w:val="auto"/>
          <w:spacing w:val="0"/>
          <w:w w:val="100"/>
          <w:sz w:val="36"/>
          <w:szCs w:val="36"/>
          <w:highlight w:val="none"/>
          <w:lang w:val="en-US" w:eastAsia="zh-CN"/>
        </w:rPr>
        <w:t xml:space="preserve">  </w:t>
      </w:r>
      <w:r>
        <w:rPr>
          <w:rFonts w:hint="eastAsia" w:ascii="宋体" w:hAnsi="宋体" w:eastAsia="宋体" w:cs="宋体"/>
          <w:b/>
          <w:bCs/>
          <w:color w:val="auto"/>
          <w:spacing w:val="0"/>
          <w:w w:val="100"/>
          <w:sz w:val="36"/>
          <w:szCs w:val="36"/>
          <w:highlight w:val="none"/>
        </w:rPr>
        <w:t>采购需求</w:t>
      </w:r>
      <w:bookmarkEnd w:id="162"/>
    </w:p>
    <w:bookmarkEnd w:id="163"/>
    <w:bookmarkEnd w:id="164"/>
    <w:bookmarkEnd w:id="165"/>
    <w:bookmarkEnd w:id="166"/>
    <w:bookmarkEnd w:id="167"/>
    <w:p w14:paraId="6E1B903F">
      <w:pPr>
        <w:keepNext w:val="0"/>
        <w:keepLines w:val="0"/>
        <w:pageBreakBefore w:val="0"/>
        <w:kinsoku/>
        <w:wordWrap/>
        <w:overflowPunct/>
        <w:topLinePunct w:val="0"/>
        <w:autoSpaceDN/>
        <w:bidi w:val="0"/>
        <w:adjustRightInd/>
        <w:snapToGrid w:val="0"/>
        <w:spacing w:line="480" w:lineRule="exact"/>
        <w:ind w:firstLine="442" w:firstLineChars="200"/>
        <w:jc w:val="left"/>
        <w:textAlignment w:val="auto"/>
        <w:rPr>
          <w:rFonts w:hint="eastAsia" w:ascii="宋体" w:hAnsi="宋体" w:eastAsia="宋体" w:cs="宋体"/>
          <w:b/>
          <w:bCs/>
          <w:sz w:val="22"/>
          <w:szCs w:val="22"/>
          <w:highlight w:val="none"/>
        </w:rPr>
      </w:pPr>
      <w:bookmarkStart w:id="169" w:name="OLE_LINK2"/>
      <w:bookmarkStart w:id="170" w:name="_Toc163484479"/>
      <w:bookmarkStart w:id="171" w:name="_Toc6622"/>
      <w:bookmarkStart w:id="172" w:name="_Toc25383"/>
      <w:bookmarkStart w:id="173" w:name="_Toc18179"/>
      <w:bookmarkStart w:id="174" w:name="_Toc488734861"/>
      <w:bookmarkStart w:id="175" w:name="_Toc16627"/>
      <w:bookmarkStart w:id="176" w:name="_Toc6007"/>
      <w:bookmarkStart w:id="177" w:name="_Toc15353"/>
      <w:r>
        <w:rPr>
          <w:rFonts w:hint="eastAsia" w:ascii="宋体" w:hAnsi="宋体" w:eastAsia="宋体" w:cs="宋体"/>
          <w:b/>
          <w:bCs/>
          <w:sz w:val="22"/>
          <w:szCs w:val="22"/>
          <w:highlight w:val="none"/>
        </w:rPr>
        <w:t>一、项目背景</w:t>
      </w:r>
    </w:p>
    <w:bookmarkEnd w:id="169"/>
    <w:p w14:paraId="0DDAF6B0">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根据《关于印发2024年丽水市生态环境监测工作要点的通知》（丽环函</w:t>
      </w:r>
      <w:r>
        <w:rPr>
          <w:rFonts w:hint="eastAsia" w:ascii="宋体" w:hAnsi="宋体" w:eastAsia="宋体" w:cs="宋体"/>
          <w:color w:val="000000"/>
          <w:kern w:val="0"/>
          <w:sz w:val="22"/>
          <w:szCs w:val="22"/>
          <w:highlight w:val="none"/>
          <w:lang w:eastAsia="zh-CN"/>
        </w:rPr>
        <w:t>〔</w:t>
      </w:r>
      <w:r>
        <w:rPr>
          <w:rFonts w:hint="eastAsia" w:ascii="宋体" w:hAnsi="宋体" w:eastAsia="宋体" w:cs="宋体"/>
          <w:color w:val="000000"/>
          <w:kern w:val="0"/>
          <w:sz w:val="22"/>
          <w:szCs w:val="22"/>
          <w:highlight w:val="none"/>
        </w:rPr>
        <w:t>2024</w:t>
      </w:r>
      <w:r>
        <w:rPr>
          <w:rFonts w:hint="eastAsia" w:ascii="宋体" w:hAnsi="宋体" w:eastAsia="宋体" w:cs="宋体"/>
          <w:color w:val="000000"/>
          <w:kern w:val="0"/>
          <w:sz w:val="22"/>
          <w:szCs w:val="22"/>
          <w:highlight w:val="none"/>
          <w:lang w:eastAsia="zh-CN"/>
        </w:rPr>
        <w:t>〕</w:t>
      </w:r>
      <w:r>
        <w:rPr>
          <w:rFonts w:hint="eastAsia" w:ascii="宋体" w:hAnsi="宋体" w:eastAsia="宋体" w:cs="宋体"/>
          <w:color w:val="000000"/>
          <w:kern w:val="0"/>
          <w:sz w:val="22"/>
          <w:szCs w:val="22"/>
          <w:highlight w:val="none"/>
        </w:rPr>
        <w:t>16号）文件以及6月28日全市2024年度生态环境监测工作部署会议等相关要求，我局需完成生态样地监测工作，并上报调查结果。</w:t>
      </w:r>
    </w:p>
    <w:p w14:paraId="39987BD6">
      <w:pPr>
        <w:keepNext w:val="0"/>
        <w:keepLines w:val="0"/>
        <w:pageBreakBefore w:val="0"/>
        <w:kinsoku/>
        <w:wordWrap/>
        <w:overflowPunct/>
        <w:topLinePunct w:val="0"/>
        <w:autoSpaceDN/>
        <w:bidi w:val="0"/>
        <w:adjustRightInd/>
        <w:snapToGrid w:val="0"/>
        <w:spacing w:line="480" w:lineRule="exact"/>
        <w:ind w:firstLine="442" w:firstLineChars="200"/>
        <w:jc w:val="left"/>
        <w:textAlignment w:val="auto"/>
        <w:rPr>
          <w:rFonts w:hint="eastAsia" w:ascii="宋体" w:hAnsi="宋体" w:eastAsia="宋体" w:cs="宋体"/>
          <w:b/>
          <w:bCs/>
          <w:sz w:val="22"/>
          <w:szCs w:val="22"/>
          <w:highlight w:val="none"/>
        </w:rPr>
      </w:pPr>
      <w:bookmarkStart w:id="178" w:name="OLE_LINK13"/>
      <w:r>
        <w:rPr>
          <w:rFonts w:hint="eastAsia" w:ascii="宋体" w:hAnsi="宋体" w:eastAsia="宋体" w:cs="宋体"/>
          <w:b/>
          <w:bCs/>
          <w:sz w:val="22"/>
          <w:szCs w:val="22"/>
          <w:highlight w:val="none"/>
        </w:rPr>
        <w:t>二、项目监测点及监测内容</w:t>
      </w:r>
    </w:p>
    <w:bookmarkEnd w:id="178"/>
    <w:p w14:paraId="3E8C2AAC">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rPr>
        <w:t>1.监测点位数量</w:t>
      </w:r>
    </w:p>
    <w:p w14:paraId="229F1881">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丽水市庆元县生态样地监测点位</w:t>
      </w:r>
      <w:r>
        <w:rPr>
          <w:rFonts w:hint="eastAsia" w:ascii="宋体" w:hAnsi="宋体" w:eastAsia="宋体" w:cs="宋体"/>
          <w:color w:val="000000"/>
          <w:kern w:val="0"/>
          <w:sz w:val="22"/>
          <w:szCs w:val="22"/>
          <w:highlight w:val="none"/>
        </w:rPr>
        <w:t>共</w:t>
      </w:r>
      <w:r>
        <w:rPr>
          <w:rFonts w:hint="eastAsia" w:ascii="宋体" w:hAnsi="宋体" w:eastAsia="宋体" w:cs="宋体"/>
          <w:color w:val="000000"/>
          <w:kern w:val="0"/>
          <w:sz w:val="22"/>
          <w:szCs w:val="22"/>
          <w:highlight w:val="none"/>
          <w:lang w:val="en-US" w:eastAsia="zh-CN"/>
        </w:rPr>
        <w:t>6</w:t>
      </w:r>
      <w:r>
        <w:rPr>
          <w:rFonts w:hint="eastAsia" w:ascii="宋体" w:hAnsi="宋体" w:eastAsia="宋体" w:cs="宋体"/>
          <w:color w:val="000000"/>
          <w:kern w:val="0"/>
          <w:sz w:val="22"/>
          <w:szCs w:val="22"/>
          <w:highlight w:val="none"/>
        </w:rPr>
        <w:t>个。其中2024年、2025年分别需完成</w:t>
      </w: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rPr>
        <w:t>个生态样地和</w:t>
      </w: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rPr>
        <w:t>个生态样地监测工作。实际样地数量可根据上级部门下达当年监测技术方案要求和实际情况调整，在样地数量及工作量不额外增加的情况下，采购人有权调整监测点位类型及监测内容。</w:t>
      </w:r>
    </w:p>
    <w:p w14:paraId="41810AFB">
      <w:pPr>
        <w:widowControl/>
        <w:autoSpaceDE w:val="0"/>
        <w:spacing w:line="324" w:lineRule="auto"/>
        <w:ind w:firstLine="440" w:firstLineChars="200"/>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2024年</w:t>
      </w:r>
      <w:r>
        <w:rPr>
          <w:rFonts w:hint="eastAsia" w:ascii="宋体" w:hAnsi="宋体" w:eastAsia="宋体" w:cs="宋体"/>
          <w:color w:val="000000"/>
          <w:kern w:val="0"/>
          <w:sz w:val="22"/>
          <w:szCs w:val="22"/>
          <w:highlight w:val="none"/>
          <w:lang w:val="en-US" w:eastAsia="zh-CN"/>
        </w:rPr>
        <w:t>庆元</w:t>
      </w:r>
      <w:r>
        <w:rPr>
          <w:rFonts w:hint="eastAsia" w:ascii="宋体" w:hAnsi="宋体" w:eastAsia="宋体" w:cs="宋体"/>
          <w:color w:val="000000"/>
          <w:kern w:val="0"/>
          <w:sz w:val="22"/>
          <w:szCs w:val="22"/>
          <w:highlight w:val="none"/>
        </w:rPr>
        <w:t>县所需完成生态样地监测点位分布</w:t>
      </w:r>
    </w:p>
    <w:tbl>
      <w:tblPr>
        <w:tblStyle w:val="41"/>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260"/>
        <w:gridCol w:w="1129"/>
        <w:gridCol w:w="2698"/>
      </w:tblGrid>
      <w:tr w14:paraId="2C77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A1A70FD">
            <w:pPr>
              <w:jc w:val="center"/>
              <w:rPr>
                <w:rFonts w:hint="eastAsia" w:ascii="宋体" w:hAnsi="宋体" w:eastAsia="宋体" w:cs="宋体"/>
                <w:b/>
                <w:bCs/>
                <w:color w:val="000000"/>
                <w:sz w:val="22"/>
                <w:szCs w:val="22"/>
                <w:highlight w:val="none"/>
              </w:rPr>
            </w:pPr>
            <w:bookmarkStart w:id="179" w:name="OLE_LINK3"/>
            <w:r>
              <w:rPr>
                <w:rFonts w:hint="eastAsia" w:ascii="宋体" w:hAnsi="宋体" w:eastAsia="宋体" w:cs="宋体"/>
                <w:b/>
                <w:bCs/>
                <w:color w:val="000000"/>
                <w:sz w:val="22"/>
                <w:szCs w:val="22"/>
                <w:highlight w:val="none"/>
              </w:rPr>
              <w:t>序号</w:t>
            </w:r>
          </w:p>
        </w:tc>
        <w:tc>
          <w:tcPr>
            <w:tcW w:w="3260" w:type="dxa"/>
            <w:tcBorders>
              <w:top w:val="single" w:color="auto" w:sz="4" w:space="0"/>
              <w:left w:val="single" w:color="auto" w:sz="4" w:space="0"/>
              <w:bottom w:val="single" w:color="auto" w:sz="4" w:space="0"/>
              <w:right w:val="single" w:color="auto" w:sz="4" w:space="0"/>
            </w:tcBorders>
            <w:vAlign w:val="center"/>
          </w:tcPr>
          <w:p w14:paraId="7A898DFA">
            <w:pPr>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监测地点</w:t>
            </w:r>
          </w:p>
        </w:tc>
        <w:tc>
          <w:tcPr>
            <w:tcW w:w="1129" w:type="dxa"/>
            <w:tcBorders>
              <w:top w:val="single" w:color="auto" w:sz="4" w:space="0"/>
              <w:left w:val="single" w:color="auto" w:sz="4" w:space="0"/>
              <w:bottom w:val="single" w:color="auto" w:sz="4" w:space="0"/>
              <w:right w:val="single" w:color="auto" w:sz="4" w:space="0"/>
            </w:tcBorders>
            <w:vAlign w:val="center"/>
          </w:tcPr>
          <w:p w14:paraId="136C088F">
            <w:pPr>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数量（次）</w:t>
            </w:r>
          </w:p>
        </w:tc>
        <w:tc>
          <w:tcPr>
            <w:tcW w:w="2698" w:type="dxa"/>
            <w:tcBorders>
              <w:top w:val="single" w:color="auto" w:sz="4" w:space="0"/>
              <w:left w:val="single" w:color="auto" w:sz="4" w:space="0"/>
              <w:bottom w:val="single" w:color="auto" w:sz="4" w:space="0"/>
              <w:right w:val="single" w:color="auto" w:sz="4" w:space="0"/>
            </w:tcBorders>
            <w:vAlign w:val="center"/>
          </w:tcPr>
          <w:p w14:paraId="123A61CC">
            <w:pPr>
              <w:jc w:val="center"/>
              <w:rPr>
                <w:rFonts w:hint="eastAsia" w:ascii="宋体" w:hAnsi="宋体" w:eastAsia="宋体" w:cs="宋体"/>
                <w:b/>
                <w:bCs/>
                <w:strike/>
                <w:color w:val="000000"/>
                <w:sz w:val="22"/>
                <w:szCs w:val="22"/>
                <w:highlight w:val="none"/>
              </w:rPr>
            </w:pPr>
            <w:r>
              <w:rPr>
                <w:rFonts w:hint="eastAsia" w:ascii="宋体" w:hAnsi="宋体" w:eastAsia="宋体" w:cs="宋体"/>
                <w:b/>
                <w:bCs/>
                <w:color w:val="000000"/>
                <w:sz w:val="22"/>
                <w:szCs w:val="22"/>
                <w:highlight w:val="none"/>
              </w:rPr>
              <w:t>时间要求</w:t>
            </w:r>
          </w:p>
        </w:tc>
      </w:tr>
      <w:tr w14:paraId="5961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312CCEE">
            <w:pPr>
              <w:autoSpaceDE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3260" w:type="dxa"/>
            <w:tcBorders>
              <w:top w:val="single" w:color="auto" w:sz="4" w:space="0"/>
              <w:left w:val="single" w:color="auto" w:sz="4" w:space="0"/>
              <w:bottom w:val="single" w:color="auto" w:sz="4" w:space="0"/>
              <w:right w:val="single" w:color="auto" w:sz="4" w:space="0"/>
            </w:tcBorders>
            <w:vAlign w:val="center"/>
          </w:tcPr>
          <w:p w14:paraId="7EA8B207">
            <w:pPr>
              <w:autoSpaceDE w:val="0"/>
              <w:adjustRightInd w:val="0"/>
              <w:snapToGrid w:val="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（经度119.</w:t>
            </w:r>
            <w:r>
              <w:rPr>
                <w:rFonts w:hint="eastAsia" w:ascii="宋体" w:hAnsi="宋体" w:eastAsia="宋体" w:cs="宋体"/>
                <w:color w:val="000000"/>
                <w:sz w:val="22"/>
                <w:szCs w:val="22"/>
                <w:highlight w:val="none"/>
                <w:lang w:val="en-US" w:eastAsia="zh-CN"/>
              </w:rPr>
              <w:t>1324</w:t>
            </w:r>
            <w:r>
              <w:rPr>
                <w:rFonts w:hint="eastAsia" w:ascii="宋体" w:hAnsi="宋体" w:eastAsia="宋体" w:cs="宋体"/>
                <w:color w:val="000000"/>
                <w:sz w:val="22"/>
                <w:szCs w:val="22"/>
                <w:highlight w:val="none"/>
              </w:rPr>
              <w:t>纬度2</w:t>
            </w:r>
            <w:r>
              <w:rPr>
                <w:rFonts w:hint="eastAsia" w:ascii="宋体" w:hAnsi="宋体" w:eastAsia="宋体" w:cs="宋体"/>
                <w:color w:val="000000"/>
                <w:sz w:val="22"/>
                <w:szCs w:val="22"/>
                <w:highlight w:val="none"/>
                <w:lang w:val="en-US" w:eastAsia="zh-CN"/>
              </w:rPr>
              <w:t>7.4815</w:t>
            </w:r>
            <w:r>
              <w:rPr>
                <w:rFonts w:hint="eastAsia" w:ascii="宋体" w:hAnsi="宋体" w:eastAsia="宋体" w:cs="宋体"/>
                <w:color w:val="000000"/>
                <w:sz w:val="22"/>
                <w:szCs w:val="22"/>
                <w:highlight w:val="none"/>
              </w:rPr>
              <w:t>）</w:t>
            </w:r>
          </w:p>
        </w:tc>
        <w:tc>
          <w:tcPr>
            <w:tcW w:w="1129" w:type="dxa"/>
            <w:tcBorders>
              <w:top w:val="single" w:color="auto" w:sz="4" w:space="0"/>
              <w:left w:val="single" w:color="auto" w:sz="4" w:space="0"/>
              <w:bottom w:val="single" w:color="auto" w:sz="4" w:space="0"/>
              <w:right w:val="single" w:color="auto" w:sz="4" w:space="0"/>
            </w:tcBorders>
            <w:vAlign w:val="center"/>
          </w:tcPr>
          <w:p w14:paraId="03D925F3">
            <w:pPr>
              <w:autoSpaceDE w:val="0"/>
              <w:adjustRightInd w:val="0"/>
              <w:snapToGrid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2698" w:type="dxa"/>
            <w:vMerge w:val="restart"/>
            <w:tcBorders>
              <w:top w:val="nil"/>
              <w:left w:val="single" w:color="auto" w:sz="4" w:space="0"/>
              <w:right w:val="single" w:color="auto" w:sz="4" w:space="0"/>
            </w:tcBorders>
            <w:vAlign w:val="center"/>
          </w:tcPr>
          <w:p w14:paraId="7348B635">
            <w:pPr>
              <w:autoSpaceDE w:val="0"/>
              <w:spacing w:line="324" w:lineRule="auto"/>
              <w:jc w:val="center"/>
              <w:rPr>
                <w:rFonts w:hint="eastAsia" w:ascii="宋体" w:hAnsi="宋体" w:eastAsia="宋体" w:cs="宋体"/>
                <w:strike/>
                <w:color w:val="000000"/>
                <w:sz w:val="22"/>
                <w:szCs w:val="22"/>
                <w:highlight w:val="none"/>
              </w:rPr>
            </w:pPr>
            <w:r>
              <w:rPr>
                <w:rFonts w:hint="eastAsia" w:ascii="宋体" w:hAnsi="宋体" w:eastAsia="宋体" w:cs="宋体"/>
                <w:color w:val="000000"/>
                <w:sz w:val="22"/>
                <w:szCs w:val="22"/>
                <w:highlight w:val="none"/>
              </w:rPr>
              <w:t>2024年1</w:t>
            </w:r>
            <w:r>
              <w:rPr>
                <w:rFonts w:hint="eastAsia" w:ascii="宋体" w:hAnsi="宋体" w:eastAsia="宋体" w:cs="宋体"/>
                <w:color w:val="000000"/>
                <w:sz w:val="22"/>
                <w:szCs w:val="22"/>
                <w:highlight w:val="none"/>
                <w:lang w:val="en-US" w:eastAsia="zh-CN"/>
              </w:rPr>
              <w:t>1</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lang w:val="en-US" w:eastAsia="zh-CN"/>
              </w:rPr>
              <w:t>15</w:t>
            </w:r>
            <w:r>
              <w:rPr>
                <w:rFonts w:hint="eastAsia" w:ascii="宋体" w:hAnsi="宋体" w:eastAsia="宋体" w:cs="宋体"/>
                <w:color w:val="000000"/>
                <w:sz w:val="22"/>
                <w:szCs w:val="22"/>
                <w:highlight w:val="none"/>
              </w:rPr>
              <w:t>日前完成</w:t>
            </w:r>
          </w:p>
        </w:tc>
      </w:tr>
      <w:tr w14:paraId="32CE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3BF01E4">
            <w:pPr>
              <w:autoSpaceDE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3260" w:type="dxa"/>
            <w:tcBorders>
              <w:top w:val="single" w:color="auto" w:sz="4" w:space="0"/>
              <w:left w:val="single" w:color="auto" w:sz="4" w:space="0"/>
              <w:bottom w:val="single" w:color="auto" w:sz="4" w:space="0"/>
              <w:right w:val="single" w:color="auto" w:sz="4" w:space="0"/>
            </w:tcBorders>
            <w:vAlign w:val="center"/>
          </w:tcPr>
          <w:p w14:paraId="10336CB4">
            <w:pPr>
              <w:autoSpaceDE w:val="0"/>
              <w:adjustRightInd w:val="0"/>
              <w:snapToGrid w:val="0"/>
              <w:spacing w:before="100" w:beforeAutospacing="1"/>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（经度11</w:t>
            </w:r>
            <w:r>
              <w:rPr>
                <w:rFonts w:hint="eastAsia" w:ascii="宋体" w:hAnsi="宋体" w:eastAsia="宋体" w:cs="宋体"/>
                <w:color w:val="000000"/>
                <w:sz w:val="22"/>
                <w:szCs w:val="22"/>
                <w:highlight w:val="none"/>
                <w:lang w:val="en-US" w:eastAsia="zh-CN"/>
              </w:rPr>
              <w:t>9.402</w:t>
            </w:r>
            <w:r>
              <w:rPr>
                <w:rFonts w:hint="eastAsia" w:ascii="宋体" w:hAnsi="宋体" w:eastAsia="宋体" w:cs="宋体"/>
                <w:color w:val="000000"/>
                <w:sz w:val="22"/>
                <w:szCs w:val="22"/>
                <w:highlight w:val="none"/>
              </w:rPr>
              <w:t>纬度2</w:t>
            </w:r>
            <w:r>
              <w:rPr>
                <w:rFonts w:hint="eastAsia" w:ascii="宋体" w:hAnsi="宋体" w:eastAsia="宋体" w:cs="宋体"/>
                <w:color w:val="000000"/>
                <w:sz w:val="22"/>
                <w:szCs w:val="22"/>
                <w:highlight w:val="none"/>
                <w:lang w:val="en-US" w:eastAsia="zh-CN"/>
              </w:rPr>
              <w:t>7.6529</w:t>
            </w:r>
            <w:r>
              <w:rPr>
                <w:rFonts w:hint="eastAsia" w:ascii="宋体" w:hAnsi="宋体" w:eastAsia="宋体" w:cs="宋体"/>
                <w:color w:val="000000"/>
                <w:sz w:val="22"/>
                <w:szCs w:val="22"/>
                <w:highlight w:val="none"/>
              </w:rPr>
              <w:t>）</w:t>
            </w:r>
          </w:p>
        </w:tc>
        <w:tc>
          <w:tcPr>
            <w:tcW w:w="1129" w:type="dxa"/>
            <w:tcBorders>
              <w:top w:val="single" w:color="auto" w:sz="4" w:space="0"/>
              <w:left w:val="single" w:color="auto" w:sz="4" w:space="0"/>
              <w:bottom w:val="single" w:color="auto" w:sz="4" w:space="0"/>
              <w:right w:val="single" w:color="auto" w:sz="4" w:space="0"/>
            </w:tcBorders>
            <w:vAlign w:val="center"/>
          </w:tcPr>
          <w:p w14:paraId="0725651F">
            <w:pPr>
              <w:autoSpaceDE w:val="0"/>
              <w:adjustRightInd w:val="0"/>
              <w:snapToGrid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2698" w:type="dxa"/>
            <w:vMerge w:val="continue"/>
            <w:tcBorders>
              <w:left w:val="single" w:color="auto" w:sz="4" w:space="0"/>
              <w:right w:val="single" w:color="auto" w:sz="4" w:space="0"/>
            </w:tcBorders>
            <w:vAlign w:val="center"/>
          </w:tcPr>
          <w:p w14:paraId="3F519CEC">
            <w:pPr>
              <w:widowControl/>
              <w:jc w:val="left"/>
              <w:rPr>
                <w:rFonts w:hint="eastAsia" w:ascii="宋体" w:hAnsi="宋体" w:eastAsia="宋体" w:cs="宋体"/>
                <w:strike/>
                <w:color w:val="000000"/>
                <w:sz w:val="22"/>
                <w:szCs w:val="22"/>
                <w:highlight w:val="none"/>
              </w:rPr>
            </w:pPr>
          </w:p>
        </w:tc>
      </w:tr>
      <w:tr w14:paraId="22BC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7073F3E">
            <w:pPr>
              <w:autoSpaceDE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3260" w:type="dxa"/>
            <w:tcBorders>
              <w:top w:val="single" w:color="auto" w:sz="4" w:space="0"/>
              <w:left w:val="single" w:color="auto" w:sz="4" w:space="0"/>
              <w:bottom w:val="single" w:color="auto" w:sz="4" w:space="0"/>
              <w:right w:val="single" w:color="auto" w:sz="4" w:space="0"/>
            </w:tcBorders>
            <w:vAlign w:val="center"/>
          </w:tcPr>
          <w:p w14:paraId="61D4C412">
            <w:pPr>
              <w:autoSpaceDE w:val="0"/>
              <w:adjustRightInd w:val="0"/>
              <w:snapToGrid w:val="0"/>
              <w:spacing w:before="100" w:beforeAutospacing="1"/>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（经度11</w:t>
            </w:r>
            <w:r>
              <w:rPr>
                <w:rFonts w:hint="eastAsia" w:ascii="宋体" w:hAnsi="宋体" w:eastAsia="宋体" w:cs="宋体"/>
                <w:color w:val="000000"/>
                <w:sz w:val="22"/>
                <w:szCs w:val="22"/>
                <w:highlight w:val="none"/>
                <w:lang w:val="en-US" w:eastAsia="zh-CN"/>
              </w:rPr>
              <w:t>9.2456</w:t>
            </w:r>
            <w:r>
              <w:rPr>
                <w:rFonts w:hint="eastAsia" w:ascii="宋体" w:hAnsi="宋体" w:eastAsia="宋体" w:cs="宋体"/>
                <w:color w:val="000000"/>
                <w:sz w:val="22"/>
                <w:szCs w:val="22"/>
                <w:highlight w:val="none"/>
              </w:rPr>
              <w:t>纬度2</w:t>
            </w:r>
            <w:r>
              <w:rPr>
                <w:rFonts w:hint="eastAsia" w:ascii="宋体" w:hAnsi="宋体" w:eastAsia="宋体" w:cs="宋体"/>
                <w:color w:val="000000"/>
                <w:sz w:val="22"/>
                <w:szCs w:val="22"/>
                <w:highlight w:val="none"/>
                <w:lang w:val="en-US" w:eastAsia="zh-CN"/>
              </w:rPr>
              <w:t>7.5875</w:t>
            </w:r>
            <w:r>
              <w:rPr>
                <w:rFonts w:hint="eastAsia" w:ascii="宋体" w:hAnsi="宋体" w:eastAsia="宋体" w:cs="宋体"/>
                <w:color w:val="000000"/>
                <w:sz w:val="22"/>
                <w:szCs w:val="22"/>
                <w:highlight w:val="none"/>
              </w:rPr>
              <w:t>）</w:t>
            </w:r>
          </w:p>
        </w:tc>
        <w:tc>
          <w:tcPr>
            <w:tcW w:w="1129" w:type="dxa"/>
            <w:tcBorders>
              <w:top w:val="single" w:color="auto" w:sz="4" w:space="0"/>
              <w:left w:val="single" w:color="auto" w:sz="4" w:space="0"/>
              <w:bottom w:val="single" w:color="auto" w:sz="4" w:space="0"/>
              <w:right w:val="single" w:color="auto" w:sz="4" w:space="0"/>
            </w:tcBorders>
            <w:vAlign w:val="center"/>
          </w:tcPr>
          <w:p w14:paraId="5F513C4A">
            <w:pPr>
              <w:autoSpaceDE w:val="0"/>
              <w:adjustRightInd w:val="0"/>
              <w:snapToGrid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2698" w:type="dxa"/>
            <w:vMerge w:val="continue"/>
            <w:tcBorders>
              <w:left w:val="single" w:color="auto" w:sz="4" w:space="0"/>
              <w:right w:val="single" w:color="auto" w:sz="4" w:space="0"/>
            </w:tcBorders>
            <w:vAlign w:val="center"/>
          </w:tcPr>
          <w:p w14:paraId="3505D1BD">
            <w:pPr>
              <w:widowControl/>
              <w:jc w:val="left"/>
              <w:rPr>
                <w:rFonts w:hint="eastAsia" w:ascii="宋体" w:hAnsi="宋体" w:eastAsia="宋体" w:cs="宋体"/>
                <w:strike/>
                <w:color w:val="000000"/>
                <w:sz w:val="22"/>
                <w:szCs w:val="22"/>
                <w:highlight w:val="none"/>
              </w:rPr>
            </w:pPr>
          </w:p>
        </w:tc>
      </w:tr>
      <w:bookmarkEnd w:id="179"/>
    </w:tbl>
    <w:p w14:paraId="7C86965C">
      <w:pPr>
        <w:widowControl/>
        <w:autoSpaceDE w:val="0"/>
        <w:spacing w:line="324" w:lineRule="auto"/>
        <w:ind w:firstLine="440" w:firstLineChars="200"/>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2025年</w:t>
      </w:r>
      <w:r>
        <w:rPr>
          <w:rFonts w:hint="eastAsia" w:ascii="宋体" w:hAnsi="宋体" w:eastAsia="宋体" w:cs="宋体"/>
          <w:color w:val="000000"/>
          <w:kern w:val="0"/>
          <w:sz w:val="22"/>
          <w:szCs w:val="22"/>
          <w:highlight w:val="none"/>
          <w:lang w:val="en-US" w:eastAsia="zh-CN"/>
        </w:rPr>
        <w:t>庆元</w:t>
      </w:r>
      <w:r>
        <w:rPr>
          <w:rFonts w:hint="eastAsia" w:ascii="宋体" w:hAnsi="宋体" w:eastAsia="宋体" w:cs="宋体"/>
          <w:color w:val="000000"/>
          <w:kern w:val="0"/>
          <w:sz w:val="22"/>
          <w:szCs w:val="22"/>
          <w:highlight w:val="none"/>
        </w:rPr>
        <w:t>县所需完成生态样地监测点位分布</w:t>
      </w:r>
    </w:p>
    <w:tbl>
      <w:tblPr>
        <w:tblStyle w:val="41"/>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992"/>
        <w:gridCol w:w="2693"/>
      </w:tblGrid>
      <w:tr w14:paraId="398D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479539D">
            <w:pPr>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序号</w:t>
            </w:r>
          </w:p>
        </w:tc>
        <w:tc>
          <w:tcPr>
            <w:tcW w:w="3260" w:type="dxa"/>
            <w:tcBorders>
              <w:top w:val="single" w:color="auto" w:sz="4" w:space="0"/>
              <w:left w:val="single" w:color="auto" w:sz="4" w:space="0"/>
              <w:bottom w:val="single" w:color="auto" w:sz="4" w:space="0"/>
              <w:right w:val="single" w:color="auto" w:sz="4" w:space="0"/>
            </w:tcBorders>
            <w:vAlign w:val="center"/>
          </w:tcPr>
          <w:p w14:paraId="48B6646E">
            <w:pPr>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监测地点</w:t>
            </w:r>
          </w:p>
        </w:tc>
        <w:tc>
          <w:tcPr>
            <w:tcW w:w="992" w:type="dxa"/>
            <w:tcBorders>
              <w:top w:val="single" w:color="auto" w:sz="4" w:space="0"/>
              <w:left w:val="single" w:color="auto" w:sz="4" w:space="0"/>
              <w:bottom w:val="single" w:color="auto" w:sz="4" w:space="0"/>
              <w:right w:val="single" w:color="auto" w:sz="4" w:space="0"/>
            </w:tcBorders>
            <w:vAlign w:val="center"/>
          </w:tcPr>
          <w:p w14:paraId="21EE0E60">
            <w:pPr>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数量（次）</w:t>
            </w:r>
          </w:p>
        </w:tc>
        <w:tc>
          <w:tcPr>
            <w:tcW w:w="2693" w:type="dxa"/>
            <w:tcBorders>
              <w:top w:val="single" w:color="auto" w:sz="4" w:space="0"/>
              <w:left w:val="single" w:color="auto" w:sz="4" w:space="0"/>
              <w:bottom w:val="single" w:color="auto" w:sz="4" w:space="0"/>
              <w:right w:val="single" w:color="auto" w:sz="4" w:space="0"/>
            </w:tcBorders>
            <w:vAlign w:val="center"/>
          </w:tcPr>
          <w:p w14:paraId="0612ADF1">
            <w:pPr>
              <w:jc w:val="center"/>
              <w:rPr>
                <w:rFonts w:hint="eastAsia" w:ascii="宋体" w:hAnsi="宋体" w:eastAsia="宋体" w:cs="宋体"/>
                <w:b/>
                <w:bCs/>
                <w:strike/>
                <w:color w:val="000000"/>
                <w:sz w:val="22"/>
                <w:szCs w:val="22"/>
                <w:highlight w:val="none"/>
              </w:rPr>
            </w:pPr>
            <w:r>
              <w:rPr>
                <w:rFonts w:hint="eastAsia" w:ascii="宋体" w:hAnsi="宋体" w:eastAsia="宋体" w:cs="宋体"/>
                <w:b/>
                <w:bCs/>
                <w:color w:val="000000"/>
                <w:sz w:val="22"/>
                <w:szCs w:val="22"/>
                <w:highlight w:val="none"/>
              </w:rPr>
              <w:t>时间要求</w:t>
            </w:r>
          </w:p>
        </w:tc>
      </w:tr>
      <w:tr w14:paraId="5D72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2F9A816">
            <w:pPr>
              <w:autoSpaceDE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3260" w:type="dxa"/>
            <w:tcBorders>
              <w:top w:val="single" w:color="auto" w:sz="4" w:space="0"/>
              <w:left w:val="single" w:color="auto" w:sz="4" w:space="0"/>
              <w:bottom w:val="single" w:color="auto" w:sz="4" w:space="0"/>
              <w:right w:val="single" w:color="auto" w:sz="4" w:space="0"/>
            </w:tcBorders>
            <w:vAlign w:val="center"/>
          </w:tcPr>
          <w:p w14:paraId="586BCCAC">
            <w:pPr>
              <w:autoSpaceDE w:val="0"/>
              <w:adjustRightInd w:val="0"/>
              <w:snapToGrid w:val="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（经度119.</w:t>
            </w:r>
            <w:r>
              <w:rPr>
                <w:rFonts w:hint="eastAsia" w:ascii="宋体" w:hAnsi="宋体" w:eastAsia="宋体" w:cs="宋体"/>
                <w:color w:val="000000"/>
                <w:sz w:val="22"/>
                <w:szCs w:val="22"/>
                <w:highlight w:val="none"/>
                <w:lang w:val="en-US" w:eastAsia="zh-CN"/>
              </w:rPr>
              <w:t>0513</w:t>
            </w:r>
            <w:r>
              <w:rPr>
                <w:rFonts w:hint="eastAsia" w:ascii="宋体" w:hAnsi="宋体" w:eastAsia="宋体" w:cs="宋体"/>
                <w:color w:val="000000"/>
                <w:sz w:val="22"/>
                <w:szCs w:val="22"/>
                <w:highlight w:val="none"/>
              </w:rPr>
              <w:t>纬度2</w:t>
            </w:r>
            <w:r>
              <w:rPr>
                <w:rFonts w:hint="eastAsia" w:ascii="宋体" w:hAnsi="宋体" w:eastAsia="宋体" w:cs="宋体"/>
                <w:color w:val="000000"/>
                <w:sz w:val="22"/>
                <w:szCs w:val="22"/>
                <w:highlight w:val="none"/>
                <w:lang w:val="en-US" w:eastAsia="zh-CN"/>
              </w:rPr>
              <w:t>7.6142</w:t>
            </w:r>
            <w:r>
              <w:rPr>
                <w:rFonts w:hint="eastAsia" w:ascii="宋体" w:hAnsi="宋体" w:eastAsia="宋体" w:cs="宋体"/>
                <w:color w:val="000000"/>
                <w:sz w:val="22"/>
                <w:szCs w:val="22"/>
                <w:highlight w:val="none"/>
              </w:rPr>
              <w:t>）</w:t>
            </w:r>
          </w:p>
        </w:tc>
        <w:tc>
          <w:tcPr>
            <w:tcW w:w="992" w:type="dxa"/>
            <w:tcBorders>
              <w:top w:val="single" w:color="auto" w:sz="4" w:space="0"/>
              <w:left w:val="single" w:color="auto" w:sz="4" w:space="0"/>
              <w:bottom w:val="single" w:color="auto" w:sz="4" w:space="0"/>
              <w:right w:val="single" w:color="auto" w:sz="4" w:space="0"/>
            </w:tcBorders>
            <w:vAlign w:val="center"/>
          </w:tcPr>
          <w:p w14:paraId="6A0DBC39">
            <w:pPr>
              <w:autoSpaceDE w:val="0"/>
              <w:adjustRightInd w:val="0"/>
              <w:snapToGrid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2693" w:type="dxa"/>
            <w:vMerge w:val="restart"/>
            <w:tcBorders>
              <w:top w:val="nil"/>
              <w:left w:val="single" w:color="auto" w:sz="4" w:space="0"/>
              <w:right w:val="single" w:color="auto" w:sz="4" w:space="0"/>
            </w:tcBorders>
            <w:vAlign w:val="center"/>
          </w:tcPr>
          <w:p w14:paraId="21F1559F">
            <w:pPr>
              <w:autoSpaceDE w:val="0"/>
              <w:spacing w:line="324" w:lineRule="auto"/>
              <w:jc w:val="center"/>
              <w:rPr>
                <w:rFonts w:hint="eastAsia" w:ascii="宋体" w:hAnsi="宋体" w:eastAsia="宋体" w:cs="宋体"/>
                <w:strike/>
                <w:color w:val="000000"/>
                <w:sz w:val="22"/>
                <w:szCs w:val="22"/>
                <w:highlight w:val="none"/>
              </w:rPr>
            </w:pPr>
            <w:r>
              <w:rPr>
                <w:rFonts w:hint="eastAsia" w:ascii="宋体" w:hAnsi="宋体" w:eastAsia="宋体" w:cs="宋体"/>
                <w:color w:val="000000"/>
                <w:sz w:val="22"/>
                <w:szCs w:val="22"/>
                <w:highlight w:val="none"/>
              </w:rPr>
              <w:t>2025年10月</w:t>
            </w:r>
            <w:r>
              <w:rPr>
                <w:rFonts w:hint="eastAsia" w:ascii="宋体" w:hAnsi="宋体" w:eastAsia="宋体" w:cs="宋体"/>
                <w:color w:val="000000"/>
                <w:sz w:val="22"/>
                <w:szCs w:val="22"/>
                <w:highlight w:val="none"/>
                <w:lang w:val="en-US" w:eastAsia="zh-CN"/>
              </w:rPr>
              <w:t>31</w:t>
            </w:r>
            <w:r>
              <w:rPr>
                <w:rFonts w:hint="eastAsia" w:ascii="宋体" w:hAnsi="宋体" w:eastAsia="宋体" w:cs="宋体"/>
                <w:color w:val="000000"/>
                <w:sz w:val="22"/>
                <w:szCs w:val="22"/>
                <w:highlight w:val="none"/>
              </w:rPr>
              <w:t>日前完成</w:t>
            </w:r>
          </w:p>
        </w:tc>
      </w:tr>
      <w:tr w14:paraId="1E24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4131840">
            <w:pPr>
              <w:autoSpaceDE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3260" w:type="dxa"/>
            <w:tcBorders>
              <w:top w:val="single" w:color="auto" w:sz="4" w:space="0"/>
              <w:left w:val="single" w:color="auto" w:sz="4" w:space="0"/>
              <w:bottom w:val="single" w:color="auto" w:sz="4" w:space="0"/>
              <w:right w:val="single" w:color="auto" w:sz="4" w:space="0"/>
            </w:tcBorders>
            <w:vAlign w:val="center"/>
          </w:tcPr>
          <w:p w14:paraId="3D9CD55E">
            <w:pPr>
              <w:autoSpaceDE w:val="0"/>
              <w:adjustRightInd w:val="0"/>
              <w:snapToGrid w:val="0"/>
              <w:spacing w:before="100" w:beforeAutospacing="1"/>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（经度119.1576纬度27.464）</w:t>
            </w:r>
          </w:p>
        </w:tc>
        <w:tc>
          <w:tcPr>
            <w:tcW w:w="992" w:type="dxa"/>
            <w:tcBorders>
              <w:top w:val="single" w:color="auto" w:sz="4" w:space="0"/>
              <w:left w:val="single" w:color="auto" w:sz="4" w:space="0"/>
              <w:bottom w:val="single" w:color="auto" w:sz="4" w:space="0"/>
              <w:right w:val="single" w:color="auto" w:sz="4" w:space="0"/>
            </w:tcBorders>
            <w:vAlign w:val="center"/>
          </w:tcPr>
          <w:p w14:paraId="720EFBD2">
            <w:pPr>
              <w:autoSpaceDE w:val="0"/>
              <w:adjustRightInd w:val="0"/>
              <w:snapToGrid w:val="0"/>
              <w:spacing w:line="260" w:lineRule="exact"/>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2693" w:type="dxa"/>
            <w:vMerge w:val="continue"/>
            <w:tcBorders>
              <w:left w:val="single" w:color="auto" w:sz="4" w:space="0"/>
              <w:right w:val="single" w:color="auto" w:sz="4" w:space="0"/>
            </w:tcBorders>
            <w:vAlign w:val="center"/>
          </w:tcPr>
          <w:p w14:paraId="5184EF43">
            <w:pPr>
              <w:widowControl/>
              <w:jc w:val="left"/>
              <w:rPr>
                <w:rFonts w:hint="eastAsia" w:ascii="宋体" w:hAnsi="宋体" w:eastAsia="宋体" w:cs="宋体"/>
                <w:strike/>
                <w:color w:val="000000"/>
                <w:sz w:val="22"/>
                <w:szCs w:val="22"/>
                <w:highlight w:val="none"/>
              </w:rPr>
            </w:pPr>
          </w:p>
        </w:tc>
      </w:tr>
      <w:tr w14:paraId="2109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38036C7">
            <w:pPr>
              <w:autoSpaceDE w:val="0"/>
              <w:spacing w:line="260" w:lineRule="exact"/>
              <w:jc w:val="center"/>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3</w:t>
            </w:r>
          </w:p>
        </w:tc>
        <w:tc>
          <w:tcPr>
            <w:tcW w:w="3260" w:type="dxa"/>
            <w:tcBorders>
              <w:top w:val="single" w:color="auto" w:sz="4" w:space="0"/>
              <w:left w:val="single" w:color="auto" w:sz="4" w:space="0"/>
              <w:bottom w:val="single" w:color="auto" w:sz="4" w:space="0"/>
              <w:right w:val="single" w:color="auto" w:sz="4" w:space="0"/>
            </w:tcBorders>
            <w:vAlign w:val="center"/>
          </w:tcPr>
          <w:p w14:paraId="1C26B7F3">
            <w:pPr>
              <w:autoSpaceDE w:val="0"/>
              <w:adjustRightInd w:val="0"/>
              <w:snapToGrid w:val="0"/>
              <w:spacing w:before="100" w:beforeAutospacing="1"/>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rPr>
              <w:t>（经度119.1433纬度27.725</w:t>
            </w:r>
            <w:r>
              <w:rPr>
                <w:rFonts w:hint="eastAsia" w:ascii="宋体" w:hAnsi="宋体" w:eastAsia="宋体" w:cs="宋体"/>
                <w:color w:val="000000"/>
                <w:sz w:val="22"/>
                <w:szCs w:val="22"/>
                <w:highlight w:val="none"/>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14:paraId="271F2881">
            <w:pPr>
              <w:autoSpaceDE w:val="0"/>
              <w:adjustRightInd w:val="0"/>
              <w:snapToGrid w:val="0"/>
              <w:spacing w:line="260" w:lineRule="exact"/>
              <w:jc w:val="center"/>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1</w:t>
            </w:r>
          </w:p>
        </w:tc>
        <w:tc>
          <w:tcPr>
            <w:tcW w:w="2693" w:type="dxa"/>
            <w:vMerge w:val="continue"/>
            <w:tcBorders>
              <w:left w:val="single" w:color="auto" w:sz="4" w:space="0"/>
              <w:right w:val="single" w:color="auto" w:sz="4" w:space="0"/>
            </w:tcBorders>
            <w:vAlign w:val="center"/>
          </w:tcPr>
          <w:p w14:paraId="32D122CC">
            <w:pPr>
              <w:widowControl/>
              <w:jc w:val="left"/>
              <w:rPr>
                <w:rFonts w:hint="eastAsia" w:ascii="宋体" w:hAnsi="宋体" w:eastAsia="宋体" w:cs="宋体"/>
                <w:strike/>
                <w:color w:val="000000"/>
                <w:sz w:val="22"/>
                <w:szCs w:val="22"/>
                <w:highlight w:val="none"/>
              </w:rPr>
            </w:pPr>
          </w:p>
        </w:tc>
      </w:tr>
    </w:tbl>
    <w:p w14:paraId="4AB4A54B">
      <w:pPr>
        <w:keepNext w:val="0"/>
        <w:keepLines w:val="0"/>
        <w:pageBreakBefore w:val="0"/>
        <w:kinsoku/>
        <w:wordWrap/>
        <w:overflowPunct/>
        <w:topLinePunct w:val="0"/>
        <w:autoSpaceDN/>
        <w:bidi w:val="0"/>
        <w:adjustRightInd/>
        <w:snapToGrid w:val="0"/>
        <w:spacing w:line="480" w:lineRule="exact"/>
        <w:ind w:firstLine="442" w:firstLineChars="200"/>
        <w:textAlignment w:val="auto"/>
        <w:rPr>
          <w:rFonts w:hint="eastAsia" w:ascii="宋体" w:hAnsi="宋体" w:eastAsia="宋体" w:cs="宋体"/>
          <w:sz w:val="22"/>
          <w:szCs w:val="22"/>
          <w:highlight w:val="none"/>
        </w:rPr>
      </w:pPr>
      <w:bookmarkStart w:id="180" w:name="OLE_LINK11"/>
      <w:r>
        <w:rPr>
          <w:rFonts w:hint="eastAsia" w:ascii="宋体" w:hAnsi="宋体" w:eastAsia="宋体" w:cs="宋体"/>
          <w:b/>
          <w:bCs/>
          <w:color w:val="000000"/>
          <w:kern w:val="0"/>
          <w:sz w:val="22"/>
          <w:szCs w:val="22"/>
          <w:highlight w:val="none"/>
        </w:rPr>
        <w:t>2.样地内样方/样线布设</w:t>
      </w:r>
    </w:p>
    <w:bookmarkEnd w:id="180"/>
    <w:p w14:paraId="094CB653">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（1）森林类型：一个样地内三个20m</w:t>
      </w:r>
      <w:r>
        <w:rPr>
          <w:rFonts w:hint="eastAsia" w:ascii="宋体" w:hAnsi="宋体" w:eastAsia="宋体" w:cs="宋体"/>
          <w:color w:val="000000"/>
          <w:kern w:val="0"/>
          <w:sz w:val="22"/>
          <w:szCs w:val="22"/>
          <w:highlight w:val="none"/>
          <w:lang w:val="en-US" w:eastAsia="zh-CN"/>
        </w:rPr>
        <w:t>×</w:t>
      </w:r>
      <w:r>
        <w:rPr>
          <w:rFonts w:hint="eastAsia" w:ascii="宋体" w:hAnsi="宋体" w:eastAsia="宋体" w:cs="宋体"/>
          <w:color w:val="000000"/>
          <w:kern w:val="0"/>
          <w:sz w:val="22"/>
          <w:szCs w:val="22"/>
          <w:highlight w:val="none"/>
        </w:rPr>
        <w:t>20m的乔木样方，每个乔木样方内分别嵌套一个5m</w:t>
      </w:r>
      <w:r>
        <w:rPr>
          <w:rFonts w:hint="eastAsia" w:ascii="宋体" w:hAnsi="宋体" w:eastAsia="宋体" w:cs="宋体"/>
          <w:color w:val="000000"/>
          <w:kern w:val="0"/>
          <w:sz w:val="22"/>
          <w:szCs w:val="22"/>
          <w:highlight w:val="none"/>
          <w:lang w:val="en-US" w:eastAsia="zh-CN"/>
        </w:rPr>
        <w:t>×</w:t>
      </w:r>
      <w:r>
        <w:rPr>
          <w:rFonts w:hint="eastAsia" w:ascii="宋体" w:hAnsi="宋体" w:eastAsia="宋体" w:cs="宋体"/>
          <w:color w:val="000000"/>
          <w:kern w:val="0"/>
          <w:sz w:val="22"/>
          <w:szCs w:val="22"/>
          <w:highlight w:val="none"/>
        </w:rPr>
        <w:t>5m的灌木样方，每个灌木样方内嵌套一个1m</w:t>
      </w:r>
      <w:r>
        <w:rPr>
          <w:rFonts w:hint="eastAsia" w:ascii="宋体" w:hAnsi="宋体" w:eastAsia="宋体" w:cs="宋体"/>
          <w:color w:val="000000"/>
          <w:kern w:val="0"/>
          <w:sz w:val="22"/>
          <w:szCs w:val="22"/>
          <w:highlight w:val="none"/>
          <w:lang w:val="en-US" w:eastAsia="zh-CN"/>
        </w:rPr>
        <w:t>×</w:t>
      </w:r>
      <w:r>
        <w:rPr>
          <w:rFonts w:hint="eastAsia" w:ascii="宋体" w:hAnsi="宋体" w:eastAsia="宋体" w:cs="宋体"/>
          <w:color w:val="000000"/>
          <w:kern w:val="0"/>
          <w:sz w:val="22"/>
          <w:szCs w:val="22"/>
          <w:highlight w:val="none"/>
        </w:rPr>
        <w:t>1m草本样方。样方的建设严格按照《生态质量样地监测技术规程》中的《森林生态质量样地监测技术规</w:t>
      </w:r>
      <w:bookmarkStart w:id="181" w:name="OLE_LINK10"/>
      <w:r>
        <w:rPr>
          <w:rFonts w:hint="eastAsia" w:ascii="宋体" w:hAnsi="宋体" w:eastAsia="宋体" w:cs="宋体"/>
          <w:color w:val="000000"/>
          <w:kern w:val="0"/>
          <w:sz w:val="22"/>
          <w:szCs w:val="22"/>
          <w:highlight w:val="none"/>
        </w:rPr>
        <w:t>程》标准要求。</w:t>
      </w:r>
      <w:bookmarkEnd w:id="181"/>
      <w:r>
        <w:rPr>
          <w:rFonts w:hint="eastAsia" w:ascii="宋体" w:hAnsi="宋体" w:eastAsia="宋体" w:cs="宋体"/>
          <w:color w:val="000000"/>
          <w:kern w:val="0"/>
          <w:sz w:val="22"/>
          <w:szCs w:val="22"/>
          <w:highlight w:val="none"/>
        </w:rPr>
        <w:t>哺乳类红外相机布设监测参考《森林生态质量样地监测技术规程》标准要求。</w:t>
      </w:r>
    </w:p>
    <w:p w14:paraId="58317FBA">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w:t>
      </w:r>
      <w:r>
        <w:rPr>
          <w:rFonts w:hint="eastAsia" w:ascii="宋体" w:hAnsi="宋体" w:eastAsia="宋体" w:cs="宋体"/>
          <w:color w:val="000000"/>
          <w:kern w:val="0"/>
          <w:sz w:val="22"/>
          <w:szCs w:val="22"/>
          <w:highlight w:val="none"/>
          <w:lang w:val="en-US" w:eastAsia="zh-CN"/>
        </w:rPr>
        <w:t>2</w:t>
      </w:r>
      <w:r>
        <w:rPr>
          <w:rFonts w:hint="eastAsia" w:ascii="宋体" w:hAnsi="宋体" w:eastAsia="宋体" w:cs="宋体"/>
          <w:color w:val="000000"/>
          <w:kern w:val="0"/>
          <w:sz w:val="22"/>
          <w:szCs w:val="22"/>
          <w:highlight w:val="none"/>
        </w:rPr>
        <w:t>）城乡类型：鸟类、蝶类、两栖类的样线布设和</w:t>
      </w:r>
      <w:bookmarkStart w:id="182" w:name="OLE_LINK16"/>
      <w:r>
        <w:rPr>
          <w:rFonts w:hint="eastAsia" w:ascii="宋体" w:hAnsi="宋体" w:eastAsia="宋体" w:cs="宋体"/>
          <w:color w:val="000000"/>
          <w:kern w:val="0"/>
          <w:sz w:val="22"/>
          <w:szCs w:val="22"/>
          <w:highlight w:val="none"/>
        </w:rPr>
        <w:t>哺乳类红外相机布设监测参考《森林生态质量样地监测技术规程》标准要求。</w:t>
      </w:r>
      <w:bookmarkEnd w:id="182"/>
    </w:p>
    <w:p w14:paraId="469FB87C">
      <w:pPr>
        <w:keepNext w:val="0"/>
        <w:keepLines w:val="0"/>
        <w:pageBreakBefore w:val="0"/>
        <w:kinsoku/>
        <w:wordWrap/>
        <w:overflowPunct/>
        <w:topLinePunct w:val="0"/>
        <w:autoSpaceDN/>
        <w:bidi w:val="0"/>
        <w:adjustRightInd/>
        <w:snapToGrid w:val="0"/>
        <w:spacing w:line="480" w:lineRule="exact"/>
        <w:ind w:firstLine="442" w:firstLineChars="200"/>
        <w:textAlignment w:val="auto"/>
        <w:rPr>
          <w:rFonts w:hint="eastAsia" w:ascii="宋体" w:hAnsi="宋体" w:eastAsia="宋体" w:cs="宋体"/>
          <w:sz w:val="22"/>
          <w:szCs w:val="22"/>
          <w:highlight w:val="none"/>
        </w:rPr>
      </w:pPr>
      <w:bookmarkStart w:id="183" w:name="OLE_LINK12"/>
      <w:r>
        <w:rPr>
          <w:rFonts w:hint="eastAsia" w:ascii="宋体" w:hAnsi="宋体" w:eastAsia="宋体" w:cs="宋体"/>
          <w:b/>
          <w:bCs/>
          <w:color w:val="000000"/>
          <w:kern w:val="0"/>
          <w:sz w:val="22"/>
          <w:szCs w:val="22"/>
          <w:highlight w:val="none"/>
        </w:rPr>
        <w:t>3.监测内容</w:t>
      </w:r>
    </w:p>
    <w:bookmarkEnd w:id="183"/>
    <w:p w14:paraId="05499D00">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（1）监测范围类型</w:t>
      </w:r>
      <w:r>
        <w:rPr>
          <w:rFonts w:hint="eastAsia" w:ascii="宋体" w:hAnsi="宋体" w:eastAsia="宋体" w:cs="宋体"/>
          <w:color w:val="000000"/>
          <w:kern w:val="0"/>
          <w:sz w:val="22"/>
          <w:szCs w:val="22"/>
          <w:highlight w:val="none"/>
          <w:lang w:eastAsia="zh-CN"/>
        </w:rPr>
        <w:t>涉及</w:t>
      </w:r>
      <w:r>
        <w:rPr>
          <w:rFonts w:hint="eastAsia" w:ascii="宋体" w:hAnsi="宋体" w:eastAsia="宋体" w:cs="宋体"/>
          <w:color w:val="000000"/>
          <w:kern w:val="0"/>
          <w:sz w:val="22"/>
          <w:szCs w:val="22"/>
          <w:highlight w:val="none"/>
        </w:rPr>
        <w:t>植物、鸟类、蝶类</w:t>
      </w:r>
      <w:r>
        <w:rPr>
          <w:rFonts w:hint="eastAsia" w:ascii="宋体" w:hAnsi="宋体" w:eastAsia="宋体" w:cs="宋体"/>
          <w:color w:val="000000"/>
          <w:kern w:val="0"/>
          <w:sz w:val="22"/>
          <w:szCs w:val="22"/>
          <w:highlight w:val="none"/>
          <w:lang w:val="en-US" w:eastAsia="zh-CN"/>
        </w:rPr>
        <w:t>、</w:t>
      </w:r>
      <w:r>
        <w:rPr>
          <w:rFonts w:hint="eastAsia" w:ascii="宋体" w:hAnsi="宋体" w:eastAsia="宋体" w:cs="宋体"/>
          <w:color w:val="000000"/>
          <w:kern w:val="0"/>
          <w:sz w:val="22"/>
          <w:szCs w:val="22"/>
          <w:highlight w:val="none"/>
        </w:rPr>
        <w:t>两栖类、哺乳类。</w:t>
      </w:r>
    </w:p>
    <w:p w14:paraId="2C267A1D">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（2）“监测评价指标及生物多样性指标”具体细则根据《浙江省生态环境厅关于进一步加强全省生态质量样地监测工作的通知》（浙环便函〔2024〕223 号）以及《生态质量样地监测技术规程》要求执行。要求必须完整记录生物物种名称（含科属种）、拉丁名。每个种类均有个体拍照记录，包括需要监测样地样线的动物、乔灌草的整体、局部枝叶或花与果实。每个样地样线监测完成需在样地拍摄合影照片。</w:t>
      </w:r>
    </w:p>
    <w:p w14:paraId="3D397B7A">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（3）具体监测内容及要求：详见《生态质量样地监测技术规程》。</w:t>
      </w:r>
    </w:p>
    <w:p w14:paraId="1FC64F71">
      <w:pPr>
        <w:keepNext w:val="0"/>
        <w:keepLines w:val="0"/>
        <w:pageBreakBefore w:val="0"/>
        <w:kinsoku/>
        <w:wordWrap/>
        <w:overflowPunct/>
        <w:topLinePunct w:val="0"/>
        <w:autoSpaceDN/>
        <w:bidi w:val="0"/>
        <w:adjustRightInd/>
        <w:snapToGrid w:val="0"/>
        <w:spacing w:line="480" w:lineRule="exact"/>
        <w:ind w:firstLine="442" w:firstLineChars="200"/>
        <w:textAlignment w:val="auto"/>
        <w:rPr>
          <w:rFonts w:hint="eastAsia" w:ascii="宋体" w:hAnsi="宋体" w:eastAsia="宋体" w:cs="宋体"/>
          <w:sz w:val="22"/>
          <w:szCs w:val="22"/>
          <w:highlight w:val="none"/>
        </w:rPr>
      </w:pPr>
      <w:r>
        <w:rPr>
          <w:rFonts w:hint="eastAsia" w:ascii="宋体" w:hAnsi="宋体" w:eastAsia="宋体" w:cs="宋体"/>
          <w:b/>
          <w:bCs/>
          <w:color w:val="000000"/>
          <w:kern w:val="0"/>
          <w:sz w:val="22"/>
          <w:szCs w:val="22"/>
          <w:highlight w:val="none"/>
        </w:rPr>
        <w:t>4.监测进度</w:t>
      </w:r>
    </w:p>
    <w:p w14:paraId="407CE84F">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2024年1</w:t>
      </w:r>
      <w:r>
        <w:rPr>
          <w:rFonts w:hint="eastAsia" w:ascii="宋体" w:hAnsi="宋体" w:eastAsia="宋体" w:cs="宋体"/>
          <w:color w:val="000000"/>
          <w:kern w:val="0"/>
          <w:sz w:val="22"/>
          <w:szCs w:val="22"/>
          <w:highlight w:val="none"/>
          <w:lang w:val="en-US" w:eastAsia="zh-CN"/>
        </w:rPr>
        <w:t>1</w:t>
      </w:r>
      <w:r>
        <w:rPr>
          <w:rFonts w:hint="eastAsia" w:ascii="宋体" w:hAnsi="宋体" w:eastAsia="宋体" w:cs="宋体"/>
          <w:color w:val="000000"/>
          <w:kern w:val="0"/>
          <w:sz w:val="22"/>
          <w:szCs w:val="22"/>
          <w:highlight w:val="none"/>
        </w:rPr>
        <w:t>月</w:t>
      </w:r>
      <w:r>
        <w:rPr>
          <w:rFonts w:hint="eastAsia" w:ascii="宋体" w:hAnsi="宋体" w:eastAsia="宋体" w:cs="宋体"/>
          <w:color w:val="000000"/>
          <w:kern w:val="0"/>
          <w:sz w:val="22"/>
          <w:szCs w:val="22"/>
          <w:highlight w:val="none"/>
          <w:lang w:val="en-US" w:eastAsia="zh-CN"/>
        </w:rPr>
        <w:t>15</w:t>
      </w:r>
      <w:r>
        <w:rPr>
          <w:rFonts w:hint="eastAsia" w:ascii="宋体" w:hAnsi="宋体" w:eastAsia="宋体" w:cs="宋体"/>
          <w:color w:val="000000"/>
          <w:kern w:val="0"/>
          <w:sz w:val="22"/>
          <w:szCs w:val="22"/>
          <w:highlight w:val="none"/>
        </w:rPr>
        <w:t>日前，完成2024年度所需监测的</w:t>
      </w: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rPr>
        <w:t>个生态样地监测点的所有调查数据填报并提交《生态质量样地监测与分析报告》（报告格式见《浙江省生态环境厅关于进一步加强全省生态质量样地监测工作的通知（浙环便函〔2024〕223 号）附件3）、现场调查原始记录表（扫描版），提交各类物种名录、重点保护物种名录和外来入侵物种名录（.xlsx格式）以及物种清晰照片（JPG格式）。</w:t>
      </w:r>
    </w:p>
    <w:p w14:paraId="3EE12913">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2025年10月</w:t>
      </w:r>
      <w:r>
        <w:rPr>
          <w:rFonts w:hint="eastAsia" w:ascii="宋体" w:hAnsi="宋体" w:eastAsia="宋体" w:cs="宋体"/>
          <w:color w:val="000000"/>
          <w:kern w:val="0"/>
          <w:sz w:val="22"/>
          <w:szCs w:val="22"/>
          <w:highlight w:val="none"/>
          <w:lang w:val="en-US" w:eastAsia="zh-CN"/>
        </w:rPr>
        <w:t>31</w:t>
      </w:r>
      <w:r>
        <w:rPr>
          <w:rFonts w:hint="eastAsia" w:ascii="宋体" w:hAnsi="宋体" w:eastAsia="宋体" w:cs="宋体"/>
          <w:color w:val="000000"/>
          <w:kern w:val="0"/>
          <w:sz w:val="22"/>
          <w:szCs w:val="22"/>
          <w:highlight w:val="none"/>
        </w:rPr>
        <w:t>日前，完成2025年度所需监测的</w:t>
      </w: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rPr>
        <w:t>个生态样地监测点的所有调查数据填报并提交《生态质量样地监测与分析报告》（报告格式见《浙江省生态环境厅关于进一步加强全省生态质量样地监测工作的通知（浙环便函〔2024〕223 号）附件3）、现场调查原始记录表（扫描版），提交各类物种名录、重点保护物种名录和外来入侵物种名录（.xlsx格式）以及物种清晰照片（JPG格式）。</w:t>
      </w:r>
    </w:p>
    <w:p w14:paraId="58958C69">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 xml:space="preserve">如若国家、省出新要求，按新要求执行。 </w:t>
      </w:r>
    </w:p>
    <w:p w14:paraId="377E2E5C">
      <w:pPr>
        <w:keepNext w:val="0"/>
        <w:keepLines w:val="0"/>
        <w:pageBreakBefore w:val="0"/>
        <w:kinsoku/>
        <w:wordWrap/>
        <w:overflowPunct/>
        <w:topLinePunct w:val="0"/>
        <w:autoSpaceDN/>
        <w:bidi w:val="0"/>
        <w:adjustRightInd/>
        <w:snapToGrid w:val="0"/>
        <w:spacing w:line="480" w:lineRule="exact"/>
        <w:ind w:firstLine="442" w:firstLineChars="200"/>
        <w:jc w:val="left"/>
        <w:textAlignment w:val="auto"/>
        <w:rPr>
          <w:rFonts w:hint="eastAsia" w:ascii="宋体" w:hAnsi="宋体" w:eastAsia="宋体" w:cs="宋体"/>
          <w:b/>
          <w:bCs/>
          <w:sz w:val="22"/>
          <w:szCs w:val="22"/>
          <w:highlight w:val="none"/>
        </w:rPr>
      </w:pPr>
      <w:bookmarkStart w:id="184" w:name="OLE_LINK14"/>
      <w:r>
        <w:rPr>
          <w:rFonts w:hint="eastAsia" w:ascii="宋体" w:hAnsi="宋体" w:eastAsia="宋体" w:cs="宋体"/>
          <w:b/>
          <w:bCs/>
          <w:sz w:val="22"/>
          <w:szCs w:val="22"/>
          <w:highlight w:val="none"/>
        </w:rPr>
        <w:t>三、项目质量保证</w:t>
      </w:r>
    </w:p>
    <w:bookmarkEnd w:id="184"/>
    <w:p w14:paraId="595F9495">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b/>
          <w:bCs/>
          <w:color w:val="000000"/>
          <w:kern w:val="0"/>
          <w:sz w:val="22"/>
          <w:szCs w:val="22"/>
          <w:highlight w:val="none"/>
        </w:rPr>
        <w:t>1.项目团队</w:t>
      </w:r>
    </w:p>
    <w:p w14:paraId="6B755644">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lang w:val="en-US" w:eastAsia="zh-CN"/>
        </w:rPr>
      </w:pPr>
      <w:r>
        <w:rPr>
          <w:rFonts w:hint="eastAsia" w:ascii="宋体" w:hAnsi="宋体" w:eastAsia="宋体" w:cs="宋体"/>
          <w:b/>
          <w:bCs/>
          <w:color w:val="000000"/>
          <w:kern w:val="0"/>
          <w:sz w:val="22"/>
          <w:szCs w:val="22"/>
          <w:highlight w:val="none"/>
        </w:rPr>
        <w:t>（1）项目负责人：</w:t>
      </w:r>
      <w:r>
        <w:rPr>
          <w:rFonts w:hint="eastAsia" w:ascii="宋体" w:hAnsi="宋体" w:eastAsia="宋体" w:cs="宋体"/>
          <w:color w:val="000000"/>
          <w:kern w:val="0"/>
          <w:sz w:val="22"/>
          <w:szCs w:val="22"/>
          <w:highlight w:val="none"/>
          <w:lang w:val="en-US" w:eastAsia="zh-CN"/>
        </w:rPr>
        <w:t>项目负责人需有丰富的环保经验，同时具有</w:t>
      </w:r>
      <w:r>
        <w:rPr>
          <w:rFonts w:hint="eastAsia" w:ascii="宋体" w:hAnsi="宋体" w:eastAsia="宋体" w:cs="宋体"/>
          <w:sz w:val="22"/>
          <w:szCs w:val="22"/>
          <w:highlight w:val="none"/>
        </w:rPr>
        <w:t>环保类高级工程师或以上职称</w:t>
      </w:r>
      <w:r>
        <w:rPr>
          <w:rFonts w:hint="eastAsia" w:ascii="宋体" w:hAnsi="宋体" w:eastAsia="宋体" w:cs="宋体"/>
          <w:sz w:val="22"/>
          <w:szCs w:val="22"/>
          <w:highlight w:val="none"/>
          <w:lang w:val="en-US" w:eastAsia="zh-CN"/>
        </w:rPr>
        <w:t>和</w:t>
      </w:r>
      <w:r>
        <w:rPr>
          <w:rFonts w:hint="eastAsia" w:ascii="宋体" w:hAnsi="宋体" w:eastAsia="宋体" w:cs="宋体"/>
          <w:sz w:val="22"/>
          <w:szCs w:val="22"/>
          <w:highlight w:val="none"/>
        </w:rPr>
        <w:t>注册环保工程师证书</w:t>
      </w:r>
      <w:r>
        <w:rPr>
          <w:rFonts w:hint="eastAsia" w:ascii="宋体" w:hAnsi="宋体" w:eastAsia="宋体" w:cs="宋体"/>
          <w:sz w:val="22"/>
          <w:szCs w:val="22"/>
          <w:highlight w:val="none"/>
          <w:lang w:eastAsia="zh-CN"/>
        </w:rPr>
        <w:t>。</w:t>
      </w:r>
    </w:p>
    <w:p w14:paraId="23E6AAFE">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（2）项目组成员：</w:t>
      </w:r>
      <w:r>
        <w:rPr>
          <w:rFonts w:hint="eastAsia" w:ascii="宋体" w:hAnsi="宋体" w:eastAsia="宋体" w:cs="宋体"/>
          <w:color w:val="000000"/>
          <w:kern w:val="0"/>
          <w:sz w:val="22"/>
          <w:szCs w:val="22"/>
          <w:highlight w:val="none"/>
        </w:rPr>
        <w:t>项目组</w:t>
      </w:r>
      <w:r>
        <w:rPr>
          <w:rFonts w:hint="eastAsia" w:ascii="宋体" w:hAnsi="宋体" w:eastAsia="宋体" w:cs="宋体"/>
          <w:color w:val="000000"/>
          <w:kern w:val="0"/>
          <w:sz w:val="22"/>
          <w:szCs w:val="22"/>
          <w:highlight w:val="none"/>
          <w:lang w:val="en-US" w:eastAsia="zh-CN"/>
        </w:rPr>
        <w:t>成员</w:t>
      </w:r>
      <w:r>
        <w:rPr>
          <w:rFonts w:hint="eastAsia" w:ascii="宋体" w:hAnsi="宋体" w:eastAsia="宋体" w:cs="宋体"/>
          <w:color w:val="000000"/>
          <w:kern w:val="0"/>
          <w:sz w:val="22"/>
          <w:szCs w:val="22"/>
          <w:highlight w:val="none"/>
        </w:rPr>
        <w:t>中</w:t>
      </w:r>
      <w:r>
        <w:rPr>
          <w:rFonts w:hint="eastAsia" w:ascii="宋体" w:hAnsi="宋体" w:eastAsia="宋体" w:cs="宋体"/>
          <w:color w:val="000000"/>
          <w:kern w:val="0"/>
          <w:sz w:val="22"/>
          <w:szCs w:val="22"/>
          <w:highlight w:val="none"/>
          <w:lang w:val="en-US" w:eastAsia="zh-CN"/>
        </w:rPr>
        <w:t>需具有</w:t>
      </w:r>
      <w:r>
        <w:rPr>
          <w:rFonts w:hint="eastAsia" w:ascii="宋体" w:hAnsi="宋体" w:eastAsia="宋体" w:cs="宋体"/>
          <w:sz w:val="22"/>
          <w:szCs w:val="22"/>
          <w:highlight w:val="none"/>
        </w:rPr>
        <w:t>环保类</w:t>
      </w:r>
      <w:r>
        <w:rPr>
          <w:rFonts w:hint="eastAsia" w:ascii="宋体" w:hAnsi="宋体" w:eastAsia="宋体" w:cs="宋体"/>
          <w:sz w:val="22"/>
          <w:szCs w:val="22"/>
          <w:highlight w:val="none"/>
          <w:lang w:val="en-US" w:eastAsia="zh-CN"/>
        </w:rPr>
        <w:t>中</w:t>
      </w:r>
      <w:r>
        <w:rPr>
          <w:rFonts w:hint="eastAsia" w:ascii="宋体" w:hAnsi="宋体" w:eastAsia="宋体" w:cs="宋体"/>
          <w:sz w:val="22"/>
          <w:szCs w:val="22"/>
          <w:highlight w:val="none"/>
        </w:rPr>
        <w:t>高级工程师或以上职称</w:t>
      </w:r>
      <w:r>
        <w:rPr>
          <w:rFonts w:hint="eastAsia" w:ascii="宋体" w:hAnsi="宋体" w:eastAsia="宋体" w:cs="宋体"/>
          <w:color w:val="000000"/>
          <w:kern w:val="0"/>
          <w:sz w:val="22"/>
          <w:szCs w:val="22"/>
          <w:highlight w:val="none"/>
        </w:rPr>
        <w:t>。</w:t>
      </w:r>
    </w:p>
    <w:p w14:paraId="4BCEB7FF">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b/>
          <w:bCs/>
          <w:color w:val="000000"/>
          <w:kern w:val="0"/>
          <w:sz w:val="22"/>
          <w:szCs w:val="22"/>
          <w:highlight w:val="none"/>
        </w:rPr>
        <w:t>2.所需设施设备：</w:t>
      </w:r>
      <w:r>
        <w:rPr>
          <w:rFonts w:hint="eastAsia" w:ascii="宋体" w:hAnsi="宋体" w:eastAsia="宋体" w:cs="宋体"/>
          <w:color w:val="000000"/>
          <w:kern w:val="0"/>
          <w:sz w:val="22"/>
          <w:szCs w:val="22"/>
          <w:highlight w:val="none"/>
        </w:rPr>
        <w:t>供应商根据技术规程要求，可自行配备垂直起降固定翼无人机或多旋翼无人机、红外相机、望远镜</w:t>
      </w:r>
      <w:r>
        <w:rPr>
          <w:rFonts w:hint="eastAsia" w:ascii="宋体" w:hAnsi="宋体" w:eastAsia="宋体" w:cs="宋体"/>
          <w:color w:val="000000"/>
          <w:kern w:val="0"/>
          <w:sz w:val="22"/>
          <w:szCs w:val="22"/>
          <w:highlight w:val="none"/>
          <w:lang w:eastAsia="zh-CN"/>
        </w:rPr>
        <w:t>、</w:t>
      </w:r>
      <w:r>
        <w:rPr>
          <w:rFonts w:hint="eastAsia" w:ascii="宋体" w:hAnsi="宋体" w:eastAsia="宋体" w:cs="宋体"/>
          <w:color w:val="000000"/>
          <w:kern w:val="0"/>
          <w:sz w:val="22"/>
          <w:szCs w:val="22"/>
          <w:highlight w:val="none"/>
          <w:lang w:val="en-US" w:eastAsia="zh-CN"/>
        </w:rPr>
        <w:t>GPS定位仪、RTK</w:t>
      </w:r>
      <w:r>
        <w:rPr>
          <w:rFonts w:hint="eastAsia" w:ascii="宋体" w:hAnsi="宋体" w:eastAsia="宋体" w:cs="宋体"/>
          <w:color w:val="000000"/>
          <w:kern w:val="0"/>
          <w:sz w:val="22"/>
          <w:szCs w:val="22"/>
          <w:highlight w:val="none"/>
        </w:rPr>
        <w:t>等相关野外调查监测所需要的设施设备。</w:t>
      </w:r>
    </w:p>
    <w:p w14:paraId="605763E6">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3.数据准确性：</w:t>
      </w:r>
      <w:r>
        <w:rPr>
          <w:rFonts w:hint="eastAsia" w:ascii="宋体" w:hAnsi="宋体" w:eastAsia="宋体" w:cs="宋体"/>
          <w:color w:val="000000"/>
          <w:kern w:val="0"/>
          <w:sz w:val="22"/>
          <w:szCs w:val="22"/>
          <w:highlight w:val="none"/>
        </w:rPr>
        <w:t>样点、样线布设合理，符合技术方案或相关规范要求，调查数据能代表样地生物多样性的实际状况；动植物的名称需要提交物种名（含科属种）、拉丁名，物种名称和拉丁名错误将导致数据无法上报至国家平台系统。</w:t>
      </w:r>
    </w:p>
    <w:p w14:paraId="1D31F7D2">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4.完整性：</w:t>
      </w:r>
      <w:r>
        <w:rPr>
          <w:rFonts w:hint="eastAsia" w:ascii="宋体" w:hAnsi="宋体" w:eastAsia="宋体" w:cs="宋体"/>
          <w:color w:val="000000"/>
          <w:kern w:val="0"/>
          <w:sz w:val="22"/>
          <w:szCs w:val="22"/>
          <w:highlight w:val="none"/>
        </w:rPr>
        <w:t>服务单位提交的监测结果频次须满足技术方案和上报系统的要求，项目全部完成后，提交综合性报告和汇总数据各一份。</w:t>
      </w:r>
    </w:p>
    <w:p w14:paraId="153A3503">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5.</w:t>
      </w:r>
      <w:r>
        <w:rPr>
          <w:rFonts w:hint="eastAsia" w:ascii="宋体" w:hAnsi="宋体" w:eastAsia="宋体" w:cs="宋体"/>
          <w:color w:val="000000"/>
          <w:kern w:val="0"/>
          <w:sz w:val="22"/>
          <w:szCs w:val="22"/>
          <w:highlight w:val="none"/>
        </w:rPr>
        <w:t>现场原始记录内容要求完整具体，能够回溯监测调查的原始数据与信息。</w:t>
      </w:r>
    </w:p>
    <w:p w14:paraId="7E25EF3B">
      <w:pPr>
        <w:keepNext w:val="0"/>
        <w:keepLines w:val="0"/>
        <w:pageBreakBefore w:val="0"/>
        <w:kinsoku/>
        <w:wordWrap/>
        <w:overflowPunct/>
        <w:topLinePunct w:val="0"/>
        <w:autoSpaceDN/>
        <w:bidi w:val="0"/>
        <w:adjustRightInd/>
        <w:snapToGrid w:val="0"/>
        <w:spacing w:line="480" w:lineRule="exact"/>
        <w:ind w:firstLine="442" w:firstLineChars="200"/>
        <w:jc w:val="left"/>
        <w:textAlignment w:val="auto"/>
        <w:rPr>
          <w:rFonts w:hint="eastAsia" w:ascii="宋体" w:hAnsi="宋体" w:eastAsia="宋体" w:cs="宋体"/>
          <w:b/>
          <w:bCs/>
          <w:sz w:val="22"/>
          <w:szCs w:val="22"/>
          <w:highlight w:val="none"/>
        </w:rPr>
      </w:pPr>
      <w:r>
        <w:rPr>
          <w:rFonts w:hint="eastAsia" w:ascii="宋体" w:hAnsi="宋体" w:eastAsia="宋体" w:cs="宋体"/>
          <w:b/>
          <w:bCs/>
          <w:sz w:val="22"/>
          <w:szCs w:val="22"/>
          <w:highlight w:val="none"/>
        </w:rPr>
        <w:t>四、项目要求</w:t>
      </w:r>
    </w:p>
    <w:p w14:paraId="3ED610A5">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rPr>
        <w:t>1.项目成果</w:t>
      </w:r>
    </w:p>
    <w:p w14:paraId="465DDCE6">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完成所有调查数据填报并提交《生态质量样地监测与分析报告》（报告格式见《浙江省生态环境厅关于进一步加强全省生态质量样地监测工作的通知（浙环便函〔2024〕223号）附件3）、现场调查原始记录表（扫描版），提交各类物种名录、重点保护物种名录和外来入侵物种名录（.xlsx格式）以及物种清晰照片（JPG格式）。</w:t>
      </w:r>
    </w:p>
    <w:p w14:paraId="18C81EEF">
      <w:pPr>
        <w:keepNext w:val="0"/>
        <w:keepLines w:val="0"/>
        <w:pageBreakBefore w:val="0"/>
        <w:widowControl/>
        <w:kinsoku/>
        <w:wordWrap/>
        <w:overflowPunct/>
        <w:topLinePunct w:val="0"/>
        <w:autoSpaceDE w:val="0"/>
        <w:autoSpaceDN/>
        <w:bidi w:val="0"/>
        <w:adjustRightInd/>
        <w:snapToGrid w:val="0"/>
        <w:spacing w:line="480" w:lineRule="exact"/>
        <w:ind w:firstLine="442" w:firstLineChars="200"/>
        <w:textAlignment w:val="auto"/>
        <w:rPr>
          <w:rFonts w:hint="eastAsia" w:ascii="宋体" w:hAnsi="宋体" w:eastAsia="宋体" w:cs="宋体"/>
          <w:b/>
          <w:bCs/>
          <w:color w:val="000000"/>
          <w:kern w:val="0"/>
          <w:sz w:val="22"/>
          <w:szCs w:val="22"/>
          <w:highlight w:val="none"/>
        </w:rPr>
      </w:pPr>
      <w:bookmarkStart w:id="185" w:name="OLE_LINK15"/>
      <w:r>
        <w:rPr>
          <w:rFonts w:hint="eastAsia" w:ascii="宋体" w:hAnsi="宋体" w:eastAsia="宋体" w:cs="宋体"/>
          <w:b/>
          <w:bCs/>
          <w:color w:val="000000"/>
          <w:kern w:val="0"/>
          <w:sz w:val="22"/>
          <w:szCs w:val="22"/>
          <w:highlight w:val="none"/>
        </w:rPr>
        <w:t>2.项目验收</w:t>
      </w:r>
    </w:p>
    <w:bookmarkEnd w:id="185"/>
    <w:p w14:paraId="68256545">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w:t>
      </w:r>
      <w:r>
        <w:rPr>
          <w:rFonts w:hint="eastAsia" w:ascii="宋体" w:hAnsi="宋体" w:eastAsia="宋体" w:cs="宋体"/>
          <w:color w:val="000000"/>
          <w:kern w:val="0"/>
          <w:sz w:val="22"/>
          <w:szCs w:val="22"/>
          <w:highlight w:val="none"/>
          <w:lang w:val="en-US" w:eastAsia="zh-CN"/>
        </w:rPr>
        <w:t>庆元</w:t>
      </w:r>
      <w:r>
        <w:rPr>
          <w:rFonts w:hint="eastAsia" w:ascii="宋体" w:hAnsi="宋体" w:eastAsia="宋体" w:cs="宋体"/>
          <w:color w:val="000000"/>
          <w:kern w:val="0"/>
          <w:sz w:val="22"/>
          <w:szCs w:val="22"/>
          <w:highlight w:val="none"/>
        </w:rPr>
        <w:t>县生态质量监测样地生物多样性调查监测与分析报告》内容要求：按照《浙江省生态环境厅关于进一步加强全省生态质量样地监测工作的通知（浙环便函〔2024〕223号）附件3《生态质量样地监测与分析报告》编写格式编制。内容如下：</w:t>
      </w:r>
    </w:p>
    <w:p w14:paraId="21EC2E5C">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rPr>
        <w:t>（1）监测工作概况。简要叙述生态质量地面监测情况，如样地/样方数量、类型、监测时间，工作组织、质量控制等，以及监测技术团队资质及情况介绍。</w:t>
      </w:r>
    </w:p>
    <w:p w14:paraId="4D7CB2BC">
      <w:pPr>
        <w:keepNext w:val="0"/>
        <w:keepLines w:val="0"/>
        <w:pageBreakBefore w:val="0"/>
        <w:widowControl/>
        <w:kinsoku/>
        <w:wordWrap/>
        <w:overflowPunct/>
        <w:topLinePunct w:val="0"/>
        <w:autoSpaceDE w:val="0"/>
        <w:autoSpaceDN/>
        <w:bidi w:val="0"/>
        <w:adjustRightInd/>
        <w:snapToGrid w:val="0"/>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2）监测区概况。简要叙述样地所在地理位置、自然环境、社会经济发展概况、资源状况等。详细描述生态监测样地具体位置、样地周边生态环境状况。附样地照片（拍摄者位于样地内，向东、南、西、北四个方位分别拍摄，共4张）、工作照（至少2张清晰）等。附样地位置图件：示意图如下。</w:t>
      </w:r>
    </w:p>
    <w:p w14:paraId="7F307987">
      <w:pPr>
        <w:widowControl/>
        <w:autoSpaceDE w:val="0"/>
        <w:spacing w:line="324" w:lineRule="auto"/>
        <w:ind w:firstLine="440" w:firstLineChars="200"/>
        <w:jc w:val="center"/>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inline distT="0" distB="0" distL="0" distR="0">
            <wp:extent cx="2838450" cy="2009775"/>
            <wp:effectExtent l="0" t="0" r="0" b="9525"/>
            <wp:docPr id="13546336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33641"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38450" cy="2009775"/>
                    </a:xfrm>
                    <a:prstGeom prst="rect">
                      <a:avLst/>
                    </a:prstGeom>
                    <a:noFill/>
                    <a:ln>
                      <a:noFill/>
                    </a:ln>
                  </pic:spPr>
                </pic:pic>
              </a:graphicData>
            </a:graphic>
          </wp:inline>
        </w:drawing>
      </w:r>
    </w:p>
    <w:p w14:paraId="039A7C89">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（3）调查与统计方法。样方/样线调查方法、数据统计分析方法、指标计算方法等。</w:t>
      </w:r>
    </w:p>
    <w:p w14:paraId="749689E2">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4）生态质量地面监测结果与评价分析。详细描述生态系统群落数量特征及结构特征，整理该区域优势物种、重点保护生物及外来入侵物种情况，评价群落Simpson多样性指数、Shannon-Wiener多样性指数和Pielou均匀度指数及《区域生态质量评价办法（试行）》相关指标，每年调查监测的进行年际对比分析。要求植物群落（乔木层、灌木层和草本层）分开分析；报告中物种名称和数量必须与野外调查系统平台录入数据完全一致。群落数量特征及结构特征、监测结果多样性分析、指示物种监测结果。</w:t>
      </w:r>
    </w:p>
    <w:p w14:paraId="13FF398F">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（5）主要结论。</w:t>
      </w:r>
    </w:p>
    <w:p w14:paraId="6C53A0F0">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rPr>
        <w:t>（6）问题及建议。</w:t>
      </w:r>
    </w:p>
    <w:p w14:paraId="703B026A">
      <w:pPr>
        <w:keepNext w:val="0"/>
        <w:keepLines w:val="0"/>
        <w:pageBreakBefore w:val="0"/>
        <w:widowControl/>
        <w:kinsoku/>
        <w:wordWrap/>
        <w:overflowPunct/>
        <w:topLinePunct w:val="0"/>
        <w:autoSpaceDE w:val="0"/>
        <w:autoSpaceDN/>
        <w:bidi w:val="0"/>
        <w:adjustRightInd/>
        <w:snapToGrid/>
        <w:spacing w:line="480" w:lineRule="exact"/>
        <w:ind w:firstLine="442" w:firstLineChars="200"/>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rPr>
        <w:t>3.项目验收要求</w:t>
      </w:r>
    </w:p>
    <w:p w14:paraId="46F8DC2B">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（1）需要上报平台的数据资料能够顺利上传成功；</w:t>
      </w:r>
    </w:p>
    <w:p w14:paraId="12FA5595">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（2）原始记录的样地样方数量、记录的项目与内容完整无缺，有责任人签字记录；</w:t>
      </w:r>
    </w:p>
    <w:p w14:paraId="583A9049">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（3）编制的报告内容能够真实反映监测调查对象、内容、方法、质控、监测调查的过程、结果与结论，附录清单材料能够支持对物种的识别与复核；</w:t>
      </w:r>
    </w:p>
    <w:p w14:paraId="48C2CED6">
      <w:pPr>
        <w:keepNext w:val="0"/>
        <w:keepLines w:val="0"/>
        <w:pageBreakBefore w:val="0"/>
        <w:widowControl/>
        <w:kinsoku/>
        <w:wordWrap/>
        <w:overflowPunct/>
        <w:topLinePunct w:val="0"/>
        <w:autoSpaceDE w:val="0"/>
        <w:autoSpaceDN/>
        <w:bidi w:val="0"/>
        <w:adjustRightInd/>
        <w:snapToGrid/>
        <w:spacing w:line="480" w:lineRule="exact"/>
        <w:ind w:firstLine="440" w:firstLineChars="200"/>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rPr>
        <w:t>（4）电子文档、数据资料与影像须整理汇总并完整编目。</w:t>
      </w:r>
    </w:p>
    <w:p w14:paraId="55C1163F">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2" w:firstLineChars="200"/>
        <w:textAlignment w:val="auto"/>
        <w:rPr>
          <w:rFonts w:hint="eastAsia" w:ascii="宋体" w:hAnsi="宋体" w:eastAsia="宋体" w:cs="宋体"/>
          <w:b/>
          <w:bCs/>
          <w:color w:val="FF0000"/>
          <w:spacing w:val="0"/>
          <w:w w:val="100"/>
          <w:sz w:val="22"/>
          <w:szCs w:val="22"/>
          <w:highlight w:val="none"/>
          <w:lang w:eastAsia="zh-CN"/>
        </w:rPr>
      </w:pPr>
      <w:r>
        <w:rPr>
          <w:rFonts w:hint="eastAsia" w:ascii="宋体" w:hAnsi="宋体" w:eastAsia="宋体" w:cs="宋体"/>
          <w:b/>
          <w:bCs/>
          <w:color w:val="FF0000"/>
          <w:spacing w:val="0"/>
          <w:w w:val="100"/>
          <w:sz w:val="22"/>
          <w:szCs w:val="22"/>
          <w:highlight w:val="none"/>
          <w:lang w:eastAsia="zh-CN"/>
        </w:rPr>
        <w:t>五、付款方式</w:t>
      </w:r>
    </w:p>
    <w:p w14:paraId="1C89D1A7">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r>
        <w:rPr>
          <w:rFonts w:hint="eastAsia" w:ascii="宋体" w:hAnsi="宋体" w:eastAsia="宋体" w:cs="宋体"/>
          <w:color w:val="FF0000"/>
          <w:spacing w:val="0"/>
          <w:w w:val="100"/>
          <w:sz w:val="22"/>
          <w:szCs w:val="22"/>
          <w:highlight w:val="none"/>
          <w:lang w:eastAsia="zh-CN"/>
        </w:rPr>
        <w:t>合同生效且具备实施条件后，采购人7个工作日内支付合同总额的</w:t>
      </w:r>
      <w:r>
        <w:rPr>
          <w:rFonts w:hint="eastAsia" w:ascii="宋体" w:hAnsi="宋体" w:eastAsia="宋体" w:cs="宋体"/>
          <w:color w:val="FF0000"/>
          <w:spacing w:val="0"/>
          <w:w w:val="100"/>
          <w:sz w:val="22"/>
          <w:szCs w:val="22"/>
          <w:highlight w:val="none"/>
          <w:lang w:val="en-US" w:eastAsia="zh-CN"/>
        </w:rPr>
        <w:t>3</w:t>
      </w:r>
      <w:r>
        <w:rPr>
          <w:rFonts w:hint="eastAsia" w:ascii="宋体" w:hAnsi="宋体" w:eastAsia="宋体" w:cs="宋体"/>
          <w:color w:val="FF0000"/>
          <w:spacing w:val="0"/>
          <w:w w:val="100"/>
          <w:sz w:val="22"/>
          <w:szCs w:val="22"/>
          <w:highlight w:val="none"/>
          <w:lang w:eastAsia="zh-CN"/>
        </w:rPr>
        <w:t>0%</w:t>
      </w:r>
      <w:r>
        <w:rPr>
          <w:rFonts w:hint="eastAsia" w:ascii="宋体" w:hAnsi="宋体" w:eastAsia="宋体" w:cs="宋体"/>
          <w:color w:val="FF0000"/>
          <w:spacing w:val="0"/>
          <w:w w:val="100"/>
          <w:sz w:val="22"/>
          <w:szCs w:val="22"/>
          <w:highlight w:val="none"/>
          <w:lang w:val="en-US" w:eastAsia="zh-CN"/>
        </w:rPr>
        <w:t>；</w:t>
      </w:r>
      <w:r>
        <w:rPr>
          <w:rFonts w:hint="eastAsia" w:ascii="宋体" w:hAnsi="宋体" w:eastAsia="宋体" w:cs="宋体"/>
          <w:color w:val="FF0000"/>
          <w:spacing w:val="0"/>
          <w:w w:val="100"/>
          <w:sz w:val="22"/>
          <w:szCs w:val="22"/>
          <w:highlight w:val="none"/>
          <w:lang w:eastAsia="zh-CN"/>
        </w:rPr>
        <w:t>成交</w:t>
      </w:r>
      <w:r>
        <w:rPr>
          <w:rFonts w:hint="eastAsia" w:ascii="宋体" w:hAnsi="宋体" w:eastAsia="宋体" w:cs="宋体"/>
          <w:color w:val="FF0000"/>
          <w:spacing w:val="0"/>
          <w:w w:val="100"/>
          <w:sz w:val="22"/>
          <w:szCs w:val="22"/>
          <w:highlight w:val="none"/>
          <w:lang w:val="en-US" w:eastAsia="zh-CN"/>
        </w:rPr>
        <w:t>人提交的最终成果经验收通过后</w:t>
      </w:r>
      <w:r>
        <w:rPr>
          <w:rFonts w:hint="eastAsia" w:ascii="宋体" w:hAnsi="宋体" w:eastAsia="宋体" w:cs="宋体"/>
          <w:color w:val="FF0000"/>
          <w:spacing w:val="0"/>
          <w:w w:val="100"/>
          <w:sz w:val="22"/>
          <w:szCs w:val="22"/>
          <w:highlight w:val="none"/>
          <w:lang w:eastAsia="zh-CN"/>
        </w:rPr>
        <w:t>7个工作日</w:t>
      </w:r>
      <w:r>
        <w:rPr>
          <w:rFonts w:hint="eastAsia" w:ascii="宋体" w:hAnsi="宋体" w:eastAsia="宋体" w:cs="宋体"/>
          <w:color w:val="FF0000"/>
          <w:spacing w:val="0"/>
          <w:w w:val="100"/>
          <w:sz w:val="22"/>
          <w:szCs w:val="22"/>
          <w:highlight w:val="none"/>
          <w:lang w:val="en-US" w:eastAsia="zh-CN"/>
        </w:rPr>
        <w:t>内</w:t>
      </w:r>
      <w:r>
        <w:rPr>
          <w:rFonts w:hint="eastAsia" w:ascii="宋体" w:hAnsi="宋体" w:eastAsia="宋体" w:cs="宋体"/>
          <w:color w:val="FF0000"/>
          <w:spacing w:val="0"/>
          <w:w w:val="100"/>
          <w:sz w:val="22"/>
          <w:szCs w:val="22"/>
          <w:highlight w:val="none"/>
          <w:lang w:eastAsia="zh-CN"/>
        </w:rPr>
        <w:t>支付剩余全部合同款。每阶段付款前成交人需向采购人提供收款金额等额的正式发票。</w:t>
      </w:r>
    </w:p>
    <w:p w14:paraId="005C437B">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r>
        <w:rPr>
          <w:rFonts w:hint="eastAsia" w:ascii="宋体" w:hAnsi="宋体" w:eastAsia="宋体" w:cs="宋体"/>
          <w:color w:val="FF0000"/>
          <w:spacing w:val="0"/>
          <w:w w:val="100"/>
          <w:sz w:val="22"/>
          <w:szCs w:val="22"/>
          <w:highlight w:val="none"/>
          <w:lang w:eastAsia="zh-CN"/>
        </w:rPr>
        <w:t>供应商明确表示无需预付款或者主动要求降低预付款比例的，采购合同可不适用前述规定。因</w:t>
      </w:r>
      <w:r>
        <w:rPr>
          <w:rFonts w:hint="eastAsia" w:ascii="宋体" w:hAnsi="宋体" w:cs="宋体"/>
          <w:color w:val="FF0000"/>
          <w:spacing w:val="0"/>
          <w:w w:val="100"/>
          <w:sz w:val="22"/>
          <w:szCs w:val="22"/>
          <w:highlight w:val="none"/>
          <w:lang w:eastAsia="zh-CN"/>
        </w:rPr>
        <w:t>采购人</w:t>
      </w:r>
      <w:r>
        <w:rPr>
          <w:rFonts w:hint="eastAsia" w:ascii="宋体" w:hAnsi="宋体" w:eastAsia="宋体" w:cs="宋体"/>
          <w:color w:val="FF0000"/>
          <w:spacing w:val="0"/>
          <w:w w:val="100"/>
          <w:sz w:val="22"/>
          <w:szCs w:val="22"/>
          <w:highlight w:val="none"/>
          <w:lang w:eastAsia="zh-CN"/>
        </w:rPr>
        <w:t>向财政部门申报支付手续可能造成的时间延误不视为违约</w:t>
      </w:r>
    </w:p>
    <w:p w14:paraId="72B50475">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r>
        <w:rPr>
          <w:rFonts w:hint="eastAsia" w:ascii="宋体" w:hAnsi="宋体" w:eastAsia="宋体" w:cs="宋体"/>
          <w:color w:val="FF0000"/>
          <w:spacing w:val="0"/>
          <w:w w:val="100"/>
          <w:sz w:val="22"/>
          <w:szCs w:val="22"/>
          <w:highlight w:val="none"/>
          <w:lang w:eastAsia="zh-CN"/>
        </w:rPr>
        <w:t>采购人在向供应商支付预付款之前，有权要求供应商提供与预付款金额相对应的担保措施，担保措施可以是银行、保险公司等金融机构出具的预付款保函或其他担保措施。</w:t>
      </w:r>
    </w:p>
    <w:p w14:paraId="5F47B4FF">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p>
    <w:p w14:paraId="365E967B">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p>
    <w:bookmarkEnd w:id="170"/>
    <w:p w14:paraId="6BA251E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br w:type="page"/>
      </w:r>
    </w:p>
    <w:bookmarkEnd w:id="171"/>
    <w:bookmarkEnd w:id="172"/>
    <w:bookmarkEnd w:id="173"/>
    <w:bookmarkEnd w:id="174"/>
    <w:bookmarkEnd w:id="175"/>
    <w:p w14:paraId="030EE962">
      <w:pPr>
        <w:pStyle w:val="3"/>
        <w:keepNext w:val="0"/>
        <w:keepLines w:val="0"/>
        <w:pageBreakBefore w:val="0"/>
        <w:widowControl w:val="0"/>
        <w:numPr>
          <w:ilvl w:val="0"/>
          <w:numId w:val="0"/>
        </w:numPr>
        <w:kinsoku/>
        <w:overflowPunct/>
        <w:topLinePunct w:val="0"/>
        <w:bidi w:val="0"/>
        <w:spacing w:line="480" w:lineRule="exact"/>
        <w:jc w:val="center"/>
        <w:rPr>
          <w:rFonts w:hint="eastAsia" w:ascii="宋体" w:hAnsi="宋体" w:eastAsia="宋体" w:cs="宋体"/>
          <w:b/>
          <w:bCs/>
          <w:color w:val="auto"/>
          <w:spacing w:val="0"/>
          <w:w w:val="100"/>
          <w:sz w:val="36"/>
          <w:szCs w:val="36"/>
          <w:highlight w:val="none"/>
          <w:lang w:eastAsia="zh-CN"/>
        </w:rPr>
      </w:pPr>
      <w:r>
        <w:rPr>
          <w:rFonts w:hint="eastAsia" w:ascii="宋体" w:hAnsi="宋体" w:eastAsia="宋体" w:cs="宋体"/>
          <w:b/>
          <w:bCs/>
          <w:color w:val="auto"/>
          <w:spacing w:val="0"/>
          <w:w w:val="100"/>
          <w:sz w:val="36"/>
          <w:szCs w:val="36"/>
          <w:highlight w:val="none"/>
          <w:lang w:eastAsia="zh-CN"/>
        </w:rPr>
        <w:t>第四章  政府采购合同格式（范本）</w:t>
      </w:r>
    </w:p>
    <w:p w14:paraId="091A0463">
      <w:pPr>
        <w:rPr>
          <w:rFonts w:hint="eastAsia" w:ascii="宋体" w:hAnsi="宋体" w:eastAsia="宋体" w:cs="宋体"/>
          <w:color w:val="auto"/>
        </w:rPr>
      </w:pPr>
    </w:p>
    <w:p w14:paraId="5DC1EAB4">
      <w:pPr>
        <w:widowControl/>
        <w:rPr>
          <w:rFonts w:hint="eastAsia" w:ascii="宋体" w:hAnsi="宋体" w:eastAsia="宋体" w:cs="宋体"/>
          <w:color w:val="auto"/>
          <w:sz w:val="24"/>
          <w:szCs w:val="20"/>
        </w:rPr>
      </w:pPr>
    </w:p>
    <w:p w14:paraId="28BE13F2">
      <w:pPr>
        <w:widowControl/>
        <w:rPr>
          <w:rFonts w:hint="eastAsia" w:ascii="宋体" w:hAnsi="宋体" w:eastAsia="宋体" w:cs="宋体"/>
          <w:color w:val="auto"/>
          <w:sz w:val="24"/>
          <w:szCs w:val="20"/>
        </w:rPr>
      </w:pPr>
    </w:p>
    <w:p w14:paraId="3068B99C">
      <w:pPr>
        <w:widowControl/>
        <w:ind w:firstLine="6264" w:firstLineChars="2600"/>
        <w:rPr>
          <w:rFonts w:hint="eastAsia" w:ascii="宋体" w:hAnsi="宋体" w:eastAsia="宋体" w:cs="宋体"/>
          <w:color w:val="auto"/>
          <w:sz w:val="24"/>
          <w:szCs w:val="21"/>
        </w:rPr>
      </w:pPr>
      <w:r>
        <w:rPr>
          <w:rFonts w:hint="eastAsia" w:ascii="宋体" w:hAnsi="宋体" w:eastAsia="宋体" w:cs="宋体"/>
          <w:b/>
          <w:color w:val="auto"/>
          <w:sz w:val="24"/>
          <w:szCs w:val="21"/>
        </w:rPr>
        <w:t>合同编号：</w:t>
      </w:r>
      <w:r>
        <w:rPr>
          <w:rFonts w:hint="eastAsia" w:ascii="宋体" w:hAnsi="宋体" w:eastAsia="宋体" w:cs="宋体"/>
          <w:b/>
          <w:color w:val="auto"/>
          <w:sz w:val="24"/>
          <w:szCs w:val="21"/>
          <w:u w:val="single"/>
        </w:rPr>
        <w:t xml:space="preserve">             </w:t>
      </w:r>
    </w:p>
    <w:p w14:paraId="1600D19C">
      <w:pPr>
        <w:widowControl/>
        <w:rPr>
          <w:rFonts w:hint="eastAsia" w:ascii="宋体" w:hAnsi="宋体" w:eastAsia="宋体" w:cs="宋体"/>
          <w:color w:val="auto"/>
          <w:sz w:val="24"/>
          <w:szCs w:val="21"/>
        </w:rPr>
      </w:pPr>
    </w:p>
    <w:p w14:paraId="09376967">
      <w:pPr>
        <w:widowControl/>
        <w:rPr>
          <w:rFonts w:hint="eastAsia" w:ascii="宋体" w:hAnsi="宋体" w:eastAsia="宋体" w:cs="宋体"/>
          <w:color w:val="auto"/>
          <w:sz w:val="24"/>
          <w:szCs w:val="21"/>
        </w:rPr>
      </w:pPr>
    </w:p>
    <w:p w14:paraId="45C548B7">
      <w:pPr>
        <w:widowControl/>
        <w:rPr>
          <w:rFonts w:hint="eastAsia" w:ascii="宋体" w:hAnsi="宋体" w:eastAsia="宋体" w:cs="宋体"/>
          <w:color w:val="auto"/>
          <w:sz w:val="24"/>
          <w:szCs w:val="21"/>
        </w:rPr>
      </w:pPr>
    </w:p>
    <w:p w14:paraId="4C77179F">
      <w:pPr>
        <w:widowControl/>
        <w:rPr>
          <w:rFonts w:hint="eastAsia" w:ascii="宋体" w:hAnsi="宋体" w:eastAsia="宋体" w:cs="宋体"/>
          <w:color w:val="auto"/>
          <w:sz w:val="24"/>
          <w:szCs w:val="21"/>
        </w:rPr>
      </w:pPr>
    </w:p>
    <w:p w14:paraId="6D4B1AB0">
      <w:pPr>
        <w:widowControl/>
        <w:ind w:firstLine="960" w:firstLineChars="400"/>
        <w:rPr>
          <w:rFonts w:hint="eastAsia" w:ascii="宋体" w:hAnsi="宋体" w:eastAsia="宋体" w:cs="宋体"/>
          <w:color w:val="auto"/>
          <w:sz w:val="24"/>
          <w:szCs w:val="21"/>
        </w:rPr>
      </w:pPr>
      <w:r>
        <w:rPr>
          <w:rFonts w:hint="eastAsia" w:ascii="宋体" w:hAnsi="宋体" w:eastAsia="宋体" w:cs="宋体"/>
          <w:color w:val="auto"/>
          <w:sz w:val="24"/>
          <w:szCs w:val="21"/>
        </w:rPr>
        <w:t>项目名称：</w:t>
      </w:r>
      <w:r>
        <w:rPr>
          <w:rFonts w:hint="eastAsia" w:ascii="宋体" w:hAnsi="宋体" w:eastAsia="宋体" w:cs="宋体"/>
          <w:color w:val="auto"/>
          <w:sz w:val="24"/>
          <w:szCs w:val="21"/>
          <w:u w:val="single"/>
        </w:rPr>
        <w:t xml:space="preserve">                                         </w:t>
      </w:r>
    </w:p>
    <w:p w14:paraId="125A8478">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rPr>
        <w:t xml:space="preserve"> </w:t>
      </w:r>
    </w:p>
    <w:p w14:paraId="30A6E9E7">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rPr>
        <w:t>服务内容：</w:t>
      </w:r>
      <w:r>
        <w:rPr>
          <w:rFonts w:hint="eastAsia" w:ascii="宋体" w:hAnsi="宋体" w:eastAsia="宋体" w:cs="宋体"/>
          <w:color w:val="auto"/>
          <w:sz w:val="24"/>
          <w:szCs w:val="21"/>
          <w:u w:val="single"/>
        </w:rPr>
        <w:t xml:space="preserve">                                         </w:t>
      </w:r>
    </w:p>
    <w:p w14:paraId="310239D5">
      <w:pPr>
        <w:widowControl/>
        <w:rPr>
          <w:rFonts w:hint="eastAsia" w:ascii="宋体" w:hAnsi="宋体" w:eastAsia="宋体" w:cs="宋体"/>
          <w:color w:val="auto"/>
          <w:sz w:val="24"/>
          <w:szCs w:val="21"/>
        </w:rPr>
      </w:pPr>
    </w:p>
    <w:p w14:paraId="5B7FBBE4">
      <w:pPr>
        <w:widowControl/>
        <w:snapToGrid w:val="0"/>
        <w:spacing w:before="119" w:line="272" w:lineRule="atLeast"/>
        <w:rPr>
          <w:rFonts w:hint="eastAsia" w:ascii="宋体" w:hAnsi="宋体" w:eastAsia="宋体" w:cs="宋体"/>
          <w:color w:val="auto"/>
          <w:sz w:val="24"/>
          <w:szCs w:val="21"/>
        </w:rPr>
      </w:pPr>
    </w:p>
    <w:p w14:paraId="43A67505">
      <w:pPr>
        <w:widowControl/>
        <w:snapToGrid w:val="0"/>
        <w:spacing w:before="119" w:line="272" w:lineRule="atLeast"/>
        <w:rPr>
          <w:rFonts w:hint="eastAsia" w:ascii="宋体" w:hAnsi="宋体" w:eastAsia="宋体" w:cs="宋体"/>
          <w:color w:val="auto"/>
          <w:sz w:val="24"/>
          <w:szCs w:val="21"/>
        </w:rPr>
      </w:pPr>
    </w:p>
    <w:p w14:paraId="6D1FE141">
      <w:pPr>
        <w:widowControl/>
        <w:snapToGrid w:val="0"/>
        <w:spacing w:before="119" w:line="272" w:lineRule="atLeast"/>
        <w:rPr>
          <w:rFonts w:hint="eastAsia" w:ascii="宋体" w:hAnsi="宋体" w:eastAsia="宋体" w:cs="宋体"/>
          <w:color w:val="auto"/>
          <w:sz w:val="24"/>
          <w:szCs w:val="21"/>
        </w:rPr>
      </w:pPr>
    </w:p>
    <w:p w14:paraId="2C8DA0AF">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lang w:eastAsia="zh-CN"/>
        </w:rPr>
        <w:t>采</w:t>
      </w:r>
      <w:r>
        <w:rPr>
          <w:rFonts w:hint="eastAsia" w:ascii="宋体" w:hAnsi="宋体" w:eastAsia="宋体" w:cs="宋体"/>
          <w:color w:val="auto"/>
          <w:sz w:val="24"/>
          <w:szCs w:val="21"/>
          <w:lang w:val="en-US" w:eastAsia="zh-CN"/>
        </w:rPr>
        <w:t xml:space="preserve"> </w:t>
      </w:r>
      <w:r>
        <w:rPr>
          <w:rFonts w:hint="eastAsia" w:ascii="宋体" w:hAnsi="宋体" w:eastAsia="宋体" w:cs="宋体"/>
          <w:color w:val="auto"/>
          <w:sz w:val="24"/>
          <w:szCs w:val="21"/>
          <w:lang w:eastAsia="zh-CN"/>
        </w:rPr>
        <w:t>购</w:t>
      </w:r>
      <w:r>
        <w:rPr>
          <w:rFonts w:hint="eastAsia" w:ascii="宋体" w:hAnsi="宋体" w:eastAsia="宋体" w:cs="宋体"/>
          <w:color w:val="auto"/>
          <w:sz w:val="24"/>
          <w:szCs w:val="21"/>
          <w:lang w:val="en-US" w:eastAsia="zh-CN"/>
        </w:rPr>
        <w:t xml:space="preserve"> </w:t>
      </w:r>
      <w:r>
        <w:rPr>
          <w:rFonts w:hint="eastAsia" w:ascii="宋体" w:hAnsi="宋体" w:eastAsia="宋体" w:cs="宋体"/>
          <w:color w:val="auto"/>
          <w:sz w:val="24"/>
          <w:szCs w:val="21"/>
          <w:lang w:eastAsia="zh-CN"/>
        </w:rPr>
        <w:t>人</w:t>
      </w:r>
      <w:r>
        <w:rPr>
          <w:rFonts w:hint="eastAsia" w:ascii="宋体" w:hAnsi="宋体" w:eastAsia="宋体" w:cs="宋体"/>
          <w:color w:val="auto"/>
          <w:sz w:val="24"/>
          <w:szCs w:val="21"/>
        </w:rPr>
        <w:t>：</w:t>
      </w:r>
      <w:r>
        <w:rPr>
          <w:rFonts w:hint="eastAsia" w:ascii="宋体" w:hAnsi="宋体" w:eastAsia="宋体" w:cs="宋体"/>
          <w:color w:val="auto"/>
          <w:sz w:val="24"/>
          <w:szCs w:val="21"/>
          <w:u w:val="single"/>
        </w:rPr>
        <w:t xml:space="preserve">                                         </w:t>
      </w:r>
    </w:p>
    <w:p w14:paraId="55698593">
      <w:pPr>
        <w:widowControl/>
        <w:snapToGrid w:val="0"/>
        <w:spacing w:before="119" w:line="272" w:lineRule="atLeast"/>
        <w:rPr>
          <w:rFonts w:hint="eastAsia" w:ascii="宋体" w:hAnsi="宋体" w:eastAsia="宋体" w:cs="宋体"/>
          <w:color w:val="auto"/>
          <w:sz w:val="24"/>
          <w:szCs w:val="21"/>
        </w:rPr>
      </w:pPr>
    </w:p>
    <w:p w14:paraId="46611733">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lang w:eastAsia="zh-CN"/>
        </w:rPr>
        <w:t>供</w:t>
      </w:r>
      <w:r>
        <w:rPr>
          <w:rFonts w:hint="eastAsia" w:ascii="宋体" w:hAnsi="宋体" w:eastAsia="宋体" w:cs="宋体"/>
          <w:color w:val="auto"/>
          <w:sz w:val="24"/>
          <w:szCs w:val="21"/>
          <w:lang w:val="en-US" w:eastAsia="zh-CN"/>
        </w:rPr>
        <w:t xml:space="preserve"> </w:t>
      </w:r>
      <w:r>
        <w:rPr>
          <w:rFonts w:hint="eastAsia" w:ascii="宋体" w:hAnsi="宋体" w:eastAsia="宋体" w:cs="宋体"/>
          <w:color w:val="auto"/>
          <w:sz w:val="24"/>
          <w:szCs w:val="21"/>
          <w:lang w:eastAsia="zh-CN"/>
        </w:rPr>
        <w:t>应</w:t>
      </w:r>
      <w:r>
        <w:rPr>
          <w:rFonts w:hint="eastAsia" w:ascii="宋体" w:hAnsi="宋体" w:eastAsia="宋体" w:cs="宋体"/>
          <w:color w:val="auto"/>
          <w:sz w:val="24"/>
          <w:szCs w:val="21"/>
          <w:lang w:val="en-US" w:eastAsia="zh-CN"/>
        </w:rPr>
        <w:t xml:space="preserve"> </w:t>
      </w:r>
      <w:r>
        <w:rPr>
          <w:rFonts w:hint="eastAsia" w:ascii="宋体" w:hAnsi="宋体" w:eastAsia="宋体" w:cs="宋体"/>
          <w:color w:val="auto"/>
          <w:sz w:val="24"/>
          <w:szCs w:val="21"/>
          <w:lang w:eastAsia="zh-CN"/>
        </w:rPr>
        <w:t>商</w:t>
      </w:r>
      <w:r>
        <w:rPr>
          <w:rFonts w:hint="eastAsia" w:ascii="宋体" w:hAnsi="宋体" w:eastAsia="宋体" w:cs="宋体"/>
          <w:color w:val="auto"/>
          <w:sz w:val="24"/>
          <w:szCs w:val="21"/>
        </w:rPr>
        <w:t>：</w:t>
      </w:r>
      <w:r>
        <w:rPr>
          <w:rFonts w:hint="eastAsia" w:ascii="宋体" w:hAnsi="宋体" w:eastAsia="宋体" w:cs="宋体"/>
          <w:color w:val="auto"/>
          <w:sz w:val="24"/>
          <w:szCs w:val="21"/>
          <w:u w:val="single"/>
        </w:rPr>
        <w:t xml:space="preserve">                                         </w:t>
      </w:r>
    </w:p>
    <w:p w14:paraId="4ED7FF91">
      <w:pPr>
        <w:widowControl/>
        <w:snapToGrid w:val="0"/>
        <w:spacing w:before="119" w:line="272" w:lineRule="atLeast"/>
        <w:rPr>
          <w:rFonts w:hint="eastAsia" w:ascii="宋体" w:hAnsi="宋体" w:eastAsia="宋体" w:cs="宋体"/>
          <w:color w:val="auto"/>
          <w:sz w:val="24"/>
          <w:szCs w:val="21"/>
        </w:rPr>
      </w:pPr>
    </w:p>
    <w:p w14:paraId="181937CD">
      <w:pPr>
        <w:widowControl/>
        <w:snapToGrid w:val="0"/>
        <w:spacing w:before="119" w:line="272" w:lineRule="atLeast"/>
        <w:jc w:val="both"/>
        <w:rPr>
          <w:rFonts w:hint="eastAsia" w:ascii="宋体" w:hAnsi="宋体" w:eastAsia="宋体" w:cs="宋体"/>
          <w:color w:val="auto"/>
          <w:sz w:val="24"/>
          <w:szCs w:val="21"/>
        </w:rPr>
      </w:pPr>
    </w:p>
    <w:p w14:paraId="229AAEA7">
      <w:pPr>
        <w:widowControl/>
        <w:snapToGrid w:val="0"/>
        <w:spacing w:before="119" w:line="272" w:lineRule="atLeast"/>
        <w:jc w:val="both"/>
        <w:rPr>
          <w:rFonts w:hint="eastAsia" w:ascii="宋体" w:hAnsi="宋体" w:eastAsia="宋体" w:cs="宋体"/>
          <w:color w:val="auto"/>
          <w:sz w:val="24"/>
          <w:szCs w:val="21"/>
        </w:rPr>
      </w:pPr>
    </w:p>
    <w:p w14:paraId="78D67901">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rPr>
        <w:t>签署地点：</w:t>
      </w:r>
      <w:r>
        <w:rPr>
          <w:rFonts w:hint="eastAsia" w:ascii="宋体" w:hAnsi="宋体" w:eastAsia="宋体" w:cs="宋体"/>
          <w:color w:val="auto"/>
          <w:sz w:val="24"/>
          <w:szCs w:val="21"/>
          <w:u w:val="single"/>
        </w:rPr>
        <w:t xml:space="preserve">                                         </w:t>
      </w:r>
    </w:p>
    <w:p w14:paraId="2DF793B3">
      <w:pPr>
        <w:widowControl/>
        <w:snapToGrid w:val="0"/>
        <w:spacing w:before="119" w:line="272" w:lineRule="atLeast"/>
        <w:ind w:left="958"/>
        <w:rPr>
          <w:rFonts w:hint="eastAsia" w:ascii="宋体" w:hAnsi="宋体" w:eastAsia="宋体" w:cs="宋体"/>
          <w:color w:val="auto"/>
          <w:sz w:val="24"/>
          <w:szCs w:val="21"/>
        </w:rPr>
      </w:pPr>
    </w:p>
    <w:p w14:paraId="1E4893B7">
      <w:pPr>
        <w:widowControl/>
        <w:snapToGrid w:val="0"/>
        <w:spacing w:before="119" w:line="272" w:lineRule="atLeast"/>
        <w:ind w:left="958"/>
        <w:rPr>
          <w:rFonts w:hint="eastAsia" w:ascii="宋体" w:hAnsi="宋体" w:eastAsia="宋体" w:cs="宋体"/>
          <w:color w:val="auto"/>
          <w:sz w:val="24"/>
          <w:szCs w:val="21"/>
        </w:rPr>
      </w:pPr>
      <w:r>
        <w:rPr>
          <w:rFonts w:hint="eastAsia" w:ascii="宋体" w:hAnsi="宋体" w:eastAsia="宋体" w:cs="宋体"/>
          <w:color w:val="auto"/>
          <w:sz w:val="24"/>
          <w:szCs w:val="21"/>
        </w:rPr>
        <w:t>签署日期：</w:t>
      </w:r>
      <w:r>
        <w:rPr>
          <w:rFonts w:hint="eastAsia" w:ascii="宋体" w:hAnsi="宋体" w:eastAsia="宋体" w:cs="宋体"/>
          <w:color w:val="auto"/>
          <w:sz w:val="24"/>
          <w:szCs w:val="21"/>
          <w:u w:val="single"/>
        </w:rPr>
        <w:t xml:space="preserve">                                         </w:t>
      </w:r>
    </w:p>
    <w:p w14:paraId="3EC68FAC">
      <w:pPr>
        <w:widowControl/>
        <w:snapToGrid w:val="0"/>
        <w:spacing w:before="119" w:line="272" w:lineRule="atLeast"/>
        <w:rPr>
          <w:rFonts w:hint="eastAsia" w:ascii="宋体" w:hAnsi="宋体" w:eastAsia="宋体" w:cs="宋体"/>
          <w:color w:val="auto"/>
          <w:sz w:val="24"/>
          <w:szCs w:val="21"/>
        </w:rPr>
      </w:pPr>
    </w:p>
    <w:p w14:paraId="2163BD65">
      <w:pPr>
        <w:widowControl/>
        <w:snapToGrid w:val="0"/>
        <w:spacing w:before="120" w:after="120" w:line="540" w:lineRule="exact"/>
        <w:rPr>
          <w:rFonts w:hint="eastAsia" w:ascii="宋体" w:hAnsi="宋体" w:eastAsia="宋体" w:cs="宋体"/>
          <w:color w:val="auto"/>
          <w:szCs w:val="20"/>
        </w:rPr>
      </w:pPr>
    </w:p>
    <w:p w14:paraId="52869367">
      <w:pPr>
        <w:rPr>
          <w:rFonts w:hint="eastAsia" w:ascii="宋体" w:hAnsi="宋体" w:eastAsia="宋体" w:cs="宋体"/>
          <w:color w:val="auto"/>
        </w:rPr>
      </w:pPr>
      <w:r>
        <w:rPr>
          <w:rFonts w:hint="eastAsia" w:ascii="宋体" w:hAnsi="宋体" w:eastAsia="宋体" w:cs="宋体"/>
          <w:color w:val="auto"/>
        </w:rPr>
        <w:br w:type="page"/>
      </w:r>
    </w:p>
    <w:p w14:paraId="7974A76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FF0000"/>
          <w:sz w:val="22"/>
          <w:szCs w:val="22"/>
          <w:u w:val="none"/>
          <w:lang w:val="en-US" w:eastAsia="zh-CN"/>
        </w:rPr>
      </w:pPr>
      <w:r>
        <w:rPr>
          <w:rFonts w:hint="eastAsia" w:ascii="宋体" w:hAnsi="宋体" w:eastAsia="宋体" w:cs="宋体"/>
          <w:color w:val="FF0000"/>
          <w:sz w:val="22"/>
          <w:szCs w:val="22"/>
          <w:u w:val="none"/>
          <w:lang w:eastAsia="zh-CN"/>
        </w:rPr>
        <w:t>采购人：</w:t>
      </w:r>
      <w:r>
        <w:rPr>
          <w:rFonts w:hint="eastAsia" w:ascii="宋体" w:hAnsi="宋体" w:eastAsia="宋体" w:cs="宋体"/>
          <w:color w:val="FF0000"/>
          <w:sz w:val="22"/>
          <w:szCs w:val="22"/>
          <w:u w:val="single"/>
          <w:lang w:val="en-US" w:eastAsia="zh-CN"/>
        </w:rPr>
        <w:t xml:space="preserve">                 </w:t>
      </w:r>
      <w:r>
        <w:rPr>
          <w:rFonts w:hint="eastAsia" w:ascii="宋体" w:hAnsi="宋体" w:eastAsia="宋体" w:cs="宋体"/>
          <w:color w:val="FF0000"/>
          <w:sz w:val="22"/>
          <w:szCs w:val="22"/>
          <w:u w:val="none"/>
          <w:lang w:val="en-US" w:eastAsia="zh-CN"/>
        </w:rPr>
        <w:t>（以下简称甲方）</w:t>
      </w:r>
    </w:p>
    <w:p w14:paraId="4175B17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FF0000"/>
          <w:sz w:val="22"/>
          <w:szCs w:val="22"/>
          <w:u w:val="none"/>
          <w:lang w:val="en-US" w:eastAsia="zh-CN"/>
        </w:rPr>
      </w:pPr>
      <w:r>
        <w:rPr>
          <w:rFonts w:hint="eastAsia" w:ascii="宋体" w:hAnsi="宋体" w:eastAsia="宋体" w:cs="宋体"/>
          <w:color w:val="FF0000"/>
          <w:sz w:val="22"/>
          <w:szCs w:val="22"/>
          <w:u w:val="none"/>
          <w:lang w:eastAsia="zh-CN"/>
        </w:rPr>
        <w:t>供应商：</w:t>
      </w:r>
      <w:r>
        <w:rPr>
          <w:rFonts w:hint="eastAsia" w:ascii="宋体" w:hAnsi="宋体" w:eastAsia="宋体" w:cs="宋体"/>
          <w:color w:val="FF0000"/>
          <w:sz w:val="22"/>
          <w:szCs w:val="22"/>
          <w:u w:val="single"/>
          <w:lang w:val="en-US" w:eastAsia="zh-CN"/>
        </w:rPr>
        <w:t xml:space="preserve">                 </w:t>
      </w:r>
      <w:r>
        <w:rPr>
          <w:rFonts w:hint="eastAsia" w:ascii="宋体" w:hAnsi="宋体" w:eastAsia="宋体" w:cs="宋体"/>
          <w:color w:val="FF0000"/>
          <w:sz w:val="22"/>
          <w:szCs w:val="22"/>
          <w:u w:val="none"/>
          <w:lang w:val="en-US" w:eastAsia="zh-CN"/>
        </w:rPr>
        <w:t>（以下简称乙方）</w:t>
      </w:r>
    </w:p>
    <w:p w14:paraId="10D7BA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color w:val="FF0000"/>
          <w:sz w:val="22"/>
          <w:szCs w:val="22"/>
          <w:u w:val="single"/>
        </w:rPr>
      </w:pPr>
    </w:p>
    <w:p w14:paraId="68B75018">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6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本合同甲方委托乙方就</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b/>
          <w:bCs/>
          <w:spacing w:val="0"/>
          <w:sz w:val="22"/>
          <w:szCs w:val="22"/>
          <w:u w:val="single" w:color="auto"/>
          <w:lang w:val="en-US" w:eastAsia="zh-CN"/>
        </w:rPr>
        <w:t>2024-2025年度庆元县生态质量国家级样地生物多样性调查监测项目</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rPr>
        <w:t>进行的专项技术服务，并支付相应的技术服务报酬。双方经过平等协商，在真实、充分地表达各自意愿的基础上，根据《</w:t>
      </w:r>
      <w:r>
        <w:rPr>
          <w:rFonts w:hint="eastAsia" w:ascii="宋体" w:hAnsi="宋体" w:eastAsia="宋体" w:cs="宋体"/>
          <w:spacing w:val="0"/>
          <w:sz w:val="22"/>
          <w:szCs w:val="22"/>
          <w:lang w:eastAsia="zh-CN"/>
        </w:rPr>
        <w:t>中华人民共和国</w:t>
      </w:r>
      <w:r>
        <w:rPr>
          <w:rFonts w:hint="eastAsia" w:ascii="宋体" w:hAnsi="宋体" w:eastAsia="宋体" w:cs="宋体"/>
          <w:spacing w:val="0"/>
          <w:sz w:val="22"/>
          <w:szCs w:val="22"/>
        </w:rPr>
        <w:t>民法典》的规定，达成如下协议，并由双方共同恪守。</w:t>
      </w:r>
    </w:p>
    <w:p w14:paraId="309112B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lang w:eastAsia="zh-CN"/>
        </w:rPr>
        <w:t>第一条、</w:t>
      </w:r>
      <w:r>
        <w:rPr>
          <w:rFonts w:hint="eastAsia" w:ascii="宋体" w:hAnsi="宋体" w:eastAsia="宋体" w:cs="宋体"/>
          <w:b/>
          <w:bCs/>
          <w:spacing w:val="0"/>
          <w:sz w:val="22"/>
          <w:szCs w:val="22"/>
        </w:rPr>
        <w:t>甲方委托乙方进行技术服务的内容如下</w:t>
      </w:r>
    </w:p>
    <w:p w14:paraId="14D533F1">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u w:val="none"/>
        </w:rPr>
        <w:t>1.技术服务的范围：</w:t>
      </w:r>
      <w:r>
        <w:rPr>
          <w:rFonts w:hint="eastAsia" w:ascii="宋体" w:hAnsi="宋体" w:eastAsia="宋体" w:cs="宋体"/>
          <w:spacing w:val="0"/>
          <w:sz w:val="22"/>
          <w:szCs w:val="22"/>
          <w:u w:val="single"/>
          <w:lang w:val="en-US" w:eastAsia="zh-CN"/>
        </w:rPr>
        <w:t xml:space="preserve"> 庆元县生态样地监测点 </w:t>
      </w:r>
      <w:r>
        <w:rPr>
          <w:rFonts w:hint="eastAsia" w:ascii="宋体" w:hAnsi="宋体" w:eastAsia="宋体" w:cs="宋体"/>
          <w:spacing w:val="0"/>
          <w:sz w:val="22"/>
          <w:szCs w:val="22"/>
        </w:rPr>
        <w:t>。</w:t>
      </w:r>
    </w:p>
    <w:p w14:paraId="043CC281">
      <w:pPr>
        <w:pStyle w:val="15"/>
        <w:keepNext w:val="0"/>
        <w:keepLines w:val="0"/>
        <w:pageBreakBefore w:val="0"/>
        <w:widowControl w:val="0"/>
        <w:tabs>
          <w:tab w:val="left" w:pos="128"/>
        </w:tabs>
        <w:kinsoku/>
        <w:wordWrap w:val="0"/>
        <w:overflowPunct/>
        <w:topLinePunct w:val="0"/>
        <w:autoSpaceDE w:val="0"/>
        <w:autoSpaceDN w:val="0"/>
        <w:bidi w:val="0"/>
        <w:adjustRightInd w:val="0"/>
        <w:snapToGrid w:val="0"/>
        <w:spacing w:line="480" w:lineRule="exact"/>
        <w:ind w:left="0" w:right="0" w:firstLine="469"/>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rPr>
        <w:t>2.技术服务的内容：</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w:t>
      </w:r>
    </w:p>
    <w:p w14:paraId="0BA75CD5">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rPr>
        <w:t>3.技术服务的方式：</w:t>
      </w:r>
      <w:r>
        <w:rPr>
          <w:rFonts w:hint="eastAsia" w:ascii="宋体" w:hAnsi="宋体" w:eastAsia="宋体" w:cs="宋体"/>
          <w:spacing w:val="0"/>
          <w:sz w:val="22"/>
          <w:szCs w:val="22"/>
          <w:u w:val="single"/>
        </w:rPr>
        <w:t>生物多样性监测调查。</w:t>
      </w:r>
    </w:p>
    <w:p w14:paraId="122AC832">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jc w:val="both"/>
        <w:textAlignment w:val="auto"/>
        <w:rPr>
          <w:rFonts w:hint="eastAsia" w:ascii="宋体" w:hAnsi="宋体" w:eastAsia="宋体" w:cs="宋体"/>
          <w:color w:val="FF0000"/>
          <w:spacing w:val="0"/>
          <w:sz w:val="22"/>
          <w:szCs w:val="22"/>
          <w:u w:val="single"/>
          <w:lang w:eastAsia="zh-CN"/>
        </w:rPr>
      </w:pPr>
      <w:r>
        <w:rPr>
          <w:rFonts w:hint="eastAsia" w:ascii="宋体" w:hAnsi="宋体" w:eastAsia="宋体" w:cs="宋体"/>
          <w:spacing w:val="0"/>
          <w:sz w:val="22"/>
          <w:szCs w:val="22"/>
        </w:rPr>
        <w:t>4.</w:t>
      </w:r>
      <w:r>
        <w:rPr>
          <w:rFonts w:hint="eastAsia" w:ascii="宋体" w:hAnsi="宋体" w:eastAsia="宋体" w:cs="宋体"/>
          <w:spacing w:val="0"/>
          <w:sz w:val="22"/>
          <w:szCs w:val="22"/>
          <w:lang w:eastAsia="zh-CN"/>
        </w:rPr>
        <w:t>技术服务的要求：</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w:t>
      </w:r>
    </w:p>
    <w:p w14:paraId="71948DFA">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lang w:eastAsia="zh-CN"/>
        </w:rPr>
        <w:t>第二条、</w:t>
      </w:r>
      <w:r>
        <w:rPr>
          <w:rFonts w:hint="eastAsia" w:ascii="宋体" w:hAnsi="宋体" w:eastAsia="宋体" w:cs="宋体"/>
          <w:b/>
          <w:bCs/>
          <w:spacing w:val="0"/>
          <w:sz w:val="22"/>
          <w:szCs w:val="22"/>
        </w:rPr>
        <w:t>乙方应按下列要求完成技术服务工作</w:t>
      </w:r>
    </w:p>
    <w:p w14:paraId="7764F4A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color w:val="FF0000"/>
          <w:spacing w:val="0"/>
          <w:sz w:val="22"/>
          <w:szCs w:val="22"/>
          <w:lang w:val="en-US" w:eastAsia="zh-CN"/>
        </w:rPr>
      </w:pPr>
      <w:r>
        <w:rPr>
          <w:rFonts w:hint="eastAsia" w:ascii="宋体" w:hAnsi="宋体" w:eastAsia="宋体" w:cs="宋体"/>
          <w:spacing w:val="0"/>
          <w:sz w:val="22"/>
          <w:szCs w:val="22"/>
        </w:rPr>
        <w:t>1.技术服务地点：</w:t>
      </w:r>
      <w:r>
        <w:rPr>
          <w:rFonts w:hint="eastAsia" w:ascii="宋体" w:hAnsi="宋体" w:eastAsia="宋体" w:cs="宋体"/>
          <w:color w:val="FF0000"/>
          <w:spacing w:val="0"/>
          <w:sz w:val="22"/>
          <w:szCs w:val="22"/>
          <w:u w:val="single"/>
          <w:lang w:val="en-US" w:eastAsia="zh-CN"/>
        </w:rPr>
        <w:t xml:space="preserve"> 庆元县 </w:t>
      </w:r>
    </w:p>
    <w:p w14:paraId="5E6463D1">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2.技术服务期限：自合同签订之日起至</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年</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月</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日</w:t>
      </w:r>
    </w:p>
    <w:p w14:paraId="2F948262">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3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3.技术服务质量要求：</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w:t>
      </w:r>
    </w:p>
    <w:p w14:paraId="1CCD1FF9">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3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4.执行技术标准和规定：</w:t>
      </w:r>
      <w:r>
        <w:rPr>
          <w:rFonts w:hint="eastAsia" w:ascii="宋体" w:hAnsi="宋体" w:eastAsia="宋体" w:cs="宋体"/>
          <w:spacing w:val="0"/>
          <w:sz w:val="22"/>
          <w:szCs w:val="22"/>
          <w:u w:val="single"/>
          <w:lang w:val="en-US" w:eastAsia="zh-CN"/>
        </w:rPr>
        <w:t xml:space="preserve">                                                                                                                                                                                                                            </w:t>
      </w:r>
    </w:p>
    <w:p w14:paraId="30CC342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39"/>
        <w:jc w:val="both"/>
        <w:textAlignment w:val="auto"/>
        <w:rPr>
          <w:rFonts w:hint="eastAsia" w:ascii="宋体" w:hAnsi="宋体" w:eastAsia="宋体" w:cs="宋体"/>
          <w:color w:val="auto"/>
          <w:spacing w:val="0"/>
          <w:sz w:val="22"/>
          <w:szCs w:val="22"/>
          <w:u w:val="single"/>
        </w:rPr>
      </w:pPr>
      <w:r>
        <w:rPr>
          <w:rFonts w:hint="eastAsia" w:ascii="宋体" w:hAnsi="宋体" w:eastAsia="宋体" w:cs="宋体"/>
          <w:color w:val="auto"/>
          <w:spacing w:val="0"/>
          <w:sz w:val="22"/>
          <w:szCs w:val="22"/>
        </w:rPr>
        <w:t>5.进度计划：</w:t>
      </w:r>
      <w:r>
        <w:rPr>
          <w:rFonts w:hint="eastAsia" w:ascii="宋体" w:hAnsi="宋体" w:eastAsia="宋体" w:cs="宋体"/>
          <w:color w:val="auto"/>
          <w:spacing w:val="0"/>
          <w:sz w:val="22"/>
          <w:szCs w:val="22"/>
          <w:u w:val="single"/>
        </w:rPr>
        <w:t>2024年1</w:t>
      </w:r>
      <w:r>
        <w:rPr>
          <w:rFonts w:hint="eastAsia" w:ascii="宋体" w:hAnsi="宋体" w:eastAsia="宋体" w:cs="宋体"/>
          <w:color w:val="auto"/>
          <w:spacing w:val="0"/>
          <w:sz w:val="22"/>
          <w:szCs w:val="22"/>
          <w:u w:val="single"/>
          <w:lang w:val="en-US" w:eastAsia="zh-CN"/>
        </w:rPr>
        <w:t>1</w:t>
      </w:r>
      <w:r>
        <w:rPr>
          <w:rFonts w:hint="eastAsia" w:ascii="宋体" w:hAnsi="宋体" w:eastAsia="宋体" w:cs="宋体"/>
          <w:color w:val="auto"/>
          <w:spacing w:val="0"/>
          <w:sz w:val="22"/>
          <w:szCs w:val="22"/>
          <w:u w:val="single"/>
        </w:rPr>
        <w:t>月</w:t>
      </w:r>
      <w:r>
        <w:rPr>
          <w:rFonts w:hint="eastAsia" w:ascii="宋体" w:hAnsi="宋体" w:eastAsia="宋体" w:cs="宋体"/>
          <w:color w:val="auto"/>
          <w:spacing w:val="0"/>
          <w:sz w:val="22"/>
          <w:szCs w:val="22"/>
          <w:u w:val="single"/>
          <w:lang w:val="en-US" w:eastAsia="zh-CN"/>
        </w:rPr>
        <w:t>15</w:t>
      </w:r>
      <w:r>
        <w:rPr>
          <w:rFonts w:hint="eastAsia" w:ascii="宋体" w:hAnsi="宋体" w:eastAsia="宋体" w:cs="宋体"/>
          <w:color w:val="auto"/>
          <w:spacing w:val="0"/>
          <w:sz w:val="22"/>
          <w:szCs w:val="22"/>
          <w:u w:val="single"/>
        </w:rPr>
        <w:t>日前，完成2024年度所需监测的</w:t>
      </w:r>
      <w:r>
        <w:rPr>
          <w:rFonts w:hint="eastAsia" w:ascii="宋体" w:hAnsi="宋体" w:eastAsia="宋体" w:cs="宋体"/>
          <w:color w:val="auto"/>
          <w:spacing w:val="0"/>
          <w:sz w:val="22"/>
          <w:szCs w:val="22"/>
          <w:u w:val="single"/>
          <w:lang w:val="en-US" w:eastAsia="zh-CN"/>
        </w:rPr>
        <w:t>3</w:t>
      </w:r>
      <w:r>
        <w:rPr>
          <w:rFonts w:hint="eastAsia" w:ascii="宋体" w:hAnsi="宋体" w:eastAsia="宋体" w:cs="宋体"/>
          <w:color w:val="auto"/>
          <w:spacing w:val="0"/>
          <w:sz w:val="22"/>
          <w:szCs w:val="22"/>
          <w:u w:val="single"/>
        </w:rPr>
        <w:t>个生态样地监测点的所有调查数据</w:t>
      </w:r>
      <w:r>
        <w:rPr>
          <w:rFonts w:hint="eastAsia" w:ascii="宋体" w:hAnsi="宋体" w:eastAsia="宋体" w:cs="宋体"/>
          <w:color w:val="auto"/>
          <w:spacing w:val="0"/>
          <w:sz w:val="22"/>
          <w:szCs w:val="22"/>
          <w:u w:val="single"/>
          <w:lang w:eastAsia="zh-CN"/>
        </w:rPr>
        <w:t>；2025年10月</w:t>
      </w:r>
      <w:r>
        <w:rPr>
          <w:rFonts w:hint="eastAsia" w:ascii="宋体" w:hAnsi="宋体" w:eastAsia="宋体" w:cs="宋体"/>
          <w:color w:val="auto"/>
          <w:spacing w:val="0"/>
          <w:sz w:val="22"/>
          <w:szCs w:val="22"/>
          <w:u w:val="single"/>
          <w:lang w:val="en-US" w:eastAsia="zh-CN"/>
        </w:rPr>
        <w:t>31</w:t>
      </w:r>
      <w:r>
        <w:rPr>
          <w:rFonts w:hint="eastAsia" w:ascii="宋体" w:hAnsi="宋体" w:eastAsia="宋体" w:cs="宋体"/>
          <w:color w:val="auto"/>
          <w:spacing w:val="0"/>
          <w:sz w:val="22"/>
          <w:szCs w:val="22"/>
          <w:u w:val="single"/>
          <w:lang w:eastAsia="zh-CN"/>
        </w:rPr>
        <w:t>日前，完成2025年度所需监测的</w:t>
      </w:r>
      <w:r>
        <w:rPr>
          <w:rFonts w:hint="eastAsia" w:ascii="宋体" w:hAnsi="宋体" w:eastAsia="宋体" w:cs="宋体"/>
          <w:color w:val="auto"/>
          <w:spacing w:val="0"/>
          <w:sz w:val="22"/>
          <w:szCs w:val="22"/>
          <w:u w:val="single"/>
          <w:lang w:val="en-US" w:eastAsia="zh-CN"/>
        </w:rPr>
        <w:t>3</w:t>
      </w:r>
      <w:r>
        <w:rPr>
          <w:rFonts w:hint="eastAsia" w:ascii="宋体" w:hAnsi="宋体" w:eastAsia="宋体" w:cs="宋体"/>
          <w:color w:val="auto"/>
          <w:spacing w:val="0"/>
          <w:sz w:val="22"/>
          <w:szCs w:val="22"/>
          <w:u w:val="single"/>
          <w:lang w:eastAsia="zh-CN"/>
        </w:rPr>
        <w:t>个生态样地监测点的所有调查数据。</w:t>
      </w:r>
      <w:r>
        <w:rPr>
          <w:rFonts w:hint="eastAsia" w:ascii="宋体" w:hAnsi="宋体" w:eastAsia="宋体" w:cs="宋体"/>
          <w:color w:val="auto"/>
          <w:spacing w:val="0"/>
          <w:sz w:val="22"/>
          <w:szCs w:val="22"/>
          <w:u w:val="single"/>
        </w:rPr>
        <w:t>如若国家出新要求，按新要求执行。</w:t>
      </w:r>
    </w:p>
    <w:p w14:paraId="098D361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39"/>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lang w:eastAsia="zh-CN"/>
        </w:rPr>
        <w:t>第三条、</w:t>
      </w:r>
      <w:r>
        <w:rPr>
          <w:rFonts w:hint="eastAsia" w:ascii="宋体" w:hAnsi="宋体" w:eastAsia="宋体" w:cs="宋体"/>
          <w:spacing w:val="0"/>
          <w:sz w:val="22"/>
          <w:szCs w:val="22"/>
        </w:rPr>
        <w:t>为保证乙方有效进行技术服务工作，甲方应当向乙方提供下列工作条件和协作事项：项目负责人姓名：</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u w:val="none" w:color="auto"/>
          <w:lang w:val="en-US" w:eastAsia="zh-CN"/>
        </w:rPr>
        <w:t>，</w:t>
      </w:r>
      <w:r>
        <w:rPr>
          <w:rFonts w:hint="eastAsia" w:ascii="宋体" w:hAnsi="宋体" w:eastAsia="宋体" w:cs="宋体"/>
          <w:spacing w:val="0"/>
          <w:sz w:val="22"/>
          <w:szCs w:val="22"/>
        </w:rPr>
        <w:t>职称：</w:t>
      </w:r>
      <w:r>
        <w:rPr>
          <w:rFonts w:hint="eastAsia" w:ascii="宋体" w:hAnsi="宋体" w:eastAsia="宋体" w:cs="宋体"/>
          <w:b/>
          <w:bCs/>
          <w:spacing w:val="0"/>
          <w:sz w:val="22"/>
          <w:szCs w:val="22"/>
          <w:u w:val="single" w:color="auto"/>
        </w:rPr>
        <w:t>高级工程师</w:t>
      </w:r>
    </w:p>
    <w:p w14:paraId="03C9EEB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2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1.指定专人负责协调合同执行过程中的问题；</w:t>
      </w:r>
    </w:p>
    <w:p w14:paraId="2EA5EB92">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2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2.甲方明确项目范围和工作要求；</w:t>
      </w:r>
    </w:p>
    <w:p w14:paraId="0B36AFBB">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lang w:eastAsia="zh-CN"/>
        </w:rPr>
      </w:pPr>
      <w:r>
        <w:rPr>
          <w:rFonts w:hint="eastAsia" w:ascii="宋体" w:hAnsi="宋体" w:eastAsia="宋体" w:cs="宋体"/>
          <w:spacing w:val="0"/>
          <w:sz w:val="22"/>
          <w:szCs w:val="22"/>
        </w:rPr>
        <w:t>3.按期支付项目费用</w:t>
      </w:r>
      <w:r>
        <w:rPr>
          <w:rFonts w:hint="eastAsia" w:ascii="宋体" w:hAnsi="宋体" w:eastAsia="宋体" w:cs="宋体"/>
          <w:spacing w:val="0"/>
          <w:sz w:val="22"/>
          <w:szCs w:val="22"/>
          <w:lang w:eastAsia="zh-CN"/>
        </w:rPr>
        <w:t>；</w:t>
      </w:r>
    </w:p>
    <w:p w14:paraId="4977234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4.项目负责人在项目所在地驻点。</w:t>
      </w:r>
    </w:p>
    <w:p w14:paraId="51D2F34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rPr>
        <w:t>第四条：</w:t>
      </w:r>
      <w:r>
        <w:rPr>
          <w:rFonts w:hint="eastAsia" w:ascii="宋体" w:hAnsi="宋体" w:eastAsia="宋体" w:cs="宋体"/>
          <w:b/>
          <w:bCs/>
          <w:spacing w:val="0"/>
          <w:sz w:val="22"/>
          <w:szCs w:val="22"/>
          <w:lang w:eastAsia="zh-CN"/>
        </w:rPr>
        <w:t>合同总价</w:t>
      </w:r>
      <w:r>
        <w:rPr>
          <w:rFonts w:hint="eastAsia" w:ascii="宋体" w:hAnsi="宋体" w:eastAsia="宋体" w:cs="宋体"/>
          <w:b/>
          <w:bCs/>
          <w:spacing w:val="0"/>
          <w:sz w:val="22"/>
          <w:szCs w:val="22"/>
        </w:rPr>
        <w:t>及支付方式：</w:t>
      </w:r>
    </w:p>
    <w:p w14:paraId="612A022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3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1.技术服务费：</w:t>
      </w:r>
      <w:r>
        <w:rPr>
          <w:rFonts w:hint="eastAsia" w:ascii="宋体" w:hAnsi="宋体" w:eastAsia="宋体" w:cs="宋体"/>
          <w:spacing w:val="0"/>
          <w:sz w:val="22"/>
          <w:szCs w:val="22"/>
          <w:lang w:eastAsia="zh-CN"/>
        </w:rPr>
        <w:t>大写人民币</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rPr>
        <w:t>元</w:t>
      </w:r>
      <w:r>
        <w:rPr>
          <w:rFonts w:hint="eastAsia" w:ascii="宋体" w:hAnsi="宋体" w:eastAsia="宋体" w:cs="宋体"/>
          <w:spacing w:val="0"/>
          <w:sz w:val="22"/>
          <w:szCs w:val="22"/>
          <w:lang w:eastAsia="zh-CN"/>
        </w:rPr>
        <w:t>整（￥</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lang w:eastAsia="zh-CN"/>
        </w:rPr>
        <w:t>元）</w:t>
      </w:r>
      <w:r>
        <w:rPr>
          <w:rFonts w:hint="eastAsia" w:ascii="宋体" w:hAnsi="宋体" w:eastAsia="宋体" w:cs="宋体"/>
          <w:spacing w:val="0"/>
          <w:sz w:val="22"/>
          <w:szCs w:val="22"/>
        </w:rPr>
        <w:t>。</w:t>
      </w:r>
    </w:p>
    <w:p w14:paraId="3318EA8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u w:val="none"/>
          <w:lang w:val="en-US" w:eastAsia="zh-CN"/>
        </w:rPr>
      </w:pPr>
      <w:r>
        <w:rPr>
          <w:rFonts w:hint="eastAsia" w:ascii="宋体" w:hAnsi="宋体" w:eastAsia="宋体" w:cs="宋体"/>
          <w:spacing w:val="0"/>
          <w:sz w:val="22"/>
          <w:szCs w:val="22"/>
        </w:rPr>
        <w:t>2.</w:t>
      </w:r>
      <w:r>
        <w:rPr>
          <w:rFonts w:hint="eastAsia" w:ascii="宋体" w:hAnsi="宋体" w:eastAsia="宋体" w:cs="宋体"/>
          <w:spacing w:val="0"/>
          <w:sz w:val="22"/>
          <w:szCs w:val="22"/>
          <w:lang w:eastAsia="zh-CN"/>
        </w:rPr>
        <w:t>支付方式</w:t>
      </w:r>
      <w:r>
        <w:rPr>
          <w:rFonts w:hint="eastAsia" w:ascii="宋体" w:hAnsi="宋体" w:eastAsia="宋体" w:cs="宋体"/>
          <w:spacing w:val="0"/>
          <w:sz w:val="22"/>
          <w:szCs w:val="22"/>
          <w:lang w:val="en-US" w:eastAsia="zh-CN"/>
        </w:rPr>
        <w:t>：</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u w:val="none"/>
          <w:lang w:val="en-US" w:eastAsia="zh-CN"/>
        </w:rPr>
        <w:t>。</w:t>
      </w:r>
    </w:p>
    <w:p w14:paraId="1685EC1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u w:val="none"/>
          <w:lang w:val="en-US" w:eastAsia="zh-CN"/>
        </w:rPr>
      </w:pPr>
      <w:r>
        <w:rPr>
          <w:rFonts w:hint="eastAsia" w:ascii="宋体" w:hAnsi="宋体" w:eastAsia="宋体" w:cs="宋体"/>
          <w:spacing w:val="0"/>
          <w:sz w:val="22"/>
          <w:szCs w:val="22"/>
          <w:u w:val="none"/>
          <w:lang w:val="en-US" w:eastAsia="zh-CN"/>
        </w:rPr>
        <w:t>注：</w:t>
      </w:r>
    </w:p>
    <w:p w14:paraId="064C9C50">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3.乙方开户银行名称、地址和</w:t>
      </w:r>
      <w:r>
        <w:rPr>
          <w:rFonts w:hint="eastAsia" w:ascii="宋体" w:hAnsi="宋体" w:eastAsia="宋体" w:cs="宋体"/>
          <w:spacing w:val="0"/>
          <w:sz w:val="22"/>
          <w:szCs w:val="22"/>
          <w:lang w:eastAsia="zh-CN"/>
        </w:rPr>
        <w:t>账号为</w:t>
      </w:r>
      <w:r>
        <w:rPr>
          <w:rFonts w:hint="eastAsia" w:ascii="宋体" w:hAnsi="宋体" w:eastAsia="宋体" w:cs="宋体"/>
          <w:spacing w:val="0"/>
          <w:sz w:val="22"/>
          <w:szCs w:val="22"/>
        </w:rPr>
        <w:t>：</w:t>
      </w:r>
    </w:p>
    <w:p w14:paraId="4536D81A">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lang w:val="en-US" w:eastAsia="zh-CN"/>
        </w:rPr>
      </w:pPr>
      <w:r>
        <w:rPr>
          <w:rFonts w:hint="eastAsia" w:ascii="宋体" w:hAnsi="宋体" w:eastAsia="宋体" w:cs="宋体"/>
          <w:spacing w:val="0"/>
          <w:sz w:val="22"/>
          <w:szCs w:val="22"/>
        </w:rPr>
        <w:t>开户银行：</w:t>
      </w:r>
      <w:r>
        <w:rPr>
          <w:rFonts w:hint="eastAsia" w:ascii="宋体" w:hAnsi="宋体" w:eastAsia="宋体" w:cs="宋体"/>
          <w:spacing w:val="0"/>
          <w:sz w:val="22"/>
          <w:szCs w:val="22"/>
          <w:u w:val="single"/>
          <w:lang w:val="en-US" w:eastAsia="zh-CN"/>
        </w:rPr>
        <w:t xml:space="preserve">                        </w:t>
      </w:r>
    </w:p>
    <w:p w14:paraId="5F94EA36">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u w:val="none" w:color="auto"/>
        </w:rPr>
      </w:pPr>
      <w:r>
        <w:rPr>
          <w:rFonts w:hint="eastAsia" w:ascii="宋体" w:hAnsi="宋体" w:eastAsia="宋体" w:cs="宋体"/>
          <w:spacing w:val="0"/>
          <w:sz w:val="22"/>
          <w:szCs w:val="22"/>
        </w:rPr>
        <w:t xml:space="preserve">地 </w:t>
      </w:r>
      <w:r>
        <w:rPr>
          <w:rFonts w:hint="eastAsia" w:ascii="宋体" w:hAnsi="宋体" w:eastAsia="宋体" w:cs="宋体"/>
          <w:spacing w:val="0"/>
          <w:sz w:val="22"/>
          <w:szCs w:val="22"/>
          <w:lang w:val="en-US" w:eastAsia="zh-CN"/>
        </w:rPr>
        <w:t xml:space="preserve"> </w:t>
      </w:r>
      <w:r>
        <w:rPr>
          <w:rFonts w:hint="eastAsia" w:ascii="宋体" w:hAnsi="宋体" w:eastAsia="宋体" w:cs="宋体"/>
          <w:spacing w:val="0"/>
          <w:sz w:val="22"/>
          <w:szCs w:val="22"/>
        </w:rPr>
        <w:t xml:space="preserve"> 址：</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u w:val="single" w:color="auto"/>
        </w:rPr>
        <w:t xml:space="preserve"> </w:t>
      </w:r>
    </w:p>
    <w:p w14:paraId="0E44D829">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帐   号：</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u w:val="single" w:color="auto"/>
        </w:rPr>
        <w:t xml:space="preserve">   </w:t>
      </w:r>
    </w:p>
    <w:p w14:paraId="1805416E">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lang w:eastAsia="zh-CN"/>
        </w:rPr>
        <w:t>第五条、</w:t>
      </w:r>
      <w:r>
        <w:rPr>
          <w:rFonts w:hint="eastAsia" w:ascii="宋体" w:hAnsi="宋体" w:eastAsia="宋体" w:cs="宋体"/>
          <w:b/>
          <w:bCs/>
          <w:spacing w:val="0"/>
          <w:sz w:val="22"/>
          <w:szCs w:val="22"/>
        </w:rPr>
        <w:t>双方确定因履行本合同应遵守的保密义务：</w:t>
      </w:r>
    </w:p>
    <w:p w14:paraId="60D49254">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4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1.甲、乙双方应对技术服务过程中涉及的商业秘密、所使用的培育企业信息数据按照国家有关保密法律法规的要求，采取有效的保密措施，严防泄密。</w:t>
      </w:r>
    </w:p>
    <w:p w14:paraId="76CA61D8">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4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2.甲、乙双方有义务保证各自参与本技术服务的工作人员履行保密责任，否则应承担相应法律责任。</w:t>
      </w:r>
    </w:p>
    <w:p w14:paraId="7AEEC459">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lang w:eastAsia="zh-CN"/>
        </w:rPr>
        <w:t>第六条、</w:t>
      </w:r>
      <w:r>
        <w:rPr>
          <w:rFonts w:hint="eastAsia" w:ascii="宋体" w:hAnsi="宋体" w:eastAsia="宋体" w:cs="宋体"/>
          <w:spacing w:val="0"/>
          <w:sz w:val="22"/>
          <w:szCs w:val="22"/>
        </w:rPr>
        <w:t>项目成果使用权归甲方所有。</w:t>
      </w:r>
    </w:p>
    <w:p w14:paraId="66535BDA">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lang w:eastAsia="zh-CN"/>
        </w:rPr>
        <w:t>第七条、</w:t>
      </w:r>
      <w:r>
        <w:rPr>
          <w:rFonts w:hint="eastAsia" w:ascii="宋体" w:hAnsi="宋体" w:eastAsia="宋体" w:cs="宋体"/>
          <w:spacing w:val="0"/>
          <w:sz w:val="22"/>
          <w:szCs w:val="22"/>
        </w:rPr>
        <w:t>双方确定以下列标准和方式对乙方的技术服务工作成果进行验收：</w:t>
      </w:r>
    </w:p>
    <w:p w14:paraId="774A31A1">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1.乙方完成技术服务工作的形式：符合项目技术服务的要求。</w:t>
      </w:r>
    </w:p>
    <w:p w14:paraId="541D10C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2.技术服务工作成果质量标准：满足项目技术服务的要求。</w:t>
      </w:r>
    </w:p>
    <w:p w14:paraId="6C3A2D7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49"/>
        <w:textAlignment w:val="auto"/>
        <w:rPr>
          <w:rFonts w:hint="eastAsia" w:ascii="宋体" w:hAnsi="宋体" w:eastAsia="宋体" w:cs="宋体"/>
          <w:spacing w:val="0"/>
          <w:sz w:val="22"/>
          <w:szCs w:val="22"/>
          <w:lang w:val="en-US" w:eastAsia="zh-CN"/>
        </w:rPr>
      </w:pPr>
      <w:r>
        <w:rPr>
          <w:rFonts w:hint="eastAsia" w:ascii="宋体" w:hAnsi="宋体" w:eastAsia="宋体" w:cs="宋体"/>
          <w:spacing w:val="0"/>
          <w:sz w:val="22"/>
          <w:szCs w:val="22"/>
        </w:rPr>
        <w:t>3.成果提交时间和地点：</w:t>
      </w:r>
      <w:r>
        <w:rPr>
          <w:rFonts w:hint="eastAsia" w:ascii="宋体" w:hAnsi="宋体" w:eastAsia="宋体" w:cs="宋体"/>
          <w:spacing w:val="0"/>
          <w:sz w:val="22"/>
          <w:szCs w:val="22"/>
          <w:u w:val="single"/>
          <w:lang w:val="en-US" w:eastAsia="zh-CN"/>
        </w:rPr>
        <w:t xml:space="preserve">                                                </w:t>
      </w:r>
    </w:p>
    <w:p w14:paraId="402B9B0E">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rPr>
        <w:t>第八条</w:t>
      </w:r>
      <w:r>
        <w:rPr>
          <w:rFonts w:hint="eastAsia" w:ascii="宋体" w:hAnsi="宋体" w:eastAsia="宋体" w:cs="宋体"/>
          <w:b/>
          <w:bCs/>
          <w:spacing w:val="0"/>
          <w:sz w:val="22"/>
          <w:szCs w:val="22"/>
          <w:lang w:eastAsia="zh-CN"/>
        </w:rPr>
        <w:t>、</w:t>
      </w:r>
      <w:r>
        <w:rPr>
          <w:rFonts w:hint="eastAsia" w:ascii="宋体" w:hAnsi="宋体" w:eastAsia="宋体" w:cs="宋体"/>
          <w:b/>
          <w:bCs/>
          <w:spacing w:val="0"/>
          <w:sz w:val="22"/>
          <w:szCs w:val="22"/>
        </w:rPr>
        <w:t>双方确定，按以下约定承担各自的义务和违约责任</w:t>
      </w:r>
    </w:p>
    <w:p w14:paraId="792652C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highlight w:val="none"/>
        </w:rPr>
      </w:pPr>
      <w:r>
        <w:rPr>
          <w:rFonts w:hint="eastAsia" w:ascii="宋体" w:hAnsi="宋体" w:eastAsia="宋体" w:cs="宋体"/>
          <w:b/>
          <w:bCs/>
          <w:spacing w:val="0"/>
          <w:sz w:val="22"/>
          <w:szCs w:val="22"/>
          <w:highlight w:val="none"/>
        </w:rPr>
        <w:t>1.甲方的义务</w:t>
      </w:r>
    </w:p>
    <w:p w14:paraId="5EEB9A52">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highlight w:val="none"/>
        </w:rPr>
      </w:pPr>
      <w:r>
        <w:rPr>
          <w:rFonts w:hint="eastAsia" w:ascii="宋体" w:hAnsi="宋体" w:eastAsia="宋体" w:cs="宋体"/>
          <w:spacing w:val="0"/>
          <w:sz w:val="22"/>
          <w:szCs w:val="22"/>
          <w:highlight w:val="none"/>
        </w:rPr>
        <w:t>(1)及时向乙方提供明确的项目需求和项目开展必须的数据成果；</w:t>
      </w:r>
    </w:p>
    <w:p w14:paraId="5AF70342">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highlight w:val="none"/>
        </w:rPr>
      </w:pPr>
      <w:r>
        <w:rPr>
          <w:rFonts w:hint="eastAsia" w:ascii="宋体" w:hAnsi="宋体" w:eastAsia="宋体" w:cs="宋体"/>
          <w:spacing w:val="0"/>
          <w:sz w:val="22"/>
          <w:szCs w:val="22"/>
          <w:highlight w:val="none"/>
        </w:rPr>
        <w:t>(2)及时组织项目设计书的评审并向乙方反馈评审意见；</w:t>
      </w:r>
    </w:p>
    <w:p w14:paraId="089E9A6B">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highlight w:val="none"/>
        </w:rPr>
      </w:pPr>
      <w:r>
        <w:rPr>
          <w:rFonts w:hint="eastAsia" w:ascii="宋体" w:hAnsi="宋体" w:eastAsia="宋体" w:cs="宋体"/>
          <w:spacing w:val="0"/>
          <w:sz w:val="22"/>
          <w:szCs w:val="22"/>
          <w:highlight w:val="none"/>
        </w:rPr>
        <w:t>(3)保证</w:t>
      </w:r>
      <w:r>
        <w:rPr>
          <w:rFonts w:hint="eastAsia" w:ascii="宋体" w:hAnsi="宋体" w:eastAsia="宋体" w:cs="宋体"/>
          <w:spacing w:val="0"/>
          <w:sz w:val="22"/>
          <w:szCs w:val="22"/>
          <w:highlight w:val="none"/>
          <w:lang w:eastAsia="zh-CN"/>
        </w:rPr>
        <w:t>该项目</w:t>
      </w:r>
      <w:r>
        <w:rPr>
          <w:rFonts w:hint="eastAsia" w:ascii="宋体" w:hAnsi="宋体" w:eastAsia="宋体" w:cs="宋体"/>
          <w:spacing w:val="0"/>
          <w:sz w:val="22"/>
          <w:szCs w:val="22"/>
          <w:highlight w:val="none"/>
        </w:rPr>
        <w:t>款项按合同约定进行支付。</w:t>
      </w:r>
    </w:p>
    <w:p w14:paraId="62C8E075">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highlight w:val="none"/>
        </w:rPr>
      </w:pPr>
      <w:r>
        <w:rPr>
          <w:rFonts w:hint="eastAsia" w:ascii="宋体" w:hAnsi="宋体" w:eastAsia="宋体" w:cs="宋体"/>
          <w:b/>
          <w:bCs/>
          <w:spacing w:val="0"/>
          <w:sz w:val="22"/>
          <w:szCs w:val="22"/>
          <w:highlight w:val="none"/>
        </w:rPr>
        <w:t>2.乙方的义务</w:t>
      </w:r>
    </w:p>
    <w:p w14:paraId="271BAF0E">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rPr>
        <w:t>(1)定期向甲方汇报项目进展情况；</w:t>
      </w:r>
    </w:p>
    <w:p w14:paraId="1B866F90">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color w:val="auto"/>
          <w:spacing w:val="0"/>
          <w:sz w:val="22"/>
          <w:szCs w:val="22"/>
        </w:rPr>
      </w:pPr>
      <w:r>
        <w:rPr>
          <w:rFonts w:hint="eastAsia" w:ascii="宋体" w:hAnsi="宋体" w:eastAsia="宋体" w:cs="宋体"/>
          <w:color w:val="auto"/>
          <w:spacing w:val="0"/>
          <w:sz w:val="22"/>
          <w:szCs w:val="22"/>
        </w:rPr>
        <w:t>(2)严格按照项目采购文件、合同内容编制《</w:t>
      </w:r>
      <w:r>
        <w:rPr>
          <w:rFonts w:hint="eastAsia" w:ascii="宋体" w:hAnsi="宋体" w:eastAsia="宋体" w:cs="宋体"/>
          <w:color w:val="auto"/>
          <w:spacing w:val="0"/>
          <w:sz w:val="22"/>
          <w:szCs w:val="22"/>
          <w:lang w:val="en-US" w:eastAsia="zh-CN"/>
        </w:rPr>
        <w:t>庆元</w:t>
      </w:r>
      <w:r>
        <w:rPr>
          <w:rFonts w:hint="eastAsia" w:ascii="宋体" w:hAnsi="宋体" w:eastAsia="宋体" w:cs="宋体"/>
          <w:color w:val="auto"/>
          <w:spacing w:val="0"/>
          <w:sz w:val="22"/>
          <w:szCs w:val="22"/>
        </w:rPr>
        <w:t>县生态质量监测样地生物多样性调查监测与分析报告》；</w:t>
      </w:r>
    </w:p>
    <w:p w14:paraId="647BB7C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color w:val="auto"/>
          <w:spacing w:val="0"/>
          <w:sz w:val="22"/>
          <w:szCs w:val="22"/>
        </w:rPr>
      </w:pPr>
      <w:r>
        <w:rPr>
          <w:rFonts w:hint="eastAsia" w:ascii="宋体" w:hAnsi="宋体" w:eastAsia="宋体" w:cs="宋体"/>
          <w:color w:val="auto"/>
          <w:spacing w:val="0"/>
          <w:sz w:val="22"/>
          <w:szCs w:val="22"/>
        </w:rPr>
        <w:t>(3)接受甲方的质量和进度监督，按时提交项目</w:t>
      </w:r>
      <w:r>
        <w:rPr>
          <w:rFonts w:hint="eastAsia" w:ascii="宋体" w:hAnsi="宋体" w:eastAsia="宋体" w:cs="宋体"/>
          <w:color w:val="auto"/>
          <w:spacing w:val="0"/>
          <w:sz w:val="22"/>
          <w:szCs w:val="22"/>
          <w:lang w:eastAsia="zh-CN"/>
        </w:rPr>
        <w:t>报告</w:t>
      </w:r>
      <w:r>
        <w:rPr>
          <w:rFonts w:hint="eastAsia" w:ascii="宋体" w:hAnsi="宋体" w:eastAsia="宋体" w:cs="宋体"/>
          <w:color w:val="auto"/>
          <w:spacing w:val="0"/>
          <w:sz w:val="22"/>
          <w:szCs w:val="22"/>
        </w:rPr>
        <w:t>的成果资料；</w:t>
      </w:r>
    </w:p>
    <w:p w14:paraId="4521986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130"/>
        <w:textAlignment w:val="auto"/>
        <w:rPr>
          <w:rFonts w:hint="eastAsia" w:ascii="宋体" w:hAnsi="宋体" w:eastAsia="宋体" w:cs="宋体"/>
          <w:color w:val="auto"/>
          <w:spacing w:val="0"/>
          <w:sz w:val="22"/>
          <w:szCs w:val="22"/>
          <w:lang w:eastAsia="zh-CN"/>
        </w:rPr>
      </w:pPr>
      <w:r>
        <w:rPr>
          <w:rFonts w:hint="eastAsia" w:ascii="宋体" w:hAnsi="宋体" w:eastAsia="宋体" w:cs="宋体"/>
          <w:color w:val="auto"/>
          <w:spacing w:val="0"/>
          <w:sz w:val="22"/>
          <w:szCs w:val="22"/>
        </w:rPr>
        <w:t>(4)对于甲方提出的质量质疑或问题，应当及时给予回复</w:t>
      </w:r>
      <w:r>
        <w:rPr>
          <w:rFonts w:hint="eastAsia" w:ascii="宋体" w:hAnsi="宋体" w:eastAsia="宋体" w:cs="宋体"/>
          <w:color w:val="auto"/>
          <w:spacing w:val="0"/>
          <w:sz w:val="22"/>
          <w:szCs w:val="22"/>
          <w:lang w:eastAsia="zh-CN"/>
        </w:rPr>
        <w:t>。</w:t>
      </w:r>
    </w:p>
    <w:p w14:paraId="138A154D">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130"/>
        <w:textAlignment w:val="auto"/>
        <w:rPr>
          <w:rFonts w:hint="eastAsia" w:ascii="宋体" w:hAnsi="宋体" w:eastAsia="宋体" w:cs="宋体"/>
          <w:b/>
          <w:bCs/>
          <w:color w:val="auto"/>
          <w:spacing w:val="0"/>
          <w:sz w:val="22"/>
          <w:szCs w:val="22"/>
        </w:rPr>
      </w:pPr>
      <w:r>
        <w:rPr>
          <w:rFonts w:hint="eastAsia" w:ascii="宋体" w:hAnsi="宋体" w:eastAsia="宋体" w:cs="宋体"/>
          <w:b/>
          <w:bCs/>
          <w:color w:val="auto"/>
          <w:spacing w:val="0"/>
          <w:sz w:val="22"/>
          <w:szCs w:val="22"/>
        </w:rPr>
        <w:t>3.甲方的违约责任</w:t>
      </w:r>
    </w:p>
    <w:p w14:paraId="0B9116F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color w:val="auto"/>
          <w:spacing w:val="0"/>
          <w:sz w:val="22"/>
          <w:szCs w:val="22"/>
        </w:rPr>
        <w:t>(1)本合同履行期间，由于甲方单方面原因造成项目停止而终止合同的，乙方未进入现场</w:t>
      </w:r>
      <w:r>
        <w:rPr>
          <w:rFonts w:hint="eastAsia" w:ascii="宋体" w:hAnsi="宋体" w:eastAsia="宋体" w:cs="宋体"/>
          <w:spacing w:val="0"/>
          <w:sz w:val="22"/>
          <w:szCs w:val="22"/>
        </w:rPr>
        <w:t>工作前，甲方应向乙方偿付预算项目费的5%</w:t>
      </w:r>
      <w:r>
        <w:rPr>
          <w:rFonts w:hint="eastAsia" w:ascii="宋体" w:hAnsi="宋体" w:eastAsia="宋体" w:cs="宋体"/>
          <w:spacing w:val="0"/>
          <w:sz w:val="22"/>
          <w:szCs w:val="22"/>
          <w:lang w:eastAsia="zh-CN"/>
        </w:rPr>
        <w:t>；</w:t>
      </w:r>
      <w:r>
        <w:rPr>
          <w:rFonts w:hint="eastAsia" w:ascii="宋体" w:hAnsi="宋体" w:eastAsia="宋体" w:cs="宋体"/>
          <w:spacing w:val="0"/>
          <w:sz w:val="22"/>
          <w:szCs w:val="22"/>
        </w:rPr>
        <w:t>乙方已进入现场工作，甲方应按完成的实际工作量支付项目价款；</w:t>
      </w:r>
    </w:p>
    <w:p w14:paraId="4672455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(2)如因甲方变更委托技术服务的项目、规模、条件</w:t>
      </w:r>
      <w:r>
        <w:rPr>
          <w:rFonts w:hint="eastAsia" w:ascii="宋体" w:hAnsi="宋体" w:eastAsia="宋体" w:cs="宋体"/>
          <w:spacing w:val="0"/>
          <w:sz w:val="22"/>
          <w:szCs w:val="22"/>
          <w:lang w:eastAsia="zh-CN"/>
        </w:rPr>
        <w:t>或</w:t>
      </w:r>
      <w:r>
        <w:rPr>
          <w:rFonts w:hint="eastAsia" w:ascii="宋体" w:hAnsi="宋体" w:eastAsia="宋体" w:cs="宋体"/>
          <w:spacing w:val="0"/>
          <w:sz w:val="22"/>
          <w:szCs w:val="22"/>
        </w:rPr>
        <w:t>因提供基础资料重大错误</w:t>
      </w:r>
      <w:r>
        <w:rPr>
          <w:rFonts w:hint="eastAsia" w:ascii="宋体" w:hAnsi="宋体" w:eastAsia="宋体" w:cs="宋体"/>
          <w:spacing w:val="0"/>
          <w:sz w:val="22"/>
          <w:szCs w:val="22"/>
          <w:lang w:eastAsia="zh-CN"/>
        </w:rPr>
        <w:t>或</w:t>
      </w:r>
      <w:r>
        <w:rPr>
          <w:rFonts w:hint="eastAsia" w:ascii="宋体" w:hAnsi="宋体" w:eastAsia="宋体" w:cs="宋体"/>
          <w:spacing w:val="0"/>
          <w:sz w:val="22"/>
          <w:szCs w:val="22"/>
        </w:rPr>
        <w:t>因所指定工作区域后又作较大修改，以致造成乙方需返工时，甲方需按乙方所完成实际工作量向乙方支付工作费用；</w:t>
      </w:r>
    </w:p>
    <w:p w14:paraId="6779CBD8">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(3)甲方未按合同约定支付项目费用的，甲方应向乙方支付不低于同期银行利率的违约滞纳金。</w:t>
      </w:r>
    </w:p>
    <w:p w14:paraId="2749EEB6">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rPr>
        <w:t>4.乙方的违约责任</w:t>
      </w:r>
    </w:p>
    <w:p w14:paraId="27489779">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(1)本合同履行期间，如乙方擅自中途停止或解除合同，乙方应向甲方赔偿已付项目价款的5%</w:t>
      </w:r>
      <w:r>
        <w:rPr>
          <w:rFonts w:hint="eastAsia" w:ascii="宋体" w:hAnsi="宋体" w:eastAsia="宋体" w:cs="宋体"/>
          <w:spacing w:val="0"/>
          <w:sz w:val="22"/>
          <w:szCs w:val="22"/>
          <w:lang w:eastAsia="zh-CN"/>
        </w:rPr>
        <w:t>，</w:t>
      </w:r>
      <w:r>
        <w:rPr>
          <w:rFonts w:hint="eastAsia" w:ascii="宋体" w:hAnsi="宋体" w:eastAsia="宋体" w:cs="宋体"/>
          <w:spacing w:val="0"/>
          <w:sz w:val="22"/>
          <w:szCs w:val="22"/>
        </w:rPr>
        <w:t>并归还甲方支付的全部项目款；</w:t>
      </w:r>
    </w:p>
    <w:p w14:paraId="115AF9C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乙方未能按合同规定的日期提交成果时，应向甲方赔偿拖期损失费，每天的拖期损失费按合同约定的预算项目总价款的0.1%计算。因天气、交通、政府行为等影响作业的客观原因造成的工期拖期，乙方不承担赔偿责任；</w:t>
      </w:r>
    </w:p>
    <w:p w14:paraId="66285EAF">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60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(3)乙方提供的成果质量不合格的，乙方应负责无偿予以重测或采取补救措施，以达到质量要求。</w:t>
      </w:r>
    </w:p>
    <w:p w14:paraId="797B386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130"/>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rPr>
        <w:t>第九条：抗风险条约</w:t>
      </w:r>
    </w:p>
    <w:p w14:paraId="0FE86C2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79"/>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乙方应为本项目人员提供人身意外保险。在合同履行过程中如发生人员人身意外情况，由乙方负责。</w:t>
      </w:r>
    </w:p>
    <w:p w14:paraId="140F7E1A">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rPr>
        <w:t>第十条</w:t>
      </w:r>
      <w:r>
        <w:rPr>
          <w:rFonts w:hint="eastAsia" w:ascii="宋体" w:hAnsi="宋体" w:eastAsia="宋体" w:cs="宋体"/>
          <w:b/>
          <w:bCs/>
          <w:spacing w:val="0"/>
          <w:sz w:val="22"/>
          <w:szCs w:val="22"/>
          <w:lang w:eastAsia="zh-CN"/>
        </w:rPr>
        <w:t>、</w:t>
      </w:r>
      <w:r>
        <w:rPr>
          <w:rFonts w:hint="eastAsia" w:ascii="宋体" w:hAnsi="宋体" w:eastAsia="宋体" w:cs="宋体"/>
          <w:spacing w:val="0"/>
          <w:sz w:val="22"/>
          <w:szCs w:val="22"/>
        </w:rPr>
        <w:t>双方确定，出现下列情形，致使本合同的履行成为不必要或不可能的，可以解除本合同：不可抗力。(“不可抗力”指地震、台风、水灾、火灾、战争以及其它本合同各方不能预见，并且对其发生和后果不能防止或不能避免且不可克服的客观情况)。</w:t>
      </w:r>
    </w:p>
    <w:p w14:paraId="26D3EEC3">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69"/>
        <w:textAlignment w:val="auto"/>
        <w:rPr>
          <w:rFonts w:hint="eastAsia" w:ascii="宋体" w:hAnsi="宋体" w:eastAsia="宋体" w:cs="宋体"/>
          <w:spacing w:val="0"/>
          <w:sz w:val="22"/>
          <w:szCs w:val="22"/>
          <w:u w:val="none" w:color="auto"/>
        </w:rPr>
      </w:pPr>
      <w:r>
        <w:rPr>
          <w:rFonts w:hint="eastAsia" w:ascii="宋体" w:hAnsi="宋体" w:eastAsia="宋体" w:cs="宋体"/>
          <w:b/>
          <w:bCs/>
          <w:spacing w:val="0"/>
          <w:sz w:val="22"/>
          <w:szCs w:val="22"/>
        </w:rPr>
        <w:t>第十一条</w:t>
      </w:r>
      <w:r>
        <w:rPr>
          <w:rFonts w:hint="eastAsia" w:ascii="宋体" w:hAnsi="宋体" w:eastAsia="宋体" w:cs="宋体"/>
          <w:b/>
          <w:bCs/>
          <w:spacing w:val="0"/>
          <w:sz w:val="22"/>
          <w:szCs w:val="22"/>
          <w:lang w:eastAsia="zh-CN"/>
        </w:rPr>
        <w:t>、</w:t>
      </w:r>
      <w:r>
        <w:rPr>
          <w:rFonts w:hint="eastAsia" w:ascii="宋体" w:hAnsi="宋体" w:eastAsia="宋体" w:cs="宋体"/>
          <w:spacing w:val="0"/>
          <w:sz w:val="22"/>
          <w:szCs w:val="22"/>
        </w:rPr>
        <w:t>双方因履行本合同而发生的争议，应协商、调解解决。协</w:t>
      </w:r>
      <w:r>
        <w:rPr>
          <w:rFonts w:hint="eastAsia" w:ascii="宋体" w:hAnsi="宋体" w:eastAsia="宋体" w:cs="宋体"/>
          <w:spacing w:val="0"/>
          <w:sz w:val="22"/>
          <w:szCs w:val="22"/>
          <w:u w:val="none" w:color="auto"/>
        </w:rPr>
        <w:t>商、调解不成的，确定按以下第</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u w:val="single" w:color="auto"/>
          <w:lang w:val="en-US" w:eastAsia="zh-CN"/>
        </w:rPr>
        <w:t>2</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u w:val="none" w:color="auto"/>
        </w:rPr>
        <w:t>种方式处理：</w:t>
      </w:r>
    </w:p>
    <w:p w14:paraId="5DC2972C">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1.提交</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u w:val="single" w:color="auto"/>
          <w:lang w:eastAsia="zh-CN"/>
        </w:rPr>
        <w:t>丽水</w:t>
      </w:r>
      <w:r>
        <w:rPr>
          <w:rFonts w:hint="eastAsia" w:ascii="宋体" w:hAnsi="宋体" w:eastAsia="宋体" w:cs="宋体"/>
          <w:spacing w:val="0"/>
          <w:sz w:val="22"/>
          <w:szCs w:val="22"/>
          <w:u w:val="single" w:color="auto"/>
          <w:lang w:val="en-US" w:eastAsia="zh-CN"/>
        </w:rPr>
        <w:t xml:space="preserve"> </w:t>
      </w:r>
      <w:r>
        <w:rPr>
          <w:rFonts w:hint="eastAsia" w:ascii="宋体" w:hAnsi="宋体" w:eastAsia="宋体" w:cs="宋体"/>
          <w:spacing w:val="0"/>
          <w:sz w:val="22"/>
          <w:szCs w:val="22"/>
        </w:rPr>
        <w:t>仲裁委员会仲裁</w:t>
      </w:r>
    </w:p>
    <w:p w14:paraId="1A8BFF00">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2.依法向</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u w:val="single"/>
          <w:lang w:eastAsia="zh-CN"/>
        </w:rPr>
        <w:t>项目所在地</w:t>
      </w:r>
      <w:r>
        <w:rPr>
          <w:rFonts w:hint="eastAsia" w:ascii="宋体" w:hAnsi="宋体" w:eastAsia="宋体" w:cs="宋体"/>
          <w:spacing w:val="0"/>
          <w:sz w:val="22"/>
          <w:szCs w:val="22"/>
          <w:u w:val="single"/>
          <w:lang w:val="en-US" w:eastAsia="zh-CN"/>
        </w:rPr>
        <w:t xml:space="preserve"> </w:t>
      </w:r>
      <w:r>
        <w:rPr>
          <w:rFonts w:hint="eastAsia" w:ascii="宋体" w:hAnsi="宋体" w:eastAsia="宋体" w:cs="宋体"/>
          <w:spacing w:val="0"/>
          <w:sz w:val="22"/>
          <w:szCs w:val="22"/>
        </w:rPr>
        <w:t>人民法院起诉。</w:t>
      </w:r>
    </w:p>
    <w:p w14:paraId="4BA6E4C8">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69"/>
        <w:jc w:val="both"/>
        <w:textAlignment w:val="auto"/>
        <w:rPr>
          <w:rFonts w:hint="eastAsia" w:ascii="宋体" w:hAnsi="宋体" w:eastAsia="宋体" w:cs="宋体"/>
          <w:b/>
          <w:bCs/>
          <w:spacing w:val="0"/>
          <w:sz w:val="22"/>
          <w:szCs w:val="22"/>
        </w:rPr>
      </w:pPr>
      <w:r>
        <w:rPr>
          <w:rFonts w:hint="eastAsia" w:ascii="宋体" w:hAnsi="宋体" w:eastAsia="宋体" w:cs="宋体"/>
          <w:b/>
          <w:bCs/>
          <w:spacing w:val="0"/>
          <w:sz w:val="22"/>
          <w:szCs w:val="22"/>
        </w:rPr>
        <w:t>第十二条</w:t>
      </w:r>
      <w:r>
        <w:rPr>
          <w:rFonts w:hint="eastAsia" w:ascii="宋体" w:hAnsi="宋体" w:eastAsia="宋体" w:cs="宋体"/>
          <w:b/>
          <w:bCs/>
          <w:spacing w:val="0"/>
          <w:sz w:val="22"/>
          <w:szCs w:val="22"/>
          <w:lang w:eastAsia="zh-CN"/>
        </w:rPr>
        <w:t>、</w:t>
      </w:r>
      <w:r>
        <w:rPr>
          <w:rFonts w:hint="eastAsia" w:ascii="宋体" w:hAnsi="宋体" w:eastAsia="宋体" w:cs="宋体"/>
          <w:b/>
          <w:bCs/>
          <w:spacing w:val="0"/>
          <w:sz w:val="22"/>
          <w:szCs w:val="22"/>
        </w:rPr>
        <w:t>双方约定本合同其他相关事项</w:t>
      </w:r>
    </w:p>
    <w:p w14:paraId="6C9AFEE1">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firstLine="469"/>
        <w:jc w:val="both"/>
        <w:textAlignment w:val="auto"/>
        <w:rPr>
          <w:rFonts w:hint="eastAsia" w:ascii="宋体" w:hAnsi="宋体" w:eastAsia="宋体" w:cs="宋体"/>
          <w:spacing w:val="0"/>
          <w:sz w:val="22"/>
          <w:szCs w:val="22"/>
        </w:rPr>
      </w:pPr>
      <w:r>
        <w:rPr>
          <w:rFonts w:hint="eastAsia" w:ascii="宋体" w:hAnsi="宋体" w:eastAsia="宋体" w:cs="宋体"/>
          <w:spacing w:val="0"/>
          <w:sz w:val="22"/>
          <w:szCs w:val="22"/>
        </w:rPr>
        <w:t>本合同执行过程中的未尽事宜，双方应本着实事求是友好协商的态度加以解决。双方协商一致的，签订补充协议，补充协议与本合同具有同等效力。</w:t>
      </w:r>
    </w:p>
    <w:p w14:paraId="29F1E695">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lang w:eastAsia="zh-CN"/>
        </w:rPr>
        <w:t>第十三条、</w:t>
      </w:r>
      <w:r>
        <w:rPr>
          <w:rFonts w:hint="eastAsia" w:ascii="宋体" w:hAnsi="宋体" w:eastAsia="宋体" w:cs="宋体"/>
          <w:b w:val="0"/>
          <w:bCs w:val="0"/>
          <w:spacing w:val="0"/>
          <w:sz w:val="22"/>
          <w:szCs w:val="22"/>
        </w:rPr>
        <w:t>本</w:t>
      </w:r>
      <w:r>
        <w:rPr>
          <w:rFonts w:hint="eastAsia" w:ascii="宋体" w:hAnsi="宋体" w:eastAsia="宋体" w:cs="宋体"/>
          <w:spacing w:val="0"/>
          <w:sz w:val="22"/>
          <w:szCs w:val="22"/>
        </w:rPr>
        <w:t>合同一式陆份，甲方叁份，乙方叁份，具有同等法律效力。</w:t>
      </w:r>
    </w:p>
    <w:p w14:paraId="616B6D3E">
      <w:pPr>
        <w:pStyle w:val="15"/>
        <w:keepNext w:val="0"/>
        <w:keepLines w:val="0"/>
        <w:pageBreakBefore w:val="0"/>
        <w:widowControl w:val="0"/>
        <w:kinsoku/>
        <w:wordWrap w:val="0"/>
        <w:overflowPunct/>
        <w:topLinePunct w:val="0"/>
        <w:autoSpaceDE w:val="0"/>
        <w:autoSpaceDN w:val="0"/>
        <w:bidi w:val="0"/>
        <w:adjustRightInd w:val="0"/>
        <w:snapToGrid w:val="0"/>
        <w:spacing w:line="480" w:lineRule="exact"/>
        <w:ind w:left="0" w:right="0"/>
        <w:textAlignment w:val="auto"/>
        <w:rPr>
          <w:rFonts w:hint="eastAsia" w:ascii="宋体" w:hAnsi="宋体" w:eastAsia="宋体" w:cs="宋体"/>
          <w:spacing w:val="0"/>
          <w:sz w:val="22"/>
          <w:szCs w:val="22"/>
        </w:rPr>
      </w:pPr>
      <w:r>
        <w:rPr>
          <w:rFonts w:hint="eastAsia" w:ascii="宋体" w:hAnsi="宋体" w:eastAsia="宋体" w:cs="宋体"/>
          <w:b/>
          <w:bCs/>
          <w:spacing w:val="0"/>
          <w:sz w:val="22"/>
          <w:szCs w:val="22"/>
          <w:lang w:eastAsia="zh-CN"/>
        </w:rPr>
        <w:t>第十四条、</w:t>
      </w:r>
      <w:r>
        <w:rPr>
          <w:rFonts w:hint="eastAsia" w:ascii="宋体" w:hAnsi="宋体" w:eastAsia="宋体" w:cs="宋体"/>
          <w:spacing w:val="0"/>
          <w:sz w:val="22"/>
          <w:szCs w:val="22"/>
        </w:rPr>
        <w:t>本合同由双方代表签字，加盖双方公章或合同专用章后生效。</w:t>
      </w:r>
    </w:p>
    <w:p w14:paraId="79CBF6E1">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sz w:val="22"/>
          <w:szCs w:val="22"/>
          <w:u w:val="single"/>
        </w:rPr>
      </w:pPr>
    </w:p>
    <w:p w14:paraId="07D10B9F">
      <w:pPr>
        <w:pStyle w:val="29"/>
        <w:rPr>
          <w:rFonts w:hint="eastAsia" w:ascii="宋体" w:hAnsi="宋体" w:eastAsia="宋体" w:cs="宋体"/>
          <w:color w:val="auto"/>
          <w:sz w:val="22"/>
          <w:szCs w:val="22"/>
        </w:rPr>
      </w:pPr>
    </w:p>
    <w:tbl>
      <w:tblPr>
        <w:tblStyle w:val="41"/>
        <w:tblW w:w="9119" w:type="dxa"/>
        <w:jc w:val="center"/>
        <w:tblLayout w:type="fixed"/>
        <w:tblCellMar>
          <w:top w:w="0" w:type="dxa"/>
          <w:left w:w="108" w:type="dxa"/>
          <w:bottom w:w="0" w:type="dxa"/>
          <w:right w:w="108" w:type="dxa"/>
        </w:tblCellMar>
      </w:tblPr>
      <w:tblGrid>
        <w:gridCol w:w="4560"/>
        <w:gridCol w:w="4559"/>
      </w:tblGrid>
      <w:tr w14:paraId="14E54A04">
        <w:tblPrEx>
          <w:tblCellMar>
            <w:top w:w="0" w:type="dxa"/>
            <w:left w:w="108" w:type="dxa"/>
            <w:bottom w:w="0" w:type="dxa"/>
            <w:right w:w="108" w:type="dxa"/>
          </w:tblCellMar>
        </w:tblPrEx>
        <w:trPr>
          <w:trHeight w:val="680" w:hRule="atLeast"/>
          <w:jc w:val="center"/>
        </w:trPr>
        <w:tc>
          <w:tcPr>
            <w:tcW w:w="4560" w:type="dxa"/>
            <w:noWrap w:val="0"/>
            <w:vAlign w:val="center"/>
          </w:tcPr>
          <w:p w14:paraId="1C07F66F">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甲方（盖单位章）：</w:t>
            </w:r>
            <w:r>
              <w:rPr>
                <w:rFonts w:hint="eastAsia" w:ascii="宋体" w:hAnsi="宋体" w:eastAsia="宋体" w:cs="宋体"/>
                <w:color w:val="auto"/>
                <w:sz w:val="22"/>
                <w:szCs w:val="22"/>
                <w:u w:val="single"/>
              </w:rPr>
              <w:t xml:space="preserve">                    </w:t>
            </w:r>
          </w:p>
        </w:tc>
        <w:tc>
          <w:tcPr>
            <w:tcW w:w="4559" w:type="dxa"/>
            <w:noWrap w:val="0"/>
            <w:vAlign w:val="center"/>
          </w:tcPr>
          <w:p w14:paraId="43B2D3F5">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乙方（盖单位章）：</w:t>
            </w:r>
            <w:r>
              <w:rPr>
                <w:rFonts w:hint="eastAsia" w:ascii="宋体" w:hAnsi="宋体" w:eastAsia="宋体" w:cs="宋体"/>
                <w:color w:val="auto"/>
                <w:sz w:val="22"/>
                <w:szCs w:val="22"/>
                <w:u w:val="single"/>
              </w:rPr>
              <w:t xml:space="preserve">                     </w:t>
            </w:r>
          </w:p>
        </w:tc>
      </w:tr>
      <w:tr w14:paraId="6DF49BD1">
        <w:tblPrEx>
          <w:tblCellMar>
            <w:top w:w="0" w:type="dxa"/>
            <w:left w:w="108" w:type="dxa"/>
            <w:bottom w:w="0" w:type="dxa"/>
            <w:right w:w="108" w:type="dxa"/>
          </w:tblCellMar>
        </w:tblPrEx>
        <w:trPr>
          <w:trHeight w:val="680" w:hRule="atLeast"/>
          <w:jc w:val="center"/>
        </w:trPr>
        <w:tc>
          <w:tcPr>
            <w:tcW w:w="4560" w:type="dxa"/>
            <w:noWrap w:val="0"/>
            <w:vAlign w:val="center"/>
          </w:tcPr>
          <w:p w14:paraId="68D35A1F">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法定代表人（签字或盖章）：</w:t>
            </w:r>
            <w:r>
              <w:rPr>
                <w:rFonts w:hint="eastAsia" w:ascii="宋体" w:hAnsi="宋体" w:eastAsia="宋体" w:cs="宋体"/>
                <w:color w:val="auto"/>
                <w:sz w:val="22"/>
                <w:szCs w:val="22"/>
                <w:u w:val="single"/>
              </w:rPr>
              <w:t xml:space="preserve">            </w:t>
            </w:r>
          </w:p>
        </w:tc>
        <w:tc>
          <w:tcPr>
            <w:tcW w:w="4559" w:type="dxa"/>
            <w:noWrap w:val="0"/>
            <w:vAlign w:val="center"/>
          </w:tcPr>
          <w:p w14:paraId="0CCB810F">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法定代表人（签字或盖章）：</w:t>
            </w:r>
            <w:r>
              <w:rPr>
                <w:rFonts w:hint="eastAsia" w:ascii="宋体" w:hAnsi="宋体" w:eastAsia="宋体" w:cs="宋体"/>
                <w:color w:val="auto"/>
                <w:sz w:val="22"/>
                <w:szCs w:val="22"/>
                <w:u w:val="single"/>
              </w:rPr>
              <w:t xml:space="preserve">             </w:t>
            </w:r>
          </w:p>
        </w:tc>
      </w:tr>
      <w:tr w14:paraId="0B94B022">
        <w:tblPrEx>
          <w:tblCellMar>
            <w:top w:w="0" w:type="dxa"/>
            <w:left w:w="108" w:type="dxa"/>
            <w:bottom w:w="0" w:type="dxa"/>
            <w:right w:w="108" w:type="dxa"/>
          </w:tblCellMar>
        </w:tblPrEx>
        <w:trPr>
          <w:trHeight w:val="680" w:hRule="atLeast"/>
          <w:jc w:val="center"/>
        </w:trPr>
        <w:tc>
          <w:tcPr>
            <w:tcW w:w="4560" w:type="dxa"/>
            <w:noWrap w:val="0"/>
            <w:vAlign w:val="center"/>
          </w:tcPr>
          <w:p w14:paraId="1764EA01">
            <w:pPr>
              <w:widowControl/>
              <w:rPr>
                <w:rFonts w:hint="eastAsia" w:ascii="宋体" w:hAnsi="宋体" w:eastAsia="宋体" w:cs="宋体"/>
                <w:color w:val="auto"/>
                <w:sz w:val="22"/>
                <w:szCs w:val="22"/>
              </w:rPr>
            </w:pPr>
            <w:r>
              <w:rPr>
                <w:rFonts w:hint="eastAsia" w:ascii="宋体" w:hAnsi="宋体" w:eastAsia="宋体" w:cs="宋体"/>
                <w:color w:val="auto"/>
                <w:sz w:val="22"/>
                <w:szCs w:val="22"/>
              </w:rPr>
              <w:t>授权代表（签字或盖章）：</w:t>
            </w:r>
            <w:r>
              <w:rPr>
                <w:rFonts w:hint="eastAsia" w:ascii="宋体" w:hAnsi="宋体" w:eastAsia="宋体" w:cs="宋体"/>
                <w:color w:val="auto"/>
                <w:sz w:val="22"/>
                <w:szCs w:val="22"/>
                <w:u w:val="single"/>
              </w:rPr>
              <w:t xml:space="preserve">              </w:t>
            </w:r>
          </w:p>
        </w:tc>
        <w:tc>
          <w:tcPr>
            <w:tcW w:w="4559" w:type="dxa"/>
            <w:noWrap w:val="0"/>
            <w:vAlign w:val="center"/>
          </w:tcPr>
          <w:p w14:paraId="214C5C05">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授权代表（签字或盖章）：</w:t>
            </w:r>
            <w:r>
              <w:rPr>
                <w:rFonts w:hint="eastAsia" w:ascii="宋体" w:hAnsi="宋体" w:eastAsia="宋体" w:cs="宋体"/>
                <w:color w:val="auto"/>
                <w:sz w:val="22"/>
                <w:szCs w:val="22"/>
                <w:u w:val="single"/>
              </w:rPr>
              <w:t xml:space="preserve">               </w:t>
            </w:r>
          </w:p>
        </w:tc>
      </w:tr>
      <w:tr w14:paraId="04AD54FC">
        <w:tblPrEx>
          <w:tblCellMar>
            <w:top w:w="0" w:type="dxa"/>
            <w:left w:w="108" w:type="dxa"/>
            <w:bottom w:w="0" w:type="dxa"/>
            <w:right w:w="108" w:type="dxa"/>
          </w:tblCellMar>
        </w:tblPrEx>
        <w:trPr>
          <w:trHeight w:val="680" w:hRule="atLeast"/>
          <w:jc w:val="center"/>
        </w:trPr>
        <w:tc>
          <w:tcPr>
            <w:tcW w:w="4560" w:type="dxa"/>
            <w:noWrap w:val="0"/>
            <w:vAlign w:val="center"/>
          </w:tcPr>
          <w:p w14:paraId="39BE15A0">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地　　址：</w:t>
            </w:r>
            <w:r>
              <w:rPr>
                <w:rFonts w:hint="eastAsia" w:ascii="宋体" w:hAnsi="宋体" w:eastAsia="宋体" w:cs="宋体"/>
                <w:color w:val="auto"/>
                <w:sz w:val="22"/>
                <w:szCs w:val="22"/>
                <w:u w:val="single"/>
              </w:rPr>
              <w:t xml:space="preserve">                           </w:t>
            </w:r>
          </w:p>
        </w:tc>
        <w:tc>
          <w:tcPr>
            <w:tcW w:w="4559" w:type="dxa"/>
            <w:noWrap w:val="0"/>
            <w:vAlign w:val="center"/>
          </w:tcPr>
          <w:p w14:paraId="20ECC7D7">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地　　址：</w:t>
            </w:r>
            <w:r>
              <w:rPr>
                <w:rFonts w:hint="eastAsia" w:ascii="宋体" w:hAnsi="宋体" w:eastAsia="宋体" w:cs="宋体"/>
                <w:color w:val="auto"/>
                <w:sz w:val="22"/>
                <w:szCs w:val="22"/>
                <w:u w:val="single"/>
              </w:rPr>
              <w:t xml:space="preserve">                            </w:t>
            </w:r>
          </w:p>
        </w:tc>
      </w:tr>
      <w:tr w14:paraId="1AAB7BF5">
        <w:tblPrEx>
          <w:tblCellMar>
            <w:top w:w="0" w:type="dxa"/>
            <w:left w:w="108" w:type="dxa"/>
            <w:bottom w:w="0" w:type="dxa"/>
            <w:right w:w="108" w:type="dxa"/>
          </w:tblCellMar>
        </w:tblPrEx>
        <w:trPr>
          <w:trHeight w:val="680" w:hRule="atLeast"/>
          <w:jc w:val="center"/>
        </w:trPr>
        <w:tc>
          <w:tcPr>
            <w:tcW w:w="4560" w:type="dxa"/>
            <w:noWrap w:val="0"/>
            <w:vAlign w:val="center"/>
          </w:tcPr>
          <w:p w14:paraId="05D051B6">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邮政编码：</w:t>
            </w:r>
            <w:r>
              <w:rPr>
                <w:rFonts w:hint="eastAsia" w:ascii="宋体" w:hAnsi="宋体" w:eastAsia="宋体" w:cs="宋体"/>
                <w:color w:val="auto"/>
                <w:sz w:val="22"/>
                <w:szCs w:val="22"/>
                <w:u w:val="single"/>
              </w:rPr>
              <w:t xml:space="preserve">                           </w:t>
            </w:r>
          </w:p>
        </w:tc>
        <w:tc>
          <w:tcPr>
            <w:tcW w:w="4559" w:type="dxa"/>
            <w:noWrap w:val="0"/>
            <w:vAlign w:val="center"/>
          </w:tcPr>
          <w:p w14:paraId="53A9B388">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邮政编码：</w:t>
            </w:r>
            <w:r>
              <w:rPr>
                <w:rFonts w:hint="eastAsia" w:ascii="宋体" w:hAnsi="宋体" w:eastAsia="宋体" w:cs="宋体"/>
                <w:color w:val="auto"/>
                <w:sz w:val="22"/>
                <w:szCs w:val="22"/>
                <w:u w:val="single"/>
              </w:rPr>
              <w:t xml:space="preserve">                            </w:t>
            </w:r>
          </w:p>
        </w:tc>
      </w:tr>
      <w:tr w14:paraId="45545C38">
        <w:tblPrEx>
          <w:tblCellMar>
            <w:top w:w="0" w:type="dxa"/>
            <w:left w:w="108" w:type="dxa"/>
            <w:bottom w:w="0" w:type="dxa"/>
            <w:right w:w="108" w:type="dxa"/>
          </w:tblCellMar>
        </w:tblPrEx>
        <w:trPr>
          <w:trHeight w:val="680" w:hRule="atLeast"/>
          <w:jc w:val="center"/>
        </w:trPr>
        <w:tc>
          <w:tcPr>
            <w:tcW w:w="4560" w:type="dxa"/>
            <w:noWrap w:val="0"/>
            <w:vAlign w:val="center"/>
          </w:tcPr>
          <w:p w14:paraId="542F87B5">
            <w:pPr>
              <w:widowControl/>
              <w:rPr>
                <w:rFonts w:hint="eastAsia" w:ascii="宋体" w:hAnsi="宋体" w:eastAsia="宋体" w:cs="宋体"/>
                <w:color w:val="auto"/>
                <w:sz w:val="22"/>
                <w:szCs w:val="22"/>
              </w:rPr>
            </w:pPr>
            <w:r>
              <w:rPr>
                <w:rFonts w:hint="eastAsia" w:ascii="宋体" w:hAnsi="宋体" w:eastAsia="宋体" w:cs="宋体"/>
                <w:color w:val="auto"/>
                <w:sz w:val="22"/>
                <w:szCs w:val="22"/>
              </w:rPr>
              <w:t>电　　话：</w:t>
            </w:r>
            <w:r>
              <w:rPr>
                <w:rFonts w:hint="eastAsia" w:ascii="宋体" w:hAnsi="宋体" w:eastAsia="宋体" w:cs="宋体"/>
                <w:color w:val="auto"/>
                <w:sz w:val="22"/>
                <w:szCs w:val="22"/>
                <w:u w:val="single"/>
              </w:rPr>
              <w:tab/>
            </w:r>
            <w:r>
              <w:rPr>
                <w:rFonts w:hint="eastAsia" w:ascii="宋体" w:hAnsi="宋体" w:eastAsia="宋体" w:cs="宋体"/>
                <w:color w:val="auto"/>
                <w:sz w:val="22"/>
                <w:szCs w:val="22"/>
                <w:u w:val="single"/>
              </w:rPr>
              <w:t xml:space="preserve">                        </w:t>
            </w:r>
          </w:p>
        </w:tc>
        <w:tc>
          <w:tcPr>
            <w:tcW w:w="4559" w:type="dxa"/>
            <w:noWrap w:val="0"/>
            <w:vAlign w:val="center"/>
          </w:tcPr>
          <w:p w14:paraId="76D63D03">
            <w:pPr>
              <w:widowControl/>
              <w:ind w:firstLine="420"/>
              <w:rPr>
                <w:rFonts w:hint="eastAsia" w:ascii="宋体" w:hAnsi="宋体" w:eastAsia="宋体" w:cs="宋体"/>
                <w:color w:val="auto"/>
                <w:sz w:val="22"/>
                <w:szCs w:val="22"/>
              </w:rPr>
            </w:pPr>
            <w:r>
              <w:rPr>
                <w:rFonts w:hint="eastAsia" w:ascii="宋体" w:hAnsi="宋体" w:eastAsia="宋体" w:cs="宋体"/>
                <w:color w:val="auto"/>
                <w:sz w:val="22"/>
                <w:szCs w:val="22"/>
              </w:rPr>
              <w:t>电　　话：</w:t>
            </w:r>
            <w:r>
              <w:rPr>
                <w:rFonts w:hint="eastAsia" w:ascii="宋体" w:hAnsi="宋体" w:eastAsia="宋体" w:cs="宋体"/>
                <w:color w:val="auto"/>
                <w:sz w:val="22"/>
                <w:szCs w:val="22"/>
                <w:u w:val="single"/>
              </w:rPr>
              <w:tab/>
            </w:r>
            <w:r>
              <w:rPr>
                <w:rFonts w:hint="eastAsia" w:ascii="宋体" w:hAnsi="宋体" w:eastAsia="宋体" w:cs="宋体"/>
                <w:color w:val="auto"/>
                <w:sz w:val="22"/>
                <w:szCs w:val="22"/>
                <w:u w:val="single"/>
              </w:rPr>
              <w:tab/>
            </w:r>
            <w:r>
              <w:rPr>
                <w:rFonts w:hint="eastAsia" w:ascii="宋体" w:hAnsi="宋体" w:eastAsia="宋体" w:cs="宋体"/>
                <w:color w:val="auto"/>
                <w:sz w:val="22"/>
                <w:szCs w:val="22"/>
                <w:u w:val="single"/>
              </w:rPr>
              <w:t xml:space="preserve">                        </w:t>
            </w:r>
          </w:p>
        </w:tc>
      </w:tr>
      <w:tr w14:paraId="28E20A36">
        <w:tblPrEx>
          <w:tblCellMar>
            <w:top w:w="0" w:type="dxa"/>
            <w:left w:w="108" w:type="dxa"/>
            <w:bottom w:w="0" w:type="dxa"/>
            <w:right w:w="108" w:type="dxa"/>
          </w:tblCellMar>
        </w:tblPrEx>
        <w:trPr>
          <w:trHeight w:val="680" w:hRule="atLeast"/>
          <w:jc w:val="center"/>
        </w:trPr>
        <w:tc>
          <w:tcPr>
            <w:tcW w:w="4560" w:type="dxa"/>
            <w:noWrap w:val="0"/>
            <w:vAlign w:val="center"/>
          </w:tcPr>
          <w:p w14:paraId="3EB5C035">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开户银行：</w:t>
            </w:r>
            <w:r>
              <w:rPr>
                <w:rFonts w:hint="eastAsia" w:ascii="宋体" w:hAnsi="宋体" w:eastAsia="宋体" w:cs="宋体"/>
                <w:color w:val="auto"/>
                <w:sz w:val="22"/>
                <w:szCs w:val="22"/>
                <w:u w:val="single"/>
              </w:rPr>
              <w:t xml:space="preserve">                           </w:t>
            </w:r>
          </w:p>
        </w:tc>
        <w:tc>
          <w:tcPr>
            <w:tcW w:w="4559" w:type="dxa"/>
            <w:noWrap w:val="0"/>
            <w:vAlign w:val="center"/>
          </w:tcPr>
          <w:p w14:paraId="163C0977">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开户银行：</w:t>
            </w:r>
            <w:r>
              <w:rPr>
                <w:rFonts w:hint="eastAsia" w:ascii="宋体" w:hAnsi="宋体" w:eastAsia="宋体" w:cs="宋体"/>
                <w:color w:val="auto"/>
                <w:sz w:val="22"/>
                <w:szCs w:val="22"/>
                <w:u w:val="single"/>
              </w:rPr>
              <w:t xml:space="preserve">                            </w:t>
            </w:r>
          </w:p>
        </w:tc>
      </w:tr>
      <w:tr w14:paraId="7BB707B5">
        <w:tblPrEx>
          <w:tblCellMar>
            <w:top w:w="0" w:type="dxa"/>
            <w:left w:w="108" w:type="dxa"/>
            <w:bottom w:w="0" w:type="dxa"/>
            <w:right w:w="108" w:type="dxa"/>
          </w:tblCellMar>
        </w:tblPrEx>
        <w:trPr>
          <w:trHeight w:val="680" w:hRule="atLeast"/>
          <w:jc w:val="center"/>
        </w:trPr>
        <w:tc>
          <w:tcPr>
            <w:tcW w:w="4560" w:type="dxa"/>
            <w:noWrap w:val="0"/>
            <w:vAlign w:val="center"/>
          </w:tcPr>
          <w:p w14:paraId="096F7EB1">
            <w:pPr>
              <w:widowControl/>
              <w:rPr>
                <w:rFonts w:hint="eastAsia" w:ascii="宋体" w:hAnsi="宋体" w:eastAsia="宋体" w:cs="宋体"/>
                <w:color w:val="auto"/>
                <w:sz w:val="22"/>
                <w:szCs w:val="22"/>
                <w:u w:val="single"/>
              </w:rPr>
            </w:pPr>
            <w:r>
              <w:rPr>
                <w:rFonts w:hint="eastAsia" w:ascii="宋体" w:hAnsi="宋体" w:eastAsia="宋体" w:cs="宋体"/>
                <w:color w:val="auto"/>
                <w:sz w:val="22"/>
                <w:szCs w:val="22"/>
              </w:rPr>
              <w:t>账　　号：</w:t>
            </w:r>
            <w:r>
              <w:rPr>
                <w:rFonts w:hint="eastAsia" w:ascii="宋体" w:hAnsi="宋体" w:eastAsia="宋体" w:cs="宋体"/>
                <w:color w:val="auto"/>
                <w:sz w:val="22"/>
                <w:szCs w:val="22"/>
                <w:u w:val="single"/>
              </w:rPr>
              <w:t xml:space="preserve">                           </w:t>
            </w:r>
          </w:p>
        </w:tc>
        <w:tc>
          <w:tcPr>
            <w:tcW w:w="4559" w:type="dxa"/>
            <w:noWrap w:val="0"/>
            <w:vAlign w:val="center"/>
          </w:tcPr>
          <w:p w14:paraId="28EB5EAA">
            <w:pPr>
              <w:widowControl/>
              <w:ind w:firstLine="420"/>
              <w:rPr>
                <w:rFonts w:hint="eastAsia" w:ascii="宋体" w:hAnsi="宋体" w:eastAsia="宋体" w:cs="宋体"/>
                <w:color w:val="auto"/>
                <w:sz w:val="22"/>
                <w:szCs w:val="22"/>
                <w:u w:val="single"/>
              </w:rPr>
            </w:pPr>
            <w:r>
              <w:rPr>
                <w:rFonts w:hint="eastAsia" w:ascii="宋体" w:hAnsi="宋体" w:eastAsia="宋体" w:cs="宋体"/>
                <w:color w:val="auto"/>
                <w:sz w:val="22"/>
                <w:szCs w:val="22"/>
              </w:rPr>
              <w:t>账　　号：</w:t>
            </w:r>
            <w:r>
              <w:rPr>
                <w:rFonts w:hint="eastAsia" w:ascii="宋体" w:hAnsi="宋体" w:eastAsia="宋体" w:cs="宋体"/>
                <w:color w:val="auto"/>
                <w:sz w:val="22"/>
                <w:szCs w:val="22"/>
                <w:u w:val="single"/>
              </w:rPr>
              <w:t xml:space="preserve">                            </w:t>
            </w:r>
          </w:p>
        </w:tc>
      </w:tr>
      <w:tr w14:paraId="3927E6F0">
        <w:tblPrEx>
          <w:tblCellMar>
            <w:top w:w="0" w:type="dxa"/>
            <w:left w:w="108" w:type="dxa"/>
            <w:bottom w:w="0" w:type="dxa"/>
            <w:right w:w="108" w:type="dxa"/>
          </w:tblCellMar>
        </w:tblPrEx>
        <w:trPr>
          <w:trHeight w:val="680" w:hRule="atLeast"/>
          <w:jc w:val="center"/>
        </w:trPr>
        <w:tc>
          <w:tcPr>
            <w:tcW w:w="4560" w:type="dxa"/>
            <w:noWrap w:val="0"/>
            <w:vAlign w:val="center"/>
          </w:tcPr>
          <w:p w14:paraId="4BCADDB0">
            <w:pPr>
              <w:widowControl/>
              <w:rPr>
                <w:rFonts w:hint="eastAsia" w:ascii="宋体" w:hAnsi="宋体" w:eastAsia="宋体" w:cs="宋体"/>
                <w:color w:val="auto"/>
                <w:sz w:val="22"/>
                <w:szCs w:val="22"/>
              </w:rPr>
            </w:pPr>
            <w:r>
              <w:rPr>
                <w:rFonts w:hint="eastAsia" w:ascii="宋体" w:hAnsi="宋体" w:eastAsia="宋体" w:cs="宋体"/>
                <w:color w:val="auto"/>
                <w:sz w:val="22"/>
                <w:szCs w:val="22"/>
              </w:rPr>
              <w:t>签订时间：      年　 月　 日</w:t>
            </w:r>
          </w:p>
        </w:tc>
        <w:tc>
          <w:tcPr>
            <w:tcW w:w="4559" w:type="dxa"/>
            <w:noWrap w:val="0"/>
            <w:vAlign w:val="center"/>
          </w:tcPr>
          <w:p w14:paraId="3749EEF9">
            <w:pPr>
              <w:widowControl/>
              <w:ind w:firstLine="420"/>
              <w:rPr>
                <w:rFonts w:hint="eastAsia" w:ascii="宋体" w:hAnsi="宋体" w:eastAsia="宋体" w:cs="宋体"/>
                <w:color w:val="auto"/>
                <w:sz w:val="22"/>
                <w:szCs w:val="22"/>
              </w:rPr>
            </w:pPr>
            <w:r>
              <w:rPr>
                <w:rFonts w:hint="eastAsia" w:ascii="宋体" w:hAnsi="宋体" w:eastAsia="宋体" w:cs="宋体"/>
                <w:color w:val="auto"/>
                <w:sz w:val="22"/>
                <w:szCs w:val="22"/>
              </w:rPr>
              <w:t>签订时间：      年 　 月　 日</w:t>
            </w:r>
          </w:p>
        </w:tc>
      </w:tr>
    </w:tbl>
    <w:p w14:paraId="476359BD">
      <w:pPr>
        <w:widowControl/>
        <w:rPr>
          <w:rFonts w:hint="eastAsia" w:ascii="宋体" w:hAnsi="宋体" w:eastAsia="宋体" w:cs="宋体"/>
          <w:color w:val="auto"/>
          <w:sz w:val="22"/>
          <w:szCs w:val="22"/>
        </w:rPr>
      </w:pPr>
    </w:p>
    <w:p w14:paraId="3E8F47BB">
      <w:pPr>
        <w:keepNext w:val="0"/>
        <w:keepLines w:val="0"/>
        <w:pageBreakBefore w:val="0"/>
        <w:widowControl w:val="0"/>
        <w:kinsoku/>
        <w:wordWrap/>
        <w:overflowPunct/>
        <w:topLinePunct w:val="0"/>
        <w:autoSpaceDE/>
        <w:autoSpaceDN/>
        <w:bidi w:val="0"/>
        <w:adjustRightInd/>
        <w:snapToGrid w:val="0"/>
        <w:spacing w:line="480" w:lineRule="exact"/>
        <w:ind w:firstLine="442" w:firstLineChars="200"/>
        <w:textAlignment w:val="auto"/>
        <w:rPr>
          <w:rFonts w:hint="eastAsia" w:ascii="宋体" w:hAnsi="宋体" w:eastAsia="宋体" w:cs="宋体"/>
          <w:color w:val="auto"/>
          <w:spacing w:val="0"/>
          <w:sz w:val="22"/>
          <w:szCs w:val="22"/>
          <w:u w:val="single"/>
        </w:rPr>
      </w:pPr>
      <w:r>
        <w:rPr>
          <w:rFonts w:hint="eastAsia" w:ascii="宋体" w:hAnsi="宋体" w:eastAsia="宋体" w:cs="宋体"/>
          <w:b/>
          <w:color w:val="auto"/>
          <w:sz w:val="22"/>
          <w:szCs w:val="22"/>
        </w:rPr>
        <w:t>注：本合同仅作示范文本，具体以双方</w:t>
      </w:r>
      <w:r>
        <w:rPr>
          <w:rFonts w:hint="eastAsia" w:ascii="宋体" w:hAnsi="宋体" w:eastAsia="宋体" w:cs="宋体"/>
          <w:b/>
          <w:color w:val="auto"/>
          <w:sz w:val="22"/>
          <w:szCs w:val="22"/>
          <w:lang w:eastAsia="zh-CN"/>
        </w:rPr>
        <w:t>签订的</w:t>
      </w:r>
      <w:r>
        <w:rPr>
          <w:rFonts w:hint="eastAsia" w:ascii="宋体" w:hAnsi="宋体" w:eastAsia="宋体" w:cs="宋体"/>
          <w:b/>
          <w:color w:val="auto"/>
          <w:sz w:val="22"/>
          <w:szCs w:val="22"/>
        </w:rPr>
        <w:t>正式合同为准，合同内容不得违背竞争性磋商文件、供应商响应文件及磋商现场承诺内容等实质性要求。</w:t>
      </w:r>
    </w:p>
    <w:p w14:paraId="6A68C762">
      <w:pPr>
        <w:rPr>
          <w:rFonts w:hint="eastAsia" w:ascii="宋体" w:hAnsi="宋体" w:eastAsia="宋体" w:cs="宋体"/>
          <w:color w:val="auto"/>
          <w:spacing w:val="0"/>
          <w:sz w:val="22"/>
          <w:szCs w:val="22"/>
          <w:u w:val="single"/>
        </w:rPr>
      </w:pPr>
      <w:r>
        <w:rPr>
          <w:rFonts w:hint="eastAsia" w:ascii="宋体" w:hAnsi="宋体" w:eastAsia="宋体" w:cs="宋体"/>
          <w:color w:val="auto"/>
          <w:spacing w:val="0"/>
          <w:sz w:val="22"/>
          <w:szCs w:val="22"/>
          <w:u w:val="single"/>
        </w:rPr>
        <w:br w:type="page"/>
      </w:r>
    </w:p>
    <w:p w14:paraId="220D6044">
      <w:pPr>
        <w:pStyle w:val="2"/>
        <w:keepNext w:val="0"/>
        <w:keepLines w:val="0"/>
        <w:pageBreakBefore w:val="0"/>
        <w:widowControl w:val="0"/>
        <w:kinsoku/>
        <w:overflowPunct/>
        <w:topLinePunct w:val="0"/>
        <w:bidi w:val="0"/>
        <w:ind w:left="0" w:leftChars="0" w:firstLine="0" w:firstLineChars="0"/>
        <w:rPr>
          <w:rFonts w:hint="eastAsia" w:ascii="宋体" w:hAnsi="宋体" w:eastAsia="宋体" w:cs="宋体"/>
          <w:color w:val="auto"/>
          <w:highlight w:val="none"/>
        </w:rPr>
      </w:pPr>
    </w:p>
    <w:p w14:paraId="4FF3601A">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45C17B41">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604C3ED7">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418E1534">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1051A98C">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4AC3E735">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7B190074">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37F2014F">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0595B73E">
      <w:pPr>
        <w:pStyle w:val="3"/>
        <w:keepNext w:val="0"/>
        <w:keepLines w:val="0"/>
        <w:pageBreakBefore w:val="0"/>
        <w:widowControl w:val="0"/>
        <w:kinsoku/>
        <w:overflowPunct/>
        <w:topLinePunct w:val="0"/>
        <w:bidi w:val="0"/>
        <w:spacing w:line="480" w:lineRule="exact"/>
        <w:ind w:left="0"/>
        <w:rPr>
          <w:rFonts w:hint="eastAsia" w:ascii="宋体" w:hAnsi="宋体" w:eastAsia="宋体" w:cs="宋体"/>
          <w:b/>
          <w:bCs/>
          <w:color w:val="auto"/>
          <w:spacing w:val="0"/>
          <w:w w:val="100"/>
          <w:sz w:val="36"/>
          <w:szCs w:val="72"/>
          <w:highlight w:val="none"/>
        </w:rPr>
      </w:pPr>
    </w:p>
    <w:p w14:paraId="0553782A">
      <w:pPr>
        <w:pStyle w:val="3"/>
        <w:keepNext w:val="0"/>
        <w:keepLines w:val="0"/>
        <w:pageBreakBefore w:val="0"/>
        <w:widowControl w:val="0"/>
        <w:kinsoku/>
        <w:overflowPunct/>
        <w:topLinePunct w:val="0"/>
        <w:bidi w:val="0"/>
        <w:spacing w:line="480" w:lineRule="exact"/>
        <w:ind w:left="0"/>
        <w:jc w:val="center"/>
        <w:rPr>
          <w:rFonts w:hint="eastAsia" w:ascii="宋体" w:hAnsi="宋体" w:eastAsia="宋体" w:cs="宋体"/>
          <w:b/>
          <w:bCs/>
          <w:color w:val="auto"/>
          <w:spacing w:val="0"/>
          <w:w w:val="100"/>
          <w:sz w:val="40"/>
          <w:szCs w:val="96"/>
          <w:highlight w:val="none"/>
        </w:rPr>
      </w:pPr>
      <w:r>
        <w:rPr>
          <w:rFonts w:hint="eastAsia" w:ascii="宋体" w:hAnsi="宋体" w:eastAsia="宋体" w:cs="宋体"/>
          <w:b/>
          <w:bCs/>
          <w:color w:val="auto"/>
          <w:spacing w:val="0"/>
          <w:w w:val="100"/>
          <w:sz w:val="40"/>
          <w:szCs w:val="96"/>
          <w:highlight w:val="none"/>
        </w:rPr>
        <w:t>第五章</w:t>
      </w:r>
      <w:r>
        <w:rPr>
          <w:rFonts w:hint="eastAsia" w:ascii="宋体" w:hAnsi="宋体" w:eastAsia="宋体" w:cs="宋体"/>
          <w:b/>
          <w:bCs/>
          <w:color w:val="auto"/>
          <w:spacing w:val="0"/>
          <w:w w:val="100"/>
          <w:sz w:val="40"/>
          <w:szCs w:val="96"/>
          <w:highlight w:val="none"/>
          <w:lang w:val="en-US" w:eastAsia="zh-CN"/>
        </w:rPr>
        <w:t xml:space="preserve">  </w:t>
      </w:r>
      <w:r>
        <w:rPr>
          <w:rFonts w:hint="eastAsia" w:ascii="宋体" w:hAnsi="宋体" w:eastAsia="宋体" w:cs="宋体"/>
          <w:b/>
          <w:bCs/>
          <w:color w:val="auto"/>
          <w:spacing w:val="0"/>
          <w:w w:val="100"/>
          <w:sz w:val="40"/>
          <w:szCs w:val="96"/>
          <w:highlight w:val="none"/>
        </w:rPr>
        <w:t>磋商相关文件格式</w:t>
      </w:r>
      <w:bookmarkEnd w:id="168"/>
      <w:bookmarkEnd w:id="176"/>
      <w:bookmarkEnd w:id="177"/>
      <w:bookmarkStart w:id="186" w:name="_Toc15813259"/>
      <w:bookmarkStart w:id="187" w:name="_Toc47756041"/>
      <w:bookmarkStart w:id="188" w:name="_Toc45506740"/>
      <w:bookmarkStart w:id="189" w:name="_Toc15805942"/>
    </w:p>
    <w:p w14:paraId="6E7D1B49">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30"/>
          <w:highlight w:val="none"/>
        </w:rPr>
      </w:pPr>
      <w:bookmarkStart w:id="190" w:name="_Toc493955975"/>
      <w:bookmarkStart w:id="191" w:name="_Toc494558370"/>
    </w:p>
    <w:p w14:paraId="5EBD48A3">
      <w:pPr>
        <w:pStyle w:val="4"/>
        <w:keepNext w:val="0"/>
        <w:keepLines w:val="0"/>
        <w:pageBreakBefore w:val="0"/>
        <w:widowControl w:val="0"/>
        <w:tabs>
          <w:tab w:val="left" w:pos="3405"/>
        </w:tabs>
        <w:kinsoku/>
        <w:overflowPunct/>
        <w:topLinePunct w:val="0"/>
        <w:bidi w:val="0"/>
        <w:ind w:left="0" w:firstLine="0"/>
        <w:jc w:val="center"/>
        <w:rPr>
          <w:rFonts w:hint="eastAsia" w:ascii="宋体" w:hAnsi="宋体" w:eastAsia="宋体" w:cs="宋体"/>
          <w:b/>
          <w:bCs/>
          <w:color w:val="auto"/>
          <w:spacing w:val="0"/>
          <w:w w:val="100"/>
          <w:sz w:val="36"/>
          <w:szCs w:val="21"/>
          <w:highlight w:val="none"/>
        </w:rPr>
      </w:pPr>
      <w:bookmarkStart w:id="192" w:name="_Toc24057"/>
      <w:r>
        <w:rPr>
          <w:rFonts w:hint="eastAsia" w:ascii="宋体" w:hAnsi="宋体" w:eastAsia="宋体" w:cs="宋体"/>
          <w:b/>
          <w:bCs/>
          <w:color w:val="auto"/>
          <w:spacing w:val="0"/>
          <w:w w:val="100"/>
          <w:sz w:val="36"/>
          <w:szCs w:val="21"/>
          <w:highlight w:val="none"/>
        </w:rPr>
        <w:t>一  资格审查文件格式</w:t>
      </w:r>
      <w:bookmarkEnd w:id="192"/>
    </w:p>
    <w:p w14:paraId="587CE73E">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61F0541E">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2B23F6A4">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5199059A">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7F65E99C">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79C8368F">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2B5F747E">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1ED51A9F">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2AFFD6CE">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r>
        <w:rPr>
          <w:rFonts w:hint="eastAsia" w:ascii="宋体" w:hAnsi="宋体" w:eastAsia="宋体" w:cs="宋体"/>
          <w:color w:val="auto"/>
          <w:spacing w:val="0"/>
          <w:w w:val="100"/>
          <w:highlight w:val="none"/>
        </w:rPr>
        <w:br w:type="page"/>
      </w:r>
    </w:p>
    <w:p w14:paraId="2D35BF3C">
      <w:pPr>
        <w:keepNext w:val="0"/>
        <w:keepLines w:val="0"/>
        <w:pageBreakBefore w:val="0"/>
        <w:widowControl w:val="0"/>
        <w:kinsoku/>
        <w:overflowPunct/>
        <w:topLinePunct w:val="0"/>
        <w:bidi w:val="0"/>
        <w:spacing w:line="360" w:lineRule="auto"/>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rPr>
        <w:t>“资格审查文件”封面格式</w:t>
      </w:r>
    </w:p>
    <w:p w14:paraId="39803E4D">
      <w:pPr>
        <w:keepNext w:val="0"/>
        <w:keepLines w:val="0"/>
        <w:pageBreakBefore w:val="0"/>
        <w:widowControl w:val="0"/>
        <w:kinsoku/>
        <w:overflowPunct/>
        <w:topLinePunct w:val="0"/>
        <w:bidi w:val="0"/>
        <w:spacing w:before="508"/>
        <w:ind w:right="155"/>
        <w:jc w:val="center"/>
        <w:rPr>
          <w:rFonts w:hint="eastAsia" w:ascii="宋体" w:hAnsi="宋体" w:eastAsia="宋体" w:cs="宋体"/>
          <w:b/>
          <w:color w:val="auto"/>
          <w:spacing w:val="0"/>
          <w:w w:val="100"/>
          <w:sz w:val="84"/>
          <w:szCs w:val="84"/>
          <w:highlight w:val="none"/>
        </w:rPr>
      </w:pPr>
      <w:r>
        <w:rPr>
          <w:rFonts w:hint="eastAsia" w:ascii="宋体" w:hAnsi="宋体" w:eastAsia="宋体" w:cs="宋体"/>
          <w:b/>
          <w:color w:val="auto"/>
          <w:spacing w:val="0"/>
          <w:w w:val="100"/>
          <w:sz w:val="84"/>
          <w:szCs w:val="84"/>
          <w:highlight w:val="none"/>
        </w:rPr>
        <w:t>磋商响应文件</w:t>
      </w:r>
    </w:p>
    <w:p w14:paraId="7D122CD7">
      <w:pPr>
        <w:keepNext w:val="0"/>
        <w:keepLines w:val="0"/>
        <w:pageBreakBefore w:val="0"/>
        <w:widowControl w:val="0"/>
        <w:kinsoku/>
        <w:overflowPunct/>
        <w:topLinePunct w:val="0"/>
        <w:bidi w:val="0"/>
        <w:spacing w:before="151"/>
        <w:ind w:right="154"/>
        <w:jc w:val="center"/>
        <w:rPr>
          <w:rFonts w:hint="eastAsia" w:ascii="宋体" w:hAnsi="宋体" w:eastAsia="宋体" w:cs="宋体"/>
          <w:b/>
          <w:color w:val="auto"/>
          <w:spacing w:val="0"/>
          <w:w w:val="100"/>
          <w:sz w:val="48"/>
          <w:highlight w:val="none"/>
        </w:rPr>
      </w:pPr>
      <w:r>
        <w:rPr>
          <w:rFonts w:hint="eastAsia" w:ascii="宋体" w:hAnsi="宋体" w:eastAsia="宋体" w:cs="宋体"/>
          <w:b/>
          <w:color w:val="auto"/>
          <w:spacing w:val="0"/>
          <w:w w:val="100"/>
          <w:sz w:val="48"/>
          <w:highlight w:val="none"/>
        </w:rPr>
        <w:t>（资格审查文件）</w:t>
      </w:r>
    </w:p>
    <w:p w14:paraId="18391BE5">
      <w:pPr>
        <w:pStyle w:val="15"/>
        <w:keepNext w:val="0"/>
        <w:keepLines w:val="0"/>
        <w:pageBreakBefore w:val="0"/>
        <w:widowControl w:val="0"/>
        <w:tabs>
          <w:tab w:val="left" w:pos="208"/>
        </w:tabs>
        <w:kinsoku/>
        <w:overflowPunct/>
        <w:topLinePunct w:val="0"/>
        <w:bidi w:val="0"/>
        <w:ind w:firstLine="402"/>
        <w:rPr>
          <w:rFonts w:hint="eastAsia" w:ascii="宋体" w:hAnsi="宋体" w:eastAsia="宋体" w:cs="宋体"/>
          <w:b/>
          <w:color w:val="auto"/>
          <w:spacing w:val="0"/>
          <w:w w:val="100"/>
          <w:highlight w:val="none"/>
        </w:rPr>
      </w:pPr>
    </w:p>
    <w:p w14:paraId="71EBFCF4">
      <w:pPr>
        <w:pStyle w:val="15"/>
        <w:keepNext w:val="0"/>
        <w:keepLines w:val="0"/>
        <w:pageBreakBefore w:val="0"/>
        <w:widowControl w:val="0"/>
        <w:tabs>
          <w:tab w:val="left" w:pos="208"/>
        </w:tabs>
        <w:kinsoku/>
        <w:overflowPunct/>
        <w:topLinePunct w:val="0"/>
        <w:bidi w:val="0"/>
        <w:ind w:firstLine="402"/>
        <w:rPr>
          <w:rFonts w:hint="eastAsia" w:ascii="宋体" w:hAnsi="宋体" w:eastAsia="宋体" w:cs="宋体"/>
          <w:b/>
          <w:color w:val="auto"/>
          <w:spacing w:val="0"/>
          <w:w w:val="100"/>
          <w:highlight w:val="none"/>
        </w:rPr>
      </w:pPr>
    </w:p>
    <w:p w14:paraId="0C262DB8">
      <w:pPr>
        <w:pStyle w:val="26"/>
        <w:keepNext w:val="0"/>
        <w:keepLines w:val="0"/>
        <w:pageBreakBefore w:val="0"/>
        <w:widowControl w:val="0"/>
        <w:kinsoku/>
        <w:overflowPunct/>
        <w:topLinePunct w:val="0"/>
        <w:bidi w:val="0"/>
        <w:ind w:firstLine="210"/>
        <w:rPr>
          <w:rFonts w:hint="eastAsia" w:ascii="宋体" w:hAnsi="宋体" w:eastAsia="宋体" w:cs="宋体"/>
          <w:color w:val="auto"/>
          <w:spacing w:val="0"/>
          <w:w w:val="100"/>
          <w:highlight w:val="none"/>
        </w:rPr>
      </w:pPr>
    </w:p>
    <w:p w14:paraId="0F38DFDA">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727DD483">
      <w:pPr>
        <w:pStyle w:val="2"/>
        <w:keepNext w:val="0"/>
        <w:keepLines w:val="0"/>
        <w:pageBreakBefore w:val="0"/>
        <w:widowControl w:val="0"/>
        <w:kinsoku/>
        <w:overflowPunct/>
        <w:topLinePunct w:val="0"/>
        <w:bidi w:val="0"/>
        <w:rPr>
          <w:rFonts w:hint="eastAsia" w:ascii="宋体" w:hAnsi="宋体" w:eastAsia="宋体" w:cs="宋体"/>
          <w:color w:val="auto"/>
          <w:highlight w:val="none"/>
        </w:rPr>
      </w:pPr>
    </w:p>
    <w:p w14:paraId="6D7C9FE9">
      <w:pPr>
        <w:pStyle w:val="15"/>
        <w:keepNext w:val="0"/>
        <w:keepLines w:val="0"/>
        <w:pageBreakBefore w:val="0"/>
        <w:widowControl w:val="0"/>
        <w:tabs>
          <w:tab w:val="left" w:pos="208"/>
        </w:tabs>
        <w:kinsoku/>
        <w:overflowPunct/>
        <w:topLinePunct w:val="0"/>
        <w:bidi w:val="0"/>
        <w:ind w:firstLine="341"/>
        <w:rPr>
          <w:rFonts w:hint="eastAsia" w:ascii="宋体" w:hAnsi="宋体" w:eastAsia="宋体" w:cs="宋体"/>
          <w:b/>
          <w:color w:val="auto"/>
          <w:spacing w:val="0"/>
          <w:w w:val="100"/>
          <w:sz w:val="17"/>
          <w:highlight w:val="none"/>
        </w:rPr>
      </w:pPr>
    </w:p>
    <w:tbl>
      <w:tblPr>
        <w:tblStyle w:val="41"/>
        <w:tblW w:w="8175" w:type="dxa"/>
        <w:jc w:val="center"/>
        <w:tblLayout w:type="fixed"/>
        <w:tblCellMar>
          <w:top w:w="0" w:type="dxa"/>
          <w:left w:w="0" w:type="dxa"/>
          <w:bottom w:w="0" w:type="dxa"/>
          <w:right w:w="0" w:type="dxa"/>
        </w:tblCellMar>
      </w:tblPr>
      <w:tblGrid>
        <w:gridCol w:w="8175"/>
      </w:tblGrid>
      <w:tr w14:paraId="04F21A55">
        <w:tblPrEx>
          <w:tblCellMar>
            <w:top w:w="0" w:type="dxa"/>
            <w:left w:w="0" w:type="dxa"/>
            <w:bottom w:w="0" w:type="dxa"/>
            <w:right w:w="0" w:type="dxa"/>
          </w:tblCellMar>
        </w:tblPrEx>
        <w:trPr>
          <w:trHeight w:val="1134" w:hRule="atLeast"/>
          <w:jc w:val="center"/>
        </w:trPr>
        <w:tc>
          <w:tcPr>
            <w:tcW w:w="8175" w:type="dxa"/>
            <w:vAlign w:val="center"/>
          </w:tcPr>
          <w:p w14:paraId="5A19DBA6">
            <w:pPr>
              <w:pStyle w:val="100"/>
              <w:keepNext w:val="0"/>
              <w:keepLines w:val="0"/>
              <w:pageBreakBefore w:val="0"/>
              <w:widowControl w:val="0"/>
              <w:kinsoku/>
              <w:overflowPunct/>
              <w:topLinePunct w:val="0"/>
              <w:autoSpaceDE w:val="0"/>
              <w:autoSpaceDN w:val="0"/>
              <w:bidi w:val="0"/>
              <w:spacing w:line="480" w:lineRule="auto"/>
              <w:ind w:left="200"/>
              <w:rPr>
                <w:rFonts w:hint="eastAsia" w:ascii="宋体" w:hAnsi="宋体" w:eastAsia="宋体" w:cs="宋体"/>
                <w:b/>
                <w:color w:val="auto"/>
                <w:spacing w:val="0"/>
                <w:w w:val="100"/>
                <w:sz w:val="28"/>
                <w:highlight w:val="none"/>
                <w:lang w:val="en-US"/>
              </w:rPr>
            </w:pPr>
            <w:r>
              <w:rPr>
                <w:rFonts w:hint="eastAsia" w:ascii="宋体" w:hAnsi="宋体" w:eastAsia="宋体" w:cs="宋体"/>
                <w:b/>
                <w:color w:val="auto"/>
                <w:spacing w:val="0"/>
                <w:w w:val="100"/>
                <w:sz w:val="28"/>
                <w:highlight w:val="none"/>
              </w:rPr>
              <w:t>项目名称：</w:t>
            </w:r>
            <w:r>
              <w:rPr>
                <w:rFonts w:hint="eastAsia" w:ascii="宋体" w:hAnsi="宋体" w:eastAsia="宋体" w:cs="宋体"/>
                <w:b/>
                <w:color w:val="auto"/>
                <w:spacing w:val="0"/>
                <w:w w:val="100"/>
                <w:sz w:val="28"/>
                <w:highlight w:val="none"/>
                <w:u w:val="single"/>
                <w:lang w:val="en-US"/>
              </w:rPr>
              <w:t xml:space="preserve">                                             </w:t>
            </w:r>
          </w:p>
        </w:tc>
      </w:tr>
      <w:tr w14:paraId="714CC94F">
        <w:tblPrEx>
          <w:tblCellMar>
            <w:top w:w="0" w:type="dxa"/>
            <w:left w:w="0" w:type="dxa"/>
            <w:bottom w:w="0" w:type="dxa"/>
            <w:right w:w="0" w:type="dxa"/>
          </w:tblCellMar>
        </w:tblPrEx>
        <w:trPr>
          <w:trHeight w:val="1134" w:hRule="atLeast"/>
          <w:jc w:val="center"/>
        </w:trPr>
        <w:tc>
          <w:tcPr>
            <w:tcW w:w="8175" w:type="dxa"/>
            <w:vAlign w:val="center"/>
          </w:tcPr>
          <w:p w14:paraId="7B744E23">
            <w:pPr>
              <w:pStyle w:val="100"/>
              <w:keepNext w:val="0"/>
              <w:keepLines w:val="0"/>
              <w:pageBreakBefore w:val="0"/>
              <w:widowControl w:val="0"/>
              <w:kinsoku/>
              <w:overflowPunct/>
              <w:topLinePunct w:val="0"/>
              <w:autoSpaceDE w:val="0"/>
              <w:autoSpaceDN w:val="0"/>
              <w:bidi w:val="0"/>
              <w:spacing w:before="161" w:line="480" w:lineRule="auto"/>
              <w:ind w:left="200"/>
              <w:rPr>
                <w:rFonts w:hint="eastAsia" w:ascii="宋体" w:hAnsi="宋体" w:eastAsia="宋体" w:cs="宋体"/>
                <w:b/>
                <w:color w:val="auto"/>
                <w:spacing w:val="0"/>
                <w:w w:val="100"/>
                <w:sz w:val="28"/>
                <w:highlight w:val="none"/>
                <w:u w:val="single"/>
                <w:lang w:val="en-US"/>
              </w:rPr>
            </w:pPr>
            <w:r>
              <w:rPr>
                <w:rFonts w:hint="eastAsia" w:ascii="宋体" w:hAnsi="宋体" w:eastAsia="宋体" w:cs="宋体"/>
                <w:b/>
                <w:color w:val="auto"/>
                <w:spacing w:val="0"/>
                <w:w w:val="100"/>
                <w:sz w:val="28"/>
                <w:highlight w:val="none"/>
              </w:rPr>
              <w:t>项目编号：</w:t>
            </w:r>
            <w:r>
              <w:rPr>
                <w:rFonts w:hint="eastAsia" w:ascii="宋体" w:hAnsi="宋体" w:eastAsia="宋体" w:cs="宋体"/>
                <w:b/>
                <w:color w:val="auto"/>
                <w:spacing w:val="0"/>
                <w:w w:val="100"/>
                <w:sz w:val="28"/>
                <w:highlight w:val="none"/>
                <w:u w:val="single"/>
                <w:lang w:val="en-US"/>
              </w:rPr>
              <w:t xml:space="preserve">                                             </w:t>
            </w:r>
          </w:p>
        </w:tc>
      </w:tr>
      <w:tr w14:paraId="7263A2CF">
        <w:tblPrEx>
          <w:tblCellMar>
            <w:top w:w="0" w:type="dxa"/>
            <w:left w:w="0" w:type="dxa"/>
            <w:bottom w:w="0" w:type="dxa"/>
            <w:right w:w="0" w:type="dxa"/>
          </w:tblCellMar>
        </w:tblPrEx>
        <w:trPr>
          <w:trHeight w:val="1134" w:hRule="atLeast"/>
          <w:jc w:val="center"/>
        </w:trPr>
        <w:tc>
          <w:tcPr>
            <w:tcW w:w="8175" w:type="dxa"/>
          </w:tcPr>
          <w:p w14:paraId="656A3A40">
            <w:pPr>
              <w:pStyle w:val="100"/>
              <w:keepNext w:val="0"/>
              <w:keepLines w:val="0"/>
              <w:pageBreakBefore w:val="0"/>
              <w:widowControl w:val="0"/>
              <w:tabs>
                <w:tab w:val="left" w:pos="8323"/>
              </w:tabs>
              <w:kinsoku/>
              <w:overflowPunct/>
              <w:topLinePunct w:val="0"/>
              <w:autoSpaceDE w:val="0"/>
              <w:autoSpaceDN w:val="0"/>
              <w:bidi w:val="0"/>
              <w:spacing w:before="160" w:line="480" w:lineRule="auto"/>
              <w:ind w:left="200"/>
              <w:rPr>
                <w:rFonts w:hint="eastAsia" w:ascii="宋体" w:hAnsi="宋体" w:eastAsia="宋体" w:cs="宋体"/>
                <w:b/>
                <w:color w:val="auto"/>
                <w:spacing w:val="0"/>
                <w:w w:val="100"/>
                <w:sz w:val="28"/>
                <w:highlight w:val="none"/>
                <w:lang w:val="en-US"/>
              </w:rPr>
            </w:pPr>
            <w:r>
              <w:rPr>
                <w:rFonts w:hint="eastAsia" w:ascii="宋体" w:hAnsi="宋体" w:eastAsia="宋体" w:cs="宋体"/>
                <w:b/>
                <w:color w:val="auto"/>
                <w:spacing w:val="0"/>
                <w:w w:val="100"/>
                <w:sz w:val="28"/>
                <w:highlight w:val="none"/>
              </w:rPr>
              <w:t>磋商供应商名称（CA签章）：</w:t>
            </w:r>
            <w:r>
              <w:rPr>
                <w:rFonts w:hint="eastAsia" w:ascii="宋体" w:hAnsi="宋体" w:eastAsia="宋体" w:cs="宋体"/>
                <w:b/>
                <w:color w:val="auto"/>
                <w:spacing w:val="0"/>
                <w:w w:val="100"/>
                <w:sz w:val="28"/>
                <w:highlight w:val="none"/>
                <w:u w:val="single"/>
                <w:lang w:val="en-US"/>
              </w:rPr>
              <w:t xml:space="preserve">                             </w:t>
            </w:r>
          </w:p>
        </w:tc>
      </w:tr>
      <w:tr w14:paraId="28E1F842">
        <w:tblPrEx>
          <w:tblCellMar>
            <w:top w:w="0" w:type="dxa"/>
            <w:left w:w="0" w:type="dxa"/>
            <w:bottom w:w="0" w:type="dxa"/>
            <w:right w:w="0" w:type="dxa"/>
          </w:tblCellMar>
        </w:tblPrEx>
        <w:trPr>
          <w:trHeight w:val="1134" w:hRule="atLeast"/>
          <w:jc w:val="center"/>
        </w:trPr>
        <w:tc>
          <w:tcPr>
            <w:tcW w:w="8175" w:type="dxa"/>
          </w:tcPr>
          <w:p w14:paraId="0140E36D">
            <w:pPr>
              <w:pStyle w:val="100"/>
              <w:keepNext w:val="0"/>
              <w:keepLines w:val="0"/>
              <w:pageBreakBefore w:val="0"/>
              <w:widowControl w:val="0"/>
              <w:tabs>
                <w:tab w:val="left" w:pos="8168"/>
              </w:tabs>
              <w:kinsoku/>
              <w:overflowPunct/>
              <w:topLinePunct w:val="0"/>
              <w:autoSpaceDE w:val="0"/>
              <w:autoSpaceDN w:val="0"/>
              <w:bidi w:val="0"/>
              <w:spacing w:before="161" w:line="480" w:lineRule="auto"/>
              <w:ind w:left="200"/>
              <w:rPr>
                <w:rFonts w:hint="eastAsia" w:ascii="宋体" w:hAnsi="宋体" w:eastAsia="宋体" w:cs="宋体"/>
                <w:b/>
                <w:color w:val="auto"/>
                <w:spacing w:val="0"/>
                <w:w w:val="100"/>
                <w:sz w:val="22"/>
                <w:highlight w:val="none"/>
                <w:lang w:val="en-US" w:eastAsia="en-US"/>
              </w:rPr>
            </w:pPr>
            <w:r>
              <w:rPr>
                <w:rFonts w:hint="eastAsia" w:ascii="宋体" w:hAnsi="宋体" w:eastAsia="宋体" w:cs="宋体"/>
                <w:b/>
                <w:color w:val="auto"/>
                <w:spacing w:val="0"/>
                <w:w w:val="100"/>
                <w:sz w:val="28"/>
                <w:highlight w:val="none"/>
                <w:lang w:eastAsia="en-US"/>
              </w:rPr>
              <w:t>磋商供应商地址：</w:t>
            </w:r>
            <w:r>
              <w:rPr>
                <w:rFonts w:hint="eastAsia" w:ascii="宋体" w:hAnsi="宋体" w:eastAsia="宋体" w:cs="宋体"/>
                <w:b/>
                <w:color w:val="auto"/>
                <w:spacing w:val="0"/>
                <w:w w:val="100"/>
                <w:sz w:val="28"/>
                <w:highlight w:val="none"/>
                <w:u w:val="single"/>
                <w:lang w:val="en-US"/>
              </w:rPr>
              <w:t xml:space="preserve">                                       </w:t>
            </w:r>
          </w:p>
        </w:tc>
      </w:tr>
      <w:tr w14:paraId="0C241236">
        <w:tblPrEx>
          <w:tblCellMar>
            <w:top w:w="0" w:type="dxa"/>
            <w:left w:w="0" w:type="dxa"/>
            <w:bottom w:w="0" w:type="dxa"/>
            <w:right w:w="0" w:type="dxa"/>
          </w:tblCellMar>
        </w:tblPrEx>
        <w:trPr>
          <w:trHeight w:val="1134" w:hRule="atLeast"/>
          <w:jc w:val="center"/>
        </w:trPr>
        <w:tc>
          <w:tcPr>
            <w:tcW w:w="8175" w:type="dxa"/>
          </w:tcPr>
          <w:p w14:paraId="451DFC9A">
            <w:pPr>
              <w:pStyle w:val="100"/>
              <w:keepNext w:val="0"/>
              <w:keepLines w:val="0"/>
              <w:pageBreakBefore w:val="0"/>
              <w:widowControl w:val="0"/>
              <w:tabs>
                <w:tab w:val="left" w:pos="8150"/>
              </w:tabs>
              <w:kinsoku/>
              <w:overflowPunct/>
              <w:topLinePunct w:val="0"/>
              <w:autoSpaceDE w:val="0"/>
              <w:autoSpaceDN w:val="0"/>
              <w:bidi w:val="0"/>
              <w:spacing w:before="160" w:line="480" w:lineRule="auto"/>
              <w:ind w:left="200"/>
              <w:rPr>
                <w:rFonts w:hint="eastAsia" w:ascii="宋体" w:hAnsi="宋体" w:eastAsia="宋体" w:cs="宋体"/>
                <w:b/>
                <w:color w:val="auto"/>
                <w:spacing w:val="0"/>
                <w:w w:val="100"/>
                <w:sz w:val="22"/>
                <w:highlight w:val="none"/>
                <w:lang w:val="en-US"/>
              </w:rPr>
            </w:pPr>
            <w:r>
              <w:rPr>
                <w:rFonts w:hint="eastAsia" w:ascii="宋体" w:hAnsi="宋体" w:eastAsia="宋体" w:cs="宋体"/>
                <w:b/>
                <w:color w:val="auto"/>
                <w:spacing w:val="0"/>
                <w:w w:val="100"/>
                <w:sz w:val="28"/>
                <w:highlight w:val="none"/>
                <w:lang w:eastAsia="en-US"/>
              </w:rPr>
              <w:t>日</w:t>
            </w:r>
            <w:r>
              <w:rPr>
                <w:rFonts w:hint="eastAsia" w:ascii="宋体" w:hAnsi="宋体" w:eastAsia="宋体" w:cs="宋体"/>
                <w:b/>
                <w:color w:val="auto"/>
                <w:spacing w:val="0"/>
                <w:w w:val="100"/>
                <w:sz w:val="28"/>
                <w:highlight w:val="none"/>
                <w:lang w:val="en-US"/>
              </w:rPr>
              <w:t xml:space="preserve">   </w:t>
            </w:r>
            <w:r>
              <w:rPr>
                <w:rFonts w:hint="eastAsia" w:ascii="宋体" w:hAnsi="宋体" w:eastAsia="宋体" w:cs="宋体"/>
                <w:b/>
                <w:color w:val="auto"/>
                <w:spacing w:val="0"/>
                <w:w w:val="100"/>
                <w:sz w:val="28"/>
                <w:highlight w:val="none"/>
                <w:lang w:eastAsia="en-US"/>
              </w:rPr>
              <w:t>期：</w:t>
            </w:r>
            <w:r>
              <w:rPr>
                <w:rFonts w:hint="eastAsia" w:ascii="宋体" w:hAnsi="宋体" w:eastAsia="宋体" w:cs="宋体"/>
                <w:b/>
                <w:color w:val="auto"/>
                <w:spacing w:val="0"/>
                <w:w w:val="100"/>
                <w:sz w:val="28"/>
                <w:highlight w:val="none"/>
                <w:u w:val="single"/>
                <w:lang w:val="en-US"/>
              </w:rPr>
              <w:t xml:space="preserve">                                              </w:t>
            </w:r>
          </w:p>
        </w:tc>
      </w:tr>
      <w:bookmarkEnd w:id="190"/>
      <w:bookmarkEnd w:id="191"/>
    </w:tbl>
    <w:p w14:paraId="2C56D9A1">
      <w:pPr>
        <w:pStyle w:val="4"/>
        <w:keepNext w:val="0"/>
        <w:keepLines w:val="0"/>
        <w:pageBreakBefore w:val="0"/>
        <w:widowControl w:val="0"/>
        <w:kinsoku/>
        <w:overflowPunct/>
        <w:topLinePunct w:val="0"/>
        <w:bidi w:val="0"/>
        <w:ind w:left="0" w:firstLine="0"/>
        <w:jc w:val="center"/>
        <w:rPr>
          <w:rFonts w:hint="eastAsia" w:ascii="宋体" w:hAnsi="宋体" w:eastAsia="宋体" w:cs="宋体"/>
          <w:b/>
          <w:color w:val="auto"/>
          <w:spacing w:val="0"/>
          <w:w w:val="100"/>
          <w:sz w:val="32"/>
          <w:highlight w:val="none"/>
        </w:rPr>
      </w:pPr>
      <w:r>
        <w:rPr>
          <w:rFonts w:hint="eastAsia" w:ascii="宋体" w:hAnsi="宋体" w:eastAsia="宋体" w:cs="宋体"/>
          <w:b/>
          <w:color w:val="auto"/>
          <w:spacing w:val="0"/>
          <w:w w:val="100"/>
          <w:sz w:val="32"/>
          <w:highlight w:val="none"/>
        </w:rPr>
        <w:br w:type="page"/>
      </w:r>
      <w:bookmarkStart w:id="193" w:name="_Toc29191"/>
    </w:p>
    <w:p w14:paraId="6EECC061">
      <w:pPr>
        <w:pStyle w:val="4"/>
        <w:keepNext w:val="0"/>
        <w:keepLines w:val="0"/>
        <w:pageBreakBefore w:val="0"/>
        <w:widowControl w:val="0"/>
        <w:kinsoku/>
        <w:overflowPunct/>
        <w:topLinePunct w:val="0"/>
        <w:bidi w:val="0"/>
        <w:ind w:left="0" w:firstLine="0"/>
        <w:jc w:val="center"/>
        <w:rPr>
          <w:rFonts w:hint="eastAsia" w:ascii="宋体" w:hAnsi="宋体" w:eastAsia="宋体" w:cs="宋体"/>
          <w:b/>
          <w:bCs/>
          <w:color w:val="auto"/>
          <w:spacing w:val="0"/>
          <w:w w:val="100"/>
          <w:sz w:val="28"/>
          <w:szCs w:val="28"/>
          <w:highlight w:val="none"/>
        </w:rPr>
      </w:pPr>
      <w:r>
        <w:rPr>
          <w:rFonts w:hint="eastAsia" w:ascii="宋体" w:hAnsi="宋体" w:eastAsia="宋体" w:cs="宋体"/>
          <w:b/>
          <w:bCs/>
          <w:color w:val="auto"/>
          <w:spacing w:val="0"/>
          <w:w w:val="100"/>
          <w:sz w:val="28"/>
          <w:szCs w:val="28"/>
          <w:highlight w:val="none"/>
        </w:rPr>
        <w:t>1、公司有效营业执照复印件</w:t>
      </w:r>
      <w:bookmarkEnd w:id="193"/>
    </w:p>
    <w:p w14:paraId="50D6E28D">
      <w:pPr>
        <w:keepNext w:val="0"/>
        <w:keepLines w:val="0"/>
        <w:pageBreakBefore w:val="0"/>
        <w:widowControl w:val="0"/>
        <w:kinsoku/>
        <w:overflowPunct/>
        <w:topLinePunct w:val="0"/>
        <w:bidi w:val="0"/>
        <w:snapToGrid w:val="0"/>
        <w:spacing w:line="360" w:lineRule="auto"/>
        <w:ind w:firstLine="220" w:firstLineChars="100"/>
        <w:jc w:val="lef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要求：</w:t>
      </w:r>
    </w:p>
    <w:p w14:paraId="5D3B66B1">
      <w:pPr>
        <w:keepNext w:val="0"/>
        <w:keepLines w:val="0"/>
        <w:pageBreakBefore w:val="0"/>
        <w:widowControl w:val="0"/>
        <w:kinsoku/>
        <w:overflowPunct/>
        <w:topLinePunct w:val="0"/>
        <w:bidi w:val="0"/>
        <w:snapToGrid w:val="0"/>
        <w:spacing w:line="360" w:lineRule="auto"/>
        <w:ind w:firstLine="440" w:firstLineChars="200"/>
        <w:jc w:val="left"/>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1.提供有效的营业执照电子文档并加盖电子公章</w:t>
      </w:r>
      <w:r>
        <w:rPr>
          <w:rFonts w:hint="eastAsia" w:ascii="宋体" w:hAnsi="宋体" w:eastAsia="宋体" w:cs="宋体"/>
          <w:color w:val="auto"/>
          <w:spacing w:val="0"/>
          <w:w w:val="100"/>
          <w:sz w:val="22"/>
          <w:szCs w:val="22"/>
          <w:highlight w:val="none"/>
          <w:lang w:eastAsia="zh-CN"/>
        </w:rPr>
        <w:t>；</w:t>
      </w:r>
    </w:p>
    <w:p w14:paraId="7E946C6A">
      <w:pPr>
        <w:keepNext w:val="0"/>
        <w:keepLines w:val="0"/>
        <w:pageBreakBefore w:val="0"/>
        <w:widowControl w:val="0"/>
        <w:kinsoku/>
        <w:overflowPunct/>
        <w:topLinePunct w:val="0"/>
        <w:bidi w:val="0"/>
        <w:rPr>
          <w:rFonts w:hint="eastAsia" w:ascii="宋体" w:hAnsi="宋体" w:eastAsia="宋体" w:cs="宋体"/>
          <w:color w:val="auto"/>
          <w:highlight w:val="none"/>
        </w:rPr>
      </w:pPr>
    </w:p>
    <w:p w14:paraId="26726761">
      <w:pPr>
        <w:keepNext w:val="0"/>
        <w:keepLines w:val="0"/>
        <w:pageBreakBefore w:val="0"/>
        <w:widowControl w:val="0"/>
        <w:kinsoku/>
        <w:overflowPunct/>
        <w:topLinePunct w:val="0"/>
        <w:bidi w:val="0"/>
        <w:rPr>
          <w:rFonts w:hint="eastAsia" w:ascii="宋体" w:hAnsi="宋体" w:eastAsia="宋体" w:cs="宋体"/>
          <w:color w:val="auto"/>
          <w:highlight w:val="none"/>
        </w:rPr>
      </w:pPr>
    </w:p>
    <w:p w14:paraId="347E82FB">
      <w:pPr>
        <w:keepNext w:val="0"/>
        <w:keepLines w:val="0"/>
        <w:pageBreakBefore w:val="0"/>
        <w:widowControl w:val="0"/>
        <w:kinsoku/>
        <w:overflowPunct/>
        <w:topLinePunct w:val="0"/>
        <w:bidi w:val="0"/>
        <w:rPr>
          <w:rFonts w:hint="eastAsia" w:ascii="宋体" w:hAnsi="宋体" w:eastAsia="宋体" w:cs="宋体"/>
          <w:color w:val="auto"/>
          <w:highlight w:val="none"/>
        </w:rPr>
      </w:pPr>
    </w:p>
    <w:p w14:paraId="7F5D4C59">
      <w:pPr>
        <w:keepNext w:val="0"/>
        <w:keepLines w:val="0"/>
        <w:pageBreakBefore w:val="0"/>
        <w:widowControl w:val="0"/>
        <w:kinsoku/>
        <w:overflowPunct/>
        <w:topLinePunct w:val="0"/>
        <w:bidi w:val="0"/>
        <w:rPr>
          <w:rFonts w:hint="eastAsia" w:ascii="宋体" w:hAnsi="宋体" w:eastAsia="宋体" w:cs="宋体"/>
          <w:color w:val="auto"/>
          <w:highlight w:val="none"/>
        </w:rPr>
      </w:pPr>
    </w:p>
    <w:p w14:paraId="11048CD8">
      <w:pPr>
        <w:keepNext w:val="0"/>
        <w:keepLines w:val="0"/>
        <w:pageBreakBefore w:val="0"/>
        <w:widowControl w:val="0"/>
        <w:kinsoku/>
        <w:overflowPunct/>
        <w:topLinePunct w:val="0"/>
        <w:bidi w:val="0"/>
        <w:rPr>
          <w:rFonts w:hint="eastAsia" w:ascii="宋体" w:hAnsi="宋体" w:eastAsia="宋体" w:cs="宋体"/>
          <w:color w:val="auto"/>
          <w:highlight w:val="none"/>
        </w:rPr>
      </w:pPr>
    </w:p>
    <w:p w14:paraId="14F07E24">
      <w:pPr>
        <w:keepNext w:val="0"/>
        <w:keepLines w:val="0"/>
        <w:pageBreakBefore w:val="0"/>
        <w:widowControl w:val="0"/>
        <w:kinsoku/>
        <w:overflowPunct/>
        <w:topLinePunct w:val="0"/>
        <w:bidi w:val="0"/>
        <w:rPr>
          <w:rFonts w:hint="eastAsia" w:ascii="宋体" w:hAnsi="宋体" w:eastAsia="宋体" w:cs="宋体"/>
          <w:color w:val="auto"/>
          <w:highlight w:val="none"/>
        </w:rPr>
      </w:pPr>
    </w:p>
    <w:p w14:paraId="4BEF3792">
      <w:pPr>
        <w:keepNext w:val="0"/>
        <w:keepLines w:val="0"/>
        <w:pageBreakBefore w:val="0"/>
        <w:widowControl w:val="0"/>
        <w:kinsoku/>
        <w:overflowPunct/>
        <w:topLinePunct w:val="0"/>
        <w:bidi w:val="0"/>
        <w:rPr>
          <w:rFonts w:hint="eastAsia" w:ascii="宋体" w:hAnsi="宋体" w:eastAsia="宋体" w:cs="宋体"/>
          <w:color w:val="auto"/>
          <w:highlight w:val="none"/>
        </w:rPr>
      </w:pPr>
    </w:p>
    <w:p w14:paraId="132713B1">
      <w:pPr>
        <w:keepNext w:val="0"/>
        <w:keepLines w:val="0"/>
        <w:pageBreakBefore w:val="0"/>
        <w:widowControl w:val="0"/>
        <w:kinsoku/>
        <w:overflowPunct/>
        <w:topLinePunct w:val="0"/>
        <w:bidi w:val="0"/>
        <w:rPr>
          <w:rFonts w:hint="eastAsia" w:ascii="宋体" w:hAnsi="宋体" w:eastAsia="宋体" w:cs="宋体"/>
          <w:color w:val="auto"/>
          <w:highlight w:val="none"/>
        </w:rPr>
      </w:pPr>
    </w:p>
    <w:p w14:paraId="108341ED">
      <w:pPr>
        <w:keepNext w:val="0"/>
        <w:keepLines w:val="0"/>
        <w:pageBreakBefore w:val="0"/>
        <w:widowControl w:val="0"/>
        <w:kinsoku/>
        <w:overflowPunct/>
        <w:topLinePunct w:val="0"/>
        <w:bidi w:val="0"/>
        <w:rPr>
          <w:rFonts w:hint="eastAsia" w:ascii="宋体" w:hAnsi="宋体" w:eastAsia="宋体" w:cs="宋体"/>
          <w:color w:val="auto"/>
          <w:highlight w:val="none"/>
        </w:rPr>
      </w:pPr>
    </w:p>
    <w:p w14:paraId="65E93277">
      <w:pPr>
        <w:keepNext w:val="0"/>
        <w:keepLines w:val="0"/>
        <w:pageBreakBefore w:val="0"/>
        <w:widowControl w:val="0"/>
        <w:kinsoku/>
        <w:overflowPunct/>
        <w:topLinePunct w:val="0"/>
        <w:bidi w:val="0"/>
        <w:rPr>
          <w:rFonts w:hint="eastAsia" w:ascii="宋体" w:hAnsi="宋体" w:eastAsia="宋体" w:cs="宋体"/>
          <w:color w:val="auto"/>
          <w:highlight w:val="none"/>
        </w:rPr>
      </w:pPr>
    </w:p>
    <w:p w14:paraId="7A828E7D">
      <w:pPr>
        <w:keepNext w:val="0"/>
        <w:keepLines w:val="0"/>
        <w:pageBreakBefore w:val="0"/>
        <w:widowControl w:val="0"/>
        <w:kinsoku/>
        <w:overflowPunct/>
        <w:topLinePunct w:val="0"/>
        <w:bidi w:val="0"/>
        <w:rPr>
          <w:rFonts w:hint="eastAsia" w:ascii="宋体" w:hAnsi="宋体" w:eastAsia="宋体" w:cs="宋体"/>
          <w:color w:val="auto"/>
          <w:highlight w:val="none"/>
        </w:rPr>
      </w:pPr>
    </w:p>
    <w:p w14:paraId="2C1F9749">
      <w:pPr>
        <w:keepNext w:val="0"/>
        <w:keepLines w:val="0"/>
        <w:pageBreakBefore w:val="0"/>
        <w:widowControl w:val="0"/>
        <w:kinsoku/>
        <w:overflowPunct/>
        <w:topLinePunct w:val="0"/>
        <w:bidi w:val="0"/>
        <w:rPr>
          <w:rFonts w:hint="eastAsia" w:ascii="宋体" w:hAnsi="宋体" w:eastAsia="宋体" w:cs="宋体"/>
          <w:color w:val="auto"/>
          <w:highlight w:val="none"/>
        </w:rPr>
      </w:pPr>
    </w:p>
    <w:p w14:paraId="5CC23E5F">
      <w:pPr>
        <w:keepNext w:val="0"/>
        <w:keepLines w:val="0"/>
        <w:pageBreakBefore w:val="0"/>
        <w:widowControl w:val="0"/>
        <w:kinsoku/>
        <w:overflowPunct/>
        <w:topLinePunct w:val="0"/>
        <w:bidi w:val="0"/>
        <w:rPr>
          <w:rFonts w:hint="eastAsia" w:ascii="宋体" w:hAnsi="宋体" w:eastAsia="宋体" w:cs="宋体"/>
          <w:color w:val="auto"/>
          <w:highlight w:val="none"/>
        </w:rPr>
      </w:pPr>
    </w:p>
    <w:p w14:paraId="6EFD6072">
      <w:pPr>
        <w:keepNext w:val="0"/>
        <w:keepLines w:val="0"/>
        <w:pageBreakBefore w:val="0"/>
        <w:widowControl w:val="0"/>
        <w:kinsoku/>
        <w:overflowPunct/>
        <w:topLinePunct w:val="0"/>
        <w:bidi w:val="0"/>
        <w:rPr>
          <w:rFonts w:hint="eastAsia" w:ascii="宋体" w:hAnsi="宋体" w:eastAsia="宋体" w:cs="宋体"/>
          <w:color w:val="auto"/>
          <w:highlight w:val="none"/>
        </w:rPr>
      </w:pPr>
    </w:p>
    <w:p w14:paraId="5961B0D2">
      <w:pPr>
        <w:keepNext w:val="0"/>
        <w:keepLines w:val="0"/>
        <w:pageBreakBefore w:val="0"/>
        <w:widowControl w:val="0"/>
        <w:kinsoku/>
        <w:overflowPunct/>
        <w:topLinePunct w:val="0"/>
        <w:bidi w:val="0"/>
        <w:rPr>
          <w:rFonts w:hint="eastAsia" w:ascii="宋体" w:hAnsi="宋体" w:eastAsia="宋体" w:cs="宋体"/>
          <w:color w:val="auto"/>
          <w:highlight w:val="none"/>
        </w:rPr>
      </w:pPr>
    </w:p>
    <w:p w14:paraId="4287329A">
      <w:pPr>
        <w:keepNext w:val="0"/>
        <w:keepLines w:val="0"/>
        <w:pageBreakBefore w:val="0"/>
        <w:widowControl w:val="0"/>
        <w:kinsoku/>
        <w:overflowPunct/>
        <w:topLinePunct w:val="0"/>
        <w:bidi w:val="0"/>
        <w:rPr>
          <w:rFonts w:hint="eastAsia" w:ascii="宋体" w:hAnsi="宋体" w:eastAsia="宋体" w:cs="宋体"/>
          <w:color w:val="auto"/>
          <w:highlight w:val="none"/>
        </w:rPr>
      </w:pPr>
    </w:p>
    <w:p w14:paraId="0167ADC7">
      <w:pPr>
        <w:keepNext w:val="0"/>
        <w:keepLines w:val="0"/>
        <w:pageBreakBefore w:val="0"/>
        <w:widowControl w:val="0"/>
        <w:kinsoku/>
        <w:overflowPunct/>
        <w:topLinePunct w:val="0"/>
        <w:bidi w:val="0"/>
        <w:rPr>
          <w:rFonts w:hint="eastAsia" w:ascii="宋体" w:hAnsi="宋体" w:eastAsia="宋体" w:cs="宋体"/>
          <w:color w:val="auto"/>
          <w:highlight w:val="none"/>
        </w:rPr>
      </w:pPr>
    </w:p>
    <w:p w14:paraId="3ED2C959">
      <w:pPr>
        <w:keepNext w:val="0"/>
        <w:keepLines w:val="0"/>
        <w:pageBreakBefore w:val="0"/>
        <w:widowControl w:val="0"/>
        <w:kinsoku/>
        <w:overflowPunct/>
        <w:topLinePunct w:val="0"/>
        <w:bidi w:val="0"/>
        <w:rPr>
          <w:rFonts w:hint="eastAsia" w:ascii="宋体" w:hAnsi="宋体" w:eastAsia="宋体" w:cs="宋体"/>
          <w:color w:val="auto"/>
          <w:highlight w:val="none"/>
        </w:rPr>
      </w:pPr>
    </w:p>
    <w:p w14:paraId="7C375DA3">
      <w:pPr>
        <w:keepNext w:val="0"/>
        <w:keepLines w:val="0"/>
        <w:pageBreakBefore w:val="0"/>
        <w:widowControl w:val="0"/>
        <w:kinsoku/>
        <w:overflowPunct/>
        <w:topLinePunct w:val="0"/>
        <w:bidi w:val="0"/>
        <w:rPr>
          <w:rFonts w:hint="eastAsia" w:ascii="宋体" w:hAnsi="宋体" w:eastAsia="宋体" w:cs="宋体"/>
          <w:color w:val="auto"/>
          <w:highlight w:val="none"/>
        </w:rPr>
      </w:pPr>
    </w:p>
    <w:p w14:paraId="6C831246">
      <w:pPr>
        <w:keepNext w:val="0"/>
        <w:keepLines w:val="0"/>
        <w:pageBreakBefore w:val="0"/>
        <w:widowControl w:val="0"/>
        <w:kinsoku/>
        <w:overflowPunct/>
        <w:topLinePunct w:val="0"/>
        <w:bidi w:val="0"/>
        <w:rPr>
          <w:rFonts w:hint="eastAsia" w:ascii="宋体" w:hAnsi="宋体" w:eastAsia="宋体" w:cs="宋体"/>
          <w:color w:val="auto"/>
          <w:highlight w:val="none"/>
        </w:rPr>
      </w:pPr>
    </w:p>
    <w:p w14:paraId="7880DF36">
      <w:pPr>
        <w:keepNext w:val="0"/>
        <w:keepLines w:val="0"/>
        <w:pageBreakBefore w:val="0"/>
        <w:widowControl w:val="0"/>
        <w:kinsoku/>
        <w:overflowPunct/>
        <w:topLinePunct w:val="0"/>
        <w:bidi w:val="0"/>
        <w:rPr>
          <w:rFonts w:hint="eastAsia" w:ascii="宋体" w:hAnsi="宋体" w:eastAsia="宋体" w:cs="宋体"/>
          <w:color w:val="auto"/>
          <w:highlight w:val="none"/>
        </w:rPr>
      </w:pPr>
    </w:p>
    <w:p w14:paraId="06CBF087">
      <w:pPr>
        <w:keepNext w:val="0"/>
        <w:keepLines w:val="0"/>
        <w:pageBreakBefore w:val="0"/>
        <w:widowControl w:val="0"/>
        <w:kinsoku/>
        <w:overflowPunct/>
        <w:topLinePunct w:val="0"/>
        <w:bidi w:val="0"/>
        <w:rPr>
          <w:rFonts w:hint="eastAsia" w:ascii="宋体" w:hAnsi="宋体" w:eastAsia="宋体" w:cs="宋体"/>
          <w:color w:val="auto"/>
          <w:highlight w:val="none"/>
        </w:rPr>
      </w:pPr>
    </w:p>
    <w:p w14:paraId="1B7E30F5">
      <w:pPr>
        <w:keepNext w:val="0"/>
        <w:keepLines w:val="0"/>
        <w:pageBreakBefore w:val="0"/>
        <w:widowControl w:val="0"/>
        <w:kinsoku/>
        <w:overflowPunct/>
        <w:topLinePunct w:val="0"/>
        <w:bidi w:val="0"/>
        <w:rPr>
          <w:rFonts w:hint="eastAsia" w:ascii="宋体" w:hAnsi="宋体" w:eastAsia="宋体" w:cs="宋体"/>
          <w:color w:val="auto"/>
          <w:highlight w:val="none"/>
        </w:rPr>
      </w:pPr>
    </w:p>
    <w:p w14:paraId="37447D43">
      <w:pPr>
        <w:keepNext w:val="0"/>
        <w:keepLines w:val="0"/>
        <w:pageBreakBefore w:val="0"/>
        <w:widowControl w:val="0"/>
        <w:kinsoku/>
        <w:overflowPunct/>
        <w:topLinePunct w:val="0"/>
        <w:bidi w:val="0"/>
        <w:rPr>
          <w:rFonts w:hint="eastAsia" w:ascii="宋体" w:hAnsi="宋体" w:eastAsia="宋体" w:cs="宋体"/>
          <w:color w:val="auto"/>
          <w:highlight w:val="none"/>
        </w:rPr>
      </w:pPr>
    </w:p>
    <w:p w14:paraId="2364978C">
      <w:pPr>
        <w:pStyle w:val="4"/>
        <w:keepNext w:val="0"/>
        <w:keepLines w:val="0"/>
        <w:pageBreakBefore w:val="0"/>
        <w:widowControl w:val="0"/>
        <w:kinsoku/>
        <w:overflowPunct/>
        <w:topLinePunct w:val="0"/>
        <w:bidi w:val="0"/>
        <w:ind w:left="0" w:firstLine="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法定代表人身份证电子文档</w:t>
      </w:r>
    </w:p>
    <w:p w14:paraId="3B008B3A">
      <w:pPr>
        <w:keepNext w:val="0"/>
        <w:keepLines w:val="0"/>
        <w:pageBreakBefore w:val="0"/>
        <w:widowControl w:val="0"/>
        <w:kinsoku/>
        <w:overflowPunct/>
        <w:topLinePunct w:val="0"/>
        <w:bidi w:val="0"/>
        <w:snapToGrid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内容要求：</w:t>
      </w:r>
    </w:p>
    <w:p w14:paraId="345C15E2">
      <w:pPr>
        <w:keepNext w:val="0"/>
        <w:keepLines w:val="0"/>
        <w:pageBreakBefore w:val="0"/>
        <w:widowControl w:val="0"/>
        <w:kinsoku/>
        <w:overflowPunct/>
        <w:topLinePunct w:val="0"/>
        <w:bidi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1、法定代表人身份证正、反面电子文档；</w:t>
      </w:r>
    </w:p>
    <w:p w14:paraId="682E7B78">
      <w:pPr>
        <w:keepNext w:val="0"/>
        <w:keepLines w:val="0"/>
        <w:pageBreakBefore w:val="0"/>
        <w:widowControl w:val="0"/>
        <w:kinsoku/>
        <w:overflowPunct/>
        <w:topLinePunct w:val="0"/>
        <w:bidi w:val="0"/>
        <w:snapToGrid w:val="0"/>
        <w:spacing w:line="360" w:lineRule="auto"/>
        <w:ind w:firstLine="440" w:firstLineChars="200"/>
        <w:jc w:val="left"/>
        <w:rPr>
          <w:rFonts w:hint="eastAsia" w:ascii="宋体" w:hAnsi="宋体" w:eastAsia="宋体" w:cs="宋体"/>
          <w:b/>
          <w:color w:val="auto"/>
          <w:spacing w:val="0"/>
          <w:w w:val="100"/>
          <w:sz w:val="22"/>
          <w:szCs w:val="22"/>
          <w:highlight w:val="none"/>
        </w:rPr>
      </w:pPr>
      <w:r>
        <w:rPr>
          <w:rFonts w:hint="eastAsia" w:ascii="宋体" w:hAnsi="宋体" w:eastAsia="宋体" w:cs="宋体"/>
          <w:color w:val="auto"/>
          <w:sz w:val="22"/>
          <w:szCs w:val="22"/>
          <w:highlight w:val="none"/>
        </w:rPr>
        <w:t>2、若有委托代理人的，则还应当提供授权委托书及委托代理人的身份证电子文档。</w:t>
      </w:r>
    </w:p>
    <w:p w14:paraId="62E0D0D0">
      <w:pPr>
        <w:pStyle w:val="22"/>
        <w:keepNext w:val="0"/>
        <w:keepLines w:val="0"/>
        <w:pageBreakBefore w:val="0"/>
        <w:widowControl w:val="0"/>
        <w:kinsoku/>
        <w:overflowPunct/>
        <w:topLinePunct w:val="0"/>
        <w:bidi w:val="0"/>
        <w:spacing w:line="360" w:lineRule="auto"/>
        <w:ind w:left="0"/>
        <w:jc w:val="center"/>
        <w:outlineLvl w:val="1"/>
        <w:rPr>
          <w:rFonts w:hint="eastAsia" w:ascii="宋体" w:hAnsi="宋体" w:eastAsia="宋体" w:cs="宋体"/>
          <w:b/>
          <w:color w:val="auto"/>
          <w:sz w:val="32"/>
          <w:highlight w:val="none"/>
        </w:rPr>
      </w:pPr>
      <w:r>
        <w:rPr>
          <w:rFonts w:hint="eastAsia" w:ascii="宋体" w:hAnsi="宋体" w:eastAsia="宋体" w:cs="宋体"/>
          <w:b/>
          <w:color w:val="auto"/>
          <w:spacing w:val="0"/>
          <w:w w:val="100"/>
          <w:sz w:val="32"/>
          <w:highlight w:val="none"/>
        </w:rPr>
        <w:br w:type="page"/>
      </w:r>
      <w:bookmarkStart w:id="194" w:name="_Toc18953"/>
      <w:r>
        <w:rPr>
          <w:rFonts w:hint="eastAsia" w:ascii="宋体" w:hAnsi="宋体" w:eastAsia="宋体" w:cs="宋体"/>
          <w:b/>
          <w:color w:val="auto"/>
          <w:sz w:val="32"/>
          <w:highlight w:val="none"/>
          <w:lang w:val="en-US" w:eastAsia="zh-CN"/>
        </w:rPr>
        <w:t>3</w:t>
      </w:r>
      <w:r>
        <w:rPr>
          <w:rFonts w:hint="eastAsia" w:ascii="宋体" w:hAnsi="宋体" w:eastAsia="宋体" w:cs="宋体"/>
          <w:b/>
          <w:color w:val="auto"/>
          <w:sz w:val="32"/>
          <w:highlight w:val="none"/>
        </w:rPr>
        <w:t>、授权委托书</w:t>
      </w:r>
      <w:bookmarkEnd w:id="194"/>
    </w:p>
    <w:p w14:paraId="02F0CDF3">
      <w:pPr>
        <w:pStyle w:val="81"/>
        <w:keepNext w:val="0"/>
        <w:keepLines w:val="0"/>
        <w:pageBreakBefore w:val="0"/>
        <w:widowControl w:val="0"/>
        <w:kinsoku/>
        <w:overflowPunct/>
        <w:topLinePunct w:val="0"/>
        <w:bidi w:val="0"/>
        <w:spacing w:line="5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（代理机构名称） </w:t>
      </w:r>
      <w:r>
        <w:rPr>
          <w:rFonts w:hint="eastAsia" w:ascii="宋体" w:hAnsi="宋体" w:eastAsia="宋体" w:cs="宋体"/>
          <w:color w:val="auto"/>
          <w:sz w:val="22"/>
          <w:szCs w:val="22"/>
          <w:highlight w:val="none"/>
        </w:rPr>
        <w:t>：</w:t>
      </w:r>
    </w:p>
    <w:p w14:paraId="4E86FF42">
      <w:pPr>
        <w:pStyle w:val="81"/>
        <w:keepNext w:val="0"/>
        <w:keepLines w:val="0"/>
        <w:pageBreakBefore w:val="0"/>
        <w:widowControl w:val="0"/>
        <w:kinsoku/>
        <w:overflowPunct/>
        <w:topLinePunct w:val="0"/>
        <w:bidi w:val="0"/>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负责人姓名）系</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全称）的负责人，现授权委托</w:t>
      </w:r>
      <w:r>
        <w:rPr>
          <w:rFonts w:hint="eastAsia" w:ascii="宋体" w:hAnsi="宋体" w:eastAsia="宋体" w:cs="宋体"/>
          <w:b/>
          <w:color w:val="auto"/>
          <w:sz w:val="22"/>
          <w:szCs w:val="22"/>
          <w:highlight w:val="none"/>
        </w:rPr>
        <w:t>本单位在职职工</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（姓名）以我方的名义参加贵方组织的</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eastAsia="zh-CN"/>
        </w:rPr>
        <w:t>采购</w:t>
      </w:r>
      <w:r>
        <w:rPr>
          <w:rFonts w:hint="eastAsia" w:ascii="宋体" w:hAnsi="宋体" w:eastAsia="宋体" w:cs="宋体"/>
          <w:color w:val="auto"/>
          <w:sz w:val="22"/>
          <w:szCs w:val="22"/>
          <w:highlight w:val="none"/>
          <w:u w:val="single"/>
        </w:rPr>
        <w:t>项目名称）</w:t>
      </w:r>
      <w:r>
        <w:rPr>
          <w:rFonts w:hint="eastAsia" w:ascii="宋体" w:hAnsi="宋体" w:eastAsia="宋体" w:cs="宋体"/>
          <w:color w:val="auto"/>
          <w:sz w:val="22"/>
          <w:szCs w:val="22"/>
          <w:highlight w:val="none"/>
        </w:rPr>
        <w:t>（采购编号：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）项目的</w:t>
      </w:r>
      <w:r>
        <w:rPr>
          <w:rFonts w:hint="eastAsia" w:ascii="宋体" w:hAnsi="宋体" w:eastAsia="宋体" w:cs="宋体"/>
          <w:color w:val="auto"/>
          <w:sz w:val="22"/>
          <w:szCs w:val="22"/>
          <w:highlight w:val="none"/>
          <w:lang w:eastAsia="zh-CN"/>
        </w:rPr>
        <w:t>磋商</w:t>
      </w:r>
      <w:r>
        <w:rPr>
          <w:rFonts w:hint="eastAsia" w:ascii="宋体" w:hAnsi="宋体" w:eastAsia="宋体" w:cs="宋体"/>
          <w:color w:val="auto"/>
          <w:sz w:val="22"/>
          <w:szCs w:val="22"/>
          <w:highlight w:val="none"/>
        </w:rPr>
        <w:t>活动，并代表我方全权办理针对上述项目的</w:t>
      </w:r>
      <w:r>
        <w:rPr>
          <w:rFonts w:hint="eastAsia" w:ascii="宋体" w:hAnsi="宋体" w:eastAsia="宋体" w:cs="宋体"/>
          <w:color w:val="auto"/>
          <w:sz w:val="22"/>
          <w:szCs w:val="22"/>
          <w:highlight w:val="none"/>
          <w:lang w:eastAsia="zh-CN"/>
        </w:rPr>
        <w:t>磋商</w:t>
      </w:r>
      <w:r>
        <w:rPr>
          <w:rFonts w:hint="eastAsia" w:ascii="宋体" w:hAnsi="宋体" w:eastAsia="宋体" w:cs="宋体"/>
          <w:color w:val="auto"/>
          <w:sz w:val="22"/>
          <w:szCs w:val="22"/>
          <w:highlight w:val="none"/>
        </w:rPr>
        <w:t>、开标、评审、签约等具体事务和签署相关文件。</w:t>
      </w:r>
    </w:p>
    <w:p w14:paraId="28AD5B8D">
      <w:pPr>
        <w:pStyle w:val="81"/>
        <w:keepNext w:val="0"/>
        <w:keepLines w:val="0"/>
        <w:pageBreakBefore w:val="0"/>
        <w:widowControl w:val="0"/>
        <w:kinsoku/>
        <w:overflowPunct/>
        <w:topLinePunct w:val="0"/>
        <w:autoSpaceDE w:val="0"/>
        <w:autoSpaceDN w:val="0"/>
        <w:bidi w:val="0"/>
        <w:spacing w:line="500" w:lineRule="exact"/>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我方对委托代理人的签字或盖章事项负全部责任。</w:t>
      </w:r>
    </w:p>
    <w:p w14:paraId="0B7E7A07">
      <w:pPr>
        <w:pStyle w:val="81"/>
        <w:keepNext w:val="0"/>
        <w:keepLines w:val="0"/>
        <w:pageBreakBefore w:val="0"/>
        <w:widowControl w:val="0"/>
        <w:kinsoku/>
        <w:overflowPunct/>
        <w:topLinePunct w:val="0"/>
        <w:bidi w:val="0"/>
        <w:spacing w:line="500" w:lineRule="exact"/>
        <w:ind w:firstLine="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本授权书自签署之日起生效，在撤销授权的书面通知送达贵方以前，本授权委托书一直有效。委托代理人在授权书有效期内签署的所有文件不因授权的撤销而失效。</w:t>
      </w:r>
    </w:p>
    <w:p w14:paraId="2A4047F8">
      <w:pPr>
        <w:pStyle w:val="81"/>
        <w:keepNext w:val="0"/>
        <w:keepLines w:val="0"/>
        <w:pageBreakBefore w:val="0"/>
        <w:widowControl w:val="0"/>
        <w:kinsoku/>
        <w:overflowPunct/>
        <w:topLinePunct w:val="0"/>
        <w:bidi w:val="0"/>
        <w:spacing w:line="500" w:lineRule="exact"/>
        <w:ind w:firstLine="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委托代理人无转委托权，特此声明。</w:t>
      </w:r>
    </w:p>
    <w:p w14:paraId="3192D6DB">
      <w:pPr>
        <w:pStyle w:val="81"/>
        <w:keepNext w:val="0"/>
        <w:keepLines w:val="0"/>
        <w:pageBreakBefore w:val="0"/>
        <w:widowControl w:val="0"/>
        <w:kinsoku/>
        <w:overflowPunct/>
        <w:topLinePunct w:val="0"/>
        <w:bidi w:val="0"/>
        <w:spacing w:line="440" w:lineRule="exact"/>
        <w:ind w:firstLine="480"/>
        <w:rPr>
          <w:rFonts w:hint="eastAsia" w:ascii="宋体" w:hAnsi="宋体" w:eastAsia="宋体" w:cs="宋体"/>
          <w:color w:val="auto"/>
          <w:sz w:val="22"/>
          <w:szCs w:val="22"/>
          <w:highlight w:val="none"/>
        </w:rPr>
      </w:pPr>
    </w:p>
    <w:p w14:paraId="550C3D1F">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23959372">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4CC3014E">
      <w:pPr>
        <w:pStyle w:val="81"/>
        <w:keepNext w:val="0"/>
        <w:keepLines w:val="0"/>
        <w:pageBreakBefore w:val="0"/>
        <w:widowControl w:val="0"/>
        <w:kinsoku/>
        <w:overflowPunct/>
        <w:topLinePunct w:val="0"/>
        <w:bidi w:val="0"/>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                                                                            </w:t>
      </w:r>
    </w:p>
    <w:p w14:paraId="3E848369">
      <w:pPr>
        <w:pStyle w:val="81"/>
        <w:keepNext w:val="0"/>
        <w:keepLines w:val="0"/>
        <w:pageBreakBefore w:val="0"/>
        <w:widowControl w:val="0"/>
        <w:kinsoku/>
        <w:overflowPunct/>
        <w:topLinePunct w:val="0"/>
        <w:bidi w:val="0"/>
        <w:spacing w:line="440" w:lineRule="exact"/>
        <w:ind w:firstLine="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附：1、委托代理人工作单位：              职务：</w:t>
      </w:r>
    </w:p>
    <w:p w14:paraId="02A3B77D">
      <w:pPr>
        <w:pStyle w:val="81"/>
        <w:keepNext w:val="0"/>
        <w:keepLines w:val="0"/>
        <w:pageBreakBefore w:val="0"/>
        <w:widowControl w:val="0"/>
        <w:kinsoku/>
        <w:overflowPunct/>
        <w:topLinePunct w:val="0"/>
        <w:bidi w:val="0"/>
        <w:spacing w:line="440" w:lineRule="exact"/>
        <w:ind w:firstLine="1157" w:firstLineChars="52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身份证号码：                      性别：</w:t>
      </w:r>
    </w:p>
    <w:p w14:paraId="0BA935F6">
      <w:pPr>
        <w:pStyle w:val="81"/>
        <w:keepNext w:val="0"/>
        <w:keepLines w:val="0"/>
        <w:pageBreakBefore w:val="0"/>
        <w:widowControl w:val="0"/>
        <w:kinsoku/>
        <w:overflowPunct/>
        <w:topLinePunct w:val="0"/>
        <w:bidi w:val="0"/>
        <w:spacing w:line="440" w:lineRule="exact"/>
        <w:ind w:firstLine="420"/>
        <w:rPr>
          <w:rFonts w:hint="eastAsia" w:ascii="宋体" w:hAnsi="宋体" w:eastAsia="宋体" w:cs="宋体"/>
          <w:b/>
          <w:color w:val="auto"/>
          <w:sz w:val="22"/>
          <w:szCs w:val="22"/>
          <w:highlight w:val="none"/>
        </w:rPr>
      </w:pPr>
    </w:p>
    <w:p w14:paraId="2EB1643B">
      <w:pPr>
        <w:pStyle w:val="81"/>
        <w:keepNext w:val="0"/>
        <w:keepLines w:val="0"/>
        <w:pageBreakBefore w:val="0"/>
        <w:widowControl w:val="0"/>
        <w:kinsoku/>
        <w:overflowPunct/>
        <w:topLinePunct w:val="0"/>
        <w:bidi w:val="0"/>
        <w:spacing w:line="440" w:lineRule="exact"/>
        <w:ind w:firstLine="42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注：</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为法人企业的，其负责人为其法定代表人；</w:t>
      </w: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为其他组织的，其负责人为法律、行政法规规定代表单位行使职权的主要负责人。</w:t>
      </w:r>
    </w:p>
    <w:p w14:paraId="741CE404">
      <w:pPr>
        <w:pStyle w:val="81"/>
        <w:keepNext w:val="0"/>
        <w:keepLines w:val="0"/>
        <w:pageBreakBefore w:val="0"/>
        <w:widowControl w:val="0"/>
        <w:kinsoku/>
        <w:overflowPunct/>
        <w:topLinePunct w:val="0"/>
        <w:bidi w:val="0"/>
        <w:spacing w:line="440" w:lineRule="exact"/>
        <w:ind w:firstLine="825" w:firstLineChars="375"/>
        <w:outlineLvl w:val="1"/>
        <w:rPr>
          <w:rFonts w:hint="eastAsia" w:ascii="宋体" w:hAnsi="宋体" w:eastAsia="宋体" w:cs="宋体"/>
          <w:color w:val="auto"/>
          <w:sz w:val="22"/>
          <w:szCs w:val="22"/>
          <w:highlight w:val="none"/>
        </w:rPr>
      </w:pPr>
      <w:bookmarkStart w:id="195" w:name="_Toc14594"/>
      <w:r>
        <w:rPr>
          <w:rFonts w:hint="eastAsia" w:ascii="宋体" w:hAnsi="宋体" w:eastAsia="宋体" w:cs="宋体"/>
          <w:color w:val="auto"/>
          <w:sz w:val="22"/>
          <w:szCs w:val="22"/>
          <w:highlight w:val="none"/>
        </w:rPr>
        <w:t>2、</w:t>
      </w:r>
      <w:bookmarkEnd w:id="195"/>
      <w:r>
        <w:rPr>
          <w:rFonts w:hint="eastAsia" w:ascii="宋体" w:hAnsi="宋体" w:eastAsia="宋体" w:cs="宋体"/>
          <w:color w:val="auto"/>
          <w:sz w:val="22"/>
          <w:szCs w:val="22"/>
          <w:highlight w:val="none"/>
        </w:rPr>
        <w:t>委托代理人身份证扫描件不清晰或错误的，后果由</w:t>
      </w: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自行承担。</w:t>
      </w:r>
    </w:p>
    <w:p w14:paraId="054D49BA">
      <w:pPr>
        <w:pStyle w:val="101"/>
        <w:keepNext w:val="0"/>
        <w:keepLines w:val="0"/>
        <w:pageBreakBefore w:val="0"/>
        <w:widowControl w:val="0"/>
        <w:kinsoku/>
        <w:overflowPunct/>
        <w:topLinePunct w:val="0"/>
        <w:bidi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委托代理人身份证扫描件：</w:t>
      </w:r>
    </w:p>
    <w:tbl>
      <w:tblPr>
        <w:tblStyle w:val="4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ADC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5" w:hRule="atLeast"/>
          <w:jc w:val="center"/>
        </w:trPr>
        <w:tc>
          <w:tcPr>
            <w:tcW w:w="9207" w:type="dxa"/>
          </w:tcPr>
          <w:p w14:paraId="4B3337F1">
            <w:pPr>
              <w:pStyle w:val="101"/>
              <w:keepNext w:val="0"/>
              <w:keepLines w:val="0"/>
              <w:pageBreakBefore w:val="0"/>
              <w:widowControl w:val="0"/>
              <w:kinsoku/>
              <w:overflowPunct/>
              <w:topLinePunct w:val="0"/>
              <w:bidi w:val="0"/>
              <w:spacing w:line="440" w:lineRule="exact"/>
              <w:rPr>
                <w:rFonts w:hint="eastAsia" w:ascii="宋体" w:hAnsi="宋体" w:eastAsia="宋体" w:cs="宋体"/>
                <w:bCs/>
                <w:color w:val="auto"/>
                <w:sz w:val="22"/>
                <w:szCs w:val="22"/>
                <w:highlight w:val="none"/>
              </w:rPr>
            </w:pPr>
          </w:p>
        </w:tc>
      </w:tr>
    </w:tbl>
    <w:p w14:paraId="28C13686">
      <w:pPr>
        <w:pStyle w:val="101"/>
        <w:keepNext w:val="0"/>
        <w:keepLines w:val="0"/>
        <w:pageBreakBefore w:val="0"/>
        <w:widowControl w:val="0"/>
        <w:kinsoku/>
        <w:overflowPunct/>
        <w:topLinePunct w:val="0"/>
        <w:bidi w:val="0"/>
        <w:spacing w:line="44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br w:type="page"/>
      </w:r>
    </w:p>
    <w:p w14:paraId="383876A0">
      <w:pPr>
        <w:pStyle w:val="22"/>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32"/>
          <w:highlight w:val="none"/>
        </w:rPr>
      </w:pPr>
      <w:r>
        <w:rPr>
          <w:rFonts w:hint="eastAsia" w:ascii="宋体" w:hAnsi="宋体" w:eastAsia="宋体" w:cs="宋体"/>
          <w:b/>
          <w:color w:val="auto"/>
          <w:spacing w:val="0"/>
          <w:w w:val="100"/>
          <w:sz w:val="32"/>
          <w:highlight w:val="none"/>
          <w:lang w:val="en-US" w:eastAsia="zh-CN"/>
        </w:rPr>
        <w:t>4</w:t>
      </w:r>
      <w:r>
        <w:rPr>
          <w:rFonts w:hint="eastAsia" w:ascii="宋体" w:hAnsi="宋体" w:eastAsia="宋体" w:cs="宋体"/>
          <w:b/>
          <w:color w:val="auto"/>
          <w:spacing w:val="0"/>
          <w:w w:val="100"/>
          <w:sz w:val="32"/>
          <w:highlight w:val="none"/>
        </w:rPr>
        <w:t>、政府采购资格承诺函</w:t>
      </w:r>
    </w:p>
    <w:p w14:paraId="590B39EC">
      <w:pPr>
        <w:keepNext w:val="0"/>
        <w:keepLines w:val="0"/>
        <w:pageBreakBefore w:val="0"/>
        <w:widowControl w:val="0"/>
        <w:kinsoku/>
        <w:overflowPunct/>
        <w:topLinePunct w:val="0"/>
        <w:bidi w:val="0"/>
        <w:rPr>
          <w:rStyle w:val="117"/>
          <w:rFonts w:hint="eastAsia" w:ascii="宋体" w:hAnsi="宋体" w:eastAsia="宋体" w:cs="宋体"/>
          <w:color w:val="auto"/>
          <w:szCs w:val="21"/>
          <w:highlight w:val="none"/>
          <w:u w:val="single" w:color="000000"/>
        </w:rPr>
      </w:pPr>
    </w:p>
    <w:p w14:paraId="3D55B1BE">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4"/>
          <w:highlight w:val="none"/>
        </w:rPr>
      </w:pPr>
      <w:r>
        <w:rPr>
          <w:rStyle w:val="117"/>
          <w:rFonts w:hint="eastAsia" w:ascii="宋体" w:hAnsi="宋体" w:eastAsia="宋体" w:cs="宋体"/>
          <w:color w:val="auto"/>
          <w:sz w:val="22"/>
          <w:szCs w:val="22"/>
          <w:highlight w:val="none"/>
          <w:u w:val="single" w:color="000000"/>
        </w:rPr>
        <w:t>丽水市生态环境局庆元分局、浙江诚远工程咨询有限公司：</w:t>
      </w:r>
    </w:p>
    <w:p w14:paraId="1A84B68C">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我单位</w:t>
      </w:r>
      <w:r>
        <w:rPr>
          <w:rFonts w:hint="eastAsia" w:ascii="宋体" w:hAnsi="宋体" w:eastAsia="宋体" w:cs="宋体"/>
          <w:color w:val="auto"/>
          <w:spacing w:val="0"/>
          <w:w w:val="100"/>
          <w:sz w:val="22"/>
          <w:szCs w:val="22"/>
          <w:highlight w:val="none"/>
          <w:u w:val="single"/>
        </w:rPr>
        <w:t xml:space="preserve">                 （供应商全称）</w:t>
      </w:r>
      <w:r>
        <w:rPr>
          <w:rFonts w:hint="eastAsia" w:ascii="宋体" w:hAnsi="宋体" w:eastAsia="宋体" w:cs="宋体"/>
          <w:bCs/>
          <w:color w:val="auto"/>
          <w:spacing w:val="0"/>
          <w:w w:val="100"/>
          <w:sz w:val="22"/>
          <w:szCs w:val="22"/>
          <w:highlight w:val="none"/>
        </w:rPr>
        <w:t>参与</w:t>
      </w:r>
      <w:r>
        <w:rPr>
          <w:rFonts w:hint="eastAsia" w:ascii="宋体" w:hAnsi="宋体" w:eastAsia="宋体" w:cs="宋体"/>
          <w:bCs/>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rPr>
        <w:t>（项目名称）</w:t>
      </w:r>
      <w:r>
        <w:rPr>
          <w:rFonts w:hint="eastAsia" w:ascii="宋体" w:hAnsi="宋体" w:eastAsia="宋体" w:cs="宋体"/>
          <w:bCs/>
          <w:color w:val="auto"/>
          <w:spacing w:val="0"/>
          <w:w w:val="100"/>
          <w:sz w:val="22"/>
          <w:szCs w:val="22"/>
          <w:highlight w:val="none"/>
        </w:rPr>
        <w:t>（项目编号：</w:t>
      </w:r>
      <w:r>
        <w:rPr>
          <w:rFonts w:hint="eastAsia" w:ascii="宋体" w:hAnsi="宋体" w:eastAsia="宋体" w:cs="宋体"/>
          <w:bCs/>
          <w:color w:val="auto"/>
          <w:spacing w:val="0"/>
          <w:w w:val="100"/>
          <w:sz w:val="22"/>
          <w:szCs w:val="22"/>
          <w:highlight w:val="none"/>
          <w:u w:val="single"/>
        </w:rPr>
        <w:t xml:space="preserve">          </w:t>
      </w:r>
      <w:r>
        <w:rPr>
          <w:rFonts w:hint="eastAsia" w:ascii="宋体" w:hAnsi="宋体" w:eastAsia="宋体" w:cs="宋体"/>
          <w:bCs/>
          <w:color w:val="auto"/>
          <w:spacing w:val="0"/>
          <w:w w:val="100"/>
          <w:sz w:val="22"/>
          <w:szCs w:val="22"/>
          <w:highlight w:val="none"/>
        </w:rPr>
        <w:t>）磋商，郑重</w:t>
      </w:r>
      <w:r>
        <w:rPr>
          <w:rFonts w:hint="eastAsia" w:ascii="宋体" w:hAnsi="宋体" w:eastAsia="宋体" w:cs="宋体"/>
          <w:color w:val="auto"/>
          <w:spacing w:val="0"/>
          <w:w w:val="100"/>
          <w:sz w:val="22"/>
          <w:szCs w:val="22"/>
          <w:highlight w:val="none"/>
        </w:rPr>
        <w:t>承诺具备下列条件：</w:t>
      </w:r>
    </w:p>
    <w:p w14:paraId="70AEA639">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1.具有独立承担民事责任的能力；</w:t>
      </w:r>
    </w:p>
    <w:p w14:paraId="7A0B9249">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2.具有良好的商业信誉和健全的财务会计制度；</w:t>
      </w:r>
    </w:p>
    <w:p w14:paraId="0531DDF1">
      <w:pPr>
        <w:keepNext w:val="0"/>
        <w:keepLines w:val="0"/>
        <w:pageBreakBefore w:val="0"/>
        <w:widowControl w:val="0"/>
        <w:kinsoku/>
        <w:wordWrap/>
        <w:overflowPunct/>
        <w:topLinePunct w:val="0"/>
        <w:autoSpaceDE/>
        <w:autoSpaceDN/>
        <w:bidi w:val="0"/>
        <w:adjustRightInd/>
        <w:spacing w:line="480" w:lineRule="exact"/>
        <w:ind w:firstLine="440" w:firstLineChars="200"/>
        <w:textAlignment w:val="auto"/>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rPr>
        <w:t>3.具有履行合同所必需的设备和专业技术能力；</w:t>
      </w:r>
    </w:p>
    <w:p w14:paraId="62C217EA">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Cs/>
          <w:color w:val="auto"/>
          <w:spacing w:val="0"/>
          <w:w w:val="100"/>
          <w:sz w:val="22"/>
          <w:szCs w:val="22"/>
          <w:highlight w:val="none"/>
        </w:rPr>
        <w:t>4.有依法缴纳税收和社会保障资金的良好记</w:t>
      </w:r>
      <w:r>
        <w:rPr>
          <w:rFonts w:hint="eastAsia" w:ascii="宋体" w:hAnsi="宋体" w:eastAsia="宋体" w:cs="宋体"/>
          <w:color w:val="auto"/>
          <w:spacing w:val="0"/>
          <w:w w:val="100"/>
          <w:sz w:val="22"/>
          <w:szCs w:val="22"/>
          <w:highlight w:val="none"/>
        </w:rPr>
        <w:t>录；</w:t>
      </w:r>
    </w:p>
    <w:p w14:paraId="5AA92849">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5.参加</w:t>
      </w:r>
      <w:r>
        <w:rPr>
          <w:rFonts w:hint="eastAsia" w:ascii="宋体" w:hAnsi="宋体" w:eastAsia="宋体" w:cs="宋体"/>
          <w:bCs/>
          <w:color w:val="auto"/>
          <w:spacing w:val="0"/>
          <w:w w:val="100"/>
          <w:sz w:val="22"/>
          <w:szCs w:val="22"/>
          <w:highlight w:val="none"/>
        </w:rPr>
        <w:t>本项目采购活动前三</w:t>
      </w:r>
      <w:r>
        <w:rPr>
          <w:rFonts w:hint="eastAsia" w:ascii="宋体" w:hAnsi="宋体" w:eastAsia="宋体" w:cs="宋体"/>
          <w:color w:val="auto"/>
          <w:spacing w:val="0"/>
          <w:w w:val="100"/>
          <w:sz w:val="22"/>
          <w:szCs w:val="22"/>
          <w:highlight w:val="none"/>
        </w:rPr>
        <w:t>年内，在经营活动中没有重大违法记录（包括行贿犯罪记录）。</w:t>
      </w:r>
    </w:p>
    <w:p w14:paraId="2E6117EB">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6.磋商截止时间前未被“信用中国”网站（www.creditchina.gov.cn）、中国政府采购网（www.ccgp.gov.cn）列入失信被执行人、重大税收违法当事人名单、政府采购严重违法失信行为记录名单</w:t>
      </w:r>
      <w:r>
        <w:rPr>
          <w:rFonts w:hint="eastAsia" w:ascii="宋体" w:hAnsi="宋体" w:eastAsia="宋体" w:cs="宋体"/>
          <w:b/>
          <w:color w:val="auto"/>
          <w:spacing w:val="0"/>
          <w:w w:val="100"/>
          <w:sz w:val="22"/>
          <w:szCs w:val="22"/>
          <w:highlight w:val="none"/>
        </w:rPr>
        <w:t>（注：本项内容以代理机构在资格审查现场查询为准）。</w:t>
      </w:r>
    </w:p>
    <w:p w14:paraId="33AECD1F">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pacing w:val="0"/>
          <w:w w:val="100"/>
          <w:sz w:val="21"/>
          <w:szCs w:val="21"/>
          <w:highlight w:val="none"/>
        </w:rPr>
      </w:pPr>
    </w:p>
    <w:p w14:paraId="1206F68A">
      <w:pPr>
        <w:keepNext w:val="0"/>
        <w:keepLines w:val="0"/>
        <w:pageBreakBefore w:val="0"/>
        <w:widowControl w:val="0"/>
        <w:kinsoku/>
        <w:overflowPunct/>
        <w:topLinePunct w:val="0"/>
        <w:bidi w:val="0"/>
        <w:snapToGrid w:val="0"/>
        <w:spacing w:line="400" w:lineRule="exact"/>
        <w:ind w:firstLine="422" w:firstLineChars="200"/>
        <w:rPr>
          <w:rFonts w:hint="eastAsia" w:ascii="宋体" w:hAnsi="宋体" w:eastAsia="宋体" w:cs="宋体"/>
          <w:b/>
          <w:color w:val="auto"/>
          <w:spacing w:val="0"/>
          <w:w w:val="100"/>
          <w:sz w:val="21"/>
          <w:szCs w:val="21"/>
          <w:highlight w:val="none"/>
        </w:rPr>
      </w:pPr>
    </w:p>
    <w:p w14:paraId="0A832829">
      <w:pPr>
        <w:keepNext w:val="0"/>
        <w:keepLines w:val="0"/>
        <w:pageBreakBefore w:val="0"/>
        <w:widowControl w:val="0"/>
        <w:kinsoku/>
        <w:overflowPunct/>
        <w:topLinePunct w:val="0"/>
        <w:bidi w:val="0"/>
        <w:snapToGrid w:val="0"/>
        <w:spacing w:line="400" w:lineRule="exact"/>
        <w:ind w:firstLine="442" w:firstLineChars="200"/>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如有虚假，采购人可取消我单位任何资格（</w:t>
      </w:r>
      <w:r>
        <w:rPr>
          <w:rFonts w:hint="eastAsia" w:ascii="宋体" w:hAnsi="宋体" w:eastAsia="宋体" w:cs="宋体"/>
          <w:b/>
          <w:color w:val="auto"/>
          <w:spacing w:val="0"/>
          <w:w w:val="100"/>
          <w:sz w:val="22"/>
          <w:szCs w:val="22"/>
          <w:highlight w:val="none"/>
          <w:lang w:eastAsia="zh-CN"/>
        </w:rPr>
        <w:t>响应</w:t>
      </w:r>
      <w:r>
        <w:rPr>
          <w:rFonts w:hint="eastAsia" w:ascii="宋体" w:hAnsi="宋体" w:eastAsia="宋体" w:cs="宋体"/>
          <w:b/>
          <w:color w:val="auto"/>
          <w:spacing w:val="0"/>
          <w:w w:val="100"/>
          <w:sz w:val="22"/>
          <w:szCs w:val="22"/>
          <w:highlight w:val="none"/>
        </w:rPr>
        <w:t>/中标（成交）/签订合同），我单位对此无任何异议。</w:t>
      </w:r>
    </w:p>
    <w:p w14:paraId="22547957">
      <w:pPr>
        <w:keepNext w:val="0"/>
        <w:keepLines w:val="0"/>
        <w:pageBreakBefore w:val="0"/>
        <w:widowControl w:val="0"/>
        <w:kinsoku/>
        <w:overflowPunct/>
        <w:topLinePunct w:val="0"/>
        <w:bidi w:val="0"/>
        <w:snapToGrid w:val="0"/>
        <w:spacing w:line="400" w:lineRule="exact"/>
        <w:ind w:firstLine="422" w:firstLineChars="200"/>
        <w:rPr>
          <w:rFonts w:hint="eastAsia" w:ascii="宋体" w:hAnsi="宋体" w:eastAsia="宋体" w:cs="宋体"/>
          <w:b/>
          <w:color w:val="auto"/>
          <w:spacing w:val="0"/>
          <w:w w:val="100"/>
          <w:sz w:val="21"/>
          <w:szCs w:val="21"/>
          <w:highlight w:val="none"/>
        </w:rPr>
      </w:pPr>
    </w:p>
    <w:p w14:paraId="52FF5C08">
      <w:pPr>
        <w:keepNext w:val="0"/>
        <w:keepLines w:val="0"/>
        <w:pageBreakBefore w:val="0"/>
        <w:widowControl w:val="0"/>
        <w:kinsoku/>
        <w:overflowPunct/>
        <w:topLinePunct w:val="0"/>
        <w:bidi w:val="0"/>
        <w:snapToGrid w:val="0"/>
        <w:spacing w:line="400" w:lineRule="exact"/>
        <w:ind w:firstLine="442" w:firstLineChars="200"/>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特此承诺！</w:t>
      </w:r>
    </w:p>
    <w:p w14:paraId="74BEB1CE">
      <w:pPr>
        <w:keepNext w:val="0"/>
        <w:keepLines w:val="0"/>
        <w:pageBreakBefore w:val="0"/>
        <w:widowControl w:val="0"/>
        <w:tabs>
          <w:tab w:val="left" w:pos="9180"/>
        </w:tabs>
        <w:kinsoku/>
        <w:overflowPunct/>
        <w:topLinePunct w:val="0"/>
        <w:bidi w:val="0"/>
        <w:spacing w:line="400" w:lineRule="exact"/>
        <w:ind w:firstLine="420" w:firstLineChars="200"/>
        <w:rPr>
          <w:rFonts w:hint="eastAsia" w:ascii="宋体" w:hAnsi="宋体" w:eastAsia="宋体" w:cs="宋体"/>
          <w:snapToGrid w:val="0"/>
          <w:color w:val="auto"/>
          <w:spacing w:val="0"/>
          <w:w w:val="100"/>
          <w:sz w:val="21"/>
          <w:szCs w:val="21"/>
          <w:highlight w:val="none"/>
        </w:rPr>
      </w:pPr>
    </w:p>
    <w:p w14:paraId="49B29FDD">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71C75755">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1B0448EC">
      <w:pPr>
        <w:pStyle w:val="26"/>
        <w:keepNext w:val="0"/>
        <w:keepLines w:val="0"/>
        <w:pageBreakBefore w:val="0"/>
        <w:widowControl w:val="0"/>
        <w:kinsoku/>
        <w:overflowPunct/>
        <w:topLinePunct w:val="0"/>
        <w:bidi w:val="0"/>
        <w:ind w:firstLine="210"/>
        <w:rPr>
          <w:rFonts w:hint="eastAsia" w:ascii="宋体" w:hAnsi="宋体" w:eastAsia="宋体" w:cs="宋体"/>
          <w:color w:val="auto"/>
          <w:spacing w:val="0"/>
          <w:w w:val="100"/>
          <w:sz w:val="21"/>
          <w:szCs w:val="21"/>
          <w:highlight w:val="none"/>
        </w:rPr>
      </w:pPr>
    </w:p>
    <w:p w14:paraId="630CEBA7">
      <w:pPr>
        <w:keepNext w:val="0"/>
        <w:keepLines w:val="0"/>
        <w:pageBreakBefore w:val="0"/>
        <w:widowControl w:val="0"/>
        <w:tabs>
          <w:tab w:val="left" w:pos="9180"/>
        </w:tabs>
        <w:kinsoku/>
        <w:overflowPunct/>
        <w:topLinePunct w:val="0"/>
        <w:bidi w:val="0"/>
        <w:spacing w:line="360" w:lineRule="auto"/>
        <w:ind w:firstLine="440" w:firstLineChars="200"/>
        <w:rPr>
          <w:rFonts w:hint="eastAsia" w:ascii="宋体" w:hAnsi="宋体" w:eastAsia="宋体" w:cs="宋体"/>
          <w:b/>
          <w:color w:val="auto"/>
          <w:spacing w:val="0"/>
          <w:w w:val="100"/>
          <w:sz w:val="22"/>
          <w:szCs w:val="22"/>
          <w:highlight w:val="none"/>
        </w:rPr>
      </w:pPr>
      <w:r>
        <w:rPr>
          <w:rFonts w:hint="eastAsia" w:ascii="宋体" w:hAnsi="宋体" w:eastAsia="宋体" w:cs="宋体"/>
          <w:snapToGrid w:val="0"/>
          <w:color w:val="auto"/>
          <w:spacing w:val="0"/>
          <w:w w:val="100"/>
          <w:sz w:val="22"/>
          <w:szCs w:val="22"/>
          <w:highlight w:val="none"/>
        </w:rPr>
        <w:t>注：本承诺函必须提供。</w:t>
      </w:r>
    </w:p>
    <w:p w14:paraId="2EC403F3">
      <w:pPr>
        <w:keepNext w:val="0"/>
        <w:keepLines w:val="0"/>
        <w:pageBreakBefore w:val="0"/>
        <w:widowControl w:val="0"/>
        <w:kinsoku/>
        <w:overflowPunct/>
        <w:topLinePunct w:val="0"/>
        <w:bidi w:val="0"/>
        <w:spacing w:line="360" w:lineRule="auto"/>
        <w:rPr>
          <w:rFonts w:hint="eastAsia" w:ascii="宋体" w:hAnsi="宋体" w:eastAsia="宋体" w:cs="宋体"/>
          <w:color w:val="auto"/>
          <w:spacing w:val="0"/>
          <w:w w:val="100"/>
          <w:sz w:val="24"/>
          <w:highlight w:val="none"/>
        </w:rPr>
      </w:pPr>
    </w:p>
    <w:p w14:paraId="244373E8">
      <w:pPr>
        <w:pStyle w:val="4"/>
        <w:spacing w:before="0" w:after="0" w:line="240" w:lineRule="auto"/>
        <w:ind w:left="0" w:leftChars="0" w:firstLine="0" w:firstLineChars="0"/>
        <w:jc w:val="center"/>
        <w:rPr>
          <w:rFonts w:hint="eastAsia" w:ascii="宋体" w:hAnsi="宋体" w:eastAsia="宋体" w:cs="宋体"/>
          <w:b/>
          <w:color w:val="auto"/>
          <w:kern w:val="0"/>
          <w:sz w:val="32"/>
          <w:szCs w:val="20"/>
          <w:highlight w:val="none"/>
          <w:lang w:val="en-US" w:eastAsia="zh-CN" w:bidi="ar-SA"/>
        </w:rPr>
      </w:pPr>
      <w:bookmarkStart w:id="196" w:name="_Toc493955980"/>
      <w:r>
        <w:rPr>
          <w:rFonts w:hint="eastAsia" w:ascii="宋体" w:hAnsi="宋体" w:eastAsia="宋体" w:cs="宋体"/>
          <w:b/>
          <w:color w:val="auto"/>
          <w:spacing w:val="0"/>
          <w:w w:val="100"/>
          <w:sz w:val="32"/>
          <w:highlight w:val="none"/>
        </w:rPr>
        <w:br w:type="page"/>
      </w:r>
      <w:r>
        <w:rPr>
          <w:rFonts w:hint="eastAsia" w:ascii="宋体" w:hAnsi="宋体" w:eastAsia="宋体" w:cs="宋体"/>
          <w:b/>
          <w:color w:val="auto"/>
          <w:kern w:val="0"/>
          <w:sz w:val="32"/>
          <w:szCs w:val="20"/>
          <w:highlight w:val="none"/>
          <w:lang w:val="en-US" w:eastAsia="zh-CN" w:bidi="ar-SA"/>
        </w:rPr>
        <w:t>5、资格声明</w:t>
      </w:r>
    </w:p>
    <w:p w14:paraId="16342555">
      <w:pPr>
        <w:rPr>
          <w:rFonts w:hint="eastAsia" w:ascii="宋体" w:hAnsi="宋体" w:eastAsia="宋体" w:cs="宋体"/>
          <w:color w:val="auto"/>
        </w:rPr>
      </w:pPr>
    </w:p>
    <w:p w14:paraId="569ED67F">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2"/>
          <w:highlight w:val="none"/>
        </w:rPr>
      </w:pPr>
      <w:r>
        <w:rPr>
          <w:rStyle w:val="117"/>
          <w:rFonts w:hint="eastAsia" w:ascii="宋体" w:hAnsi="宋体" w:eastAsia="宋体" w:cs="宋体"/>
          <w:color w:val="auto"/>
          <w:sz w:val="22"/>
          <w:szCs w:val="22"/>
          <w:highlight w:val="none"/>
          <w:u w:val="single" w:color="000000"/>
        </w:rPr>
        <w:t>丽水市生态环境局庆元分局、浙江诚远工程咨询有限公司：</w:t>
      </w:r>
    </w:p>
    <w:p w14:paraId="2889B6D6">
      <w:pPr>
        <w:pStyle w:val="87"/>
        <w:spacing w:line="360" w:lineRule="auto"/>
        <w:ind w:left="0" w:leftChars="0"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eastAsia="zh-CN"/>
        </w:rPr>
        <w:t>供应商名称</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系中华人民共和国合法企业，经营地址</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eastAsia="zh-CN"/>
        </w:rPr>
        <w:t xml:space="preserve">       </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w:t>
      </w:r>
    </w:p>
    <w:p w14:paraId="6AB5E119">
      <w:pPr>
        <w:pStyle w:val="5"/>
        <w:spacing w:line="360" w:lineRule="auto"/>
        <w:ind w:left="0" w:leftChars="0"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我</w:t>
      </w:r>
      <w:r>
        <w:rPr>
          <w:rFonts w:hint="eastAsia" w:ascii="宋体" w:hAnsi="宋体" w:eastAsia="宋体" w:cs="宋体"/>
          <w:color w:val="auto"/>
          <w:sz w:val="22"/>
          <w:szCs w:val="22"/>
          <w:u w:val="single"/>
        </w:rPr>
        <w:t>(负责人名字)</w:t>
      </w:r>
      <w:r>
        <w:rPr>
          <w:rFonts w:hint="eastAsia" w:ascii="宋体" w:hAnsi="宋体" w:eastAsia="宋体" w:cs="宋体"/>
          <w:color w:val="auto"/>
          <w:sz w:val="22"/>
          <w:szCs w:val="22"/>
        </w:rPr>
        <w:t>系</w:t>
      </w:r>
      <w:r>
        <w:rPr>
          <w:rFonts w:hint="eastAsia" w:ascii="宋体" w:hAnsi="宋体" w:eastAsia="宋体" w:cs="宋体"/>
          <w:color w:val="auto"/>
          <w:sz w:val="22"/>
          <w:szCs w:val="22"/>
          <w:u w:val="single"/>
        </w:rPr>
        <w:t xml:space="preserve">    (供应商名称)       </w:t>
      </w:r>
      <w:r>
        <w:rPr>
          <w:rFonts w:hint="eastAsia" w:ascii="宋体" w:hAnsi="宋体" w:eastAsia="宋体" w:cs="宋体"/>
          <w:color w:val="auto"/>
          <w:sz w:val="22"/>
          <w:szCs w:val="22"/>
        </w:rPr>
        <w:t>的负责人，我方愿意参加贵方组织的</w:t>
      </w:r>
      <w:r>
        <w:rPr>
          <w:rFonts w:hint="eastAsia" w:ascii="宋体" w:hAnsi="宋体" w:eastAsia="宋体" w:cs="宋体"/>
          <w:color w:val="auto"/>
          <w:sz w:val="22"/>
          <w:szCs w:val="22"/>
          <w:u w:val="single"/>
        </w:rPr>
        <w:t xml:space="preserve">    （项目名称）（</w:t>
      </w:r>
      <w:r>
        <w:rPr>
          <w:rFonts w:hint="eastAsia" w:ascii="宋体" w:hAnsi="宋体" w:eastAsia="宋体" w:cs="宋体"/>
          <w:color w:val="auto"/>
          <w:sz w:val="22"/>
          <w:szCs w:val="22"/>
          <w:u w:val="single"/>
          <w:lang w:eastAsia="zh-CN"/>
        </w:rPr>
        <w:t>项目编号</w:t>
      </w:r>
      <w:r>
        <w:rPr>
          <w:rFonts w:hint="eastAsia" w:ascii="宋体" w:hAnsi="宋体" w:eastAsia="宋体" w:cs="宋体"/>
          <w:color w:val="auto"/>
          <w:sz w:val="22"/>
          <w:szCs w:val="22"/>
          <w:u w:val="single"/>
        </w:rPr>
        <w:t>：   ）</w:t>
      </w:r>
      <w:r>
        <w:rPr>
          <w:rFonts w:hint="eastAsia" w:ascii="宋体" w:hAnsi="宋体" w:eastAsia="宋体" w:cs="宋体"/>
          <w:color w:val="auto"/>
          <w:sz w:val="22"/>
          <w:szCs w:val="22"/>
        </w:rPr>
        <w:t>的磋商。为便于贵方公正、择优地确定成交人以及磋商产品和服务，我方就本次磋商有关事项证明如下：</w:t>
      </w:r>
    </w:p>
    <w:p w14:paraId="04D987EA">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（一）名称及概况：</w:t>
      </w:r>
    </w:p>
    <w:p w14:paraId="7A25A580">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1．企业名称：________________________________________________ </w:t>
      </w:r>
    </w:p>
    <w:p w14:paraId="651A1D02">
      <w:pPr>
        <w:pStyle w:val="104"/>
        <w:spacing w:line="360" w:lineRule="auto"/>
        <w:ind w:firstLine="420"/>
        <w:rPr>
          <w:rFonts w:hint="eastAsia" w:ascii="宋体" w:hAnsi="宋体" w:eastAsia="宋体" w:cs="宋体"/>
          <w:b/>
          <w:bCs/>
          <w:color w:val="auto"/>
          <w:sz w:val="22"/>
          <w:szCs w:val="22"/>
        </w:rPr>
      </w:pPr>
      <w:r>
        <w:rPr>
          <w:rFonts w:hint="eastAsia" w:ascii="宋体" w:hAnsi="宋体" w:eastAsia="宋体" w:cs="宋体"/>
          <w:color w:val="auto"/>
          <w:sz w:val="22"/>
          <w:szCs w:val="22"/>
        </w:rPr>
        <w:t>银行开户名称：________________________________________________</w:t>
      </w:r>
    </w:p>
    <w:p w14:paraId="6500F562">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    开户银行：_________________________________________________ </w:t>
      </w:r>
    </w:p>
    <w:p w14:paraId="2D6C4EAC">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    账    号：________________________________________________ </w:t>
      </w:r>
    </w:p>
    <w:p w14:paraId="6ECC9F65">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企业详细地址：________________________________________________ </w:t>
      </w:r>
    </w:p>
    <w:p w14:paraId="52B19C5A">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    传    真： ________________________________________________</w:t>
      </w:r>
    </w:p>
    <w:p w14:paraId="25A197E3">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    电    话： ________________________________________________</w:t>
      </w:r>
    </w:p>
    <w:p w14:paraId="74E36879">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2．负责人姓名：___________________________________________ </w:t>
      </w:r>
    </w:p>
    <w:p w14:paraId="218D3B78">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3．项目联系人：姓名__________职务：______电话______手机______</w:t>
      </w:r>
    </w:p>
    <w:p w14:paraId="5A0D11CC">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4．注册地址：________________________________________________</w:t>
      </w:r>
    </w:p>
    <w:p w14:paraId="03BD7451">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5．注册资金：________________________________________________ </w:t>
      </w:r>
    </w:p>
    <w:p w14:paraId="4AB582FA">
      <w:pPr>
        <w:pStyle w:val="104"/>
        <w:spacing w:line="360" w:lineRule="auto"/>
        <w:ind w:firstLine="735"/>
        <w:rPr>
          <w:rFonts w:hint="eastAsia" w:ascii="宋体" w:hAnsi="宋体" w:eastAsia="宋体" w:cs="宋体"/>
          <w:color w:val="auto"/>
          <w:sz w:val="22"/>
          <w:szCs w:val="22"/>
        </w:rPr>
      </w:pPr>
      <w:r>
        <w:rPr>
          <w:rFonts w:hint="eastAsia" w:ascii="宋体" w:hAnsi="宋体" w:eastAsia="宋体" w:cs="宋体"/>
          <w:color w:val="auto"/>
          <w:sz w:val="22"/>
          <w:szCs w:val="22"/>
        </w:rPr>
        <w:t>自有资金：______________________________________________________</w:t>
      </w:r>
    </w:p>
    <w:p w14:paraId="53ED6B94">
      <w:pPr>
        <w:pStyle w:val="104"/>
        <w:spacing w:line="360" w:lineRule="auto"/>
        <w:ind w:firstLine="735"/>
        <w:rPr>
          <w:rFonts w:hint="eastAsia" w:ascii="宋体" w:hAnsi="宋体" w:eastAsia="宋体" w:cs="宋体"/>
          <w:color w:val="auto"/>
          <w:sz w:val="22"/>
          <w:szCs w:val="22"/>
        </w:rPr>
      </w:pPr>
      <w:r>
        <w:rPr>
          <w:rFonts w:hint="eastAsia" w:ascii="宋体" w:hAnsi="宋体" w:eastAsia="宋体" w:cs="宋体"/>
          <w:color w:val="auto"/>
          <w:sz w:val="22"/>
          <w:szCs w:val="22"/>
        </w:rPr>
        <w:t>企业人数：______</w:t>
      </w:r>
      <w:r>
        <w:rPr>
          <w:rFonts w:hint="eastAsia" w:ascii="宋体" w:hAnsi="宋体" w:eastAsia="宋体" w:cs="宋体"/>
          <w:b/>
          <w:bCs/>
          <w:color w:val="auto"/>
          <w:sz w:val="22"/>
          <w:szCs w:val="22"/>
        </w:rPr>
        <w:t>_</w:t>
      </w:r>
      <w:r>
        <w:rPr>
          <w:rFonts w:hint="eastAsia" w:ascii="宋体" w:hAnsi="宋体" w:eastAsia="宋体" w:cs="宋体"/>
          <w:color w:val="auto"/>
          <w:sz w:val="22"/>
          <w:szCs w:val="22"/>
        </w:rPr>
        <w:t>人</w:t>
      </w:r>
    </w:p>
    <w:p w14:paraId="328C439C">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6．企业性质：_______ </w:t>
      </w:r>
    </w:p>
    <w:p w14:paraId="57046014">
      <w:pPr>
        <w:pStyle w:val="104"/>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xml:space="preserve">7．主要经营地点：________________________________________________ </w:t>
      </w:r>
    </w:p>
    <w:p w14:paraId="1DC6CCE6">
      <w:pPr>
        <w:pStyle w:val="104"/>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如有派出机构，请列出名称及详细通讯地址如下：________________</w:t>
      </w:r>
    </w:p>
    <w:p w14:paraId="221313F6">
      <w:pPr>
        <w:pStyle w:val="104"/>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兹证明上述声明是真实、正确的，并提供了全部能提供的资料和数据，我们同意遵照贵方要求出示有关证明文件。</w:t>
      </w:r>
    </w:p>
    <w:p w14:paraId="2C37101D">
      <w:pPr>
        <w:pStyle w:val="104"/>
        <w:spacing w:line="360" w:lineRule="auto"/>
        <w:ind w:firstLine="440" w:firstLineChars="200"/>
        <w:rPr>
          <w:rFonts w:hint="eastAsia" w:ascii="宋体" w:hAnsi="宋体" w:eastAsia="宋体" w:cs="宋体"/>
          <w:color w:val="auto"/>
          <w:sz w:val="22"/>
          <w:szCs w:val="22"/>
        </w:rPr>
      </w:pPr>
    </w:p>
    <w:p w14:paraId="0BCA9EDD">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5DB75585">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780785BC">
      <w:pPr>
        <w:rPr>
          <w:rFonts w:hint="eastAsia" w:ascii="宋体" w:hAnsi="宋体" w:eastAsia="宋体" w:cs="宋体"/>
          <w:b/>
          <w:color w:val="auto"/>
          <w:spacing w:val="0"/>
          <w:w w:val="100"/>
          <w:sz w:val="32"/>
          <w:highlight w:val="none"/>
          <w:lang w:val="en-US" w:eastAsia="zh-CN"/>
        </w:rPr>
      </w:pPr>
      <w:r>
        <w:rPr>
          <w:rFonts w:hint="eastAsia" w:ascii="宋体" w:hAnsi="宋体" w:eastAsia="宋体" w:cs="宋体"/>
          <w:b/>
          <w:color w:val="auto"/>
          <w:spacing w:val="0"/>
          <w:w w:val="100"/>
          <w:sz w:val="32"/>
          <w:highlight w:val="none"/>
          <w:lang w:val="en-US" w:eastAsia="zh-CN"/>
        </w:rPr>
        <w:br w:type="page"/>
      </w:r>
    </w:p>
    <w:p w14:paraId="55B8654F">
      <w:pPr>
        <w:pStyle w:val="22"/>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32"/>
          <w:highlight w:val="none"/>
        </w:rPr>
      </w:pPr>
      <w:r>
        <w:rPr>
          <w:rFonts w:hint="eastAsia" w:ascii="宋体" w:hAnsi="宋体" w:eastAsia="宋体" w:cs="宋体"/>
          <w:b/>
          <w:color w:val="auto"/>
          <w:spacing w:val="0"/>
          <w:w w:val="100"/>
          <w:sz w:val="32"/>
          <w:highlight w:val="none"/>
          <w:lang w:val="en-US" w:eastAsia="zh-CN"/>
        </w:rPr>
        <w:t>6</w:t>
      </w:r>
      <w:r>
        <w:rPr>
          <w:rFonts w:hint="eastAsia" w:ascii="宋体" w:hAnsi="宋体" w:eastAsia="宋体" w:cs="宋体"/>
          <w:b/>
          <w:color w:val="auto"/>
          <w:spacing w:val="0"/>
          <w:w w:val="100"/>
          <w:sz w:val="32"/>
          <w:highlight w:val="none"/>
        </w:rPr>
        <w:t>、无重大违法记录声明书</w:t>
      </w:r>
      <w:bookmarkEnd w:id="196"/>
    </w:p>
    <w:p w14:paraId="4D58EC28">
      <w:pPr>
        <w:keepNext w:val="0"/>
        <w:keepLines w:val="0"/>
        <w:pageBreakBefore w:val="0"/>
        <w:widowControl w:val="0"/>
        <w:kinsoku/>
        <w:overflowPunct/>
        <w:topLinePunct w:val="0"/>
        <w:bidi w:val="0"/>
        <w:rPr>
          <w:rStyle w:val="117"/>
          <w:rFonts w:hint="eastAsia" w:ascii="宋体" w:hAnsi="宋体" w:eastAsia="宋体" w:cs="宋体"/>
          <w:color w:val="auto"/>
          <w:szCs w:val="21"/>
          <w:highlight w:val="none"/>
          <w:u w:val="single" w:color="000000"/>
        </w:rPr>
      </w:pPr>
    </w:p>
    <w:p w14:paraId="7A307FA2">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4"/>
          <w:highlight w:val="none"/>
        </w:rPr>
      </w:pPr>
      <w:r>
        <w:rPr>
          <w:rStyle w:val="117"/>
          <w:rFonts w:hint="eastAsia" w:ascii="宋体" w:hAnsi="宋体" w:eastAsia="宋体" w:cs="宋体"/>
          <w:color w:val="auto"/>
          <w:sz w:val="22"/>
          <w:szCs w:val="22"/>
          <w:highlight w:val="none"/>
          <w:u w:val="single" w:color="000000"/>
        </w:rPr>
        <w:t>丽水市生态环境局庆元分局、浙江诚远工程咨询有限公司：</w:t>
      </w:r>
    </w:p>
    <w:p w14:paraId="65D24BC8">
      <w:pPr>
        <w:pStyle w:val="99"/>
        <w:keepNext w:val="0"/>
        <w:keepLines w:val="0"/>
        <w:pageBreakBefore w:val="0"/>
        <w:widowControl w:val="0"/>
        <w:kinsoku/>
        <w:overflowPunct/>
        <w:topLinePunct w:val="0"/>
        <w:bidi w:val="0"/>
        <w:spacing w:beforeLines="50" w:line="66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我方参与的</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（采购项目名称）（采购编号：</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）项目的磋商活动，我方郑重声明，我方参加本项目磋商活动前三年内无重大违法记录</w:t>
      </w:r>
      <w:r>
        <w:rPr>
          <w:rFonts w:hint="eastAsia" w:ascii="宋体" w:hAnsi="宋体" w:eastAsia="宋体" w:cs="宋体"/>
          <w:b/>
          <w:color w:val="auto"/>
          <w:spacing w:val="0"/>
          <w:w w:val="100"/>
          <w:sz w:val="22"/>
          <w:szCs w:val="22"/>
          <w:highlight w:val="none"/>
        </w:rPr>
        <w:t>（重大违法记录是指供应商因违法经营受到刑事处罚或者责令停产停业、吊销许可证或者执照、较大数额罚款等行政处罚），</w:t>
      </w:r>
      <w:r>
        <w:rPr>
          <w:rFonts w:hint="eastAsia" w:ascii="宋体" w:hAnsi="宋体" w:eastAsia="宋体" w:cs="宋体"/>
          <w:color w:val="auto"/>
          <w:spacing w:val="0"/>
          <w:w w:val="100"/>
          <w:sz w:val="22"/>
          <w:szCs w:val="22"/>
          <w:highlight w:val="none"/>
        </w:rPr>
        <w:t>符合《中华人民共和国政府采购法》、《中华人民共和国政府采购法实施条例》的规定。我方对此声明负全部法律责任。</w:t>
      </w:r>
    </w:p>
    <w:p w14:paraId="0286C645">
      <w:pPr>
        <w:pStyle w:val="99"/>
        <w:keepNext w:val="0"/>
        <w:keepLines w:val="0"/>
        <w:pageBreakBefore w:val="0"/>
        <w:widowControl w:val="0"/>
        <w:kinsoku/>
        <w:overflowPunct/>
        <w:topLinePunct w:val="0"/>
        <w:bidi w:val="0"/>
        <w:spacing w:line="66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特此声明。</w:t>
      </w:r>
    </w:p>
    <w:p w14:paraId="60B2E329">
      <w:pPr>
        <w:pStyle w:val="98"/>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p w14:paraId="59E748D1">
      <w:pPr>
        <w:pStyle w:val="81"/>
        <w:wordWrap w:val="0"/>
        <w:spacing w:line="360" w:lineRule="auto"/>
        <w:ind w:firstLine="480"/>
        <w:jc w:val="right"/>
        <w:rPr>
          <w:rFonts w:hint="eastAsia" w:ascii="宋体" w:hAnsi="宋体" w:eastAsia="宋体" w:cs="宋体"/>
          <w:color w:val="auto"/>
          <w:sz w:val="22"/>
          <w:szCs w:val="22"/>
          <w:highlight w:val="none"/>
          <w:u w:val="single"/>
        </w:rPr>
      </w:pPr>
      <w:bookmarkStart w:id="197" w:name="_Toc386467624"/>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1F1DA777">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2510E4BA">
      <w:pPr>
        <w:pStyle w:val="5"/>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68B9CDD4">
      <w:pPr>
        <w:pStyle w:val="5"/>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018906B8">
      <w:pPr>
        <w:pStyle w:val="5"/>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211F30BE">
      <w:pPr>
        <w:pStyle w:val="5"/>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426ED595">
      <w:pPr>
        <w:pStyle w:val="5"/>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003D77B9">
      <w:pPr>
        <w:keepNext w:val="0"/>
        <w:keepLines w:val="0"/>
        <w:pageBreakBefore w:val="0"/>
        <w:widowControl w:val="0"/>
        <w:kinsoku/>
        <w:overflowPunct/>
        <w:topLinePunct w:val="0"/>
        <w:bidi w:val="0"/>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rPr>
        <w:br w:type="page"/>
      </w:r>
    </w:p>
    <w:p w14:paraId="67B58465">
      <w:pPr>
        <w:keepNext w:val="0"/>
        <w:keepLines w:val="0"/>
        <w:pageBreakBefore w:val="0"/>
        <w:widowControl w:val="0"/>
        <w:kinsoku/>
        <w:overflowPunct/>
        <w:topLinePunct w:val="0"/>
        <w:bidi w:val="0"/>
        <w:spacing w:line="480" w:lineRule="auto"/>
        <w:jc w:val="center"/>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rPr>
        <w:t>▲</w:t>
      </w:r>
      <w:r>
        <w:rPr>
          <w:rFonts w:hint="eastAsia" w:ascii="宋体" w:hAnsi="宋体" w:eastAsia="宋体" w:cs="宋体"/>
          <w:b/>
          <w:color w:val="auto"/>
          <w:spacing w:val="0"/>
          <w:w w:val="100"/>
          <w:sz w:val="30"/>
          <w:highlight w:val="none"/>
          <w:lang w:val="en-US" w:eastAsia="zh-CN"/>
        </w:rPr>
        <w:t>7、</w:t>
      </w:r>
      <w:r>
        <w:rPr>
          <w:rFonts w:hint="eastAsia" w:ascii="宋体" w:hAnsi="宋体" w:eastAsia="宋体" w:cs="宋体"/>
          <w:b/>
          <w:color w:val="auto"/>
          <w:spacing w:val="0"/>
          <w:w w:val="100"/>
          <w:sz w:val="30"/>
          <w:highlight w:val="none"/>
        </w:rPr>
        <w:t>企业类型声明函</w:t>
      </w:r>
    </w:p>
    <w:p w14:paraId="46870BEB">
      <w:pPr>
        <w:keepNext w:val="0"/>
        <w:keepLines w:val="0"/>
        <w:pageBreakBefore w:val="0"/>
        <w:widowControl w:val="0"/>
        <w:kinsoku/>
        <w:overflowPunct/>
        <w:topLinePunct w:val="0"/>
        <w:bidi w:val="0"/>
        <w:spacing w:line="480" w:lineRule="auto"/>
        <w:jc w:val="center"/>
        <w:rPr>
          <w:rFonts w:hint="eastAsia" w:ascii="宋体" w:hAnsi="宋体" w:eastAsia="宋体" w:cs="宋体"/>
          <w:color w:val="auto"/>
          <w:spacing w:val="0"/>
          <w:w w:val="100"/>
          <w:sz w:val="30"/>
          <w:highlight w:val="none"/>
          <w:lang w:eastAsia="zh-CN"/>
        </w:rPr>
      </w:pPr>
      <w:r>
        <w:rPr>
          <w:rFonts w:hint="eastAsia" w:ascii="宋体" w:hAnsi="宋体" w:eastAsia="宋体" w:cs="宋体"/>
          <w:b/>
          <w:color w:val="auto"/>
          <w:spacing w:val="0"/>
          <w:w w:val="100"/>
          <w:sz w:val="30"/>
          <w:highlight w:val="none"/>
          <w:lang w:val="en-US" w:eastAsia="zh-CN"/>
        </w:rPr>
        <w:t>7.1</w:t>
      </w:r>
      <w:r>
        <w:rPr>
          <w:rFonts w:hint="eastAsia" w:ascii="宋体" w:hAnsi="宋体" w:eastAsia="宋体" w:cs="宋体"/>
          <w:b/>
          <w:bCs/>
          <w:color w:val="auto"/>
          <w:spacing w:val="0"/>
          <w:w w:val="100"/>
          <w:sz w:val="30"/>
          <w:highlight w:val="none"/>
        </w:rPr>
        <w:t>中小企业声明函</w:t>
      </w:r>
      <w:r>
        <w:rPr>
          <w:rFonts w:hint="eastAsia" w:ascii="宋体" w:hAnsi="宋体" w:eastAsia="宋体" w:cs="宋体"/>
          <w:b/>
          <w:bCs/>
          <w:color w:val="auto"/>
          <w:spacing w:val="0"/>
          <w:w w:val="100"/>
          <w:sz w:val="30"/>
          <w:highlight w:val="none"/>
          <w:lang w:eastAsia="zh-CN"/>
        </w:rPr>
        <w:t>（服务）</w:t>
      </w:r>
    </w:p>
    <w:p w14:paraId="4BDCC720">
      <w:pPr>
        <w:keepNext w:val="0"/>
        <w:keepLines w:val="0"/>
        <w:pageBreakBefore w:val="0"/>
        <w:widowControl w:val="0"/>
        <w:kinsoku/>
        <w:overflowPunct/>
        <w:topLinePunct w:val="0"/>
        <w:bidi w:val="0"/>
        <w:spacing w:line="360" w:lineRule="auto"/>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本公司（联合体）郑重声明，根据《政府采购促进中小企业发展管理办法》（财库﹝2020﹞46 号）的规定，本公司参加</w:t>
      </w:r>
      <w:r>
        <w:rPr>
          <w:rFonts w:hint="eastAsia" w:ascii="宋体" w:hAnsi="宋体" w:eastAsia="宋体" w:cs="宋体"/>
          <w:color w:val="auto"/>
          <w:spacing w:val="0"/>
          <w:w w:val="100"/>
          <w:sz w:val="22"/>
          <w:szCs w:val="22"/>
          <w:highlight w:val="none"/>
          <w:u w:val="single"/>
        </w:rPr>
        <w:t>（单位名称）</w:t>
      </w:r>
      <w:r>
        <w:rPr>
          <w:rFonts w:hint="eastAsia" w:ascii="宋体" w:hAnsi="宋体" w:eastAsia="宋体" w:cs="宋体"/>
          <w:color w:val="auto"/>
          <w:spacing w:val="0"/>
          <w:w w:val="100"/>
          <w:sz w:val="22"/>
          <w:szCs w:val="22"/>
          <w:highlight w:val="none"/>
        </w:rPr>
        <w:t>的</w:t>
      </w:r>
      <w:r>
        <w:rPr>
          <w:rFonts w:hint="eastAsia" w:ascii="宋体" w:hAnsi="宋体" w:eastAsia="宋体" w:cs="宋体"/>
          <w:color w:val="auto"/>
          <w:spacing w:val="0"/>
          <w:w w:val="100"/>
          <w:sz w:val="22"/>
          <w:szCs w:val="22"/>
          <w:highlight w:val="none"/>
          <w:u w:val="single"/>
        </w:rPr>
        <w:t xml:space="preserve">  （项目名称）</w:t>
      </w:r>
      <w:r>
        <w:rPr>
          <w:rFonts w:hint="eastAsia" w:ascii="宋体" w:hAnsi="宋体" w:eastAsia="宋体" w:cs="宋体"/>
          <w:color w:val="auto"/>
          <w:spacing w:val="0"/>
          <w:w w:val="100"/>
          <w:sz w:val="22"/>
          <w:szCs w:val="22"/>
          <w:highlight w:val="none"/>
        </w:rPr>
        <w:t>采购活动，工程的施工单位全部为符合政策要求的中小企业（或者：服务全部由符合政策要求的中小企业承接）。相关企业的具体情况如下：</w:t>
      </w:r>
    </w:p>
    <w:p w14:paraId="10F964CE">
      <w:pPr>
        <w:keepNext w:val="0"/>
        <w:keepLines w:val="0"/>
        <w:pageBreakBefore w:val="0"/>
        <w:widowControl w:val="0"/>
        <w:kinsoku/>
        <w:overflowPunct/>
        <w:topLinePunct w:val="0"/>
        <w:bidi w:val="0"/>
        <w:spacing w:line="360" w:lineRule="auto"/>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u w:val="single"/>
        </w:rPr>
        <w:t xml:space="preserve"> （标的名称） </w:t>
      </w:r>
      <w:r>
        <w:rPr>
          <w:rFonts w:hint="eastAsia" w:ascii="宋体" w:hAnsi="宋体" w:eastAsia="宋体" w:cs="宋体"/>
          <w:color w:val="auto"/>
          <w:spacing w:val="0"/>
          <w:w w:val="100"/>
          <w:sz w:val="22"/>
          <w:szCs w:val="22"/>
          <w:highlight w:val="none"/>
        </w:rPr>
        <w:t>，属于</w:t>
      </w:r>
      <w:r>
        <w:rPr>
          <w:rFonts w:hint="eastAsia" w:ascii="宋体" w:hAnsi="宋体" w:eastAsia="宋体" w:cs="宋体"/>
          <w:color w:val="auto"/>
          <w:spacing w:val="0"/>
          <w:w w:val="100"/>
          <w:sz w:val="22"/>
          <w:szCs w:val="22"/>
          <w:highlight w:val="none"/>
          <w:u w:val="single"/>
        </w:rPr>
        <w:t>（采购文件中明确的所属行业）</w:t>
      </w:r>
      <w:r>
        <w:rPr>
          <w:rFonts w:hint="eastAsia" w:ascii="宋体" w:hAnsi="宋体" w:eastAsia="宋体" w:cs="宋体"/>
          <w:color w:val="auto"/>
          <w:spacing w:val="0"/>
          <w:w w:val="100"/>
          <w:sz w:val="22"/>
          <w:szCs w:val="22"/>
          <w:highlight w:val="none"/>
        </w:rPr>
        <w:t>；承接企业为</w:t>
      </w:r>
      <w:r>
        <w:rPr>
          <w:rFonts w:hint="eastAsia" w:ascii="宋体" w:hAnsi="宋体" w:eastAsia="宋体" w:cs="宋体"/>
          <w:color w:val="auto"/>
          <w:spacing w:val="0"/>
          <w:w w:val="100"/>
          <w:sz w:val="22"/>
          <w:szCs w:val="22"/>
          <w:highlight w:val="none"/>
          <w:u w:val="single"/>
        </w:rPr>
        <w:t>（企业名称）</w:t>
      </w:r>
      <w:r>
        <w:rPr>
          <w:rFonts w:hint="eastAsia" w:ascii="宋体" w:hAnsi="宋体" w:eastAsia="宋体" w:cs="宋体"/>
          <w:color w:val="auto"/>
          <w:spacing w:val="0"/>
          <w:w w:val="100"/>
          <w:sz w:val="22"/>
          <w:szCs w:val="22"/>
          <w:highlight w:val="none"/>
        </w:rPr>
        <w:t>，从业人员</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人，营业收入为</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万元，资产总额为</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万元，属于</w:t>
      </w:r>
      <w:r>
        <w:rPr>
          <w:rFonts w:hint="eastAsia" w:ascii="宋体" w:hAnsi="宋体" w:eastAsia="宋体" w:cs="宋体"/>
          <w:color w:val="auto"/>
          <w:spacing w:val="0"/>
          <w:w w:val="100"/>
          <w:sz w:val="22"/>
          <w:szCs w:val="22"/>
          <w:highlight w:val="none"/>
          <w:u w:val="single"/>
        </w:rPr>
        <w:t>（中型企业、小型企业、微型企业</w:t>
      </w:r>
      <w:r>
        <w:rPr>
          <w:rFonts w:hint="eastAsia" w:ascii="宋体" w:hAnsi="宋体" w:eastAsia="宋体" w:cs="宋体"/>
          <w:color w:val="auto"/>
          <w:spacing w:val="0"/>
          <w:w w:val="100"/>
          <w:sz w:val="22"/>
          <w:szCs w:val="22"/>
          <w:highlight w:val="none"/>
          <w:u w:val="single"/>
          <w:lang w:eastAsia="zh-CN"/>
        </w:rPr>
        <w:t>三选一</w:t>
      </w:r>
      <w:r>
        <w:rPr>
          <w:rFonts w:hint="eastAsia" w:ascii="宋体" w:hAnsi="宋体" w:eastAsia="宋体" w:cs="宋体"/>
          <w:color w:val="auto"/>
          <w:spacing w:val="0"/>
          <w:w w:val="100"/>
          <w:sz w:val="22"/>
          <w:szCs w:val="22"/>
          <w:highlight w:val="none"/>
          <w:u w:val="single"/>
        </w:rPr>
        <w:t>）</w:t>
      </w:r>
      <w:r>
        <w:rPr>
          <w:rFonts w:hint="eastAsia" w:ascii="宋体" w:hAnsi="宋体" w:eastAsia="宋体" w:cs="宋体"/>
          <w:color w:val="auto"/>
          <w:spacing w:val="0"/>
          <w:w w:val="100"/>
          <w:sz w:val="22"/>
          <w:szCs w:val="22"/>
          <w:highlight w:val="none"/>
        </w:rPr>
        <w:t>；</w:t>
      </w:r>
    </w:p>
    <w:p w14:paraId="072A9BE1">
      <w:pPr>
        <w:keepNext w:val="0"/>
        <w:keepLines w:val="0"/>
        <w:pageBreakBefore w:val="0"/>
        <w:widowControl w:val="0"/>
        <w:kinsoku/>
        <w:overflowPunct/>
        <w:topLinePunct w:val="0"/>
        <w:bidi w:val="0"/>
        <w:spacing w:line="360" w:lineRule="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w:t>
      </w:r>
    </w:p>
    <w:p w14:paraId="5C6D8FD4">
      <w:pPr>
        <w:keepNext w:val="0"/>
        <w:keepLines w:val="0"/>
        <w:pageBreakBefore w:val="0"/>
        <w:widowControl w:val="0"/>
        <w:kinsoku/>
        <w:overflowPunct/>
        <w:topLinePunct w:val="0"/>
        <w:bidi w:val="0"/>
        <w:spacing w:line="360" w:lineRule="auto"/>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以上企业，不属于大企业的分支机构，不存在控股股东为大企业的情形，也不存在与大企业的负责人为同一人的情形。</w:t>
      </w:r>
    </w:p>
    <w:p w14:paraId="10BDFF5A">
      <w:pPr>
        <w:keepNext w:val="0"/>
        <w:keepLines w:val="0"/>
        <w:pageBreakBefore w:val="0"/>
        <w:widowControl w:val="0"/>
        <w:kinsoku/>
        <w:overflowPunct/>
        <w:topLinePunct w:val="0"/>
        <w:bidi w:val="0"/>
        <w:spacing w:line="360" w:lineRule="auto"/>
        <w:ind w:firstLine="440" w:firstLineChars="200"/>
        <w:rPr>
          <w:rFonts w:hint="eastAsia" w:ascii="宋体" w:hAnsi="宋体" w:eastAsia="宋体" w:cs="宋体"/>
          <w:color w:val="auto"/>
          <w:spacing w:val="0"/>
          <w:w w:val="100"/>
          <w:kern w:val="0"/>
          <w:sz w:val="22"/>
          <w:szCs w:val="22"/>
          <w:highlight w:val="none"/>
        </w:rPr>
      </w:pPr>
      <w:r>
        <w:rPr>
          <w:rFonts w:hint="eastAsia" w:ascii="宋体" w:hAnsi="宋体" w:eastAsia="宋体" w:cs="宋体"/>
          <w:color w:val="auto"/>
          <w:spacing w:val="0"/>
          <w:w w:val="100"/>
          <w:sz w:val="22"/>
          <w:szCs w:val="22"/>
          <w:highlight w:val="none"/>
        </w:rPr>
        <w:t>本企业对上述声明内容的真实性负责。如有虚假，将依法承担相应责任。</w:t>
      </w:r>
    </w:p>
    <w:p w14:paraId="721EF834">
      <w:pPr>
        <w:pStyle w:val="81"/>
        <w:keepNext w:val="0"/>
        <w:keepLines w:val="0"/>
        <w:pageBreakBefore w:val="0"/>
        <w:widowControl w:val="0"/>
        <w:kinsoku/>
        <w:wordWrap w:val="0"/>
        <w:overflowPunct/>
        <w:topLinePunct w:val="0"/>
        <w:bidi w:val="0"/>
        <w:spacing w:line="360" w:lineRule="auto"/>
        <w:jc w:val="both"/>
        <w:rPr>
          <w:rFonts w:hint="eastAsia" w:ascii="宋体" w:hAnsi="宋体" w:eastAsia="宋体" w:cs="宋体"/>
          <w:color w:val="auto"/>
          <w:spacing w:val="0"/>
          <w:w w:val="100"/>
          <w:sz w:val="21"/>
          <w:szCs w:val="21"/>
          <w:highlight w:val="none"/>
          <w:lang w:eastAsia="zh-CN"/>
        </w:rPr>
      </w:pPr>
    </w:p>
    <w:p w14:paraId="4B7DCBB8">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215D6042">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3B015F0C">
      <w:pPr>
        <w:pStyle w:val="49"/>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pacing w:val="0"/>
          <w:w w:val="100"/>
          <w:sz w:val="22"/>
          <w:szCs w:val="21"/>
          <w:highlight w:val="none"/>
        </w:rPr>
      </w:pPr>
    </w:p>
    <w:p w14:paraId="0F16D064">
      <w:pPr>
        <w:pStyle w:val="49"/>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pacing w:val="0"/>
          <w:w w:val="100"/>
          <w:sz w:val="22"/>
          <w:szCs w:val="21"/>
          <w:highlight w:val="none"/>
        </w:rPr>
      </w:pPr>
    </w:p>
    <w:p w14:paraId="795DCC55">
      <w:pPr>
        <w:pStyle w:val="49"/>
        <w:keepNext w:val="0"/>
        <w:keepLines w:val="0"/>
        <w:pageBreakBefore w:val="0"/>
        <w:widowControl w:val="0"/>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pacing w:val="0"/>
          <w:w w:val="100"/>
          <w:sz w:val="22"/>
          <w:szCs w:val="21"/>
          <w:highlight w:val="none"/>
        </w:rPr>
      </w:pPr>
      <w:r>
        <w:rPr>
          <w:rFonts w:hint="eastAsia" w:ascii="宋体" w:hAnsi="宋体" w:eastAsia="宋体" w:cs="宋体"/>
          <w:b/>
          <w:bCs/>
          <w:color w:val="auto"/>
          <w:spacing w:val="0"/>
          <w:w w:val="100"/>
          <w:sz w:val="22"/>
          <w:szCs w:val="21"/>
          <w:highlight w:val="none"/>
        </w:rPr>
        <w:t>注：1.从业人员、营业收入、资产总额填报上一年度数据，无上一年度数据的新成立企业可不填报。</w:t>
      </w:r>
    </w:p>
    <w:p w14:paraId="7D53C386">
      <w:pPr>
        <w:pStyle w:val="49"/>
        <w:keepNext w:val="0"/>
        <w:keepLines w:val="0"/>
        <w:pageBreakBefore w:val="0"/>
        <w:widowControl w:val="0"/>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pacing w:val="0"/>
          <w:w w:val="100"/>
          <w:sz w:val="22"/>
          <w:szCs w:val="21"/>
          <w:highlight w:val="none"/>
        </w:rPr>
      </w:pPr>
      <w:r>
        <w:rPr>
          <w:rFonts w:hint="eastAsia" w:ascii="宋体" w:hAnsi="宋体" w:eastAsia="宋体" w:cs="宋体"/>
          <w:b/>
          <w:bCs/>
          <w:color w:val="auto"/>
          <w:spacing w:val="0"/>
          <w:w w:val="100"/>
          <w:sz w:val="22"/>
          <w:szCs w:val="21"/>
          <w:highlight w:val="none"/>
        </w:rPr>
        <w:t>2.投标人应当按照《政府采购促进中小企业发展管理办法》规定和《中小企业划型标准规定》（工信部联企业〔2011〕300号），如实填写并提交《中小企业声明函》，对其声明内容的真实性负责，声明函内容不实的，属于提供虚假材料谋取中标、成交，将依照《中华人民共和国政府采购法》等国家有关规定追究相应责任。</w:t>
      </w:r>
    </w:p>
    <w:p w14:paraId="21E604FC">
      <w:pPr>
        <w:pStyle w:val="49"/>
        <w:keepNext w:val="0"/>
        <w:keepLines w:val="0"/>
        <w:pageBreakBefore w:val="0"/>
        <w:widowControl w:val="0"/>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pacing w:val="0"/>
          <w:w w:val="100"/>
          <w:sz w:val="22"/>
          <w:szCs w:val="21"/>
          <w:highlight w:val="none"/>
        </w:rPr>
      </w:pPr>
      <w:r>
        <w:rPr>
          <w:rFonts w:hint="eastAsia" w:ascii="宋体" w:hAnsi="宋体" w:eastAsia="宋体" w:cs="宋体"/>
          <w:b/>
          <w:bCs/>
          <w:color w:val="auto"/>
          <w:spacing w:val="0"/>
          <w:w w:val="100"/>
          <w:sz w:val="22"/>
          <w:szCs w:val="21"/>
          <w:highlight w:val="none"/>
        </w:rPr>
        <w:t>3.如中标，将在中标</w:t>
      </w:r>
      <w:r>
        <w:rPr>
          <w:rFonts w:hint="eastAsia" w:ascii="宋体" w:hAnsi="宋体" w:eastAsia="宋体" w:cs="宋体"/>
          <w:b/>
          <w:bCs/>
          <w:color w:val="auto"/>
          <w:spacing w:val="0"/>
          <w:w w:val="100"/>
          <w:sz w:val="22"/>
          <w:szCs w:val="21"/>
          <w:highlight w:val="none"/>
          <w:lang w:eastAsia="zh-CN"/>
        </w:rPr>
        <w:t>（成交）结果</w:t>
      </w:r>
      <w:r>
        <w:rPr>
          <w:rFonts w:hint="eastAsia" w:ascii="宋体" w:hAnsi="宋体" w:eastAsia="宋体" w:cs="宋体"/>
          <w:b/>
          <w:bCs/>
          <w:color w:val="auto"/>
          <w:spacing w:val="0"/>
          <w:w w:val="100"/>
          <w:sz w:val="22"/>
          <w:szCs w:val="21"/>
          <w:highlight w:val="none"/>
        </w:rPr>
        <w:t>公告中将此中小企业声明函予以公示，接受社会监督。</w:t>
      </w:r>
    </w:p>
    <w:p w14:paraId="525838A2">
      <w:pPr>
        <w:pStyle w:val="49"/>
        <w:keepNext w:val="0"/>
        <w:keepLines w:val="0"/>
        <w:pageBreakBefore w:val="0"/>
        <w:widowControl w:val="0"/>
        <w:kinsoku/>
        <w:overflowPunct/>
        <w:topLinePunct w:val="0"/>
        <w:bidi w:val="0"/>
        <w:ind w:firstLine="0" w:firstLineChars="0"/>
        <w:rPr>
          <w:rFonts w:hint="eastAsia" w:ascii="宋体" w:hAnsi="宋体" w:eastAsia="宋体" w:cs="宋体"/>
          <w:color w:val="auto"/>
          <w:spacing w:val="0"/>
          <w:w w:val="100"/>
          <w:highlight w:val="none"/>
        </w:rPr>
      </w:pPr>
    </w:p>
    <w:p w14:paraId="5192B2FE">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r>
        <w:rPr>
          <w:rFonts w:hint="eastAsia" w:ascii="宋体" w:hAnsi="宋体" w:eastAsia="宋体" w:cs="宋体"/>
          <w:color w:val="auto"/>
          <w:spacing w:val="0"/>
          <w:w w:val="100"/>
          <w:highlight w:val="none"/>
        </w:rPr>
        <w:br w:type="page"/>
      </w:r>
    </w:p>
    <w:p w14:paraId="284743D4">
      <w:pPr>
        <w:keepNext w:val="0"/>
        <w:keepLines w:val="0"/>
        <w:pageBreakBefore w:val="0"/>
        <w:widowControl w:val="0"/>
        <w:kinsoku/>
        <w:overflowPunct/>
        <w:topLinePunct w:val="0"/>
        <w:bidi w:val="0"/>
        <w:spacing w:line="480" w:lineRule="auto"/>
        <w:jc w:val="center"/>
        <w:rPr>
          <w:rFonts w:hint="eastAsia" w:ascii="宋体" w:hAnsi="宋体" w:eastAsia="宋体" w:cs="宋体"/>
          <w:b/>
          <w:bCs/>
          <w:color w:val="auto"/>
          <w:spacing w:val="0"/>
          <w:w w:val="100"/>
          <w:sz w:val="30"/>
          <w:highlight w:val="none"/>
        </w:rPr>
      </w:pPr>
      <w:r>
        <w:rPr>
          <w:rFonts w:hint="eastAsia" w:ascii="宋体" w:hAnsi="宋体" w:eastAsia="宋体" w:cs="宋体"/>
          <w:b/>
          <w:bCs/>
          <w:color w:val="auto"/>
          <w:spacing w:val="0"/>
          <w:w w:val="100"/>
          <w:sz w:val="30"/>
          <w:highlight w:val="none"/>
          <w:lang w:val="en-US" w:eastAsia="zh-CN"/>
        </w:rPr>
        <w:t>7.</w:t>
      </w:r>
      <w:r>
        <w:rPr>
          <w:rFonts w:hint="eastAsia" w:ascii="宋体" w:hAnsi="宋体" w:eastAsia="宋体" w:cs="宋体"/>
          <w:b/>
          <w:bCs/>
          <w:color w:val="auto"/>
          <w:spacing w:val="0"/>
          <w:w w:val="100"/>
          <w:sz w:val="30"/>
          <w:highlight w:val="none"/>
        </w:rPr>
        <w:t>2残疾人福利性单位声明函</w:t>
      </w:r>
    </w:p>
    <w:p w14:paraId="22F94D03">
      <w:pPr>
        <w:pStyle w:val="49"/>
        <w:keepNext w:val="0"/>
        <w:keepLines w:val="0"/>
        <w:pageBreakBefore w:val="0"/>
        <w:widowControl w:val="0"/>
        <w:kinsoku/>
        <w:overflowPunct/>
        <w:topLinePunct w:val="0"/>
        <w:bidi w:val="0"/>
        <w:ind w:firstLine="0" w:firstLineChars="0"/>
        <w:jc w:val="center"/>
        <w:rPr>
          <w:rFonts w:hint="eastAsia" w:ascii="宋体" w:hAnsi="宋体" w:eastAsia="宋体" w:cs="宋体"/>
          <w:b/>
          <w:bCs/>
          <w:color w:val="auto"/>
          <w:spacing w:val="0"/>
          <w:w w:val="100"/>
          <w:sz w:val="22"/>
          <w:szCs w:val="21"/>
          <w:highlight w:val="none"/>
        </w:rPr>
      </w:pPr>
      <w:r>
        <w:rPr>
          <w:rFonts w:hint="eastAsia" w:ascii="宋体" w:hAnsi="宋体" w:eastAsia="宋体" w:cs="宋体"/>
          <w:b/>
          <w:bCs/>
          <w:color w:val="auto"/>
          <w:spacing w:val="0"/>
          <w:w w:val="100"/>
          <w:sz w:val="22"/>
          <w:szCs w:val="21"/>
          <w:highlight w:val="none"/>
        </w:rPr>
        <w:t>【非残疾人福利性单位不用提供】</w:t>
      </w:r>
    </w:p>
    <w:p w14:paraId="2AAB8D67">
      <w:pPr>
        <w:pStyle w:val="126"/>
        <w:keepNext w:val="0"/>
        <w:keepLines w:val="0"/>
        <w:pageBreakBefore w:val="0"/>
        <w:widowControl w:val="0"/>
        <w:kinsoku/>
        <w:overflowPunct/>
        <w:topLinePunct w:val="0"/>
        <w:bidi w:val="0"/>
        <w:spacing w:before="120" w:after="120" w:line="360" w:lineRule="auto"/>
        <w:ind w:firstLine="601"/>
        <w:rPr>
          <w:rFonts w:hint="eastAsia" w:ascii="宋体" w:hAnsi="宋体" w:eastAsia="宋体" w:cs="宋体"/>
          <w:color w:val="auto"/>
          <w:spacing w:val="0"/>
          <w:w w:val="100"/>
          <w:kern w:val="2"/>
          <w:sz w:val="22"/>
          <w:szCs w:val="22"/>
          <w:highlight w:val="none"/>
        </w:rPr>
      </w:pPr>
      <w:r>
        <w:rPr>
          <w:rFonts w:hint="eastAsia" w:ascii="宋体" w:hAnsi="宋体" w:eastAsia="宋体" w:cs="宋体"/>
          <w:color w:val="auto"/>
          <w:spacing w:val="0"/>
          <w:w w:val="100"/>
          <w:kern w:val="2"/>
          <w:sz w:val="22"/>
          <w:szCs w:val="22"/>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pacing w:val="0"/>
          <w:w w:val="100"/>
          <w:kern w:val="2"/>
          <w:sz w:val="22"/>
          <w:szCs w:val="22"/>
          <w:highlight w:val="none"/>
          <w:u w:val="single"/>
        </w:rPr>
        <w:t xml:space="preserve">        </w:t>
      </w:r>
      <w:r>
        <w:rPr>
          <w:rFonts w:hint="eastAsia" w:ascii="宋体" w:hAnsi="宋体" w:eastAsia="宋体" w:cs="宋体"/>
          <w:color w:val="auto"/>
          <w:spacing w:val="0"/>
          <w:w w:val="100"/>
          <w:kern w:val="2"/>
          <w:sz w:val="22"/>
          <w:szCs w:val="22"/>
          <w:highlight w:val="none"/>
        </w:rPr>
        <w:t>单位的</w:t>
      </w:r>
      <w:r>
        <w:rPr>
          <w:rFonts w:hint="eastAsia" w:ascii="宋体" w:hAnsi="宋体" w:eastAsia="宋体" w:cs="宋体"/>
          <w:color w:val="auto"/>
          <w:spacing w:val="0"/>
          <w:w w:val="100"/>
          <w:kern w:val="2"/>
          <w:sz w:val="22"/>
          <w:szCs w:val="22"/>
          <w:highlight w:val="none"/>
          <w:u w:val="single"/>
        </w:rPr>
        <w:t xml:space="preserve">       </w:t>
      </w:r>
      <w:r>
        <w:rPr>
          <w:rFonts w:hint="eastAsia" w:ascii="宋体" w:hAnsi="宋体" w:eastAsia="宋体" w:cs="宋体"/>
          <w:color w:val="auto"/>
          <w:spacing w:val="0"/>
          <w:w w:val="100"/>
          <w:kern w:val="2"/>
          <w:sz w:val="22"/>
          <w:szCs w:val="22"/>
          <w:highlight w:val="none"/>
        </w:rPr>
        <w:t>项目采购活动提供本单位制造的货物（由本单位承担工程/提供服务），或者提供其他残疾人福利性单位制造的货物（不包括使用非残疾人福利性单位注册商标的货物）。</w:t>
      </w:r>
    </w:p>
    <w:p w14:paraId="117F676F">
      <w:pPr>
        <w:pStyle w:val="126"/>
        <w:keepNext w:val="0"/>
        <w:keepLines w:val="0"/>
        <w:pageBreakBefore w:val="0"/>
        <w:widowControl w:val="0"/>
        <w:kinsoku/>
        <w:overflowPunct/>
        <w:topLinePunct w:val="0"/>
        <w:bidi w:val="0"/>
        <w:spacing w:before="120" w:after="120" w:line="360" w:lineRule="auto"/>
        <w:ind w:firstLine="600"/>
        <w:rPr>
          <w:rFonts w:hint="eastAsia" w:ascii="宋体" w:hAnsi="宋体" w:eastAsia="宋体" w:cs="宋体"/>
          <w:color w:val="auto"/>
          <w:spacing w:val="0"/>
          <w:w w:val="100"/>
          <w:kern w:val="2"/>
          <w:sz w:val="22"/>
          <w:szCs w:val="22"/>
          <w:highlight w:val="none"/>
        </w:rPr>
      </w:pPr>
      <w:r>
        <w:rPr>
          <w:rFonts w:hint="eastAsia" w:ascii="宋体" w:hAnsi="宋体" w:eastAsia="宋体" w:cs="宋体"/>
          <w:color w:val="auto"/>
          <w:spacing w:val="0"/>
          <w:w w:val="100"/>
          <w:kern w:val="2"/>
          <w:sz w:val="22"/>
          <w:szCs w:val="22"/>
          <w:highlight w:val="none"/>
        </w:rPr>
        <w:t>本单位对上述声明的真实性负责。如有虚假，将依法承担相应责任。</w:t>
      </w:r>
    </w:p>
    <w:p w14:paraId="6D8459B2">
      <w:pPr>
        <w:pStyle w:val="126"/>
        <w:keepNext w:val="0"/>
        <w:keepLines w:val="0"/>
        <w:pageBreakBefore w:val="0"/>
        <w:widowControl w:val="0"/>
        <w:kinsoku/>
        <w:overflowPunct/>
        <w:topLinePunct w:val="0"/>
        <w:bidi w:val="0"/>
        <w:spacing w:before="120" w:after="120" w:line="360" w:lineRule="auto"/>
        <w:rPr>
          <w:rFonts w:hint="eastAsia" w:ascii="宋体" w:hAnsi="宋体" w:eastAsia="宋体" w:cs="宋体"/>
          <w:color w:val="auto"/>
          <w:spacing w:val="0"/>
          <w:w w:val="100"/>
          <w:sz w:val="22"/>
          <w:szCs w:val="22"/>
          <w:highlight w:val="none"/>
        </w:rPr>
      </w:pPr>
    </w:p>
    <w:p w14:paraId="5DD82B93">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4317551D">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7B19C60C">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2"/>
          <w:highlight w:val="none"/>
        </w:rPr>
      </w:pPr>
    </w:p>
    <w:p w14:paraId="2B9C9D31">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2"/>
          <w:highlight w:val="none"/>
        </w:rPr>
      </w:pPr>
    </w:p>
    <w:p w14:paraId="29807DB7">
      <w:pPr>
        <w:pStyle w:val="3"/>
        <w:keepNext w:val="0"/>
        <w:keepLines w:val="0"/>
        <w:pageBreakBefore w:val="0"/>
        <w:widowControl w:val="0"/>
        <w:kinsoku/>
        <w:overflowPunct/>
        <w:topLinePunct w:val="0"/>
        <w:bidi w:val="0"/>
        <w:ind w:left="0"/>
        <w:rPr>
          <w:rFonts w:hint="eastAsia" w:ascii="宋体" w:hAnsi="宋体" w:eastAsia="宋体" w:cs="宋体"/>
          <w:color w:val="auto"/>
          <w:spacing w:val="0"/>
          <w:w w:val="100"/>
          <w:sz w:val="22"/>
          <w:szCs w:val="22"/>
          <w:highlight w:val="none"/>
        </w:rPr>
      </w:pPr>
    </w:p>
    <w:p w14:paraId="30B95DBB">
      <w:pPr>
        <w:pStyle w:val="5"/>
        <w:keepNext w:val="0"/>
        <w:keepLines w:val="0"/>
        <w:pageBreakBefore w:val="0"/>
        <w:widowControl w:val="0"/>
        <w:kinsoku/>
        <w:overflowPunct/>
        <w:topLinePunct w:val="0"/>
        <w:bidi w:val="0"/>
        <w:ind w:left="0"/>
        <w:rPr>
          <w:rFonts w:hint="eastAsia" w:ascii="宋体" w:hAnsi="宋体" w:eastAsia="宋体" w:cs="宋体"/>
          <w:color w:val="auto"/>
          <w:spacing w:val="0"/>
          <w:w w:val="100"/>
          <w:highlight w:val="none"/>
        </w:rPr>
      </w:pPr>
    </w:p>
    <w:p w14:paraId="4EC06720">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6EB991B1">
      <w:pPr>
        <w:pStyle w:val="5"/>
        <w:keepNext w:val="0"/>
        <w:keepLines w:val="0"/>
        <w:pageBreakBefore w:val="0"/>
        <w:widowControl w:val="0"/>
        <w:kinsoku/>
        <w:overflowPunct/>
        <w:topLinePunct w:val="0"/>
        <w:bidi w:val="0"/>
        <w:ind w:left="0"/>
        <w:rPr>
          <w:rFonts w:hint="eastAsia" w:ascii="宋体" w:hAnsi="宋体" w:eastAsia="宋体" w:cs="宋体"/>
          <w:color w:val="auto"/>
          <w:spacing w:val="0"/>
          <w:w w:val="100"/>
          <w:sz w:val="22"/>
          <w:szCs w:val="22"/>
          <w:highlight w:val="none"/>
        </w:rPr>
      </w:pPr>
    </w:p>
    <w:p w14:paraId="19712704">
      <w:pPr>
        <w:pStyle w:val="3"/>
        <w:keepNext w:val="0"/>
        <w:keepLines w:val="0"/>
        <w:pageBreakBefore w:val="0"/>
        <w:widowControl w:val="0"/>
        <w:kinsoku/>
        <w:overflowPunct/>
        <w:topLinePunct w:val="0"/>
        <w:bidi w:val="0"/>
        <w:ind w:left="0"/>
        <w:rPr>
          <w:rFonts w:hint="eastAsia" w:ascii="宋体" w:hAnsi="宋体" w:eastAsia="宋体" w:cs="宋体"/>
          <w:color w:val="auto"/>
          <w:spacing w:val="0"/>
          <w:w w:val="100"/>
          <w:highlight w:val="none"/>
        </w:rPr>
      </w:pPr>
    </w:p>
    <w:p w14:paraId="3BFDA3A7">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4FDF62FC">
      <w:pPr>
        <w:pStyle w:val="22"/>
        <w:keepNext w:val="0"/>
        <w:keepLines w:val="0"/>
        <w:pageBreakBefore w:val="0"/>
        <w:widowControl w:val="0"/>
        <w:kinsoku/>
        <w:overflowPunct/>
        <w:topLinePunct w:val="0"/>
        <w:bidi w:val="0"/>
        <w:spacing w:line="360" w:lineRule="auto"/>
        <w:ind w:left="0"/>
        <w:jc w:val="center"/>
        <w:rPr>
          <w:rFonts w:hint="eastAsia" w:ascii="宋体" w:hAnsi="宋体" w:eastAsia="宋体" w:cs="宋体"/>
          <w:b/>
          <w:bCs/>
          <w:color w:val="auto"/>
          <w:spacing w:val="0"/>
          <w:w w:val="100"/>
          <w:sz w:val="30"/>
          <w:highlight w:val="none"/>
        </w:rPr>
      </w:pPr>
      <w:r>
        <w:rPr>
          <w:rFonts w:hint="eastAsia" w:ascii="宋体" w:hAnsi="宋体" w:eastAsia="宋体" w:cs="宋体"/>
          <w:b/>
          <w:bCs/>
          <w:color w:val="auto"/>
          <w:spacing w:val="0"/>
          <w:w w:val="100"/>
          <w:sz w:val="30"/>
          <w:highlight w:val="none"/>
          <w:lang w:val="en-US" w:eastAsia="zh-CN"/>
        </w:rPr>
        <w:t>7.</w:t>
      </w:r>
      <w:r>
        <w:rPr>
          <w:rFonts w:hint="eastAsia" w:ascii="宋体" w:hAnsi="宋体" w:eastAsia="宋体" w:cs="宋体"/>
          <w:b/>
          <w:bCs/>
          <w:color w:val="auto"/>
          <w:spacing w:val="0"/>
          <w:w w:val="100"/>
          <w:sz w:val="30"/>
          <w:highlight w:val="none"/>
        </w:rPr>
        <w:t>3监狱企业证明</w:t>
      </w:r>
    </w:p>
    <w:p w14:paraId="4C1383EE">
      <w:pPr>
        <w:pStyle w:val="49"/>
        <w:keepNext w:val="0"/>
        <w:keepLines w:val="0"/>
        <w:pageBreakBefore w:val="0"/>
        <w:widowControl w:val="0"/>
        <w:kinsoku/>
        <w:overflowPunct/>
        <w:topLinePunct w:val="0"/>
        <w:bidi w:val="0"/>
        <w:ind w:firstLine="0" w:firstLineChars="0"/>
        <w:jc w:val="center"/>
        <w:rPr>
          <w:rFonts w:hint="eastAsia" w:ascii="宋体" w:hAnsi="宋体" w:eastAsia="宋体" w:cs="宋体"/>
          <w:b/>
          <w:bCs/>
          <w:color w:val="auto"/>
          <w:spacing w:val="0"/>
          <w:w w:val="100"/>
          <w:sz w:val="22"/>
          <w:szCs w:val="21"/>
          <w:highlight w:val="none"/>
        </w:rPr>
      </w:pPr>
      <w:r>
        <w:rPr>
          <w:rFonts w:hint="eastAsia" w:ascii="宋体" w:hAnsi="宋体" w:eastAsia="宋体" w:cs="宋体"/>
          <w:b/>
          <w:bCs/>
          <w:color w:val="auto"/>
          <w:spacing w:val="0"/>
          <w:w w:val="100"/>
          <w:sz w:val="22"/>
          <w:szCs w:val="21"/>
          <w:highlight w:val="none"/>
        </w:rPr>
        <w:t>【非监狱企业的不用提供】</w:t>
      </w:r>
    </w:p>
    <w:p w14:paraId="16CA2748">
      <w:pPr>
        <w:pStyle w:val="5"/>
        <w:keepNext w:val="0"/>
        <w:keepLines w:val="0"/>
        <w:pageBreakBefore w:val="0"/>
        <w:widowControl w:val="0"/>
        <w:kinsoku/>
        <w:overflowPunct/>
        <w:topLinePunct w:val="0"/>
        <w:bidi w:val="0"/>
        <w:spacing w:line="360" w:lineRule="auto"/>
        <w:jc w:val="center"/>
        <w:rPr>
          <w:rFonts w:hint="eastAsia" w:ascii="宋体" w:hAnsi="宋体" w:eastAsia="宋体" w:cs="宋体"/>
          <w:color w:val="auto"/>
          <w:spacing w:val="0"/>
          <w:w w:val="100"/>
          <w:sz w:val="24"/>
          <w:szCs w:val="24"/>
          <w:highlight w:val="none"/>
        </w:rPr>
      </w:pPr>
    </w:p>
    <w:p w14:paraId="5FEDF592">
      <w:pPr>
        <w:pStyle w:val="5"/>
        <w:keepNext w:val="0"/>
        <w:keepLines w:val="0"/>
        <w:pageBreakBefore w:val="0"/>
        <w:widowControl w:val="0"/>
        <w:kinsoku/>
        <w:overflowPunct/>
        <w:topLinePunct w:val="0"/>
        <w:bidi w:val="0"/>
        <w:spacing w:line="360" w:lineRule="auto"/>
        <w:ind w:left="0" w:firstLine="442" w:firstLineChars="200"/>
        <w:jc w:val="left"/>
        <w:rPr>
          <w:rFonts w:hint="eastAsia" w:ascii="宋体" w:hAnsi="宋体" w:eastAsia="宋体" w:cs="宋体"/>
          <w:color w:val="auto"/>
          <w:spacing w:val="0"/>
          <w:w w:val="100"/>
          <w:sz w:val="22"/>
          <w:szCs w:val="22"/>
          <w:highlight w:val="none"/>
        </w:rPr>
      </w:pPr>
      <w:r>
        <w:rPr>
          <w:rFonts w:hint="eastAsia" w:ascii="宋体" w:hAnsi="宋体" w:eastAsia="宋体" w:cs="宋体"/>
          <w:b/>
          <w:color w:val="auto"/>
          <w:spacing w:val="0"/>
          <w:w w:val="100"/>
          <w:sz w:val="22"/>
          <w:szCs w:val="22"/>
          <w:highlight w:val="none"/>
        </w:rPr>
        <w:t>注：</w:t>
      </w:r>
      <w:r>
        <w:rPr>
          <w:rFonts w:hint="eastAsia" w:ascii="宋体" w:hAnsi="宋体" w:eastAsia="宋体" w:cs="宋体"/>
          <w:color w:val="auto"/>
          <w:spacing w:val="0"/>
          <w:w w:val="100"/>
          <w:sz w:val="22"/>
          <w:szCs w:val="22"/>
          <w:highlight w:val="none"/>
        </w:rPr>
        <w:t>须提供省级以上监狱管理局、戒毒管理局（含新疆生产建设兵团）出具的属于监狱企业的证明文件</w:t>
      </w:r>
    </w:p>
    <w:p w14:paraId="056BA63F">
      <w:pPr>
        <w:pStyle w:val="26"/>
        <w:keepNext w:val="0"/>
        <w:keepLines w:val="0"/>
        <w:pageBreakBefore w:val="0"/>
        <w:widowControl w:val="0"/>
        <w:kinsoku/>
        <w:overflowPunct/>
        <w:topLinePunct w:val="0"/>
        <w:bidi w:val="0"/>
        <w:ind w:firstLine="240"/>
        <w:rPr>
          <w:rFonts w:hint="eastAsia" w:ascii="宋体" w:hAnsi="宋体" w:eastAsia="宋体" w:cs="宋体"/>
          <w:color w:val="auto"/>
          <w:spacing w:val="0"/>
          <w:w w:val="100"/>
          <w:sz w:val="22"/>
          <w:szCs w:val="22"/>
          <w:highlight w:val="none"/>
        </w:rPr>
      </w:pPr>
    </w:p>
    <w:p w14:paraId="4C8445D8">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0F603066">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3D481D0D">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r>
        <w:rPr>
          <w:rFonts w:hint="eastAsia" w:ascii="宋体" w:hAnsi="宋体" w:eastAsia="宋体" w:cs="宋体"/>
          <w:color w:val="auto"/>
          <w:spacing w:val="0"/>
          <w:w w:val="100"/>
          <w:highlight w:val="none"/>
        </w:rPr>
        <w:br w:type="page"/>
      </w:r>
    </w:p>
    <w:p w14:paraId="0914335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bookmarkStart w:id="198" w:name="_Toc22926"/>
    </w:p>
    <w:p w14:paraId="55166CF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618F858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463AF92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0931086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450AE8A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5929951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60203CF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158B5F6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5729956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171A6C7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41F3120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14DAA7F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72D3867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4C439F2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702F5F8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1F4F7D1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24ADC87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735EE16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6B0C957E">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74FC643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6D88EC3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004FBF91">
      <w:pPr>
        <w:pStyle w:val="4"/>
        <w:keepNext w:val="0"/>
        <w:keepLines w:val="0"/>
        <w:pageBreakBefore w:val="0"/>
        <w:widowControl w:val="0"/>
        <w:tabs>
          <w:tab w:val="left" w:pos="3405"/>
        </w:tabs>
        <w:kinsoku/>
        <w:overflowPunct/>
        <w:topLinePunct w:val="0"/>
        <w:bidi w:val="0"/>
        <w:ind w:left="0" w:firstLine="0"/>
        <w:jc w:val="center"/>
        <w:rPr>
          <w:rFonts w:hint="eastAsia" w:ascii="宋体" w:hAnsi="宋体" w:eastAsia="宋体" w:cs="宋体"/>
          <w:b/>
          <w:bCs/>
          <w:color w:val="auto"/>
          <w:spacing w:val="0"/>
          <w:w w:val="100"/>
          <w:sz w:val="36"/>
          <w:szCs w:val="36"/>
          <w:highlight w:val="none"/>
        </w:rPr>
      </w:pPr>
      <w:r>
        <w:rPr>
          <w:rFonts w:hint="eastAsia" w:ascii="宋体" w:hAnsi="宋体" w:eastAsia="宋体" w:cs="宋体"/>
          <w:b/>
          <w:bCs/>
          <w:color w:val="auto"/>
          <w:spacing w:val="0"/>
          <w:w w:val="100"/>
          <w:sz w:val="36"/>
          <w:szCs w:val="36"/>
          <w:highlight w:val="none"/>
        </w:rPr>
        <w:t>二  资信商务及技术文件格式</w:t>
      </w:r>
      <w:bookmarkEnd w:id="197"/>
      <w:bookmarkEnd w:id="198"/>
    </w:p>
    <w:bookmarkEnd w:id="186"/>
    <w:bookmarkEnd w:id="187"/>
    <w:bookmarkEnd w:id="188"/>
    <w:bookmarkEnd w:id="189"/>
    <w:p w14:paraId="74334E16">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731F3709">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2AF3D200">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04CB8955">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5EDF5DD6">
      <w:pPr>
        <w:pStyle w:val="22"/>
        <w:keepNext w:val="0"/>
        <w:keepLines w:val="0"/>
        <w:pageBreakBefore w:val="0"/>
        <w:widowControl w:val="0"/>
        <w:kinsoku/>
        <w:overflowPunct/>
        <w:topLinePunct w:val="0"/>
        <w:bidi w:val="0"/>
        <w:spacing w:line="360" w:lineRule="auto"/>
        <w:ind w:left="0"/>
        <w:rPr>
          <w:rFonts w:hint="eastAsia" w:ascii="宋体" w:hAnsi="宋体" w:eastAsia="宋体" w:cs="宋体"/>
          <w:color w:val="auto"/>
          <w:spacing w:val="0"/>
          <w:w w:val="100"/>
          <w:sz w:val="24"/>
          <w:highlight w:val="none"/>
        </w:rPr>
      </w:pPr>
    </w:p>
    <w:p w14:paraId="3264FF09">
      <w:pPr>
        <w:pStyle w:val="22"/>
        <w:keepNext w:val="0"/>
        <w:keepLines w:val="0"/>
        <w:pageBreakBefore w:val="0"/>
        <w:widowControl w:val="0"/>
        <w:kinsoku/>
        <w:overflowPunct/>
        <w:topLinePunct w:val="0"/>
        <w:bidi w:val="0"/>
        <w:spacing w:line="360" w:lineRule="auto"/>
        <w:ind w:left="0"/>
        <w:rPr>
          <w:rFonts w:hint="eastAsia" w:ascii="宋体" w:hAnsi="宋体" w:eastAsia="宋体" w:cs="宋体"/>
          <w:color w:val="auto"/>
          <w:spacing w:val="0"/>
          <w:w w:val="100"/>
          <w:sz w:val="24"/>
          <w:highlight w:val="none"/>
        </w:rPr>
      </w:pPr>
    </w:p>
    <w:p w14:paraId="12843507">
      <w:pPr>
        <w:keepNext w:val="0"/>
        <w:keepLines w:val="0"/>
        <w:pageBreakBefore w:val="0"/>
        <w:widowControl w:val="0"/>
        <w:kinsoku/>
        <w:overflowPunct/>
        <w:topLinePunct w:val="0"/>
        <w:bidi w:val="0"/>
        <w:spacing w:line="360" w:lineRule="auto"/>
        <w:rPr>
          <w:rFonts w:hint="eastAsia" w:ascii="宋体" w:hAnsi="宋体" w:eastAsia="宋体" w:cs="宋体"/>
          <w:color w:val="auto"/>
          <w:spacing w:val="0"/>
          <w:w w:val="100"/>
          <w:sz w:val="30"/>
          <w:highlight w:val="none"/>
        </w:rPr>
      </w:pPr>
      <w:r>
        <w:rPr>
          <w:rFonts w:hint="eastAsia" w:ascii="宋体" w:hAnsi="宋体" w:eastAsia="宋体" w:cs="宋体"/>
          <w:color w:val="auto"/>
          <w:spacing w:val="0"/>
          <w:w w:val="100"/>
          <w:sz w:val="30"/>
          <w:highlight w:val="none"/>
        </w:rPr>
        <w:br w:type="page"/>
      </w:r>
    </w:p>
    <w:p w14:paraId="32A2A3D6">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53B59D98">
      <w:pPr>
        <w:keepNext w:val="0"/>
        <w:keepLines w:val="0"/>
        <w:pageBreakBefore w:val="0"/>
        <w:widowControl w:val="0"/>
        <w:kinsoku/>
        <w:overflowPunct/>
        <w:topLinePunct w:val="0"/>
        <w:bidi w:val="0"/>
        <w:spacing w:line="360" w:lineRule="auto"/>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rPr>
        <w:t>“资信商务及技术文件”封面格式</w:t>
      </w:r>
    </w:p>
    <w:p w14:paraId="16893DCF">
      <w:pPr>
        <w:pStyle w:val="31"/>
        <w:keepNext w:val="0"/>
        <w:keepLines w:val="0"/>
        <w:pageBreakBefore w:val="0"/>
        <w:widowControl w:val="0"/>
        <w:kinsoku/>
        <w:overflowPunct/>
        <w:topLinePunct w:val="0"/>
        <w:bidi w:val="0"/>
        <w:ind w:left="0" w:leftChars="0" w:firstLine="0" w:firstLineChars="0"/>
        <w:rPr>
          <w:rFonts w:hint="eastAsia" w:ascii="宋体" w:hAnsi="宋体" w:eastAsia="宋体" w:cs="宋体"/>
          <w:color w:val="auto"/>
          <w:spacing w:val="0"/>
          <w:w w:val="100"/>
          <w:highlight w:val="none"/>
        </w:rPr>
      </w:pPr>
    </w:p>
    <w:p w14:paraId="267FC1D3">
      <w:pPr>
        <w:pStyle w:val="31"/>
        <w:keepNext w:val="0"/>
        <w:keepLines w:val="0"/>
        <w:pageBreakBefore w:val="0"/>
        <w:widowControl w:val="0"/>
        <w:kinsoku/>
        <w:overflowPunct/>
        <w:topLinePunct w:val="0"/>
        <w:bidi w:val="0"/>
        <w:ind w:left="0" w:leftChars="0" w:firstLine="0" w:firstLineChars="0"/>
        <w:rPr>
          <w:rFonts w:hint="eastAsia" w:ascii="宋体" w:hAnsi="宋体" w:eastAsia="宋体" w:cs="宋体"/>
          <w:color w:val="auto"/>
          <w:spacing w:val="0"/>
          <w:w w:val="100"/>
          <w:highlight w:val="none"/>
        </w:rPr>
      </w:pPr>
    </w:p>
    <w:p w14:paraId="1C78867C">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p w14:paraId="1B60ACD8">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宋体" w:hAnsi="宋体" w:eastAsia="宋体" w:cs="宋体"/>
          <w:b/>
          <w:color w:val="auto"/>
          <w:spacing w:val="0"/>
          <w:w w:val="100"/>
          <w:sz w:val="84"/>
          <w:szCs w:val="84"/>
          <w:highlight w:val="none"/>
        </w:rPr>
      </w:pPr>
      <w:r>
        <w:rPr>
          <w:rFonts w:hint="eastAsia" w:ascii="宋体" w:hAnsi="宋体" w:eastAsia="宋体" w:cs="宋体"/>
          <w:b/>
          <w:color w:val="auto"/>
          <w:spacing w:val="0"/>
          <w:w w:val="100"/>
          <w:sz w:val="84"/>
          <w:szCs w:val="84"/>
          <w:highlight w:val="none"/>
        </w:rPr>
        <w:t>磋商响应文件</w:t>
      </w:r>
    </w:p>
    <w:p w14:paraId="59001CEF">
      <w:pPr>
        <w:keepNext w:val="0"/>
        <w:keepLines w:val="0"/>
        <w:pageBreakBefore w:val="0"/>
        <w:widowControl w:val="0"/>
        <w:kinsoku/>
        <w:overflowPunct/>
        <w:topLinePunct w:val="0"/>
        <w:bidi w:val="0"/>
        <w:spacing w:before="151"/>
        <w:ind w:right="154"/>
        <w:jc w:val="center"/>
        <w:rPr>
          <w:rFonts w:hint="eastAsia" w:ascii="宋体" w:hAnsi="宋体" w:eastAsia="宋体" w:cs="宋体"/>
          <w:b/>
          <w:color w:val="auto"/>
          <w:spacing w:val="0"/>
          <w:w w:val="100"/>
          <w:sz w:val="48"/>
          <w:highlight w:val="none"/>
        </w:rPr>
      </w:pPr>
      <w:r>
        <w:rPr>
          <w:rFonts w:hint="eastAsia" w:ascii="宋体" w:hAnsi="宋体" w:eastAsia="宋体" w:cs="宋体"/>
          <w:b/>
          <w:color w:val="auto"/>
          <w:spacing w:val="0"/>
          <w:w w:val="100"/>
          <w:sz w:val="48"/>
          <w:highlight w:val="none"/>
        </w:rPr>
        <w:t>（资信商务及技术文件）</w:t>
      </w:r>
    </w:p>
    <w:p w14:paraId="3DDB431E">
      <w:pPr>
        <w:pStyle w:val="31"/>
        <w:keepNext w:val="0"/>
        <w:keepLines w:val="0"/>
        <w:pageBreakBefore w:val="0"/>
        <w:widowControl w:val="0"/>
        <w:kinsoku/>
        <w:overflowPunct/>
        <w:topLinePunct w:val="0"/>
        <w:bidi w:val="0"/>
        <w:ind w:left="0" w:leftChars="0" w:firstLine="0" w:firstLineChars="0"/>
        <w:rPr>
          <w:rFonts w:hint="eastAsia" w:ascii="宋体" w:hAnsi="宋体" w:eastAsia="宋体" w:cs="宋体"/>
          <w:color w:val="auto"/>
          <w:spacing w:val="0"/>
          <w:w w:val="100"/>
          <w:highlight w:val="none"/>
        </w:rPr>
      </w:pPr>
    </w:p>
    <w:p w14:paraId="3BA194A5">
      <w:pPr>
        <w:pStyle w:val="15"/>
        <w:keepNext w:val="0"/>
        <w:keepLines w:val="0"/>
        <w:pageBreakBefore w:val="0"/>
        <w:widowControl w:val="0"/>
        <w:tabs>
          <w:tab w:val="left" w:pos="208"/>
        </w:tabs>
        <w:kinsoku/>
        <w:overflowPunct/>
        <w:topLinePunct w:val="0"/>
        <w:bidi w:val="0"/>
        <w:ind w:left="0" w:leftChars="0" w:firstLine="0" w:firstLineChars="0"/>
        <w:rPr>
          <w:rFonts w:hint="eastAsia" w:ascii="宋体" w:hAnsi="宋体" w:eastAsia="宋体" w:cs="宋体"/>
          <w:b/>
          <w:color w:val="auto"/>
          <w:spacing w:val="0"/>
          <w:w w:val="100"/>
          <w:highlight w:val="none"/>
        </w:rPr>
      </w:pPr>
    </w:p>
    <w:p w14:paraId="1CF2AFE6">
      <w:pPr>
        <w:pStyle w:val="15"/>
        <w:keepNext w:val="0"/>
        <w:keepLines w:val="0"/>
        <w:pageBreakBefore w:val="0"/>
        <w:widowControl w:val="0"/>
        <w:tabs>
          <w:tab w:val="left" w:pos="208"/>
        </w:tabs>
        <w:kinsoku/>
        <w:overflowPunct/>
        <w:topLinePunct w:val="0"/>
        <w:bidi w:val="0"/>
        <w:ind w:left="0" w:leftChars="0" w:firstLine="0" w:firstLineChars="0"/>
        <w:rPr>
          <w:rFonts w:hint="eastAsia" w:ascii="宋体" w:hAnsi="宋体" w:eastAsia="宋体" w:cs="宋体"/>
          <w:b/>
          <w:color w:val="auto"/>
          <w:spacing w:val="0"/>
          <w:w w:val="100"/>
          <w:sz w:val="17"/>
          <w:highlight w:val="none"/>
        </w:rPr>
      </w:pPr>
    </w:p>
    <w:tbl>
      <w:tblPr>
        <w:tblStyle w:val="41"/>
        <w:tblW w:w="8538" w:type="dxa"/>
        <w:tblInd w:w="612" w:type="dxa"/>
        <w:tblLayout w:type="fixed"/>
        <w:tblCellMar>
          <w:top w:w="0" w:type="dxa"/>
          <w:left w:w="0" w:type="dxa"/>
          <w:bottom w:w="0" w:type="dxa"/>
          <w:right w:w="0" w:type="dxa"/>
        </w:tblCellMar>
      </w:tblPr>
      <w:tblGrid>
        <w:gridCol w:w="8538"/>
      </w:tblGrid>
      <w:tr w14:paraId="14D18357">
        <w:tblPrEx>
          <w:tblCellMar>
            <w:top w:w="0" w:type="dxa"/>
            <w:left w:w="0" w:type="dxa"/>
            <w:bottom w:w="0" w:type="dxa"/>
            <w:right w:w="0" w:type="dxa"/>
          </w:tblCellMar>
        </w:tblPrEx>
        <w:trPr>
          <w:trHeight w:val="1134" w:hRule="atLeast"/>
        </w:trPr>
        <w:tc>
          <w:tcPr>
            <w:tcW w:w="8538" w:type="dxa"/>
            <w:vAlign w:val="top"/>
          </w:tcPr>
          <w:p w14:paraId="42C6B6D2">
            <w:pPr>
              <w:pStyle w:val="100"/>
              <w:keepNext w:val="0"/>
              <w:keepLines w:val="0"/>
              <w:pageBreakBefore w:val="0"/>
              <w:widowControl w:val="0"/>
              <w:kinsoku/>
              <w:overflowPunct/>
              <w:topLinePunct w:val="0"/>
              <w:autoSpaceDE w:val="0"/>
              <w:autoSpaceDN w:val="0"/>
              <w:bidi w:val="0"/>
              <w:spacing w:line="480" w:lineRule="auto"/>
              <w:ind w:left="200"/>
              <w:rPr>
                <w:rFonts w:hint="eastAsia" w:ascii="宋体" w:hAnsi="宋体" w:eastAsia="宋体" w:cs="宋体"/>
                <w:b/>
                <w:color w:val="auto"/>
                <w:spacing w:val="0"/>
                <w:w w:val="100"/>
                <w:sz w:val="28"/>
                <w:highlight w:val="none"/>
              </w:rPr>
            </w:pPr>
            <w:r>
              <w:rPr>
                <w:rFonts w:hint="eastAsia" w:ascii="宋体" w:hAnsi="宋体" w:eastAsia="宋体" w:cs="宋体"/>
                <w:b/>
                <w:color w:val="auto"/>
                <w:spacing w:val="0"/>
                <w:w w:val="100"/>
                <w:sz w:val="28"/>
                <w:highlight w:val="none"/>
              </w:rPr>
              <w:t>项目名称：</w:t>
            </w:r>
            <w:r>
              <w:rPr>
                <w:rFonts w:hint="eastAsia" w:ascii="宋体" w:hAnsi="宋体" w:eastAsia="宋体" w:cs="宋体"/>
                <w:color w:val="auto"/>
                <w:spacing w:val="0"/>
                <w:w w:val="100"/>
                <w:sz w:val="28"/>
                <w:highlight w:val="none"/>
                <w:u w:val="single"/>
                <w:lang w:val="en-US" w:eastAsia="zh-CN"/>
              </w:rPr>
              <w:t xml:space="preserve">                               </w:t>
            </w:r>
          </w:p>
        </w:tc>
      </w:tr>
      <w:tr w14:paraId="199DF714">
        <w:tblPrEx>
          <w:tblCellMar>
            <w:top w:w="0" w:type="dxa"/>
            <w:left w:w="0" w:type="dxa"/>
            <w:bottom w:w="0" w:type="dxa"/>
            <w:right w:w="0" w:type="dxa"/>
          </w:tblCellMar>
        </w:tblPrEx>
        <w:trPr>
          <w:trHeight w:val="1134" w:hRule="atLeast"/>
        </w:trPr>
        <w:tc>
          <w:tcPr>
            <w:tcW w:w="8538" w:type="dxa"/>
            <w:vAlign w:val="top"/>
          </w:tcPr>
          <w:p w14:paraId="261D5EE0">
            <w:pPr>
              <w:pStyle w:val="100"/>
              <w:keepNext w:val="0"/>
              <w:keepLines w:val="0"/>
              <w:pageBreakBefore w:val="0"/>
              <w:widowControl w:val="0"/>
              <w:kinsoku/>
              <w:overflowPunct/>
              <w:topLinePunct w:val="0"/>
              <w:autoSpaceDE w:val="0"/>
              <w:autoSpaceDN w:val="0"/>
              <w:bidi w:val="0"/>
              <w:spacing w:before="161" w:line="480" w:lineRule="auto"/>
              <w:ind w:left="200"/>
              <w:rPr>
                <w:rFonts w:hint="eastAsia" w:ascii="宋体" w:hAnsi="宋体" w:eastAsia="宋体" w:cs="宋体"/>
                <w:b/>
                <w:color w:val="auto"/>
                <w:spacing w:val="0"/>
                <w:w w:val="100"/>
                <w:sz w:val="28"/>
                <w:highlight w:val="none"/>
              </w:rPr>
            </w:pPr>
            <w:r>
              <w:rPr>
                <w:rFonts w:hint="eastAsia" w:ascii="宋体" w:hAnsi="宋体" w:eastAsia="宋体" w:cs="宋体"/>
                <w:b/>
                <w:color w:val="auto"/>
                <w:spacing w:val="0"/>
                <w:w w:val="100"/>
                <w:sz w:val="28"/>
                <w:highlight w:val="none"/>
              </w:rPr>
              <w:t>项目编号：</w:t>
            </w:r>
            <w:r>
              <w:rPr>
                <w:rFonts w:hint="eastAsia" w:ascii="宋体" w:hAnsi="宋体" w:eastAsia="宋体" w:cs="宋体"/>
                <w:color w:val="auto"/>
                <w:spacing w:val="0"/>
                <w:w w:val="100"/>
                <w:sz w:val="28"/>
                <w:highlight w:val="none"/>
                <w:u w:val="single"/>
                <w:lang w:val="en-US" w:eastAsia="zh-CN"/>
              </w:rPr>
              <w:t xml:space="preserve">                               </w:t>
            </w:r>
          </w:p>
        </w:tc>
      </w:tr>
      <w:tr w14:paraId="2A6890D0">
        <w:tblPrEx>
          <w:tblCellMar>
            <w:top w:w="0" w:type="dxa"/>
            <w:left w:w="0" w:type="dxa"/>
            <w:bottom w:w="0" w:type="dxa"/>
            <w:right w:w="0" w:type="dxa"/>
          </w:tblCellMar>
        </w:tblPrEx>
        <w:trPr>
          <w:trHeight w:val="1134" w:hRule="atLeast"/>
        </w:trPr>
        <w:tc>
          <w:tcPr>
            <w:tcW w:w="8538" w:type="dxa"/>
            <w:vAlign w:val="top"/>
          </w:tcPr>
          <w:p w14:paraId="1D13C8AE">
            <w:pPr>
              <w:pStyle w:val="100"/>
              <w:keepNext w:val="0"/>
              <w:keepLines w:val="0"/>
              <w:pageBreakBefore w:val="0"/>
              <w:widowControl w:val="0"/>
              <w:tabs>
                <w:tab w:val="left" w:pos="8323"/>
              </w:tabs>
              <w:kinsoku/>
              <w:overflowPunct/>
              <w:topLinePunct w:val="0"/>
              <w:autoSpaceDE w:val="0"/>
              <w:autoSpaceDN w:val="0"/>
              <w:bidi w:val="0"/>
              <w:spacing w:before="160" w:line="480" w:lineRule="auto"/>
              <w:ind w:left="200"/>
              <w:rPr>
                <w:rFonts w:hint="eastAsia" w:ascii="宋体" w:hAnsi="宋体" w:eastAsia="宋体" w:cs="宋体"/>
                <w:color w:val="auto"/>
                <w:spacing w:val="0"/>
                <w:w w:val="100"/>
                <w:sz w:val="28"/>
                <w:highlight w:val="none"/>
                <w:lang w:val="en-US" w:eastAsia="zh-CN"/>
              </w:rPr>
            </w:pPr>
            <w:r>
              <w:rPr>
                <w:rFonts w:hint="eastAsia" w:ascii="宋体" w:hAnsi="宋体" w:eastAsia="宋体" w:cs="宋体"/>
                <w:color w:val="auto"/>
                <w:spacing w:val="0"/>
                <w:w w:val="100"/>
                <w:sz w:val="28"/>
                <w:highlight w:val="none"/>
              </w:rPr>
              <w:t>磋商供应商名称（CA签章）：</w:t>
            </w:r>
            <w:r>
              <w:rPr>
                <w:rFonts w:hint="eastAsia" w:ascii="宋体" w:hAnsi="宋体" w:eastAsia="宋体" w:cs="宋体"/>
                <w:color w:val="auto"/>
                <w:spacing w:val="0"/>
                <w:w w:val="100"/>
                <w:sz w:val="28"/>
                <w:highlight w:val="none"/>
                <w:u w:val="single"/>
                <w:lang w:val="en-US" w:eastAsia="zh-CN"/>
              </w:rPr>
              <w:t xml:space="preserve">                              </w:t>
            </w:r>
          </w:p>
        </w:tc>
      </w:tr>
      <w:tr w14:paraId="449F9A53">
        <w:tblPrEx>
          <w:tblCellMar>
            <w:top w:w="0" w:type="dxa"/>
            <w:left w:w="0" w:type="dxa"/>
            <w:bottom w:w="0" w:type="dxa"/>
            <w:right w:w="0" w:type="dxa"/>
          </w:tblCellMar>
        </w:tblPrEx>
        <w:trPr>
          <w:trHeight w:val="1134" w:hRule="atLeast"/>
        </w:trPr>
        <w:tc>
          <w:tcPr>
            <w:tcW w:w="8538" w:type="dxa"/>
            <w:vAlign w:val="top"/>
          </w:tcPr>
          <w:p w14:paraId="17DC690A">
            <w:pPr>
              <w:pStyle w:val="100"/>
              <w:keepNext w:val="0"/>
              <w:keepLines w:val="0"/>
              <w:pageBreakBefore w:val="0"/>
              <w:widowControl w:val="0"/>
              <w:tabs>
                <w:tab w:val="left" w:pos="8168"/>
              </w:tabs>
              <w:kinsoku/>
              <w:overflowPunct/>
              <w:topLinePunct w:val="0"/>
              <w:autoSpaceDE w:val="0"/>
              <w:autoSpaceDN w:val="0"/>
              <w:bidi w:val="0"/>
              <w:spacing w:before="161" w:line="480" w:lineRule="auto"/>
              <w:ind w:left="200"/>
              <w:rPr>
                <w:rFonts w:hint="eastAsia" w:ascii="宋体" w:hAnsi="宋体" w:eastAsia="宋体" w:cs="宋体"/>
                <w:color w:val="auto"/>
                <w:spacing w:val="0"/>
                <w:w w:val="100"/>
                <w:sz w:val="22"/>
                <w:highlight w:val="none"/>
                <w:lang w:eastAsia="en-US"/>
              </w:rPr>
            </w:pPr>
            <w:r>
              <w:rPr>
                <w:rFonts w:hint="eastAsia" w:ascii="宋体" w:hAnsi="宋体" w:eastAsia="宋体" w:cs="宋体"/>
                <w:color w:val="auto"/>
                <w:spacing w:val="0"/>
                <w:w w:val="100"/>
                <w:sz w:val="28"/>
                <w:highlight w:val="none"/>
                <w:lang w:eastAsia="en-US"/>
              </w:rPr>
              <w:t>磋商供应商地址：</w:t>
            </w:r>
            <w:r>
              <w:rPr>
                <w:rFonts w:hint="eastAsia" w:ascii="宋体" w:hAnsi="宋体" w:eastAsia="宋体" w:cs="宋体"/>
                <w:color w:val="auto"/>
                <w:spacing w:val="0"/>
                <w:w w:val="100"/>
                <w:sz w:val="28"/>
                <w:highlight w:val="none"/>
                <w:u w:val="single"/>
                <w:lang w:val="en-US" w:eastAsia="zh-CN"/>
              </w:rPr>
              <w:t xml:space="preserve">                                        </w:t>
            </w:r>
          </w:p>
        </w:tc>
      </w:tr>
      <w:tr w14:paraId="4DFD0B68">
        <w:tblPrEx>
          <w:tblCellMar>
            <w:top w:w="0" w:type="dxa"/>
            <w:left w:w="0" w:type="dxa"/>
            <w:bottom w:w="0" w:type="dxa"/>
            <w:right w:w="0" w:type="dxa"/>
          </w:tblCellMar>
        </w:tblPrEx>
        <w:trPr>
          <w:trHeight w:val="1134" w:hRule="atLeast"/>
        </w:trPr>
        <w:tc>
          <w:tcPr>
            <w:tcW w:w="8538" w:type="dxa"/>
            <w:vAlign w:val="top"/>
          </w:tcPr>
          <w:p w14:paraId="7C248C52">
            <w:pPr>
              <w:pStyle w:val="100"/>
              <w:keepNext w:val="0"/>
              <w:keepLines w:val="0"/>
              <w:pageBreakBefore w:val="0"/>
              <w:widowControl w:val="0"/>
              <w:tabs>
                <w:tab w:val="left" w:pos="8150"/>
              </w:tabs>
              <w:kinsoku/>
              <w:overflowPunct/>
              <w:topLinePunct w:val="0"/>
              <w:autoSpaceDE w:val="0"/>
              <w:autoSpaceDN w:val="0"/>
              <w:bidi w:val="0"/>
              <w:spacing w:before="160" w:line="480" w:lineRule="auto"/>
              <w:ind w:left="200"/>
              <w:rPr>
                <w:rFonts w:hint="eastAsia" w:ascii="宋体" w:hAnsi="宋体" w:eastAsia="宋体" w:cs="宋体"/>
                <w:color w:val="auto"/>
                <w:spacing w:val="0"/>
                <w:w w:val="100"/>
                <w:sz w:val="22"/>
                <w:highlight w:val="none"/>
                <w:lang w:eastAsia="en-US"/>
              </w:rPr>
            </w:pPr>
            <w:r>
              <w:rPr>
                <w:rFonts w:hint="eastAsia" w:ascii="宋体" w:hAnsi="宋体" w:eastAsia="宋体" w:cs="宋体"/>
                <w:color w:val="auto"/>
                <w:spacing w:val="0"/>
                <w:w w:val="100"/>
                <w:sz w:val="28"/>
                <w:highlight w:val="none"/>
                <w:lang w:eastAsia="en-US"/>
              </w:rPr>
              <w:t>日期：</w:t>
            </w:r>
            <w:r>
              <w:rPr>
                <w:rFonts w:hint="eastAsia" w:ascii="宋体" w:hAnsi="宋体" w:eastAsia="宋体" w:cs="宋体"/>
                <w:color w:val="auto"/>
                <w:spacing w:val="0"/>
                <w:w w:val="100"/>
                <w:sz w:val="28"/>
                <w:highlight w:val="none"/>
                <w:u w:val="single"/>
                <w:lang w:val="en-US" w:eastAsia="zh-CN"/>
              </w:rPr>
              <w:t xml:space="preserve">                                                   </w:t>
            </w:r>
          </w:p>
        </w:tc>
      </w:tr>
    </w:tbl>
    <w:p w14:paraId="0BF0CED7">
      <w:pPr>
        <w:keepNext w:val="0"/>
        <w:keepLines w:val="0"/>
        <w:pageBreakBefore w:val="0"/>
        <w:widowControl w:val="0"/>
        <w:kinsoku/>
        <w:overflowPunct/>
        <w:topLinePunct w:val="0"/>
        <w:bidi w:val="0"/>
        <w:snapToGrid w:val="0"/>
        <w:jc w:val="center"/>
        <w:rPr>
          <w:rFonts w:hint="eastAsia" w:ascii="宋体" w:hAnsi="宋体" w:eastAsia="宋体" w:cs="宋体"/>
          <w:b/>
          <w:color w:val="auto"/>
          <w:spacing w:val="0"/>
          <w:w w:val="100"/>
          <w:sz w:val="22"/>
          <w:highlight w:val="none"/>
        </w:rPr>
      </w:pPr>
    </w:p>
    <w:p w14:paraId="63C91B5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5E429D5A">
      <w:pPr>
        <w:keepNext w:val="0"/>
        <w:keepLines w:val="0"/>
        <w:pageBreakBefore w:val="0"/>
        <w:widowControl w:val="0"/>
        <w:kinsoku/>
        <w:overflowPunct/>
        <w:topLinePunct w:val="0"/>
        <w:bidi w:val="0"/>
        <w:rPr>
          <w:rFonts w:hint="eastAsia" w:ascii="宋体" w:hAnsi="宋体" w:eastAsia="宋体" w:cs="宋体"/>
          <w:b/>
          <w:color w:val="auto"/>
          <w:spacing w:val="0"/>
          <w:w w:val="100"/>
          <w:sz w:val="22"/>
          <w:highlight w:val="none"/>
        </w:rPr>
      </w:pPr>
      <w:r>
        <w:rPr>
          <w:rFonts w:hint="eastAsia" w:ascii="宋体" w:hAnsi="宋体" w:eastAsia="宋体" w:cs="宋体"/>
          <w:b/>
          <w:color w:val="auto"/>
          <w:spacing w:val="0"/>
          <w:w w:val="100"/>
          <w:sz w:val="22"/>
          <w:highlight w:val="none"/>
        </w:rPr>
        <w:br w:type="page"/>
      </w:r>
    </w:p>
    <w:p w14:paraId="56FFB347">
      <w:pPr>
        <w:pStyle w:val="22"/>
        <w:keepNext w:val="0"/>
        <w:keepLines w:val="0"/>
        <w:pageBreakBefore w:val="0"/>
        <w:widowControl w:val="0"/>
        <w:kinsoku/>
        <w:overflowPunct/>
        <w:topLinePunct w:val="0"/>
        <w:bidi w:val="0"/>
        <w:spacing w:line="360" w:lineRule="auto"/>
        <w:ind w:left="0"/>
        <w:jc w:val="center"/>
        <w:rPr>
          <w:rFonts w:hint="eastAsia" w:ascii="宋体" w:hAnsi="宋体" w:eastAsia="宋体" w:cs="宋体"/>
          <w:color w:val="auto"/>
          <w:spacing w:val="0"/>
          <w:w w:val="100"/>
          <w:sz w:val="32"/>
          <w:szCs w:val="32"/>
          <w:highlight w:val="none"/>
        </w:rPr>
      </w:pPr>
      <w:r>
        <w:rPr>
          <w:rFonts w:hint="eastAsia" w:ascii="宋体" w:hAnsi="宋体" w:eastAsia="宋体" w:cs="宋体"/>
          <w:b/>
          <w:color w:val="auto"/>
          <w:spacing w:val="0"/>
          <w:w w:val="100"/>
          <w:sz w:val="32"/>
          <w:highlight w:val="none"/>
        </w:rPr>
        <w:t>1、磋商声明书</w:t>
      </w:r>
    </w:p>
    <w:p w14:paraId="7EFC9B1E">
      <w:pPr>
        <w:pStyle w:val="22"/>
        <w:keepNext w:val="0"/>
        <w:keepLines w:val="0"/>
        <w:pageBreakBefore w:val="0"/>
        <w:widowControl w:val="0"/>
        <w:tabs>
          <w:tab w:val="left" w:pos="0"/>
        </w:tabs>
        <w:kinsoku/>
        <w:overflowPunct/>
        <w:topLinePunct w:val="0"/>
        <w:autoSpaceDE/>
        <w:autoSpaceDN/>
        <w:bidi w:val="0"/>
        <w:adjustRightInd/>
        <w:snapToGrid/>
        <w:spacing w:line="480" w:lineRule="exact"/>
        <w:ind w:left="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u w:val="single"/>
        </w:rPr>
        <w:t>（代理机构名称）</w:t>
      </w:r>
      <w:r>
        <w:rPr>
          <w:rFonts w:hint="eastAsia" w:ascii="宋体" w:hAnsi="宋体" w:eastAsia="宋体" w:cs="宋体"/>
          <w:color w:val="auto"/>
          <w:spacing w:val="0"/>
          <w:w w:val="100"/>
          <w:sz w:val="22"/>
          <w:szCs w:val="22"/>
          <w:highlight w:val="none"/>
        </w:rPr>
        <w:t>：</w:t>
      </w:r>
    </w:p>
    <w:p w14:paraId="3C91EE6D">
      <w:pPr>
        <w:pStyle w:val="22"/>
        <w:keepNext w:val="0"/>
        <w:keepLines w:val="0"/>
        <w:pageBreakBefore w:val="0"/>
        <w:widowControl w:val="0"/>
        <w:kinsoku/>
        <w:overflowPunct/>
        <w:topLinePunct w:val="0"/>
        <w:autoSpaceDE/>
        <w:autoSpaceDN/>
        <w:bidi w:val="0"/>
        <w:adjustRightInd/>
        <w:snapToGrid/>
        <w:spacing w:line="480" w:lineRule="exact"/>
        <w:ind w:left="0" w:firstLine="72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single"/>
        </w:rPr>
        <w:t>供应商名称</w:t>
      </w:r>
      <w:r>
        <w:rPr>
          <w:rFonts w:hint="eastAsia" w:ascii="宋体" w:hAnsi="宋体" w:eastAsia="宋体" w:cs="宋体"/>
          <w:color w:val="auto"/>
          <w:spacing w:val="0"/>
          <w:w w:val="100"/>
          <w:sz w:val="22"/>
          <w:szCs w:val="22"/>
          <w:highlight w:val="none"/>
          <w:u w:val="single"/>
          <w:lang w:eastAsia="zh-CN"/>
        </w:rPr>
        <w:t>）</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rPr>
        <w:t>系中华人民共和国合法企业，经营地址</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w:t>
      </w:r>
    </w:p>
    <w:p w14:paraId="0208A12D">
      <w:pPr>
        <w:pStyle w:val="22"/>
        <w:keepNext w:val="0"/>
        <w:keepLines w:val="0"/>
        <w:pageBreakBefore w:val="0"/>
        <w:widowControl w:val="0"/>
        <w:kinsoku/>
        <w:overflowPunct/>
        <w:topLinePunct w:val="0"/>
        <w:autoSpaceDE/>
        <w:autoSpaceDN/>
        <w:bidi w:val="0"/>
        <w:adjustRightInd/>
        <w:snapToGrid/>
        <w:spacing w:line="480" w:lineRule="exact"/>
        <w:ind w:left="0" w:firstLine="72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我</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u w:val="single"/>
        </w:rPr>
        <w:t>负责人名字</w:t>
      </w:r>
      <w:r>
        <w:rPr>
          <w:rFonts w:hint="eastAsia" w:ascii="宋体" w:hAnsi="宋体" w:eastAsia="宋体" w:cs="宋体"/>
          <w:color w:val="auto"/>
          <w:spacing w:val="0"/>
          <w:w w:val="100"/>
          <w:sz w:val="22"/>
          <w:szCs w:val="22"/>
          <w:highlight w:val="none"/>
          <w:u w:val="single"/>
          <w:lang w:eastAsia="zh-CN"/>
        </w:rPr>
        <w:t>）</w:t>
      </w:r>
      <w:r>
        <w:rPr>
          <w:rFonts w:hint="eastAsia" w:ascii="宋体" w:hAnsi="宋体" w:eastAsia="宋体" w:cs="宋体"/>
          <w:color w:val="auto"/>
          <w:spacing w:val="0"/>
          <w:w w:val="100"/>
          <w:sz w:val="22"/>
          <w:szCs w:val="22"/>
          <w:highlight w:val="none"/>
        </w:rPr>
        <w:t>系</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lang w:eastAsia="zh-CN"/>
        </w:rPr>
        <w:t>（</w:t>
      </w:r>
      <w:r>
        <w:rPr>
          <w:rFonts w:hint="eastAsia" w:ascii="宋体" w:hAnsi="宋体" w:eastAsia="宋体" w:cs="宋体"/>
          <w:color w:val="auto"/>
          <w:spacing w:val="0"/>
          <w:w w:val="100"/>
          <w:sz w:val="22"/>
          <w:szCs w:val="22"/>
          <w:highlight w:val="none"/>
          <w:u w:val="single"/>
        </w:rPr>
        <w:t>供应商名称</w:t>
      </w:r>
      <w:r>
        <w:rPr>
          <w:rFonts w:hint="eastAsia" w:ascii="宋体" w:hAnsi="宋体" w:eastAsia="宋体" w:cs="宋体"/>
          <w:color w:val="auto"/>
          <w:spacing w:val="0"/>
          <w:w w:val="100"/>
          <w:sz w:val="22"/>
          <w:szCs w:val="22"/>
          <w:highlight w:val="none"/>
          <w:u w:val="single"/>
          <w:lang w:eastAsia="zh-CN"/>
        </w:rPr>
        <w:t>）</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的负责人，我方愿意参加贵方组织的</w:t>
      </w:r>
      <w:r>
        <w:rPr>
          <w:rFonts w:hint="eastAsia" w:ascii="宋体" w:hAnsi="宋体" w:eastAsia="宋体" w:cs="宋体"/>
          <w:color w:val="auto"/>
          <w:spacing w:val="0"/>
          <w:w w:val="100"/>
          <w:sz w:val="22"/>
          <w:szCs w:val="22"/>
          <w:highlight w:val="none"/>
          <w:u w:val="single"/>
        </w:rPr>
        <w:t xml:space="preserve">   （项目名称）（采购编号：</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的竞争性磋商。为便于贵方公正、择优地确定成交人以及磋商产品和服务，我方就本次磋商有关事项郑重承诺如下：</w:t>
      </w:r>
    </w:p>
    <w:p w14:paraId="6B03CDD2">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1、我方向贵方提交的所有响应文件、资料都是准确的和真实的。</w:t>
      </w:r>
    </w:p>
    <w:p w14:paraId="0A5D7901">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2、我方承诺已经具备《中华人民共和国政府采购法》、《中华人民共和国政府采购法实施条例》中规定的参加政府采购活动的供应商应当具备的条件，并真实提供相关材料。</w:t>
      </w:r>
    </w:p>
    <w:p w14:paraId="0C3FA251">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3、提供供应商须知规定的全部响应文件，包括：</w:t>
      </w:r>
    </w:p>
    <w:p w14:paraId="6C944D27">
      <w:pPr>
        <w:pStyle w:val="87"/>
        <w:keepNext w:val="0"/>
        <w:keepLines w:val="0"/>
        <w:pageBreakBefore w:val="0"/>
        <w:widowControl w:val="0"/>
        <w:tabs>
          <w:tab w:val="left" w:pos="0"/>
        </w:tabs>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①电子响应文件；</w:t>
      </w:r>
    </w:p>
    <w:p w14:paraId="6666A348">
      <w:pPr>
        <w:keepNext w:val="0"/>
        <w:keepLines w:val="0"/>
        <w:pageBreakBefore w:val="0"/>
        <w:widowControl w:val="0"/>
        <w:kinsoku/>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②备份响应文件（注：是否提交由供应商自行决定，如不提交，本条可删除）。</w:t>
      </w:r>
    </w:p>
    <w:p w14:paraId="35E100D1">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4、如果我方成交，将派出</w:t>
      </w:r>
      <w:r>
        <w:rPr>
          <w:rFonts w:hint="eastAsia" w:ascii="宋体" w:hAnsi="宋体" w:eastAsia="宋体" w:cs="宋体"/>
          <w:color w:val="auto"/>
          <w:spacing w:val="0"/>
          <w:w w:val="100"/>
          <w:sz w:val="22"/>
          <w:szCs w:val="22"/>
          <w:highlight w:val="none"/>
          <w:u w:val="single"/>
        </w:rPr>
        <w:t xml:space="preserve"> （姓名及身份证号码） </w:t>
      </w:r>
      <w:r>
        <w:rPr>
          <w:rFonts w:hint="eastAsia" w:ascii="宋体" w:hAnsi="宋体" w:eastAsia="宋体" w:cs="宋体"/>
          <w:color w:val="auto"/>
          <w:spacing w:val="0"/>
          <w:w w:val="100"/>
          <w:sz w:val="22"/>
          <w:szCs w:val="22"/>
          <w:highlight w:val="none"/>
        </w:rPr>
        <w:t>，作为本项目与采购单位联系的项目实施负责人，联系手机号码：</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。在项目实施过程中，并承诺项目实施负责人不更换，若确需更换的，书面征得采购人同意后才准予更换。</w:t>
      </w:r>
    </w:p>
    <w:p w14:paraId="7AD24ADA">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5、我方的磋商有效期</w:t>
      </w:r>
      <w:r>
        <w:rPr>
          <w:rFonts w:hint="eastAsia" w:ascii="宋体" w:hAnsi="宋体" w:eastAsia="宋体" w:cs="宋体"/>
          <w:color w:val="auto"/>
          <w:spacing w:val="0"/>
          <w:w w:val="100"/>
          <w:sz w:val="22"/>
          <w:szCs w:val="22"/>
          <w:highlight w:val="none"/>
          <w:lang w:eastAsia="zh-CN"/>
        </w:rPr>
        <w:t>自</w:t>
      </w:r>
      <w:r>
        <w:rPr>
          <w:rFonts w:hint="eastAsia" w:ascii="宋体" w:hAnsi="宋体" w:eastAsia="宋体" w:cs="宋体"/>
          <w:color w:val="auto"/>
          <w:spacing w:val="0"/>
          <w:w w:val="100"/>
          <w:sz w:val="22"/>
          <w:szCs w:val="22"/>
          <w:highlight w:val="none"/>
        </w:rPr>
        <w:t>提交响应文件截止之日起</w:t>
      </w:r>
      <w:r>
        <w:rPr>
          <w:rFonts w:hint="eastAsia" w:ascii="宋体" w:hAnsi="宋体" w:eastAsia="宋体" w:cs="宋体"/>
          <w:color w:val="auto"/>
          <w:spacing w:val="0"/>
          <w:w w:val="100"/>
          <w:sz w:val="22"/>
          <w:szCs w:val="22"/>
          <w:highlight w:val="none"/>
          <w:u w:val="single"/>
        </w:rPr>
        <w:t>90</w:t>
      </w:r>
      <w:r>
        <w:rPr>
          <w:rFonts w:hint="eastAsia" w:ascii="宋体" w:hAnsi="宋体" w:eastAsia="宋体" w:cs="宋体"/>
          <w:color w:val="auto"/>
          <w:spacing w:val="0"/>
          <w:w w:val="100"/>
          <w:sz w:val="22"/>
          <w:szCs w:val="22"/>
          <w:highlight w:val="none"/>
        </w:rPr>
        <w:t>天内有效。</w:t>
      </w:r>
    </w:p>
    <w:p w14:paraId="7BEBB96C">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6、我方在磋商之前已经与贵方进行了充分的沟通，完全理解并接受磋商文件的各项规定和要求，对磋商文件的合理性、合法性不再有异议。</w:t>
      </w:r>
    </w:p>
    <w:p w14:paraId="29262882">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我方愿意向贵方提供真实完整的任何与该项磋商有关的数据、情况和技术资料。若贵方需要，我方愿意提供我方</w:t>
      </w:r>
      <w:r>
        <w:rPr>
          <w:rFonts w:hint="eastAsia" w:ascii="宋体" w:hAnsi="宋体" w:eastAsia="宋体" w:cs="宋体"/>
          <w:color w:val="auto"/>
          <w:spacing w:val="0"/>
          <w:w w:val="100"/>
          <w:sz w:val="22"/>
          <w:szCs w:val="22"/>
          <w:highlight w:val="none"/>
          <w:lang w:eastAsia="zh-CN"/>
        </w:rPr>
        <w:t>做出</w:t>
      </w:r>
      <w:r>
        <w:rPr>
          <w:rFonts w:hint="eastAsia" w:ascii="宋体" w:hAnsi="宋体" w:eastAsia="宋体" w:cs="宋体"/>
          <w:color w:val="auto"/>
          <w:spacing w:val="0"/>
          <w:w w:val="100"/>
          <w:sz w:val="22"/>
          <w:szCs w:val="22"/>
          <w:highlight w:val="none"/>
        </w:rPr>
        <w:t>的一切承诺的证明材料。</w:t>
      </w:r>
    </w:p>
    <w:p w14:paraId="1262B2AA">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7、我方已详阅全部磋商文件内容，包括磋商文件的澄清或修改文件（如有）、参考资料及有关附件，已经了解我方对于磋商文件、采购过程、采购结果有依法进行询问、质疑、投诉的权利及相关渠道和要求。</w:t>
      </w:r>
    </w:p>
    <w:p w14:paraId="1A82AA39">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8、我方不是采购人的附属机构，并未为本项目提供整体设计、规范编制或者项目管理、监理、监测等服务。</w:t>
      </w:r>
    </w:p>
    <w:p w14:paraId="6338C41C">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143152D">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（一）提供虚假材料谋取成交的；</w:t>
      </w:r>
    </w:p>
    <w:p w14:paraId="43065EFF">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（二）采取不正当手段诋毁、排挤其他供应商的；</w:t>
      </w:r>
    </w:p>
    <w:p w14:paraId="47CABA96">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（三）与采购人、其它供应商或者采购代理机构恶意串通的；</w:t>
      </w:r>
    </w:p>
    <w:p w14:paraId="7C53C65C">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（四）向采购人、采购代理机构行贿或者提供其他不正当利益的；</w:t>
      </w:r>
    </w:p>
    <w:p w14:paraId="180F9D11">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（五）在磋商采购过程中与采购人进行协商谈判的；</w:t>
      </w:r>
    </w:p>
    <w:p w14:paraId="0A957273">
      <w:pPr>
        <w:pStyle w:val="22"/>
        <w:keepNext w:val="0"/>
        <w:keepLines w:val="0"/>
        <w:pageBreakBefore w:val="0"/>
        <w:widowControl w:val="0"/>
        <w:kinsoku/>
        <w:overflowPunct/>
        <w:topLinePunct w:val="0"/>
        <w:autoSpaceDE/>
        <w:autoSpaceDN/>
        <w:bidi w:val="0"/>
        <w:adjustRightInd/>
        <w:snapToGrid/>
        <w:spacing w:line="480" w:lineRule="exact"/>
        <w:ind w:left="0" w:firstLine="220" w:firstLineChars="1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（六）拒绝有关部门监督检查或提供虚假情况的。</w:t>
      </w:r>
    </w:p>
    <w:p w14:paraId="4FDEB9B1">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10、如成交，本响应文件至本项目合同履行完毕止均保持有效，我方将按磋商文件及政府采购法律、法规的规定履行合同责任和义务。</w:t>
      </w:r>
    </w:p>
    <w:p w14:paraId="0D598F92">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11、以上事项如有虚假或隐瞒，我方愿意承担一切不利后果，并不再寻求任何旨在减轻或免除法律责任。</w:t>
      </w:r>
    </w:p>
    <w:p w14:paraId="1FFA7744">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与本次磋商有关的一切正式往来信函请寄：</w:t>
      </w:r>
    </w:p>
    <w:p w14:paraId="54CDB4B5">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地址：</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 xml:space="preserve">     邮编：</w:t>
      </w:r>
      <w:r>
        <w:rPr>
          <w:rFonts w:hint="eastAsia" w:ascii="宋体" w:hAnsi="宋体" w:eastAsia="宋体" w:cs="宋体"/>
          <w:color w:val="auto"/>
          <w:spacing w:val="0"/>
          <w:w w:val="100"/>
          <w:sz w:val="22"/>
          <w:szCs w:val="22"/>
          <w:highlight w:val="none"/>
          <w:u w:val="single"/>
        </w:rPr>
        <w:t xml:space="preserve">           </w:t>
      </w:r>
    </w:p>
    <w:p w14:paraId="6AA3EE4E">
      <w:pPr>
        <w:pStyle w:val="22"/>
        <w:keepNext w:val="0"/>
        <w:keepLines w:val="0"/>
        <w:pageBreakBefore w:val="0"/>
        <w:widowControl w:val="0"/>
        <w:kinsoku/>
        <w:overflowPunct/>
        <w:topLinePunct w:val="0"/>
        <w:autoSpaceDE/>
        <w:autoSpaceDN/>
        <w:bidi w:val="0"/>
        <w:adjustRightInd/>
        <w:snapToGrid/>
        <w:spacing w:line="480" w:lineRule="exact"/>
        <w:ind w:left="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电话：</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rPr>
        <w:t xml:space="preserve">     传真：</w:t>
      </w:r>
      <w:r>
        <w:rPr>
          <w:rFonts w:hint="eastAsia" w:ascii="宋体" w:hAnsi="宋体" w:eastAsia="宋体" w:cs="宋体"/>
          <w:color w:val="auto"/>
          <w:spacing w:val="0"/>
          <w:w w:val="100"/>
          <w:sz w:val="22"/>
          <w:szCs w:val="22"/>
          <w:highlight w:val="none"/>
          <w:u w:val="single"/>
        </w:rPr>
        <w:t xml:space="preserve">           </w:t>
      </w:r>
    </w:p>
    <w:p w14:paraId="49C841AE">
      <w:pPr>
        <w:pStyle w:val="22"/>
        <w:keepNext w:val="0"/>
        <w:keepLines w:val="0"/>
        <w:pageBreakBefore w:val="0"/>
        <w:widowControl w:val="0"/>
        <w:kinsoku/>
        <w:overflowPunct/>
        <w:topLinePunct w:val="0"/>
        <w:bidi w:val="0"/>
        <w:spacing w:line="500" w:lineRule="exact"/>
        <w:ind w:firstLine="440" w:firstLineChars="200"/>
        <w:rPr>
          <w:rFonts w:hint="eastAsia" w:ascii="宋体" w:hAnsi="宋体" w:eastAsia="宋体" w:cs="宋体"/>
          <w:color w:val="auto"/>
          <w:spacing w:val="0"/>
          <w:w w:val="100"/>
          <w:sz w:val="22"/>
          <w:szCs w:val="22"/>
          <w:highlight w:val="none"/>
        </w:rPr>
      </w:pPr>
    </w:p>
    <w:p w14:paraId="2DB250E4">
      <w:pPr>
        <w:keepNext w:val="0"/>
        <w:keepLines w:val="0"/>
        <w:pageBreakBefore w:val="0"/>
        <w:widowControl w:val="0"/>
        <w:kinsoku/>
        <w:overflowPunct/>
        <w:topLinePunct w:val="0"/>
        <w:bidi w:val="0"/>
        <w:rPr>
          <w:rFonts w:hint="eastAsia" w:ascii="宋体" w:hAnsi="宋体" w:eastAsia="宋体" w:cs="宋体"/>
          <w:color w:val="auto"/>
          <w:spacing w:val="0"/>
          <w:w w:val="100"/>
          <w:sz w:val="22"/>
          <w:szCs w:val="22"/>
          <w:highlight w:val="none"/>
        </w:rPr>
      </w:pPr>
    </w:p>
    <w:p w14:paraId="7552A674">
      <w:pPr>
        <w:pStyle w:val="81"/>
        <w:wordWrap w:val="0"/>
        <w:spacing w:line="360" w:lineRule="auto"/>
        <w:ind w:firstLine="480"/>
        <w:jc w:val="right"/>
        <w:rPr>
          <w:rFonts w:hint="eastAsia" w:ascii="宋体" w:hAnsi="宋体" w:eastAsia="宋体" w:cs="宋体"/>
          <w:color w:val="auto"/>
          <w:sz w:val="22"/>
          <w:szCs w:val="22"/>
          <w:highlight w:val="none"/>
          <w:u w:val="single"/>
        </w:rPr>
      </w:pPr>
      <w:bookmarkStart w:id="199" w:name="_Toc15805947"/>
      <w:bookmarkStart w:id="200" w:name="_Toc45506741"/>
      <w:bookmarkStart w:id="201" w:name="_Toc47756042"/>
      <w:bookmarkStart w:id="202" w:name="_Toc15813264"/>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1D8A53C8">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6939A97F">
      <w:pPr>
        <w:pStyle w:val="22"/>
        <w:keepNext w:val="0"/>
        <w:keepLines w:val="0"/>
        <w:pageBreakBefore w:val="0"/>
        <w:widowControl w:val="0"/>
        <w:kinsoku/>
        <w:overflowPunct/>
        <w:topLinePunct w:val="0"/>
        <w:bidi w:val="0"/>
        <w:spacing w:line="500" w:lineRule="exact"/>
        <w:ind w:left="0" w:leftChars="0" w:firstLine="0" w:firstLineChars="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注：▲按照本声明书要求填报。</w:t>
      </w:r>
    </w:p>
    <w:p w14:paraId="498D6A95">
      <w:pPr>
        <w:keepNext w:val="0"/>
        <w:keepLines w:val="0"/>
        <w:pageBreakBefore w:val="0"/>
        <w:widowControl w:val="0"/>
        <w:kinsoku/>
        <w:overflowPunct/>
        <w:topLinePunct w:val="0"/>
        <w:bidi w:val="0"/>
        <w:rPr>
          <w:rFonts w:hint="eastAsia" w:ascii="宋体" w:hAnsi="宋体" w:eastAsia="宋体" w:cs="宋体"/>
          <w:b/>
          <w:color w:val="auto"/>
          <w:spacing w:val="0"/>
          <w:w w:val="100"/>
          <w:sz w:val="30"/>
          <w:szCs w:val="30"/>
          <w:highlight w:val="none"/>
          <w:lang w:val="zh-CN" w:eastAsia="zh-CN"/>
        </w:rPr>
      </w:pPr>
      <w:r>
        <w:rPr>
          <w:rFonts w:hint="eastAsia" w:ascii="宋体" w:hAnsi="宋体" w:eastAsia="宋体" w:cs="宋体"/>
          <w:b/>
          <w:color w:val="auto"/>
          <w:spacing w:val="0"/>
          <w:w w:val="100"/>
          <w:sz w:val="32"/>
          <w:highlight w:val="none"/>
        </w:rPr>
        <w:br w:type="page"/>
      </w:r>
      <w:bookmarkEnd w:id="199"/>
      <w:bookmarkEnd w:id="200"/>
      <w:bookmarkEnd w:id="201"/>
      <w:bookmarkEnd w:id="202"/>
      <w:bookmarkStart w:id="203" w:name="_Toc9790"/>
    </w:p>
    <w:p w14:paraId="0059EA0D">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lang w:val="en-US" w:eastAsia="zh-CN"/>
        </w:rPr>
        <w:t>2</w:t>
      </w:r>
      <w:r>
        <w:rPr>
          <w:rFonts w:hint="eastAsia" w:ascii="宋体" w:hAnsi="宋体" w:eastAsia="宋体" w:cs="宋体"/>
          <w:b/>
          <w:color w:val="auto"/>
          <w:spacing w:val="0"/>
          <w:w w:val="100"/>
          <w:sz w:val="30"/>
          <w:highlight w:val="none"/>
        </w:rPr>
        <w:t>、代理服务费支付承诺书</w:t>
      </w:r>
    </w:p>
    <w:p w14:paraId="5073FDBF">
      <w:pPr>
        <w:pStyle w:val="87"/>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auto"/>
          <w:spacing w:val="0"/>
          <w:w w:val="100"/>
          <w:sz w:val="24"/>
          <w:highlight w:val="none"/>
          <w:u w:val="single"/>
        </w:rPr>
      </w:pPr>
    </w:p>
    <w:p w14:paraId="6B91AFCF">
      <w:pPr>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eastAsia="zh-CN"/>
        </w:rPr>
        <w:t>浙江诚远工程咨询有限公司</w:t>
      </w:r>
      <w:r>
        <w:rPr>
          <w:rFonts w:hint="eastAsia" w:ascii="宋体" w:hAnsi="宋体" w:eastAsia="宋体" w:cs="宋体"/>
          <w:color w:val="auto"/>
          <w:spacing w:val="0"/>
          <w:w w:val="100"/>
          <w:sz w:val="22"/>
          <w:szCs w:val="22"/>
          <w:highlight w:val="none"/>
        </w:rPr>
        <w:t>：</w:t>
      </w:r>
    </w:p>
    <w:p w14:paraId="39902D36">
      <w:pPr>
        <w:keepNext w:val="0"/>
        <w:keepLines w:val="0"/>
        <w:pageBreakBefore w:val="0"/>
        <w:widowControl w:val="0"/>
        <w:kinsoku/>
        <w:wordWrap/>
        <w:overflowPunct/>
        <w:topLinePunct w:val="0"/>
        <w:autoSpaceDE/>
        <w:autoSpaceDN/>
        <w:bidi w:val="0"/>
        <w:adjustRightInd/>
        <w:snapToGrid w:val="0"/>
        <w:spacing w:line="520" w:lineRule="exact"/>
        <w:ind w:firstLine="440" w:firstLineChars="200"/>
        <w:jc w:val="lef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如确定我公司为该项目成交人，我公司承诺在成交公告发布之日起5个工作日</w:t>
      </w:r>
      <w:r>
        <w:rPr>
          <w:rFonts w:hint="eastAsia" w:ascii="宋体" w:hAnsi="宋体" w:eastAsia="宋体" w:cs="宋体"/>
          <w:color w:val="auto"/>
          <w:spacing w:val="0"/>
          <w:w w:val="100"/>
          <w:sz w:val="22"/>
          <w:szCs w:val="22"/>
          <w:highlight w:val="none"/>
          <w:lang w:eastAsia="zh-CN"/>
        </w:rPr>
        <w:t>内</w:t>
      </w:r>
      <w:r>
        <w:rPr>
          <w:rFonts w:hint="eastAsia" w:ascii="宋体" w:hAnsi="宋体" w:eastAsia="宋体" w:cs="宋体"/>
          <w:color w:val="auto"/>
          <w:spacing w:val="0"/>
          <w:w w:val="100"/>
          <w:sz w:val="22"/>
          <w:szCs w:val="22"/>
          <w:highlight w:val="none"/>
        </w:rPr>
        <w:t>向贵公司按竞争性磋商文件约定一次性支付代理服务费。逾期未支付的，贵公司有权就此事项向我公司提出赔偿，我公司</w:t>
      </w:r>
      <w:r>
        <w:rPr>
          <w:rFonts w:hint="eastAsia" w:ascii="宋体" w:hAnsi="宋体" w:eastAsia="宋体" w:cs="宋体"/>
          <w:color w:val="auto"/>
          <w:spacing w:val="0"/>
          <w:w w:val="100"/>
          <w:sz w:val="22"/>
          <w:szCs w:val="22"/>
          <w:highlight w:val="none"/>
          <w:lang w:eastAsia="zh-CN"/>
        </w:rPr>
        <w:t>愿</w:t>
      </w:r>
      <w:r>
        <w:rPr>
          <w:rFonts w:hint="eastAsia" w:ascii="宋体" w:hAnsi="宋体" w:eastAsia="宋体" w:cs="宋体"/>
          <w:color w:val="auto"/>
          <w:spacing w:val="0"/>
          <w:w w:val="100"/>
          <w:sz w:val="22"/>
          <w:szCs w:val="22"/>
          <w:highlight w:val="none"/>
        </w:rPr>
        <w:t>意承担由此产生的全部赔偿责任。</w:t>
      </w:r>
    </w:p>
    <w:p w14:paraId="1D69708D">
      <w:pPr>
        <w:pStyle w:val="87"/>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auto"/>
          <w:spacing w:val="0"/>
          <w:w w:val="100"/>
          <w:sz w:val="22"/>
          <w:szCs w:val="18"/>
          <w:highlight w:val="none"/>
          <w:u w:val="single"/>
        </w:rPr>
      </w:pPr>
    </w:p>
    <w:p w14:paraId="672A8957">
      <w:pPr>
        <w:pStyle w:val="87"/>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auto"/>
          <w:spacing w:val="0"/>
          <w:w w:val="100"/>
          <w:sz w:val="22"/>
          <w:szCs w:val="18"/>
          <w:highlight w:val="none"/>
          <w:u w:val="single"/>
        </w:rPr>
      </w:pPr>
    </w:p>
    <w:p w14:paraId="6EE50AE1">
      <w:pPr>
        <w:keepNext w:val="0"/>
        <w:keepLines w:val="0"/>
        <w:pageBreakBefore w:val="0"/>
        <w:widowControl w:val="0"/>
        <w:kinsoku/>
        <w:overflowPunct/>
        <w:topLinePunct w:val="0"/>
        <w:bidi w:val="0"/>
        <w:spacing w:line="360" w:lineRule="auto"/>
        <w:jc w:val="left"/>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注：</w:t>
      </w:r>
    </w:p>
    <w:p w14:paraId="0FEC964D">
      <w:pPr>
        <w:keepNext w:val="0"/>
        <w:keepLines w:val="0"/>
        <w:pageBreakBefore w:val="0"/>
        <w:widowControl w:val="0"/>
        <w:kinsoku/>
        <w:overflowPunct/>
        <w:topLinePunct w:val="0"/>
        <w:bidi w:val="0"/>
        <w:spacing w:line="360" w:lineRule="auto"/>
        <w:ind w:firstLine="431" w:firstLineChars="196"/>
        <w:jc w:val="left"/>
        <w:rPr>
          <w:rFonts w:hint="eastAsia" w:ascii="宋体" w:hAnsi="宋体" w:eastAsia="宋体" w:cs="宋体"/>
          <w:b/>
          <w:color w:val="auto"/>
          <w:spacing w:val="0"/>
          <w:w w:val="100"/>
          <w:sz w:val="22"/>
          <w:szCs w:val="22"/>
          <w:highlight w:val="none"/>
        </w:rPr>
      </w:pPr>
      <w:r>
        <w:rPr>
          <w:rFonts w:hint="eastAsia" w:ascii="宋体" w:hAnsi="宋体" w:eastAsia="宋体" w:cs="宋体"/>
          <w:color w:val="auto"/>
          <w:spacing w:val="0"/>
          <w:w w:val="100"/>
          <w:sz w:val="22"/>
          <w:szCs w:val="22"/>
          <w:highlight w:val="none"/>
        </w:rPr>
        <w:t>采购代理机构账户信息：</w:t>
      </w:r>
    </w:p>
    <w:p w14:paraId="709F0B29">
      <w:pPr>
        <w:keepNext w:val="0"/>
        <w:keepLines w:val="0"/>
        <w:pageBreakBefore w:val="0"/>
        <w:widowControl w:val="0"/>
        <w:kinsoku/>
        <w:overflowPunct/>
        <w:topLinePunct w:val="0"/>
        <w:bidi w:val="0"/>
        <w:spacing w:line="360" w:lineRule="auto"/>
        <w:ind w:firstLine="440" w:firstLineChars="200"/>
        <w:jc w:val="lef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eastAsia="zh-CN"/>
        </w:rPr>
        <w:t>账户名称：浙江诚远工程咨询有限公司庆元</w:t>
      </w:r>
      <w:r>
        <w:rPr>
          <w:rFonts w:hint="eastAsia" w:ascii="宋体" w:hAnsi="宋体" w:eastAsia="宋体" w:cs="宋体"/>
          <w:color w:val="auto"/>
          <w:spacing w:val="0"/>
          <w:w w:val="100"/>
          <w:sz w:val="22"/>
          <w:szCs w:val="22"/>
          <w:highlight w:val="none"/>
        </w:rPr>
        <w:t>分公司</w:t>
      </w:r>
    </w:p>
    <w:p w14:paraId="15D93928">
      <w:pPr>
        <w:keepNext w:val="0"/>
        <w:keepLines w:val="0"/>
        <w:pageBreakBefore w:val="0"/>
        <w:widowControl w:val="0"/>
        <w:kinsoku/>
        <w:overflowPunct/>
        <w:topLinePunct w:val="0"/>
        <w:bidi w:val="0"/>
        <w:spacing w:line="360" w:lineRule="auto"/>
        <w:ind w:firstLine="440" w:firstLineChars="200"/>
        <w:jc w:val="left"/>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账</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户：</w:t>
      </w:r>
      <w:r>
        <w:rPr>
          <w:rFonts w:hint="eastAsia" w:ascii="宋体" w:hAnsi="宋体" w:eastAsia="宋体" w:cs="宋体"/>
          <w:color w:val="auto"/>
          <w:spacing w:val="0"/>
          <w:w w:val="100"/>
          <w:sz w:val="22"/>
          <w:szCs w:val="22"/>
          <w:highlight w:val="none"/>
          <w:lang w:val="en-US" w:eastAsia="zh-CN"/>
        </w:rPr>
        <w:t>33050169733500001411</w:t>
      </w:r>
    </w:p>
    <w:p w14:paraId="5C4A5EE2">
      <w:pPr>
        <w:keepNext w:val="0"/>
        <w:keepLines w:val="0"/>
        <w:pageBreakBefore w:val="0"/>
        <w:widowControl w:val="0"/>
        <w:kinsoku/>
        <w:overflowPunct/>
        <w:topLinePunct w:val="0"/>
        <w:bidi w:val="0"/>
        <w:spacing w:line="360" w:lineRule="auto"/>
        <w:ind w:firstLine="440" w:firstLineChars="200"/>
        <w:jc w:val="lef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开户行：</w:t>
      </w:r>
      <w:r>
        <w:rPr>
          <w:rFonts w:hint="eastAsia" w:ascii="宋体" w:hAnsi="宋体" w:eastAsia="宋体" w:cs="宋体"/>
          <w:color w:val="auto"/>
          <w:spacing w:val="0"/>
          <w:w w:val="100"/>
          <w:sz w:val="22"/>
          <w:szCs w:val="22"/>
          <w:highlight w:val="none"/>
          <w:lang w:val="zh-CN"/>
        </w:rPr>
        <w:t>中国建设银行庆元县支行</w:t>
      </w:r>
    </w:p>
    <w:p w14:paraId="50D362C9">
      <w:pPr>
        <w:pStyle w:val="87"/>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auto"/>
          <w:spacing w:val="0"/>
          <w:w w:val="100"/>
          <w:sz w:val="24"/>
          <w:highlight w:val="none"/>
          <w:u w:val="single"/>
        </w:rPr>
      </w:pPr>
    </w:p>
    <w:p w14:paraId="11790731">
      <w:pPr>
        <w:pStyle w:val="87"/>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auto"/>
          <w:spacing w:val="0"/>
          <w:w w:val="100"/>
          <w:sz w:val="24"/>
          <w:highlight w:val="none"/>
          <w:u w:val="single"/>
        </w:rPr>
      </w:pPr>
    </w:p>
    <w:p w14:paraId="7CA5EE8C">
      <w:pPr>
        <w:keepNext w:val="0"/>
        <w:keepLines w:val="0"/>
        <w:pageBreakBefore w:val="0"/>
        <w:widowControl w:val="0"/>
        <w:kinsoku/>
        <w:overflowPunct/>
        <w:topLinePunct w:val="0"/>
        <w:bidi w:val="0"/>
        <w:spacing w:line="360" w:lineRule="auto"/>
        <w:rPr>
          <w:rFonts w:hint="eastAsia" w:ascii="宋体" w:hAnsi="宋体" w:eastAsia="宋体" w:cs="宋体"/>
          <w:bCs/>
          <w:color w:val="auto"/>
          <w:spacing w:val="0"/>
          <w:w w:val="100"/>
          <w:sz w:val="24"/>
          <w:szCs w:val="24"/>
          <w:highlight w:val="none"/>
        </w:rPr>
      </w:pPr>
    </w:p>
    <w:p w14:paraId="61B30D31">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6AE484BC">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4D82518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678FF6C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08EED7A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3B381935">
      <w:pPr>
        <w:keepNext w:val="0"/>
        <w:keepLines w:val="0"/>
        <w:pageBreakBefore w:val="0"/>
        <w:widowControl w:val="0"/>
        <w:kinsoku/>
        <w:overflowPunct/>
        <w:topLinePunct w:val="0"/>
        <w:bidi w:val="0"/>
        <w:rPr>
          <w:rFonts w:hint="eastAsia" w:ascii="宋体" w:hAnsi="宋体" w:eastAsia="宋体" w:cs="宋体"/>
          <w:b/>
          <w:color w:val="auto"/>
          <w:spacing w:val="0"/>
          <w:w w:val="100"/>
          <w:sz w:val="30"/>
          <w:szCs w:val="30"/>
          <w:highlight w:val="none"/>
          <w:lang w:val="en-US" w:eastAsia="zh-CN"/>
        </w:rPr>
      </w:pPr>
      <w:r>
        <w:rPr>
          <w:rFonts w:hint="eastAsia" w:ascii="宋体" w:hAnsi="宋体" w:eastAsia="宋体" w:cs="宋体"/>
          <w:b/>
          <w:color w:val="auto"/>
          <w:spacing w:val="0"/>
          <w:w w:val="100"/>
          <w:sz w:val="30"/>
          <w:szCs w:val="30"/>
          <w:highlight w:val="none"/>
          <w:lang w:val="en-US" w:eastAsia="zh-CN"/>
        </w:rPr>
        <w:br w:type="page"/>
      </w:r>
    </w:p>
    <w:p w14:paraId="4312511D">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3、类似业绩</w:t>
      </w:r>
    </w:p>
    <w:p w14:paraId="4514EC8A">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供应商项目实施情况一览表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3"/>
        <w:gridCol w:w="2126"/>
        <w:gridCol w:w="1843"/>
        <w:gridCol w:w="1858"/>
        <w:gridCol w:w="1544"/>
      </w:tblGrid>
      <w:tr w14:paraId="696C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44AD2B0F">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843" w:type="dxa"/>
            <w:noWrap w:val="0"/>
            <w:vAlign w:val="center"/>
          </w:tcPr>
          <w:p w14:paraId="0B2F493C">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采购人名称</w:t>
            </w:r>
          </w:p>
        </w:tc>
        <w:tc>
          <w:tcPr>
            <w:tcW w:w="2126" w:type="dxa"/>
            <w:noWrap w:val="0"/>
            <w:vAlign w:val="center"/>
          </w:tcPr>
          <w:p w14:paraId="5B3BEF3F">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1843" w:type="dxa"/>
            <w:noWrap w:val="0"/>
            <w:vAlign w:val="center"/>
          </w:tcPr>
          <w:p w14:paraId="55E8C867">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合同金额</w:t>
            </w:r>
          </w:p>
        </w:tc>
        <w:tc>
          <w:tcPr>
            <w:tcW w:w="1858" w:type="dxa"/>
            <w:noWrap w:val="0"/>
            <w:vAlign w:val="center"/>
          </w:tcPr>
          <w:p w14:paraId="697D9384">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合同起止时间</w:t>
            </w:r>
          </w:p>
        </w:tc>
        <w:tc>
          <w:tcPr>
            <w:tcW w:w="1544" w:type="dxa"/>
            <w:noWrap w:val="0"/>
            <w:vAlign w:val="center"/>
          </w:tcPr>
          <w:p w14:paraId="1ED777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采购联系人及联系电话</w:t>
            </w:r>
          </w:p>
        </w:tc>
      </w:tr>
      <w:tr w14:paraId="14C9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23829963">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485D9F23">
            <w:pPr>
              <w:snapToGrid w:val="0"/>
              <w:spacing w:line="360" w:lineRule="auto"/>
              <w:jc w:val="center"/>
              <w:rPr>
                <w:rFonts w:hint="eastAsia" w:ascii="宋体" w:hAnsi="宋体" w:eastAsia="宋体" w:cs="宋体"/>
                <w:color w:val="auto"/>
                <w:sz w:val="22"/>
                <w:szCs w:val="22"/>
                <w:highlight w:val="none"/>
              </w:rPr>
            </w:pPr>
          </w:p>
        </w:tc>
        <w:tc>
          <w:tcPr>
            <w:tcW w:w="2126" w:type="dxa"/>
            <w:noWrap w:val="0"/>
            <w:vAlign w:val="top"/>
          </w:tcPr>
          <w:p w14:paraId="088BAA37">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3F89699A">
            <w:pPr>
              <w:snapToGrid w:val="0"/>
              <w:spacing w:line="360" w:lineRule="auto"/>
              <w:jc w:val="center"/>
              <w:rPr>
                <w:rFonts w:hint="eastAsia" w:ascii="宋体" w:hAnsi="宋体" w:eastAsia="宋体" w:cs="宋体"/>
                <w:color w:val="auto"/>
                <w:sz w:val="22"/>
                <w:szCs w:val="22"/>
                <w:highlight w:val="none"/>
              </w:rPr>
            </w:pPr>
          </w:p>
        </w:tc>
        <w:tc>
          <w:tcPr>
            <w:tcW w:w="1858" w:type="dxa"/>
            <w:noWrap w:val="0"/>
            <w:vAlign w:val="top"/>
          </w:tcPr>
          <w:p w14:paraId="20EBCCDD">
            <w:pPr>
              <w:snapToGrid w:val="0"/>
              <w:spacing w:line="360" w:lineRule="auto"/>
              <w:jc w:val="center"/>
              <w:rPr>
                <w:rFonts w:hint="eastAsia" w:ascii="宋体" w:hAnsi="宋体" w:eastAsia="宋体" w:cs="宋体"/>
                <w:color w:val="auto"/>
                <w:sz w:val="22"/>
                <w:szCs w:val="22"/>
                <w:highlight w:val="none"/>
              </w:rPr>
            </w:pPr>
          </w:p>
        </w:tc>
        <w:tc>
          <w:tcPr>
            <w:tcW w:w="1544" w:type="dxa"/>
            <w:noWrap w:val="0"/>
            <w:vAlign w:val="top"/>
          </w:tcPr>
          <w:p w14:paraId="2D6A80F3">
            <w:pPr>
              <w:snapToGrid w:val="0"/>
              <w:spacing w:line="360" w:lineRule="auto"/>
              <w:jc w:val="center"/>
              <w:rPr>
                <w:rFonts w:hint="eastAsia" w:ascii="宋体" w:hAnsi="宋体" w:eastAsia="宋体" w:cs="宋体"/>
                <w:color w:val="auto"/>
                <w:sz w:val="22"/>
                <w:szCs w:val="22"/>
                <w:highlight w:val="none"/>
              </w:rPr>
            </w:pPr>
          </w:p>
        </w:tc>
      </w:tr>
      <w:tr w14:paraId="1D12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636BD8DB">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466A514C">
            <w:pPr>
              <w:snapToGrid w:val="0"/>
              <w:spacing w:line="360" w:lineRule="auto"/>
              <w:jc w:val="center"/>
              <w:rPr>
                <w:rFonts w:hint="eastAsia" w:ascii="宋体" w:hAnsi="宋体" w:eastAsia="宋体" w:cs="宋体"/>
                <w:color w:val="auto"/>
                <w:sz w:val="22"/>
                <w:szCs w:val="22"/>
                <w:highlight w:val="none"/>
              </w:rPr>
            </w:pPr>
          </w:p>
        </w:tc>
        <w:tc>
          <w:tcPr>
            <w:tcW w:w="2126" w:type="dxa"/>
            <w:noWrap w:val="0"/>
            <w:vAlign w:val="top"/>
          </w:tcPr>
          <w:p w14:paraId="57553B0D">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5CBABF1A">
            <w:pPr>
              <w:snapToGrid w:val="0"/>
              <w:spacing w:line="360" w:lineRule="auto"/>
              <w:jc w:val="center"/>
              <w:rPr>
                <w:rFonts w:hint="eastAsia" w:ascii="宋体" w:hAnsi="宋体" w:eastAsia="宋体" w:cs="宋体"/>
                <w:color w:val="auto"/>
                <w:sz w:val="22"/>
                <w:szCs w:val="22"/>
                <w:highlight w:val="none"/>
              </w:rPr>
            </w:pPr>
          </w:p>
        </w:tc>
        <w:tc>
          <w:tcPr>
            <w:tcW w:w="1858" w:type="dxa"/>
            <w:noWrap w:val="0"/>
            <w:vAlign w:val="top"/>
          </w:tcPr>
          <w:p w14:paraId="6E841CE0">
            <w:pPr>
              <w:snapToGrid w:val="0"/>
              <w:spacing w:line="360" w:lineRule="auto"/>
              <w:jc w:val="center"/>
              <w:rPr>
                <w:rFonts w:hint="eastAsia" w:ascii="宋体" w:hAnsi="宋体" w:eastAsia="宋体" w:cs="宋体"/>
                <w:color w:val="auto"/>
                <w:sz w:val="22"/>
                <w:szCs w:val="22"/>
                <w:highlight w:val="none"/>
              </w:rPr>
            </w:pPr>
          </w:p>
        </w:tc>
        <w:tc>
          <w:tcPr>
            <w:tcW w:w="1544" w:type="dxa"/>
            <w:noWrap w:val="0"/>
            <w:vAlign w:val="top"/>
          </w:tcPr>
          <w:p w14:paraId="56FE103F">
            <w:pPr>
              <w:snapToGrid w:val="0"/>
              <w:spacing w:line="360" w:lineRule="auto"/>
              <w:jc w:val="center"/>
              <w:rPr>
                <w:rFonts w:hint="eastAsia" w:ascii="宋体" w:hAnsi="宋体" w:eastAsia="宋体" w:cs="宋体"/>
                <w:color w:val="auto"/>
                <w:sz w:val="22"/>
                <w:szCs w:val="22"/>
                <w:highlight w:val="none"/>
              </w:rPr>
            </w:pPr>
          </w:p>
        </w:tc>
      </w:tr>
      <w:tr w14:paraId="7D4C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405DF198">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0A7787BD">
            <w:pPr>
              <w:snapToGrid w:val="0"/>
              <w:spacing w:line="360" w:lineRule="auto"/>
              <w:jc w:val="center"/>
              <w:rPr>
                <w:rFonts w:hint="eastAsia" w:ascii="宋体" w:hAnsi="宋体" w:eastAsia="宋体" w:cs="宋体"/>
                <w:color w:val="auto"/>
                <w:sz w:val="22"/>
                <w:szCs w:val="22"/>
                <w:highlight w:val="none"/>
              </w:rPr>
            </w:pPr>
          </w:p>
        </w:tc>
        <w:tc>
          <w:tcPr>
            <w:tcW w:w="2126" w:type="dxa"/>
            <w:noWrap w:val="0"/>
            <w:vAlign w:val="top"/>
          </w:tcPr>
          <w:p w14:paraId="6724DC3C">
            <w:pPr>
              <w:snapToGrid w:val="0"/>
              <w:spacing w:line="360" w:lineRule="auto"/>
              <w:jc w:val="center"/>
              <w:rPr>
                <w:rFonts w:hint="eastAsia" w:ascii="宋体" w:hAnsi="宋体" w:eastAsia="宋体" w:cs="宋体"/>
                <w:color w:val="auto"/>
                <w:sz w:val="22"/>
                <w:szCs w:val="22"/>
                <w:highlight w:val="none"/>
              </w:rPr>
            </w:pPr>
          </w:p>
        </w:tc>
        <w:tc>
          <w:tcPr>
            <w:tcW w:w="1843" w:type="dxa"/>
            <w:noWrap w:val="0"/>
            <w:vAlign w:val="top"/>
          </w:tcPr>
          <w:p w14:paraId="53674371">
            <w:pPr>
              <w:snapToGrid w:val="0"/>
              <w:spacing w:line="360" w:lineRule="auto"/>
              <w:jc w:val="center"/>
              <w:rPr>
                <w:rFonts w:hint="eastAsia" w:ascii="宋体" w:hAnsi="宋体" w:eastAsia="宋体" w:cs="宋体"/>
                <w:color w:val="auto"/>
                <w:sz w:val="22"/>
                <w:szCs w:val="22"/>
                <w:highlight w:val="none"/>
              </w:rPr>
            </w:pPr>
          </w:p>
        </w:tc>
        <w:tc>
          <w:tcPr>
            <w:tcW w:w="1858" w:type="dxa"/>
            <w:noWrap w:val="0"/>
            <w:vAlign w:val="top"/>
          </w:tcPr>
          <w:p w14:paraId="653A657D">
            <w:pPr>
              <w:snapToGrid w:val="0"/>
              <w:spacing w:line="360" w:lineRule="auto"/>
              <w:jc w:val="center"/>
              <w:rPr>
                <w:rFonts w:hint="eastAsia" w:ascii="宋体" w:hAnsi="宋体" w:eastAsia="宋体" w:cs="宋体"/>
                <w:color w:val="auto"/>
                <w:sz w:val="22"/>
                <w:szCs w:val="22"/>
                <w:highlight w:val="none"/>
              </w:rPr>
            </w:pPr>
          </w:p>
        </w:tc>
        <w:tc>
          <w:tcPr>
            <w:tcW w:w="1544" w:type="dxa"/>
            <w:noWrap w:val="0"/>
            <w:vAlign w:val="top"/>
          </w:tcPr>
          <w:p w14:paraId="627183B9">
            <w:pPr>
              <w:snapToGrid w:val="0"/>
              <w:spacing w:line="360" w:lineRule="auto"/>
              <w:jc w:val="center"/>
              <w:rPr>
                <w:rFonts w:hint="eastAsia" w:ascii="宋体" w:hAnsi="宋体" w:eastAsia="宋体" w:cs="宋体"/>
                <w:color w:val="auto"/>
                <w:sz w:val="22"/>
                <w:szCs w:val="22"/>
                <w:highlight w:val="none"/>
              </w:rPr>
            </w:pPr>
          </w:p>
        </w:tc>
      </w:tr>
      <w:tr w14:paraId="19AF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top"/>
          </w:tcPr>
          <w:p w14:paraId="619E9F48">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1843" w:type="dxa"/>
            <w:noWrap w:val="0"/>
            <w:vAlign w:val="top"/>
          </w:tcPr>
          <w:p w14:paraId="12202F44">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2126" w:type="dxa"/>
            <w:noWrap w:val="0"/>
            <w:vAlign w:val="top"/>
          </w:tcPr>
          <w:p w14:paraId="0B6FA3B5">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1843" w:type="dxa"/>
            <w:noWrap w:val="0"/>
            <w:vAlign w:val="top"/>
          </w:tcPr>
          <w:p w14:paraId="1C0D2EA0">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1858" w:type="dxa"/>
            <w:noWrap w:val="0"/>
            <w:vAlign w:val="top"/>
          </w:tcPr>
          <w:p w14:paraId="592370FB">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1544" w:type="dxa"/>
            <w:noWrap w:val="0"/>
            <w:vAlign w:val="top"/>
          </w:tcPr>
          <w:p w14:paraId="330E5610">
            <w:pPr>
              <w:snapToGrid w:val="0"/>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r>
    </w:tbl>
    <w:p w14:paraId="5F54B26F">
      <w:pPr>
        <w:spacing w:line="360" w:lineRule="auto"/>
        <w:ind w:left="480" w:hanging="440" w:hangingChars="200"/>
        <w:rPr>
          <w:rFonts w:hint="eastAsia" w:ascii="宋体" w:hAnsi="宋体" w:eastAsia="宋体" w:cs="宋体"/>
          <w:bCs/>
          <w:color w:val="auto"/>
          <w:spacing w:val="0"/>
          <w:kern w:val="28"/>
          <w:sz w:val="22"/>
          <w:szCs w:val="22"/>
          <w:highlight w:val="none"/>
        </w:rPr>
      </w:pPr>
      <w:r>
        <w:rPr>
          <w:rFonts w:hint="eastAsia" w:ascii="宋体" w:hAnsi="宋体" w:eastAsia="宋体" w:cs="宋体"/>
          <w:bCs/>
          <w:color w:val="auto"/>
          <w:spacing w:val="0"/>
          <w:kern w:val="28"/>
          <w:sz w:val="22"/>
          <w:szCs w:val="22"/>
          <w:highlight w:val="none"/>
        </w:rPr>
        <w:t>注：</w:t>
      </w:r>
      <w:r>
        <w:rPr>
          <w:rFonts w:hint="eastAsia" w:ascii="宋体" w:hAnsi="宋体" w:eastAsia="宋体" w:cs="宋体"/>
          <w:color w:val="auto"/>
          <w:spacing w:val="0"/>
          <w:sz w:val="22"/>
          <w:szCs w:val="22"/>
          <w:highlight w:val="none"/>
        </w:rPr>
        <w:t>请按第六章内容要求</w:t>
      </w:r>
      <w:r>
        <w:rPr>
          <w:rFonts w:hint="eastAsia" w:ascii="宋体" w:hAnsi="宋体" w:eastAsia="宋体" w:cs="宋体"/>
          <w:bCs/>
          <w:color w:val="auto"/>
          <w:spacing w:val="0"/>
          <w:kern w:val="28"/>
          <w:sz w:val="22"/>
          <w:szCs w:val="22"/>
          <w:highlight w:val="none"/>
        </w:rPr>
        <w:t>提供合同原件扫描件并加盖公章。</w:t>
      </w:r>
    </w:p>
    <w:p w14:paraId="5389F28A">
      <w:pPr>
        <w:pStyle w:val="34"/>
        <w:snapToGrid w:val="0"/>
        <w:ind w:left="480" w:hanging="480"/>
        <w:jc w:val="left"/>
        <w:rPr>
          <w:rFonts w:hint="eastAsia" w:ascii="宋体" w:hAnsi="宋体" w:eastAsia="宋体" w:cs="宋体"/>
          <w:color w:val="auto"/>
          <w:sz w:val="22"/>
          <w:szCs w:val="22"/>
          <w:highlight w:val="none"/>
        </w:rPr>
      </w:pPr>
    </w:p>
    <w:p w14:paraId="0AFBA307">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7F21E9BB">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5262ED11">
      <w:pPr>
        <w:rPr>
          <w:rFonts w:hint="eastAsia" w:ascii="宋体" w:hAnsi="宋体" w:eastAsia="宋体" w:cs="宋体"/>
        </w:rPr>
      </w:pPr>
    </w:p>
    <w:p w14:paraId="6926ED5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7C67FB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6036EA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02DE58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DB212C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CBBD4C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C8AC049">
      <w:pPr>
        <w:pStyle w:val="22"/>
        <w:ind w:left="0" w:leftChars="0" w:firstLine="0" w:firstLineChars="0"/>
        <w:rPr>
          <w:rFonts w:hint="eastAsia" w:ascii="宋体" w:hAnsi="宋体" w:eastAsia="宋体" w:cs="宋体"/>
        </w:rPr>
      </w:pPr>
    </w:p>
    <w:p w14:paraId="64B257C1">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4、认证证书</w:t>
      </w:r>
    </w:p>
    <w:p w14:paraId="4643AF08">
      <w:pPr>
        <w:keepNext w:val="0"/>
        <w:keepLines w:val="0"/>
        <w:pageBreakBefore w:val="0"/>
        <w:widowControl w:val="0"/>
        <w:tabs>
          <w:tab w:val="left" w:pos="1418"/>
        </w:tabs>
        <w:kinsoku/>
        <w:wordWrap/>
        <w:overflowPunct/>
        <w:topLinePunct w:val="0"/>
        <w:autoSpaceDE/>
        <w:autoSpaceDN/>
        <w:bidi w:val="0"/>
        <w:adjustRightInd/>
        <w:snapToGrid/>
        <w:spacing w:line="520" w:lineRule="exact"/>
        <w:ind w:leftChars="0" w:right="0"/>
        <w:textAlignment w:val="auto"/>
        <w:rPr>
          <w:rFonts w:hint="eastAsia" w:ascii="宋体" w:hAnsi="宋体" w:eastAsia="宋体" w:cs="宋体"/>
          <w:b w:val="0"/>
          <w:bCs w:val="0"/>
          <w:color w:val="auto"/>
          <w:spacing w:val="0"/>
          <w:w w:val="100"/>
          <w:sz w:val="22"/>
          <w:szCs w:val="21"/>
          <w:highlight w:val="none"/>
        </w:rPr>
      </w:pPr>
      <w:r>
        <w:rPr>
          <w:rFonts w:hint="eastAsia" w:ascii="宋体" w:hAnsi="宋体" w:eastAsia="宋体" w:cs="宋体"/>
          <w:b w:val="0"/>
          <w:bCs w:val="0"/>
          <w:color w:val="auto"/>
          <w:spacing w:val="0"/>
          <w:w w:val="100"/>
          <w:sz w:val="22"/>
          <w:szCs w:val="21"/>
          <w:highlight w:val="none"/>
          <w:lang w:eastAsia="zh-CN"/>
        </w:rPr>
        <w:t>注：</w:t>
      </w:r>
      <w:r>
        <w:rPr>
          <w:rFonts w:hint="eastAsia" w:ascii="宋体" w:hAnsi="宋体" w:eastAsia="宋体" w:cs="宋体"/>
          <w:b w:val="0"/>
          <w:bCs w:val="0"/>
          <w:color w:val="auto"/>
          <w:spacing w:val="0"/>
          <w:w w:val="100"/>
          <w:sz w:val="22"/>
          <w:szCs w:val="21"/>
          <w:highlight w:val="none"/>
        </w:rPr>
        <w:t>提供</w:t>
      </w:r>
      <w:r>
        <w:rPr>
          <w:rFonts w:hint="eastAsia" w:ascii="宋体" w:hAnsi="宋体" w:eastAsia="宋体" w:cs="宋体"/>
          <w:b w:val="0"/>
          <w:bCs w:val="0"/>
          <w:color w:val="000000"/>
          <w:sz w:val="22"/>
          <w:szCs w:val="22"/>
          <w:highlight w:val="none"/>
        </w:rPr>
        <w:t>有效证书的扫描件</w:t>
      </w:r>
      <w:r>
        <w:rPr>
          <w:rFonts w:hint="eastAsia" w:ascii="宋体" w:hAnsi="宋体" w:eastAsia="宋体" w:cs="宋体"/>
          <w:b w:val="0"/>
          <w:bCs w:val="0"/>
          <w:color w:val="000000"/>
          <w:sz w:val="22"/>
          <w:szCs w:val="22"/>
          <w:highlight w:val="none"/>
          <w:lang w:eastAsia="zh-CN"/>
        </w:rPr>
        <w:t>及认监网截图</w:t>
      </w:r>
      <w:r>
        <w:rPr>
          <w:rFonts w:hint="eastAsia" w:ascii="宋体" w:hAnsi="宋体" w:eastAsia="宋体" w:cs="宋体"/>
          <w:b w:val="0"/>
          <w:bCs w:val="0"/>
          <w:color w:val="000000"/>
          <w:sz w:val="22"/>
          <w:szCs w:val="22"/>
          <w:highlight w:val="none"/>
        </w:rPr>
        <w:t>加盖公章后导入资信商务及技术文件中</w:t>
      </w:r>
      <w:r>
        <w:rPr>
          <w:rFonts w:hint="eastAsia" w:ascii="宋体" w:hAnsi="宋体" w:eastAsia="宋体" w:cs="宋体"/>
          <w:b w:val="0"/>
          <w:bCs w:val="0"/>
          <w:color w:val="auto"/>
          <w:spacing w:val="0"/>
          <w:w w:val="100"/>
          <w:sz w:val="22"/>
          <w:szCs w:val="21"/>
          <w:highlight w:val="none"/>
          <w:lang w:val="en-US" w:eastAsia="zh-CN"/>
        </w:rPr>
        <w:t>。</w:t>
      </w:r>
    </w:p>
    <w:p w14:paraId="6C3CAD9E">
      <w:pPr>
        <w:pStyle w:val="22"/>
        <w:ind w:left="0" w:leftChars="0" w:firstLine="0" w:firstLineChars="0"/>
        <w:rPr>
          <w:rFonts w:hint="eastAsia" w:ascii="宋体" w:hAnsi="宋体" w:eastAsia="宋体" w:cs="宋体"/>
          <w:b/>
          <w:color w:val="auto"/>
          <w:spacing w:val="0"/>
          <w:w w:val="100"/>
          <w:sz w:val="22"/>
          <w:szCs w:val="22"/>
          <w:highlight w:val="none"/>
        </w:rPr>
      </w:pPr>
    </w:p>
    <w:p w14:paraId="0E0CC3B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E464707">
      <w:pPr>
        <w:rPr>
          <w:rFonts w:hint="eastAsia" w:ascii="宋体" w:hAnsi="宋体" w:eastAsia="宋体" w:cs="宋体"/>
          <w:b/>
          <w:color w:val="auto"/>
          <w:spacing w:val="0"/>
          <w:w w:val="100"/>
          <w:sz w:val="22"/>
          <w:szCs w:val="22"/>
          <w:highlight w:val="none"/>
        </w:rPr>
      </w:pPr>
    </w:p>
    <w:p w14:paraId="0759DED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A6E8BA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FDF02C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D741CB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F4333B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EA1E8C6">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5、企业相关证书</w:t>
      </w:r>
    </w:p>
    <w:p w14:paraId="186298E3">
      <w:pPr>
        <w:pStyle w:val="22"/>
        <w:ind w:left="0" w:leftChars="0" w:firstLine="0" w:firstLineChars="0"/>
        <w:rPr>
          <w:rFonts w:hint="eastAsia" w:ascii="宋体" w:hAnsi="宋体" w:eastAsia="宋体" w:cs="宋体"/>
          <w:b w:val="0"/>
          <w:bCs/>
          <w:lang w:eastAsia="zh-CN"/>
        </w:rPr>
      </w:pPr>
      <w:r>
        <w:rPr>
          <w:rFonts w:hint="eastAsia" w:ascii="宋体" w:hAnsi="宋体" w:eastAsia="宋体" w:cs="宋体"/>
          <w:b w:val="0"/>
          <w:bCs/>
          <w:color w:val="auto"/>
          <w:spacing w:val="0"/>
          <w:w w:val="100"/>
          <w:sz w:val="22"/>
          <w:szCs w:val="22"/>
          <w:highlight w:val="none"/>
          <w:lang w:eastAsia="zh-CN"/>
        </w:rPr>
        <w:t>注：</w:t>
      </w:r>
      <w:r>
        <w:rPr>
          <w:rFonts w:hint="eastAsia" w:ascii="宋体" w:hAnsi="宋体" w:eastAsia="宋体" w:cs="宋体"/>
          <w:b w:val="0"/>
          <w:bCs/>
          <w:color w:val="000000"/>
          <w:sz w:val="22"/>
          <w:szCs w:val="22"/>
          <w:highlight w:val="none"/>
        </w:rPr>
        <w:t>提供相关证明材料扫描件</w:t>
      </w:r>
      <w:r>
        <w:rPr>
          <w:rFonts w:hint="eastAsia" w:ascii="宋体" w:hAnsi="宋体" w:eastAsia="宋体" w:cs="宋体"/>
          <w:b w:val="0"/>
          <w:bCs/>
          <w:color w:val="000000"/>
          <w:sz w:val="22"/>
          <w:szCs w:val="22"/>
          <w:highlight w:val="none"/>
          <w:lang w:eastAsia="zh-CN"/>
        </w:rPr>
        <w:t>加盖公章</w:t>
      </w:r>
    </w:p>
    <w:p w14:paraId="0322C550">
      <w:pP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br w:type="page"/>
      </w:r>
    </w:p>
    <w:p w14:paraId="7C977C0D">
      <w:pPr>
        <w:pStyle w:val="4"/>
        <w:numPr>
          <w:ilvl w:val="0"/>
          <w:numId w:val="0"/>
        </w:numPr>
        <w:spacing w:before="0" w:after="0"/>
        <w:ind w:leftChars="0"/>
        <w:jc w:val="center"/>
        <w:rPr>
          <w:rFonts w:hint="eastAsia" w:ascii="宋体" w:hAnsi="宋体" w:eastAsia="宋体" w:cs="宋体"/>
          <w:b/>
          <w:bCs/>
          <w:color w:val="auto"/>
          <w:spacing w:val="0"/>
          <w:w w:val="100"/>
          <w:kern w:val="2"/>
          <w:sz w:val="32"/>
          <w:szCs w:val="3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6、</w:t>
      </w:r>
      <w:r>
        <w:rPr>
          <w:rFonts w:hint="eastAsia" w:ascii="宋体" w:hAnsi="宋体" w:eastAsia="宋体" w:cs="宋体"/>
          <w:b/>
          <w:bCs/>
          <w:color w:val="auto"/>
          <w:spacing w:val="0"/>
          <w:w w:val="100"/>
          <w:kern w:val="2"/>
          <w:sz w:val="32"/>
          <w:szCs w:val="32"/>
          <w:highlight w:val="none"/>
          <w:lang w:val="en-US" w:eastAsia="zh-CN" w:bidi="ar-SA"/>
        </w:rPr>
        <w:t>人员配置</w:t>
      </w:r>
    </w:p>
    <w:p w14:paraId="0384E93C">
      <w:pPr>
        <w:pStyle w:val="8"/>
        <w:keepNext w:val="0"/>
        <w:keepLines w:val="0"/>
        <w:pageBreakBefore w:val="0"/>
        <w:widowControl w:val="0"/>
        <w:kinsoku/>
        <w:overflowPunct/>
        <w:topLinePunct w:val="0"/>
        <w:bidi w:val="0"/>
        <w:ind w:left="0" w:leftChars="0" w:firstLine="0" w:firstLineChars="0"/>
        <w:jc w:val="center"/>
        <w:rPr>
          <w:rFonts w:hint="eastAsia" w:ascii="宋体" w:hAnsi="宋体" w:eastAsia="宋体" w:cs="宋体"/>
          <w:b/>
          <w:bCs w:val="0"/>
          <w:color w:val="auto"/>
          <w:spacing w:val="0"/>
          <w:w w:val="100"/>
          <w:sz w:val="24"/>
          <w:szCs w:val="24"/>
          <w:highlight w:val="none"/>
        </w:rPr>
      </w:pPr>
      <w:r>
        <w:rPr>
          <w:rFonts w:hint="eastAsia" w:ascii="宋体" w:hAnsi="宋体" w:eastAsia="宋体" w:cs="宋体"/>
          <w:b/>
          <w:bCs w:val="0"/>
          <w:color w:val="auto"/>
          <w:spacing w:val="0"/>
          <w:w w:val="100"/>
          <w:sz w:val="24"/>
          <w:szCs w:val="24"/>
          <w:highlight w:val="none"/>
          <w:lang w:val="en-US" w:eastAsia="zh-CN"/>
        </w:rPr>
        <w:t>6.1</w:t>
      </w:r>
      <w:r>
        <w:rPr>
          <w:rFonts w:hint="eastAsia" w:ascii="宋体" w:hAnsi="宋体" w:eastAsia="宋体" w:cs="宋体"/>
          <w:b/>
          <w:bCs w:val="0"/>
          <w:color w:val="auto"/>
          <w:spacing w:val="0"/>
          <w:w w:val="100"/>
          <w:sz w:val="24"/>
          <w:szCs w:val="24"/>
          <w:highlight w:val="none"/>
        </w:rPr>
        <w:t>项目负责人简历表</w:t>
      </w:r>
    </w:p>
    <w:p w14:paraId="05DDE648">
      <w:pPr>
        <w:jc w:val="center"/>
        <w:rPr>
          <w:rFonts w:hint="eastAsia" w:ascii="宋体" w:hAnsi="宋体" w:eastAsia="宋体" w:cs="宋体"/>
          <w:color w:val="auto"/>
          <w:lang w:val="en-US" w:eastAsia="zh-CN"/>
        </w:rPr>
      </w:pPr>
      <w:r>
        <w:rPr>
          <w:rFonts w:hint="eastAsia" w:ascii="宋体" w:hAnsi="宋体" w:eastAsia="宋体" w:cs="宋体"/>
          <w:b/>
          <w:bCs/>
          <w:color w:val="auto"/>
          <w:spacing w:val="0"/>
          <w:w w:val="100"/>
          <w:sz w:val="24"/>
          <w:szCs w:val="24"/>
          <w:highlight w:val="none"/>
          <w:lang w:val="en-US" w:eastAsia="zh-CN"/>
        </w:rPr>
        <w:t>（格式可自行调整）</w:t>
      </w:r>
    </w:p>
    <w:tbl>
      <w:tblPr>
        <w:tblStyle w:val="41"/>
        <w:tblpPr w:leftFromText="180" w:rightFromText="180" w:vertAnchor="text" w:horzAnchor="page" w:tblpXSpec="center" w:tblpY="295"/>
        <w:tblOverlap w:val="never"/>
        <w:tblW w:w="9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2021"/>
        <w:gridCol w:w="935"/>
        <w:gridCol w:w="1801"/>
        <w:gridCol w:w="1516"/>
        <w:gridCol w:w="1804"/>
      </w:tblGrid>
      <w:tr w14:paraId="11754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2855217D">
            <w:pPr>
              <w:pStyle w:val="100"/>
              <w:keepNext w:val="0"/>
              <w:keepLines w:val="0"/>
              <w:pageBreakBefore w:val="0"/>
              <w:widowControl w:val="0"/>
              <w:kinsoku/>
              <w:overflowPunct/>
              <w:topLinePunct w:val="0"/>
              <w:bidi w:val="0"/>
              <w:ind w:left="133" w:right="11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姓</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名</w:t>
            </w:r>
          </w:p>
        </w:tc>
        <w:tc>
          <w:tcPr>
            <w:tcW w:w="2015" w:type="dxa"/>
            <w:noWrap w:val="0"/>
            <w:vAlign w:val="center"/>
          </w:tcPr>
          <w:p w14:paraId="1D2B5686">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932" w:type="dxa"/>
            <w:noWrap w:val="0"/>
            <w:vAlign w:val="center"/>
          </w:tcPr>
          <w:p w14:paraId="5B70E39A">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性别</w:t>
            </w:r>
          </w:p>
        </w:tc>
        <w:tc>
          <w:tcPr>
            <w:tcW w:w="1795" w:type="dxa"/>
            <w:noWrap w:val="0"/>
            <w:vAlign w:val="center"/>
          </w:tcPr>
          <w:p w14:paraId="4B4B9BE5">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1511" w:type="dxa"/>
            <w:noWrap w:val="0"/>
            <w:vAlign w:val="center"/>
          </w:tcPr>
          <w:p w14:paraId="6C53D14A">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出生日期</w:t>
            </w:r>
          </w:p>
        </w:tc>
        <w:tc>
          <w:tcPr>
            <w:tcW w:w="1798" w:type="dxa"/>
            <w:noWrap w:val="0"/>
            <w:vAlign w:val="center"/>
          </w:tcPr>
          <w:p w14:paraId="5BEC1B1C">
            <w:pPr>
              <w:pStyle w:val="100"/>
              <w:keepNext w:val="0"/>
              <w:keepLines w:val="0"/>
              <w:pageBreakBefore w:val="0"/>
              <w:widowControl w:val="0"/>
              <w:tabs>
                <w:tab w:val="left" w:pos="729"/>
                <w:tab w:val="left" w:pos="1209"/>
              </w:tabs>
              <w:kinsoku/>
              <w:overflowPunct/>
              <w:topLinePunct w:val="0"/>
              <w:bidi w:val="0"/>
              <w:ind w:left="129"/>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年</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月</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日</w:t>
            </w:r>
          </w:p>
        </w:tc>
      </w:tr>
      <w:tr w14:paraId="766E0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708EC8E7">
            <w:pPr>
              <w:pStyle w:val="100"/>
              <w:keepNext w:val="0"/>
              <w:keepLines w:val="0"/>
              <w:pageBreakBefore w:val="0"/>
              <w:widowControl w:val="0"/>
              <w:kinsoku/>
              <w:overflowPunct/>
              <w:topLinePunct w:val="0"/>
              <w:bidi w:val="0"/>
              <w:spacing w:before="134"/>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毕业院校专业</w:t>
            </w:r>
          </w:p>
        </w:tc>
        <w:tc>
          <w:tcPr>
            <w:tcW w:w="4742" w:type="dxa"/>
            <w:gridSpan w:val="3"/>
            <w:noWrap w:val="0"/>
            <w:vAlign w:val="center"/>
          </w:tcPr>
          <w:p w14:paraId="09749D56">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1511" w:type="dxa"/>
            <w:noWrap w:val="0"/>
            <w:vAlign w:val="center"/>
          </w:tcPr>
          <w:p w14:paraId="50C6F6CE">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毕业时间</w:t>
            </w:r>
          </w:p>
        </w:tc>
        <w:tc>
          <w:tcPr>
            <w:tcW w:w="1798" w:type="dxa"/>
            <w:noWrap w:val="0"/>
            <w:vAlign w:val="center"/>
          </w:tcPr>
          <w:p w14:paraId="0B4AD658">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16E3A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6B6002C5">
            <w:pPr>
              <w:pStyle w:val="100"/>
              <w:keepNext w:val="0"/>
              <w:keepLines w:val="0"/>
              <w:pageBreakBefore w:val="0"/>
              <w:widowControl w:val="0"/>
              <w:kinsoku/>
              <w:overflowPunct/>
              <w:topLinePunct w:val="0"/>
              <w:bidi w:val="0"/>
              <w:spacing w:before="111"/>
              <w:ind w:left="133" w:right="11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从事本专业</w:t>
            </w:r>
          </w:p>
          <w:p w14:paraId="534D986F">
            <w:pPr>
              <w:pStyle w:val="100"/>
              <w:keepNext w:val="0"/>
              <w:keepLines w:val="0"/>
              <w:pageBreakBefore w:val="0"/>
              <w:widowControl w:val="0"/>
              <w:kinsoku/>
              <w:overflowPunct/>
              <w:topLinePunct w:val="0"/>
              <w:bidi w:val="0"/>
              <w:spacing w:before="134" w:line="307" w:lineRule="exact"/>
              <w:ind w:left="133" w:right="11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时间</w:t>
            </w:r>
          </w:p>
        </w:tc>
        <w:tc>
          <w:tcPr>
            <w:tcW w:w="2947" w:type="dxa"/>
            <w:gridSpan w:val="2"/>
            <w:noWrap w:val="0"/>
            <w:vAlign w:val="center"/>
          </w:tcPr>
          <w:p w14:paraId="15143729">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1795" w:type="dxa"/>
            <w:noWrap w:val="0"/>
            <w:vAlign w:val="center"/>
          </w:tcPr>
          <w:p w14:paraId="3DB223C9">
            <w:pPr>
              <w:pStyle w:val="100"/>
              <w:keepNext w:val="0"/>
              <w:keepLines w:val="0"/>
              <w:pageBreakBefore w:val="0"/>
              <w:widowControl w:val="0"/>
              <w:kinsoku/>
              <w:overflowPunct/>
              <w:topLinePunct w:val="0"/>
              <w:bidi w:val="0"/>
              <w:spacing w:before="111"/>
              <w:ind w:left="170" w:right="154"/>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为供应商服务</w:t>
            </w:r>
          </w:p>
          <w:p w14:paraId="6F704DD4">
            <w:pPr>
              <w:pStyle w:val="100"/>
              <w:keepNext w:val="0"/>
              <w:keepLines w:val="0"/>
              <w:pageBreakBefore w:val="0"/>
              <w:widowControl w:val="0"/>
              <w:kinsoku/>
              <w:overflowPunct/>
              <w:topLinePunct w:val="0"/>
              <w:bidi w:val="0"/>
              <w:spacing w:before="134" w:line="307" w:lineRule="exact"/>
              <w:ind w:left="170" w:right="154"/>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时间</w:t>
            </w:r>
          </w:p>
        </w:tc>
        <w:tc>
          <w:tcPr>
            <w:tcW w:w="1511" w:type="dxa"/>
            <w:noWrap w:val="0"/>
            <w:vAlign w:val="center"/>
          </w:tcPr>
          <w:p w14:paraId="5CADCA8D">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1798" w:type="dxa"/>
            <w:noWrap w:val="0"/>
            <w:vAlign w:val="center"/>
          </w:tcPr>
          <w:p w14:paraId="2B4AADF6">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65F83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54C83E0B">
            <w:pPr>
              <w:pStyle w:val="100"/>
              <w:keepNext w:val="0"/>
              <w:keepLines w:val="0"/>
              <w:pageBreakBefore w:val="0"/>
              <w:widowControl w:val="0"/>
              <w:kinsoku/>
              <w:overflowPunct/>
              <w:topLinePunct w:val="0"/>
              <w:bidi w:val="0"/>
              <w:ind w:left="133" w:right="11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执业时间</w:t>
            </w:r>
          </w:p>
        </w:tc>
        <w:tc>
          <w:tcPr>
            <w:tcW w:w="2947" w:type="dxa"/>
            <w:gridSpan w:val="2"/>
            <w:noWrap w:val="0"/>
            <w:vAlign w:val="center"/>
          </w:tcPr>
          <w:p w14:paraId="5B56E761">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1795" w:type="dxa"/>
            <w:noWrap w:val="0"/>
            <w:vAlign w:val="center"/>
          </w:tcPr>
          <w:p w14:paraId="3B4F5CEB">
            <w:pPr>
              <w:pStyle w:val="100"/>
              <w:keepNext w:val="0"/>
              <w:keepLines w:val="0"/>
              <w:pageBreakBefore w:val="0"/>
              <w:widowControl w:val="0"/>
              <w:kinsoku/>
              <w:overflowPunct/>
              <w:topLinePunct w:val="0"/>
              <w:bidi w:val="0"/>
              <w:ind w:left="170" w:right="154"/>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职称</w:t>
            </w:r>
          </w:p>
        </w:tc>
        <w:tc>
          <w:tcPr>
            <w:tcW w:w="3309" w:type="dxa"/>
            <w:gridSpan w:val="2"/>
            <w:noWrap w:val="0"/>
            <w:vAlign w:val="center"/>
          </w:tcPr>
          <w:p w14:paraId="1C316B4E">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579F4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4504" w:type="dxa"/>
            <w:gridSpan w:val="3"/>
            <w:tcBorders>
              <w:left w:val="single" w:color="000000" w:sz="8" w:space="0"/>
            </w:tcBorders>
            <w:noWrap w:val="0"/>
            <w:vAlign w:val="center"/>
          </w:tcPr>
          <w:p w14:paraId="4002C566">
            <w:pPr>
              <w:pStyle w:val="100"/>
              <w:keepNext w:val="0"/>
              <w:keepLines w:val="0"/>
              <w:pageBreakBefore w:val="0"/>
              <w:widowControl w:val="0"/>
              <w:kinsoku/>
              <w:overflowPunct/>
              <w:topLinePunct w:val="0"/>
              <w:bidi w:val="0"/>
              <w:ind w:left="1232"/>
              <w:jc w:val="cente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在本项目拟任职务</w:t>
            </w:r>
          </w:p>
        </w:tc>
        <w:tc>
          <w:tcPr>
            <w:tcW w:w="5104" w:type="dxa"/>
            <w:gridSpan w:val="3"/>
            <w:noWrap w:val="0"/>
            <w:vAlign w:val="center"/>
          </w:tcPr>
          <w:p w14:paraId="28B1D27D">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2D10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9608" w:type="dxa"/>
            <w:gridSpan w:val="6"/>
            <w:tcBorders>
              <w:left w:val="single" w:color="000000" w:sz="8" w:space="0"/>
            </w:tcBorders>
            <w:noWrap w:val="0"/>
            <w:vAlign w:val="center"/>
          </w:tcPr>
          <w:p w14:paraId="097E9E70">
            <w:pPr>
              <w:pStyle w:val="100"/>
              <w:keepNext w:val="0"/>
              <w:keepLines w:val="0"/>
              <w:pageBreakBefore w:val="0"/>
              <w:widowControl w:val="0"/>
              <w:kinsoku/>
              <w:overflowPunct/>
              <w:topLinePunct w:val="0"/>
              <w:bidi w:val="0"/>
              <w:ind w:left="107"/>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说明及相关介绍：</w:t>
            </w:r>
          </w:p>
        </w:tc>
      </w:tr>
      <w:tr w14:paraId="7A71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9608" w:type="dxa"/>
            <w:gridSpan w:val="6"/>
            <w:tcBorders>
              <w:left w:val="single" w:color="000000" w:sz="8" w:space="0"/>
            </w:tcBorders>
            <w:noWrap w:val="0"/>
            <w:vAlign w:val="center"/>
          </w:tcPr>
          <w:p w14:paraId="4CC57D0F">
            <w:pPr>
              <w:pStyle w:val="100"/>
              <w:keepNext w:val="0"/>
              <w:keepLines w:val="0"/>
              <w:pageBreakBefore w:val="0"/>
              <w:widowControl w:val="0"/>
              <w:kinsoku/>
              <w:overflowPunct/>
              <w:topLinePunct w:val="0"/>
              <w:bidi w:val="0"/>
              <w:ind w:left="4138" w:right="4125"/>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主要经历</w:t>
            </w:r>
          </w:p>
        </w:tc>
      </w:tr>
      <w:tr w14:paraId="50C20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2395D72E">
            <w:pPr>
              <w:pStyle w:val="100"/>
              <w:keepNext w:val="0"/>
              <w:keepLines w:val="0"/>
              <w:pageBreakBefore w:val="0"/>
              <w:widowControl w:val="0"/>
              <w:kinsoku/>
              <w:overflowPunct/>
              <w:topLinePunct w:val="0"/>
              <w:bidi w:val="0"/>
              <w:ind w:left="133" w:right="11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时间</w:t>
            </w:r>
          </w:p>
        </w:tc>
        <w:tc>
          <w:tcPr>
            <w:tcW w:w="4742" w:type="dxa"/>
            <w:gridSpan w:val="3"/>
            <w:noWrap w:val="0"/>
            <w:vAlign w:val="center"/>
          </w:tcPr>
          <w:p w14:paraId="5C328340">
            <w:pPr>
              <w:pStyle w:val="100"/>
              <w:keepNext w:val="0"/>
              <w:keepLines w:val="0"/>
              <w:pageBreakBefore w:val="0"/>
              <w:widowControl w:val="0"/>
              <w:kinsoku/>
              <w:overflowPunct/>
              <w:topLinePunct w:val="0"/>
              <w:bidi w:val="0"/>
              <w:ind w:left="576"/>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参加过的类似项目名称及规模</w:t>
            </w:r>
          </w:p>
        </w:tc>
        <w:tc>
          <w:tcPr>
            <w:tcW w:w="3309" w:type="dxa"/>
            <w:gridSpan w:val="2"/>
            <w:noWrap w:val="0"/>
            <w:vAlign w:val="center"/>
          </w:tcPr>
          <w:p w14:paraId="5022B83A">
            <w:pPr>
              <w:pStyle w:val="100"/>
              <w:keepNext w:val="0"/>
              <w:keepLines w:val="0"/>
              <w:pageBreakBefore w:val="0"/>
              <w:widowControl w:val="0"/>
              <w:kinsoku/>
              <w:overflowPunct/>
              <w:topLinePunct w:val="0"/>
              <w:bidi w:val="0"/>
              <w:ind w:left="798"/>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该项目中担任职务</w:t>
            </w:r>
          </w:p>
        </w:tc>
      </w:tr>
      <w:tr w14:paraId="20456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3EDC8B73">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4742" w:type="dxa"/>
            <w:gridSpan w:val="3"/>
            <w:noWrap w:val="0"/>
            <w:vAlign w:val="center"/>
          </w:tcPr>
          <w:p w14:paraId="46133C19">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3309" w:type="dxa"/>
            <w:gridSpan w:val="2"/>
            <w:noWrap w:val="0"/>
            <w:vAlign w:val="center"/>
          </w:tcPr>
          <w:p w14:paraId="14889526">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742C0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7B6D3C2A">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4742" w:type="dxa"/>
            <w:gridSpan w:val="3"/>
            <w:noWrap w:val="0"/>
            <w:vAlign w:val="center"/>
          </w:tcPr>
          <w:p w14:paraId="4150176A">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3309" w:type="dxa"/>
            <w:gridSpan w:val="2"/>
            <w:noWrap w:val="0"/>
            <w:vAlign w:val="center"/>
          </w:tcPr>
          <w:p w14:paraId="305A45B8">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r w14:paraId="29F30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7" w:type="dxa"/>
            <w:tcBorders>
              <w:left w:val="single" w:color="000000" w:sz="8" w:space="0"/>
            </w:tcBorders>
            <w:noWrap w:val="0"/>
            <w:vAlign w:val="center"/>
          </w:tcPr>
          <w:p w14:paraId="5DF82E21">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4742" w:type="dxa"/>
            <w:gridSpan w:val="3"/>
            <w:noWrap w:val="0"/>
            <w:vAlign w:val="center"/>
          </w:tcPr>
          <w:p w14:paraId="5C8B850B">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c>
          <w:tcPr>
            <w:tcW w:w="3309" w:type="dxa"/>
            <w:gridSpan w:val="2"/>
            <w:noWrap w:val="0"/>
            <w:vAlign w:val="center"/>
          </w:tcPr>
          <w:p w14:paraId="360BE8EB">
            <w:pPr>
              <w:pStyle w:val="100"/>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p>
        </w:tc>
      </w:tr>
    </w:tbl>
    <w:p w14:paraId="424C283E">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7C5D41C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lang w:eastAsia="zh-CN"/>
        </w:rPr>
      </w:pPr>
    </w:p>
    <w:p w14:paraId="1730AAA0">
      <w:pPr>
        <w:pStyle w:val="22"/>
        <w:keepNext w:val="0"/>
        <w:keepLines w:val="0"/>
        <w:pageBreakBefore w:val="0"/>
        <w:widowControl w:val="0"/>
        <w:kinsoku/>
        <w:wordWrap w:val="0"/>
        <w:overflowPunct/>
        <w:topLinePunct w:val="0"/>
        <w:autoSpaceDE/>
        <w:autoSpaceDN/>
        <w:bidi w:val="0"/>
        <w:adjustRightInd/>
        <w:snapToGrid/>
        <w:spacing w:line="440" w:lineRule="exact"/>
        <w:ind w:left="0" w:hanging="440" w:hangingChars="200"/>
        <w:jc w:val="both"/>
        <w:textAlignment w:val="auto"/>
        <w:rPr>
          <w:rFonts w:hint="eastAsia" w:ascii="宋体" w:hAnsi="宋体" w:eastAsia="宋体" w:cs="宋体"/>
          <w:b w:val="0"/>
          <w:bCs/>
          <w:color w:val="auto"/>
          <w:spacing w:val="0"/>
          <w:w w:val="100"/>
          <w:sz w:val="22"/>
          <w:szCs w:val="22"/>
          <w:highlight w:val="none"/>
          <w:lang w:eastAsia="zh-CN"/>
        </w:rPr>
      </w:pPr>
      <w:r>
        <w:rPr>
          <w:rFonts w:hint="eastAsia" w:ascii="宋体" w:hAnsi="宋体" w:eastAsia="宋体" w:cs="宋体"/>
          <w:b w:val="0"/>
          <w:bCs/>
          <w:color w:val="auto"/>
          <w:spacing w:val="0"/>
          <w:w w:val="100"/>
          <w:sz w:val="22"/>
          <w:szCs w:val="22"/>
          <w:highlight w:val="none"/>
          <w:lang w:eastAsia="zh-CN"/>
        </w:rPr>
        <w:t>注：</w:t>
      </w:r>
      <w:r>
        <w:rPr>
          <w:rFonts w:hint="eastAsia" w:ascii="宋体" w:hAnsi="宋体" w:eastAsia="宋体" w:cs="宋体"/>
          <w:b w:val="0"/>
          <w:bCs/>
          <w:color w:val="auto"/>
          <w:spacing w:val="0"/>
          <w:w w:val="100"/>
          <w:sz w:val="22"/>
          <w:szCs w:val="22"/>
          <w:highlight w:val="none"/>
        </w:rPr>
        <w:t>若成交，以上列入的所有人员将成为本项目指定成员，若要更换人员的必须经采购人同意，擅自更换或配备不到位均属违约行为</w:t>
      </w:r>
      <w:r>
        <w:rPr>
          <w:rFonts w:hint="eastAsia" w:ascii="宋体" w:hAnsi="宋体" w:eastAsia="宋体" w:cs="宋体"/>
          <w:b w:val="0"/>
          <w:bCs/>
          <w:color w:val="auto"/>
          <w:spacing w:val="0"/>
          <w:w w:val="100"/>
          <w:sz w:val="22"/>
          <w:szCs w:val="22"/>
          <w:highlight w:val="none"/>
          <w:lang w:eastAsia="zh-CN"/>
        </w:rPr>
        <w:t>；</w:t>
      </w:r>
      <w:r>
        <w:rPr>
          <w:rFonts w:hint="eastAsia" w:ascii="宋体" w:hAnsi="宋体" w:eastAsia="宋体" w:cs="宋体"/>
          <w:b w:val="0"/>
          <w:bCs/>
          <w:color w:val="000000"/>
          <w:sz w:val="22"/>
          <w:szCs w:val="22"/>
          <w:highlight w:val="none"/>
          <w:lang w:eastAsia="zh-CN"/>
        </w:rPr>
        <w:t>项目负责人</w:t>
      </w:r>
      <w:r>
        <w:rPr>
          <w:rFonts w:hint="eastAsia" w:ascii="宋体" w:hAnsi="宋体" w:eastAsia="宋体" w:cs="宋体"/>
          <w:b w:val="0"/>
          <w:bCs/>
          <w:color w:val="000000"/>
          <w:sz w:val="22"/>
          <w:szCs w:val="22"/>
          <w:highlight w:val="none"/>
        </w:rPr>
        <w:t>证书及其在供应商单位缴纳的近3个月（2024年</w:t>
      </w:r>
      <w:r>
        <w:rPr>
          <w:rFonts w:hint="eastAsia" w:ascii="宋体" w:hAnsi="宋体" w:eastAsia="宋体" w:cs="宋体"/>
          <w:b w:val="0"/>
          <w:bCs/>
          <w:color w:val="000000"/>
          <w:sz w:val="22"/>
          <w:szCs w:val="22"/>
          <w:highlight w:val="none"/>
          <w:lang w:val="en-US" w:eastAsia="zh-CN"/>
        </w:rPr>
        <w:t>6</w:t>
      </w:r>
      <w:r>
        <w:rPr>
          <w:rFonts w:hint="eastAsia" w:ascii="宋体" w:hAnsi="宋体" w:eastAsia="宋体" w:cs="宋体"/>
          <w:b w:val="0"/>
          <w:bCs/>
          <w:color w:val="000000"/>
          <w:sz w:val="22"/>
          <w:szCs w:val="22"/>
          <w:highlight w:val="none"/>
        </w:rPr>
        <w:t>月起）的社保证明</w:t>
      </w:r>
      <w:r>
        <w:rPr>
          <w:rFonts w:hint="eastAsia" w:ascii="宋体" w:hAnsi="宋体" w:eastAsia="宋体" w:cs="宋体"/>
          <w:b w:val="0"/>
          <w:bCs/>
          <w:color w:val="auto"/>
          <w:sz w:val="22"/>
          <w:szCs w:val="22"/>
          <w:highlight w:val="none"/>
        </w:rPr>
        <w:t>。</w:t>
      </w:r>
    </w:p>
    <w:p w14:paraId="55C815CF">
      <w:pPr>
        <w:keepNext w:val="0"/>
        <w:keepLines w:val="0"/>
        <w:pageBreakBefore w:val="0"/>
        <w:widowControl w:val="0"/>
        <w:kinsoku/>
        <w:overflowPunct/>
        <w:topLinePunct w:val="0"/>
        <w:bidi w:val="0"/>
        <w:snapToGrid w:val="0"/>
        <w:rPr>
          <w:rFonts w:hint="eastAsia" w:ascii="宋体" w:hAnsi="宋体" w:eastAsia="宋体" w:cs="宋体"/>
          <w:b w:val="0"/>
          <w:bCs/>
          <w:color w:val="auto"/>
          <w:spacing w:val="0"/>
          <w:w w:val="100"/>
          <w:sz w:val="21"/>
          <w:szCs w:val="21"/>
          <w:highlight w:val="none"/>
        </w:rPr>
      </w:pPr>
    </w:p>
    <w:p w14:paraId="12A4BFAE">
      <w:pPr>
        <w:keepNext w:val="0"/>
        <w:keepLines w:val="0"/>
        <w:pageBreakBefore w:val="0"/>
        <w:widowControl w:val="0"/>
        <w:kinsoku/>
        <w:overflowPunct/>
        <w:topLinePunct w:val="0"/>
        <w:bidi w:val="0"/>
        <w:snapToGrid w:val="0"/>
        <w:rPr>
          <w:rFonts w:hint="eastAsia" w:ascii="宋体" w:hAnsi="宋体" w:eastAsia="宋体" w:cs="宋体"/>
          <w:b w:val="0"/>
          <w:bCs/>
          <w:color w:val="auto"/>
          <w:spacing w:val="0"/>
          <w:w w:val="100"/>
          <w:sz w:val="21"/>
          <w:szCs w:val="21"/>
          <w:highlight w:val="none"/>
        </w:rPr>
      </w:pPr>
    </w:p>
    <w:p w14:paraId="32416B38">
      <w:pPr>
        <w:keepNext w:val="0"/>
        <w:keepLines w:val="0"/>
        <w:pageBreakBefore w:val="0"/>
        <w:widowControl w:val="0"/>
        <w:kinsoku/>
        <w:overflowPunct/>
        <w:topLinePunct w:val="0"/>
        <w:bidi w:val="0"/>
        <w:snapToGrid w:val="0"/>
        <w:rPr>
          <w:rFonts w:hint="eastAsia" w:ascii="宋体" w:hAnsi="宋体" w:eastAsia="宋体" w:cs="宋体"/>
          <w:b w:val="0"/>
          <w:bCs/>
          <w:color w:val="auto"/>
          <w:spacing w:val="0"/>
          <w:w w:val="100"/>
          <w:sz w:val="21"/>
          <w:szCs w:val="21"/>
          <w:highlight w:val="none"/>
        </w:rPr>
      </w:pPr>
    </w:p>
    <w:p w14:paraId="354B5E95">
      <w:pPr>
        <w:pStyle w:val="81"/>
        <w:wordWrap w:val="0"/>
        <w:spacing w:line="360" w:lineRule="auto"/>
        <w:ind w:firstLine="480"/>
        <w:jc w:val="right"/>
        <w:rPr>
          <w:rFonts w:hint="eastAsia" w:ascii="宋体" w:hAnsi="宋体" w:eastAsia="宋体" w:cs="宋体"/>
          <w:b w:val="0"/>
          <w:bCs/>
          <w:color w:val="auto"/>
          <w:sz w:val="22"/>
          <w:szCs w:val="22"/>
          <w:highlight w:val="none"/>
          <w:u w:val="single"/>
        </w:rPr>
      </w:pPr>
      <w:r>
        <w:rPr>
          <w:rFonts w:hint="eastAsia" w:ascii="宋体" w:hAnsi="宋体" w:eastAsia="宋体" w:cs="宋体"/>
          <w:b w:val="0"/>
          <w:bCs/>
          <w:color w:val="auto"/>
          <w:sz w:val="22"/>
          <w:szCs w:val="22"/>
          <w:highlight w:val="none"/>
          <w:lang w:eastAsia="zh-CN"/>
        </w:rPr>
        <w:t>供应商盖章（电子章）</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u w:val="single"/>
        </w:rPr>
        <w:t xml:space="preserve">                </w:t>
      </w:r>
    </w:p>
    <w:p w14:paraId="0E09618A">
      <w:pPr>
        <w:keepNext w:val="0"/>
        <w:keepLines w:val="0"/>
        <w:pageBreakBefore w:val="0"/>
        <w:widowControl w:val="0"/>
        <w:kinsoku/>
        <w:overflowPunct/>
        <w:topLinePunct w:val="0"/>
        <w:bidi w:val="0"/>
        <w:snapToGrid w:val="0"/>
        <w:rPr>
          <w:rFonts w:hint="eastAsia" w:ascii="宋体" w:hAnsi="宋体" w:eastAsia="宋体" w:cs="宋体"/>
          <w:b w:val="0"/>
          <w:bCs/>
          <w:color w:val="auto"/>
          <w:spacing w:val="0"/>
          <w:w w:val="100"/>
          <w:sz w:val="22"/>
          <w:highlight w:val="none"/>
        </w:rPr>
      </w:pPr>
    </w:p>
    <w:p w14:paraId="15738FA7">
      <w:pPr>
        <w:pStyle w:val="81"/>
        <w:wordWrap w:val="0"/>
        <w:spacing w:line="360" w:lineRule="auto"/>
        <w:ind w:firstLine="480"/>
        <w:jc w:val="right"/>
        <w:rPr>
          <w:rFonts w:hint="eastAsia" w:ascii="宋体" w:hAnsi="宋体" w:eastAsia="宋体" w:cs="宋体"/>
          <w:b w:val="0"/>
          <w:bCs/>
          <w:color w:val="auto"/>
          <w:sz w:val="22"/>
          <w:szCs w:val="22"/>
          <w:highlight w:val="none"/>
          <w:u w:val="single"/>
        </w:rPr>
      </w:pPr>
      <w:r>
        <w:rPr>
          <w:rFonts w:hint="eastAsia" w:ascii="宋体" w:hAnsi="宋体" w:eastAsia="宋体" w:cs="宋体"/>
          <w:b w:val="0"/>
          <w:bCs/>
          <w:color w:val="auto"/>
          <w:sz w:val="22"/>
          <w:szCs w:val="22"/>
          <w:highlight w:val="none"/>
        </w:rPr>
        <w:t>日      期：</w:t>
      </w:r>
      <w:r>
        <w:rPr>
          <w:rFonts w:hint="eastAsia" w:ascii="宋体" w:hAnsi="宋体" w:eastAsia="宋体" w:cs="宋体"/>
          <w:b w:val="0"/>
          <w:bCs/>
          <w:color w:val="auto"/>
          <w:sz w:val="22"/>
          <w:szCs w:val="22"/>
          <w:highlight w:val="none"/>
          <w:u w:val="single"/>
        </w:rPr>
        <w:t xml:space="preserve">                </w:t>
      </w:r>
    </w:p>
    <w:p w14:paraId="3EB714F4">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lang w:val="en-US" w:eastAsia="zh-CN"/>
        </w:rPr>
      </w:pPr>
      <w:r>
        <w:rPr>
          <w:rFonts w:hint="eastAsia" w:ascii="宋体" w:hAnsi="宋体" w:eastAsia="宋体" w:cs="宋体"/>
          <w:b w:val="0"/>
          <w:bCs/>
          <w:color w:val="auto"/>
          <w:spacing w:val="0"/>
          <w:w w:val="100"/>
          <w:sz w:val="24"/>
          <w:szCs w:val="24"/>
          <w:highlight w:val="none"/>
          <w:lang w:val="en-US" w:eastAsia="zh-CN"/>
        </w:rPr>
        <w:br w:type="page"/>
      </w:r>
    </w:p>
    <w:p w14:paraId="0B715381">
      <w:pPr>
        <w:pStyle w:val="8"/>
        <w:keepNext w:val="0"/>
        <w:keepLines w:val="0"/>
        <w:pageBreakBefore w:val="0"/>
        <w:widowControl w:val="0"/>
        <w:kinsoku/>
        <w:overflowPunct/>
        <w:topLinePunct w:val="0"/>
        <w:bidi w:val="0"/>
        <w:ind w:left="0" w:leftChars="0" w:firstLine="0" w:firstLineChars="0"/>
        <w:jc w:val="center"/>
        <w:rPr>
          <w:rFonts w:hint="eastAsia" w:ascii="宋体" w:hAnsi="宋体" w:eastAsia="宋体" w:cs="宋体"/>
          <w:b w:val="0"/>
          <w:bCs/>
          <w:color w:val="auto"/>
          <w:spacing w:val="0"/>
          <w:w w:val="100"/>
          <w:sz w:val="24"/>
          <w:szCs w:val="24"/>
          <w:highlight w:val="none"/>
          <w:lang w:val="en-US" w:eastAsia="zh-CN"/>
        </w:rPr>
      </w:pPr>
      <w:r>
        <w:rPr>
          <w:rFonts w:hint="eastAsia" w:ascii="宋体" w:hAnsi="宋体" w:eastAsia="宋体" w:cs="宋体"/>
          <w:b w:val="0"/>
          <w:bCs/>
          <w:color w:val="auto"/>
          <w:spacing w:val="0"/>
          <w:w w:val="100"/>
          <w:sz w:val="24"/>
          <w:szCs w:val="24"/>
          <w:highlight w:val="none"/>
          <w:lang w:val="en-US" w:eastAsia="zh-CN"/>
        </w:rPr>
        <w:t>6.2项目班子人员配备情况表</w:t>
      </w:r>
    </w:p>
    <w:p w14:paraId="187AE3D5">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spacing w:val="0"/>
          <w:w w:val="100"/>
          <w:sz w:val="24"/>
          <w:szCs w:val="24"/>
          <w:highlight w:val="none"/>
          <w:lang w:val="en-US" w:eastAsia="zh-CN"/>
        </w:rPr>
        <w:t>（格式可自行调整）</w:t>
      </w:r>
    </w:p>
    <w:tbl>
      <w:tblPr>
        <w:tblStyle w:val="4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606"/>
        <w:gridCol w:w="1169"/>
        <w:gridCol w:w="981"/>
        <w:gridCol w:w="1195"/>
        <w:gridCol w:w="1471"/>
        <w:gridCol w:w="2366"/>
      </w:tblGrid>
      <w:tr w14:paraId="0482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5300BDCF">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序号</w:t>
            </w:r>
          </w:p>
        </w:tc>
        <w:tc>
          <w:tcPr>
            <w:tcW w:w="1606" w:type="dxa"/>
            <w:noWrap w:val="0"/>
            <w:vAlign w:val="center"/>
          </w:tcPr>
          <w:p w14:paraId="64A23B0C">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姓  名</w:t>
            </w:r>
          </w:p>
        </w:tc>
        <w:tc>
          <w:tcPr>
            <w:tcW w:w="1169" w:type="dxa"/>
            <w:noWrap w:val="0"/>
            <w:vAlign w:val="center"/>
          </w:tcPr>
          <w:p w14:paraId="4A1C50EB">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性  别</w:t>
            </w:r>
          </w:p>
        </w:tc>
        <w:tc>
          <w:tcPr>
            <w:tcW w:w="981" w:type="dxa"/>
            <w:noWrap w:val="0"/>
            <w:vAlign w:val="center"/>
          </w:tcPr>
          <w:p w14:paraId="7FB151D6">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lang w:eastAsia="zh-CN"/>
              </w:rPr>
            </w:pPr>
            <w:r>
              <w:rPr>
                <w:rFonts w:hint="eastAsia" w:ascii="宋体" w:hAnsi="宋体" w:eastAsia="宋体" w:cs="宋体"/>
                <w:b w:val="0"/>
                <w:bCs/>
                <w:color w:val="auto"/>
                <w:spacing w:val="0"/>
                <w:w w:val="100"/>
                <w:sz w:val="24"/>
                <w:szCs w:val="24"/>
                <w:highlight w:val="none"/>
                <w:lang w:eastAsia="zh-CN"/>
              </w:rPr>
              <w:t>年龄</w:t>
            </w:r>
          </w:p>
        </w:tc>
        <w:tc>
          <w:tcPr>
            <w:tcW w:w="1195" w:type="dxa"/>
            <w:noWrap w:val="0"/>
            <w:vAlign w:val="center"/>
          </w:tcPr>
          <w:p w14:paraId="6AD8899D">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专业</w:t>
            </w:r>
          </w:p>
          <w:p w14:paraId="725F7A10">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学历</w:t>
            </w:r>
          </w:p>
        </w:tc>
        <w:tc>
          <w:tcPr>
            <w:tcW w:w="1471" w:type="dxa"/>
            <w:noWrap w:val="0"/>
            <w:vAlign w:val="center"/>
          </w:tcPr>
          <w:p w14:paraId="62BCF198">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本项目拟任岗位</w:t>
            </w:r>
          </w:p>
        </w:tc>
        <w:tc>
          <w:tcPr>
            <w:tcW w:w="2366" w:type="dxa"/>
            <w:noWrap w:val="0"/>
            <w:vAlign w:val="center"/>
          </w:tcPr>
          <w:p w14:paraId="5C0C2085">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资历及近期承担主要工作情况</w:t>
            </w:r>
          </w:p>
        </w:tc>
      </w:tr>
      <w:tr w14:paraId="5638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26CB1CED">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1</w:t>
            </w:r>
          </w:p>
        </w:tc>
        <w:tc>
          <w:tcPr>
            <w:tcW w:w="1606" w:type="dxa"/>
            <w:noWrap w:val="0"/>
            <w:vAlign w:val="center"/>
          </w:tcPr>
          <w:p w14:paraId="4D6A7C79">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1B62B4E4">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797F04D8">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12FCCD15">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1988AFB1">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44CE15DB">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5DDB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16D2C4D2">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2</w:t>
            </w:r>
          </w:p>
        </w:tc>
        <w:tc>
          <w:tcPr>
            <w:tcW w:w="1606" w:type="dxa"/>
            <w:noWrap w:val="0"/>
            <w:vAlign w:val="center"/>
          </w:tcPr>
          <w:p w14:paraId="73679AB1">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7B224B5A">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2BA0D53D">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37665C3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03AA003B">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78B05817">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4E07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7B5F78E0">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3</w:t>
            </w:r>
          </w:p>
        </w:tc>
        <w:tc>
          <w:tcPr>
            <w:tcW w:w="1606" w:type="dxa"/>
            <w:noWrap w:val="0"/>
            <w:vAlign w:val="center"/>
          </w:tcPr>
          <w:p w14:paraId="699195D6">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10201B93">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31F9FACF">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282537BF">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33DF7B4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66DB6E19">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1D61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1D8EEF75">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4</w:t>
            </w:r>
          </w:p>
        </w:tc>
        <w:tc>
          <w:tcPr>
            <w:tcW w:w="1606" w:type="dxa"/>
            <w:noWrap w:val="0"/>
            <w:vAlign w:val="center"/>
          </w:tcPr>
          <w:p w14:paraId="1AA80A7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1A17A3D7">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566559EF">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261BDA5B">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1124FA7F">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4E483295">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075B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49" w:type="dxa"/>
            <w:noWrap w:val="0"/>
            <w:vAlign w:val="center"/>
          </w:tcPr>
          <w:p w14:paraId="52251D9B">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5</w:t>
            </w:r>
          </w:p>
        </w:tc>
        <w:tc>
          <w:tcPr>
            <w:tcW w:w="1606" w:type="dxa"/>
            <w:noWrap w:val="0"/>
            <w:vAlign w:val="center"/>
          </w:tcPr>
          <w:p w14:paraId="37D308B6">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27613FD5">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054ACCC0">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46DE7727">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07536328">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7F7EDEDC">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6227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49" w:type="dxa"/>
            <w:noWrap w:val="0"/>
            <w:vAlign w:val="center"/>
          </w:tcPr>
          <w:p w14:paraId="4A783A75">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r>
              <w:rPr>
                <w:rFonts w:hint="eastAsia" w:ascii="宋体" w:hAnsi="宋体" w:eastAsia="宋体" w:cs="宋体"/>
                <w:b w:val="0"/>
                <w:bCs/>
                <w:color w:val="auto"/>
                <w:spacing w:val="0"/>
                <w:w w:val="100"/>
                <w:sz w:val="24"/>
                <w:szCs w:val="24"/>
                <w:highlight w:val="none"/>
              </w:rPr>
              <w:t>…</w:t>
            </w:r>
          </w:p>
        </w:tc>
        <w:tc>
          <w:tcPr>
            <w:tcW w:w="1606" w:type="dxa"/>
            <w:noWrap w:val="0"/>
            <w:vAlign w:val="center"/>
          </w:tcPr>
          <w:p w14:paraId="7D4CEE71">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2708F76C">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51EF076B">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466CE408">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7BEC28D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0A4693D0">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5ABB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49" w:type="dxa"/>
            <w:noWrap w:val="0"/>
            <w:vAlign w:val="center"/>
          </w:tcPr>
          <w:p w14:paraId="0A441EE8">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p>
        </w:tc>
        <w:tc>
          <w:tcPr>
            <w:tcW w:w="1606" w:type="dxa"/>
            <w:noWrap w:val="0"/>
            <w:vAlign w:val="center"/>
          </w:tcPr>
          <w:p w14:paraId="3739D98A">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683451EA">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11010C39">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1AAA3ACE">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714E68D9">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3A9D9F0E">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2F1A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49" w:type="dxa"/>
            <w:noWrap w:val="0"/>
            <w:vAlign w:val="center"/>
          </w:tcPr>
          <w:p w14:paraId="756BC8D6">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p>
        </w:tc>
        <w:tc>
          <w:tcPr>
            <w:tcW w:w="1606" w:type="dxa"/>
            <w:noWrap w:val="0"/>
            <w:vAlign w:val="center"/>
          </w:tcPr>
          <w:p w14:paraId="101FF16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5B73A422">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21DAE603">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2802FF36">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294EF9E8">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1A619846">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r w14:paraId="24B3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49" w:type="dxa"/>
            <w:noWrap w:val="0"/>
            <w:vAlign w:val="center"/>
          </w:tcPr>
          <w:p w14:paraId="432B3FFA">
            <w:pPr>
              <w:keepNext w:val="0"/>
              <w:keepLines w:val="0"/>
              <w:pageBreakBefore w:val="0"/>
              <w:widowControl w:val="0"/>
              <w:kinsoku/>
              <w:overflowPunct/>
              <w:topLinePunct w:val="0"/>
              <w:bidi w:val="0"/>
              <w:jc w:val="center"/>
              <w:rPr>
                <w:rFonts w:hint="eastAsia" w:ascii="宋体" w:hAnsi="宋体" w:eastAsia="宋体" w:cs="宋体"/>
                <w:b w:val="0"/>
                <w:bCs/>
                <w:color w:val="auto"/>
                <w:spacing w:val="0"/>
                <w:w w:val="100"/>
                <w:sz w:val="24"/>
                <w:szCs w:val="24"/>
                <w:highlight w:val="none"/>
              </w:rPr>
            </w:pPr>
          </w:p>
        </w:tc>
        <w:tc>
          <w:tcPr>
            <w:tcW w:w="1606" w:type="dxa"/>
            <w:noWrap w:val="0"/>
            <w:vAlign w:val="center"/>
          </w:tcPr>
          <w:p w14:paraId="7303145B">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69" w:type="dxa"/>
            <w:noWrap w:val="0"/>
            <w:vAlign w:val="center"/>
          </w:tcPr>
          <w:p w14:paraId="20CD5AD0">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981" w:type="dxa"/>
            <w:noWrap w:val="0"/>
            <w:vAlign w:val="center"/>
          </w:tcPr>
          <w:p w14:paraId="02AE8FF1">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195" w:type="dxa"/>
            <w:noWrap w:val="0"/>
            <w:vAlign w:val="center"/>
          </w:tcPr>
          <w:p w14:paraId="2320032D">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1471" w:type="dxa"/>
            <w:noWrap w:val="0"/>
            <w:vAlign w:val="center"/>
          </w:tcPr>
          <w:p w14:paraId="760E90C5">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c>
          <w:tcPr>
            <w:tcW w:w="2366" w:type="dxa"/>
            <w:noWrap w:val="0"/>
            <w:vAlign w:val="center"/>
          </w:tcPr>
          <w:p w14:paraId="43BDA42F">
            <w:pPr>
              <w:keepNext w:val="0"/>
              <w:keepLines w:val="0"/>
              <w:pageBreakBefore w:val="0"/>
              <w:widowControl w:val="0"/>
              <w:kinsoku/>
              <w:overflowPunct/>
              <w:topLinePunct w:val="0"/>
              <w:bidi w:val="0"/>
              <w:rPr>
                <w:rFonts w:hint="eastAsia" w:ascii="宋体" w:hAnsi="宋体" w:eastAsia="宋体" w:cs="宋体"/>
                <w:b w:val="0"/>
                <w:bCs/>
                <w:color w:val="auto"/>
                <w:spacing w:val="0"/>
                <w:w w:val="100"/>
                <w:sz w:val="24"/>
                <w:szCs w:val="24"/>
                <w:highlight w:val="none"/>
              </w:rPr>
            </w:pPr>
          </w:p>
        </w:tc>
      </w:tr>
    </w:tbl>
    <w:p w14:paraId="7CB46CDF">
      <w:pPr>
        <w:pStyle w:val="22"/>
        <w:keepNext w:val="0"/>
        <w:keepLines w:val="0"/>
        <w:pageBreakBefore w:val="0"/>
        <w:widowControl w:val="0"/>
        <w:kinsoku/>
        <w:wordWrap w:val="0"/>
        <w:overflowPunct/>
        <w:topLinePunct w:val="0"/>
        <w:autoSpaceDE/>
        <w:autoSpaceDN/>
        <w:bidi w:val="0"/>
        <w:adjustRightInd/>
        <w:snapToGrid/>
        <w:spacing w:line="480" w:lineRule="exact"/>
        <w:ind w:left="0" w:hanging="480" w:hangingChars="200"/>
        <w:jc w:val="both"/>
        <w:textAlignment w:val="auto"/>
        <w:rPr>
          <w:rFonts w:hint="eastAsia" w:ascii="宋体" w:hAnsi="宋体" w:eastAsia="宋体" w:cs="宋体"/>
          <w:b w:val="0"/>
          <w:bCs/>
          <w:color w:val="auto"/>
          <w:spacing w:val="0"/>
          <w:w w:val="100"/>
          <w:sz w:val="24"/>
          <w:szCs w:val="24"/>
          <w:highlight w:val="none"/>
          <w:lang w:eastAsia="zh-CN"/>
        </w:rPr>
      </w:pPr>
      <w:r>
        <w:rPr>
          <w:rFonts w:hint="eastAsia" w:ascii="宋体" w:hAnsi="宋体" w:eastAsia="宋体" w:cs="宋体"/>
          <w:b w:val="0"/>
          <w:bCs/>
          <w:color w:val="auto"/>
          <w:spacing w:val="0"/>
          <w:w w:val="100"/>
          <w:sz w:val="24"/>
          <w:szCs w:val="24"/>
          <w:highlight w:val="none"/>
        </w:rPr>
        <w:t>注：</w:t>
      </w:r>
      <w:r>
        <w:rPr>
          <w:rFonts w:hint="eastAsia" w:ascii="宋体" w:hAnsi="宋体" w:eastAsia="宋体" w:cs="宋体"/>
          <w:b w:val="0"/>
          <w:bCs/>
          <w:color w:val="auto"/>
          <w:spacing w:val="0"/>
          <w:w w:val="100"/>
          <w:sz w:val="24"/>
          <w:szCs w:val="24"/>
          <w:highlight w:val="none"/>
          <w:lang w:val="en-US" w:eastAsia="zh-CN"/>
        </w:rPr>
        <w:t>1、</w:t>
      </w:r>
      <w:r>
        <w:rPr>
          <w:rFonts w:hint="eastAsia" w:ascii="宋体" w:hAnsi="宋体" w:eastAsia="宋体" w:cs="宋体"/>
          <w:b w:val="0"/>
          <w:bCs/>
          <w:color w:val="auto"/>
          <w:spacing w:val="0"/>
          <w:w w:val="100"/>
          <w:sz w:val="24"/>
          <w:szCs w:val="24"/>
          <w:highlight w:val="none"/>
        </w:rPr>
        <w:t>若成交，以上列入的所有人员将成为本项目指定成员，若要更换人员的必须经采购人同意，擅自更换或配备不到位均属违约行为</w:t>
      </w:r>
      <w:r>
        <w:rPr>
          <w:rFonts w:hint="eastAsia" w:ascii="宋体" w:hAnsi="宋体" w:eastAsia="宋体" w:cs="宋体"/>
          <w:b w:val="0"/>
          <w:bCs/>
          <w:color w:val="auto"/>
          <w:spacing w:val="0"/>
          <w:w w:val="100"/>
          <w:sz w:val="24"/>
          <w:szCs w:val="24"/>
          <w:highlight w:val="none"/>
          <w:lang w:eastAsia="zh-CN"/>
        </w:rPr>
        <w:t>；</w:t>
      </w:r>
    </w:p>
    <w:p w14:paraId="328FF769">
      <w:pPr>
        <w:pStyle w:val="22"/>
        <w:keepNext w:val="0"/>
        <w:keepLines w:val="0"/>
        <w:pageBreakBefore w:val="0"/>
        <w:widowControl w:val="0"/>
        <w:kinsoku/>
        <w:wordWrap w:val="0"/>
        <w:overflowPunct/>
        <w:topLinePunct w:val="0"/>
        <w:autoSpaceDE/>
        <w:autoSpaceDN/>
        <w:bidi w:val="0"/>
        <w:adjustRightInd/>
        <w:snapToGrid/>
        <w:spacing w:line="480" w:lineRule="exact"/>
        <w:ind w:left="0" w:firstLine="480" w:firstLineChars="200"/>
        <w:jc w:val="both"/>
        <w:textAlignment w:val="auto"/>
        <w:rPr>
          <w:rFonts w:hint="eastAsia" w:ascii="宋体" w:hAnsi="宋体" w:eastAsia="宋体" w:cs="宋体"/>
          <w:b w:val="0"/>
          <w:bCs/>
          <w:color w:val="auto"/>
          <w:spacing w:val="0"/>
          <w:w w:val="100"/>
          <w:sz w:val="21"/>
          <w:szCs w:val="21"/>
          <w:highlight w:val="none"/>
          <w:lang w:eastAsia="zh-CN"/>
        </w:rPr>
      </w:pPr>
      <w:r>
        <w:rPr>
          <w:rFonts w:hint="eastAsia" w:ascii="宋体" w:hAnsi="宋体" w:eastAsia="宋体" w:cs="宋体"/>
          <w:b w:val="0"/>
          <w:bCs/>
          <w:color w:val="auto"/>
          <w:spacing w:val="0"/>
          <w:w w:val="100"/>
          <w:sz w:val="24"/>
          <w:szCs w:val="24"/>
          <w:highlight w:val="none"/>
          <w:lang w:val="en-US" w:eastAsia="zh-CN"/>
        </w:rPr>
        <w:t>2</w:t>
      </w:r>
      <w:r>
        <w:rPr>
          <w:rFonts w:hint="eastAsia" w:ascii="宋体" w:hAnsi="宋体" w:eastAsia="宋体" w:cs="宋体"/>
          <w:b w:val="0"/>
          <w:bCs/>
          <w:color w:val="auto"/>
          <w:spacing w:val="0"/>
          <w:w w:val="100"/>
          <w:sz w:val="24"/>
          <w:szCs w:val="24"/>
          <w:highlight w:val="none"/>
        </w:rPr>
        <w:t>、</w:t>
      </w:r>
      <w:r>
        <w:rPr>
          <w:rFonts w:hint="eastAsia" w:ascii="宋体" w:hAnsi="宋体" w:eastAsia="宋体" w:cs="宋体"/>
          <w:b w:val="0"/>
          <w:bCs/>
          <w:color w:val="000000"/>
          <w:sz w:val="24"/>
          <w:szCs w:val="24"/>
          <w:highlight w:val="none"/>
        </w:rPr>
        <w:t>相关人员证书及其在供应商单位缴纳的近3个月（2024年</w:t>
      </w:r>
      <w:r>
        <w:rPr>
          <w:rFonts w:hint="eastAsia" w:ascii="宋体" w:hAnsi="宋体" w:eastAsia="宋体" w:cs="宋体"/>
          <w:b w:val="0"/>
          <w:bCs/>
          <w:color w:val="000000"/>
          <w:sz w:val="24"/>
          <w:szCs w:val="24"/>
          <w:highlight w:val="none"/>
          <w:lang w:val="en-US" w:eastAsia="zh-CN"/>
        </w:rPr>
        <w:t>6</w:t>
      </w:r>
      <w:r>
        <w:rPr>
          <w:rFonts w:hint="eastAsia" w:ascii="宋体" w:hAnsi="宋体" w:eastAsia="宋体" w:cs="宋体"/>
          <w:b w:val="0"/>
          <w:bCs/>
          <w:color w:val="000000"/>
          <w:sz w:val="24"/>
          <w:szCs w:val="24"/>
          <w:highlight w:val="none"/>
        </w:rPr>
        <w:t>月起）的社保证明，否则不得分。</w:t>
      </w:r>
    </w:p>
    <w:p w14:paraId="67A8B25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3D9035A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1947CE5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7B65B58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1B6A5A4C">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3F381CF6">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13ED57EB">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772114C3">
      <w:pP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br w:type="page"/>
      </w:r>
    </w:p>
    <w:p w14:paraId="3FF12498">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7、项目理解及分析</w:t>
      </w:r>
    </w:p>
    <w:p w14:paraId="0DB9293E">
      <w:pPr>
        <w:keepNext w:val="0"/>
        <w:keepLines w:val="0"/>
        <w:pageBreakBefore w:val="0"/>
        <w:widowControl w:val="0"/>
        <w:tabs>
          <w:tab w:val="left" w:pos="1418"/>
        </w:tabs>
        <w:kinsoku/>
        <w:wordWrap/>
        <w:overflowPunct/>
        <w:topLinePunct w:val="0"/>
        <w:autoSpaceDE/>
        <w:autoSpaceDN/>
        <w:bidi w:val="0"/>
        <w:adjustRightInd/>
        <w:snapToGrid/>
        <w:spacing w:line="480" w:lineRule="exact"/>
        <w:ind w:leftChars="0" w:right="0"/>
        <w:textAlignment w:val="auto"/>
        <w:rPr>
          <w:rFonts w:hint="eastAsia" w:ascii="宋体" w:hAnsi="宋体" w:eastAsia="宋体" w:cs="宋体"/>
          <w:color w:val="auto"/>
          <w:spacing w:val="0"/>
          <w:w w:val="100"/>
          <w:sz w:val="22"/>
          <w:szCs w:val="21"/>
          <w:highlight w:val="none"/>
        </w:rPr>
      </w:pPr>
      <w:r>
        <w:rPr>
          <w:rFonts w:hint="eastAsia" w:ascii="宋体" w:hAnsi="宋体" w:eastAsia="宋体" w:cs="宋体"/>
          <w:color w:val="auto"/>
          <w:spacing w:val="0"/>
          <w:w w:val="100"/>
          <w:sz w:val="22"/>
          <w:szCs w:val="21"/>
          <w:highlight w:val="none"/>
          <w:lang w:val="en-US" w:eastAsia="zh-CN"/>
        </w:rPr>
        <w:t>注：1.结合实地情况，</w:t>
      </w:r>
      <w:r>
        <w:rPr>
          <w:rFonts w:hint="eastAsia" w:ascii="宋体" w:hAnsi="宋体" w:eastAsia="宋体" w:cs="宋体"/>
          <w:color w:val="auto"/>
          <w:spacing w:val="0"/>
          <w:w w:val="100"/>
          <w:sz w:val="22"/>
          <w:szCs w:val="21"/>
          <w:highlight w:val="none"/>
        </w:rPr>
        <w:t>供应商须</w:t>
      </w:r>
      <w:r>
        <w:rPr>
          <w:rFonts w:hint="eastAsia" w:ascii="宋体" w:hAnsi="宋体" w:eastAsia="宋体" w:cs="宋体"/>
          <w:color w:val="auto"/>
          <w:sz w:val="22"/>
          <w:szCs w:val="22"/>
          <w:highlight w:val="none"/>
          <w:lang w:val="en-US" w:eastAsia="zh-CN"/>
        </w:rPr>
        <w:t>对本项目的总体任务、工作标准、服务要求的理解及分析进行</w:t>
      </w:r>
      <w:r>
        <w:rPr>
          <w:rFonts w:hint="eastAsia" w:ascii="宋体" w:hAnsi="宋体" w:eastAsia="宋体" w:cs="宋体"/>
          <w:color w:val="auto"/>
          <w:sz w:val="22"/>
          <w:szCs w:val="22"/>
          <w:highlight w:val="none"/>
          <w:lang w:eastAsia="zh-CN"/>
        </w:rPr>
        <w:t>全面性详细描述。</w:t>
      </w:r>
    </w:p>
    <w:p w14:paraId="3B79D753">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firstLine="440" w:firstLineChars="20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2.内容请按第三章内容和第六章要求编制，格式自拟。</w:t>
      </w:r>
    </w:p>
    <w:p w14:paraId="2C2F3C5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ACB9FB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3C0CFF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04EA8E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EA414A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B61A6C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E889DF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1711114">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8、重难点分析及解决措施</w:t>
      </w:r>
    </w:p>
    <w:p w14:paraId="1935279E">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注：1.针对本项目重点、难点问题进行分析。</w:t>
      </w:r>
    </w:p>
    <w:p w14:paraId="468803CA">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firstLine="440" w:firstLineChars="20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2.针对本项目重点、难点问题采取的应对解决措施。</w:t>
      </w:r>
    </w:p>
    <w:p w14:paraId="3BE980A3">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firstLine="440" w:firstLineChars="20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3.内容请按第三章内容和第六章要求编制，格式自拟。</w:t>
      </w:r>
    </w:p>
    <w:p w14:paraId="163D104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1C7D81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1DFB03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3428C56">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BBF896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1DB566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FB1071B">
      <w:pPr>
        <w:pStyle w:val="22"/>
        <w:ind w:left="0" w:leftChars="0" w:firstLine="0" w:firstLineChars="0"/>
        <w:rPr>
          <w:rFonts w:hint="eastAsia" w:ascii="宋体" w:hAnsi="宋体" w:eastAsia="宋体" w:cs="宋体"/>
        </w:rPr>
      </w:pPr>
    </w:p>
    <w:p w14:paraId="16BEBECA">
      <w:pPr>
        <w:pStyle w:val="4"/>
        <w:numPr>
          <w:ilvl w:val="0"/>
          <w:numId w:val="0"/>
        </w:numPr>
        <w:spacing w:before="0" w:after="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9、项目实施方案</w:t>
      </w:r>
    </w:p>
    <w:p w14:paraId="6701B38D">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注：内容请按第三章内容和第六章要求编制，格式自拟。</w:t>
      </w:r>
    </w:p>
    <w:p w14:paraId="1C29B3D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7C7948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040092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A1168E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C4D864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CC3B37E">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5305AA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4307423">
      <w:pPr>
        <w:pStyle w:val="22"/>
        <w:ind w:left="0" w:leftChars="0" w:firstLine="0" w:firstLineChars="0"/>
        <w:rPr>
          <w:rFonts w:hint="eastAsia" w:ascii="宋体" w:hAnsi="宋体" w:eastAsia="宋体" w:cs="宋体"/>
        </w:rPr>
      </w:pPr>
    </w:p>
    <w:p w14:paraId="7E1D0DB5">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10、设备投入情况</w:t>
      </w:r>
    </w:p>
    <w:p w14:paraId="6F12A60F">
      <w:pPr>
        <w:keepNext w:val="0"/>
        <w:keepLines w:val="0"/>
        <w:pageBreakBefore w:val="0"/>
        <w:widowControl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lang w:val="en-US" w:eastAsia="zh-CN"/>
        </w:rPr>
      </w:pPr>
      <w:r>
        <w:rPr>
          <w:rFonts w:hint="eastAsia" w:ascii="宋体" w:hAnsi="宋体" w:eastAsia="宋体" w:cs="宋体"/>
          <w:color w:val="auto"/>
          <w:spacing w:val="0"/>
          <w:w w:val="100"/>
          <w:sz w:val="22"/>
          <w:szCs w:val="21"/>
          <w:highlight w:val="none"/>
          <w:lang w:val="en-US" w:eastAsia="zh-CN"/>
        </w:rPr>
        <w:t>注：</w:t>
      </w:r>
      <w:r>
        <w:rPr>
          <w:rFonts w:hint="eastAsia" w:ascii="宋体" w:hAnsi="宋体" w:eastAsia="宋体" w:cs="宋体"/>
          <w:b w:val="0"/>
          <w:bCs/>
          <w:color w:val="auto"/>
          <w:spacing w:val="0"/>
          <w:w w:val="100"/>
          <w:sz w:val="22"/>
          <w:szCs w:val="21"/>
          <w:highlight w:val="none"/>
          <w:lang w:val="en-US" w:eastAsia="zh-CN"/>
        </w:rPr>
        <w:t>内容请按第三章内容和</w:t>
      </w:r>
      <w:r>
        <w:rPr>
          <w:rFonts w:hint="eastAsia" w:ascii="宋体" w:hAnsi="宋体" w:eastAsia="宋体" w:cs="宋体"/>
          <w:color w:val="auto"/>
          <w:spacing w:val="0"/>
          <w:w w:val="100"/>
          <w:sz w:val="22"/>
          <w:szCs w:val="21"/>
          <w:highlight w:val="none"/>
          <w:lang w:val="en-US" w:eastAsia="zh-CN"/>
        </w:rPr>
        <w:t>第六章要求编制，格式自拟。</w:t>
      </w:r>
    </w:p>
    <w:p w14:paraId="4DE79DEB">
      <w:pP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br w:type="page"/>
      </w:r>
    </w:p>
    <w:p w14:paraId="2A38176D">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11、成果档案管理制度</w:t>
      </w:r>
    </w:p>
    <w:p w14:paraId="0CA5A191">
      <w:pPr>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000000"/>
          <w:sz w:val="22"/>
          <w:szCs w:val="22"/>
          <w:highlight w:val="none"/>
          <w:lang w:eastAsia="zh-CN"/>
        </w:rPr>
        <w:t>注：</w:t>
      </w:r>
      <w:r>
        <w:rPr>
          <w:rFonts w:hint="eastAsia" w:ascii="宋体" w:hAnsi="宋体" w:eastAsia="宋体" w:cs="宋体"/>
          <w:color w:val="auto"/>
          <w:spacing w:val="0"/>
          <w:w w:val="100"/>
          <w:sz w:val="22"/>
          <w:szCs w:val="21"/>
          <w:highlight w:val="none"/>
          <w:lang w:val="en-US" w:eastAsia="zh-CN"/>
        </w:rPr>
        <w:t>内容请按第三章内容和第六章要求编制，格式自拟。</w:t>
      </w:r>
    </w:p>
    <w:p w14:paraId="094BBFB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D68239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7879B8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B282A0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4F0B17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8F796F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633028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649CEFA">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12、项目应急保障</w:t>
      </w:r>
    </w:p>
    <w:p w14:paraId="480D9620">
      <w:pPr>
        <w:keepNext w:val="0"/>
        <w:keepLines w:val="0"/>
        <w:pageBreakBefore w:val="0"/>
        <w:widowControl w:val="0"/>
        <w:kinsoku/>
        <w:overflowPunct/>
        <w:topLinePunct w:val="0"/>
        <w:bidi w:val="0"/>
        <w:snapToGrid w:val="0"/>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000000"/>
          <w:sz w:val="22"/>
          <w:szCs w:val="22"/>
          <w:highlight w:val="none"/>
          <w:lang w:eastAsia="zh-CN"/>
        </w:rPr>
        <w:t>注：</w:t>
      </w:r>
      <w:r>
        <w:rPr>
          <w:rFonts w:hint="eastAsia" w:ascii="宋体" w:hAnsi="宋体" w:eastAsia="宋体" w:cs="宋体"/>
          <w:color w:val="auto"/>
          <w:spacing w:val="0"/>
          <w:w w:val="100"/>
          <w:sz w:val="22"/>
          <w:szCs w:val="21"/>
          <w:highlight w:val="none"/>
          <w:lang w:val="en-US" w:eastAsia="zh-CN"/>
        </w:rPr>
        <w:t>内容请按第三章内容和第六章要求编制，格式自拟。</w:t>
      </w:r>
    </w:p>
    <w:p w14:paraId="1EBC96A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F9F0D2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3D7479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EF913A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59B886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C953B3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73FE1F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22DFBF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B437AE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3FE0A5D">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13、项目管理制度及考核制度</w:t>
      </w:r>
    </w:p>
    <w:p w14:paraId="0DCAA62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r>
        <w:rPr>
          <w:rFonts w:hint="eastAsia" w:ascii="宋体" w:hAnsi="宋体" w:eastAsia="宋体" w:cs="宋体"/>
          <w:color w:val="000000"/>
          <w:sz w:val="22"/>
          <w:szCs w:val="22"/>
          <w:highlight w:val="none"/>
          <w:lang w:eastAsia="zh-CN"/>
        </w:rPr>
        <w:t>注：</w:t>
      </w:r>
      <w:r>
        <w:rPr>
          <w:rFonts w:hint="eastAsia" w:ascii="宋体" w:hAnsi="宋体" w:eastAsia="宋体" w:cs="宋体"/>
          <w:color w:val="000000"/>
          <w:sz w:val="22"/>
          <w:szCs w:val="22"/>
          <w:highlight w:val="none"/>
          <w:lang w:val="en-US" w:eastAsia="zh-CN"/>
        </w:rPr>
        <w:t>1.</w:t>
      </w:r>
      <w:r>
        <w:rPr>
          <w:rFonts w:hint="eastAsia" w:ascii="宋体" w:hAnsi="宋体" w:eastAsia="宋体" w:cs="宋体"/>
          <w:color w:val="000000"/>
          <w:sz w:val="22"/>
          <w:szCs w:val="22"/>
          <w:highlight w:val="none"/>
        </w:rPr>
        <w:t>提供项目管理制度及考核</w:t>
      </w:r>
      <w:r>
        <w:rPr>
          <w:rFonts w:hint="eastAsia" w:ascii="宋体" w:hAnsi="宋体" w:eastAsia="宋体" w:cs="宋体"/>
          <w:color w:val="000000"/>
          <w:sz w:val="22"/>
          <w:szCs w:val="22"/>
          <w:highlight w:val="none"/>
          <w:lang w:eastAsia="zh-CN"/>
        </w:rPr>
        <w:t>制度</w:t>
      </w:r>
    </w:p>
    <w:p w14:paraId="0449C519">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firstLine="440" w:firstLineChars="20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2.内容请按第三章内容和第六章要求编制，格式自拟。</w:t>
      </w:r>
    </w:p>
    <w:p w14:paraId="1E2546A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57F7D9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7D077C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6E10C2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0F0150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30C531E">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52BB4F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6B92E6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A10845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597C96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B616E34">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14、进度计划安排</w:t>
      </w:r>
    </w:p>
    <w:p w14:paraId="06D039A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r>
        <w:rPr>
          <w:rFonts w:hint="eastAsia" w:ascii="宋体" w:hAnsi="宋体" w:eastAsia="宋体" w:cs="宋体"/>
          <w:color w:val="000000"/>
          <w:sz w:val="22"/>
          <w:szCs w:val="22"/>
          <w:highlight w:val="none"/>
          <w:lang w:eastAsia="zh-CN"/>
        </w:rPr>
        <w:t>注：</w:t>
      </w:r>
      <w:r>
        <w:rPr>
          <w:rFonts w:hint="eastAsia" w:ascii="宋体" w:hAnsi="宋体" w:eastAsia="宋体" w:cs="宋体"/>
          <w:color w:val="000000"/>
          <w:sz w:val="22"/>
          <w:szCs w:val="22"/>
          <w:highlight w:val="none"/>
          <w:lang w:val="en-US" w:eastAsia="zh-CN"/>
        </w:rPr>
        <w:t>1.</w:t>
      </w:r>
      <w:r>
        <w:rPr>
          <w:rFonts w:hint="eastAsia" w:ascii="宋体" w:hAnsi="宋体" w:eastAsia="宋体" w:cs="宋体"/>
          <w:color w:val="000000"/>
          <w:sz w:val="22"/>
          <w:szCs w:val="22"/>
          <w:highlight w:val="none"/>
          <w:lang w:eastAsia="zh-CN"/>
        </w:rPr>
        <w:t>制定</w:t>
      </w:r>
      <w:r>
        <w:rPr>
          <w:rFonts w:hint="eastAsia" w:ascii="宋体" w:hAnsi="宋体" w:eastAsia="宋体" w:cs="宋体"/>
          <w:color w:val="000000"/>
          <w:sz w:val="22"/>
          <w:szCs w:val="22"/>
          <w:highlight w:val="none"/>
        </w:rPr>
        <w:t>进度计划</w:t>
      </w:r>
      <w:r>
        <w:rPr>
          <w:rFonts w:hint="eastAsia" w:ascii="宋体" w:hAnsi="宋体" w:eastAsia="宋体" w:cs="宋体"/>
          <w:color w:val="000000"/>
          <w:sz w:val="22"/>
          <w:szCs w:val="22"/>
          <w:highlight w:val="none"/>
          <w:lang w:eastAsia="zh-CN"/>
        </w:rPr>
        <w:t>安排</w:t>
      </w:r>
    </w:p>
    <w:p w14:paraId="38888A74">
      <w:pPr>
        <w:keepNext w:val="0"/>
        <w:keepLines w:val="0"/>
        <w:pageBreakBefore w:val="0"/>
        <w:widowControl w:val="0"/>
        <w:tabs>
          <w:tab w:val="left" w:pos="1418"/>
        </w:tabs>
        <w:kinsoku/>
        <w:wordWrap/>
        <w:overflowPunct/>
        <w:topLinePunct w:val="0"/>
        <w:autoSpaceDE/>
        <w:autoSpaceDN/>
        <w:bidi w:val="0"/>
        <w:adjustRightInd/>
        <w:snapToGrid/>
        <w:spacing w:line="480" w:lineRule="exact"/>
        <w:ind w:right="0" w:firstLine="440" w:firstLineChars="200"/>
        <w:textAlignment w:val="auto"/>
        <w:rPr>
          <w:rFonts w:hint="eastAsia" w:ascii="宋体" w:hAnsi="宋体" w:eastAsia="宋体" w:cs="宋体"/>
          <w:color w:val="auto"/>
          <w:spacing w:val="0"/>
          <w:w w:val="100"/>
          <w:sz w:val="22"/>
          <w:szCs w:val="21"/>
          <w:highlight w:val="none"/>
          <w:lang w:val="en-US" w:eastAsia="zh-CN"/>
        </w:rPr>
      </w:pPr>
      <w:r>
        <w:rPr>
          <w:rFonts w:hint="eastAsia" w:ascii="宋体" w:hAnsi="宋体" w:eastAsia="宋体" w:cs="宋体"/>
          <w:color w:val="auto"/>
          <w:spacing w:val="0"/>
          <w:w w:val="100"/>
          <w:sz w:val="22"/>
          <w:szCs w:val="21"/>
          <w:highlight w:val="none"/>
          <w:lang w:val="en-US" w:eastAsia="zh-CN"/>
        </w:rPr>
        <w:t>2.内容请按第三章内容和第六章要求编制，格式自拟。</w:t>
      </w:r>
    </w:p>
    <w:p w14:paraId="694FC9EE">
      <w:pP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br w:type="page"/>
      </w:r>
    </w:p>
    <w:p w14:paraId="6F9C9C11">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15、样地、样线布设</w:t>
      </w:r>
    </w:p>
    <w:p w14:paraId="33387F8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r>
        <w:rPr>
          <w:rFonts w:hint="eastAsia" w:ascii="宋体" w:hAnsi="宋体" w:eastAsia="宋体" w:cs="宋体"/>
          <w:color w:val="auto"/>
          <w:spacing w:val="0"/>
          <w:w w:val="100"/>
          <w:sz w:val="22"/>
          <w:szCs w:val="21"/>
          <w:highlight w:val="none"/>
          <w:lang w:val="en-US" w:eastAsia="zh-CN"/>
        </w:rPr>
        <w:t>注：内容请按第三章内容和第六章要求编制，格式自拟</w:t>
      </w:r>
    </w:p>
    <w:p w14:paraId="4CE3CB5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B63FCB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E13D86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EF7C99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DD2733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82F4611">
      <w:pPr>
        <w:pStyle w:val="22"/>
        <w:ind w:left="0" w:leftChars="0" w:firstLine="0" w:firstLineChars="0"/>
        <w:rPr>
          <w:rFonts w:hint="eastAsia" w:ascii="宋体" w:hAnsi="宋体" w:eastAsia="宋体" w:cs="宋体"/>
        </w:rPr>
      </w:pPr>
    </w:p>
    <w:p w14:paraId="4E7B7470">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16、安全保障措施</w:t>
      </w:r>
    </w:p>
    <w:p w14:paraId="6893420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r>
        <w:rPr>
          <w:rFonts w:hint="eastAsia" w:ascii="宋体" w:hAnsi="宋体" w:eastAsia="宋体" w:cs="宋体"/>
          <w:color w:val="auto"/>
          <w:spacing w:val="0"/>
          <w:w w:val="100"/>
          <w:sz w:val="22"/>
          <w:szCs w:val="21"/>
          <w:highlight w:val="none"/>
          <w:lang w:val="en-US" w:eastAsia="zh-CN"/>
        </w:rPr>
        <w:t>注：内容请按第三章内容和第六章要求编制，格式自拟</w:t>
      </w:r>
    </w:p>
    <w:p w14:paraId="48160AA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A14859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582980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4B25B9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FE104D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DADE5B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3E9C30D">
      <w:pPr>
        <w:pStyle w:val="22"/>
        <w:ind w:left="0" w:leftChars="0" w:firstLine="0" w:firstLineChars="0"/>
        <w:rPr>
          <w:rFonts w:hint="eastAsia" w:ascii="宋体" w:hAnsi="宋体" w:eastAsia="宋体" w:cs="宋体"/>
        </w:rPr>
      </w:pPr>
    </w:p>
    <w:p w14:paraId="6091D87D">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17、保密制度和措施</w:t>
      </w:r>
    </w:p>
    <w:p w14:paraId="03F4A433">
      <w:pPr>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color w:val="auto"/>
          <w:kern w:val="2"/>
          <w:sz w:val="22"/>
          <w:szCs w:val="22"/>
          <w:highlight w:val="none"/>
          <w:lang w:val="en-US" w:eastAsia="zh-CN" w:bidi="ar-SA"/>
        </w:rPr>
        <w:t>注：1.针对本项目工作制定的具体保密措施；</w:t>
      </w:r>
    </w:p>
    <w:p w14:paraId="34DA3B4A">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color w:val="auto"/>
          <w:sz w:val="22"/>
          <w:szCs w:val="22"/>
          <w:highlight w:val="none"/>
          <w:lang w:val="en-US" w:eastAsia="zh-CN"/>
        </w:rPr>
        <w:t>2.内容请按第三章内容和第六章要求编制，格式自拟。</w:t>
      </w:r>
    </w:p>
    <w:p w14:paraId="0EF8890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D940B3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3242C60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85AC63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218FF0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E00EE7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8CDBCA6">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74C08839">
      <w:pPr>
        <w:pStyle w:val="22"/>
        <w:ind w:left="0" w:leftChars="0" w:firstLine="0" w:firstLineChars="0"/>
        <w:rPr>
          <w:rFonts w:hint="eastAsia" w:ascii="宋体" w:hAnsi="宋体" w:eastAsia="宋体" w:cs="宋体"/>
        </w:rPr>
      </w:pPr>
    </w:p>
    <w:p w14:paraId="00745ED0">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18、服务承诺</w:t>
      </w:r>
    </w:p>
    <w:p w14:paraId="0F1B7F18">
      <w:pPr>
        <w:keepNext w:val="0"/>
        <w:keepLines w:val="0"/>
        <w:pageBreakBefore w:val="0"/>
        <w:widowControl w:val="0"/>
        <w:kinsoku/>
        <w:wordWrap/>
        <w:overflowPunct/>
        <w:topLinePunct w:val="0"/>
        <w:autoSpaceDE/>
        <w:autoSpaceDN/>
        <w:bidi w:val="0"/>
        <w:adjustRightInd/>
        <w:snapToGrid w:val="0"/>
        <w:spacing w:line="48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sz w:val="22"/>
          <w:szCs w:val="22"/>
          <w:highlight w:val="none"/>
          <w:lang w:eastAsia="zh-CN"/>
        </w:rPr>
        <w:t>注：</w:t>
      </w:r>
      <w:r>
        <w:rPr>
          <w:rFonts w:hint="eastAsia" w:ascii="宋体" w:hAnsi="宋体" w:eastAsia="宋体" w:cs="宋体"/>
          <w:color w:val="auto"/>
          <w:sz w:val="22"/>
          <w:szCs w:val="22"/>
          <w:highlight w:val="none"/>
          <w:lang w:val="en-US" w:eastAsia="zh-CN"/>
        </w:rPr>
        <w:t>内容请按第三章内容和第六章要求编制，格式自拟。</w:t>
      </w:r>
    </w:p>
    <w:p w14:paraId="58E6649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481AAE7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15289AB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57DF759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6423130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bookmarkStart w:id="254" w:name="_GoBack"/>
      <w:bookmarkEnd w:id="254"/>
    </w:p>
    <w:p w14:paraId="4F5C5D2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085EB5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056D54A0">
      <w:pPr>
        <w:pStyle w:val="22"/>
        <w:ind w:left="0" w:leftChars="0" w:firstLine="0" w:firstLineChars="0"/>
        <w:rPr>
          <w:rFonts w:hint="eastAsia" w:ascii="宋体" w:hAnsi="宋体" w:eastAsia="宋体" w:cs="宋体"/>
        </w:rPr>
      </w:pPr>
    </w:p>
    <w:p w14:paraId="42106326">
      <w:pPr>
        <w:pStyle w:val="4"/>
        <w:numPr>
          <w:ilvl w:val="0"/>
          <w:numId w:val="0"/>
        </w:numPr>
        <w:spacing w:before="0" w:after="0"/>
        <w:ind w:leftChars="0"/>
        <w:jc w:val="center"/>
        <w:rPr>
          <w:rFonts w:hint="eastAsia" w:ascii="宋体" w:hAnsi="宋体" w:eastAsia="宋体" w:cs="宋体"/>
          <w:b/>
          <w:color w:val="auto"/>
          <w:spacing w:val="0"/>
          <w:w w:val="100"/>
          <w:kern w:val="2"/>
          <w:sz w:val="30"/>
          <w:szCs w:val="22"/>
          <w:highlight w:val="none"/>
          <w:lang w:val="en-US" w:eastAsia="zh-CN" w:bidi="ar-SA"/>
        </w:rPr>
      </w:pPr>
      <w:r>
        <w:rPr>
          <w:rFonts w:hint="eastAsia" w:ascii="宋体" w:hAnsi="宋体" w:eastAsia="宋体" w:cs="宋体"/>
          <w:b/>
          <w:color w:val="auto"/>
          <w:spacing w:val="0"/>
          <w:w w:val="100"/>
          <w:kern w:val="2"/>
          <w:sz w:val="30"/>
          <w:szCs w:val="22"/>
          <w:highlight w:val="none"/>
          <w:lang w:val="en-US" w:eastAsia="zh-CN" w:bidi="ar-SA"/>
        </w:rPr>
        <w:t>19、供应商认为需要提供的或评分办法要求提供的其他资料。</w:t>
      </w:r>
    </w:p>
    <w:p w14:paraId="4654A5EE">
      <w:pPr>
        <w:keepNext w:val="0"/>
        <w:keepLines w:val="0"/>
        <w:pageBreakBefore w:val="0"/>
        <w:widowControl w:val="0"/>
        <w:kinsoku/>
        <w:overflowPunct/>
        <w:topLinePunct w:val="0"/>
        <w:bidi w:val="0"/>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br w:type="page"/>
      </w:r>
    </w:p>
    <w:bookmarkEnd w:id="203"/>
    <w:p w14:paraId="7049DF2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63DBBD80">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58684C2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4D479F0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43765DB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4A9EC9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6D4740B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1F31FEF2">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7D5216D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7715D67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BB4E14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143B450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18790A5D">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5085774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65786656">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076FFD82">
      <w:pPr>
        <w:pStyle w:val="4"/>
        <w:keepNext w:val="0"/>
        <w:keepLines w:val="0"/>
        <w:pageBreakBefore w:val="0"/>
        <w:widowControl w:val="0"/>
        <w:tabs>
          <w:tab w:val="left" w:pos="3405"/>
        </w:tabs>
        <w:kinsoku/>
        <w:overflowPunct/>
        <w:topLinePunct w:val="0"/>
        <w:bidi w:val="0"/>
        <w:ind w:left="0" w:firstLine="0"/>
        <w:jc w:val="center"/>
        <w:rPr>
          <w:rFonts w:hint="eastAsia" w:ascii="宋体" w:hAnsi="宋体" w:eastAsia="宋体" w:cs="宋体"/>
          <w:b/>
          <w:bCs/>
          <w:color w:val="auto"/>
          <w:spacing w:val="0"/>
          <w:w w:val="100"/>
          <w:sz w:val="44"/>
          <w:szCs w:val="24"/>
          <w:highlight w:val="none"/>
        </w:rPr>
      </w:pPr>
      <w:r>
        <w:rPr>
          <w:rFonts w:hint="eastAsia" w:ascii="宋体" w:hAnsi="宋体" w:eastAsia="宋体" w:cs="宋体"/>
          <w:b/>
          <w:bCs/>
          <w:color w:val="auto"/>
          <w:spacing w:val="0"/>
          <w:w w:val="100"/>
          <w:sz w:val="44"/>
          <w:szCs w:val="24"/>
          <w:highlight w:val="none"/>
        </w:rPr>
        <w:t>三  报价文件格式</w:t>
      </w:r>
    </w:p>
    <w:p w14:paraId="2426424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4166BD4A">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3FBF2825">
      <w:pPr>
        <w:keepNext w:val="0"/>
        <w:keepLines w:val="0"/>
        <w:pageBreakBefore w:val="0"/>
        <w:widowControl w:val="0"/>
        <w:kinsoku/>
        <w:overflowPunct/>
        <w:topLinePunct w:val="0"/>
        <w:bidi w:val="0"/>
        <w:rPr>
          <w:rFonts w:hint="eastAsia" w:ascii="宋体" w:hAnsi="宋体" w:eastAsia="宋体" w:cs="宋体"/>
          <w:b/>
          <w:color w:val="auto"/>
          <w:spacing w:val="0"/>
          <w:w w:val="100"/>
          <w:sz w:val="22"/>
          <w:highlight w:val="none"/>
        </w:rPr>
      </w:pPr>
      <w:r>
        <w:rPr>
          <w:rFonts w:hint="eastAsia" w:ascii="宋体" w:hAnsi="宋体" w:eastAsia="宋体" w:cs="宋体"/>
          <w:b/>
          <w:color w:val="auto"/>
          <w:spacing w:val="0"/>
          <w:w w:val="100"/>
          <w:sz w:val="22"/>
          <w:highlight w:val="none"/>
        </w:rPr>
        <w:br w:type="page"/>
      </w:r>
    </w:p>
    <w:p w14:paraId="42AD2E11">
      <w:pPr>
        <w:pStyle w:val="89"/>
        <w:keepNext w:val="0"/>
        <w:keepLines w:val="0"/>
        <w:pageBreakBefore w:val="0"/>
        <w:widowControl w:val="0"/>
        <w:tabs>
          <w:tab w:val="left" w:pos="1344"/>
        </w:tabs>
        <w:kinsoku/>
        <w:overflowPunct/>
        <w:topLinePunct w:val="0"/>
        <w:autoSpaceDE w:val="0"/>
        <w:autoSpaceDN w:val="0"/>
        <w:bidi w:val="0"/>
        <w:spacing w:before="146"/>
        <w:ind w:left="0"/>
        <w:jc w:val="left"/>
        <w:rPr>
          <w:rFonts w:hint="eastAsia" w:ascii="宋体" w:hAnsi="宋体" w:eastAsia="宋体" w:cs="宋体"/>
          <w:b/>
          <w:color w:val="auto"/>
          <w:spacing w:val="0"/>
          <w:w w:val="100"/>
          <w:sz w:val="30"/>
          <w:highlight w:val="none"/>
        </w:rPr>
      </w:pPr>
      <w:r>
        <w:rPr>
          <w:rFonts w:hint="eastAsia" w:ascii="宋体" w:hAnsi="宋体" w:eastAsia="宋体" w:cs="宋体"/>
          <w:b/>
          <w:color w:val="auto"/>
          <w:spacing w:val="0"/>
          <w:w w:val="100"/>
          <w:sz w:val="30"/>
          <w:highlight w:val="none"/>
        </w:rPr>
        <w:t>“报价文件”封面格式</w:t>
      </w:r>
    </w:p>
    <w:p w14:paraId="2C750F4F">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00597C2B">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6B1E8557">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30AE57C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C93FEC9">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b/>
          <w:color w:val="auto"/>
          <w:spacing w:val="0"/>
          <w:w w:val="100"/>
          <w:sz w:val="84"/>
          <w:szCs w:val="84"/>
          <w:highlight w:val="none"/>
        </w:rPr>
      </w:pPr>
      <w:r>
        <w:rPr>
          <w:rFonts w:hint="eastAsia" w:ascii="宋体" w:hAnsi="宋体" w:eastAsia="宋体" w:cs="宋体"/>
          <w:b/>
          <w:color w:val="auto"/>
          <w:spacing w:val="0"/>
          <w:w w:val="100"/>
          <w:sz w:val="84"/>
          <w:szCs w:val="84"/>
          <w:highlight w:val="none"/>
        </w:rPr>
        <w:t>磋商响应文件</w:t>
      </w:r>
    </w:p>
    <w:p w14:paraId="35851B9B">
      <w:pPr>
        <w:keepNext w:val="0"/>
        <w:keepLines w:val="0"/>
        <w:pageBreakBefore w:val="0"/>
        <w:widowControl w:val="0"/>
        <w:kinsoku/>
        <w:overflowPunct/>
        <w:topLinePunct w:val="0"/>
        <w:bidi w:val="0"/>
        <w:spacing w:before="150"/>
        <w:ind w:right="154"/>
        <w:jc w:val="center"/>
        <w:rPr>
          <w:rFonts w:hint="eastAsia" w:ascii="宋体" w:hAnsi="宋体" w:eastAsia="宋体" w:cs="宋体"/>
          <w:b/>
          <w:color w:val="auto"/>
          <w:spacing w:val="0"/>
          <w:w w:val="100"/>
          <w:sz w:val="48"/>
          <w:highlight w:val="none"/>
        </w:rPr>
      </w:pPr>
      <w:r>
        <w:rPr>
          <w:rFonts w:hint="eastAsia" w:ascii="宋体" w:hAnsi="宋体" w:eastAsia="宋体" w:cs="宋体"/>
          <w:b/>
          <w:color w:val="auto"/>
          <w:spacing w:val="0"/>
          <w:w w:val="100"/>
          <w:sz w:val="48"/>
          <w:highlight w:val="none"/>
        </w:rPr>
        <w:t>（报价文件）</w:t>
      </w:r>
    </w:p>
    <w:p w14:paraId="7D6010C9">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2DD6E5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8BC197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2974AA05">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7D162C53">
      <w:pPr>
        <w:keepNext w:val="0"/>
        <w:keepLines w:val="0"/>
        <w:pageBreakBefore w:val="0"/>
        <w:widowControl w:val="0"/>
        <w:kinsoku/>
        <w:overflowPunct/>
        <w:topLinePunct w:val="0"/>
        <w:bidi w:val="0"/>
        <w:rPr>
          <w:rFonts w:hint="eastAsia" w:ascii="宋体" w:hAnsi="宋体" w:eastAsia="宋体" w:cs="宋体"/>
          <w:color w:val="auto"/>
          <w:spacing w:val="0"/>
          <w:w w:val="100"/>
          <w:highlight w:val="none"/>
        </w:rPr>
      </w:pPr>
    </w:p>
    <w:tbl>
      <w:tblPr>
        <w:tblStyle w:val="41"/>
        <w:tblW w:w="7790" w:type="dxa"/>
        <w:jc w:val="center"/>
        <w:tblLayout w:type="fixed"/>
        <w:tblCellMar>
          <w:top w:w="0" w:type="dxa"/>
          <w:left w:w="0" w:type="dxa"/>
          <w:bottom w:w="0" w:type="dxa"/>
          <w:right w:w="0" w:type="dxa"/>
        </w:tblCellMar>
      </w:tblPr>
      <w:tblGrid>
        <w:gridCol w:w="7790"/>
      </w:tblGrid>
      <w:tr w14:paraId="38FC1DAF">
        <w:tblPrEx>
          <w:tblCellMar>
            <w:top w:w="0" w:type="dxa"/>
            <w:left w:w="0" w:type="dxa"/>
            <w:bottom w:w="0" w:type="dxa"/>
            <w:right w:w="0" w:type="dxa"/>
          </w:tblCellMar>
        </w:tblPrEx>
        <w:trPr>
          <w:trHeight w:val="1134" w:hRule="atLeast"/>
          <w:jc w:val="center"/>
        </w:trPr>
        <w:tc>
          <w:tcPr>
            <w:tcW w:w="7790" w:type="dxa"/>
            <w:vAlign w:val="bottom"/>
          </w:tcPr>
          <w:p w14:paraId="268B9C39">
            <w:pPr>
              <w:pStyle w:val="100"/>
              <w:keepNext w:val="0"/>
              <w:keepLines w:val="0"/>
              <w:pageBreakBefore w:val="0"/>
              <w:widowControl w:val="0"/>
              <w:kinsoku/>
              <w:wordWrap/>
              <w:overflowPunct/>
              <w:topLinePunct w:val="0"/>
              <w:autoSpaceDE w:val="0"/>
              <w:autoSpaceDN w:val="0"/>
              <w:bidi w:val="0"/>
              <w:adjustRightInd/>
              <w:snapToGrid w:val="0"/>
              <w:spacing w:line="240" w:lineRule="auto"/>
              <w:ind w:left="0"/>
              <w:jc w:val="both"/>
              <w:textAlignment w:val="auto"/>
              <w:rPr>
                <w:rFonts w:hint="eastAsia" w:ascii="宋体" w:hAnsi="宋体" w:eastAsia="宋体" w:cs="宋体"/>
                <w:b/>
                <w:color w:val="auto"/>
                <w:spacing w:val="0"/>
                <w:w w:val="100"/>
                <w:sz w:val="28"/>
                <w:highlight w:val="none"/>
                <w:lang w:val="en-US"/>
              </w:rPr>
            </w:pPr>
            <w:r>
              <w:rPr>
                <w:rFonts w:hint="eastAsia" w:ascii="宋体" w:hAnsi="宋体" w:eastAsia="宋体" w:cs="宋体"/>
                <w:b/>
                <w:color w:val="auto"/>
                <w:spacing w:val="0"/>
                <w:w w:val="100"/>
                <w:sz w:val="28"/>
                <w:highlight w:val="none"/>
              </w:rPr>
              <w:t>项目名称：</w:t>
            </w:r>
            <w:r>
              <w:rPr>
                <w:rFonts w:hint="eastAsia" w:ascii="宋体" w:hAnsi="宋体" w:eastAsia="宋体" w:cs="宋体"/>
                <w:b/>
                <w:color w:val="auto"/>
                <w:spacing w:val="0"/>
                <w:w w:val="100"/>
                <w:sz w:val="28"/>
                <w:highlight w:val="none"/>
                <w:u w:val="single"/>
                <w:lang w:val="en-US"/>
              </w:rPr>
              <w:t xml:space="preserve">                                       </w:t>
            </w:r>
          </w:p>
        </w:tc>
      </w:tr>
      <w:tr w14:paraId="3C6DC5E3">
        <w:tblPrEx>
          <w:tblCellMar>
            <w:top w:w="0" w:type="dxa"/>
            <w:left w:w="0" w:type="dxa"/>
            <w:bottom w:w="0" w:type="dxa"/>
            <w:right w:w="0" w:type="dxa"/>
          </w:tblCellMar>
        </w:tblPrEx>
        <w:trPr>
          <w:trHeight w:val="1134" w:hRule="atLeast"/>
          <w:jc w:val="center"/>
        </w:trPr>
        <w:tc>
          <w:tcPr>
            <w:tcW w:w="7790" w:type="dxa"/>
            <w:vAlign w:val="bottom"/>
          </w:tcPr>
          <w:p w14:paraId="4B313552">
            <w:pPr>
              <w:pStyle w:val="100"/>
              <w:keepNext w:val="0"/>
              <w:keepLines w:val="0"/>
              <w:pageBreakBefore w:val="0"/>
              <w:widowControl w:val="0"/>
              <w:kinsoku/>
              <w:wordWrap/>
              <w:overflowPunct/>
              <w:topLinePunct w:val="0"/>
              <w:autoSpaceDE w:val="0"/>
              <w:autoSpaceDN w:val="0"/>
              <w:bidi w:val="0"/>
              <w:adjustRightInd/>
              <w:snapToGrid w:val="0"/>
              <w:spacing w:line="240" w:lineRule="auto"/>
              <w:ind w:left="0"/>
              <w:jc w:val="both"/>
              <w:textAlignment w:val="auto"/>
              <w:rPr>
                <w:rFonts w:hint="eastAsia" w:ascii="宋体" w:hAnsi="宋体" w:eastAsia="宋体" w:cs="宋体"/>
                <w:b/>
                <w:color w:val="auto"/>
                <w:spacing w:val="0"/>
                <w:w w:val="100"/>
                <w:sz w:val="28"/>
                <w:highlight w:val="none"/>
              </w:rPr>
            </w:pPr>
            <w:r>
              <w:rPr>
                <w:rFonts w:hint="eastAsia" w:ascii="宋体" w:hAnsi="宋体" w:eastAsia="宋体" w:cs="宋体"/>
                <w:b/>
                <w:color w:val="auto"/>
                <w:spacing w:val="0"/>
                <w:w w:val="100"/>
                <w:sz w:val="28"/>
                <w:highlight w:val="none"/>
              </w:rPr>
              <w:t>项目编号：</w:t>
            </w:r>
            <w:r>
              <w:rPr>
                <w:rFonts w:hint="eastAsia" w:ascii="宋体" w:hAnsi="宋体" w:eastAsia="宋体" w:cs="宋体"/>
                <w:b/>
                <w:color w:val="auto"/>
                <w:spacing w:val="0"/>
                <w:w w:val="100"/>
                <w:sz w:val="28"/>
                <w:highlight w:val="none"/>
                <w:u w:val="single"/>
                <w:lang w:val="en-US"/>
              </w:rPr>
              <w:t xml:space="preserve">                                       </w:t>
            </w:r>
          </w:p>
        </w:tc>
      </w:tr>
      <w:tr w14:paraId="71F23DDE">
        <w:tblPrEx>
          <w:tblCellMar>
            <w:top w:w="0" w:type="dxa"/>
            <w:left w:w="0" w:type="dxa"/>
            <w:bottom w:w="0" w:type="dxa"/>
            <w:right w:w="0" w:type="dxa"/>
          </w:tblCellMar>
        </w:tblPrEx>
        <w:trPr>
          <w:trHeight w:val="1134" w:hRule="atLeast"/>
          <w:jc w:val="center"/>
        </w:trPr>
        <w:tc>
          <w:tcPr>
            <w:tcW w:w="7790" w:type="dxa"/>
            <w:vAlign w:val="bottom"/>
          </w:tcPr>
          <w:p w14:paraId="6255E513">
            <w:pPr>
              <w:pStyle w:val="100"/>
              <w:keepNext w:val="0"/>
              <w:keepLines w:val="0"/>
              <w:pageBreakBefore w:val="0"/>
              <w:widowControl w:val="0"/>
              <w:tabs>
                <w:tab w:val="left" w:pos="8323"/>
              </w:tabs>
              <w:kinsoku/>
              <w:wordWrap/>
              <w:overflowPunct/>
              <w:topLinePunct w:val="0"/>
              <w:autoSpaceDE w:val="0"/>
              <w:autoSpaceDN w:val="0"/>
              <w:bidi w:val="0"/>
              <w:adjustRightInd/>
              <w:snapToGrid w:val="0"/>
              <w:spacing w:line="240" w:lineRule="auto"/>
              <w:ind w:left="0"/>
              <w:jc w:val="both"/>
              <w:textAlignment w:val="auto"/>
              <w:rPr>
                <w:rFonts w:hint="eastAsia" w:ascii="宋体" w:hAnsi="宋体" w:eastAsia="宋体" w:cs="宋体"/>
                <w:color w:val="auto"/>
                <w:spacing w:val="0"/>
                <w:w w:val="100"/>
                <w:sz w:val="28"/>
                <w:highlight w:val="none"/>
              </w:rPr>
            </w:pPr>
            <w:r>
              <w:rPr>
                <w:rFonts w:hint="eastAsia" w:ascii="宋体" w:hAnsi="宋体" w:eastAsia="宋体" w:cs="宋体"/>
                <w:color w:val="auto"/>
                <w:spacing w:val="0"/>
                <w:w w:val="100"/>
                <w:sz w:val="28"/>
                <w:highlight w:val="none"/>
              </w:rPr>
              <w:t>磋商供应商名称</w:t>
            </w:r>
            <w:r>
              <w:rPr>
                <w:rFonts w:hint="eastAsia" w:ascii="宋体" w:hAnsi="宋体" w:eastAsia="宋体" w:cs="宋体"/>
                <w:color w:val="auto"/>
                <w:spacing w:val="0"/>
                <w:w w:val="100"/>
                <w:sz w:val="28"/>
                <w:highlight w:val="none"/>
                <w:lang w:eastAsia="zh-CN"/>
              </w:rPr>
              <w:t>（</w:t>
            </w:r>
            <w:r>
              <w:rPr>
                <w:rFonts w:hint="eastAsia" w:ascii="宋体" w:hAnsi="宋体" w:eastAsia="宋体" w:cs="宋体"/>
                <w:color w:val="auto"/>
                <w:spacing w:val="0"/>
                <w:w w:val="100"/>
                <w:sz w:val="32"/>
                <w:szCs w:val="32"/>
                <w:highlight w:val="none"/>
              </w:rPr>
              <w:t>CA签章</w:t>
            </w:r>
            <w:r>
              <w:rPr>
                <w:rFonts w:hint="eastAsia" w:ascii="宋体" w:hAnsi="宋体" w:eastAsia="宋体" w:cs="宋体"/>
                <w:color w:val="auto"/>
                <w:spacing w:val="0"/>
                <w:w w:val="100"/>
                <w:sz w:val="32"/>
                <w:szCs w:val="32"/>
                <w:highlight w:val="none"/>
                <w:lang w:eastAsia="zh-CN"/>
              </w:rPr>
              <w:t>）</w:t>
            </w:r>
            <w:r>
              <w:rPr>
                <w:rFonts w:hint="eastAsia" w:ascii="宋体" w:hAnsi="宋体" w:eastAsia="宋体" w:cs="宋体"/>
                <w:color w:val="auto"/>
                <w:spacing w:val="0"/>
                <w:w w:val="100"/>
                <w:sz w:val="28"/>
                <w:highlight w:val="none"/>
                <w:lang w:val="en-US" w:eastAsia="zh-CN"/>
              </w:rPr>
              <w:t>：</w:t>
            </w:r>
            <w:r>
              <w:rPr>
                <w:rFonts w:hint="eastAsia" w:ascii="宋体" w:hAnsi="宋体" w:eastAsia="宋体" w:cs="宋体"/>
                <w:b/>
                <w:color w:val="auto"/>
                <w:spacing w:val="0"/>
                <w:w w:val="100"/>
                <w:sz w:val="28"/>
                <w:highlight w:val="none"/>
                <w:u w:val="single"/>
                <w:lang w:val="en-US"/>
              </w:rPr>
              <w:t xml:space="preserve">                        </w:t>
            </w:r>
          </w:p>
        </w:tc>
      </w:tr>
      <w:tr w14:paraId="7FAEE4BD">
        <w:tblPrEx>
          <w:tblCellMar>
            <w:top w:w="0" w:type="dxa"/>
            <w:left w:w="0" w:type="dxa"/>
            <w:bottom w:w="0" w:type="dxa"/>
            <w:right w:w="0" w:type="dxa"/>
          </w:tblCellMar>
        </w:tblPrEx>
        <w:trPr>
          <w:trHeight w:val="1134" w:hRule="atLeast"/>
          <w:jc w:val="center"/>
        </w:trPr>
        <w:tc>
          <w:tcPr>
            <w:tcW w:w="7790" w:type="dxa"/>
            <w:vAlign w:val="bottom"/>
          </w:tcPr>
          <w:p w14:paraId="210BED7C">
            <w:pPr>
              <w:pStyle w:val="100"/>
              <w:keepNext w:val="0"/>
              <w:keepLines w:val="0"/>
              <w:pageBreakBefore w:val="0"/>
              <w:widowControl w:val="0"/>
              <w:tabs>
                <w:tab w:val="left" w:pos="8169"/>
              </w:tabs>
              <w:kinsoku/>
              <w:wordWrap/>
              <w:overflowPunct/>
              <w:topLinePunct w:val="0"/>
              <w:autoSpaceDE w:val="0"/>
              <w:autoSpaceDN w:val="0"/>
              <w:bidi w:val="0"/>
              <w:adjustRightInd/>
              <w:snapToGrid w:val="0"/>
              <w:spacing w:line="240" w:lineRule="auto"/>
              <w:ind w:left="0"/>
              <w:jc w:val="both"/>
              <w:textAlignment w:val="auto"/>
              <w:rPr>
                <w:rFonts w:hint="eastAsia" w:ascii="宋体" w:hAnsi="宋体" w:eastAsia="宋体" w:cs="宋体"/>
                <w:color w:val="auto"/>
                <w:spacing w:val="0"/>
                <w:w w:val="100"/>
                <w:sz w:val="22"/>
                <w:highlight w:val="none"/>
                <w:lang w:val="en-US" w:eastAsia="en-US"/>
              </w:rPr>
            </w:pPr>
            <w:r>
              <w:rPr>
                <w:rFonts w:hint="eastAsia" w:ascii="宋体" w:hAnsi="宋体" w:eastAsia="宋体" w:cs="宋体"/>
                <w:color w:val="auto"/>
                <w:spacing w:val="0"/>
                <w:w w:val="100"/>
                <w:sz w:val="28"/>
                <w:highlight w:val="none"/>
                <w:lang w:eastAsia="en-US"/>
              </w:rPr>
              <w:t>磋商供应商地址：</w:t>
            </w:r>
            <w:r>
              <w:rPr>
                <w:rFonts w:hint="eastAsia" w:ascii="宋体" w:hAnsi="宋体" w:eastAsia="宋体" w:cs="宋体"/>
                <w:b/>
                <w:color w:val="auto"/>
                <w:spacing w:val="0"/>
                <w:w w:val="100"/>
                <w:sz w:val="28"/>
                <w:highlight w:val="none"/>
                <w:u w:val="single"/>
                <w:lang w:val="en-US"/>
              </w:rPr>
              <w:t xml:space="preserve">                                 </w:t>
            </w:r>
          </w:p>
        </w:tc>
      </w:tr>
      <w:tr w14:paraId="0E7B3FA7">
        <w:tblPrEx>
          <w:tblCellMar>
            <w:top w:w="0" w:type="dxa"/>
            <w:left w:w="0" w:type="dxa"/>
            <w:bottom w:w="0" w:type="dxa"/>
            <w:right w:w="0" w:type="dxa"/>
          </w:tblCellMar>
        </w:tblPrEx>
        <w:trPr>
          <w:trHeight w:val="1134" w:hRule="atLeast"/>
          <w:jc w:val="center"/>
        </w:trPr>
        <w:tc>
          <w:tcPr>
            <w:tcW w:w="7790" w:type="dxa"/>
            <w:vAlign w:val="bottom"/>
          </w:tcPr>
          <w:p w14:paraId="34ACAF66">
            <w:pPr>
              <w:pStyle w:val="100"/>
              <w:keepNext w:val="0"/>
              <w:keepLines w:val="0"/>
              <w:pageBreakBefore w:val="0"/>
              <w:widowControl w:val="0"/>
              <w:tabs>
                <w:tab w:val="left" w:pos="8150"/>
              </w:tabs>
              <w:kinsoku/>
              <w:wordWrap/>
              <w:overflowPunct/>
              <w:topLinePunct w:val="0"/>
              <w:autoSpaceDE w:val="0"/>
              <w:autoSpaceDN w:val="0"/>
              <w:bidi w:val="0"/>
              <w:adjustRightInd/>
              <w:snapToGrid w:val="0"/>
              <w:spacing w:line="240" w:lineRule="auto"/>
              <w:ind w:left="0"/>
              <w:jc w:val="both"/>
              <w:textAlignment w:val="auto"/>
              <w:rPr>
                <w:rFonts w:hint="eastAsia" w:ascii="宋体" w:hAnsi="宋体" w:eastAsia="宋体" w:cs="宋体"/>
                <w:color w:val="auto"/>
                <w:spacing w:val="0"/>
                <w:w w:val="100"/>
                <w:sz w:val="22"/>
                <w:highlight w:val="none"/>
                <w:lang w:val="en-US" w:eastAsia="en-US"/>
              </w:rPr>
            </w:pPr>
            <w:r>
              <w:rPr>
                <w:rFonts w:hint="eastAsia" w:ascii="宋体" w:hAnsi="宋体" w:eastAsia="宋体" w:cs="宋体"/>
                <w:color w:val="auto"/>
                <w:spacing w:val="0"/>
                <w:w w:val="100"/>
                <w:sz w:val="28"/>
                <w:highlight w:val="none"/>
                <w:lang w:eastAsia="en-US"/>
              </w:rPr>
              <w:t>日期：</w:t>
            </w:r>
            <w:r>
              <w:rPr>
                <w:rFonts w:hint="eastAsia" w:ascii="宋体" w:hAnsi="宋体" w:eastAsia="宋体" w:cs="宋体"/>
                <w:b/>
                <w:color w:val="auto"/>
                <w:spacing w:val="0"/>
                <w:w w:val="100"/>
                <w:sz w:val="28"/>
                <w:highlight w:val="none"/>
                <w:u w:val="single"/>
                <w:lang w:val="en-US"/>
              </w:rPr>
              <w:t xml:space="preserve">                        </w:t>
            </w:r>
          </w:p>
        </w:tc>
      </w:tr>
    </w:tbl>
    <w:p w14:paraId="6480352B">
      <w:pPr>
        <w:keepNext w:val="0"/>
        <w:keepLines w:val="0"/>
        <w:pageBreakBefore w:val="0"/>
        <w:widowControl w:val="0"/>
        <w:kinsoku/>
        <w:overflowPunct/>
        <w:topLinePunct w:val="0"/>
        <w:bidi w:val="0"/>
        <w:rPr>
          <w:rFonts w:hint="eastAsia" w:ascii="宋体" w:hAnsi="宋体" w:eastAsia="宋体" w:cs="宋体"/>
          <w:b/>
          <w:bCs/>
          <w:color w:val="auto"/>
          <w:spacing w:val="0"/>
          <w:w w:val="100"/>
          <w:kern w:val="2"/>
          <w:sz w:val="32"/>
          <w:szCs w:val="32"/>
          <w:highlight w:val="none"/>
          <w:lang w:val="en-US" w:eastAsia="zh-CN" w:bidi="ar-SA"/>
        </w:rPr>
      </w:pPr>
      <w:bookmarkStart w:id="204" w:name="_Toc9793"/>
      <w:bookmarkStart w:id="205" w:name="_Toc14595"/>
      <w:bookmarkStart w:id="206" w:name="_Toc1843"/>
      <w:bookmarkStart w:id="207" w:name="_Toc27151"/>
      <w:bookmarkStart w:id="208" w:name="_Toc2102"/>
      <w:r>
        <w:rPr>
          <w:rFonts w:hint="eastAsia" w:ascii="宋体" w:hAnsi="宋体" w:eastAsia="宋体" w:cs="宋体"/>
          <w:b/>
          <w:bCs/>
          <w:color w:val="auto"/>
          <w:spacing w:val="0"/>
          <w:w w:val="100"/>
          <w:kern w:val="2"/>
          <w:sz w:val="32"/>
          <w:szCs w:val="32"/>
          <w:highlight w:val="none"/>
          <w:lang w:val="en-US" w:eastAsia="zh-CN" w:bidi="ar-SA"/>
        </w:rPr>
        <w:br w:type="page"/>
      </w:r>
    </w:p>
    <w:bookmarkEnd w:id="204"/>
    <w:bookmarkEnd w:id="205"/>
    <w:bookmarkEnd w:id="206"/>
    <w:bookmarkEnd w:id="207"/>
    <w:bookmarkEnd w:id="208"/>
    <w:p w14:paraId="7B40C430">
      <w:pPr>
        <w:pStyle w:val="4"/>
        <w:keepNext w:val="0"/>
        <w:keepLines w:val="0"/>
        <w:pageBreakBefore w:val="0"/>
        <w:widowControl w:val="0"/>
        <w:kinsoku/>
        <w:overflowPunct/>
        <w:topLinePunct w:val="0"/>
        <w:bidi w:val="0"/>
        <w:spacing w:before="240" w:after="240"/>
        <w:ind w:firstLine="0" w:firstLineChars="0"/>
        <w:jc w:val="center"/>
        <w:rPr>
          <w:rFonts w:hint="eastAsia" w:ascii="宋体" w:hAnsi="宋体" w:eastAsia="宋体" w:cs="宋体"/>
          <w:color w:val="auto"/>
          <w:spacing w:val="0"/>
          <w:w w:val="100"/>
          <w:sz w:val="32"/>
          <w:szCs w:val="32"/>
          <w:highlight w:val="none"/>
        </w:rPr>
      </w:pPr>
      <w:r>
        <w:rPr>
          <w:rFonts w:hint="eastAsia" w:ascii="宋体" w:hAnsi="宋体" w:eastAsia="宋体" w:cs="宋体"/>
          <w:b/>
          <w:bCs/>
          <w:color w:val="auto"/>
          <w:spacing w:val="0"/>
          <w:w w:val="100"/>
          <w:kern w:val="2"/>
          <w:sz w:val="32"/>
          <w:szCs w:val="32"/>
          <w:highlight w:val="none"/>
          <w:lang w:val="en-US" w:eastAsia="zh-CN" w:bidi="ar-SA"/>
        </w:rPr>
        <w:t>1、开标一览表</w:t>
      </w:r>
    </w:p>
    <w:p w14:paraId="292DFE1F">
      <w:pPr>
        <w:pStyle w:val="110"/>
        <w:keepNext w:val="0"/>
        <w:keepLines w:val="0"/>
        <w:pageBreakBefore w:val="0"/>
        <w:widowControl w:val="0"/>
        <w:kinsoku/>
        <w:overflowPunct/>
        <w:topLinePunct w:val="0"/>
        <w:bidi w:val="0"/>
        <w:spacing w:line="440" w:lineRule="exac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4"/>
          <w:szCs w:val="21"/>
          <w:highlight w:val="none"/>
        </w:rPr>
        <w:t>采</w:t>
      </w:r>
      <w:r>
        <w:rPr>
          <w:rFonts w:hint="eastAsia" w:ascii="宋体" w:hAnsi="宋体" w:eastAsia="宋体" w:cs="宋体"/>
          <w:color w:val="auto"/>
          <w:spacing w:val="0"/>
          <w:w w:val="100"/>
          <w:sz w:val="22"/>
          <w:szCs w:val="22"/>
          <w:highlight w:val="none"/>
        </w:rPr>
        <w:t>购编号：</w:t>
      </w:r>
    </w:p>
    <w:p w14:paraId="6EBACCE1">
      <w:pPr>
        <w:pStyle w:val="110"/>
        <w:keepNext w:val="0"/>
        <w:keepLines w:val="0"/>
        <w:pageBreakBefore w:val="0"/>
        <w:widowControl w:val="0"/>
        <w:kinsoku/>
        <w:overflowPunct/>
        <w:topLinePunct w:val="0"/>
        <w:bidi w:val="0"/>
        <w:spacing w:line="440" w:lineRule="exac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项目名称：</w:t>
      </w:r>
    </w:p>
    <w:p w14:paraId="107C855C">
      <w:pPr>
        <w:pStyle w:val="110"/>
        <w:keepNext w:val="0"/>
        <w:keepLines w:val="0"/>
        <w:pageBreakBefore w:val="0"/>
        <w:widowControl w:val="0"/>
        <w:kinsoku/>
        <w:overflowPunct/>
        <w:topLinePunct w:val="0"/>
        <w:bidi w:val="0"/>
        <w:spacing w:line="440" w:lineRule="exact"/>
        <w:jc w:val="righ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报价金额单位：人民币元</w:t>
      </w:r>
    </w:p>
    <w:tbl>
      <w:tblPr>
        <w:tblStyle w:val="41"/>
        <w:tblW w:w="9265"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29"/>
        <w:gridCol w:w="2165"/>
        <w:gridCol w:w="1680"/>
        <w:gridCol w:w="4591"/>
      </w:tblGrid>
      <w:tr w14:paraId="3B796FCC">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063" w:hRule="atLeast"/>
          <w:jc w:val="center"/>
        </w:trPr>
        <w:tc>
          <w:tcPr>
            <w:tcW w:w="829" w:type="dxa"/>
            <w:tcBorders>
              <w:top w:val="double" w:color="000000" w:sz="6" w:space="0"/>
              <w:left w:val="double" w:color="000000" w:sz="6" w:space="0"/>
              <w:bottom w:val="single" w:color="000000" w:sz="6" w:space="0"/>
              <w:right w:val="single" w:color="000000" w:sz="6" w:space="0"/>
            </w:tcBorders>
            <w:noWrap w:val="0"/>
            <w:vAlign w:val="center"/>
          </w:tcPr>
          <w:p w14:paraId="25324A52">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序号</w:t>
            </w:r>
          </w:p>
        </w:tc>
        <w:tc>
          <w:tcPr>
            <w:tcW w:w="2165" w:type="dxa"/>
            <w:tcBorders>
              <w:top w:val="double" w:color="000000" w:sz="6" w:space="0"/>
              <w:left w:val="single" w:color="000000" w:sz="6" w:space="0"/>
              <w:bottom w:val="single" w:color="000000" w:sz="6" w:space="0"/>
              <w:right w:val="single" w:color="auto" w:sz="4" w:space="0"/>
            </w:tcBorders>
            <w:noWrap w:val="0"/>
            <w:vAlign w:val="center"/>
          </w:tcPr>
          <w:p w14:paraId="5E28AA13">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项目名称</w:t>
            </w:r>
          </w:p>
        </w:tc>
        <w:tc>
          <w:tcPr>
            <w:tcW w:w="1680" w:type="dxa"/>
            <w:tcBorders>
              <w:top w:val="double" w:color="000000" w:sz="6" w:space="0"/>
              <w:left w:val="single" w:color="auto" w:sz="4" w:space="0"/>
              <w:bottom w:val="single" w:color="000000" w:sz="6" w:space="0"/>
              <w:right w:val="single" w:color="auto" w:sz="4" w:space="0"/>
            </w:tcBorders>
            <w:noWrap w:val="0"/>
            <w:vAlign w:val="center"/>
          </w:tcPr>
          <w:p w14:paraId="287D5A6A">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▲最高限价</w:t>
            </w:r>
          </w:p>
        </w:tc>
        <w:tc>
          <w:tcPr>
            <w:tcW w:w="4591" w:type="dxa"/>
            <w:tcBorders>
              <w:top w:val="double" w:color="000000" w:sz="6" w:space="0"/>
              <w:left w:val="single" w:color="auto" w:sz="4" w:space="0"/>
              <w:bottom w:val="single" w:color="000000" w:sz="6" w:space="0"/>
              <w:right w:val="double" w:color="000000" w:sz="6" w:space="0"/>
            </w:tcBorders>
            <w:noWrap w:val="0"/>
            <w:vAlign w:val="center"/>
          </w:tcPr>
          <w:p w14:paraId="2526237C">
            <w:pPr>
              <w:keepNext w:val="0"/>
              <w:keepLines w:val="0"/>
              <w:pageBreakBefore w:val="0"/>
              <w:widowControl w:val="0"/>
              <w:kinsoku/>
              <w:overflowPunct/>
              <w:topLinePunct w:val="0"/>
              <w:bidi w:val="0"/>
              <w:spacing w:line="360" w:lineRule="auto"/>
              <w:jc w:val="center"/>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eastAsia="zh-CN"/>
              </w:rPr>
              <w:t>总</w:t>
            </w:r>
            <w:r>
              <w:rPr>
                <w:rFonts w:hint="eastAsia" w:ascii="宋体" w:hAnsi="宋体" w:eastAsia="宋体" w:cs="宋体"/>
                <w:b/>
                <w:color w:val="auto"/>
                <w:spacing w:val="0"/>
                <w:w w:val="100"/>
                <w:sz w:val="22"/>
                <w:szCs w:val="22"/>
                <w:highlight w:val="none"/>
              </w:rPr>
              <w:t>报价（元）</w:t>
            </w:r>
          </w:p>
        </w:tc>
      </w:tr>
      <w:tr w14:paraId="18D92E95">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845" w:hRule="atLeast"/>
          <w:jc w:val="center"/>
        </w:trPr>
        <w:tc>
          <w:tcPr>
            <w:tcW w:w="829" w:type="dxa"/>
            <w:tcBorders>
              <w:top w:val="single" w:color="000000" w:sz="6" w:space="0"/>
              <w:left w:val="double" w:color="000000" w:sz="6" w:space="0"/>
              <w:right w:val="single" w:color="000000" w:sz="6" w:space="0"/>
            </w:tcBorders>
            <w:noWrap w:val="0"/>
            <w:vAlign w:val="center"/>
          </w:tcPr>
          <w:p w14:paraId="5BD72BE3">
            <w:pPr>
              <w:keepNext w:val="0"/>
              <w:keepLines w:val="0"/>
              <w:pageBreakBefore w:val="0"/>
              <w:widowControl w:val="0"/>
              <w:kinsoku/>
              <w:overflowPunct/>
              <w:topLinePunct w:val="0"/>
              <w:bidi w:val="0"/>
              <w:spacing w:line="360" w:lineRule="auto"/>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w:t>
            </w:r>
          </w:p>
        </w:tc>
        <w:tc>
          <w:tcPr>
            <w:tcW w:w="2165" w:type="dxa"/>
            <w:tcBorders>
              <w:top w:val="single" w:color="000000" w:sz="6" w:space="0"/>
              <w:left w:val="single" w:color="000000" w:sz="6" w:space="0"/>
              <w:right w:val="single" w:color="auto" w:sz="4" w:space="0"/>
            </w:tcBorders>
            <w:noWrap w:val="0"/>
            <w:vAlign w:val="center"/>
          </w:tcPr>
          <w:p w14:paraId="18BEE7A3">
            <w:pPr>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eastAsia="zh-CN"/>
              </w:rPr>
              <w:t>2024-2025年度庆元县生态质量国家级样地生物多样性调查监测项目</w:t>
            </w:r>
          </w:p>
        </w:tc>
        <w:tc>
          <w:tcPr>
            <w:tcW w:w="1680" w:type="dxa"/>
            <w:tcBorders>
              <w:top w:val="single" w:color="000000" w:sz="6" w:space="0"/>
              <w:left w:val="single" w:color="auto" w:sz="4" w:space="0"/>
              <w:right w:val="single" w:color="auto" w:sz="4" w:space="0"/>
            </w:tcBorders>
            <w:noWrap w:val="0"/>
            <w:vAlign w:val="center"/>
          </w:tcPr>
          <w:p w14:paraId="0AA8ABF5">
            <w:pPr>
              <w:keepNext w:val="0"/>
              <w:keepLines w:val="0"/>
              <w:pageBreakBefore w:val="0"/>
              <w:widowControl w:val="0"/>
              <w:kinsoku/>
              <w:overflowPunct/>
              <w:topLinePunct w:val="0"/>
              <w:bidi w:val="0"/>
              <w:jc w:val="center"/>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450000</w:t>
            </w:r>
            <w:r>
              <w:rPr>
                <w:rFonts w:hint="eastAsia" w:ascii="宋体" w:hAnsi="宋体" w:eastAsia="宋体" w:cs="宋体"/>
                <w:color w:val="auto"/>
                <w:spacing w:val="0"/>
                <w:w w:val="100"/>
                <w:sz w:val="22"/>
                <w:szCs w:val="22"/>
                <w:highlight w:val="none"/>
              </w:rPr>
              <w:t>元</w:t>
            </w:r>
          </w:p>
        </w:tc>
        <w:tc>
          <w:tcPr>
            <w:tcW w:w="4591" w:type="dxa"/>
            <w:tcBorders>
              <w:top w:val="single" w:color="000000" w:sz="6" w:space="0"/>
              <w:left w:val="single" w:color="auto" w:sz="4" w:space="0"/>
              <w:right w:val="double" w:color="000000" w:sz="6" w:space="0"/>
            </w:tcBorders>
            <w:noWrap w:val="0"/>
            <w:vAlign w:val="center"/>
          </w:tcPr>
          <w:p w14:paraId="15BC80F0">
            <w:pPr>
              <w:keepNext w:val="0"/>
              <w:keepLines w:val="0"/>
              <w:pageBreakBefore w:val="0"/>
              <w:widowControl w:val="0"/>
              <w:kinsoku/>
              <w:overflowPunct/>
              <w:topLinePunct w:val="0"/>
              <w:bidi w:val="0"/>
              <w:spacing w:line="360" w:lineRule="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小写：</w:t>
            </w:r>
          </w:p>
          <w:p w14:paraId="1E609E2B">
            <w:pPr>
              <w:keepNext w:val="0"/>
              <w:keepLines w:val="0"/>
              <w:pageBreakBefore w:val="0"/>
              <w:widowControl w:val="0"/>
              <w:kinsoku/>
              <w:overflowPunct/>
              <w:topLinePunct w:val="0"/>
              <w:bidi w:val="0"/>
              <w:spacing w:line="360" w:lineRule="auto"/>
              <w:rPr>
                <w:rFonts w:hint="eastAsia" w:ascii="宋体" w:hAnsi="宋体" w:eastAsia="宋体" w:cs="宋体"/>
                <w:color w:val="auto"/>
                <w:spacing w:val="0"/>
                <w:w w:val="100"/>
                <w:sz w:val="22"/>
                <w:szCs w:val="22"/>
                <w:highlight w:val="none"/>
              </w:rPr>
            </w:pPr>
          </w:p>
          <w:p w14:paraId="70600EB2">
            <w:pPr>
              <w:keepNext w:val="0"/>
              <w:keepLines w:val="0"/>
              <w:pageBreakBefore w:val="0"/>
              <w:widowControl w:val="0"/>
              <w:kinsoku/>
              <w:overflowPunct/>
              <w:topLinePunct w:val="0"/>
              <w:bidi w:val="0"/>
              <w:jc w:val="lef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大写：</w:t>
            </w:r>
          </w:p>
        </w:tc>
      </w:tr>
    </w:tbl>
    <w:p w14:paraId="23EB89EA">
      <w:pPr>
        <w:pStyle w:val="110"/>
        <w:keepNext w:val="0"/>
        <w:keepLines w:val="0"/>
        <w:pageBreakBefore w:val="0"/>
        <w:widowControl w:val="0"/>
        <w:kinsoku/>
        <w:wordWrap/>
        <w:overflowPunct/>
        <w:topLinePunct w:val="0"/>
        <w:bidi w:val="0"/>
        <w:snapToGrid/>
        <w:spacing w:line="460" w:lineRule="exact"/>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注</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1.</w:t>
      </w:r>
      <w:r>
        <w:rPr>
          <w:rFonts w:hint="eastAsia" w:ascii="宋体" w:hAnsi="宋体" w:eastAsia="宋体" w:cs="宋体"/>
          <w:color w:val="auto"/>
          <w:spacing w:val="0"/>
          <w:w w:val="100"/>
          <w:sz w:val="22"/>
          <w:szCs w:val="22"/>
          <w:highlight w:val="none"/>
          <w:lang w:val="en-US" w:eastAsia="zh-CN"/>
        </w:rPr>
        <w:t>响应</w:t>
      </w:r>
      <w:r>
        <w:rPr>
          <w:rFonts w:hint="eastAsia" w:ascii="宋体" w:hAnsi="宋体" w:eastAsia="宋体" w:cs="宋体"/>
          <w:color w:val="auto"/>
          <w:spacing w:val="0"/>
          <w:w w:val="100"/>
          <w:sz w:val="22"/>
          <w:szCs w:val="22"/>
          <w:highlight w:val="none"/>
        </w:rPr>
        <w:t>报价超过采购最高限价的，</w:t>
      </w:r>
      <w:r>
        <w:rPr>
          <w:rFonts w:hint="eastAsia" w:ascii="宋体" w:hAnsi="宋体" w:eastAsia="宋体" w:cs="宋体"/>
          <w:color w:val="auto"/>
          <w:spacing w:val="0"/>
          <w:w w:val="100"/>
          <w:sz w:val="22"/>
          <w:szCs w:val="22"/>
          <w:highlight w:val="none"/>
          <w:lang w:eastAsia="zh-CN"/>
        </w:rPr>
        <w:t>作无效标处理</w:t>
      </w:r>
      <w:r>
        <w:rPr>
          <w:rFonts w:hint="eastAsia" w:ascii="宋体" w:hAnsi="宋体" w:eastAsia="宋体" w:cs="宋体"/>
          <w:color w:val="auto"/>
          <w:spacing w:val="0"/>
          <w:w w:val="100"/>
          <w:sz w:val="22"/>
          <w:szCs w:val="22"/>
          <w:highlight w:val="none"/>
        </w:rPr>
        <w:t>。</w:t>
      </w:r>
    </w:p>
    <w:p w14:paraId="2FCBE859">
      <w:pPr>
        <w:pStyle w:val="110"/>
        <w:keepNext w:val="0"/>
        <w:keepLines w:val="0"/>
        <w:pageBreakBefore w:val="0"/>
        <w:widowControl w:val="0"/>
        <w:kinsoku/>
        <w:wordWrap/>
        <w:overflowPunct/>
        <w:topLinePunct w:val="0"/>
        <w:autoSpaceDE w:val="0"/>
        <w:autoSpaceDN w:val="0"/>
        <w:bidi w:val="0"/>
        <w:adjustRightInd w:val="0"/>
        <w:snapToGrid/>
        <w:spacing w:line="460" w:lineRule="exact"/>
        <w:ind w:firstLine="440" w:firstLineChars="200"/>
        <w:textAlignment w:val="auto"/>
        <w:rPr>
          <w:rFonts w:hint="eastAsia" w:ascii="宋体" w:hAnsi="宋体" w:eastAsia="宋体" w:cs="宋体"/>
          <w:color w:val="FF0000"/>
          <w:spacing w:val="0"/>
          <w:w w:val="100"/>
          <w:sz w:val="22"/>
          <w:szCs w:val="22"/>
          <w:highlight w:val="none"/>
          <w:lang w:eastAsia="zh-CN"/>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lang w:eastAsia="zh-CN"/>
        </w:rPr>
        <w:t>报价应包括本次项目实施所需的设备、人员工资、奖金、加班费、管理费、差旅费、保险、税金、利润等完成本项目所需的一切本身和不可或缺的所有工作开支、政策性文件规定以及实施本项目所需的其他一切费用，供应商应列入而未列入其中的费用，均视为已包含在内，风险由供应商承担。采购单位不另行支付其他任何费用。</w:t>
      </w:r>
    </w:p>
    <w:p w14:paraId="093A5AA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szCs w:val="22"/>
          <w:highlight w:val="none"/>
        </w:rPr>
      </w:pPr>
    </w:p>
    <w:p w14:paraId="2DAEF101">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bookmarkStart w:id="209" w:name="_Toc28578"/>
      <w:bookmarkStart w:id="210" w:name="_Toc21287"/>
    </w:p>
    <w:p w14:paraId="42465C28">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3CF41F64">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41569FF1">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57C2D27A">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5D4E2CB1">
      <w:pPr>
        <w:keepNext w:val="0"/>
        <w:keepLines w:val="0"/>
        <w:pageBreakBefore w:val="0"/>
        <w:widowControl w:val="0"/>
        <w:kinsoku/>
        <w:overflowPunct/>
        <w:topLinePunct w:val="0"/>
        <w:bidi w:val="0"/>
        <w:rPr>
          <w:rFonts w:hint="eastAsia" w:ascii="宋体" w:hAnsi="宋体" w:eastAsia="宋体" w:cs="宋体"/>
          <w:color w:val="auto"/>
          <w:spacing w:val="0"/>
          <w:w w:val="100"/>
          <w:sz w:val="21"/>
          <w:szCs w:val="21"/>
          <w:highlight w:val="none"/>
          <w:lang w:val="en-US" w:eastAsia="zh-CN"/>
        </w:rPr>
      </w:pPr>
    </w:p>
    <w:p w14:paraId="2ED3A396">
      <w:pPr>
        <w:keepNext w:val="0"/>
        <w:keepLines w:val="0"/>
        <w:pageBreakBefore w:val="0"/>
        <w:widowControl w:val="0"/>
        <w:kinsoku/>
        <w:overflowPunct/>
        <w:topLinePunct w:val="0"/>
        <w:bidi w:val="0"/>
        <w:rPr>
          <w:rFonts w:hint="eastAsia" w:ascii="宋体" w:hAnsi="宋体" w:eastAsia="宋体" w:cs="宋体"/>
          <w:b/>
          <w:bCs/>
          <w:color w:val="auto"/>
          <w:spacing w:val="0"/>
          <w:w w:val="100"/>
          <w:kern w:val="2"/>
          <w:sz w:val="32"/>
          <w:szCs w:val="32"/>
          <w:highlight w:val="none"/>
          <w:lang w:val="en-US" w:eastAsia="zh-CN" w:bidi="ar-SA"/>
        </w:rPr>
      </w:pPr>
      <w:r>
        <w:rPr>
          <w:rFonts w:hint="eastAsia" w:ascii="宋体" w:hAnsi="宋体" w:eastAsia="宋体" w:cs="宋体"/>
          <w:b/>
          <w:bCs/>
          <w:color w:val="auto"/>
          <w:spacing w:val="0"/>
          <w:w w:val="100"/>
          <w:kern w:val="2"/>
          <w:sz w:val="32"/>
          <w:szCs w:val="32"/>
          <w:highlight w:val="none"/>
          <w:lang w:val="en-US" w:eastAsia="zh-CN" w:bidi="ar-SA"/>
        </w:rPr>
        <w:br w:type="page"/>
      </w:r>
    </w:p>
    <w:p w14:paraId="7C99A6A8">
      <w:pPr>
        <w:pStyle w:val="4"/>
        <w:keepNext w:val="0"/>
        <w:keepLines w:val="0"/>
        <w:pageBreakBefore w:val="0"/>
        <w:widowControl w:val="0"/>
        <w:kinsoku/>
        <w:overflowPunct/>
        <w:topLinePunct w:val="0"/>
        <w:bidi w:val="0"/>
        <w:spacing w:before="240" w:after="240"/>
        <w:ind w:left="0" w:leftChars="0" w:firstLine="0" w:firstLineChars="0"/>
        <w:jc w:val="center"/>
        <w:rPr>
          <w:rFonts w:hint="eastAsia" w:ascii="宋体" w:hAnsi="宋体" w:eastAsia="宋体" w:cs="宋体"/>
          <w:b/>
          <w:bCs/>
          <w:color w:val="auto"/>
          <w:spacing w:val="0"/>
          <w:w w:val="100"/>
          <w:kern w:val="2"/>
          <w:sz w:val="32"/>
          <w:szCs w:val="32"/>
          <w:highlight w:val="none"/>
          <w:lang w:val="en-US" w:eastAsia="zh-CN" w:bidi="ar-SA"/>
        </w:rPr>
      </w:pPr>
      <w:r>
        <w:rPr>
          <w:rFonts w:hint="eastAsia" w:ascii="宋体" w:hAnsi="宋体" w:eastAsia="宋体" w:cs="宋体"/>
          <w:b/>
          <w:bCs/>
          <w:color w:val="auto"/>
          <w:spacing w:val="0"/>
          <w:w w:val="100"/>
          <w:kern w:val="2"/>
          <w:sz w:val="32"/>
          <w:szCs w:val="32"/>
          <w:highlight w:val="none"/>
          <w:lang w:val="en-US" w:eastAsia="zh-CN" w:bidi="ar-SA"/>
        </w:rPr>
        <w:t>2、分项报价表</w:t>
      </w:r>
      <w:bookmarkEnd w:id="209"/>
      <w:bookmarkEnd w:id="210"/>
    </w:p>
    <w:p w14:paraId="70F0D466">
      <w:pPr>
        <w:spacing w:line="360" w:lineRule="auto"/>
        <w:rPr>
          <w:rFonts w:hint="eastAsia" w:ascii="宋体" w:hAnsi="宋体" w:eastAsia="宋体" w:cs="宋体"/>
          <w:color w:val="auto"/>
          <w:spacing w:val="0"/>
          <w:sz w:val="22"/>
          <w:szCs w:val="21"/>
        </w:rPr>
      </w:pPr>
      <w:r>
        <w:rPr>
          <w:rFonts w:hint="eastAsia" w:ascii="宋体" w:hAnsi="宋体" w:eastAsia="宋体" w:cs="宋体"/>
          <w:color w:val="auto"/>
          <w:spacing w:val="0"/>
          <w:sz w:val="22"/>
          <w:szCs w:val="21"/>
        </w:rPr>
        <w:t>项目名称：</w:t>
      </w:r>
    </w:p>
    <w:p w14:paraId="3D2ED457">
      <w:pPr>
        <w:spacing w:line="360" w:lineRule="auto"/>
        <w:rPr>
          <w:rFonts w:hint="eastAsia" w:ascii="宋体" w:hAnsi="宋体" w:eastAsia="宋体" w:cs="宋体"/>
          <w:color w:val="auto"/>
          <w:spacing w:val="0"/>
          <w:sz w:val="22"/>
          <w:szCs w:val="21"/>
        </w:rPr>
      </w:pPr>
      <w:r>
        <w:rPr>
          <w:rFonts w:hint="eastAsia" w:ascii="宋体" w:hAnsi="宋体" w:eastAsia="宋体" w:cs="宋体"/>
          <w:color w:val="auto"/>
          <w:spacing w:val="0"/>
          <w:sz w:val="22"/>
          <w:szCs w:val="21"/>
          <w:lang w:eastAsia="zh-CN"/>
        </w:rPr>
        <w:t>项目编号</w:t>
      </w:r>
      <w:r>
        <w:rPr>
          <w:rFonts w:hint="eastAsia" w:ascii="宋体" w:hAnsi="宋体" w:eastAsia="宋体" w:cs="宋体"/>
          <w:color w:val="auto"/>
          <w:spacing w:val="0"/>
          <w:sz w:val="22"/>
          <w:szCs w:val="21"/>
        </w:rPr>
        <w:t>：</w:t>
      </w:r>
    </w:p>
    <w:tbl>
      <w:tblPr>
        <w:tblStyle w:val="41"/>
        <w:tblW w:w="933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6"/>
        <w:gridCol w:w="3810"/>
        <w:gridCol w:w="2550"/>
        <w:gridCol w:w="1971"/>
      </w:tblGrid>
      <w:tr w14:paraId="641B6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006" w:type="dxa"/>
            <w:noWrap w:val="0"/>
            <w:vAlign w:val="center"/>
          </w:tcPr>
          <w:p w14:paraId="2AF0F1DE">
            <w:pPr>
              <w:ind w:right="-11"/>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序号</w:t>
            </w:r>
          </w:p>
        </w:tc>
        <w:tc>
          <w:tcPr>
            <w:tcW w:w="3810" w:type="dxa"/>
            <w:noWrap w:val="0"/>
            <w:vAlign w:val="center"/>
          </w:tcPr>
          <w:p w14:paraId="7C8E79DB">
            <w:pPr>
              <w:ind w:right="-11"/>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报价内容</w:t>
            </w:r>
          </w:p>
        </w:tc>
        <w:tc>
          <w:tcPr>
            <w:tcW w:w="2550" w:type="dxa"/>
            <w:noWrap w:val="0"/>
            <w:vAlign w:val="center"/>
          </w:tcPr>
          <w:p w14:paraId="48105877">
            <w:pPr>
              <w:ind w:right="-11"/>
              <w:jc w:val="center"/>
              <w:rPr>
                <w:rFonts w:hint="eastAsia" w:ascii="宋体" w:hAnsi="宋体" w:eastAsia="宋体" w:cs="宋体"/>
                <w:b/>
                <w:bCs/>
                <w:color w:val="auto"/>
                <w:sz w:val="22"/>
                <w:szCs w:val="21"/>
                <w:lang w:val="en-US" w:eastAsia="zh-CN"/>
              </w:rPr>
            </w:pPr>
            <w:r>
              <w:rPr>
                <w:rFonts w:hint="eastAsia" w:ascii="宋体" w:hAnsi="宋体" w:eastAsia="宋体" w:cs="宋体"/>
                <w:b/>
                <w:bCs/>
                <w:color w:val="auto"/>
                <w:sz w:val="22"/>
                <w:szCs w:val="21"/>
                <w:lang w:val="en-US" w:eastAsia="zh-CN"/>
              </w:rPr>
              <w:t>报价（元）</w:t>
            </w:r>
          </w:p>
        </w:tc>
        <w:tc>
          <w:tcPr>
            <w:tcW w:w="1971" w:type="dxa"/>
            <w:noWrap w:val="0"/>
            <w:vAlign w:val="center"/>
          </w:tcPr>
          <w:p w14:paraId="1F766517">
            <w:pPr>
              <w:ind w:right="-11"/>
              <w:jc w:val="center"/>
              <w:rPr>
                <w:rFonts w:hint="eastAsia" w:ascii="宋体" w:hAnsi="宋体" w:eastAsia="宋体" w:cs="宋体"/>
                <w:b/>
                <w:bCs/>
                <w:color w:val="auto"/>
                <w:sz w:val="22"/>
                <w:szCs w:val="21"/>
                <w:lang w:eastAsia="zh-CN"/>
              </w:rPr>
            </w:pPr>
            <w:r>
              <w:rPr>
                <w:rFonts w:hint="eastAsia" w:ascii="宋体" w:hAnsi="宋体" w:eastAsia="宋体" w:cs="宋体"/>
                <w:b/>
                <w:bCs/>
                <w:color w:val="auto"/>
                <w:sz w:val="22"/>
                <w:szCs w:val="21"/>
                <w:lang w:eastAsia="zh-CN"/>
              </w:rPr>
              <w:t>备注</w:t>
            </w:r>
          </w:p>
        </w:tc>
      </w:tr>
      <w:tr w14:paraId="0C933B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4D9A1A61">
            <w:pPr>
              <w:spacing w:before="120" w:beforeLines="50" w:line="240" w:lineRule="auto"/>
              <w:ind w:right="-11"/>
              <w:jc w:val="center"/>
              <w:rPr>
                <w:rFonts w:hint="eastAsia" w:ascii="宋体" w:hAnsi="宋体" w:eastAsia="宋体" w:cs="宋体"/>
                <w:color w:val="auto"/>
                <w:sz w:val="22"/>
                <w:szCs w:val="21"/>
              </w:rPr>
            </w:pPr>
            <w:r>
              <w:rPr>
                <w:rFonts w:hint="eastAsia" w:ascii="宋体" w:hAnsi="宋体" w:eastAsia="宋体" w:cs="宋体"/>
                <w:color w:val="auto"/>
                <w:sz w:val="22"/>
                <w:szCs w:val="21"/>
              </w:rPr>
              <w:t>1</w:t>
            </w:r>
          </w:p>
        </w:tc>
        <w:tc>
          <w:tcPr>
            <w:tcW w:w="3810" w:type="dxa"/>
            <w:noWrap w:val="0"/>
            <w:vAlign w:val="center"/>
          </w:tcPr>
          <w:p w14:paraId="45C73CC9">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71E80B1C">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16BD828B">
            <w:pPr>
              <w:spacing w:before="120" w:beforeLines="50" w:line="240" w:lineRule="auto"/>
              <w:ind w:right="-11"/>
              <w:jc w:val="both"/>
              <w:rPr>
                <w:rFonts w:hint="eastAsia" w:ascii="宋体" w:hAnsi="宋体" w:eastAsia="宋体" w:cs="宋体"/>
                <w:color w:val="auto"/>
                <w:sz w:val="22"/>
                <w:szCs w:val="21"/>
                <w:u w:val="single"/>
                <w:lang w:val="en-US" w:eastAsia="zh-CN"/>
              </w:rPr>
            </w:pPr>
          </w:p>
        </w:tc>
      </w:tr>
      <w:tr w14:paraId="73EF24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776F2B80">
            <w:pPr>
              <w:spacing w:before="120" w:beforeLines="50" w:line="240" w:lineRule="auto"/>
              <w:ind w:right="-11"/>
              <w:jc w:val="center"/>
              <w:rPr>
                <w:rFonts w:hint="eastAsia" w:ascii="宋体" w:hAnsi="宋体" w:eastAsia="宋体" w:cs="宋体"/>
                <w:color w:val="auto"/>
                <w:sz w:val="22"/>
                <w:szCs w:val="21"/>
              </w:rPr>
            </w:pPr>
            <w:r>
              <w:rPr>
                <w:rFonts w:hint="eastAsia" w:ascii="宋体" w:hAnsi="宋体" w:eastAsia="宋体" w:cs="宋体"/>
                <w:color w:val="auto"/>
                <w:sz w:val="22"/>
                <w:szCs w:val="21"/>
              </w:rPr>
              <w:t>2</w:t>
            </w:r>
          </w:p>
        </w:tc>
        <w:tc>
          <w:tcPr>
            <w:tcW w:w="3810" w:type="dxa"/>
            <w:noWrap w:val="0"/>
            <w:vAlign w:val="center"/>
          </w:tcPr>
          <w:p w14:paraId="40F46001">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163F3C21">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00596D6F">
            <w:pPr>
              <w:spacing w:before="120" w:beforeLines="50" w:line="240" w:lineRule="auto"/>
              <w:ind w:right="-11"/>
              <w:jc w:val="center"/>
              <w:rPr>
                <w:rFonts w:hint="eastAsia" w:ascii="宋体" w:hAnsi="宋体" w:eastAsia="宋体" w:cs="宋体"/>
                <w:color w:val="auto"/>
                <w:sz w:val="22"/>
                <w:szCs w:val="21"/>
                <w:lang w:val="en-US" w:eastAsia="zh-CN"/>
              </w:rPr>
            </w:pPr>
          </w:p>
        </w:tc>
      </w:tr>
      <w:tr w14:paraId="1A1E8C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542DB582">
            <w:pPr>
              <w:spacing w:before="120" w:beforeLines="50" w:line="240" w:lineRule="auto"/>
              <w:ind w:right="-11"/>
              <w:jc w:val="center"/>
              <w:rPr>
                <w:rFonts w:hint="eastAsia" w:ascii="宋体" w:hAnsi="宋体" w:eastAsia="宋体" w:cs="宋体"/>
                <w:color w:val="auto"/>
                <w:sz w:val="22"/>
                <w:szCs w:val="21"/>
                <w:lang w:val="en-US" w:eastAsia="zh-CN"/>
              </w:rPr>
            </w:pPr>
            <w:r>
              <w:rPr>
                <w:rFonts w:hint="eastAsia" w:ascii="宋体" w:hAnsi="宋体" w:eastAsia="宋体" w:cs="宋体"/>
                <w:color w:val="auto"/>
                <w:sz w:val="22"/>
                <w:szCs w:val="21"/>
                <w:lang w:val="en-US" w:eastAsia="zh-CN"/>
              </w:rPr>
              <w:t>3</w:t>
            </w:r>
          </w:p>
        </w:tc>
        <w:tc>
          <w:tcPr>
            <w:tcW w:w="3810" w:type="dxa"/>
            <w:noWrap w:val="0"/>
            <w:vAlign w:val="center"/>
          </w:tcPr>
          <w:p w14:paraId="4D8F193D">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677CA09A">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39FD1C1F">
            <w:pPr>
              <w:spacing w:before="120" w:beforeLines="50" w:line="240" w:lineRule="auto"/>
              <w:ind w:right="-11"/>
              <w:jc w:val="center"/>
              <w:rPr>
                <w:rFonts w:hint="eastAsia" w:ascii="宋体" w:hAnsi="宋体" w:eastAsia="宋体" w:cs="宋体"/>
                <w:color w:val="auto"/>
                <w:sz w:val="22"/>
                <w:szCs w:val="21"/>
                <w:lang w:val="en-US" w:eastAsia="zh-CN"/>
              </w:rPr>
            </w:pPr>
          </w:p>
        </w:tc>
      </w:tr>
      <w:tr w14:paraId="67EC7E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4F61E9D2">
            <w:pPr>
              <w:spacing w:before="120" w:beforeLines="50" w:line="240" w:lineRule="auto"/>
              <w:ind w:right="-11"/>
              <w:jc w:val="center"/>
              <w:rPr>
                <w:rFonts w:hint="eastAsia" w:ascii="宋体" w:hAnsi="宋体" w:eastAsia="宋体" w:cs="宋体"/>
                <w:color w:val="auto"/>
                <w:sz w:val="22"/>
                <w:szCs w:val="21"/>
                <w:lang w:val="en-US" w:eastAsia="zh-CN"/>
              </w:rPr>
            </w:pPr>
            <w:r>
              <w:rPr>
                <w:rFonts w:hint="eastAsia" w:ascii="宋体" w:hAnsi="宋体" w:eastAsia="宋体" w:cs="宋体"/>
                <w:color w:val="auto"/>
                <w:sz w:val="22"/>
                <w:szCs w:val="21"/>
                <w:lang w:val="en-US" w:eastAsia="zh-CN"/>
              </w:rPr>
              <w:t>4</w:t>
            </w:r>
          </w:p>
        </w:tc>
        <w:tc>
          <w:tcPr>
            <w:tcW w:w="3810" w:type="dxa"/>
            <w:noWrap w:val="0"/>
            <w:vAlign w:val="center"/>
          </w:tcPr>
          <w:p w14:paraId="3DDB2664">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6593CB7E">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28C8B0C6">
            <w:pPr>
              <w:spacing w:before="120" w:beforeLines="50" w:line="240" w:lineRule="auto"/>
              <w:ind w:right="-11"/>
              <w:jc w:val="center"/>
              <w:rPr>
                <w:rFonts w:hint="eastAsia" w:ascii="宋体" w:hAnsi="宋体" w:eastAsia="宋体" w:cs="宋体"/>
                <w:color w:val="auto"/>
                <w:sz w:val="22"/>
                <w:szCs w:val="21"/>
                <w:lang w:val="en-US" w:eastAsia="zh-CN"/>
              </w:rPr>
            </w:pPr>
          </w:p>
        </w:tc>
      </w:tr>
      <w:tr w14:paraId="042BAA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438324F4">
            <w:pPr>
              <w:spacing w:before="120" w:beforeLines="50" w:line="240" w:lineRule="auto"/>
              <w:ind w:right="-11"/>
              <w:jc w:val="center"/>
              <w:rPr>
                <w:rFonts w:hint="eastAsia" w:ascii="宋体" w:hAnsi="宋体" w:eastAsia="宋体" w:cs="宋体"/>
                <w:color w:val="auto"/>
                <w:sz w:val="22"/>
                <w:szCs w:val="21"/>
                <w:lang w:val="en-US" w:eastAsia="zh-CN"/>
              </w:rPr>
            </w:pPr>
            <w:r>
              <w:rPr>
                <w:rFonts w:hint="eastAsia" w:ascii="宋体" w:hAnsi="宋体" w:eastAsia="宋体" w:cs="宋体"/>
                <w:color w:val="auto"/>
                <w:sz w:val="22"/>
                <w:szCs w:val="21"/>
                <w:lang w:val="en-US" w:eastAsia="zh-CN"/>
              </w:rPr>
              <w:t>5</w:t>
            </w:r>
          </w:p>
        </w:tc>
        <w:tc>
          <w:tcPr>
            <w:tcW w:w="3810" w:type="dxa"/>
            <w:noWrap w:val="0"/>
            <w:vAlign w:val="center"/>
          </w:tcPr>
          <w:p w14:paraId="5C675889">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55F66444">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62786D9C">
            <w:pPr>
              <w:spacing w:before="120" w:beforeLines="50" w:line="240" w:lineRule="auto"/>
              <w:ind w:right="-11"/>
              <w:jc w:val="center"/>
              <w:rPr>
                <w:rFonts w:hint="eastAsia" w:ascii="宋体" w:hAnsi="宋体" w:eastAsia="宋体" w:cs="宋体"/>
                <w:color w:val="auto"/>
                <w:sz w:val="22"/>
                <w:szCs w:val="21"/>
                <w:lang w:val="en-US" w:eastAsia="zh-CN"/>
              </w:rPr>
            </w:pPr>
          </w:p>
        </w:tc>
      </w:tr>
      <w:tr w14:paraId="50B62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6F54CCB3">
            <w:pPr>
              <w:spacing w:before="120" w:beforeLines="50" w:line="240" w:lineRule="auto"/>
              <w:ind w:right="-11"/>
              <w:jc w:val="center"/>
              <w:rPr>
                <w:rFonts w:hint="eastAsia" w:ascii="宋体" w:hAnsi="宋体" w:eastAsia="宋体" w:cs="宋体"/>
                <w:color w:val="auto"/>
                <w:sz w:val="22"/>
                <w:szCs w:val="21"/>
                <w:lang w:val="en-US" w:eastAsia="zh-CN"/>
              </w:rPr>
            </w:pPr>
            <w:r>
              <w:rPr>
                <w:rFonts w:hint="eastAsia" w:ascii="宋体" w:hAnsi="宋体" w:eastAsia="宋体" w:cs="宋体"/>
                <w:color w:val="auto"/>
                <w:sz w:val="22"/>
                <w:szCs w:val="21"/>
                <w:lang w:val="en-US" w:eastAsia="zh-CN"/>
              </w:rPr>
              <w:t>6</w:t>
            </w:r>
          </w:p>
        </w:tc>
        <w:tc>
          <w:tcPr>
            <w:tcW w:w="3810" w:type="dxa"/>
            <w:noWrap w:val="0"/>
            <w:vAlign w:val="center"/>
          </w:tcPr>
          <w:p w14:paraId="285B53EF">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4C3ED797">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01BDDAB8">
            <w:pPr>
              <w:spacing w:before="120" w:beforeLines="50" w:line="240" w:lineRule="auto"/>
              <w:ind w:right="-11"/>
              <w:jc w:val="center"/>
              <w:rPr>
                <w:rFonts w:hint="eastAsia" w:ascii="宋体" w:hAnsi="宋体" w:eastAsia="宋体" w:cs="宋体"/>
                <w:color w:val="auto"/>
                <w:sz w:val="22"/>
                <w:szCs w:val="21"/>
                <w:lang w:val="en-US" w:eastAsia="zh-CN"/>
              </w:rPr>
            </w:pPr>
          </w:p>
        </w:tc>
      </w:tr>
      <w:tr w14:paraId="6D86C3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06" w:type="dxa"/>
            <w:noWrap w:val="0"/>
            <w:vAlign w:val="center"/>
          </w:tcPr>
          <w:p w14:paraId="5FE4B871">
            <w:pPr>
              <w:spacing w:before="120" w:beforeLines="50" w:line="240" w:lineRule="auto"/>
              <w:ind w:right="-11"/>
              <w:jc w:val="center"/>
              <w:rPr>
                <w:rFonts w:hint="eastAsia" w:ascii="宋体" w:hAnsi="宋体" w:eastAsia="宋体" w:cs="宋体"/>
                <w:color w:val="auto"/>
                <w:sz w:val="22"/>
                <w:szCs w:val="21"/>
                <w:lang w:eastAsia="zh-CN"/>
              </w:rPr>
            </w:pPr>
            <w:r>
              <w:rPr>
                <w:rFonts w:hint="eastAsia" w:ascii="宋体" w:hAnsi="宋体" w:eastAsia="宋体" w:cs="宋体"/>
                <w:color w:val="auto"/>
                <w:sz w:val="22"/>
                <w:szCs w:val="21"/>
                <w:lang w:eastAsia="zh-CN"/>
              </w:rPr>
              <w:t>……</w:t>
            </w:r>
          </w:p>
        </w:tc>
        <w:tc>
          <w:tcPr>
            <w:tcW w:w="3810" w:type="dxa"/>
            <w:noWrap w:val="0"/>
            <w:vAlign w:val="center"/>
          </w:tcPr>
          <w:p w14:paraId="3767173B">
            <w:pPr>
              <w:spacing w:before="120" w:beforeLines="50" w:line="240" w:lineRule="auto"/>
              <w:ind w:right="-11"/>
              <w:jc w:val="center"/>
              <w:rPr>
                <w:rFonts w:hint="eastAsia" w:ascii="宋体" w:hAnsi="宋体" w:eastAsia="宋体" w:cs="宋体"/>
                <w:color w:val="auto"/>
                <w:sz w:val="22"/>
                <w:szCs w:val="21"/>
              </w:rPr>
            </w:pPr>
          </w:p>
        </w:tc>
        <w:tc>
          <w:tcPr>
            <w:tcW w:w="2550" w:type="dxa"/>
            <w:noWrap w:val="0"/>
            <w:vAlign w:val="center"/>
          </w:tcPr>
          <w:p w14:paraId="4A75D08B">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137C9B40">
            <w:pPr>
              <w:spacing w:before="120" w:beforeLines="50" w:line="240" w:lineRule="auto"/>
              <w:ind w:right="-11"/>
              <w:jc w:val="center"/>
              <w:rPr>
                <w:rFonts w:hint="eastAsia" w:ascii="宋体" w:hAnsi="宋体" w:eastAsia="宋体" w:cs="宋体"/>
                <w:color w:val="auto"/>
                <w:sz w:val="22"/>
                <w:szCs w:val="21"/>
                <w:lang w:val="en-US" w:eastAsia="zh-CN"/>
              </w:rPr>
            </w:pPr>
          </w:p>
        </w:tc>
      </w:tr>
      <w:tr w14:paraId="76B401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1" w:hRule="atLeast"/>
          <w:jc w:val="center"/>
        </w:trPr>
        <w:tc>
          <w:tcPr>
            <w:tcW w:w="4816" w:type="dxa"/>
            <w:gridSpan w:val="2"/>
            <w:noWrap w:val="0"/>
            <w:vAlign w:val="center"/>
          </w:tcPr>
          <w:p w14:paraId="0B3705B8">
            <w:pPr>
              <w:spacing w:before="120" w:beforeLines="50" w:line="240" w:lineRule="auto"/>
              <w:ind w:right="-11"/>
              <w:jc w:val="center"/>
              <w:rPr>
                <w:rFonts w:hint="eastAsia" w:ascii="宋体" w:hAnsi="宋体" w:eastAsia="宋体" w:cs="宋体"/>
                <w:color w:val="auto"/>
                <w:sz w:val="22"/>
                <w:szCs w:val="21"/>
                <w:lang w:eastAsia="zh-CN"/>
              </w:rPr>
            </w:pPr>
            <w:r>
              <w:rPr>
                <w:rFonts w:hint="eastAsia" w:ascii="宋体" w:hAnsi="宋体" w:eastAsia="宋体" w:cs="宋体"/>
                <w:color w:val="auto"/>
                <w:sz w:val="22"/>
                <w:szCs w:val="21"/>
                <w:lang w:eastAsia="zh-CN"/>
              </w:rPr>
              <w:t>合计</w:t>
            </w:r>
          </w:p>
        </w:tc>
        <w:tc>
          <w:tcPr>
            <w:tcW w:w="2550" w:type="dxa"/>
            <w:noWrap w:val="0"/>
            <w:vAlign w:val="center"/>
          </w:tcPr>
          <w:p w14:paraId="647A3835">
            <w:pPr>
              <w:spacing w:before="120" w:beforeLines="50" w:line="240" w:lineRule="auto"/>
              <w:ind w:right="-11"/>
              <w:jc w:val="center"/>
              <w:rPr>
                <w:rFonts w:hint="eastAsia" w:ascii="宋体" w:hAnsi="宋体" w:eastAsia="宋体" w:cs="宋体"/>
                <w:color w:val="auto"/>
                <w:sz w:val="22"/>
                <w:szCs w:val="21"/>
                <w:lang w:val="en-US" w:eastAsia="zh-CN"/>
              </w:rPr>
            </w:pPr>
          </w:p>
        </w:tc>
        <w:tc>
          <w:tcPr>
            <w:tcW w:w="1971" w:type="dxa"/>
            <w:noWrap w:val="0"/>
            <w:vAlign w:val="center"/>
          </w:tcPr>
          <w:p w14:paraId="3C9C46B8">
            <w:pPr>
              <w:spacing w:before="120" w:beforeLines="50" w:line="240" w:lineRule="auto"/>
              <w:ind w:right="-11"/>
              <w:jc w:val="center"/>
              <w:rPr>
                <w:rFonts w:hint="eastAsia" w:ascii="宋体" w:hAnsi="宋体" w:eastAsia="宋体" w:cs="宋体"/>
                <w:color w:val="auto"/>
                <w:sz w:val="22"/>
                <w:szCs w:val="21"/>
                <w:lang w:val="en-US" w:eastAsia="zh-CN"/>
              </w:rPr>
            </w:pPr>
          </w:p>
        </w:tc>
      </w:tr>
    </w:tbl>
    <w:p w14:paraId="1598EAFF">
      <w:pPr>
        <w:keepNext w:val="0"/>
        <w:keepLines w:val="0"/>
        <w:pageBreakBefore w:val="0"/>
        <w:widowControl w:val="0"/>
        <w:kinsoku/>
        <w:overflowPunct/>
        <w:topLinePunct w:val="0"/>
        <w:autoSpaceDE w:val="0"/>
        <w:autoSpaceDN w:val="0"/>
        <w:bidi w:val="0"/>
        <w:adjustRightInd w:val="0"/>
        <w:spacing w:line="360" w:lineRule="auto"/>
        <w:ind w:firstLine="440" w:firstLineChars="200"/>
        <w:rPr>
          <w:rFonts w:hint="eastAsia" w:ascii="宋体" w:hAnsi="宋体" w:eastAsia="宋体" w:cs="宋体"/>
          <w:bCs/>
          <w:color w:val="auto"/>
          <w:spacing w:val="0"/>
          <w:w w:val="100"/>
          <w:sz w:val="22"/>
          <w:szCs w:val="22"/>
          <w:highlight w:val="none"/>
          <w:lang w:eastAsia="zh-CN"/>
        </w:rPr>
      </w:pPr>
      <w:r>
        <w:rPr>
          <w:rFonts w:hint="eastAsia" w:ascii="宋体" w:hAnsi="宋体" w:eastAsia="宋体" w:cs="宋体"/>
          <w:bCs/>
          <w:color w:val="auto"/>
          <w:spacing w:val="0"/>
          <w:w w:val="100"/>
          <w:sz w:val="22"/>
          <w:szCs w:val="22"/>
          <w:highlight w:val="none"/>
          <w:lang w:eastAsia="zh-CN"/>
        </w:rPr>
        <w:t>注：</w:t>
      </w:r>
    </w:p>
    <w:p w14:paraId="3F263EB0">
      <w:pPr>
        <w:keepNext w:val="0"/>
        <w:keepLines w:val="0"/>
        <w:pageBreakBefore w:val="0"/>
        <w:widowControl w:val="0"/>
        <w:kinsoku/>
        <w:overflowPunct/>
        <w:topLinePunct w:val="0"/>
        <w:autoSpaceDE w:val="0"/>
        <w:autoSpaceDN w:val="0"/>
        <w:bidi w:val="0"/>
        <w:adjustRightInd w:val="0"/>
        <w:spacing w:line="360" w:lineRule="auto"/>
        <w:ind w:firstLine="440" w:firstLineChars="200"/>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1.</w:t>
      </w:r>
      <w:r>
        <w:rPr>
          <w:rFonts w:hint="eastAsia" w:ascii="宋体" w:hAnsi="宋体" w:eastAsia="宋体" w:cs="宋体"/>
          <w:bCs/>
          <w:color w:val="auto"/>
          <w:spacing w:val="0"/>
          <w:w w:val="100"/>
          <w:sz w:val="22"/>
          <w:szCs w:val="22"/>
          <w:highlight w:val="none"/>
        </w:rPr>
        <w:t>《分项报价表》</w:t>
      </w:r>
      <w:r>
        <w:rPr>
          <w:rFonts w:hint="eastAsia" w:ascii="宋体" w:hAnsi="宋体" w:eastAsia="宋体" w:cs="宋体"/>
          <w:bCs/>
          <w:color w:val="auto"/>
          <w:spacing w:val="0"/>
          <w:w w:val="100"/>
          <w:sz w:val="22"/>
          <w:szCs w:val="22"/>
          <w:highlight w:val="none"/>
          <w:lang w:val="en-US" w:eastAsia="zh-CN"/>
        </w:rPr>
        <w:t>投标总报价</w:t>
      </w:r>
      <w:r>
        <w:rPr>
          <w:rFonts w:hint="eastAsia" w:ascii="宋体" w:hAnsi="宋体" w:eastAsia="宋体" w:cs="宋体"/>
          <w:bCs/>
          <w:color w:val="auto"/>
          <w:spacing w:val="0"/>
          <w:w w:val="100"/>
          <w:sz w:val="22"/>
          <w:szCs w:val="22"/>
          <w:highlight w:val="none"/>
        </w:rPr>
        <w:t>必须与《开标一览表》</w:t>
      </w:r>
      <w:r>
        <w:rPr>
          <w:rFonts w:hint="eastAsia" w:ascii="宋体" w:hAnsi="宋体" w:eastAsia="宋体" w:cs="宋体"/>
          <w:bCs/>
          <w:color w:val="auto"/>
          <w:spacing w:val="0"/>
          <w:w w:val="100"/>
          <w:sz w:val="22"/>
          <w:szCs w:val="22"/>
          <w:highlight w:val="none"/>
          <w:lang w:val="en-US" w:eastAsia="zh-CN"/>
        </w:rPr>
        <w:t>投标总</w:t>
      </w:r>
      <w:r>
        <w:rPr>
          <w:rFonts w:hint="eastAsia" w:ascii="宋体" w:hAnsi="宋体" w:eastAsia="宋体" w:cs="宋体"/>
          <w:bCs/>
          <w:color w:val="auto"/>
          <w:spacing w:val="0"/>
          <w:w w:val="100"/>
          <w:sz w:val="22"/>
          <w:szCs w:val="22"/>
          <w:highlight w:val="none"/>
        </w:rPr>
        <w:t>报价相同。</w:t>
      </w:r>
    </w:p>
    <w:p w14:paraId="1266DBA0">
      <w:pPr>
        <w:keepNext w:val="0"/>
        <w:keepLines w:val="0"/>
        <w:pageBreakBefore w:val="0"/>
        <w:widowControl w:val="0"/>
        <w:kinsoku/>
        <w:overflowPunct/>
        <w:topLinePunct w:val="0"/>
        <w:autoSpaceDE w:val="0"/>
        <w:autoSpaceDN w:val="0"/>
        <w:bidi w:val="0"/>
        <w:adjustRightInd w:val="0"/>
        <w:spacing w:line="360" w:lineRule="auto"/>
        <w:ind w:firstLine="440" w:firstLineChars="200"/>
        <w:rPr>
          <w:rFonts w:hint="eastAsia" w:ascii="宋体" w:hAnsi="宋体" w:eastAsia="宋体" w:cs="宋体"/>
          <w:bCs/>
          <w:color w:val="auto"/>
          <w:spacing w:val="0"/>
          <w:w w:val="100"/>
          <w:sz w:val="22"/>
          <w:szCs w:val="22"/>
          <w:highlight w:val="none"/>
        </w:rPr>
      </w:pPr>
      <w:r>
        <w:rPr>
          <w:rFonts w:hint="eastAsia" w:ascii="宋体" w:hAnsi="宋体" w:eastAsia="宋体" w:cs="宋体"/>
          <w:bCs/>
          <w:color w:val="auto"/>
          <w:spacing w:val="0"/>
          <w:w w:val="100"/>
          <w:sz w:val="22"/>
          <w:szCs w:val="22"/>
          <w:highlight w:val="none"/>
          <w:lang w:val="en-US" w:eastAsia="zh-CN"/>
        </w:rPr>
        <w:t>2.</w:t>
      </w:r>
      <w:r>
        <w:rPr>
          <w:rFonts w:hint="eastAsia" w:ascii="宋体" w:hAnsi="宋体" w:eastAsia="宋体" w:cs="宋体"/>
          <w:bCs/>
          <w:color w:val="auto"/>
          <w:spacing w:val="0"/>
          <w:w w:val="100"/>
          <w:sz w:val="22"/>
          <w:szCs w:val="22"/>
          <w:highlight w:val="none"/>
        </w:rPr>
        <w:t>所有单项报价均不得为0，否则作无效标处理。</w:t>
      </w:r>
    </w:p>
    <w:p w14:paraId="7C2E6091">
      <w:pPr>
        <w:keepNext w:val="0"/>
        <w:keepLines w:val="0"/>
        <w:pageBreakBefore w:val="0"/>
        <w:widowControl w:val="0"/>
        <w:kinsoku/>
        <w:overflowPunct/>
        <w:topLinePunct w:val="0"/>
        <w:autoSpaceDE w:val="0"/>
        <w:autoSpaceDN w:val="0"/>
        <w:bidi w:val="0"/>
        <w:adjustRightInd w:val="0"/>
        <w:spacing w:line="360" w:lineRule="auto"/>
        <w:ind w:firstLine="440" w:firstLineChars="200"/>
        <w:rPr>
          <w:rFonts w:hint="eastAsia" w:ascii="宋体" w:hAnsi="宋体" w:eastAsia="宋体" w:cs="宋体"/>
          <w:bCs/>
          <w:color w:val="auto"/>
          <w:spacing w:val="0"/>
          <w:w w:val="100"/>
          <w:sz w:val="22"/>
          <w:szCs w:val="22"/>
          <w:highlight w:val="none"/>
          <w:lang w:val="en-US" w:eastAsia="zh-CN"/>
        </w:rPr>
      </w:pPr>
      <w:r>
        <w:rPr>
          <w:rFonts w:hint="eastAsia" w:ascii="宋体" w:hAnsi="宋体" w:eastAsia="宋体" w:cs="宋体"/>
          <w:bCs/>
          <w:color w:val="auto"/>
          <w:spacing w:val="0"/>
          <w:w w:val="100"/>
          <w:sz w:val="22"/>
          <w:szCs w:val="22"/>
          <w:highlight w:val="none"/>
          <w:lang w:val="en-US" w:eastAsia="zh-CN"/>
        </w:rPr>
        <w:t>3.以上表格仅供参考，供应商可根据需求自拟。</w:t>
      </w:r>
    </w:p>
    <w:p w14:paraId="00DA569C">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1"/>
          <w:szCs w:val="21"/>
          <w:highlight w:val="none"/>
        </w:rPr>
      </w:pPr>
    </w:p>
    <w:p w14:paraId="547DD3EF">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lang w:eastAsia="zh-CN"/>
        </w:rPr>
        <w:t>供应商盖章（电子章）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p>
    <w:p w14:paraId="57E473C9">
      <w:pPr>
        <w:pStyle w:val="81"/>
        <w:wordWrap w:val="0"/>
        <w:spacing w:line="360" w:lineRule="auto"/>
        <w:ind w:firstLine="480"/>
        <w:jc w:val="righ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14:paraId="6DE25CB1">
      <w:pPr>
        <w:pStyle w:val="81"/>
        <w:wordWrap w:val="0"/>
        <w:spacing w:line="360" w:lineRule="auto"/>
        <w:ind w:firstLine="480"/>
        <w:jc w:val="right"/>
        <w:rPr>
          <w:rFonts w:hint="eastAsia" w:ascii="宋体" w:hAnsi="宋体" w:eastAsia="宋体" w:cs="宋体"/>
          <w:color w:val="auto"/>
          <w:sz w:val="22"/>
          <w:szCs w:val="22"/>
          <w:highlight w:val="none"/>
          <w:u w:val="single"/>
        </w:rPr>
      </w:pPr>
    </w:p>
    <w:p w14:paraId="4EB21843">
      <w:pPr>
        <w:keepNext w:val="0"/>
        <w:keepLines w:val="0"/>
        <w:pageBreakBefore w:val="0"/>
        <w:widowControl w:val="0"/>
        <w:kinsoku/>
        <w:overflowPunct/>
        <w:topLinePunct w:val="0"/>
        <w:bidi w:val="0"/>
        <w:snapToGrid w:val="0"/>
        <w:rPr>
          <w:rFonts w:hint="eastAsia" w:ascii="宋体" w:hAnsi="宋体" w:eastAsia="宋体" w:cs="宋体"/>
          <w:b/>
          <w:color w:val="auto"/>
          <w:spacing w:val="0"/>
          <w:w w:val="100"/>
          <w:sz w:val="22"/>
          <w:highlight w:val="none"/>
        </w:rPr>
      </w:pPr>
    </w:p>
    <w:p w14:paraId="090B5F76">
      <w:pPr>
        <w:keepNext w:val="0"/>
        <w:keepLines w:val="0"/>
        <w:pageBreakBefore w:val="0"/>
        <w:widowControl w:val="0"/>
        <w:kinsoku/>
        <w:overflowPunct/>
        <w:topLinePunct w:val="0"/>
        <w:bidi w:val="0"/>
        <w:rPr>
          <w:rFonts w:hint="eastAsia" w:ascii="宋体" w:hAnsi="宋体" w:eastAsia="宋体" w:cs="宋体"/>
          <w:b/>
          <w:color w:val="auto"/>
          <w:spacing w:val="0"/>
          <w:w w:val="100"/>
          <w:sz w:val="22"/>
          <w:highlight w:val="none"/>
        </w:rPr>
      </w:pPr>
      <w:r>
        <w:rPr>
          <w:rFonts w:hint="eastAsia" w:ascii="宋体" w:hAnsi="宋体" w:eastAsia="宋体" w:cs="宋体"/>
          <w:b/>
          <w:color w:val="auto"/>
          <w:spacing w:val="0"/>
          <w:w w:val="100"/>
          <w:sz w:val="22"/>
          <w:highlight w:val="none"/>
        </w:rPr>
        <w:br w:type="page"/>
      </w:r>
    </w:p>
    <w:p w14:paraId="1A8E9274">
      <w:pPr>
        <w:pStyle w:val="111"/>
        <w:keepNext w:val="0"/>
        <w:keepLines w:val="0"/>
        <w:pageBreakBefore w:val="0"/>
        <w:widowControl w:val="0"/>
        <w:kinsoku/>
        <w:overflowPunct/>
        <w:topLinePunct w:val="0"/>
        <w:bidi w:val="0"/>
        <w:snapToGrid w:val="0"/>
        <w:jc w:val="both"/>
        <w:rPr>
          <w:rFonts w:hint="eastAsia" w:ascii="宋体" w:hAnsi="宋体" w:eastAsia="宋体" w:cs="宋体"/>
          <w:b/>
          <w:bCs/>
          <w:color w:val="auto"/>
          <w:spacing w:val="0"/>
          <w:w w:val="100"/>
          <w:sz w:val="24"/>
          <w:szCs w:val="16"/>
          <w:highlight w:val="none"/>
          <w:lang w:val="en-US" w:eastAsia="zh-CN"/>
        </w:rPr>
      </w:pPr>
      <w:r>
        <w:rPr>
          <w:rFonts w:hint="eastAsia" w:ascii="宋体" w:hAnsi="宋体" w:eastAsia="宋体" w:cs="宋体"/>
          <w:b/>
          <w:bCs/>
          <w:color w:val="auto"/>
          <w:spacing w:val="0"/>
          <w:w w:val="100"/>
          <w:sz w:val="24"/>
          <w:szCs w:val="16"/>
          <w:highlight w:val="none"/>
          <w:lang w:eastAsia="zh-CN"/>
        </w:rPr>
        <w:t>附件：</w:t>
      </w:r>
    </w:p>
    <w:p w14:paraId="70019423">
      <w:pPr>
        <w:pStyle w:val="111"/>
        <w:keepNext w:val="0"/>
        <w:keepLines w:val="0"/>
        <w:pageBreakBefore w:val="0"/>
        <w:widowControl w:val="0"/>
        <w:kinsoku/>
        <w:overflowPunct/>
        <w:topLinePunct w:val="0"/>
        <w:bidi w:val="0"/>
        <w:snapToGrid w:val="0"/>
        <w:jc w:val="center"/>
        <w:rPr>
          <w:rFonts w:hint="eastAsia" w:ascii="宋体" w:hAnsi="宋体" w:eastAsia="宋体" w:cs="宋体"/>
          <w:color w:val="auto"/>
          <w:spacing w:val="0"/>
          <w:w w:val="100"/>
          <w:sz w:val="30"/>
          <w:highlight w:val="none"/>
        </w:rPr>
      </w:pPr>
      <w:r>
        <w:rPr>
          <w:rFonts w:hint="eastAsia" w:ascii="宋体" w:hAnsi="宋体" w:eastAsia="宋体" w:cs="宋体"/>
          <w:b/>
          <w:bCs/>
          <w:color w:val="auto"/>
          <w:spacing w:val="0"/>
          <w:w w:val="100"/>
          <w:sz w:val="30"/>
          <w:highlight w:val="none"/>
        </w:rPr>
        <w:t>政府采购活动现场确认声明书</w:t>
      </w:r>
    </w:p>
    <w:p w14:paraId="0F6E17BD">
      <w:pPr>
        <w:pStyle w:val="81"/>
        <w:keepNext w:val="0"/>
        <w:keepLines w:val="0"/>
        <w:pageBreakBefore w:val="0"/>
        <w:widowControl w:val="0"/>
        <w:kinsoku/>
        <w:overflowPunct/>
        <w:topLinePunct w:val="0"/>
        <w:bidi w:val="0"/>
        <w:spacing w:line="440" w:lineRule="exact"/>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u w:val="single"/>
        </w:rPr>
        <w:t>浙江诚远工程咨询有限公司</w:t>
      </w:r>
      <w:r>
        <w:rPr>
          <w:rFonts w:hint="eastAsia" w:ascii="宋体" w:hAnsi="宋体" w:eastAsia="宋体" w:cs="宋体"/>
          <w:color w:val="auto"/>
          <w:spacing w:val="0"/>
          <w:w w:val="100"/>
          <w:sz w:val="22"/>
          <w:szCs w:val="22"/>
          <w:highlight w:val="none"/>
        </w:rPr>
        <w:t>：</w:t>
      </w:r>
    </w:p>
    <w:p w14:paraId="497E8FB5">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本人</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none"/>
          <w:lang w:val="en-US" w:eastAsia="zh-CN"/>
        </w:rPr>
        <w:t>，</w:t>
      </w:r>
      <w:r>
        <w:rPr>
          <w:rFonts w:hint="eastAsia" w:ascii="宋体" w:hAnsi="宋体" w:eastAsia="宋体" w:cs="宋体"/>
          <w:color w:val="auto"/>
          <w:spacing w:val="0"/>
          <w:w w:val="100"/>
          <w:sz w:val="22"/>
          <w:szCs w:val="22"/>
          <w:highlight w:val="none"/>
        </w:rPr>
        <w:t>经由</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none"/>
        </w:rPr>
        <w:t>（</w:t>
      </w:r>
      <w:r>
        <w:rPr>
          <w:rFonts w:hint="eastAsia" w:ascii="宋体" w:hAnsi="宋体" w:eastAsia="宋体" w:cs="宋体"/>
          <w:color w:val="auto"/>
          <w:spacing w:val="0"/>
          <w:w w:val="100"/>
          <w:sz w:val="22"/>
          <w:szCs w:val="22"/>
          <w:highlight w:val="none"/>
          <w:u w:val="none"/>
          <w:lang w:eastAsia="zh-CN"/>
        </w:rPr>
        <w:t>单位</w:t>
      </w:r>
      <w:r>
        <w:rPr>
          <w:rFonts w:hint="eastAsia" w:ascii="宋体" w:hAnsi="宋体" w:eastAsia="宋体" w:cs="宋体"/>
          <w:color w:val="auto"/>
          <w:spacing w:val="0"/>
          <w:w w:val="100"/>
          <w:sz w:val="22"/>
          <w:szCs w:val="22"/>
          <w:highlight w:val="none"/>
          <w:u w:val="none"/>
        </w:rPr>
        <w:t>）</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none"/>
          <w:lang w:val="en-US" w:eastAsia="zh-CN"/>
        </w:rPr>
        <w:t>（</w:t>
      </w:r>
      <w:r>
        <w:rPr>
          <w:rFonts w:hint="eastAsia" w:ascii="宋体" w:hAnsi="宋体" w:eastAsia="宋体" w:cs="宋体"/>
          <w:color w:val="auto"/>
          <w:spacing w:val="0"/>
          <w:w w:val="100"/>
          <w:sz w:val="22"/>
          <w:szCs w:val="22"/>
          <w:highlight w:val="none"/>
        </w:rPr>
        <w:t>法定代表人</w:t>
      </w:r>
      <w:r>
        <w:rPr>
          <w:rFonts w:hint="eastAsia" w:ascii="宋体" w:hAnsi="宋体" w:eastAsia="宋体" w:cs="宋体"/>
          <w:color w:val="auto"/>
          <w:spacing w:val="0"/>
          <w:w w:val="100"/>
          <w:sz w:val="22"/>
          <w:szCs w:val="22"/>
          <w:highlight w:val="none"/>
          <w:lang w:eastAsia="zh-CN"/>
        </w:rPr>
        <w:t>姓名</w:t>
      </w:r>
      <w:r>
        <w:rPr>
          <w:rFonts w:hint="eastAsia" w:ascii="宋体" w:hAnsi="宋体" w:eastAsia="宋体" w:cs="宋体"/>
          <w:color w:val="auto"/>
          <w:spacing w:val="0"/>
          <w:w w:val="100"/>
          <w:sz w:val="22"/>
          <w:szCs w:val="22"/>
          <w:highlight w:val="none"/>
        </w:rPr>
        <w:t>）合法授权参加</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lang w:eastAsia="zh-CN"/>
        </w:rPr>
        <w:t>2024-2025年度庆元县生态质量国家级样地生物多样性调查监测项目</w:t>
      </w:r>
      <w:r>
        <w:rPr>
          <w:rFonts w:hint="eastAsia" w:ascii="宋体" w:hAnsi="宋体" w:eastAsia="宋体" w:cs="宋体"/>
          <w:color w:val="auto"/>
          <w:spacing w:val="0"/>
          <w:w w:val="100"/>
          <w:sz w:val="22"/>
          <w:szCs w:val="22"/>
          <w:highlight w:val="none"/>
          <w:u w:val="none"/>
        </w:rPr>
        <w:t>（编号：</w:t>
      </w:r>
      <w:r>
        <w:rPr>
          <w:rFonts w:hint="eastAsia" w:ascii="宋体" w:hAnsi="宋体" w:eastAsia="宋体" w:cs="宋体"/>
          <w:color w:val="auto"/>
          <w:spacing w:val="0"/>
          <w:w w:val="100"/>
          <w:sz w:val="22"/>
          <w:szCs w:val="22"/>
          <w:highlight w:val="none"/>
          <w:u w:val="single"/>
          <w:lang w:eastAsia="zh-CN"/>
        </w:rPr>
        <w:t>浙诚远庆2024076号</w:t>
      </w:r>
      <w:r>
        <w:rPr>
          <w:rFonts w:hint="eastAsia" w:ascii="宋体" w:hAnsi="宋体" w:eastAsia="宋体" w:cs="宋体"/>
          <w:color w:val="auto"/>
          <w:spacing w:val="0"/>
          <w:w w:val="100"/>
          <w:sz w:val="22"/>
          <w:szCs w:val="22"/>
          <w:highlight w:val="none"/>
          <w:u w:val="none"/>
        </w:rPr>
        <w:t>）</w:t>
      </w:r>
      <w:r>
        <w:rPr>
          <w:rFonts w:hint="eastAsia" w:ascii="宋体" w:hAnsi="宋体" w:eastAsia="宋体" w:cs="宋体"/>
          <w:color w:val="auto"/>
          <w:spacing w:val="0"/>
          <w:w w:val="100"/>
          <w:sz w:val="22"/>
          <w:szCs w:val="22"/>
          <w:highlight w:val="none"/>
        </w:rPr>
        <w:t>政府采购活动，</w:t>
      </w:r>
      <w:r>
        <w:rPr>
          <w:rFonts w:hint="eastAsia" w:ascii="宋体" w:hAnsi="宋体" w:eastAsia="宋体" w:cs="宋体"/>
          <w:b/>
          <w:bCs/>
          <w:color w:val="auto"/>
          <w:spacing w:val="0"/>
          <w:w w:val="100"/>
          <w:sz w:val="22"/>
          <w:szCs w:val="22"/>
          <w:highlight w:val="none"/>
        </w:rPr>
        <w:t>经与本单位法人代表（负责人）联系确认，现就有关公平竞争事项郑重声明如下</w:t>
      </w:r>
      <w:r>
        <w:rPr>
          <w:rFonts w:hint="eastAsia" w:ascii="宋体" w:hAnsi="宋体" w:eastAsia="宋体" w:cs="宋体"/>
          <w:color w:val="auto"/>
          <w:spacing w:val="0"/>
          <w:w w:val="100"/>
          <w:sz w:val="22"/>
          <w:szCs w:val="22"/>
          <w:highlight w:val="none"/>
        </w:rPr>
        <w:t>：</w:t>
      </w:r>
    </w:p>
    <w:p w14:paraId="08DFEE1F">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u w:val="none"/>
        </w:rPr>
      </w:pPr>
      <w:r>
        <w:rPr>
          <w:rFonts w:hint="eastAsia" w:ascii="宋体" w:hAnsi="宋体" w:eastAsia="宋体" w:cs="宋体"/>
          <w:color w:val="auto"/>
          <w:spacing w:val="0"/>
          <w:w w:val="100"/>
          <w:sz w:val="22"/>
          <w:szCs w:val="22"/>
          <w:highlight w:val="none"/>
        </w:rPr>
        <w:t>一、本单位与采购人之间</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 xml:space="preserve"> □不存在利害关系</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 xml:space="preserve"> □存在下列利害关系</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none"/>
        </w:rPr>
        <w:t>：</w:t>
      </w:r>
    </w:p>
    <w:p w14:paraId="5DDC0659">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A.投资关系    B.行政隶属关系    C.业务指导关系</w:t>
      </w:r>
    </w:p>
    <w:p w14:paraId="0F1D07C1">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u w:val="single"/>
        </w:rPr>
      </w:pPr>
      <w:r>
        <w:rPr>
          <w:rFonts w:hint="eastAsia" w:ascii="宋体" w:hAnsi="宋体" w:eastAsia="宋体" w:cs="宋体"/>
          <w:color w:val="auto"/>
          <w:spacing w:val="0"/>
          <w:w w:val="100"/>
          <w:sz w:val="22"/>
          <w:szCs w:val="22"/>
          <w:highlight w:val="none"/>
        </w:rPr>
        <w:t>D.其他可能影响采购公正的利害关系（如有，请如实说明）</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single"/>
        </w:rPr>
        <w:t xml:space="preserve">    </w:t>
      </w:r>
    </w:p>
    <w:p w14:paraId="531D5179">
      <w:pPr>
        <w:keepNext w:val="0"/>
        <w:keepLines w:val="0"/>
        <w:pageBreakBefore w:val="0"/>
        <w:widowControl w:val="0"/>
        <w:kinsoku/>
        <w:overflowPunct/>
        <w:topLinePunct w:val="0"/>
        <w:bidi w:val="0"/>
        <w:spacing w:line="440" w:lineRule="exact"/>
        <w:ind w:firstLine="442" w:firstLineChars="200"/>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二、现已清楚知道参加本项目采购活动的其他所有</w:t>
      </w:r>
      <w:r>
        <w:rPr>
          <w:rFonts w:hint="eastAsia" w:ascii="宋体" w:hAnsi="宋体" w:eastAsia="宋体" w:cs="宋体"/>
          <w:b/>
          <w:bCs/>
          <w:color w:val="auto"/>
          <w:spacing w:val="0"/>
          <w:w w:val="100"/>
          <w:sz w:val="22"/>
          <w:szCs w:val="22"/>
          <w:highlight w:val="none"/>
          <w:lang w:eastAsia="zh-CN"/>
        </w:rPr>
        <w:t>供应商</w:t>
      </w:r>
      <w:r>
        <w:rPr>
          <w:rFonts w:hint="eastAsia" w:ascii="宋体" w:hAnsi="宋体" w:eastAsia="宋体" w:cs="宋体"/>
          <w:b/>
          <w:bCs/>
          <w:color w:val="auto"/>
          <w:spacing w:val="0"/>
          <w:w w:val="100"/>
          <w:sz w:val="22"/>
          <w:szCs w:val="22"/>
          <w:highlight w:val="none"/>
        </w:rPr>
        <w:t>名称，本单位</w:t>
      </w:r>
    </w:p>
    <w:p w14:paraId="54EAA215">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□与其他所有</w:t>
      </w:r>
      <w:r>
        <w:rPr>
          <w:rFonts w:hint="eastAsia" w:ascii="宋体" w:hAnsi="宋体" w:eastAsia="宋体" w:cs="宋体"/>
          <w:color w:val="auto"/>
          <w:spacing w:val="0"/>
          <w:w w:val="100"/>
          <w:sz w:val="22"/>
          <w:szCs w:val="22"/>
          <w:highlight w:val="none"/>
          <w:lang w:eastAsia="zh-CN"/>
        </w:rPr>
        <w:t>供应商</w:t>
      </w:r>
      <w:r>
        <w:rPr>
          <w:rFonts w:hint="eastAsia" w:ascii="宋体" w:hAnsi="宋体" w:eastAsia="宋体" w:cs="宋体"/>
          <w:color w:val="auto"/>
          <w:spacing w:val="0"/>
          <w:w w:val="100"/>
          <w:sz w:val="22"/>
          <w:szCs w:val="22"/>
          <w:highlight w:val="none"/>
        </w:rPr>
        <w:t xml:space="preserve">之间均不存在利害关系 </w:t>
      </w:r>
      <w:r>
        <w:rPr>
          <w:rFonts w:hint="eastAsia" w:ascii="宋体" w:hAnsi="宋体" w:eastAsia="宋体" w:cs="宋体"/>
          <w:color w:val="auto"/>
          <w:spacing w:val="0"/>
          <w:w w:val="100"/>
          <w:sz w:val="22"/>
          <w:szCs w:val="22"/>
          <w:highlight w:val="none"/>
          <w:lang w:val="en-US" w:eastAsia="zh-CN"/>
        </w:rPr>
        <w:t xml:space="preserve">  </w:t>
      </w:r>
      <w:r>
        <w:rPr>
          <w:rFonts w:hint="eastAsia" w:ascii="宋体" w:hAnsi="宋体" w:eastAsia="宋体" w:cs="宋体"/>
          <w:color w:val="auto"/>
          <w:spacing w:val="0"/>
          <w:w w:val="100"/>
          <w:sz w:val="22"/>
          <w:szCs w:val="22"/>
          <w:highlight w:val="none"/>
        </w:rPr>
        <w:t xml:space="preserve"> □与</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single"/>
          <w:lang w:val="en-US" w:eastAsia="zh-CN"/>
        </w:rPr>
        <w:t xml:space="preserve">           </w:t>
      </w:r>
      <w:r>
        <w:rPr>
          <w:rFonts w:hint="eastAsia" w:ascii="宋体" w:hAnsi="宋体" w:eastAsia="宋体" w:cs="宋体"/>
          <w:color w:val="auto"/>
          <w:spacing w:val="0"/>
          <w:w w:val="100"/>
          <w:sz w:val="22"/>
          <w:szCs w:val="22"/>
          <w:highlight w:val="none"/>
          <w:u w:val="single"/>
        </w:rPr>
        <w:t xml:space="preserve"> </w:t>
      </w:r>
      <w:r>
        <w:rPr>
          <w:rFonts w:hint="eastAsia" w:ascii="宋体" w:hAnsi="宋体" w:eastAsia="宋体" w:cs="宋体"/>
          <w:color w:val="auto"/>
          <w:spacing w:val="0"/>
          <w:w w:val="100"/>
          <w:sz w:val="22"/>
          <w:szCs w:val="22"/>
          <w:highlight w:val="none"/>
          <w:u w:val="none"/>
        </w:rPr>
        <w:t>（</w:t>
      </w:r>
      <w:r>
        <w:rPr>
          <w:rFonts w:hint="eastAsia" w:ascii="宋体" w:hAnsi="宋体" w:eastAsia="宋体" w:cs="宋体"/>
          <w:color w:val="auto"/>
          <w:spacing w:val="0"/>
          <w:w w:val="100"/>
          <w:sz w:val="22"/>
          <w:szCs w:val="22"/>
          <w:highlight w:val="none"/>
          <w:u w:val="none"/>
          <w:lang w:eastAsia="zh-CN"/>
        </w:rPr>
        <w:t>磋商供应商</w:t>
      </w:r>
      <w:r>
        <w:rPr>
          <w:rFonts w:hint="eastAsia" w:ascii="宋体" w:hAnsi="宋体" w:eastAsia="宋体" w:cs="宋体"/>
          <w:color w:val="auto"/>
          <w:spacing w:val="0"/>
          <w:w w:val="100"/>
          <w:sz w:val="22"/>
          <w:szCs w:val="22"/>
          <w:highlight w:val="none"/>
          <w:u w:val="none"/>
        </w:rPr>
        <w:t>名称）</w:t>
      </w:r>
      <w:r>
        <w:rPr>
          <w:rFonts w:hint="eastAsia" w:ascii="宋体" w:hAnsi="宋体" w:eastAsia="宋体" w:cs="宋体"/>
          <w:color w:val="auto"/>
          <w:spacing w:val="0"/>
          <w:w w:val="100"/>
          <w:sz w:val="22"/>
          <w:szCs w:val="22"/>
          <w:highlight w:val="none"/>
        </w:rPr>
        <w:t>之间存在下列利害关系：</w:t>
      </w:r>
      <w:r>
        <w:rPr>
          <w:rFonts w:hint="eastAsia" w:ascii="宋体" w:hAnsi="宋体" w:eastAsia="宋体" w:cs="宋体"/>
          <w:color w:val="auto"/>
          <w:spacing w:val="0"/>
          <w:w w:val="100"/>
          <w:sz w:val="22"/>
          <w:szCs w:val="22"/>
          <w:highlight w:val="none"/>
          <w:u w:val="single"/>
          <w:lang w:val="en-US" w:eastAsia="zh-CN"/>
        </w:rPr>
        <w:t xml:space="preserve">        </w:t>
      </w:r>
    </w:p>
    <w:p w14:paraId="17C8F4D6">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A.法定代表人或负责人或实际控制人是同一人</w:t>
      </w:r>
    </w:p>
    <w:p w14:paraId="7E87DEAD">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B.法定代表人或负责人或实际控制人是夫妻关系</w:t>
      </w:r>
    </w:p>
    <w:p w14:paraId="1D2D4393">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C.法定代表人或负责人或实际控制人是直系血亲关系</w:t>
      </w:r>
    </w:p>
    <w:p w14:paraId="21BEDE5C">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D.法定代表人或负责人或实际控制人存在三代以内旁系血亲关系</w:t>
      </w:r>
    </w:p>
    <w:p w14:paraId="486C0214">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E.法定代表人或负责人或实际控制人存在近姻亲关系</w:t>
      </w:r>
    </w:p>
    <w:p w14:paraId="624D7B18">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F.法定代表人或负责人或实际控制人存在股份控制或实际控制关系</w:t>
      </w:r>
    </w:p>
    <w:p w14:paraId="1FDC3736">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G.存在共同直接或间接投资设立子公司、联营企业和合营企业情况</w:t>
      </w:r>
    </w:p>
    <w:p w14:paraId="622B4FE5">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H.存在分级代理或代销关系、同一生产制造商关系、管理关系、重要业务（占主营业务收入50%以上）或重要财务往来关系（如融资）等其他实质性控制关系</w:t>
      </w:r>
    </w:p>
    <w:p w14:paraId="52A3CFD9">
      <w:pPr>
        <w:keepNext w:val="0"/>
        <w:keepLines w:val="0"/>
        <w:pageBreakBefore w:val="0"/>
        <w:widowControl w:val="0"/>
        <w:kinsoku/>
        <w:overflowPunct/>
        <w:topLinePunct w:val="0"/>
        <w:bidi w:val="0"/>
        <w:spacing w:line="440" w:lineRule="exact"/>
        <w:ind w:firstLine="440" w:firstLineChars="200"/>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 xml:space="preserve">I.其他利害关系情况 </w:t>
      </w:r>
      <w:r>
        <w:rPr>
          <w:rFonts w:hint="eastAsia" w:ascii="宋体" w:hAnsi="宋体" w:eastAsia="宋体" w:cs="宋体"/>
          <w:color w:val="auto"/>
          <w:spacing w:val="0"/>
          <w:w w:val="100"/>
          <w:sz w:val="22"/>
          <w:szCs w:val="22"/>
          <w:highlight w:val="none"/>
          <w:u w:val="single"/>
        </w:rPr>
        <w:t xml:space="preserve">                                           </w:t>
      </w:r>
    </w:p>
    <w:p w14:paraId="43D2D164">
      <w:pPr>
        <w:keepNext w:val="0"/>
        <w:keepLines w:val="0"/>
        <w:pageBreakBefore w:val="0"/>
        <w:widowControl w:val="0"/>
        <w:kinsoku/>
        <w:overflowPunct/>
        <w:topLinePunct w:val="0"/>
        <w:bidi w:val="0"/>
        <w:spacing w:line="440" w:lineRule="exact"/>
        <w:ind w:firstLine="442" w:firstLineChars="200"/>
        <w:rPr>
          <w:rFonts w:hint="eastAsia" w:ascii="宋体" w:hAnsi="宋体" w:eastAsia="宋体" w:cs="宋体"/>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三、现已清楚知道并严格遵守政府采购法律法规和现场纪律。</w:t>
      </w:r>
    </w:p>
    <w:p w14:paraId="23317584">
      <w:pPr>
        <w:keepNext w:val="0"/>
        <w:keepLines w:val="0"/>
        <w:pageBreakBefore w:val="0"/>
        <w:widowControl w:val="0"/>
        <w:kinsoku/>
        <w:overflowPunct/>
        <w:topLinePunct w:val="0"/>
        <w:bidi w:val="0"/>
        <w:spacing w:line="440" w:lineRule="exact"/>
        <w:ind w:firstLine="442" w:firstLineChars="200"/>
        <w:rPr>
          <w:rFonts w:hint="eastAsia" w:ascii="宋体" w:hAnsi="宋体" w:eastAsia="宋体" w:cs="宋体"/>
          <w:b/>
          <w:bCs/>
          <w:color w:val="auto"/>
          <w:spacing w:val="0"/>
          <w:w w:val="100"/>
          <w:sz w:val="22"/>
          <w:szCs w:val="22"/>
          <w:highlight w:val="none"/>
        </w:rPr>
      </w:pPr>
      <w:r>
        <w:rPr>
          <w:rFonts w:hint="eastAsia" w:ascii="宋体" w:hAnsi="宋体" w:eastAsia="宋体" w:cs="宋体"/>
          <w:b/>
          <w:bCs/>
          <w:color w:val="auto"/>
          <w:spacing w:val="0"/>
          <w:w w:val="100"/>
          <w:sz w:val="22"/>
          <w:szCs w:val="22"/>
          <w:highlight w:val="none"/>
        </w:rPr>
        <w:t>四、我发现</w:t>
      </w:r>
      <w:r>
        <w:rPr>
          <w:rFonts w:hint="eastAsia" w:ascii="宋体" w:hAnsi="宋体" w:eastAsia="宋体" w:cs="宋体"/>
          <w:b/>
          <w:bCs/>
          <w:color w:val="auto"/>
          <w:spacing w:val="0"/>
          <w:w w:val="100"/>
          <w:sz w:val="22"/>
          <w:szCs w:val="22"/>
          <w:highlight w:val="none"/>
          <w:u w:val="single"/>
        </w:rPr>
        <w:t xml:space="preserve">                 </w:t>
      </w:r>
      <w:r>
        <w:rPr>
          <w:rFonts w:hint="eastAsia" w:ascii="宋体" w:hAnsi="宋体" w:eastAsia="宋体" w:cs="宋体"/>
          <w:b/>
          <w:bCs/>
          <w:color w:val="auto"/>
          <w:spacing w:val="0"/>
          <w:w w:val="100"/>
          <w:sz w:val="22"/>
          <w:szCs w:val="22"/>
          <w:highlight w:val="none"/>
          <w:lang w:eastAsia="zh-CN"/>
        </w:rPr>
        <w:t>供应商</w:t>
      </w:r>
      <w:r>
        <w:rPr>
          <w:rFonts w:hint="eastAsia" w:ascii="宋体" w:hAnsi="宋体" w:eastAsia="宋体" w:cs="宋体"/>
          <w:b/>
          <w:bCs/>
          <w:color w:val="auto"/>
          <w:spacing w:val="0"/>
          <w:w w:val="100"/>
          <w:sz w:val="22"/>
          <w:szCs w:val="22"/>
          <w:highlight w:val="none"/>
        </w:rPr>
        <w:t>之间存在或可能存在上述第二条第</w:t>
      </w:r>
      <w:r>
        <w:rPr>
          <w:rFonts w:hint="eastAsia" w:ascii="宋体" w:hAnsi="宋体" w:eastAsia="宋体" w:cs="宋体"/>
          <w:b/>
          <w:bCs/>
          <w:color w:val="auto"/>
          <w:spacing w:val="0"/>
          <w:w w:val="100"/>
          <w:sz w:val="22"/>
          <w:szCs w:val="22"/>
          <w:highlight w:val="none"/>
          <w:u w:val="single"/>
        </w:rPr>
        <w:t xml:space="preserve">     </w:t>
      </w:r>
      <w:r>
        <w:rPr>
          <w:rFonts w:hint="eastAsia" w:ascii="宋体" w:hAnsi="宋体" w:eastAsia="宋体" w:cs="宋体"/>
          <w:b/>
          <w:bCs/>
          <w:color w:val="auto"/>
          <w:spacing w:val="0"/>
          <w:w w:val="100"/>
          <w:sz w:val="22"/>
          <w:szCs w:val="22"/>
          <w:highlight w:val="none"/>
        </w:rPr>
        <w:t>项利害关系。</w:t>
      </w:r>
    </w:p>
    <w:p w14:paraId="4F3D6F46">
      <w:pPr>
        <w:keepNext w:val="0"/>
        <w:keepLines w:val="0"/>
        <w:pageBreakBefore w:val="0"/>
        <w:widowControl w:val="0"/>
        <w:kinsoku/>
        <w:overflowPunct/>
        <w:topLinePunct w:val="0"/>
        <w:bidi w:val="0"/>
        <w:spacing w:line="440" w:lineRule="exact"/>
        <w:ind w:firstLine="4830" w:firstLineChars="2300"/>
        <w:rPr>
          <w:rFonts w:hint="eastAsia" w:ascii="宋体" w:hAnsi="宋体" w:eastAsia="宋体" w:cs="宋体"/>
          <w:color w:val="auto"/>
          <w:spacing w:val="0"/>
          <w:w w:val="100"/>
          <w:sz w:val="21"/>
          <w:szCs w:val="21"/>
          <w:highlight w:val="none"/>
        </w:rPr>
      </w:pPr>
    </w:p>
    <w:p w14:paraId="7D504B5E">
      <w:pPr>
        <w:keepNext w:val="0"/>
        <w:keepLines w:val="0"/>
        <w:pageBreakBefore w:val="0"/>
        <w:widowControl w:val="0"/>
        <w:kinsoku/>
        <w:overflowPunct/>
        <w:topLinePunct w:val="0"/>
        <w:bidi w:val="0"/>
        <w:spacing w:line="440" w:lineRule="exact"/>
        <w:ind w:firstLine="4830" w:firstLineChars="2300"/>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sz w:val="21"/>
          <w:szCs w:val="21"/>
          <w:highlight w:val="none"/>
        </w:rPr>
        <w:t>（</w:t>
      </w:r>
      <w:r>
        <w:rPr>
          <w:rFonts w:hint="eastAsia" w:ascii="宋体" w:hAnsi="宋体" w:eastAsia="宋体" w:cs="宋体"/>
          <w:color w:val="auto"/>
          <w:spacing w:val="0"/>
          <w:w w:val="100"/>
          <w:sz w:val="21"/>
          <w:szCs w:val="21"/>
          <w:highlight w:val="none"/>
          <w:lang w:eastAsia="zh-CN"/>
        </w:rPr>
        <w:t>供应商代表</w:t>
      </w:r>
      <w:r>
        <w:rPr>
          <w:rFonts w:hint="eastAsia" w:ascii="宋体" w:hAnsi="宋体" w:eastAsia="宋体" w:cs="宋体"/>
          <w:color w:val="auto"/>
          <w:spacing w:val="0"/>
          <w:w w:val="100"/>
          <w:sz w:val="21"/>
          <w:szCs w:val="21"/>
          <w:highlight w:val="none"/>
        </w:rPr>
        <w:t>签名）</w:t>
      </w:r>
      <w:r>
        <w:rPr>
          <w:rFonts w:hint="eastAsia" w:ascii="宋体" w:hAnsi="宋体" w:eastAsia="宋体" w:cs="宋体"/>
          <w:bCs/>
          <w:color w:val="auto"/>
          <w:spacing w:val="0"/>
          <w:w w:val="100"/>
          <w:kern w:val="0"/>
          <w:sz w:val="21"/>
          <w:szCs w:val="21"/>
          <w:highlight w:val="none"/>
        </w:rPr>
        <w:t>：</w:t>
      </w:r>
    </w:p>
    <w:p w14:paraId="1EA95B0D">
      <w:pPr>
        <w:keepNext w:val="0"/>
        <w:keepLines w:val="0"/>
        <w:pageBreakBefore w:val="0"/>
        <w:widowControl w:val="0"/>
        <w:kinsoku/>
        <w:overflowPunct/>
        <w:topLinePunct w:val="0"/>
        <w:bidi w:val="0"/>
        <w:spacing w:line="440" w:lineRule="exact"/>
        <w:ind w:firstLine="7560" w:firstLineChars="3600"/>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sz w:val="21"/>
          <w:szCs w:val="21"/>
          <w:highlight w:val="none"/>
        </w:rPr>
        <w:t>年   月   日</w:t>
      </w:r>
    </w:p>
    <w:p w14:paraId="5501C7C4">
      <w:pPr>
        <w:keepNext w:val="0"/>
        <w:keepLines w:val="0"/>
        <w:pageBreakBefore w:val="0"/>
        <w:widowControl w:val="0"/>
        <w:kinsoku/>
        <w:overflowPunct/>
        <w:topLinePunct w:val="0"/>
        <w:bidi w:val="0"/>
        <w:spacing w:line="360" w:lineRule="exact"/>
        <w:ind w:firstLine="413" w:firstLineChars="196"/>
        <w:jc w:val="left"/>
        <w:rPr>
          <w:rFonts w:hint="eastAsia" w:ascii="宋体" w:hAnsi="宋体" w:eastAsia="宋体" w:cs="宋体"/>
          <w:b/>
          <w:color w:val="auto"/>
          <w:spacing w:val="0"/>
          <w:w w:val="100"/>
          <w:sz w:val="21"/>
          <w:szCs w:val="21"/>
          <w:highlight w:val="none"/>
        </w:rPr>
      </w:pPr>
    </w:p>
    <w:p w14:paraId="42312FF1">
      <w:pPr>
        <w:keepNext w:val="0"/>
        <w:keepLines w:val="0"/>
        <w:pageBreakBefore w:val="0"/>
        <w:widowControl w:val="0"/>
        <w:kinsoku/>
        <w:overflowPunct/>
        <w:topLinePunct w:val="0"/>
        <w:bidi w:val="0"/>
        <w:spacing w:line="360" w:lineRule="exact"/>
        <w:ind w:firstLine="413" w:firstLineChars="196"/>
        <w:jc w:val="left"/>
        <w:rPr>
          <w:rFonts w:hint="eastAsia" w:ascii="宋体" w:hAnsi="宋体" w:eastAsia="宋体" w:cs="宋体"/>
          <w:b/>
          <w:color w:val="auto"/>
          <w:spacing w:val="0"/>
          <w:w w:val="100"/>
          <w:sz w:val="21"/>
          <w:szCs w:val="21"/>
          <w:highlight w:val="none"/>
        </w:rPr>
      </w:pPr>
      <w:r>
        <w:rPr>
          <w:rFonts w:hint="eastAsia" w:ascii="宋体" w:hAnsi="宋体" w:eastAsia="宋体" w:cs="宋体"/>
          <w:b/>
          <w:color w:val="auto"/>
          <w:spacing w:val="0"/>
          <w:w w:val="100"/>
          <w:sz w:val="21"/>
          <w:szCs w:val="21"/>
          <w:highlight w:val="none"/>
        </w:rPr>
        <w:t>注：</w:t>
      </w:r>
      <w:r>
        <w:rPr>
          <w:rFonts w:hint="eastAsia" w:ascii="宋体" w:hAnsi="宋体" w:eastAsia="宋体" w:cs="宋体"/>
          <w:b/>
          <w:color w:val="auto"/>
          <w:spacing w:val="0"/>
          <w:w w:val="100"/>
          <w:sz w:val="21"/>
          <w:szCs w:val="21"/>
          <w:highlight w:val="none"/>
          <w:lang w:val="en-US" w:eastAsia="zh-CN"/>
        </w:rPr>
        <w:t>1.</w:t>
      </w:r>
      <w:r>
        <w:rPr>
          <w:rFonts w:hint="eastAsia" w:ascii="宋体" w:hAnsi="宋体" w:eastAsia="宋体" w:cs="宋体"/>
          <w:b/>
          <w:color w:val="auto"/>
          <w:spacing w:val="0"/>
          <w:w w:val="100"/>
          <w:sz w:val="21"/>
          <w:szCs w:val="21"/>
          <w:highlight w:val="none"/>
        </w:rPr>
        <w:t>供应商根据解密后交易平台公布的供应商名单及信息</w:t>
      </w:r>
      <w:r>
        <w:rPr>
          <w:rFonts w:hint="eastAsia" w:ascii="宋体" w:hAnsi="宋体" w:eastAsia="宋体" w:cs="宋体"/>
          <w:b/>
          <w:color w:val="auto"/>
          <w:spacing w:val="0"/>
          <w:w w:val="100"/>
          <w:sz w:val="21"/>
          <w:szCs w:val="21"/>
          <w:highlight w:val="none"/>
          <w:lang w:eastAsia="zh-CN"/>
        </w:rPr>
        <w:t>，</w:t>
      </w:r>
      <w:r>
        <w:rPr>
          <w:rFonts w:hint="eastAsia" w:ascii="宋体" w:hAnsi="宋体" w:eastAsia="宋体" w:cs="宋体"/>
          <w:b/>
          <w:color w:val="auto"/>
          <w:spacing w:val="0"/>
          <w:w w:val="100"/>
          <w:sz w:val="21"/>
          <w:szCs w:val="21"/>
          <w:highlight w:val="none"/>
        </w:rPr>
        <w:t>通过邮件方式提交《政府采购活动现场确认声明书》至邮箱1262850359@qq.com，提交时限为“开启标书信息”后30分钟内。</w:t>
      </w:r>
    </w:p>
    <w:p w14:paraId="533167FE">
      <w:pPr>
        <w:keepNext w:val="0"/>
        <w:keepLines w:val="0"/>
        <w:pageBreakBefore w:val="0"/>
        <w:widowControl w:val="0"/>
        <w:kinsoku/>
        <w:overflowPunct/>
        <w:topLinePunct w:val="0"/>
        <w:bidi w:val="0"/>
        <w:spacing w:line="360" w:lineRule="exact"/>
        <w:ind w:firstLine="413" w:firstLineChars="196"/>
        <w:jc w:val="left"/>
        <w:rPr>
          <w:rFonts w:hint="eastAsia" w:ascii="宋体" w:hAnsi="宋体" w:eastAsia="宋体" w:cs="宋体"/>
          <w:b/>
          <w:bCs/>
          <w:color w:val="auto"/>
          <w:spacing w:val="0"/>
          <w:w w:val="100"/>
          <w:sz w:val="24"/>
          <w:szCs w:val="16"/>
          <w:highlight w:val="none"/>
          <w:lang w:eastAsia="zh-CN"/>
        </w:rPr>
      </w:pPr>
      <w:r>
        <w:rPr>
          <w:rFonts w:hint="eastAsia" w:ascii="宋体" w:hAnsi="宋体" w:eastAsia="宋体" w:cs="宋体"/>
          <w:b/>
          <w:color w:val="auto"/>
          <w:spacing w:val="0"/>
          <w:w w:val="100"/>
          <w:sz w:val="21"/>
          <w:szCs w:val="21"/>
          <w:highlight w:val="none"/>
          <w:lang w:val="en-US" w:eastAsia="zh-CN"/>
        </w:rPr>
        <w:t>2.</w:t>
      </w:r>
      <w:r>
        <w:rPr>
          <w:rFonts w:hint="eastAsia" w:ascii="宋体" w:hAnsi="宋体" w:eastAsia="宋体" w:cs="宋体"/>
          <w:b/>
          <w:color w:val="auto"/>
          <w:spacing w:val="0"/>
          <w:w w:val="100"/>
          <w:sz w:val="21"/>
          <w:szCs w:val="21"/>
          <w:highlight w:val="none"/>
        </w:rPr>
        <w:t>供应商认为有利害关系和需要回避的人员，应提供相关证明材料，与本声明书一同提交。由采购代理机构和财政监督部门负责询问核查。</w:t>
      </w:r>
      <w:bookmarkStart w:id="211" w:name="_Toc95488124"/>
      <w:bookmarkStart w:id="212" w:name="_Toc441763635"/>
      <w:bookmarkStart w:id="213" w:name="_Toc432670427"/>
      <w:bookmarkStart w:id="214" w:name="_Toc2466"/>
      <w:bookmarkStart w:id="215" w:name="_Toc11096"/>
      <w:bookmarkStart w:id="216" w:name="_Toc390938600"/>
      <w:bookmarkStart w:id="217" w:name="_Toc335664294"/>
      <w:r>
        <w:rPr>
          <w:rFonts w:hint="eastAsia" w:ascii="宋体" w:hAnsi="宋体" w:eastAsia="宋体" w:cs="宋体"/>
          <w:b/>
          <w:bCs/>
          <w:color w:val="auto"/>
          <w:spacing w:val="0"/>
          <w:w w:val="100"/>
          <w:sz w:val="24"/>
          <w:szCs w:val="16"/>
          <w:highlight w:val="none"/>
          <w:lang w:eastAsia="zh-CN"/>
        </w:rPr>
        <w:br w:type="page"/>
      </w:r>
    </w:p>
    <w:bookmarkEnd w:id="211"/>
    <w:bookmarkEnd w:id="212"/>
    <w:bookmarkEnd w:id="213"/>
    <w:p w14:paraId="5524F2D3">
      <w:pPr>
        <w:pStyle w:val="3"/>
        <w:keepNext w:val="0"/>
        <w:keepLines w:val="0"/>
        <w:pageBreakBefore w:val="0"/>
        <w:widowControl w:val="0"/>
        <w:kinsoku/>
        <w:overflowPunct/>
        <w:topLinePunct w:val="0"/>
        <w:bidi w:val="0"/>
        <w:spacing w:line="560" w:lineRule="exact"/>
        <w:ind w:left="0"/>
        <w:jc w:val="center"/>
        <w:rPr>
          <w:rFonts w:hint="eastAsia" w:ascii="宋体" w:hAnsi="宋体" w:eastAsia="宋体" w:cs="宋体"/>
          <w:b/>
          <w:bCs/>
          <w:color w:val="auto"/>
          <w:spacing w:val="0"/>
          <w:w w:val="100"/>
          <w:sz w:val="36"/>
          <w:szCs w:val="36"/>
          <w:highlight w:val="none"/>
        </w:rPr>
      </w:pPr>
      <w:r>
        <w:rPr>
          <w:rFonts w:hint="eastAsia" w:ascii="宋体" w:hAnsi="宋体" w:eastAsia="宋体" w:cs="宋体"/>
          <w:b/>
          <w:bCs/>
          <w:color w:val="auto"/>
          <w:spacing w:val="0"/>
          <w:w w:val="100"/>
          <w:sz w:val="36"/>
          <w:szCs w:val="36"/>
          <w:highlight w:val="none"/>
        </w:rPr>
        <w:t>第六章  磋商办法和细则</w:t>
      </w:r>
      <w:bookmarkEnd w:id="214"/>
      <w:bookmarkEnd w:id="215"/>
      <w:bookmarkEnd w:id="216"/>
      <w:bookmarkEnd w:id="217"/>
    </w:p>
    <w:p w14:paraId="3513BFAD">
      <w:pPr>
        <w:pStyle w:val="25"/>
        <w:keepNext w:val="0"/>
        <w:keepLines w:val="0"/>
        <w:pageBreakBefore w:val="0"/>
        <w:widowControl w:val="0"/>
        <w:kinsoku/>
        <w:wordWrap w:val="0"/>
        <w:overflowPunct/>
        <w:topLinePunct w:val="0"/>
        <w:autoSpaceDE/>
        <w:autoSpaceDN/>
        <w:bidi w:val="0"/>
        <w:adjustRightInd/>
        <w:snapToGrid/>
        <w:spacing w:line="460" w:lineRule="exact"/>
        <w:ind w:left="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根据《中华人民共和国政府采购法</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政府采购竞争性磋商采购方式管理暂行办法》等有关法律法规的规定，并结合本项目的实际，按照公正、公平、科学、择优的原则选择成交人，特制定本办法。</w:t>
      </w:r>
    </w:p>
    <w:p w14:paraId="1F0FFA1E">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18" w:name="_Toc28076"/>
      <w:bookmarkStart w:id="219" w:name="_Toc26047"/>
      <w:bookmarkStart w:id="220" w:name="_Toc493955998"/>
      <w:bookmarkStart w:id="221" w:name="_Toc335664295"/>
      <w:bookmarkStart w:id="222" w:name="_Toc494558393"/>
      <w:bookmarkStart w:id="223" w:name="_Toc335664299"/>
      <w:bookmarkStart w:id="224" w:name="_Toc390938605"/>
      <w:r>
        <w:rPr>
          <w:rFonts w:hint="eastAsia" w:ascii="宋体" w:hAnsi="宋体" w:eastAsia="宋体" w:cs="宋体"/>
          <w:b/>
          <w:bCs/>
          <w:color w:val="auto"/>
          <w:spacing w:val="0"/>
          <w:w w:val="100"/>
          <w:sz w:val="28"/>
          <w:szCs w:val="28"/>
          <w:highlight w:val="none"/>
        </w:rPr>
        <w:t>一  总则</w:t>
      </w:r>
      <w:bookmarkEnd w:id="218"/>
      <w:bookmarkEnd w:id="219"/>
      <w:bookmarkEnd w:id="220"/>
      <w:bookmarkEnd w:id="221"/>
      <w:bookmarkEnd w:id="222"/>
    </w:p>
    <w:p w14:paraId="25A5088A">
      <w:pPr>
        <w:keepNext w:val="0"/>
        <w:keepLines w:val="0"/>
        <w:pageBreakBefore w:val="0"/>
        <w:widowControl w:val="0"/>
        <w:kinsoku/>
        <w:wordWrap/>
        <w:overflowPunct/>
        <w:topLinePunct w:val="0"/>
        <w:autoSpaceDE/>
        <w:autoSpaceDN/>
        <w:bidi w:val="0"/>
        <w:adjustRightInd/>
        <w:snapToGrid/>
        <w:spacing w:line="46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为最大限度地保护各当事人的权益，磋商小组应严格按照磋商文件的技术、资信、商务要求，对响应文件进行综合分析评价并编制评标报告。磋商小组成员必须严格遵守保密规定，不得泄漏评审有关的情况，不得索贿受贿，不得参加影响评审的任何活动。</w:t>
      </w:r>
    </w:p>
    <w:p w14:paraId="19D433CE">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rPr>
          <w:rFonts w:hint="eastAsia" w:ascii="宋体" w:hAnsi="宋体" w:eastAsia="宋体" w:cs="宋体"/>
          <w:b/>
          <w:color w:val="auto"/>
          <w:spacing w:val="0"/>
          <w:w w:val="100"/>
          <w:sz w:val="22"/>
          <w:szCs w:val="22"/>
          <w:highlight w:val="none"/>
          <w:lang w:eastAsia="zh-CN"/>
        </w:rPr>
      </w:pP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本次评审方法采取百分制综合评分法，按总得分由高到低顺序排列。总得分相同的，按报价得分由高到低顺序排列；总得分和报价得分均相同的，按技术得分由高到低顺序排列；以上得分均相同的，由采购人抽签确定排名（即第一抽出人为第一名，以此类推）。磋商小组按总得分从高到低推荐</w:t>
      </w:r>
      <w:r>
        <w:rPr>
          <w:rFonts w:hint="eastAsia" w:ascii="宋体" w:hAnsi="宋体" w:eastAsia="宋体" w:cs="宋体"/>
          <w:b/>
          <w:color w:val="auto"/>
          <w:spacing w:val="0"/>
          <w:w w:val="100"/>
          <w:sz w:val="22"/>
          <w:szCs w:val="22"/>
          <w:highlight w:val="none"/>
          <w:lang w:eastAsia="zh-CN"/>
        </w:rPr>
        <w:t>三名</w:t>
      </w:r>
      <w:r>
        <w:rPr>
          <w:rFonts w:hint="eastAsia" w:ascii="宋体" w:hAnsi="宋体" w:eastAsia="宋体" w:cs="宋体"/>
          <w:b/>
          <w:color w:val="auto"/>
          <w:spacing w:val="0"/>
          <w:w w:val="100"/>
          <w:sz w:val="22"/>
          <w:szCs w:val="22"/>
          <w:highlight w:val="none"/>
        </w:rPr>
        <w:t>成交候选供应商，由采购人确认本项目成交供应商</w:t>
      </w:r>
      <w:r>
        <w:rPr>
          <w:rFonts w:hint="eastAsia" w:ascii="宋体" w:hAnsi="宋体" w:eastAsia="宋体" w:cs="宋体"/>
          <w:b/>
          <w:color w:val="auto"/>
          <w:spacing w:val="0"/>
          <w:w w:val="100"/>
          <w:sz w:val="22"/>
          <w:szCs w:val="22"/>
          <w:highlight w:val="none"/>
          <w:lang w:eastAsia="zh-CN"/>
        </w:rPr>
        <w:t>。</w:t>
      </w:r>
    </w:p>
    <w:p w14:paraId="5DD1E66B">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25" w:name="_Toc335664296"/>
      <w:bookmarkStart w:id="226" w:name="_Toc494558394"/>
      <w:bookmarkStart w:id="227" w:name="_Toc30682"/>
      <w:bookmarkStart w:id="228" w:name="_Toc3484"/>
      <w:bookmarkStart w:id="229" w:name="_Toc493955999"/>
      <w:r>
        <w:rPr>
          <w:rFonts w:hint="eastAsia" w:ascii="宋体" w:hAnsi="宋体" w:eastAsia="宋体" w:cs="宋体"/>
          <w:b/>
          <w:bCs/>
          <w:color w:val="auto"/>
          <w:spacing w:val="0"/>
          <w:w w:val="100"/>
          <w:sz w:val="28"/>
          <w:szCs w:val="28"/>
          <w:highlight w:val="none"/>
        </w:rPr>
        <w:t xml:space="preserve">二   </w:t>
      </w:r>
      <w:bookmarkEnd w:id="225"/>
      <w:r>
        <w:rPr>
          <w:rFonts w:hint="eastAsia" w:ascii="宋体" w:hAnsi="宋体" w:eastAsia="宋体" w:cs="宋体"/>
          <w:b/>
          <w:bCs/>
          <w:color w:val="auto"/>
          <w:spacing w:val="0"/>
          <w:w w:val="100"/>
          <w:sz w:val="28"/>
          <w:szCs w:val="28"/>
          <w:highlight w:val="none"/>
        </w:rPr>
        <w:t>磋商小组</w:t>
      </w:r>
      <w:bookmarkEnd w:id="226"/>
      <w:bookmarkEnd w:id="227"/>
      <w:bookmarkEnd w:id="228"/>
      <w:bookmarkEnd w:id="229"/>
    </w:p>
    <w:p w14:paraId="0296C668">
      <w:pPr>
        <w:keepNext w:val="0"/>
        <w:keepLines w:val="0"/>
        <w:pageBreakBefore w:val="0"/>
        <w:widowControl w:val="0"/>
        <w:kinsoku/>
        <w:wordWrap/>
        <w:overflowPunct/>
        <w:topLinePunct w:val="0"/>
        <w:autoSpaceDE/>
        <w:autoSpaceDN/>
        <w:bidi w:val="0"/>
        <w:adjustRightInd/>
        <w:snapToGrid/>
        <w:spacing w:line="46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成员：由采购人代表和评审专家组成，其中评审专家人数不得少于磋商小组成员总数的三分之二。除国务院财政部门规定的情形外，评审专家由采购代理机构在政府采购专家库中随机抽取。</w:t>
      </w:r>
    </w:p>
    <w:p w14:paraId="25946757">
      <w:pPr>
        <w:keepNext w:val="0"/>
        <w:keepLines w:val="0"/>
        <w:pageBreakBefore w:val="0"/>
        <w:widowControl w:val="0"/>
        <w:kinsoku/>
        <w:wordWrap/>
        <w:overflowPunct/>
        <w:topLinePunct w:val="0"/>
        <w:autoSpaceDE/>
        <w:autoSpaceDN/>
        <w:bidi w:val="0"/>
        <w:adjustRightInd/>
        <w:snapToGrid/>
        <w:spacing w:line="46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职责：严格按政府采购法律法规的有关规定执行，磋商小组成员应按磋商文件规定的评审要求、评审程序、评审内容、评审方法和评审标准进行评审，对评审意见承担个人责任。</w:t>
      </w:r>
    </w:p>
    <w:p w14:paraId="54FF74B0">
      <w:pPr>
        <w:keepNext w:val="0"/>
        <w:keepLines w:val="0"/>
        <w:pageBreakBefore w:val="0"/>
        <w:widowControl w:val="0"/>
        <w:kinsoku/>
        <w:wordWrap/>
        <w:overflowPunct/>
        <w:topLinePunct w:val="0"/>
        <w:autoSpaceDE/>
        <w:autoSpaceDN/>
        <w:bidi w:val="0"/>
        <w:adjustRightInd/>
        <w:snapToGrid/>
        <w:spacing w:line="46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磋商小组成员的评审情况和评审意见受监督人员和采购代理机构审查，如发现磋商小组成员的评审意见带有明显倾向性，或不按规定程序和标准评审、计分的，可要求磋商小组成员进行书面澄清和说明。</w:t>
      </w:r>
    </w:p>
    <w:p w14:paraId="0C400B2D">
      <w:pPr>
        <w:keepNext w:val="0"/>
        <w:keepLines w:val="0"/>
        <w:pageBreakBefore w:val="0"/>
        <w:widowControl w:val="0"/>
        <w:kinsoku/>
        <w:wordWrap/>
        <w:overflowPunct/>
        <w:topLinePunct w:val="0"/>
        <w:autoSpaceDE/>
        <w:autoSpaceDN/>
        <w:bidi w:val="0"/>
        <w:adjustRightInd/>
        <w:snapToGrid/>
        <w:spacing w:line="46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磋商小组成员应当按照客观、公正、审慎的原则，根据采购文件规定的评审程序、评审方法和评审标准进行独立评审，并推荐成交候选人。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6753DE57">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30" w:name="_Toc25156"/>
      <w:bookmarkStart w:id="231" w:name="_Toc5778"/>
      <w:bookmarkStart w:id="232" w:name="_Toc494558395"/>
      <w:r>
        <w:rPr>
          <w:rFonts w:hint="eastAsia" w:ascii="宋体" w:hAnsi="宋体" w:eastAsia="宋体" w:cs="宋体"/>
          <w:b/>
          <w:bCs/>
          <w:color w:val="auto"/>
          <w:spacing w:val="0"/>
          <w:w w:val="100"/>
          <w:sz w:val="28"/>
          <w:szCs w:val="28"/>
          <w:highlight w:val="none"/>
        </w:rPr>
        <w:t>三   磋商程序</w:t>
      </w:r>
      <w:bookmarkEnd w:id="230"/>
      <w:bookmarkEnd w:id="231"/>
      <w:bookmarkEnd w:id="232"/>
    </w:p>
    <w:p w14:paraId="2A27F4DB">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(一)</w:t>
      </w:r>
      <w:r>
        <w:rPr>
          <w:rFonts w:hint="eastAsia" w:ascii="宋体" w:hAnsi="宋体" w:eastAsia="宋体" w:cs="宋体"/>
          <w:b/>
          <w:color w:val="auto"/>
          <w:spacing w:val="0"/>
          <w:w w:val="100"/>
          <w:sz w:val="22"/>
          <w:szCs w:val="22"/>
          <w:highlight w:val="none"/>
        </w:rPr>
        <w:t>符合性审查</w:t>
      </w:r>
    </w:p>
    <w:p w14:paraId="5B2AB06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磋商小组会依据磋商文件的规定，从响应文件的有效性、完整性和对磋商文件的响应程度进行审查，以确定是否对磋商文件的实质性要求作出响应。</w:t>
      </w:r>
    </w:p>
    <w:p w14:paraId="407A533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w:t>
      </w:r>
    </w:p>
    <w:p w14:paraId="0AD9D45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磋商小组要求供应商澄清、说明或者更正响应文件应通过电子交易平台交换数据电文的形式作出。供应商的澄清、说明或者更正应当由法定代表人或其授权代表签字或者加盖公章。</w:t>
      </w:r>
    </w:p>
    <w:p w14:paraId="41FEF7B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通过符合性审查不足三家的，除采购任务取消的情形外，按相关规定重新组织采购。</w:t>
      </w:r>
    </w:p>
    <w:p w14:paraId="2A2F3FA1">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(二)</w:t>
      </w:r>
      <w:r>
        <w:rPr>
          <w:rFonts w:hint="eastAsia" w:ascii="宋体" w:hAnsi="宋体" w:eastAsia="宋体" w:cs="宋体"/>
          <w:b/>
          <w:color w:val="auto"/>
          <w:spacing w:val="0"/>
          <w:w w:val="100"/>
          <w:sz w:val="22"/>
          <w:szCs w:val="22"/>
          <w:highlight w:val="none"/>
        </w:rPr>
        <w:t>磋商</w:t>
      </w:r>
    </w:p>
    <w:p w14:paraId="0C319B1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磋商小组对响应文件进行评审，并根据磋商文件规定的程序、评定成交的标准等事项与实质性响应磋商文件要求的供应商进行多轮磋商。</w:t>
      </w:r>
    </w:p>
    <w:p w14:paraId="65485A9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磋商小组按电子交易平台解密后自动生成的“投标（响应）文件签收登记表”名单顺序分别进行磋商（若有演示、讲解内容，演示、讲解顺序同磋商顺序）。磋商小组所有成员应当集中与单一供应商分别进行磋商，并给予所有参加磋商的供应商平等的磋商机会。</w:t>
      </w:r>
    </w:p>
    <w:p w14:paraId="0EAA923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响应文件中含义不明确、同类问题表述不一致或者有明显文字和计算错误的内容，磋商小组应当通过电子交易平台交换数据电文的形式要求供应商作出必要的澄清、说明或者更正。供应商的澄清、说明或者更正不得超出响应文件的范围或者改变响应文件的实质性内容。</w:t>
      </w:r>
    </w:p>
    <w:p w14:paraId="2F49625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在磋商过程中，磋商小组可以根据磋商文件和磋商情况实质性变动采购需求中的技术、服务要求以及合同条款。实质性变动的内容，须经采购人代表确认。</w:t>
      </w:r>
    </w:p>
    <w:p w14:paraId="0D20363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对磋商文件作出实质性变动是磋商文件的有效组成部分，磋商小组应当通过电子交易平台交换数据电文的形式同时通知所有参加磋商的供应商。</w:t>
      </w:r>
    </w:p>
    <w:p w14:paraId="5E72FF9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(4)</w:t>
      </w:r>
      <w:r>
        <w:rPr>
          <w:rFonts w:hint="eastAsia" w:ascii="宋体" w:hAnsi="宋体" w:eastAsia="宋体" w:cs="宋体"/>
          <w:color w:val="auto"/>
          <w:spacing w:val="0"/>
          <w:w w:val="100"/>
          <w:sz w:val="22"/>
          <w:szCs w:val="22"/>
          <w:highlight w:val="none"/>
        </w:rPr>
        <w:t>磋商文件能够详细列明采购标的的技术、服务要求的，磋商结束后，磋商小组应当要求所有继续参加磋商的供应商在规定时间内提交最终报价。</w:t>
      </w:r>
    </w:p>
    <w:p w14:paraId="78948515">
      <w:pPr>
        <w:keepNext w:val="0"/>
        <w:keepLines w:val="0"/>
        <w:pageBreakBefore w:val="0"/>
        <w:widowControl w:val="0"/>
        <w:tabs>
          <w:tab w:val="left" w:pos="6870"/>
        </w:tabs>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磋商注意事项</w:t>
      </w:r>
    </w:p>
    <w:p w14:paraId="6C14915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磋商时，参与磋商的供应商应派代表应在线参加磋商。参与磋商的供应商人员应及时解释和澄清磋商响应文件相关内容，通过电子交易平台交换数据电文的形式重新做出承诺并签署确定。</w:t>
      </w:r>
      <w:r>
        <w:rPr>
          <w:rFonts w:hint="eastAsia" w:ascii="宋体" w:hAnsi="宋体" w:eastAsia="宋体" w:cs="宋体"/>
          <w:b/>
          <w:color w:val="auto"/>
          <w:sz w:val="22"/>
          <w:szCs w:val="22"/>
          <w:highlight w:val="none"/>
        </w:rPr>
        <w:t>如磋商只要求对总价进行报价的，各分项报价以总价按前一轮报价下浮比例下浮。</w:t>
      </w:r>
    </w:p>
    <w:p w14:paraId="101FC9C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报价明显低于其他通过符合性审查供应商的报价，有可能影响产品质量或者不能诚信履约的，应当要求其在磋商现场合理的时间内通过电子交易平台交换数据电文的形式提供说明，必要时提交相关证明材料；供应商不能证明其报价合理性的，磋商小组应当将其作为无效标处理。</w:t>
      </w:r>
    </w:p>
    <w:p w14:paraId="398663B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出席磋商的有关人员：监督人员、磋商小组成员和采购代理机构工作人员；监督人员负责现场监督。参与磋商的供应商的所有响应文件</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包括每次报价及重新承诺</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规定</w:t>
      </w:r>
      <w:r>
        <w:rPr>
          <w:rFonts w:hint="eastAsia" w:ascii="宋体" w:hAnsi="宋体" w:eastAsia="宋体" w:cs="宋体"/>
          <w:color w:val="auto"/>
          <w:spacing w:val="0"/>
          <w:w w:val="100"/>
          <w:sz w:val="22"/>
          <w:szCs w:val="22"/>
          <w:highlight w:val="none"/>
          <w:lang w:eastAsia="zh-CN"/>
        </w:rPr>
        <w:t>截止时间</w:t>
      </w:r>
      <w:r>
        <w:rPr>
          <w:rFonts w:hint="eastAsia" w:ascii="宋体" w:hAnsi="宋体" w:eastAsia="宋体" w:cs="宋体"/>
          <w:color w:val="auto"/>
          <w:spacing w:val="0"/>
          <w:w w:val="100"/>
          <w:sz w:val="22"/>
          <w:szCs w:val="22"/>
          <w:highlight w:val="none"/>
        </w:rPr>
        <w:t>前由代理机构工作人员进行接收，任何参与磋商的个人均不得私自拆封。磋商小组负责本次项目所有磋商任务，包括全程磋商、推荐成交候选人、填写评审报告等。</w:t>
      </w:r>
    </w:p>
    <w:p w14:paraId="346EE992">
      <w:pPr>
        <w:keepNext w:val="0"/>
        <w:keepLines w:val="0"/>
        <w:pageBreakBefore w:val="0"/>
        <w:widowControl w:val="0"/>
        <w:tabs>
          <w:tab w:val="left" w:pos="6870"/>
        </w:tabs>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3.</w:t>
      </w:r>
      <w:r>
        <w:rPr>
          <w:rFonts w:hint="eastAsia" w:ascii="宋体" w:hAnsi="宋体" w:eastAsia="宋体" w:cs="宋体"/>
          <w:b/>
          <w:color w:val="auto"/>
          <w:spacing w:val="0"/>
          <w:w w:val="100"/>
          <w:sz w:val="22"/>
          <w:szCs w:val="22"/>
          <w:highlight w:val="none"/>
        </w:rPr>
        <w:t>评审</w:t>
      </w:r>
    </w:p>
    <w:p w14:paraId="70D8824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磋商小组采用综合评分法对确定作出最终报价的供应商的响应文件进行综合评分。</w:t>
      </w:r>
    </w:p>
    <w:p w14:paraId="4BAFC0F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①磋商小组依据磋商文件的规定，对各供应商的资信商务部分进行评审，对客观分应统一意见后统一给分。</w:t>
      </w:r>
    </w:p>
    <w:p w14:paraId="762F1A3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②磋商小组依据磋商文件的规定，对各供应商的技术部分进行独立评审。对各响应文件进行比较和必要的澄清，若有演示、样品要求和技术文件评审同步进行，演示顺序为电子交易平台解密后自动生成的“投标（响应）文件签收登记表”名单顺序，并根据审查、澄清、演示、样品等情况结合评审办法进行独立打分；</w:t>
      </w:r>
    </w:p>
    <w:p w14:paraId="302E848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③各供应商的资信商务及技术得分，为各磋商小组成员对该供应商的评分汇总后的算术平均数。</w:t>
      </w:r>
    </w:p>
    <w:p w14:paraId="11F52F04">
      <w:pPr>
        <w:keepNext w:val="0"/>
        <w:keepLines w:val="0"/>
        <w:pageBreakBefore w:val="0"/>
        <w:widowControl w:val="0"/>
        <w:tabs>
          <w:tab w:val="left" w:pos="6870"/>
        </w:tabs>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(2)</w:t>
      </w:r>
      <w:r>
        <w:rPr>
          <w:rFonts w:hint="eastAsia" w:ascii="宋体" w:hAnsi="宋体" w:eastAsia="宋体" w:cs="宋体"/>
          <w:b/>
          <w:color w:val="auto"/>
          <w:spacing w:val="0"/>
          <w:w w:val="100"/>
          <w:sz w:val="22"/>
          <w:szCs w:val="22"/>
          <w:highlight w:val="none"/>
        </w:rPr>
        <w:t>报价文件评审</w:t>
      </w:r>
    </w:p>
    <w:p w14:paraId="57B97E3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①供应商提交最终报价</w:t>
      </w:r>
      <w:r>
        <w:rPr>
          <w:rFonts w:hint="eastAsia" w:ascii="宋体" w:hAnsi="宋体" w:eastAsia="宋体" w:cs="宋体"/>
          <w:color w:val="auto"/>
          <w:spacing w:val="0"/>
          <w:w w:val="100"/>
          <w:sz w:val="22"/>
          <w:szCs w:val="22"/>
          <w:highlight w:val="none"/>
          <w:lang w:eastAsia="zh-CN"/>
        </w:rPr>
        <w:t>；</w:t>
      </w:r>
    </w:p>
    <w:p w14:paraId="360360C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②代理机构通过电子交易平台同时公布各供应商最终报价和资信商务及技术得分</w:t>
      </w:r>
      <w:r>
        <w:rPr>
          <w:rFonts w:hint="eastAsia" w:ascii="宋体" w:hAnsi="宋体" w:eastAsia="宋体" w:cs="宋体"/>
          <w:color w:val="auto"/>
          <w:spacing w:val="0"/>
          <w:w w:val="100"/>
          <w:sz w:val="22"/>
          <w:szCs w:val="22"/>
          <w:highlight w:val="none"/>
          <w:lang w:eastAsia="zh-CN"/>
        </w:rPr>
        <w:t>；</w:t>
      </w:r>
    </w:p>
    <w:p w14:paraId="06E25E0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lang w:val="en-US" w:eastAsia="zh-CN"/>
        </w:rPr>
      </w:pPr>
      <w:r>
        <w:rPr>
          <w:rFonts w:hint="eastAsia" w:ascii="宋体" w:hAnsi="宋体" w:eastAsia="宋体" w:cs="宋体"/>
          <w:color w:val="auto"/>
          <w:spacing w:val="0"/>
          <w:w w:val="100"/>
          <w:sz w:val="22"/>
          <w:szCs w:val="22"/>
          <w:highlight w:val="none"/>
        </w:rPr>
        <w:t>③磋商小组依据磋商文件的规定，对各供应商的最终报价的合理性进行审查，必要时可要求供应商对其报价做出澄清、说明</w:t>
      </w:r>
      <w:r>
        <w:rPr>
          <w:rFonts w:hint="eastAsia" w:ascii="宋体" w:hAnsi="宋体" w:eastAsia="宋体" w:cs="宋体"/>
          <w:color w:val="auto"/>
          <w:spacing w:val="0"/>
          <w:w w:val="100"/>
          <w:sz w:val="22"/>
          <w:szCs w:val="22"/>
          <w:highlight w:val="none"/>
          <w:lang w:val="en-US" w:eastAsia="zh-CN"/>
        </w:rPr>
        <w:t>；</w:t>
      </w:r>
    </w:p>
    <w:p w14:paraId="195378A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④政府政策优惠扣除；</w:t>
      </w:r>
    </w:p>
    <w:p w14:paraId="265F3A6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⑤报价修正；</w:t>
      </w:r>
    </w:p>
    <w:p w14:paraId="11E0595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⑥磋商小组根据供应商的报价和评审标准，计算各供应商的报价得分。</w:t>
      </w:r>
    </w:p>
    <w:p w14:paraId="4F629E90">
      <w:pPr>
        <w:keepNext w:val="0"/>
        <w:keepLines w:val="0"/>
        <w:pageBreakBefore w:val="0"/>
        <w:widowControl w:val="0"/>
        <w:tabs>
          <w:tab w:val="left" w:pos="6870"/>
        </w:tabs>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lang w:val="en-US" w:eastAsia="zh-CN"/>
        </w:rPr>
        <w:t>(3)</w:t>
      </w:r>
      <w:r>
        <w:rPr>
          <w:rFonts w:hint="eastAsia" w:ascii="宋体" w:hAnsi="宋体" w:eastAsia="宋体" w:cs="宋体"/>
          <w:b/>
          <w:color w:val="auto"/>
          <w:spacing w:val="0"/>
          <w:w w:val="100"/>
          <w:sz w:val="22"/>
          <w:szCs w:val="22"/>
          <w:highlight w:val="none"/>
        </w:rPr>
        <w:t>评审结果</w:t>
      </w:r>
    </w:p>
    <w:p w14:paraId="770AB3F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①评审结果汇总，供应商结果排序；</w:t>
      </w:r>
    </w:p>
    <w:p w14:paraId="5534B30D">
      <w:pPr>
        <w:keepNext w:val="0"/>
        <w:keepLines w:val="0"/>
        <w:pageBreakBefore w:val="0"/>
        <w:widowControl w:val="0"/>
        <w:kinsoku/>
        <w:wordWrap/>
        <w:overflowPunct/>
        <w:topLinePunct w:val="0"/>
        <w:autoSpaceDE/>
        <w:autoSpaceDN/>
        <w:bidi w:val="0"/>
        <w:adjustRightInd/>
        <w:snapToGrid/>
        <w:spacing w:line="470" w:lineRule="exact"/>
        <w:ind w:firstLine="440" w:firstLineChars="200"/>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color w:val="auto"/>
          <w:spacing w:val="0"/>
          <w:w w:val="100"/>
          <w:sz w:val="22"/>
          <w:szCs w:val="22"/>
          <w:highlight w:val="none"/>
        </w:rPr>
        <w:t>②起草评审报告，确定成交候选人</w:t>
      </w:r>
      <w:r>
        <w:rPr>
          <w:rFonts w:hint="eastAsia" w:ascii="宋体" w:hAnsi="宋体" w:eastAsia="宋体" w:cs="宋体"/>
          <w:color w:val="auto"/>
          <w:spacing w:val="0"/>
          <w:w w:val="100"/>
          <w:sz w:val="22"/>
          <w:szCs w:val="22"/>
          <w:highlight w:val="none"/>
          <w:lang w:val="en-US" w:eastAsia="zh-CN"/>
        </w:rPr>
        <w:t>。</w:t>
      </w:r>
    </w:p>
    <w:p w14:paraId="4238E4D3">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33" w:name="_Toc6802"/>
      <w:bookmarkStart w:id="234" w:name="_Toc21186"/>
      <w:r>
        <w:rPr>
          <w:rFonts w:hint="eastAsia" w:ascii="宋体" w:hAnsi="宋体" w:eastAsia="宋体" w:cs="宋体"/>
          <w:b/>
          <w:bCs/>
          <w:color w:val="auto"/>
          <w:spacing w:val="0"/>
          <w:w w:val="100"/>
          <w:sz w:val="28"/>
          <w:szCs w:val="28"/>
          <w:highlight w:val="none"/>
        </w:rPr>
        <w:t xml:space="preserve">四  </w:t>
      </w:r>
      <w:bookmarkEnd w:id="223"/>
      <w:r>
        <w:rPr>
          <w:rFonts w:hint="eastAsia" w:ascii="宋体" w:hAnsi="宋体" w:eastAsia="宋体" w:cs="宋体"/>
          <w:b/>
          <w:bCs/>
          <w:color w:val="auto"/>
          <w:spacing w:val="0"/>
          <w:w w:val="100"/>
          <w:sz w:val="28"/>
          <w:szCs w:val="28"/>
          <w:highlight w:val="none"/>
        </w:rPr>
        <w:t>磋商内容及规定</w:t>
      </w:r>
      <w:bookmarkEnd w:id="224"/>
      <w:bookmarkEnd w:id="233"/>
      <w:bookmarkEnd w:id="234"/>
    </w:p>
    <w:p w14:paraId="4559F1E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bookmarkStart w:id="235" w:name="_Toc31810"/>
      <w:bookmarkStart w:id="236" w:name="_Toc26204"/>
      <w:bookmarkStart w:id="237" w:name="_Toc390938606"/>
      <w:bookmarkStart w:id="238" w:name="_Toc335664301"/>
      <w:r>
        <w:rPr>
          <w:rFonts w:hint="eastAsia" w:ascii="宋体" w:hAnsi="宋体" w:eastAsia="宋体" w:cs="宋体"/>
          <w:color w:val="auto"/>
          <w:spacing w:val="0"/>
          <w:w w:val="100"/>
          <w:sz w:val="22"/>
          <w:szCs w:val="22"/>
          <w:highlight w:val="none"/>
        </w:rPr>
        <w:t>4.</w:t>
      </w: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本评审办法采用综合评分法</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总分100分。</w:t>
      </w:r>
    </w:p>
    <w:p w14:paraId="6CAD68A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4.</w:t>
      </w:r>
      <w:r>
        <w:rPr>
          <w:rFonts w:hint="eastAsia" w:ascii="宋体" w:hAnsi="宋体" w:eastAsia="宋体" w:cs="宋体"/>
          <w:color w:val="auto"/>
          <w:spacing w:val="0"/>
          <w:w w:val="100"/>
          <w:sz w:val="22"/>
          <w:szCs w:val="22"/>
          <w:highlight w:val="none"/>
          <w:lang w:val="en-US" w:eastAsia="zh-CN"/>
        </w:rPr>
        <w:t>2</w:t>
      </w:r>
      <w:r>
        <w:rPr>
          <w:rFonts w:hint="eastAsia" w:ascii="宋体" w:hAnsi="宋体" w:eastAsia="宋体" w:cs="宋体"/>
          <w:color w:val="auto"/>
          <w:spacing w:val="0"/>
          <w:w w:val="100"/>
          <w:sz w:val="22"/>
          <w:szCs w:val="22"/>
          <w:highlight w:val="none"/>
        </w:rPr>
        <w:t>资信商务及技术文件权重为90%，分值为90分</w:t>
      </w:r>
      <w:r>
        <w:rPr>
          <w:rFonts w:hint="eastAsia" w:ascii="宋体" w:hAnsi="宋体" w:eastAsia="宋体" w:cs="宋体"/>
          <w:color w:val="auto"/>
          <w:spacing w:val="0"/>
          <w:w w:val="100"/>
          <w:sz w:val="22"/>
          <w:szCs w:val="22"/>
          <w:highlight w:val="none"/>
          <w:lang w:eastAsia="zh-CN"/>
        </w:rPr>
        <w:t>；</w:t>
      </w:r>
      <w:r>
        <w:rPr>
          <w:rFonts w:hint="eastAsia" w:ascii="宋体" w:hAnsi="宋体" w:eastAsia="宋体" w:cs="宋体"/>
          <w:color w:val="auto"/>
          <w:spacing w:val="0"/>
          <w:w w:val="100"/>
          <w:sz w:val="22"/>
          <w:szCs w:val="22"/>
          <w:highlight w:val="none"/>
        </w:rPr>
        <w:t>资信商务部分</w:t>
      </w:r>
      <w:r>
        <w:rPr>
          <w:rFonts w:hint="eastAsia" w:ascii="宋体" w:hAnsi="宋体" w:eastAsia="宋体" w:cs="宋体"/>
          <w:color w:val="auto"/>
          <w:spacing w:val="0"/>
          <w:w w:val="100"/>
          <w:sz w:val="22"/>
          <w:szCs w:val="22"/>
          <w:highlight w:val="none"/>
          <w:lang w:eastAsia="zh-CN"/>
        </w:rPr>
        <w:t>由</w:t>
      </w:r>
      <w:r>
        <w:rPr>
          <w:rFonts w:hint="eastAsia" w:ascii="宋体" w:hAnsi="宋体" w:eastAsia="宋体" w:cs="宋体"/>
          <w:color w:val="auto"/>
          <w:spacing w:val="0"/>
          <w:w w:val="100"/>
          <w:sz w:val="22"/>
          <w:szCs w:val="22"/>
          <w:highlight w:val="none"/>
        </w:rPr>
        <w:t>磋商小组在规定的分值内统一打分。技术部分，磋商小组在规定的分值内由磋商小组单独评定打分。如果某个单项的打分超过所规定的分值范围，则该张打分表无效。</w:t>
      </w:r>
    </w:p>
    <w:p w14:paraId="368F504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4.</w:t>
      </w:r>
      <w:r>
        <w:rPr>
          <w:rFonts w:hint="eastAsia" w:ascii="宋体" w:hAnsi="宋体" w:eastAsia="宋体" w:cs="宋体"/>
          <w:color w:val="auto"/>
          <w:spacing w:val="0"/>
          <w:w w:val="100"/>
          <w:sz w:val="22"/>
          <w:szCs w:val="22"/>
          <w:highlight w:val="none"/>
          <w:lang w:val="en-US" w:eastAsia="zh-CN"/>
        </w:rPr>
        <w:t>3</w:t>
      </w:r>
      <w:r>
        <w:rPr>
          <w:rFonts w:hint="eastAsia" w:ascii="宋体" w:hAnsi="宋体" w:eastAsia="宋体" w:cs="宋体"/>
          <w:color w:val="auto"/>
          <w:spacing w:val="0"/>
          <w:w w:val="100"/>
          <w:sz w:val="22"/>
          <w:szCs w:val="22"/>
          <w:highlight w:val="none"/>
        </w:rPr>
        <w:t>报价权重为10%，分值为10分，磋商小组按各磋商供应商的最终报价统一计算。</w:t>
      </w:r>
    </w:p>
    <w:p w14:paraId="334C95D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Cs/>
          <w:color w:val="auto"/>
          <w:spacing w:val="0"/>
          <w:w w:val="100"/>
          <w:kern w:val="0"/>
          <w:sz w:val="22"/>
          <w:szCs w:val="22"/>
          <w:highlight w:val="none"/>
        </w:rPr>
        <w:t>4.</w:t>
      </w:r>
      <w:r>
        <w:rPr>
          <w:rFonts w:hint="eastAsia" w:ascii="宋体" w:hAnsi="宋体" w:eastAsia="宋体" w:cs="宋体"/>
          <w:bCs/>
          <w:color w:val="auto"/>
          <w:spacing w:val="0"/>
          <w:w w:val="100"/>
          <w:kern w:val="0"/>
          <w:sz w:val="22"/>
          <w:szCs w:val="22"/>
          <w:highlight w:val="none"/>
          <w:lang w:val="en-US" w:eastAsia="zh-CN"/>
        </w:rPr>
        <w:t>4</w:t>
      </w:r>
      <w:r>
        <w:rPr>
          <w:rFonts w:hint="eastAsia" w:ascii="宋体" w:hAnsi="宋体" w:eastAsia="宋体" w:cs="宋体"/>
          <w:color w:val="auto"/>
          <w:sz w:val="22"/>
          <w:szCs w:val="22"/>
          <w:highlight w:val="none"/>
        </w:rPr>
        <w:t>评审专家在规定的分值范围内独立打分，计分过程中，四舍五入，保留一位小数。每个供应商的最终得分为磋商小组打分汇总后的算术平均值（小数点后</w:t>
      </w:r>
      <w:r>
        <w:rPr>
          <w:rFonts w:hint="eastAsia" w:ascii="宋体" w:hAnsi="宋体" w:eastAsia="宋体" w:cs="宋体"/>
          <w:color w:val="auto"/>
          <w:sz w:val="22"/>
          <w:szCs w:val="22"/>
          <w:highlight w:val="none"/>
          <w:lang w:eastAsia="zh-CN"/>
        </w:rPr>
        <w:t>保留两位</w:t>
      </w:r>
      <w:r>
        <w:rPr>
          <w:rFonts w:hint="eastAsia" w:ascii="宋体" w:hAnsi="宋体" w:eastAsia="宋体" w:cs="宋体"/>
          <w:color w:val="auto"/>
          <w:sz w:val="22"/>
          <w:szCs w:val="22"/>
          <w:highlight w:val="none"/>
        </w:rPr>
        <w:t>小数，第三位四舍五入）</w:t>
      </w:r>
      <w:r>
        <w:rPr>
          <w:rFonts w:hint="eastAsia" w:ascii="宋体" w:hAnsi="宋体" w:eastAsia="宋体" w:cs="宋体"/>
          <w:color w:val="auto"/>
          <w:sz w:val="22"/>
          <w:szCs w:val="22"/>
          <w:highlight w:val="none"/>
          <w:lang w:eastAsia="zh-CN"/>
        </w:rPr>
        <w:t>。</w:t>
      </w:r>
    </w:p>
    <w:p w14:paraId="610F46FF">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r>
        <w:rPr>
          <w:rFonts w:hint="eastAsia" w:ascii="宋体" w:hAnsi="宋体" w:eastAsia="宋体" w:cs="宋体"/>
          <w:b/>
          <w:bCs/>
          <w:color w:val="auto"/>
          <w:spacing w:val="0"/>
          <w:w w:val="100"/>
          <w:sz w:val="28"/>
          <w:szCs w:val="28"/>
          <w:highlight w:val="none"/>
        </w:rPr>
        <w:t>五  评标办法和细则</w:t>
      </w:r>
      <w:bookmarkEnd w:id="235"/>
      <w:bookmarkEnd w:id="236"/>
    </w:p>
    <w:p w14:paraId="10539866">
      <w:pPr>
        <w:keepNext w:val="0"/>
        <w:keepLines w:val="0"/>
        <w:pageBreakBefore w:val="0"/>
        <w:widowControl w:val="0"/>
        <w:kinsoku/>
        <w:overflowPunct/>
        <w:topLinePunct w:val="0"/>
        <w:autoSpaceDE/>
        <w:autoSpaceDN/>
        <w:bidi w:val="0"/>
        <w:adjustRightInd/>
        <w:snapToGrid/>
        <w:spacing w:line="460" w:lineRule="exact"/>
        <w:ind w:left="0" w:leftChars="0" w:firstLine="442" w:firstLineChars="200"/>
        <w:jc w:val="left"/>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color w:val="auto"/>
          <w:spacing w:val="0"/>
          <w:w w:val="100"/>
          <w:sz w:val="22"/>
          <w:szCs w:val="22"/>
          <w:highlight w:val="none"/>
        </w:rPr>
        <w:t>5.1</w:t>
      </w:r>
      <w:r>
        <w:rPr>
          <w:rFonts w:hint="eastAsia" w:ascii="宋体" w:hAnsi="宋体" w:eastAsia="宋体" w:cs="宋体"/>
          <w:b/>
          <w:color w:val="auto"/>
          <w:spacing w:val="0"/>
          <w:w w:val="100"/>
          <w:sz w:val="22"/>
          <w:szCs w:val="22"/>
          <w:highlight w:val="none"/>
          <w:lang w:eastAsia="zh-CN"/>
        </w:rPr>
        <w:t>资信</w:t>
      </w:r>
      <w:r>
        <w:rPr>
          <w:rFonts w:hint="eastAsia" w:ascii="宋体" w:hAnsi="宋体" w:eastAsia="宋体" w:cs="宋体"/>
          <w:b/>
          <w:bCs/>
          <w:color w:val="auto"/>
          <w:spacing w:val="0"/>
          <w:w w:val="100"/>
          <w:sz w:val="22"/>
          <w:szCs w:val="22"/>
          <w:highlight w:val="none"/>
        </w:rPr>
        <w:t>商务</w:t>
      </w:r>
      <w:r>
        <w:rPr>
          <w:rFonts w:hint="eastAsia" w:ascii="宋体" w:hAnsi="宋体" w:eastAsia="宋体" w:cs="宋体"/>
          <w:b/>
          <w:bCs/>
          <w:color w:val="auto"/>
          <w:spacing w:val="0"/>
          <w:w w:val="100"/>
          <w:sz w:val="22"/>
          <w:szCs w:val="22"/>
          <w:highlight w:val="none"/>
          <w:lang w:eastAsia="zh-CN"/>
        </w:rPr>
        <w:t>及</w:t>
      </w:r>
      <w:r>
        <w:rPr>
          <w:rFonts w:hint="eastAsia" w:ascii="宋体" w:hAnsi="宋体" w:eastAsia="宋体" w:cs="宋体"/>
          <w:b/>
          <w:bCs/>
          <w:color w:val="auto"/>
          <w:spacing w:val="0"/>
          <w:w w:val="100"/>
          <w:sz w:val="22"/>
          <w:szCs w:val="22"/>
          <w:highlight w:val="none"/>
        </w:rPr>
        <w:t>技术文件得分为90分，权重为90%。</w:t>
      </w:r>
    </w:p>
    <w:tbl>
      <w:tblPr>
        <w:tblStyle w:val="41"/>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28"/>
        <w:gridCol w:w="7119"/>
        <w:gridCol w:w="819"/>
      </w:tblGrid>
      <w:tr w14:paraId="5CF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6" w:type="dxa"/>
            <w:vAlign w:val="center"/>
          </w:tcPr>
          <w:p w14:paraId="0856B6B4">
            <w:pPr>
              <w:spacing w:line="240" w:lineRule="auto"/>
              <w:jc w:val="center"/>
              <w:rPr>
                <w:rFonts w:hint="eastAsia" w:ascii="宋体" w:hAnsi="宋体" w:eastAsia="宋体" w:cs="宋体"/>
                <w:color w:val="auto"/>
                <w:spacing w:val="0"/>
                <w:w w:val="100"/>
                <w:sz w:val="22"/>
                <w:szCs w:val="22"/>
                <w:highlight w:val="none"/>
              </w:rPr>
            </w:pPr>
            <w:r>
              <w:rPr>
                <w:rFonts w:hint="eastAsia" w:ascii="宋体" w:hAnsi="宋体" w:eastAsia="宋体" w:cs="宋体"/>
                <w:b/>
                <w:bCs w:val="0"/>
                <w:color w:val="auto"/>
                <w:kern w:val="0"/>
                <w:sz w:val="22"/>
                <w:szCs w:val="22"/>
                <w:highlight w:val="none"/>
              </w:rPr>
              <w:t>序号</w:t>
            </w:r>
          </w:p>
        </w:tc>
        <w:tc>
          <w:tcPr>
            <w:tcW w:w="1128" w:type="dxa"/>
            <w:vAlign w:val="center"/>
          </w:tcPr>
          <w:p w14:paraId="2535598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宋体" w:hAnsi="宋体" w:eastAsia="宋体" w:cs="宋体"/>
                <w:color w:val="auto"/>
                <w:spacing w:val="0"/>
                <w:w w:val="100"/>
                <w:sz w:val="22"/>
                <w:szCs w:val="22"/>
                <w:highlight w:val="none"/>
                <w:lang w:eastAsia="zh-CN"/>
              </w:rPr>
            </w:pPr>
            <w:r>
              <w:rPr>
                <w:rFonts w:hint="eastAsia" w:ascii="宋体" w:hAnsi="宋体" w:eastAsia="宋体" w:cs="宋体"/>
                <w:b/>
                <w:color w:val="auto"/>
                <w:kern w:val="0"/>
                <w:sz w:val="22"/>
                <w:szCs w:val="22"/>
                <w:highlight w:val="none"/>
              </w:rPr>
              <w:t>评分类型</w:t>
            </w:r>
          </w:p>
        </w:tc>
        <w:tc>
          <w:tcPr>
            <w:tcW w:w="7119" w:type="dxa"/>
            <w:vAlign w:val="center"/>
          </w:tcPr>
          <w:p w14:paraId="341F0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b/>
                <w:color w:val="auto"/>
                <w:kern w:val="0"/>
                <w:sz w:val="22"/>
                <w:szCs w:val="22"/>
                <w:highlight w:val="none"/>
              </w:rPr>
              <w:t>评审内容</w:t>
            </w:r>
            <w:r>
              <w:rPr>
                <w:rFonts w:hint="eastAsia" w:ascii="宋体" w:hAnsi="宋体" w:eastAsia="宋体" w:cs="宋体"/>
                <w:b/>
                <w:color w:val="auto"/>
                <w:kern w:val="0"/>
                <w:sz w:val="22"/>
                <w:szCs w:val="22"/>
                <w:highlight w:val="none"/>
                <w:lang w:eastAsia="zh-CN"/>
              </w:rPr>
              <w:t>（缺项为</w:t>
            </w:r>
            <w:r>
              <w:rPr>
                <w:rFonts w:hint="eastAsia" w:ascii="宋体" w:hAnsi="宋体" w:eastAsia="宋体" w:cs="宋体"/>
                <w:b/>
                <w:color w:val="auto"/>
                <w:kern w:val="0"/>
                <w:sz w:val="22"/>
                <w:szCs w:val="22"/>
                <w:highlight w:val="none"/>
                <w:lang w:val="en-US" w:eastAsia="zh-CN"/>
              </w:rPr>
              <w:t>0</w:t>
            </w:r>
            <w:r>
              <w:rPr>
                <w:rFonts w:hint="eastAsia" w:ascii="宋体" w:hAnsi="宋体" w:eastAsia="宋体" w:cs="宋体"/>
                <w:b/>
                <w:color w:val="auto"/>
                <w:kern w:val="0"/>
                <w:sz w:val="22"/>
                <w:szCs w:val="22"/>
                <w:highlight w:val="none"/>
                <w:lang w:eastAsia="zh-CN"/>
              </w:rPr>
              <w:t>）</w:t>
            </w:r>
          </w:p>
        </w:tc>
        <w:tc>
          <w:tcPr>
            <w:tcW w:w="819" w:type="dxa"/>
            <w:vAlign w:val="center"/>
          </w:tcPr>
          <w:p w14:paraId="293427B8">
            <w:pPr>
              <w:spacing w:line="240" w:lineRule="auto"/>
              <w:jc w:val="center"/>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分值</w:t>
            </w:r>
          </w:p>
          <w:p w14:paraId="406E561F">
            <w:pPr>
              <w:spacing w:line="240" w:lineRule="auto"/>
              <w:jc w:val="center"/>
              <w:rPr>
                <w:rFonts w:hint="eastAsia" w:ascii="宋体" w:hAnsi="宋体" w:eastAsia="宋体" w:cs="宋体"/>
                <w:b/>
                <w:color w:val="auto"/>
                <w:kern w:val="0"/>
                <w:sz w:val="22"/>
                <w:szCs w:val="22"/>
                <w:highlight w:val="none"/>
                <w:lang w:val="en-US" w:eastAsia="zh-CN"/>
              </w:rPr>
            </w:pPr>
            <w:r>
              <w:rPr>
                <w:rFonts w:hint="eastAsia" w:ascii="宋体" w:hAnsi="宋体" w:eastAsia="宋体" w:cs="宋体"/>
                <w:b/>
                <w:color w:val="auto"/>
                <w:kern w:val="0"/>
                <w:sz w:val="22"/>
                <w:szCs w:val="22"/>
                <w:highlight w:val="none"/>
                <w:lang w:val="en-US" w:eastAsia="zh-CN"/>
              </w:rPr>
              <w:t>(分)</w:t>
            </w:r>
          </w:p>
        </w:tc>
      </w:tr>
      <w:tr w14:paraId="1956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6" w:type="dxa"/>
            <w:shd w:val="clear" w:color="auto" w:fill="auto"/>
            <w:vAlign w:val="center"/>
          </w:tcPr>
          <w:p w14:paraId="41903E54">
            <w:pPr>
              <w:spacing w:line="240" w:lineRule="auto"/>
              <w:jc w:val="center"/>
              <w:rPr>
                <w:rFonts w:hint="eastAsia" w:ascii="宋体" w:hAnsi="宋体" w:eastAsia="宋体" w:cs="宋体"/>
                <w:kern w:val="2"/>
                <w:sz w:val="22"/>
                <w:szCs w:val="22"/>
                <w:highlight w:val="none"/>
                <w:lang w:val="en-US" w:eastAsia="zh-CN" w:bidi="ar-SA"/>
              </w:rPr>
            </w:pPr>
            <w:r>
              <w:rPr>
                <w:rFonts w:hint="eastAsia" w:ascii="宋体" w:hAnsi="宋体" w:eastAsia="宋体" w:cs="宋体"/>
                <w:b/>
                <w:bCs w:val="0"/>
                <w:color w:val="auto"/>
                <w:kern w:val="0"/>
                <w:sz w:val="22"/>
                <w:szCs w:val="22"/>
                <w:highlight w:val="none"/>
                <w:lang w:val="en-US" w:eastAsia="zh-CN"/>
              </w:rPr>
              <w:t>1</w:t>
            </w:r>
          </w:p>
        </w:tc>
        <w:tc>
          <w:tcPr>
            <w:tcW w:w="1128" w:type="dxa"/>
            <w:shd w:val="clear" w:color="auto" w:fill="auto"/>
            <w:vAlign w:val="center"/>
          </w:tcPr>
          <w:p w14:paraId="28A8C7A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宋体" w:hAnsi="宋体" w:eastAsia="宋体" w:cs="宋体"/>
                <w:color w:val="auto"/>
                <w:spacing w:val="0"/>
                <w:w w:val="100"/>
                <w:kern w:val="2"/>
                <w:sz w:val="22"/>
                <w:szCs w:val="22"/>
                <w:highlight w:val="none"/>
                <w:lang w:val="en-US" w:eastAsia="zh-CN" w:bidi="ar-SA"/>
              </w:rPr>
            </w:pPr>
            <w:r>
              <w:rPr>
                <w:rFonts w:hint="eastAsia" w:ascii="宋体" w:hAnsi="宋体" w:eastAsia="宋体" w:cs="宋体"/>
                <w:b/>
                <w:bCs/>
                <w:color w:val="auto"/>
                <w:kern w:val="0"/>
                <w:sz w:val="22"/>
                <w:szCs w:val="22"/>
                <w:highlight w:val="none"/>
              </w:rPr>
              <w:t>类似业绩</w:t>
            </w:r>
          </w:p>
        </w:tc>
        <w:tc>
          <w:tcPr>
            <w:tcW w:w="7119" w:type="dxa"/>
            <w:shd w:val="clear" w:color="auto" w:fill="auto"/>
            <w:vAlign w:val="center"/>
          </w:tcPr>
          <w:p w14:paraId="5D9C32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eastAsia="zh-CN"/>
              </w:rPr>
              <w:t>供应商自</w:t>
            </w:r>
            <w:r>
              <w:rPr>
                <w:rFonts w:hint="eastAsia" w:ascii="宋体" w:hAnsi="宋体" w:eastAsia="宋体" w:cs="宋体"/>
                <w:color w:val="auto"/>
                <w:kern w:val="0"/>
                <w:sz w:val="22"/>
                <w:szCs w:val="22"/>
                <w:highlight w:val="none"/>
              </w:rPr>
              <w:t>20</w:t>
            </w:r>
            <w:r>
              <w:rPr>
                <w:rFonts w:hint="eastAsia" w:ascii="宋体" w:hAnsi="宋体" w:eastAsia="宋体" w:cs="宋体"/>
                <w:color w:val="auto"/>
                <w:kern w:val="0"/>
                <w:sz w:val="22"/>
                <w:szCs w:val="22"/>
                <w:highlight w:val="none"/>
                <w:lang w:val="en-US" w:eastAsia="zh-CN"/>
              </w:rPr>
              <w:t>21</w:t>
            </w:r>
            <w:r>
              <w:rPr>
                <w:rFonts w:hint="eastAsia" w:ascii="宋体" w:hAnsi="宋体" w:eastAsia="宋体" w:cs="宋体"/>
                <w:color w:val="auto"/>
                <w:kern w:val="0"/>
                <w:sz w:val="22"/>
                <w:szCs w:val="22"/>
                <w:highlight w:val="none"/>
              </w:rPr>
              <w:t>年1月1日起（以合同签订时间为准）至磋商截止时间止，具有</w:t>
            </w:r>
            <w:r>
              <w:rPr>
                <w:rFonts w:hint="eastAsia" w:ascii="宋体" w:hAnsi="宋体" w:eastAsia="宋体" w:cs="宋体"/>
                <w:color w:val="auto"/>
                <w:kern w:val="0"/>
                <w:sz w:val="22"/>
                <w:szCs w:val="22"/>
                <w:highlight w:val="none"/>
                <w:lang w:val="en-US" w:eastAsia="zh-CN"/>
              </w:rPr>
              <w:t>类似</w:t>
            </w:r>
            <w:r>
              <w:rPr>
                <w:rFonts w:hint="eastAsia" w:ascii="宋体" w:hAnsi="宋体" w:eastAsia="宋体" w:cs="宋体"/>
                <w:color w:val="auto"/>
                <w:kern w:val="0"/>
                <w:sz w:val="22"/>
                <w:szCs w:val="22"/>
                <w:highlight w:val="none"/>
              </w:rPr>
              <w:t>项目业绩</w:t>
            </w:r>
            <w:r>
              <w:rPr>
                <w:rFonts w:hint="eastAsia" w:ascii="宋体" w:hAnsi="宋体" w:eastAsia="宋体" w:cs="宋体"/>
                <w:color w:val="auto"/>
                <w:kern w:val="0"/>
                <w:sz w:val="22"/>
                <w:szCs w:val="22"/>
                <w:highlight w:val="none"/>
                <w:lang w:eastAsia="zh-CN"/>
              </w:rPr>
              <w:t>的</w:t>
            </w:r>
            <w:r>
              <w:rPr>
                <w:rFonts w:hint="eastAsia" w:ascii="宋体" w:hAnsi="宋体" w:eastAsia="宋体" w:cs="宋体"/>
                <w:color w:val="auto"/>
                <w:kern w:val="0"/>
                <w:sz w:val="22"/>
                <w:szCs w:val="22"/>
                <w:highlight w:val="none"/>
              </w:rPr>
              <w:t>，每提供一个得0.</w:t>
            </w:r>
            <w:r>
              <w:rPr>
                <w:rFonts w:hint="eastAsia" w:ascii="宋体" w:hAnsi="宋体" w:eastAsia="宋体" w:cs="宋体"/>
                <w:color w:val="auto"/>
                <w:kern w:val="0"/>
                <w:sz w:val="22"/>
                <w:szCs w:val="22"/>
                <w:highlight w:val="none"/>
                <w:lang w:val="en-US" w:eastAsia="zh-CN"/>
              </w:rPr>
              <w:t>5</w:t>
            </w:r>
            <w:r>
              <w:rPr>
                <w:rFonts w:hint="eastAsia" w:ascii="宋体" w:hAnsi="宋体" w:eastAsia="宋体" w:cs="宋体"/>
                <w:color w:val="auto"/>
                <w:kern w:val="0"/>
                <w:sz w:val="22"/>
                <w:szCs w:val="22"/>
                <w:highlight w:val="none"/>
              </w:rPr>
              <w:t>分，最高得</w:t>
            </w: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分。</w:t>
            </w:r>
          </w:p>
          <w:p w14:paraId="700A83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w w:val="100"/>
                <w:kern w:val="2"/>
                <w:sz w:val="22"/>
                <w:szCs w:val="22"/>
                <w:highlight w:val="none"/>
                <w:lang w:val="en-US" w:eastAsia="zh-CN" w:bidi="ar-SA"/>
              </w:rPr>
            </w:pPr>
            <w:r>
              <w:rPr>
                <w:rFonts w:hint="eastAsia" w:ascii="宋体" w:hAnsi="宋体" w:eastAsia="宋体" w:cs="宋体"/>
                <w:b/>
                <w:color w:val="auto"/>
                <w:sz w:val="22"/>
                <w:szCs w:val="22"/>
                <w:highlight w:val="none"/>
              </w:rPr>
              <w:t>注：1.须</w:t>
            </w:r>
            <w:r>
              <w:rPr>
                <w:rFonts w:hint="eastAsia" w:ascii="宋体" w:hAnsi="宋体" w:eastAsia="宋体" w:cs="宋体"/>
                <w:b/>
                <w:color w:val="auto"/>
                <w:kern w:val="0"/>
                <w:sz w:val="22"/>
                <w:szCs w:val="22"/>
                <w:highlight w:val="none"/>
              </w:rPr>
              <w:t>提供合同</w:t>
            </w:r>
            <w:r>
              <w:rPr>
                <w:rFonts w:hint="eastAsia" w:ascii="宋体" w:hAnsi="宋体" w:eastAsia="宋体" w:cs="宋体"/>
                <w:b/>
                <w:color w:val="auto"/>
                <w:kern w:val="0"/>
                <w:sz w:val="22"/>
                <w:szCs w:val="22"/>
                <w:highlight w:val="none"/>
                <w:lang w:eastAsia="zh-CN"/>
              </w:rPr>
              <w:t>原件扫描件</w:t>
            </w:r>
            <w:r>
              <w:rPr>
                <w:rFonts w:hint="eastAsia" w:ascii="宋体" w:hAnsi="宋体" w:eastAsia="宋体" w:cs="宋体"/>
                <w:b/>
                <w:color w:val="auto"/>
                <w:sz w:val="22"/>
                <w:szCs w:val="22"/>
                <w:highlight w:val="none"/>
              </w:rPr>
              <w:t>并加盖</w:t>
            </w:r>
            <w:r>
              <w:rPr>
                <w:rFonts w:hint="eastAsia" w:ascii="宋体" w:hAnsi="宋体" w:eastAsia="宋体" w:cs="宋体"/>
                <w:b/>
                <w:color w:val="auto"/>
                <w:sz w:val="22"/>
                <w:szCs w:val="22"/>
                <w:highlight w:val="none"/>
                <w:lang w:val="en-US" w:eastAsia="zh-CN"/>
              </w:rPr>
              <w:t>电子</w:t>
            </w:r>
            <w:r>
              <w:rPr>
                <w:rFonts w:hint="eastAsia" w:ascii="宋体" w:hAnsi="宋体" w:eastAsia="宋体" w:cs="宋体"/>
                <w:b/>
                <w:color w:val="auto"/>
                <w:sz w:val="22"/>
                <w:szCs w:val="22"/>
                <w:highlight w:val="none"/>
              </w:rPr>
              <w:t>公章，否则不得分。2.是否属于类似业绩由评审委员会根据合同的内容、特点以及与本项目的类似程度等进行认定。</w:t>
            </w:r>
          </w:p>
        </w:tc>
        <w:tc>
          <w:tcPr>
            <w:tcW w:w="819" w:type="dxa"/>
            <w:shd w:val="clear" w:color="auto" w:fill="auto"/>
            <w:vAlign w:val="center"/>
          </w:tcPr>
          <w:p w14:paraId="4695EB34">
            <w:pPr>
              <w:spacing w:line="240" w:lineRule="auto"/>
              <w:jc w:val="center"/>
              <w:rPr>
                <w:rFonts w:hint="eastAsia" w:ascii="宋体" w:hAnsi="宋体" w:eastAsia="宋体" w:cs="宋体"/>
                <w:color w:val="auto"/>
                <w:spacing w:val="0"/>
                <w:w w:val="100"/>
                <w:kern w:val="2"/>
                <w:sz w:val="22"/>
                <w:szCs w:val="22"/>
                <w:highlight w:val="none"/>
                <w:lang w:val="en-US" w:eastAsia="zh-CN" w:bidi="ar-SA"/>
              </w:rPr>
            </w:pPr>
            <w:r>
              <w:rPr>
                <w:rFonts w:hint="eastAsia" w:ascii="宋体" w:hAnsi="宋体" w:eastAsia="宋体" w:cs="宋体"/>
                <w:color w:val="auto"/>
                <w:kern w:val="0"/>
                <w:sz w:val="22"/>
                <w:szCs w:val="22"/>
                <w:highlight w:val="none"/>
                <w:lang w:val="en-US" w:eastAsia="zh-CN"/>
              </w:rPr>
              <w:t>0-1</w:t>
            </w:r>
          </w:p>
        </w:tc>
      </w:tr>
      <w:tr w14:paraId="6384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6" w:type="dxa"/>
            <w:shd w:val="clear" w:color="auto" w:fill="auto"/>
            <w:vAlign w:val="center"/>
          </w:tcPr>
          <w:p w14:paraId="209741B2">
            <w:pPr>
              <w:spacing w:line="240" w:lineRule="auto"/>
              <w:jc w:val="center"/>
              <w:rPr>
                <w:rFonts w:hint="eastAsia" w:ascii="宋体" w:hAnsi="宋体" w:eastAsia="宋体" w:cs="宋体"/>
                <w:b/>
                <w:bCs w:val="0"/>
                <w:color w:val="auto"/>
                <w:kern w:val="0"/>
                <w:sz w:val="22"/>
                <w:szCs w:val="22"/>
                <w:highlight w:val="none"/>
                <w:lang w:val="en-US" w:eastAsia="zh-CN"/>
              </w:rPr>
            </w:pPr>
            <w:r>
              <w:rPr>
                <w:rFonts w:hint="eastAsia" w:ascii="宋体" w:hAnsi="宋体" w:eastAsia="宋体" w:cs="宋体"/>
                <w:b/>
                <w:bCs w:val="0"/>
                <w:color w:val="auto"/>
                <w:kern w:val="0"/>
                <w:sz w:val="22"/>
                <w:szCs w:val="22"/>
                <w:highlight w:val="none"/>
                <w:lang w:val="en-US" w:eastAsia="zh-CN"/>
              </w:rPr>
              <w:t>2</w:t>
            </w:r>
          </w:p>
        </w:tc>
        <w:tc>
          <w:tcPr>
            <w:tcW w:w="1128" w:type="dxa"/>
            <w:shd w:val="clear" w:color="auto" w:fill="auto"/>
            <w:vAlign w:val="center"/>
          </w:tcPr>
          <w:p w14:paraId="4C0BC1E2">
            <w:pPr>
              <w:widowControl/>
              <w:autoSpaceDE w:val="0"/>
              <w:spacing w:line="312" w:lineRule="auto"/>
              <w:jc w:val="center"/>
              <w:rPr>
                <w:rFonts w:hint="eastAsia" w:ascii="宋体" w:hAnsi="宋体" w:eastAsia="宋体" w:cs="宋体"/>
                <w:b/>
                <w:bCs/>
                <w:color w:val="000000"/>
                <w:kern w:val="0"/>
                <w:sz w:val="22"/>
                <w:szCs w:val="22"/>
                <w:highlight w:val="none"/>
                <w:lang w:val="en-US" w:eastAsia="zh-CN" w:bidi="ar-SA"/>
              </w:rPr>
            </w:pPr>
            <w:r>
              <w:rPr>
                <w:rFonts w:hint="eastAsia" w:ascii="宋体" w:hAnsi="宋体" w:eastAsia="宋体" w:cs="宋体"/>
                <w:b/>
                <w:bCs/>
                <w:color w:val="000000"/>
                <w:kern w:val="0"/>
                <w:sz w:val="22"/>
                <w:szCs w:val="22"/>
                <w:highlight w:val="none"/>
              </w:rPr>
              <w:t>认证证书</w:t>
            </w:r>
          </w:p>
        </w:tc>
        <w:tc>
          <w:tcPr>
            <w:tcW w:w="7119" w:type="dxa"/>
            <w:shd w:val="clear" w:color="auto" w:fill="auto"/>
            <w:vAlign w:val="top"/>
          </w:tcPr>
          <w:p w14:paraId="4A0545B5">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eastAsia="zh-CN"/>
              </w:rPr>
              <w:t>供应商</w:t>
            </w:r>
            <w:r>
              <w:rPr>
                <w:rFonts w:hint="eastAsia" w:ascii="宋体" w:hAnsi="宋体" w:eastAsia="宋体" w:cs="宋体"/>
                <w:color w:val="000000"/>
                <w:sz w:val="22"/>
                <w:szCs w:val="22"/>
                <w:highlight w:val="none"/>
              </w:rPr>
              <w:t>具有有效的质量管理体系认证</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环境管理体系认证</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职业健康安全管理体系认证证书</w:t>
            </w:r>
            <w:r>
              <w:rPr>
                <w:rFonts w:hint="eastAsia" w:ascii="宋体" w:hAnsi="宋体" w:eastAsia="宋体" w:cs="宋体"/>
                <w:color w:val="000000"/>
                <w:sz w:val="22"/>
                <w:szCs w:val="22"/>
                <w:highlight w:val="none"/>
                <w:lang w:eastAsia="zh-CN"/>
              </w:rPr>
              <w:t>，每个得</w:t>
            </w:r>
            <w:r>
              <w:rPr>
                <w:rFonts w:hint="eastAsia" w:ascii="宋体" w:hAnsi="宋体" w:eastAsia="宋体" w:cs="宋体"/>
                <w:color w:val="000000"/>
                <w:sz w:val="22"/>
                <w:szCs w:val="22"/>
                <w:highlight w:val="none"/>
                <w:lang w:val="en-US" w:eastAsia="zh-CN"/>
              </w:rPr>
              <w:t>1分，本项最高得3分</w:t>
            </w:r>
            <w:r>
              <w:rPr>
                <w:rFonts w:hint="eastAsia" w:ascii="宋体" w:hAnsi="宋体" w:eastAsia="宋体" w:cs="宋体"/>
                <w:color w:val="000000"/>
                <w:sz w:val="22"/>
                <w:szCs w:val="22"/>
                <w:highlight w:val="none"/>
              </w:rPr>
              <w:t>。</w:t>
            </w:r>
          </w:p>
          <w:p w14:paraId="2D748371">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b/>
                <w:bCs/>
                <w:color w:val="000000"/>
                <w:sz w:val="22"/>
                <w:szCs w:val="22"/>
                <w:highlight w:val="none"/>
              </w:rPr>
              <w:t>注：</w:t>
            </w:r>
            <w:r>
              <w:rPr>
                <w:rFonts w:hint="eastAsia" w:ascii="宋体" w:hAnsi="宋体" w:eastAsia="宋体" w:cs="宋体"/>
                <w:b/>
                <w:bCs/>
                <w:color w:val="000000"/>
                <w:sz w:val="22"/>
                <w:szCs w:val="22"/>
                <w:highlight w:val="none"/>
                <w:lang w:eastAsia="zh-CN"/>
              </w:rPr>
              <w:t>提供</w:t>
            </w:r>
            <w:r>
              <w:rPr>
                <w:rFonts w:hint="eastAsia" w:ascii="宋体" w:hAnsi="宋体" w:eastAsia="宋体" w:cs="宋体"/>
                <w:b/>
                <w:bCs/>
                <w:color w:val="000000"/>
                <w:sz w:val="22"/>
                <w:szCs w:val="22"/>
                <w:highlight w:val="none"/>
              </w:rPr>
              <w:t>有效证书的扫描件</w:t>
            </w:r>
            <w:r>
              <w:rPr>
                <w:rFonts w:hint="eastAsia" w:ascii="宋体" w:hAnsi="宋体" w:eastAsia="宋体" w:cs="宋体"/>
                <w:b/>
                <w:bCs/>
                <w:color w:val="000000"/>
                <w:sz w:val="22"/>
                <w:szCs w:val="22"/>
                <w:highlight w:val="none"/>
                <w:lang w:eastAsia="zh-CN"/>
              </w:rPr>
              <w:t>及认监网截图</w:t>
            </w:r>
            <w:r>
              <w:rPr>
                <w:rFonts w:hint="eastAsia" w:ascii="宋体" w:hAnsi="宋体" w:eastAsia="宋体" w:cs="宋体"/>
                <w:b/>
                <w:color w:val="000000"/>
                <w:sz w:val="22"/>
                <w:szCs w:val="22"/>
                <w:highlight w:val="none"/>
              </w:rPr>
              <w:t>加盖公章后</w:t>
            </w:r>
            <w:r>
              <w:rPr>
                <w:rFonts w:hint="eastAsia" w:ascii="宋体" w:hAnsi="宋体" w:eastAsia="宋体" w:cs="宋体"/>
                <w:b/>
                <w:bCs/>
                <w:color w:val="000000"/>
                <w:sz w:val="22"/>
                <w:szCs w:val="22"/>
                <w:highlight w:val="none"/>
              </w:rPr>
              <w:t>导入资信商务及技术文件中，</w:t>
            </w:r>
            <w:r>
              <w:rPr>
                <w:rFonts w:hint="eastAsia" w:ascii="宋体" w:hAnsi="宋体" w:eastAsia="宋体" w:cs="宋体"/>
                <w:b/>
                <w:bCs/>
                <w:color w:val="000000"/>
                <w:sz w:val="22"/>
                <w:szCs w:val="22"/>
                <w:highlight w:val="none"/>
                <w:lang w:eastAsia="zh-CN"/>
              </w:rPr>
              <w:t>缺项漏项均</w:t>
            </w:r>
            <w:r>
              <w:rPr>
                <w:rFonts w:hint="eastAsia" w:ascii="宋体" w:hAnsi="宋体" w:eastAsia="宋体" w:cs="宋体"/>
                <w:b/>
                <w:bCs/>
                <w:color w:val="000000"/>
                <w:sz w:val="22"/>
                <w:szCs w:val="22"/>
                <w:highlight w:val="none"/>
              </w:rPr>
              <w:t>不得分</w:t>
            </w:r>
          </w:p>
        </w:tc>
        <w:tc>
          <w:tcPr>
            <w:tcW w:w="819" w:type="dxa"/>
            <w:shd w:val="clear" w:color="auto" w:fill="auto"/>
            <w:vAlign w:val="center"/>
          </w:tcPr>
          <w:p w14:paraId="0A688FAD">
            <w:pPr>
              <w:spacing w:line="240" w:lineRule="auto"/>
              <w:jc w:val="center"/>
              <w:rPr>
                <w:rFonts w:hint="eastAsia" w:ascii="宋体" w:hAnsi="宋体" w:eastAsia="宋体" w:cs="宋体"/>
                <w:b w:val="0"/>
                <w:bCs w:val="0"/>
                <w:color w:val="auto"/>
                <w:kern w:val="0"/>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rPr>
              <w:t>0-3</w:t>
            </w:r>
          </w:p>
        </w:tc>
      </w:tr>
      <w:tr w14:paraId="1C38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6" w:type="dxa"/>
            <w:shd w:val="clear" w:color="auto" w:fill="auto"/>
            <w:vAlign w:val="center"/>
          </w:tcPr>
          <w:p w14:paraId="245D6841">
            <w:pPr>
              <w:spacing w:line="240" w:lineRule="auto"/>
              <w:jc w:val="center"/>
              <w:rPr>
                <w:rFonts w:hint="eastAsia" w:ascii="宋体" w:hAnsi="宋体" w:eastAsia="宋体" w:cs="宋体"/>
                <w:b/>
                <w:bCs w:val="0"/>
                <w:color w:val="auto"/>
                <w:kern w:val="0"/>
                <w:sz w:val="22"/>
                <w:szCs w:val="22"/>
                <w:highlight w:val="none"/>
                <w:lang w:val="en-US" w:eastAsia="zh-CN"/>
              </w:rPr>
            </w:pPr>
            <w:r>
              <w:rPr>
                <w:rFonts w:hint="eastAsia" w:ascii="宋体" w:hAnsi="宋体" w:eastAsia="宋体" w:cs="宋体"/>
                <w:b/>
                <w:bCs w:val="0"/>
                <w:color w:val="auto"/>
                <w:kern w:val="0"/>
                <w:sz w:val="22"/>
                <w:szCs w:val="22"/>
                <w:highlight w:val="none"/>
                <w:lang w:val="en-US" w:eastAsia="zh-CN"/>
              </w:rPr>
              <w:t>3</w:t>
            </w:r>
          </w:p>
        </w:tc>
        <w:tc>
          <w:tcPr>
            <w:tcW w:w="1128" w:type="dxa"/>
            <w:shd w:val="clear" w:color="auto" w:fill="auto"/>
            <w:vAlign w:val="center"/>
          </w:tcPr>
          <w:p w14:paraId="7E715534">
            <w:pPr>
              <w:widowControl/>
              <w:autoSpaceDE w:val="0"/>
              <w:spacing w:line="312" w:lineRule="auto"/>
              <w:jc w:val="center"/>
              <w:rPr>
                <w:rFonts w:hint="eastAsia" w:ascii="宋体" w:hAnsi="宋体" w:eastAsia="宋体" w:cs="宋体"/>
                <w:color w:val="auto"/>
                <w:spacing w:val="0"/>
                <w:w w:val="100"/>
                <w:kern w:val="2"/>
                <w:sz w:val="22"/>
                <w:szCs w:val="22"/>
                <w:highlight w:val="none"/>
                <w:lang w:val="en-US" w:eastAsia="zh-CN" w:bidi="ar-SA"/>
              </w:rPr>
            </w:pPr>
            <w:r>
              <w:rPr>
                <w:rFonts w:hint="eastAsia" w:ascii="宋体" w:hAnsi="宋体" w:eastAsia="宋体" w:cs="宋体"/>
                <w:b/>
                <w:bCs/>
                <w:color w:val="000000"/>
                <w:kern w:val="0"/>
                <w:sz w:val="22"/>
                <w:szCs w:val="22"/>
                <w:highlight w:val="none"/>
              </w:rPr>
              <w:t>企业</w:t>
            </w:r>
            <w:r>
              <w:rPr>
                <w:rFonts w:hint="eastAsia" w:ascii="宋体" w:hAnsi="宋体" w:eastAsia="宋体" w:cs="宋体"/>
                <w:b/>
                <w:bCs/>
                <w:color w:val="000000"/>
                <w:kern w:val="0"/>
                <w:sz w:val="22"/>
                <w:szCs w:val="22"/>
                <w:highlight w:val="none"/>
                <w:lang w:eastAsia="zh-CN"/>
              </w:rPr>
              <w:t>相关证书</w:t>
            </w:r>
          </w:p>
        </w:tc>
        <w:tc>
          <w:tcPr>
            <w:tcW w:w="7119" w:type="dxa"/>
            <w:shd w:val="clear" w:color="auto" w:fill="auto"/>
            <w:vAlign w:val="top"/>
          </w:tcPr>
          <w:p w14:paraId="379EFB8C">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供应商具备有效的检验检测机构资质认定证书：省级及以上认定的，得2分，市级认定的，得1分</w:t>
            </w:r>
            <w:r>
              <w:rPr>
                <w:rFonts w:hint="eastAsia" w:ascii="宋体" w:hAnsi="宋体" w:eastAsia="宋体" w:cs="宋体"/>
                <w:color w:val="000000"/>
                <w:sz w:val="22"/>
                <w:szCs w:val="22"/>
                <w:highlight w:val="none"/>
                <w:lang w:eastAsia="zh-CN"/>
              </w:rPr>
              <w:t>，本项最高得</w:t>
            </w:r>
            <w:r>
              <w:rPr>
                <w:rFonts w:hint="eastAsia" w:ascii="宋体" w:hAnsi="宋体" w:eastAsia="宋体" w:cs="宋体"/>
                <w:color w:val="000000"/>
                <w:sz w:val="22"/>
                <w:szCs w:val="22"/>
                <w:highlight w:val="none"/>
                <w:lang w:val="en-US" w:eastAsia="zh-CN"/>
              </w:rPr>
              <w:t>2分</w:t>
            </w:r>
            <w:r>
              <w:rPr>
                <w:rFonts w:hint="eastAsia" w:ascii="宋体" w:hAnsi="宋体" w:eastAsia="宋体" w:cs="宋体"/>
                <w:color w:val="000000"/>
                <w:sz w:val="22"/>
                <w:szCs w:val="22"/>
                <w:highlight w:val="none"/>
              </w:rPr>
              <w:t>。</w:t>
            </w:r>
          </w:p>
          <w:p w14:paraId="62FC7D4F">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color w:val="auto"/>
                <w:spacing w:val="0"/>
                <w:w w:val="100"/>
                <w:kern w:val="0"/>
                <w:sz w:val="22"/>
                <w:szCs w:val="22"/>
                <w:highlight w:val="none"/>
                <w:lang w:val="en-US" w:eastAsia="zh-CN" w:bidi="ar-SA"/>
              </w:rPr>
            </w:pPr>
            <w:r>
              <w:rPr>
                <w:rFonts w:hint="eastAsia" w:ascii="宋体" w:hAnsi="宋体" w:eastAsia="宋体" w:cs="宋体"/>
                <w:b/>
                <w:bCs/>
                <w:color w:val="000000"/>
                <w:sz w:val="22"/>
                <w:szCs w:val="22"/>
                <w:highlight w:val="none"/>
                <w:lang w:eastAsia="zh-CN"/>
              </w:rPr>
              <w:t>注：</w:t>
            </w:r>
            <w:r>
              <w:rPr>
                <w:rFonts w:hint="eastAsia" w:ascii="宋体" w:hAnsi="宋体" w:eastAsia="宋体" w:cs="宋体"/>
                <w:b/>
                <w:bCs/>
                <w:color w:val="000000"/>
                <w:sz w:val="22"/>
                <w:szCs w:val="22"/>
                <w:highlight w:val="none"/>
              </w:rPr>
              <w:t>提供相关证明材料扫描件</w:t>
            </w:r>
            <w:r>
              <w:rPr>
                <w:rFonts w:hint="eastAsia" w:ascii="宋体" w:hAnsi="宋体" w:eastAsia="宋体" w:cs="宋体"/>
                <w:b/>
                <w:bCs/>
                <w:color w:val="000000"/>
                <w:sz w:val="22"/>
                <w:szCs w:val="22"/>
                <w:highlight w:val="none"/>
                <w:lang w:eastAsia="zh-CN"/>
              </w:rPr>
              <w:t>加盖公章</w:t>
            </w:r>
            <w:r>
              <w:rPr>
                <w:rFonts w:hint="eastAsia" w:ascii="宋体" w:hAnsi="宋体" w:eastAsia="宋体" w:cs="宋体"/>
                <w:b/>
                <w:bCs/>
                <w:color w:val="000000"/>
                <w:sz w:val="22"/>
                <w:szCs w:val="22"/>
                <w:highlight w:val="none"/>
              </w:rPr>
              <w:t>，否则不得分。</w:t>
            </w:r>
          </w:p>
        </w:tc>
        <w:tc>
          <w:tcPr>
            <w:tcW w:w="819" w:type="dxa"/>
            <w:shd w:val="clear" w:color="auto" w:fill="auto"/>
            <w:vAlign w:val="center"/>
          </w:tcPr>
          <w:p w14:paraId="3923BAA6">
            <w:pPr>
              <w:snapToGrid w:val="0"/>
              <w:jc w:val="center"/>
              <w:rPr>
                <w:rFonts w:hint="eastAsia" w:ascii="宋体" w:hAnsi="宋体" w:eastAsia="宋体" w:cs="宋体"/>
                <w:b w:val="0"/>
                <w:bCs w:val="0"/>
                <w:color w:val="auto"/>
                <w:spacing w:val="0"/>
                <w:w w:val="100"/>
                <w:kern w:val="2"/>
                <w:sz w:val="22"/>
                <w:szCs w:val="22"/>
                <w:highlight w:val="none"/>
                <w:lang w:val="en-US" w:eastAsia="zh-CN" w:bidi="ar-SA"/>
              </w:rPr>
            </w:pPr>
            <w:r>
              <w:rPr>
                <w:rFonts w:hint="eastAsia" w:ascii="宋体" w:hAnsi="宋体" w:eastAsia="宋体" w:cs="宋体"/>
                <w:b w:val="0"/>
                <w:bCs w:val="0"/>
                <w:color w:val="000000"/>
                <w:sz w:val="22"/>
                <w:szCs w:val="22"/>
                <w:highlight w:val="none"/>
                <w:lang w:val="en-US" w:eastAsia="zh-CN"/>
              </w:rPr>
              <w:t>0-</w:t>
            </w:r>
            <w:r>
              <w:rPr>
                <w:rFonts w:hint="eastAsia" w:ascii="宋体" w:hAnsi="宋体" w:eastAsia="宋体" w:cs="宋体"/>
                <w:b w:val="0"/>
                <w:bCs w:val="0"/>
                <w:color w:val="000000"/>
                <w:sz w:val="22"/>
                <w:szCs w:val="22"/>
                <w:highlight w:val="none"/>
              </w:rPr>
              <w:t>2</w:t>
            </w:r>
          </w:p>
        </w:tc>
      </w:tr>
      <w:tr w14:paraId="412A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6" w:type="dxa"/>
            <w:shd w:val="clear" w:color="auto" w:fill="auto"/>
            <w:vAlign w:val="center"/>
          </w:tcPr>
          <w:p w14:paraId="1D286112">
            <w:pPr>
              <w:spacing w:line="240" w:lineRule="auto"/>
              <w:jc w:val="center"/>
              <w:rPr>
                <w:rFonts w:hint="eastAsia" w:ascii="宋体" w:hAnsi="宋体" w:eastAsia="宋体" w:cs="宋体"/>
                <w:b/>
                <w:bCs w:val="0"/>
                <w:color w:val="auto"/>
                <w:kern w:val="0"/>
                <w:sz w:val="22"/>
                <w:szCs w:val="22"/>
                <w:highlight w:val="none"/>
                <w:lang w:val="en-US" w:eastAsia="zh-CN"/>
              </w:rPr>
            </w:pPr>
            <w:r>
              <w:rPr>
                <w:rFonts w:hint="eastAsia" w:ascii="宋体" w:hAnsi="宋体" w:eastAsia="宋体" w:cs="宋体"/>
                <w:b/>
                <w:bCs w:val="0"/>
                <w:color w:val="auto"/>
                <w:kern w:val="0"/>
                <w:sz w:val="22"/>
                <w:szCs w:val="22"/>
                <w:highlight w:val="none"/>
                <w:lang w:val="en-US" w:eastAsia="zh-CN"/>
              </w:rPr>
              <w:t>4</w:t>
            </w:r>
          </w:p>
        </w:tc>
        <w:tc>
          <w:tcPr>
            <w:tcW w:w="1128" w:type="dxa"/>
            <w:shd w:val="clear" w:color="auto" w:fill="auto"/>
            <w:vAlign w:val="center"/>
          </w:tcPr>
          <w:p w14:paraId="2977FFD1">
            <w:pPr>
              <w:widowControl/>
              <w:autoSpaceDE w:val="0"/>
              <w:snapToGrid w:val="0"/>
              <w:spacing w:line="312" w:lineRule="auto"/>
              <w:jc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人员</w:t>
            </w:r>
          </w:p>
          <w:p w14:paraId="32AE0AA4">
            <w:pPr>
              <w:widowControl/>
              <w:autoSpaceDE w:val="0"/>
              <w:snapToGrid w:val="0"/>
              <w:spacing w:line="312" w:lineRule="auto"/>
              <w:jc w:val="center"/>
              <w:rPr>
                <w:rFonts w:hint="eastAsia" w:ascii="宋体" w:hAnsi="宋体" w:eastAsia="宋体" w:cs="宋体"/>
                <w:b/>
                <w:bCs/>
                <w:color w:val="000000"/>
                <w:kern w:val="0"/>
                <w:sz w:val="22"/>
                <w:szCs w:val="22"/>
                <w:highlight w:val="none"/>
                <w:lang w:val="en-US" w:eastAsia="zh-CN" w:bidi="ar-SA"/>
              </w:rPr>
            </w:pPr>
            <w:r>
              <w:rPr>
                <w:rFonts w:hint="eastAsia" w:ascii="宋体" w:hAnsi="宋体" w:eastAsia="宋体" w:cs="宋体"/>
                <w:b/>
                <w:bCs/>
                <w:color w:val="000000"/>
                <w:sz w:val="22"/>
                <w:szCs w:val="22"/>
                <w:highlight w:val="none"/>
              </w:rPr>
              <w:t>配备</w:t>
            </w:r>
          </w:p>
        </w:tc>
        <w:tc>
          <w:tcPr>
            <w:tcW w:w="7119" w:type="dxa"/>
            <w:shd w:val="clear" w:color="auto" w:fill="auto"/>
            <w:vAlign w:val="center"/>
          </w:tcPr>
          <w:p w14:paraId="73AA4730">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项目负责人：</w:t>
            </w:r>
          </w:p>
          <w:p w14:paraId="0C4FFEC6">
            <w:pPr>
              <w:keepNext w:val="0"/>
              <w:keepLines w:val="0"/>
              <w:pageBreakBefore w:val="0"/>
              <w:widowControl w:val="0"/>
              <w:kinsoku/>
              <w:wordWrap/>
              <w:overflowPunct/>
              <w:topLinePunct w:val="0"/>
              <w:autoSpaceDN/>
              <w:bidi w:val="0"/>
              <w:adjustRightInd/>
              <w:snapToGrid/>
              <w:spacing w:line="360" w:lineRule="exac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项目负责人具有环保类高级工程师职称的得2分；具有注册环保工程师证书的得3分。</w:t>
            </w:r>
            <w:r>
              <w:rPr>
                <w:rFonts w:hint="eastAsia" w:ascii="宋体" w:hAnsi="宋体" w:eastAsia="宋体" w:cs="宋体"/>
                <w:sz w:val="22"/>
                <w:szCs w:val="22"/>
                <w:highlight w:val="none"/>
                <w:lang w:eastAsia="zh-CN"/>
              </w:rPr>
              <w:t>本项</w:t>
            </w:r>
            <w:r>
              <w:rPr>
                <w:rFonts w:hint="eastAsia" w:ascii="宋体" w:hAnsi="宋体" w:eastAsia="宋体" w:cs="宋体"/>
                <w:sz w:val="22"/>
                <w:szCs w:val="22"/>
                <w:highlight w:val="none"/>
                <w:lang w:val="en-US" w:eastAsia="zh-CN"/>
              </w:rPr>
              <w:t>最高得5分。</w:t>
            </w:r>
          </w:p>
          <w:p w14:paraId="60FB40A7">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项目组成员（项目负责人除外）：</w:t>
            </w:r>
          </w:p>
          <w:p w14:paraId="4AAA5716">
            <w:pPr>
              <w:keepNext w:val="0"/>
              <w:keepLines w:val="0"/>
              <w:pageBreakBefore w:val="0"/>
              <w:widowControl w:val="0"/>
              <w:kinsoku/>
              <w:wordWrap/>
              <w:overflowPunct/>
              <w:topLinePunct w:val="0"/>
              <w:autoSpaceDN/>
              <w:bidi w:val="0"/>
              <w:adjustRightInd/>
              <w:snapToGrid/>
              <w:spacing w:line="360" w:lineRule="exact"/>
              <w:textAlignment w:val="auto"/>
              <w:rPr>
                <w:rFonts w:hint="eastAsia" w:ascii="宋体" w:hAnsi="宋体" w:eastAsia="宋体" w:cs="宋体"/>
                <w:color w:val="000000"/>
                <w:sz w:val="22"/>
                <w:szCs w:val="22"/>
                <w:highlight w:val="none"/>
              </w:rPr>
            </w:pPr>
            <w:r>
              <w:rPr>
                <w:rFonts w:hint="eastAsia" w:ascii="宋体" w:hAnsi="宋体" w:eastAsia="宋体" w:cs="宋体"/>
                <w:sz w:val="22"/>
                <w:szCs w:val="22"/>
                <w:highlight w:val="none"/>
              </w:rPr>
              <w:t>项目组成人员具有环保类高级工程师职称的每人得1分；具有环保类中级职称证书的每人得0.5分。本项</w:t>
            </w:r>
            <w:r>
              <w:rPr>
                <w:rFonts w:hint="eastAsia" w:ascii="宋体" w:hAnsi="宋体" w:eastAsia="宋体" w:cs="宋体"/>
                <w:color w:val="000000"/>
                <w:sz w:val="22"/>
                <w:szCs w:val="22"/>
                <w:highlight w:val="none"/>
              </w:rPr>
              <w:t>最高得8分。同一人员只计一次分。</w:t>
            </w:r>
          </w:p>
          <w:p w14:paraId="6A6B81EF">
            <w:pPr>
              <w:keepNext w:val="0"/>
              <w:keepLines w:val="0"/>
              <w:pageBreakBefore w:val="0"/>
              <w:widowControl w:val="0"/>
              <w:kinsoku/>
              <w:wordWrap/>
              <w:overflowPunct/>
              <w:topLinePunct w:val="0"/>
              <w:autoSpaceDE w:val="0"/>
              <w:autoSpaceDN/>
              <w:bidi w:val="0"/>
              <w:adjustRightInd/>
              <w:snapToGrid/>
              <w:spacing w:line="360" w:lineRule="exac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b/>
                <w:bCs/>
                <w:color w:val="000000"/>
                <w:sz w:val="22"/>
                <w:szCs w:val="22"/>
                <w:highlight w:val="none"/>
                <w:lang w:eastAsia="zh-CN"/>
              </w:rPr>
              <w:t>注：提</w:t>
            </w:r>
            <w:r>
              <w:rPr>
                <w:rFonts w:hint="eastAsia" w:ascii="宋体" w:hAnsi="宋体" w:eastAsia="宋体" w:cs="宋体"/>
                <w:b/>
                <w:bCs/>
                <w:color w:val="000000"/>
                <w:sz w:val="22"/>
                <w:szCs w:val="22"/>
                <w:highlight w:val="none"/>
              </w:rPr>
              <w:t>供相关人员证书及其在供应商单位缴纳的近3个月（2024年</w:t>
            </w:r>
            <w:r>
              <w:rPr>
                <w:rFonts w:hint="eastAsia" w:ascii="宋体" w:hAnsi="宋体" w:eastAsia="宋体" w:cs="宋体"/>
                <w:b/>
                <w:bCs/>
                <w:color w:val="000000"/>
                <w:sz w:val="22"/>
                <w:szCs w:val="22"/>
                <w:highlight w:val="none"/>
                <w:lang w:val="en-US" w:eastAsia="zh-CN"/>
              </w:rPr>
              <w:t>6</w:t>
            </w:r>
            <w:r>
              <w:rPr>
                <w:rFonts w:hint="eastAsia" w:ascii="宋体" w:hAnsi="宋体" w:eastAsia="宋体" w:cs="宋体"/>
                <w:b/>
                <w:bCs/>
                <w:color w:val="000000"/>
                <w:sz w:val="22"/>
                <w:szCs w:val="22"/>
                <w:highlight w:val="none"/>
              </w:rPr>
              <w:t>月起）的社保证明，否则不得分。</w:t>
            </w:r>
          </w:p>
        </w:tc>
        <w:tc>
          <w:tcPr>
            <w:tcW w:w="819" w:type="dxa"/>
            <w:shd w:val="clear" w:color="auto" w:fill="auto"/>
            <w:vAlign w:val="center"/>
          </w:tcPr>
          <w:p w14:paraId="2786EFDF">
            <w:pPr>
              <w:snapToGrid w:val="0"/>
              <w:jc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0-13</w:t>
            </w:r>
          </w:p>
        </w:tc>
      </w:tr>
      <w:tr w14:paraId="17AC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16" w:type="dxa"/>
            <w:vAlign w:val="center"/>
          </w:tcPr>
          <w:p w14:paraId="53ABE776">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5</w:t>
            </w:r>
          </w:p>
        </w:tc>
        <w:tc>
          <w:tcPr>
            <w:tcW w:w="1128" w:type="dxa"/>
            <w:vAlign w:val="center"/>
          </w:tcPr>
          <w:p w14:paraId="0F75DD92">
            <w:pPr>
              <w:keepNext w:val="0"/>
              <w:keepLines w:val="0"/>
              <w:pageBreakBefore w:val="0"/>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b/>
                <w:color w:val="auto"/>
                <w:kern w:val="0"/>
                <w:sz w:val="22"/>
                <w:szCs w:val="22"/>
                <w:highlight w:val="none"/>
              </w:rPr>
              <w:t>项目理解</w:t>
            </w:r>
            <w:r>
              <w:rPr>
                <w:rFonts w:hint="eastAsia" w:ascii="宋体" w:hAnsi="宋体" w:eastAsia="宋体" w:cs="宋体"/>
                <w:b/>
                <w:color w:val="auto"/>
                <w:kern w:val="0"/>
                <w:sz w:val="22"/>
                <w:szCs w:val="22"/>
                <w:highlight w:val="none"/>
                <w:lang w:val="en-US" w:eastAsia="zh-CN"/>
              </w:rPr>
              <w:t>及分析</w:t>
            </w:r>
          </w:p>
        </w:tc>
        <w:tc>
          <w:tcPr>
            <w:tcW w:w="7119" w:type="dxa"/>
            <w:vAlign w:val="center"/>
          </w:tcPr>
          <w:p w14:paraId="2946175A">
            <w:pPr>
              <w:keepNext w:val="0"/>
              <w:keepLines w:val="0"/>
              <w:pageBreakBefore w:val="0"/>
              <w:kinsoku/>
              <w:wordWrap/>
              <w:overflowPunct/>
              <w:topLinePunct w:val="0"/>
              <w:bidi w:val="0"/>
              <w:adjustRightInd/>
              <w:snapToGrid w:val="0"/>
              <w:spacing w:line="360" w:lineRule="exact"/>
              <w:ind w:left="0" w:leftChars="0" w:right="0" w:rightChars="0"/>
              <w:jc w:val="left"/>
              <w:textAlignment w:val="auto"/>
              <w:rPr>
                <w:rFonts w:hint="eastAsia" w:ascii="宋体" w:hAnsi="宋体" w:eastAsia="宋体" w:cs="宋体"/>
                <w:b/>
                <w:bCs/>
                <w:color w:val="auto"/>
                <w:spacing w:val="0"/>
                <w:w w:val="100"/>
                <w:sz w:val="22"/>
                <w:szCs w:val="22"/>
                <w:highlight w:val="none"/>
              </w:rPr>
            </w:pPr>
            <w:r>
              <w:rPr>
                <w:rFonts w:hint="eastAsia" w:ascii="宋体" w:hAnsi="宋体" w:eastAsia="宋体" w:cs="宋体"/>
                <w:color w:val="auto"/>
                <w:sz w:val="22"/>
                <w:szCs w:val="22"/>
                <w:highlight w:val="none"/>
                <w:lang w:val="en-US" w:eastAsia="zh-CN"/>
              </w:rPr>
              <w:t>根据供应商对本项目的总体任务、工作标准、服务要求的理解程度、分析准确性及</w:t>
            </w:r>
            <w:r>
              <w:rPr>
                <w:rFonts w:hint="eastAsia" w:ascii="宋体" w:hAnsi="宋体" w:eastAsia="宋体" w:cs="宋体"/>
                <w:color w:val="auto"/>
                <w:sz w:val="22"/>
                <w:szCs w:val="22"/>
                <w:highlight w:val="none"/>
                <w:lang w:eastAsia="zh-CN"/>
              </w:rPr>
              <w:t>全面性进行打分。</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vAlign w:val="center"/>
          </w:tcPr>
          <w:p w14:paraId="3EC33D87">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color w:val="auto"/>
                <w:sz w:val="22"/>
                <w:szCs w:val="22"/>
                <w:highlight w:val="none"/>
                <w:lang w:val="en-US" w:eastAsia="zh-CN"/>
              </w:rPr>
              <w:t>0-5</w:t>
            </w:r>
          </w:p>
        </w:tc>
      </w:tr>
      <w:tr w14:paraId="2AE1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16" w:type="dxa"/>
            <w:vMerge w:val="restart"/>
            <w:vAlign w:val="center"/>
          </w:tcPr>
          <w:p w14:paraId="5B397EAD">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6</w:t>
            </w:r>
          </w:p>
        </w:tc>
        <w:tc>
          <w:tcPr>
            <w:tcW w:w="1128" w:type="dxa"/>
            <w:vMerge w:val="restart"/>
            <w:shd w:val="clear" w:color="auto" w:fill="auto"/>
            <w:vAlign w:val="center"/>
          </w:tcPr>
          <w:p w14:paraId="113F8E7F">
            <w:pPr>
              <w:keepNext w:val="0"/>
              <w:keepLines w:val="0"/>
              <w:pageBreakBefore w:val="0"/>
              <w:kinsoku/>
              <w:wordWrap/>
              <w:overflowPunct/>
              <w:topLinePunct w:val="0"/>
              <w:bidi w:val="0"/>
              <w:adjustRightInd/>
              <w:spacing w:line="240" w:lineRule="auto"/>
              <w:ind w:left="-105" w:leftChars="-50" w:right="-105" w:rightChars="-50"/>
              <w:jc w:val="center"/>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color w:val="000000"/>
                <w:sz w:val="22"/>
                <w:szCs w:val="22"/>
                <w:highlight w:val="none"/>
              </w:rPr>
              <w:t>重难点分析及解决措施</w:t>
            </w:r>
          </w:p>
        </w:tc>
        <w:tc>
          <w:tcPr>
            <w:tcW w:w="7119" w:type="dxa"/>
            <w:shd w:val="clear" w:color="auto" w:fill="auto"/>
            <w:vAlign w:val="center"/>
          </w:tcPr>
          <w:p w14:paraId="0F1C07DF">
            <w:pPr>
              <w:keepNext w:val="0"/>
              <w:keepLines w:val="0"/>
              <w:pageBreakBefore w:val="0"/>
              <w:kinsoku/>
              <w:wordWrap/>
              <w:overflowPunct/>
              <w:topLinePunct w:val="0"/>
              <w:bidi w:val="0"/>
              <w:adjustRightInd/>
              <w:snapToGrid w:val="0"/>
              <w:spacing w:line="360" w:lineRule="exact"/>
              <w:jc w:val="left"/>
              <w:textAlignment w:val="baseline"/>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根据供应商针对本项目重点、难点问题分析准确性、全面性等情况</w:t>
            </w:r>
            <w:r>
              <w:rPr>
                <w:rFonts w:hint="eastAsia" w:ascii="宋体" w:hAnsi="宋体" w:eastAsia="宋体" w:cs="宋体"/>
                <w:color w:val="auto"/>
                <w:kern w:val="2"/>
                <w:sz w:val="22"/>
                <w:szCs w:val="22"/>
                <w:highlight w:val="none"/>
                <w:lang w:val="en-US" w:eastAsia="zh-CN" w:bidi="ar-SA"/>
              </w:rPr>
              <w:t>进行</w:t>
            </w:r>
            <w:r>
              <w:rPr>
                <w:rFonts w:hint="eastAsia" w:ascii="宋体" w:hAnsi="宋体" w:eastAsia="宋体" w:cs="宋体"/>
                <w:color w:val="auto"/>
                <w:kern w:val="0"/>
                <w:sz w:val="22"/>
                <w:szCs w:val="22"/>
                <w:highlight w:val="none"/>
                <w:lang w:val="en-US" w:eastAsia="zh-CN"/>
              </w:rPr>
              <w:t>打分</w:t>
            </w:r>
            <w:r>
              <w:rPr>
                <w:rFonts w:hint="eastAsia" w:ascii="宋体" w:hAnsi="宋体" w:eastAsia="宋体" w:cs="宋体"/>
                <w:sz w:val="22"/>
                <w:szCs w:val="22"/>
                <w:highlight w:val="none"/>
                <w:lang w:eastAsia="zh-CN"/>
              </w:rPr>
              <w:t>。</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63388D17">
            <w:pPr>
              <w:spacing w:line="240" w:lineRule="auto"/>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0-5</w:t>
            </w:r>
          </w:p>
        </w:tc>
      </w:tr>
      <w:tr w14:paraId="3852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16" w:type="dxa"/>
            <w:vMerge w:val="continue"/>
            <w:vAlign w:val="center"/>
          </w:tcPr>
          <w:p w14:paraId="7C49BA7A">
            <w:pPr>
              <w:spacing w:line="240" w:lineRule="auto"/>
              <w:jc w:val="center"/>
              <w:rPr>
                <w:rFonts w:hint="eastAsia" w:ascii="宋体" w:hAnsi="宋体" w:eastAsia="宋体" w:cs="宋体"/>
                <w:b/>
                <w:bCs/>
                <w:color w:val="auto"/>
                <w:spacing w:val="0"/>
                <w:w w:val="100"/>
                <w:sz w:val="22"/>
                <w:szCs w:val="22"/>
                <w:highlight w:val="none"/>
                <w:lang w:val="en-US" w:eastAsia="zh-CN"/>
              </w:rPr>
            </w:pPr>
          </w:p>
        </w:tc>
        <w:tc>
          <w:tcPr>
            <w:tcW w:w="1128" w:type="dxa"/>
            <w:vMerge w:val="continue"/>
            <w:vAlign w:val="center"/>
          </w:tcPr>
          <w:p w14:paraId="58C86BFA">
            <w:pPr>
              <w:keepNext w:val="0"/>
              <w:keepLines w:val="0"/>
              <w:pageBreakBefore w:val="0"/>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color w:val="auto"/>
                <w:kern w:val="0"/>
                <w:sz w:val="22"/>
                <w:szCs w:val="22"/>
                <w:highlight w:val="none"/>
              </w:rPr>
            </w:pPr>
          </w:p>
        </w:tc>
        <w:tc>
          <w:tcPr>
            <w:tcW w:w="7119" w:type="dxa"/>
            <w:shd w:val="clear" w:color="auto" w:fill="auto"/>
            <w:vAlign w:val="center"/>
          </w:tcPr>
          <w:p w14:paraId="657DE37E">
            <w:pPr>
              <w:keepNext w:val="0"/>
              <w:keepLines w:val="0"/>
              <w:pageBreakBefore w:val="0"/>
              <w:kinsoku/>
              <w:wordWrap/>
              <w:overflowPunct/>
              <w:topLinePunct w:val="0"/>
              <w:bidi w:val="0"/>
              <w:adjustRightInd/>
              <w:snapToGrid w:val="0"/>
              <w:spacing w:line="360" w:lineRule="exact"/>
              <w:jc w:val="left"/>
              <w:textAlignment w:val="baseline"/>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根据供应商针对本项目重点、难点问题采取的应对解决措施的科学性、合理性</w:t>
            </w:r>
            <w:r>
              <w:rPr>
                <w:rFonts w:hint="eastAsia" w:ascii="宋体" w:hAnsi="宋体" w:eastAsia="宋体" w:cs="宋体"/>
                <w:color w:val="auto"/>
                <w:kern w:val="2"/>
                <w:sz w:val="22"/>
                <w:szCs w:val="22"/>
                <w:highlight w:val="none"/>
                <w:lang w:val="en-US" w:eastAsia="zh-CN" w:bidi="ar-SA"/>
              </w:rPr>
              <w:t>进行</w:t>
            </w:r>
            <w:r>
              <w:rPr>
                <w:rFonts w:hint="eastAsia" w:ascii="宋体" w:hAnsi="宋体" w:eastAsia="宋体" w:cs="宋体"/>
                <w:color w:val="auto"/>
                <w:kern w:val="0"/>
                <w:sz w:val="22"/>
                <w:szCs w:val="22"/>
                <w:highlight w:val="none"/>
                <w:lang w:val="en-US" w:eastAsia="zh-CN"/>
              </w:rPr>
              <w:t>打分</w:t>
            </w:r>
            <w:r>
              <w:rPr>
                <w:rFonts w:hint="eastAsia" w:ascii="宋体" w:hAnsi="宋体" w:eastAsia="宋体" w:cs="宋体"/>
                <w:sz w:val="22"/>
                <w:szCs w:val="22"/>
                <w:highlight w:val="none"/>
                <w:lang w:eastAsia="zh-CN"/>
              </w:rPr>
              <w:t>。</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6E736EAA">
            <w:pPr>
              <w:spacing w:line="240" w:lineRule="auto"/>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0-5</w:t>
            </w:r>
          </w:p>
        </w:tc>
      </w:tr>
      <w:tr w14:paraId="1C6F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16" w:type="dxa"/>
            <w:vAlign w:val="center"/>
          </w:tcPr>
          <w:p w14:paraId="4BA8488C">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7</w:t>
            </w:r>
          </w:p>
        </w:tc>
        <w:tc>
          <w:tcPr>
            <w:tcW w:w="1128" w:type="dxa"/>
            <w:shd w:val="clear" w:color="auto" w:fill="auto"/>
            <w:vAlign w:val="center"/>
          </w:tcPr>
          <w:p w14:paraId="53025C1A">
            <w:pPr>
              <w:keepNext w:val="0"/>
              <w:keepLines w:val="0"/>
              <w:pageBreakBefore w:val="0"/>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000000"/>
                <w:kern w:val="0"/>
                <w:sz w:val="22"/>
                <w:szCs w:val="22"/>
                <w:highlight w:val="none"/>
                <w:lang w:val="en-US" w:eastAsia="zh-CN" w:bidi="ar-SA"/>
              </w:rPr>
            </w:pPr>
            <w:r>
              <w:rPr>
                <w:rFonts w:hint="eastAsia" w:ascii="宋体" w:hAnsi="宋体" w:eastAsia="宋体" w:cs="宋体"/>
                <w:b/>
                <w:bCs/>
                <w:color w:val="000000"/>
                <w:spacing w:val="-2"/>
                <w:sz w:val="22"/>
                <w:szCs w:val="22"/>
                <w:highlight w:val="none"/>
              </w:rPr>
              <w:t>项目实施方案</w:t>
            </w:r>
          </w:p>
        </w:tc>
        <w:tc>
          <w:tcPr>
            <w:tcW w:w="7119" w:type="dxa"/>
            <w:shd w:val="clear" w:color="auto" w:fill="auto"/>
            <w:vAlign w:val="center"/>
          </w:tcPr>
          <w:p w14:paraId="1BEBD673">
            <w:pPr>
              <w:keepNext w:val="0"/>
              <w:keepLines w:val="0"/>
              <w:pageBreakBefore w:val="0"/>
              <w:kinsoku/>
              <w:wordWrap/>
              <w:overflowPunct/>
              <w:topLinePunct w:val="0"/>
              <w:bidi w:val="0"/>
              <w:adjustRightInd/>
              <w:snapToGrid w:val="0"/>
              <w:spacing w:line="360" w:lineRule="exact"/>
              <w:ind w:right="0" w:rightChars="0"/>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sz w:val="22"/>
                <w:szCs w:val="22"/>
                <w:highlight w:val="none"/>
              </w:rPr>
              <w:t>根据供应商提供的调查工作、监测工作等项目实施方案</w:t>
            </w:r>
            <w:r>
              <w:rPr>
                <w:rFonts w:hint="eastAsia" w:ascii="宋体" w:hAnsi="宋体" w:eastAsia="宋体" w:cs="宋体"/>
                <w:color w:val="000000"/>
                <w:sz w:val="22"/>
                <w:szCs w:val="22"/>
                <w:highlight w:val="none"/>
                <w:lang w:eastAsia="zh-CN"/>
              </w:rPr>
              <w:t>的科学性、合理性，针对性及是否满足需求</w:t>
            </w:r>
            <w:r>
              <w:rPr>
                <w:rFonts w:hint="eastAsia" w:ascii="宋体" w:hAnsi="宋体" w:eastAsia="宋体" w:cs="宋体"/>
                <w:color w:val="000000"/>
                <w:sz w:val="22"/>
                <w:szCs w:val="22"/>
                <w:highlight w:val="none"/>
              </w:rPr>
              <w:t>进行评分。</w:t>
            </w:r>
          </w:p>
        </w:tc>
        <w:tc>
          <w:tcPr>
            <w:tcW w:w="819" w:type="dxa"/>
            <w:shd w:val="clear" w:color="auto" w:fill="auto"/>
            <w:vAlign w:val="center"/>
          </w:tcPr>
          <w:p w14:paraId="04323253">
            <w:pPr>
              <w:spacing w:line="324" w:lineRule="auto"/>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color w:val="000000"/>
                <w:szCs w:val="21"/>
                <w:highlight w:val="none"/>
                <w:lang w:val="en-US" w:eastAsia="zh-CN"/>
              </w:rPr>
              <w:t>0-5</w:t>
            </w:r>
          </w:p>
        </w:tc>
      </w:tr>
      <w:tr w14:paraId="18FD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16" w:type="dxa"/>
            <w:vAlign w:val="center"/>
          </w:tcPr>
          <w:p w14:paraId="595464D1">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8</w:t>
            </w:r>
          </w:p>
        </w:tc>
        <w:tc>
          <w:tcPr>
            <w:tcW w:w="1128" w:type="dxa"/>
            <w:shd w:val="clear" w:color="auto" w:fill="auto"/>
            <w:vAlign w:val="center"/>
          </w:tcPr>
          <w:p w14:paraId="51089E60">
            <w:pPr>
              <w:keepNext w:val="0"/>
              <w:keepLines w:val="0"/>
              <w:pageBreakBefore w:val="0"/>
              <w:widowControl/>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0"/>
                <w:sz w:val="22"/>
                <w:szCs w:val="22"/>
                <w:highlight w:val="none"/>
              </w:rPr>
              <w:t>设备投入情况</w:t>
            </w:r>
          </w:p>
        </w:tc>
        <w:tc>
          <w:tcPr>
            <w:tcW w:w="7119" w:type="dxa"/>
            <w:shd w:val="clear" w:color="auto" w:fill="auto"/>
            <w:vAlign w:val="center"/>
          </w:tcPr>
          <w:p w14:paraId="5C6AF0DD">
            <w:pPr>
              <w:keepNext w:val="0"/>
              <w:keepLines w:val="0"/>
              <w:pageBreakBefore w:val="0"/>
              <w:widowControl w:val="0"/>
              <w:kinsoku/>
              <w:wordWrap/>
              <w:overflowPunct/>
              <w:topLinePunct w:val="0"/>
              <w:autoSpaceDN/>
              <w:bidi w:val="0"/>
              <w:adjustRightInd/>
              <w:snapToGrid w:val="0"/>
              <w:spacing w:line="360" w:lineRule="exact"/>
              <w:ind w:left="0" w:leftChars="0" w:right="0" w:rightChars="0"/>
              <w:textAlignment w:val="auto"/>
              <w:rPr>
                <w:rFonts w:hint="eastAsia" w:ascii="宋体" w:hAnsi="宋体" w:eastAsia="宋体" w:cs="宋体"/>
                <w:bCs/>
                <w:sz w:val="22"/>
                <w:szCs w:val="22"/>
                <w:highlight w:val="none"/>
              </w:rPr>
            </w:pPr>
            <w:r>
              <w:rPr>
                <w:rFonts w:hint="eastAsia" w:ascii="宋体" w:hAnsi="宋体" w:eastAsia="宋体" w:cs="宋体"/>
                <w:bCs/>
                <w:sz w:val="22"/>
                <w:szCs w:val="22"/>
                <w:highlight w:val="none"/>
                <w:lang w:eastAsia="zh-CN"/>
              </w:rPr>
              <w:t>供应商</w:t>
            </w:r>
            <w:r>
              <w:rPr>
                <w:rFonts w:hint="eastAsia" w:ascii="宋体" w:hAnsi="宋体" w:eastAsia="宋体" w:cs="宋体"/>
                <w:bCs/>
                <w:sz w:val="22"/>
                <w:szCs w:val="22"/>
                <w:highlight w:val="none"/>
              </w:rPr>
              <w:t>具有可投入本项目的关键基本仪器设备：车辆、</w:t>
            </w:r>
            <w:r>
              <w:rPr>
                <w:rFonts w:hint="eastAsia" w:ascii="宋体" w:hAnsi="宋体" w:eastAsia="宋体" w:cs="宋体"/>
                <w:bCs/>
                <w:sz w:val="22"/>
                <w:szCs w:val="22"/>
                <w:highlight w:val="none"/>
                <w:lang w:val="en-US" w:eastAsia="zh-CN"/>
              </w:rPr>
              <w:t>望远镜</w:t>
            </w:r>
            <w:r>
              <w:rPr>
                <w:rFonts w:hint="eastAsia" w:ascii="宋体" w:hAnsi="宋体" w:eastAsia="宋体" w:cs="宋体"/>
                <w:bCs/>
                <w:sz w:val="22"/>
                <w:szCs w:val="22"/>
                <w:highlight w:val="none"/>
              </w:rPr>
              <w:t>、GPS定位仪、多旋转翼无人机</w:t>
            </w:r>
            <w:r>
              <w:rPr>
                <w:rFonts w:hint="eastAsia" w:ascii="宋体" w:hAnsi="宋体" w:eastAsia="宋体" w:cs="宋体"/>
                <w:bCs/>
                <w:sz w:val="22"/>
                <w:szCs w:val="22"/>
                <w:highlight w:val="none"/>
                <w:lang w:eastAsia="zh-CN"/>
              </w:rPr>
              <w:t>、</w:t>
            </w:r>
            <w:r>
              <w:rPr>
                <w:rFonts w:hint="eastAsia" w:ascii="宋体" w:hAnsi="宋体" w:eastAsia="宋体" w:cs="宋体"/>
                <w:bCs/>
                <w:sz w:val="22"/>
                <w:szCs w:val="22"/>
                <w:highlight w:val="none"/>
                <w:lang w:val="en-US" w:eastAsia="zh-CN"/>
              </w:rPr>
              <w:t>RTK、红外相机</w:t>
            </w:r>
            <w:r>
              <w:rPr>
                <w:rFonts w:hint="eastAsia" w:ascii="宋体" w:hAnsi="宋体" w:eastAsia="宋体" w:cs="宋体"/>
                <w:bCs/>
                <w:sz w:val="22"/>
                <w:szCs w:val="22"/>
                <w:highlight w:val="none"/>
              </w:rPr>
              <w:t>，每个设备得1分，最多得</w:t>
            </w:r>
            <w:r>
              <w:rPr>
                <w:rFonts w:hint="eastAsia" w:ascii="宋体" w:hAnsi="宋体" w:eastAsia="宋体" w:cs="宋体"/>
                <w:bCs/>
                <w:sz w:val="22"/>
                <w:szCs w:val="22"/>
                <w:highlight w:val="none"/>
                <w:lang w:val="en-US" w:eastAsia="zh-CN"/>
              </w:rPr>
              <w:t>6</w:t>
            </w:r>
            <w:r>
              <w:rPr>
                <w:rFonts w:hint="eastAsia" w:ascii="宋体" w:hAnsi="宋体" w:eastAsia="宋体" w:cs="宋体"/>
                <w:bCs/>
                <w:sz w:val="22"/>
                <w:szCs w:val="22"/>
                <w:highlight w:val="none"/>
              </w:rPr>
              <w:t>分。</w:t>
            </w:r>
          </w:p>
          <w:p w14:paraId="0083CB56">
            <w:pPr>
              <w:keepNext w:val="0"/>
              <w:keepLines w:val="0"/>
              <w:pageBreakBefore w:val="0"/>
              <w:widowControl w:val="0"/>
              <w:kinsoku/>
              <w:wordWrap/>
              <w:overflowPunct/>
              <w:topLinePunct w:val="0"/>
              <w:autoSpaceDE w:val="0"/>
              <w:autoSpaceDN/>
              <w:bidi w:val="0"/>
              <w:adjustRightInd/>
              <w:snapToGrid w:val="0"/>
              <w:spacing w:line="360" w:lineRule="exact"/>
              <w:ind w:left="0" w:leftChars="0" w:right="0" w:rightChars="0"/>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b/>
                <w:bCs/>
                <w:sz w:val="22"/>
                <w:szCs w:val="22"/>
                <w:highlight w:val="none"/>
              </w:rPr>
              <w:t>注：</w:t>
            </w:r>
            <w:r>
              <w:rPr>
                <w:rFonts w:hint="eastAsia" w:ascii="宋体" w:hAnsi="宋体" w:eastAsia="宋体" w:cs="宋体"/>
                <w:b/>
                <w:bCs/>
                <w:sz w:val="22"/>
                <w:szCs w:val="22"/>
                <w:highlight w:val="none"/>
                <w:lang w:eastAsia="zh-CN"/>
              </w:rPr>
              <w:t>提供</w:t>
            </w:r>
            <w:r>
              <w:rPr>
                <w:rFonts w:hint="eastAsia" w:ascii="宋体" w:hAnsi="宋体" w:eastAsia="宋体" w:cs="宋体"/>
                <w:b/>
                <w:bCs/>
                <w:sz w:val="22"/>
                <w:szCs w:val="22"/>
                <w:highlight w:val="none"/>
              </w:rPr>
              <w:t>设备</w:t>
            </w:r>
            <w:r>
              <w:rPr>
                <w:rFonts w:hint="eastAsia" w:ascii="宋体" w:hAnsi="宋体" w:eastAsia="宋体" w:cs="宋体"/>
                <w:b/>
                <w:bCs/>
                <w:sz w:val="22"/>
                <w:szCs w:val="22"/>
                <w:highlight w:val="none"/>
                <w:lang w:eastAsia="zh-CN"/>
              </w:rPr>
              <w:t>图片，</w:t>
            </w:r>
            <w:r>
              <w:rPr>
                <w:rFonts w:hint="eastAsia" w:ascii="宋体" w:hAnsi="宋体" w:eastAsia="宋体" w:cs="宋体"/>
                <w:b/>
                <w:bCs/>
                <w:sz w:val="22"/>
                <w:szCs w:val="22"/>
                <w:highlight w:val="none"/>
              </w:rPr>
              <w:t>采购合同或发票的扫描件</w:t>
            </w:r>
            <w:r>
              <w:rPr>
                <w:rFonts w:hint="eastAsia" w:ascii="宋体" w:hAnsi="宋体" w:eastAsia="宋体" w:cs="宋体"/>
                <w:b/>
                <w:sz w:val="22"/>
                <w:szCs w:val="22"/>
                <w:highlight w:val="none"/>
              </w:rPr>
              <w:t>加盖公章后</w:t>
            </w:r>
            <w:r>
              <w:rPr>
                <w:rFonts w:hint="eastAsia" w:ascii="宋体" w:hAnsi="宋体" w:eastAsia="宋体" w:cs="宋体"/>
                <w:b/>
                <w:bCs/>
                <w:sz w:val="22"/>
                <w:szCs w:val="22"/>
                <w:highlight w:val="none"/>
              </w:rPr>
              <w:t>导入资信商务及技术文件中，否则不得分。</w:t>
            </w:r>
            <w:r>
              <w:rPr>
                <w:rFonts w:hint="eastAsia" w:ascii="宋体" w:hAnsi="宋体" w:eastAsia="宋体" w:cs="宋体"/>
                <w:sz w:val="22"/>
                <w:szCs w:val="22"/>
              </w:rPr>
              <w:t>(</w:t>
            </w:r>
            <w:r>
              <w:rPr>
                <w:rFonts w:hint="eastAsia" w:ascii="宋体" w:hAnsi="宋体" w:eastAsia="宋体" w:cs="宋体"/>
                <w:sz w:val="22"/>
                <w:szCs w:val="22"/>
                <w:lang w:val="en-US" w:eastAsia="zh-CN"/>
              </w:rPr>
              <w:t>6、</w:t>
            </w:r>
            <w:r>
              <w:rPr>
                <w:rFonts w:hint="eastAsia" w:ascii="宋体" w:hAnsi="宋体" w:eastAsia="宋体" w:cs="宋体"/>
                <w:sz w:val="22"/>
                <w:szCs w:val="22"/>
              </w:rPr>
              <w:t>5、4、3、2、1、0</w:t>
            </w:r>
            <w:r>
              <w:rPr>
                <w:rFonts w:hint="eastAsia" w:ascii="宋体" w:hAnsi="宋体" w:eastAsia="宋体" w:cs="宋体"/>
                <w:sz w:val="22"/>
                <w:szCs w:val="22"/>
                <w:lang w:eastAsia="zh-CN"/>
              </w:rPr>
              <w:t>分）</w:t>
            </w:r>
          </w:p>
        </w:tc>
        <w:tc>
          <w:tcPr>
            <w:tcW w:w="819" w:type="dxa"/>
            <w:shd w:val="clear" w:color="auto" w:fill="auto"/>
            <w:vAlign w:val="center"/>
          </w:tcPr>
          <w:p w14:paraId="15962B2A">
            <w:pPr>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szCs w:val="21"/>
                <w:highlight w:val="none"/>
                <w:lang w:val="en-US" w:eastAsia="zh-CN"/>
              </w:rPr>
              <w:t>0-6</w:t>
            </w:r>
          </w:p>
        </w:tc>
      </w:tr>
      <w:tr w14:paraId="209E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16" w:type="dxa"/>
            <w:vAlign w:val="center"/>
          </w:tcPr>
          <w:p w14:paraId="19EB98F1">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9</w:t>
            </w:r>
          </w:p>
        </w:tc>
        <w:tc>
          <w:tcPr>
            <w:tcW w:w="1128" w:type="dxa"/>
            <w:shd w:val="clear" w:color="auto" w:fill="auto"/>
            <w:vAlign w:val="center"/>
          </w:tcPr>
          <w:p w14:paraId="0F80871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bCs/>
                <w:color w:val="000000"/>
                <w:kern w:val="0"/>
                <w:sz w:val="22"/>
                <w:szCs w:val="22"/>
                <w:highlight w:val="none"/>
                <w:lang w:val="en-US" w:eastAsia="zh-CN" w:bidi="ar-SA"/>
              </w:rPr>
            </w:pPr>
            <w:r>
              <w:rPr>
                <w:rFonts w:hint="eastAsia" w:ascii="宋体" w:hAnsi="宋体" w:eastAsia="宋体" w:cs="宋体"/>
                <w:b/>
                <w:bCs/>
                <w:color w:val="000000"/>
                <w:kern w:val="0"/>
                <w:sz w:val="22"/>
                <w:szCs w:val="22"/>
                <w:highlight w:val="none"/>
              </w:rPr>
              <w:t>成果档案管理制度</w:t>
            </w:r>
          </w:p>
        </w:tc>
        <w:tc>
          <w:tcPr>
            <w:tcW w:w="7119" w:type="dxa"/>
            <w:shd w:val="clear" w:color="auto" w:fill="auto"/>
            <w:vAlign w:val="center"/>
          </w:tcPr>
          <w:p w14:paraId="4B28E9FE">
            <w:pPr>
              <w:keepNext w:val="0"/>
              <w:keepLines w:val="0"/>
              <w:pageBreakBefore w:val="0"/>
              <w:kinsoku/>
              <w:wordWrap/>
              <w:overflowPunct/>
              <w:topLinePunct w:val="0"/>
              <w:autoSpaceDE w:val="0"/>
              <w:bidi w:val="0"/>
              <w:adjustRightInd/>
              <w:snapToGrid w:val="0"/>
              <w:spacing w:line="360" w:lineRule="exact"/>
              <w:ind w:right="0" w:rightChars="0"/>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sz w:val="22"/>
                <w:szCs w:val="22"/>
                <w:highlight w:val="none"/>
                <w:lang w:eastAsia="zh-CN"/>
              </w:rPr>
              <w:t>根据</w:t>
            </w:r>
            <w:r>
              <w:rPr>
                <w:rFonts w:hint="eastAsia" w:ascii="宋体" w:hAnsi="宋体" w:eastAsia="宋体" w:cs="宋体"/>
                <w:color w:val="000000"/>
                <w:sz w:val="22"/>
                <w:szCs w:val="22"/>
                <w:highlight w:val="none"/>
              </w:rPr>
              <w:t>供应商提供成果档案管理制度</w:t>
            </w:r>
            <w:r>
              <w:rPr>
                <w:rFonts w:hint="eastAsia" w:ascii="宋体" w:hAnsi="宋体" w:eastAsia="宋体" w:cs="宋体"/>
                <w:color w:val="000000"/>
                <w:sz w:val="22"/>
                <w:szCs w:val="22"/>
                <w:highlight w:val="none"/>
                <w:lang w:eastAsia="zh-CN"/>
              </w:rPr>
              <w:t>的全面性、合理性及</w:t>
            </w:r>
            <w:r>
              <w:rPr>
                <w:rFonts w:hint="eastAsia" w:ascii="宋体" w:hAnsi="宋体" w:eastAsia="宋体" w:cs="宋体"/>
                <w:color w:val="000000"/>
                <w:sz w:val="22"/>
                <w:szCs w:val="22"/>
                <w:highlight w:val="none"/>
              </w:rPr>
              <w:t>保证工作成果准确性</w:t>
            </w:r>
            <w:r>
              <w:rPr>
                <w:rFonts w:hint="eastAsia" w:ascii="宋体" w:hAnsi="宋体" w:eastAsia="宋体" w:cs="宋体"/>
                <w:color w:val="000000"/>
                <w:sz w:val="22"/>
                <w:szCs w:val="22"/>
                <w:highlight w:val="none"/>
                <w:lang w:eastAsia="zh-CN"/>
              </w:rPr>
              <w:t>进行评审。</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063DC273">
            <w:pPr>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0-5</w:t>
            </w:r>
          </w:p>
        </w:tc>
      </w:tr>
      <w:tr w14:paraId="0C65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16" w:type="dxa"/>
            <w:vAlign w:val="center"/>
          </w:tcPr>
          <w:p w14:paraId="505F1DE4">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10</w:t>
            </w:r>
          </w:p>
        </w:tc>
        <w:tc>
          <w:tcPr>
            <w:tcW w:w="1128" w:type="dxa"/>
            <w:shd w:val="clear" w:color="auto" w:fill="auto"/>
            <w:vAlign w:val="center"/>
          </w:tcPr>
          <w:p w14:paraId="5FE0FD3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0"/>
                <w:sz w:val="22"/>
                <w:szCs w:val="22"/>
                <w:highlight w:val="none"/>
              </w:rPr>
              <w:t>项目应急保障</w:t>
            </w:r>
          </w:p>
        </w:tc>
        <w:tc>
          <w:tcPr>
            <w:tcW w:w="7119" w:type="dxa"/>
            <w:shd w:val="clear" w:color="auto" w:fill="auto"/>
            <w:vAlign w:val="top"/>
          </w:tcPr>
          <w:p w14:paraId="0F3F3DC5">
            <w:pPr>
              <w:keepNext w:val="0"/>
              <w:keepLines w:val="0"/>
              <w:pageBreakBefore w:val="0"/>
              <w:kinsoku/>
              <w:wordWrap/>
              <w:overflowPunct/>
              <w:topLinePunct w:val="0"/>
              <w:autoSpaceDE w:val="0"/>
              <w:bidi w:val="0"/>
              <w:adjustRightInd/>
              <w:snapToGrid w:val="0"/>
              <w:spacing w:line="360" w:lineRule="exact"/>
              <w:ind w:right="0" w:rightChars="0"/>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sz w:val="22"/>
                <w:szCs w:val="22"/>
                <w:highlight w:val="none"/>
              </w:rPr>
              <w:t>根据供应商提供的</w:t>
            </w:r>
            <w:r>
              <w:rPr>
                <w:rFonts w:hint="eastAsia" w:ascii="宋体" w:hAnsi="宋体" w:eastAsia="宋体" w:cs="宋体"/>
                <w:color w:val="000000"/>
                <w:kern w:val="0"/>
                <w:sz w:val="22"/>
                <w:szCs w:val="22"/>
                <w:highlight w:val="none"/>
              </w:rPr>
              <w:t>项目应急保障措施</w:t>
            </w:r>
            <w:r>
              <w:rPr>
                <w:rFonts w:hint="eastAsia" w:ascii="宋体" w:hAnsi="宋体" w:eastAsia="宋体" w:cs="宋体"/>
                <w:color w:val="000000"/>
                <w:sz w:val="22"/>
                <w:szCs w:val="22"/>
                <w:highlight w:val="none"/>
                <w:lang w:eastAsia="zh-CN"/>
              </w:rPr>
              <w:t>可行性、科学性及</w:t>
            </w:r>
            <w:r>
              <w:rPr>
                <w:rFonts w:hint="eastAsia" w:ascii="宋体" w:hAnsi="宋体" w:eastAsia="宋体" w:cs="宋体"/>
                <w:color w:val="000000"/>
                <w:sz w:val="22"/>
                <w:szCs w:val="22"/>
                <w:highlight w:val="none"/>
              </w:rPr>
              <w:t>便捷合理</w:t>
            </w:r>
            <w:r>
              <w:rPr>
                <w:rFonts w:hint="eastAsia" w:ascii="宋体" w:hAnsi="宋体" w:eastAsia="宋体" w:cs="宋体"/>
                <w:color w:val="000000"/>
                <w:sz w:val="22"/>
                <w:szCs w:val="22"/>
                <w:highlight w:val="none"/>
                <w:lang w:eastAsia="zh-CN"/>
              </w:rPr>
              <w:t>性进行评审。</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555B289C">
            <w:pPr>
              <w:snapToGrid w:val="0"/>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szCs w:val="21"/>
                <w:highlight w:val="none"/>
                <w:lang w:val="en-US" w:eastAsia="zh-CN"/>
              </w:rPr>
              <w:t>0-5</w:t>
            </w:r>
          </w:p>
        </w:tc>
      </w:tr>
      <w:tr w14:paraId="31DE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16" w:type="dxa"/>
            <w:vAlign w:val="center"/>
          </w:tcPr>
          <w:p w14:paraId="1D1EA3EC">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11</w:t>
            </w:r>
          </w:p>
        </w:tc>
        <w:tc>
          <w:tcPr>
            <w:tcW w:w="1128" w:type="dxa"/>
            <w:shd w:val="clear" w:color="auto" w:fill="auto"/>
            <w:vAlign w:val="center"/>
          </w:tcPr>
          <w:p w14:paraId="7E494494">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0"/>
                <w:sz w:val="22"/>
                <w:szCs w:val="22"/>
                <w:highlight w:val="none"/>
              </w:rPr>
              <w:t>项目管理制度及考核制度</w:t>
            </w:r>
          </w:p>
        </w:tc>
        <w:tc>
          <w:tcPr>
            <w:tcW w:w="7119" w:type="dxa"/>
            <w:shd w:val="clear" w:color="auto" w:fill="auto"/>
            <w:vAlign w:val="center"/>
          </w:tcPr>
          <w:p w14:paraId="3AF0B424">
            <w:pPr>
              <w:keepNext w:val="0"/>
              <w:keepLines w:val="0"/>
              <w:pageBreakBefore w:val="0"/>
              <w:widowControl/>
              <w:kinsoku/>
              <w:wordWrap/>
              <w:overflowPunct/>
              <w:topLinePunct w:val="0"/>
              <w:autoSpaceDE w:val="0"/>
              <w:bidi w:val="0"/>
              <w:adjustRightInd/>
              <w:snapToGrid w:val="0"/>
              <w:spacing w:line="360" w:lineRule="exact"/>
              <w:ind w:right="0" w:rightChars="0"/>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sz w:val="22"/>
                <w:szCs w:val="22"/>
                <w:highlight w:val="none"/>
              </w:rPr>
              <w:t>根据供应商</w:t>
            </w:r>
            <w:r>
              <w:rPr>
                <w:rFonts w:hint="eastAsia" w:ascii="宋体" w:hAnsi="宋体" w:eastAsia="宋体" w:cs="宋体"/>
                <w:color w:val="000000"/>
                <w:sz w:val="22"/>
                <w:szCs w:val="22"/>
                <w:highlight w:val="none"/>
                <w:lang w:eastAsia="zh-CN"/>
              </w:rPr>
              <w:t>的</w:t>
            </w:r>
            <w:r>
              <w:rPr>
                <w:rFonts w:hint="eastAsia" w:ascii="宋体" w:hAnsi="宋体" w:eastAsia="宋体" w:cs="宋体"/>
                <w:color w:val="000000"/>
                <w:sz w:val="22"/>
                <w:szCs w:val="22"/>
                <w:highlight w:val="none"/>
              </w:rPr>
              <w:t>项目管理制度及考核</w:t>
            </w:r>
            <w:r>
              <w:rPr>
                <w:rFonts w:hint="eastAsia" w:ascii="宋体" w:hAnsi="宋体" w:eastAsia="宋体" w:cs="宋体"/>
                <w:color w:val="000000"/>
                <w:sz w:val="22"/>
                <w:szCs w:val="22"/>
                <w:highlight w:val="none"/>
                <w:lang w:eastAsia="zh-CN"/>
              </w:rPr>
              <w:t>制度全面性，</w:t>
            </w:r>
            <w:r>
              <w:rPr>
                <w:rFonts w:hint="eastAsia" w:ascii="宋体" w:hAnsi="宋体" w:eastAsia="宋体" w:cs="宋体"/>
                <w:color w:val="000000"/>
                <w:sz w:val="22"/>
                <w:szCs w:val="22"/>
                <w:highlight w:val="none"/>
              </w:rPr>
              <w:t>可行</w:t>
            </w:r>
            <w:r>
              <w:rPr>
                <w:rFonts w:hint="eastAsia" w:ascii="宋体" w:hAnsi="宋体" w:eastAsia="宋体" w:cs="宋体"/>
                <w:color w:val="000000"/>
                <w:sz w:val="22"/>
                <w:szCs w:val="22"/>
                <w:highlight w:val="none"/>
                <w:lang w:eastAsia="zh-CN"/>
              </w:rPr>
              <w:t>性、科学性进行打分。</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31949BB8">
            <w:pPr>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szCs w:val="21"/>
                <w:highlight w:val="none"/>
                <w:lang w:val="en-US" w:eastAsia="zh-CN"/>
              </w:rPr>
              <w:t>0-5</w:t>
            </w:r>
          </w:p>
        </w:tc>
      </w:tr>
      <w:tr w14:paraId="271C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16" w:type="dxa"/>
            <w:vAlign w:val="center"/>
          </w:tcPr>
          <w:p w14:paraId="4E036B6D">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12</w:t>
            </w:r>
          </w:p>
        </w:tc>
        <w:tc>
          <w:tcPr>
            <w:tcW w:w="1128" w:type="dxa"/>
            <w:shd w:val="clear" w:color="auto" w:fill="auto"/>
            <w:vAlign w:val="center"/>
          </w:tcPr>
          <w:p w14:paraId="2063E0AB">
            <w:pPr>
              <w:keepNext w:val="0"/>
              <w:keepLines w:val="0"/>
              <w:pageBreakBefore w:val="0"/>
              <w:widowControl/>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0"/>
                <w:sz w:val="22"/>
                <w:szCs w:val="22"/>
                <w:highlight w:val="none"/>
              </w:rPr>
              <w:t>进度计划安排</w:t>
            </w:r>
          </w:p>
        </w:tc>
        <w:tc>
          <w:tcPr>
            <w:tcW w:w="7119" w:type="dxa"/>
            <w:shd w:val="clear" w:color="auto" w:fill="auto"/>
            <w:vAlign w:val="center"/>
          </w:tcPr>
          <w:p w14:paraId="78E228FE">
            <w:pPr>
              <w:keepNext w:val="0"/>
              <w:keepLines w:val="0"/>
              <w:pageBreakBefore w:val="0"/>
              <w:widowControl/>
              <w:kinsoku/>
              <w:wordWrap/>
              <w:overflowPunct/>
              <w:topLinePunct w:val="0"/>
              <w:bidi w:val="0"/>
              <w:adjustRightInd/>
              <w:snapToGrid w:val="0"/>
              <w:spacing w:line="360" w:lineRule="exact"/>
              <w:ind w:right="0" w:rightChars="0"/>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sz w:val="22"/>
                <w:szCs w:val="22"/>
                <w:highlight w:val="none"/>
              </w:rPr>
              <w:t>根据供应商</w:t>
            </w:r>
            <w:r>
              <w:rPr>
                <w:rFonts w:hint="eastAsia" w:ascii="宋体" w:hAnsi="宋体" w:eastAsia="宋体" w:cs="宋体"/>
                <w:color w:val="000000"/>
                <w:sz w:val="22"/>
                <w:szCs w:val="22"/>
                <w:highlight w:val="none"/>
                <w:lang w:eastAsia="zh-CN"/>
              </w:rPr>
              <w:t>制定</w:t>
            </w:r>
            <w:r>
              <w:rPr>
                <w:rFonts w:hint="eastAsia" w:ascii="宋体" w:hAnsi="宋体" w:eastAsia="宋体" w:cs="宋体"/>
                <w:color w:val="000000"/>
                <w:sz w:val="22"/>
                <w:szCs w:val="22"/>
                <w:highlight w:val="none"/>
              </w:rPr>
              <w:t>的进度计划</w:t>
            </w:r>
            <w:r>
              <w:rPr>
                <w:rFonts w:hint="eastAsia" w:ascii="宋体" w:hAnsi="宋体" w:eastAsia="宋体" w:cs="宋体"/>
                <w:color w:val="000000"/>
                <w:sz w:val="22"/>
                <w:szCs w:val="22"/>
                <w:highlight w:val="none"/>
                <w:lang w:eastAsia="zh-CN"/>
              </w:rPr>
              <w:t>安排内容的</w:t>
            </w:r>
            <w:r>
              <w:rPr>
                <w:rFonts w:hint="eastAsia" w:ascii="宋体" w:hAnsi="宋体" w:eastAsia="宋体" w:cs="宋体"/>
                <w:color w:val="000000"/>
                <w:sz w:val="22"/>
                <w:szCs w:val="22"/>
                <w:highlight w:val="none"/>
              </w:rPr>
              <w:t>合理</w:t>
            </w:r>
            <w:r>
              <w:rPr>
                <w:rFonts w:hint="eastAsia" w:ascii="宋体" w:hAnsi="宋体" w:eastAsia="宋体" w:cs="宋体"/>
                <w:color w:val="000000"/>
                <w:sz w:val="22"/>
                <w:szCs w:val="22"/>
                <w:highlight w:val="none"/>
                <w:lang w:eastAsia="zh-CN"/>
              </w:rPr>
              <w:t>性、</w:t>
            </w:r>
            <w:r>
              <w:rPr>
                <w:rFonts w:hint="eastAsia" w:ascii="宋体" w:hAnsi="宋体" w:eastAsia="宋体" w:cs="宋体"/>
                <w:color w:val="000000"/>
                <w:sz w:val="22"/>
                <w:szCs w:val="22"/>
                <w:highlight w:val="none"/>
              </w:rPr>
              <w:t>可</w:t>
            </w:r>
            <w:r>
              <w:rPr>
                <w:rFonts w:hint="eastAsia" w:ascii="宋体" w:hAnsi="宋体" w:eastAsia="宋体" w:cs="宋体"/>
                <w:color w:val="000000"/>
                <w:sz w:val="22"/>
                <w:szCs w:val="22"/>
                <w:highlight w:val="none"/>
                <w:lang w:eastAsia="zh-CN"/>
              </w:rPr>
              <w:t>靠可行性及是否</w:t>
            </w:r>
            <w:r>
              <w:rPr>
                <w:rFonts w:hint="eastAsia" w:ascii="宋体" w:hAnsi="宋体" w:eastAsia="宋体" w:cs="宋体"/>
                <w:color w:val="000000"/>
                <w:sz w:val="22"/>
                <w:szCs w:val="22"/>
                <w:highlight w:val="none"/>
              </w:rPr>
              <w:t>有效保障项目整体实施进度</w:t>
            </w:r>
            <w:r>
              <w:rPr>
                <w:rFonts w:hint="eastAsia" w:ascii="宋体" w:hAnsi="宋体" w:eastAsia="宋体" w:cs="宋体"/>
                <w:color w:val="000000"/>
                <w:sz w:val="22"/>
                <w:szCs w:val="22"/>
                <w:highlight w:val="none"/>
                <w:lang w:eastAsia="zh-CN"/>
              </w:rPr>
              <w:t>等进行评审。</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6646B7BC">
            <w:pPr>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szCs w:val="21"/>
                <w:highlight w:val="none"/>
                <w:lang w:val="en-US" w:eastAsia="zh-CN"/>
              </w:rPr>
              <w:t>0-5</w:t>
            </w:r>
          </w:p>
        </w:tc>
      </w:tr>
      <w:tr w14:paraId="21F9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16" w:type="dxa"/>
            <w:vAlign w:val="center"/>
          </w:tcPr>
          <w:p w14:paraId="63070BBD">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13</w:t>
            </w:r>
          </w:p>
        </w:tc>
        <w:tc>
          <w:tcPr>
            <w:tcW w:w="1128" w:type="dxa"/>
            <w:shd w:val="clear" w:color="auto" w:fill="auto"/>
            <w:vAlign w:val="center"/>
          </w:tcPr>
          <w:p w14:paraId="0827BD6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bCs/>
                <w:color w:val="000000"/>
                <w:kern w:val="0"/>
                <w:sz w:val="22"/>
                <w:szCs w:val="22"/>
                <w:highlight w:val="none"/>
                <w:lang w:val="en-US" w:eastAsia="zh-CN" w:bidi="ar-SA"/>
              </w:rPr>
            </w:pPr>
            <w:r>
              <w:rPr>
                <w:rFonts w:hint="eastAsia" w:ascii="宋体" w:hAnsi="宋体" w:eastAsia="宋体" w:cs="宋体"/>
                <w:b/>
                <w:bCs/>
                <w:color w:val="000000"/>
                <w:kern w:val="0"/>
                <w:sz w:val="22"/>
                <w:szCs w:val="22"/>
                <w:highlight w:val="none"/>
              </w:rPr>
              <w:t>样地、样线布设</w:t>
            </w:r>
          </w:p>
        </w:tc>
        <w:tc>
          <w:tcPr>
            <w:tcW w:w="7119" w:type="dxa"/>
            <w:shd w:val="clear" w:color="auto" w:fill="auto"/>
            <w:vAlign w:val="center"/>
          </w:tcPr>
          <w:p w14:paraId="23E25550">
            <w:pPr>
              <w:keepNext w:val="0"/>
              <w:keepLines w:val="0"/>
              <w:pageBreakBefore w:val="0"/>
              <w:widowControl/>
              <w:kinsoku/>
              <w:wordWrap/>
              <w:overflowPunct/>
              <w:topLinePunct w:val="0"/>
              <w:bidi w:val="0"/>
              <w:adjustRightInd/>
              <w:snapToGrid w:val="0"/>
              <w:spacing w:line="360" w:lineRule="exact"/>
              <w:ind w:right="0" w:rightChars="0"/>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color w:val="000000"/>
                <w:kern w:val="0"/>
                <w:sz w:val="22"/>
                <w:szCs w:val="22"/>
                <w:highlight w:val="none"/>
              </w:rPr>
              <w:t>根据供应商提供的样地、样线布设工作流程清晰</w:t>
            </w:r>
            <w:r>
              <w:rPr>
                <w:rFonts w:hint="eastAsia" w:ascii="宋体" w:hAnsi="宋体" w:eastAsia="宋体" w:cs="宋体"/>
                <w:color w:val="000000"/>
                <w:kern w:val="0"/>
                <w:sz w:val="22"/>
                <w:szCs w:val="22"/>
                <w:highlight w:val="none"/>
                <w:lang w:eastAsia="zh-CN"/>
              </w:rPr>
              <w:t>度及其能否</w:t>
            </w:r>
            <w:r>
              <w:rPr>
                <w:rFonts w:hint="eastAsia" w:ascii="宋体" w:hAnsi="宋体" w:eastAsia="宋体" w:cs="宋体"/>
                <w:color w:val="000000"/>
                <w:kern w:val="0"/>
                <w:sz w:val="22"/>
                <w:szCs w:val="22"/>
                <w:highlight w:val="none"/>
              </w:rPr>
              <w:t>有效保障开展生物多样性调查监测服务需求</w:t>
            </w:r>
            <w:r>
              <w:rPr>
                <w:rFonts w:hint="eastAsia" w:ascii="宋体" w:hAnsi="宋体" w:eastAsia="宋体" w:cs="宋体"/>
                <w:color w:val="000000"/>
                <w:kern w:val="0"/>
                <w:sz w:val="22"/>
                <w:szCs w:val="22"/>
                <w:highlight w:val="none"/>
                <w:lang w:eastAsia="zh-CN"/>
              </w:rPr>
              <w:t>等进行评审。</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7BA31E4F">
            <w:pPr>
              <w:jc w:val="center"/>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szCs w:val="21"/>
                <w:highlight w:val="none"/>
                <w:lang w:val="en-US" w:eastAsia="zh-CN"/>
              </w:rPr>
              <w:t>0-5</w:t>
            </w:r>
          </w:p>
        </w:tc>
      </w:tr>
      <w:tr w14:paraId="1171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16" w:type="dxa"/>
            <w:vAlign w:val="center"/>
          </w:tcPr>
          <w:p w14:paraId="2E09E669">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14</w:t>
            </w:r>
          </w:p>
        </w:tc>
        <w:tc>
          <w:tcPr>
            <w:tcW w:w="1128" w:type="dxa"/>
            <w:shd w:val="clear" w:color="auto" w:fill="auto"/>
            <w:vAlign w:val="center"/>
          </w:tcPr>
          <w:p w14:paraId="49EA5384">
            <w:pPr>
              <w:keepNext w:val="0"/>
              <w:keepLines w:val="0"/>
              <w:pageBreakBefore w:val="0"/>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val="0"/>
                <w:color w:val="auto"/>
                <w:kern w:val="0"/>
                <w:sz w:val="22"/>
                <w:szCs w:val="22"/>
                <w:highlight w:val="none"/>
                <w:lang w:val="en-US" w:eastAsia="zh-CN" w:bidi="ar-SA"/>
              </w:rPr>
              <w:t>安全保障措施</w:t>
            </w:r>
          </w:p>
        </w:tc>
        <w:tc>
          <w:tcPr>
            <w:tcW w:w="7119" w:type="dxa"/>
            <w:shd w:val="clear" w:color="auto" w:fill="auto"/>
            <w:vAlign w:val="center"/>
          </w:tcPr>
          <w:p w14:paraId="412D7C07">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供应商针对项目实施过程中的文明安全作业保障措施的合理性、科学性、全面性进行评审</w:t>
            </w:r>
            <w:r>
              <w:rPr>
                <w:rFonts w:hint="eastAsia" w:ascii="宋体" w:hAnsi="宋体" w:eastAsia="宋体" w:cs="宋体"/>
                <w:color w:val="auto"/>
                <w:sz w:val="22"/>
                <w:szCs w:val="22"/>
                <w:highlight w:val="none"/>
                <w:lang w:eastAsia="zh-CN"/>
              </w:rPr>
              <w:t>。</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41E36C39">
            <w:pPr>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color w:val="000000"/>
                <w:szCs w:val="21"/>
                <w:highlight w:val="none"/>
                <w:lang w:val="en-US" w:eastAsia="zh-CN"/>
              </w:rPr>
              <w:t>0-5</w:t>
            </w:r>
          </w:p>
        </w:tc>
      </w:tr>
      <w:tr w14:paraId="030A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16" w:type="dxa"/>
            <w:vAlign w:val="center"/>
          </w:tcPr>
          <w:p w14:paraId="28A64444">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15</w:t>
            </w:r>
          </w:p>
        </w:tc>
        <w:tc>
          <w:tcPr>
            <w:tcW w:w="1128" w:type="dxa"/>
            <w:shd w:val="clear" w:color="auto" w:fill="auto"/>
            <w:vAlign w:val="center"/>
          </w:tcPr>
          <w:p w14:paraId="374B7EF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val="0"/>
                <w:color w:val="auto"/>
                <w:kern w:val="0"/>
                <w:sz w:val="22"/>
                <w:szCs w:val="22"/>
                <w:highlight w:val="none"/>
                <w:lang w:val="en-US" w:eastAsia="zh-CN" w:bidi="ar-SA"/>
              </w:rPr>
              <w:t>保密制度和措施</w:t>
            </w:r>
          </w:p>
        </w:tc>
        <w:tc>
          <w:tcPr>
            <w:tcW w:w="7119" w:type="dxa"/>
            <w:shd w:val="clear" w:color="auto" w:fill="auto"/>
            <w:vAlign w:val="center"/>
          </w:tcPr>
          <w:p w14:paraId="5B9B8D25">
            <w:pPr>
              <w:pStyle w:val="14"/>
              <w:keepNext w:val="0"/>
              <w:keepLines w:val="0"/>
              <w:pageBreakBefore w:val="0"/>
              <w:numPr>
                <w:ilvl w:val="0"/>
                <w:numId w:val="0"/>
              </w:numPr>
              <w:kinsoku/>
              <w:wordWrap/>
              <w:overflowPunct/>
              <w:topLinePunct w:val="0"/>
              <w:bidi w:val="0"/>
              <w:adjustRightInd/>
              <w:snapToGrid w:val="0"/>
              <w:spacing w:line="360" w:lineRule="exact"/>
              <w:ind w:left="0" w:leftChars="0" w:right="0" w:rightChars="0" w:firstLine="0" w:firstLineChars="0"/>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供应商针对本项目工作制定的具体保密措施，使得工作中的档案资料等不被泄露，评委根据保密措施全面、科学合理及可行性进行评审</w:t>
            </w:r>
            <w:r>
              <w:rPr>
                <w:rFonts w:hint="eastAsia" w:ascii="宋体" w:hAnsi="宋体" w:eastAsia="宋体" w:cs="宋体"/>
                <w:color w:val="auto"/>
                <w:sz w:val="22"/>
                <w:szCs w:val="22"/>
                <w:highlight w:val="none"/>
                <w:lang w:eastAsia="zh-CN"/>
              </w:rPr>
              <w:t>。</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6CC90216">
            <w:pPr>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color w:val="000000"/>
                <w:szCs w:val="21"/>
                <w:highlight w:val="none"/>
                <w:lang w:val="en-US" w:eastAsia="zh-CN"/>
              </w:rPr>
              <w:t>0-5</w:t>
            </w:r>
          </w:p>
        </w:tc>
      </w:tr>
      <w:tr w14:paraId="0F0B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16" w:type="dxa"/>
            <w:vMerge w:val="restart"/>
            <w:vAlign w:val="center"/>
          </w:tcPr>
          <w:p w14:paraId="1C55FC4D">
            <w:pPr>
              <w:spacing w:line="240" w:lineRule="auto"/>
              <w:jc w:val="center"/>
              <w:rPr>
                <w:rFonts w:hint="eastAsia" w:ascii="宋体" w:hAnsi="宋体" w:eastAsia="宋体" w:cs="宋体"/>
                <w:b/>
                <w:bCs/>
                <w:color w:val="auto"/>
                <w:spacing w:val="0"/>
                <w:w w:val="100"/>
                <w:sz w:val="22"/>
                <w:szCs w:val="22"/>
                <w:highlight w:val="none"/>
                <w:lang w:val="en-US" w:eastAsia="zh-CN"/>
              </w:rPr>
            </w:pPr>
            <w:r>
              <w:rPr>
                <w:rFonts w:hint="eastAsia" w:ascii="宋体" w:hAnsi="宋体" w:eastAsia="宋体" w:cs="宋体"/>
                <w:b/>
                <w:bCs/>
                <w:color w:val="auto"/>
                <w:spacing w:val="0"/>
                <w:w w:val="100"/>
                <w:sz w:val="22"/>
                <w:szCs w:val="22"/>
                <w:highlight w:val="none"/>
                <w:lang w:val="en-US" w:eastAsia="zh-CN"/>
              </w:rPr>
              <w:t>16</w:t>
            </w:r>
          </w:p>
        </w:tc>
        <w:tc>
          <w:tcPr>
            <w:tcW w:w="1128" w:type="dxa"/>
            <w:vMerge w:val="restart"/>
            <w:shd w:val="clear" w:color="auto" w:fill="auto"/>
            <w:vAlign w:val="center"/>
          </w:tcPr>
          <w:p w14:paraId="47C0BB60">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sz w:val="22"/>
                <w:szCs w:val="22"/>
                <w:highlight w:val="none"/>
              </w:rPr>
              <w:t>服务承诺</w:t>
            </w:r>
          </w:p>
        </w:tc>
        <w:tc>
          <w:tcPr>
            <w:tcW w:w="7119" w:type="dxa"/>
            <w:shd w:val="clear" w:color="auto" w:fill="auto"/>
            <w:vAlign w:val="center"/>
          </w:tcPr>
          <w:p w14:paraId="59AA3A57">
            <w:pPr>
              <w:keepNext w:val="0"/>
              <w:keepLines w:val="0"/>
              <w:pageBreakBefore w:val="0"/>
              <w:kinsoku/>
              <w:wordWrap/>
              <w:overflowPunct/>
              <w:topLinePunct w:val="0"/>
              <w:bidi w:val="0"/>
              <w:adjustRightInd/>
              <w:snapToGrid w:val="0"/>
              <w:spacing w:line="360" w:lineRule="exact"/>
              <w:ind w:left="0" w:leftChars="0" w:right="0" w:rightChars="0"/>
              <w:textAlignment w:val="auto"/>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sz w:val="22"/>
                <w:szCs w:val="22"/>
                <w:highlight w:val="none"/>
              </w:rPr>
              <w:t>根据供应商对样品运输是否符合采购人的工作需求，承诺、优势、响应速度、结果反馈时间的可行、合理、全面等方面，由评委进行</w:t>
            </w:r>
            <w:r>
              <w:rPr>
                <w:rFonts w:hint="eastAsia" w:ascii="宋体" w:hAnsi="宋体" w:eastAsia="宋体" w:cs="宋体"/>
                <w:sz w:val="22"/>
                <w:szCs w:val="22"/>
                <w:highlight w:val="none"/>
                <w:lang w:eastAsia="zh-CN"/>
              </w:rPr>
              <w:t>评审</w:t>
            </w:r>
            <w:r>
              <w:rPr>
                <w:rFonts w:hint="eastAsia" w:ascii="宋体" w:hAnsi="宋体" w:eastAsia="宋体" w:cs="宋体"/>
                <w:sz w:val="22"/>
                <w:szCs w:val="22"/>
                <w:highlight w:val="none"/>
              </w:rPr>
              <w:t>。</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005BD9DA">
            <w:pPr>
              <w:jc w:val="center"/>
              <w:rPr>
                <w:rFonts w:hint="eastAsia" w:ascii="宋体" w:hAnsi="宋体" w:eastAsia="宋体" w:cs="宋体"/>
                <w:b/>
                <w:bCs/>
                <w:color w:val="auto"/>
                <w:spacing w:val="0"/>
                <w:w w:val="100"/>
                <w:kern w:val="2"/>
                <w:sz w:val="22"/>
                <w:szCs w:val="22"/>
                <w:highlight w:val="none"/>
                <w:lang w:val="en-US" w:eastAsia="zh-CN" w:bidi="ar-SA"/>
              </w:rPr>
            </w:pPr>
            <w:r>
              <w:rPr>
                <w:rFonts w:hint="eastAsia" w:ascii="宋体" w:hAnsi="宋体" w:eastAsia="宋体" w:cs="宋体"/>
                <w:b/>
                <w:bCs/>
                <w:color w:val="000000"/>
                <w:szCs w:val="21"/>
                <w:highlight w:val="none"/>
                <w:lang w:val="en-US" w:eastAsia="zh-CN"/>
              </w:rPr>
              <w:t>0-5</w:t>
            </w:r>
          </w:p>
        </w:tc>
      </w:tr>
      <w:tr w14:paraId="089B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16" w:type="dxa"/>
            <w:vMerge w:val="continue"/>
            <w:vAlign w:val="center"/>
          </w:tcPr>
          <w:p w14:paraId="720D9103">
            <w:pPr>
              <w:spacing w:line="240" w:lineRule="auto"/>
              <w:jc w:val="center"/>
              <w:rPr>
                <w:rFonts w:hint="eastAsia" w:ascii="宋体" w:hAnsi="宋体" w:eastAsia="宋体" w:cs="宋体"/>
                <w:b/>
                <w:bCs/>
                <w:color w:val="auto"/>
                <w:spacing w:val="0"/>
                <w:w w:val="100"/>
                <w:sz w:val="22"/>
                <w:szCs w:val="22"/>
                <w:highlight w:val="none"/>
                <w:lang w:val="en-US" w:eastAsia="zh-CN"/>
              </w:rPr>
            </w:pPr>
          </w:p>
        </w:tc>
        <w:tc>
          <w:tcPr>
            <w:tcW w:w="1128" w:type="dxa"/>
            <w:vMerge w:val="continue"/>
            <w:shd w:val="clear" w:color="auto" w:fill="auto"/>
            <w:vAlign w:val="center"/>
          </w:tcPr>
          <w:p w14:paraId="107E3A52">
            <w:pPr>
              <w:keepNext w:val="0"/>
              <w:keepLines w:val="0"/>
              <w:pageBreakBefore w:val="0"/>
              <w:widowControl/>
              <w:kinsoku/>
              <w:wordWrap/>
              <w:overflowPunct/>
              <w:topLinePunct w:val="0"/>
              <w:bidi w:val="0"/>
              <w:adjustRightInd/>
              <w:snapToGrid w:val="0"/>
              <w:spacing w:line="360" w:lineRule="exact"/>
              <w:ind w:left="0" w:leftChars="0" w:right="0" w:rightChars="0"/>
              <w:jc w:val="center"/>
              <w:textAlignment w:val="auto"/>
              <w:rPr>
                <w:rFonts w:hint="eastAsia" w:ascii="宋体" w:hAnsi="宋体" w:eastAsia="宋体" w:cs="宋体"/>
                <w:b/>
                <w:bCs/>
                <w:color w:val="auto"/>
                <w:spacing w:val="0"/>
                <w:w w:val="100"/>
                <w:kern w:val="2"/>
                <w:sz w:val="22"/>
                <w:szCs w:val="22"/>
                <w:highlight w:val="none"/>
                <w:lang w:val="en-US" w:eastAsia="zh-CN" w:bidi="ar-SA"/>
              </w:rPr>
            </w:pPr>
          </w:p>
        </w:tc>
        <w:tc>
          <w:tcPr>
            <w:tcW w:w="7119" w:type="dxa"/>
            <w:shd w:val="clear" w:color="auto" w:fill="auto"/>
            <w:vAlign w:val="center"/>
          </w:tcPr>
          <w:p w14:paraId="3ADBE06D">
            <w:pPr>
              <w:keepNext w:val="0"/>
              <w:keepLines w:val="0"/>
              <w:pageBreakBefore w:val="0"/>
              <w:kinsoku/>
              <w:wordWrap/>
              <w:overflowPunct/>
              <w:topLinePunct w:val="0"/>
              <w:bidi w:val="0"/>
              <w:adjustRightInd/>
              <w:snapToGrid w:val="0"/>
              <w:spacing w:line="360" w:lineRule="exact"/>
              <w:ind w:left="0" w:leftChars="0" w:right="0" w:rightChars="0"/>
              <w:textAlignment w:val="auto"/>
              <w:rPr>
                <w:rFonts w:hint="eastAsia" w:ascii="宋体" w:hAnsi="宋体" w:eastAsia="宋体" w:cs="宋体"/>
                <w:color w:val="auto"/>
                <w:kern w:val="2"/>
                <w:sz w:val="22"/>
                <w:szCs w:val="22"/>
                <w:lang w:val="en-US" w:eastAsia="zh-CN" w:bidi="ar-SA"/>
              </w:rPr>
            </w:pPr>
            <w:r>
              <w:rPr>
                <w:rFonts w:hint="eastAsia" w:ascii="宋体" w:hAnsi="宋体" w:eastAsia="宋体" w:cs="宋体"/>
                <w:sz w:val="22"/>
                <w:szCs w:val="22"/>
              </w:rPr>
              <w:t>根据供应商提供的后勤保障内容、保障措施等内容的合理、严谨、完整程度，由评委进行</w:t>
            </w:r>
            <w:r>
              <w:rPr>
                <w:rFonts w:hint="eastAsia" w:ascii="宋体" w:hAnsi="宋体" w:eastAsia="宋体" w:cs="宋体"/>
                <w:sz w:val="22"/>
                <w:szCs w:val="22"/>
                <w:lang w:eastAsia="zh-CN"/>
              </w:rPr>
              <w:t>评审</w:t>
            </w:r>
            <w:r>
              <w:rPr>
                <w:rFonts w:hint="eastAsia" w:ascii="宋体" w:hAnsi="宋体" w:eastAsia="宋体" w:cs="宋体"/>
                <w:sz w:val="22"/>
                <w:szCs w:val="22"/>
              </w:rPr>
              <w:t>。(5、4.5、4、3.5、3、2.5、2、1.5、1、0.5、0</w:t>
            </w:r>
            <w:r>
              <w:rPr>
                <w:rFonts w:hint="eastAsia" w:ascii="宋体" w:hAnsi="宋体" w:eastAsia="宋体" w:cs="宋体"/>
                <w:sz w:val="22"/>
                <w:szCs w:val="22"/>
                <w:lang w:eastAsia="zh-CN"/>
              </w:rPr>
              <w:t>分）</w:t>
            </w:r>
          </w:p>
        </w:tc>
        <w:tc>
          <w:tcPr>
            <w:tcW w:w="819" w:type="dxa"/>
            <w:shd w:val="clear" w:color="auto" w:fill="auto"/>
            <w:vAlign w:val="center"/>
          </w:tcPr>
          <w:p w14:paraId="3C062B13">
            <w:pPr>
              <w:jc w:val="center"/>
              <w:rPr>
                <w:rFonts w:hint="eastAsia" w:ascii="宋体" w:hAnsi="宋体" w:eastAsia="宋体" w:cs="宋体"/>
                <w:color w:val="auto"/>
                <w:kern w:val="2"/>
                <w:sz w:val="22"/>
                <w:szCs w:val="22"/>
                <w:lang w:val="en-US" w:eastAsia="zh-CN" w:bidi="ar-SA"/>
              </w:rPr>
            </w:pPr>
            <w:r>
              <w:rPr>
                <w:rFonts w:hint="eastAsia" w:ascii="宋体" w:hAnsi="宋体" w:eastAsia="宋体" w:cs="宋体"/>
                <w:b/>
                <w:bCs/>
                <w:color w:val="000000"/>
                <w:szCs w:val="21"/>
                <w:highlight w:val="none"/>
                <w:lang w:val="en-US" w:eastAsia="zh-CN"/>
              </w:rPr>
              <w:t>0-5</w:t>
            </w:r>
          </w:p>
        </w:tc>
      </w:tr>
    </w:tbl>
    <w:p w14:paraId="53B84F2C">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5.2磋商报价得分为10分</w:t>
      </w:r>
      <w:r>
        <w:rPr>
          <w:rFonts w:hint="eastAsia" w:ascii="宋体" w:hAnsi="宋体" w:eastAsia="宋体" w:cs="宋体"/>
          <w:b/>
          <w:color w:val="auto"/>
          <w:spacing w:val="0"/>
          <w:w w:val="100"/>
          <w:sz w:val="22"/>
          <w:szCs w:val="22"/>
          <w:highlight w:val="none"/>
          <w:lang w:eastAsia="zh-CN"/>
        </w:rPr>
        <w:t>，</w:t>
      </w:r>
      <w:r>
        <w:rPr>
          <w:rFonts w:hint="eastAsia" w:ascii="宋体" w:hAnsi="宋体" w:eastAsia="宋体" w:cs="宋体"/>
          <w:b/>
          <w:color w:val="auto"/>
          <w:spacing w:val="0"/>
          <w:w w:val="100"/>
          <w:sz w:val="22"/>
          <w:szCs w:val="22"/>
          <w:highlight w:val="none"/>
        </w:rPr>
        <w:t>权重为10%，由评审委员会根据以下内容统一计算打分：</w:t>
      </w:r>
    </w:p>
    <w:p w14:paraId="7ED49BD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5.2.1报价评分应在报价范围口径一致的评审价基础上进行。属磋商文件不清楚引起的报价内容和口径不一致的，则按有关规定统一调整报价内容和口径，计算出供应商的最终报价。属供应商失误造成的报价差错和遗漏，不得调整。</w:t>
      </w:r>
    </w:p>
    <w:p w14:paraId="083628E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5.2.2最终报价超过预算金额的作无效标处理。</w:t>
      </w:r>
    </w:p>
    <w:p w14:paraId="6D61DD3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5.2.3最终报价有漏项的或报价数量少于磋商文件要求数量的作无效标处理。</w:t>
      </w:r>
    </w:p>
    <w:p w14:paraId="57113FF9">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5.2.4 报价得分按以下方式计算：</w:t>
      </w:r>
    </w:p>
    <w:p w14:paraId="536B3762">
      <w:pPr>
        <w:keepNext w:val="0"/>
        <w:keepLines w:val="0"/>
        <w:pageBreakBefore w:val="0"/>
        <w:widowControl w:val="0"/>
        <w:kinsoku/>
        <w:wordWrap/>
        <w:overflowPunct/>
        <w:topLinePunct w:val="0"/>
        <w:autoSpaceDE/>
        <w:autoSpaceDN/>
        <w:bidi w:val="0"/>
        <w:adjustRightInd/>
        <w:snapToGrid/>
        <w:spacing w:line="480" w:lineRule="exact"/>
        <w:ind w:left="0" w:leftChars="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(1)确定评审价：供应商的评审价=各供应商最终有效报价</w:t>
      </w:r>
    </w:p>
    <w:p w14:paraId="56BDC867">
      <w:pPr>
        <w:keepNext w:val="0"/>
        <w:keepLines w:val="0"/>
        <w:pageBreakBefore w:val="0"/>
        <w:widowControl w:val="0"/>
        <w:kinsoku/>
        <w:wordWrap/>
        <w:overflowPunct/>
        <w:topLinePunct w:val="0"/>
        <w:autoSpaceDE/>
        <w:autoSpaceDN/>
        <w:bidi w:val="0"/>
        <w:adjustRightInd/>
        <w:snapToGrid/>
        <w:spacing w:line="480" w:lineRule="exact"/>
        <w:ind w:left="0" w:leftChars="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(2)磋商基准价=各有效供应商中的最低的参与评审价格；</w:t>
      </w:r>
    </w:p>
    <w:p w14:paraId="19F3AB4E">
      <w:pPr>
        <w:keepNext w:val="0"/>
        <w:keepLines w:val="0"/>
        <w:pageBreakBefore w:val="0"/>
        <w:widowControl w:val="0"/>
        <w:kinsoku/>
        <w:wordWrap/>
        <w:overflowPunct/>
        <w:topLinePunct w:val="0"/>
        <w:autoSpaceDE/>
        <w:autoSpaceDN/>
        <w:bidi w:val="0"/>
        <w:adjustRightInd/>
        <w:snapToGrid/>
        <w:spacing w:line="480" w:lineRule="exact"/>
        <w:ind w:left="0" w:leftChars="0"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(3)评审价等于磋商基准价的得10分，其他供应商的报价得分按下列公式计算：</w:t>
      </w:r>
    </w:p>
    <w:p w14:paraId="710A83CA">
      <w:pPr>
        <w:keepNext w:val="0"/>
        <w:keepLines w:val="0"/>
        <w:pageBreakBefore w:val="0"/>
        <w:widowControl w:val="0"/>
        <w:kinsoku/>
        <w:wordWrap/>
        <w:overflowPunct/>
        <w:topLinePunct w:val="0"/>
        <w:autoSpaceDE/>
        <w:autoSpaceDN/>
        <w:bidi w:val="0"/>
        <w:adjustRightInd/>
        <w:snapToGrid/>
        <w:spacing w:line="480" w:lineRule="exact"/>
        <w:ind w:firstLine="660" w:firstLineChars="3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报价得分=（磋商基准价/各供应商最终评审价）×报价权重×100。</w:t>
      </w:r>
    </w:p>
    <w:p w14:paraId="0FD70405">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r>
        <w:rPr>
          <w:rFonts w:hint="eastAsia" w:ascii="宋体" w:hAnsi="宋体" w:eastAsia="宋体" w:cs="宋体"/>
          <w:b/>
          <w:color w:val="auto"/>
          <w:spacing w:val="0"/>
          <w:w w:val="100"/>
          <w:sz w:val="22"/>
          <w:szCs w:val="22"/>
          <w:highlight w:val="none"/>
        </w:rPr>
        <w:t>5.4 本项目最终得分=资信商务及技术得分＋报价得分；</w:t>
      </w:r>
    </w:p>
    <w:p w14:paraId="262D690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5.5 评分时保留小数</w:t>
      </w:r>
      <w:r>
        <w:rPr>
          <w:rFonts w:hint="eastAsia" w:ascii="宋体" w:hAnsi="宋体" w:eastAsia="宋体" w:cs="宋体"/>
          <w:color w:val="auto"/>
          <w:spacing w:val="0"/>
          <w:w w:val="100"/>
          <w:sz w:val="22"/>
          <w:szCs w:val="22"/>
          <w:highlight w:val="none"/>
          <w:lang w:val="en-US" w:eastAsia="zh-CN"/>
        </w:rPr>
        <w:t>1</w:t>
      </w:r>
      <w:r>
        <w:rPr>
          <w:rFonts w:hint="eastAsia" w:ascii="宋体" w:hAnsi="宋体" w:eastAsia="宋体" w:cs="宋体"/>
          <w:color w:val="auto"/>
          <w:spacing w:val="0"/>
          <w:w w:val="100"/>
          <w:sz w:val="22"/>
          <w:szCs w:val="22"/>
          <w:highlight w:val="none"/>
        </w:rPr>
        <w:t>位，计算评分值时保留小数2位，小数点采用四舍五入方法。</w:t>
      </w:r>
    </w:p>
    <w:p w14:paraId="4D7976DB">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rPr>
          <w:rFonts w:hint="eastAsia" w:ascii="宋体" w:hAnsi="宋体" w:eastAsia="宋体" w:cs="宋体"/>
          <w:b/>
          <w:color w:val="auto"/>
          <w:spacing w:val="0"/>
          <w:w w:val="100"/>
          <w:sz w:val="22"/>
          <w:szCs w:val="22"/>
          <w:highlight w:val="none"/>
        </w:rPr>
      </w:pPr>
      <w:bookmarkStart w:id="239" w:name="_Toc8839"/>
      <w:bookmarkStart w:id="240" w:name="_Toc7763"/>
      <w:r>
        <w:rPr>
          <w:rFonts w:hint="eastAsia" w:ascii="宋体" w:hAnsi="宋体" w:eastAsia="宋体" w:cs="宋体"/>
          <w:b/>
          <w:color w:val="auto"/>
          <w:spacing w:val="0"/>
          <w:w w:val="100"/>
          <w:sz w:val="22"/>
          <w:szCs w:val="22"/>
          <w:highlight w:val="none"/>
        </w:rPr>
        <w:t>5.</w:t>
      </w:r>
      <w:r>
        <w:rPr>
          <w:rFonts w:hint="eastAsia" w:ascii="宋体" w:hAnsi="宋体" w:eastAsia="宋体" w:cs="宋体"/>
          <w:b/>
          <w:color w:val="auto"/>
          <w:spacing w:val="0"/>
          <w:w w:val="100"/>
          <w:sz w:val="22"/>
          <w:szCs w:val="22"/>
          <w:highlight w:val="none"/>
          <w:lang w:val="en-US" w:eastAsia="zh-CN"/>
        </w:rPr>
        <w:t>6</w:t>
      </w:r>
      <w:r>
        <w:rPr>
          <w:rFonts w:hint="eastAsia" w:ascii="宋体" w:hAnsi="宋体" w:eastAsia="宋体" w:cs="宋体"/>
          <w:b/>
          <w:color w:val="auto"/>
          <w:spacing w:val="0"/>
          <w:w w:val="100"/>
          <w:sz w:val="22"/>
          <w:szCs w:val="22"/>
          <w:highlight w:val="none"/>
        </w:rPr>
        <w:t xml:space="preserve"> 价格的合理性审查</w:t>
      </w:r>
    </w:p>
    <w:p w14:paraId="07FD62F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(1)分析投标价格是否合理，投标价格范围是否完整，有否重大错漏项；</w:t>
      </w:r>
    </w:p>
    <w:p w14:paraId="1848120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pacing w:val="0"/>
          <w:w w:val="100"/>
          <w:sz w:val="22"/>
          <w:szCs w:val="22"/>
          <w:highlight w:val="none"/>
        </w:rPr>
        <w:t>(2)为防止恶意竞标的行为，磋商小组认为投标供应商的报价明显低于其他通过符合性审查的投标供应商的报价，有可能影响产品质量或者不能诚信履约的，将要求供应商在30分钟内提供书面或在线说明，必要时提交相关证明材料；</w:t>
      </w:r>
    </w:p>
    <w:p w14:paraId="041BBCF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b/>
          <w:bCs/>
          <w:color w:val="auto"/>
          <w:spacing w:val="0"/>
          <w:w w:val="100"/>
          <w:sz w:val="21"/>
          <w:szCs w:val="21"/>
          <w:highlight w:val="none"/>
        </w:rPr>
      </w:pPr>
      <w:r>
        <w:rPr>
          <w:rFonts w:hint="eastAsia" w:ascii="宋体" w:hAnsi="宋体" w:eastAsia="宋体" w:cs="宋体"/>
          <w:color w:val="auto"/>
          <w:spacing w:val="0"/>
          <w:w w:val="100"/>
          <w:sz w:val="22"/>
          <w:szCs w:val="22"/>
          <w:highlight w:val="none"/>
        </w:rPr>
        <w:t>(3)磋商小组（少数服从多数原则）认为供应商不能证明其报价合理性的，将对其作为无效标处理。</w:t>
      </w:r>
    </w:p>
    <w:bookmarkEnd w:id="237"/>
    <w:bookmarkEnd w:id="238"/>
    <w:bookmarkEnd w:id="239"/>
    <w:bookmarkEnd w:id="240"/>
    <w:p w14:paraId="3F401DEE">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41" w:name="_Toc22302"/>
      <w:bookmarkStart w:id="242" w:name="_Toc8792"/>
      <w:bookmarkStart w:id="243" w:name="_Toc12850"/>
      <w:bookmarkStart w:id="244" w:name="_Toc12960"/>
      <w:bookmarkStart w:id="245" w:name="_Toc14795"/>
      <w:bookmarkStart w:id="246" w:name="_Toc20047"/>
      <w:bookmarkStart w:id="247" w:name="_Toc1316"/>
      <w:r>
        <w:rPr>
          <w:rFonts w:hint="eastAsia" w:ascii="宋体" w:hAnsi="宋体" w:eastAsia="宋体" w:cs="宋体"/>
          <w:b/>
          <w:bCs/>
          <w:color w:val="auto"/>
          <w:spacing w:val="0"/>
          <w:w w:val="100"/>
          <w:sz w:val="28"/>
          <w:szCs w:val="28"/>
          <w:highlight w:val="none"/>
        </w:rPr>
        <w:t>五   重新评审</w:t>
      </w:r>
      <w:bookmarkEnd w:id="241"/>
      <w:bookmarkEnd w:id="242"/>
      <w:bookmarkEnd w:id="243"/>
      <w:bookmarkEnd w:id="244"/>
      <w:bookmarkEnd w:id="245"/>
    </w:p>
    <w:p w14:paraId="4D0E3F0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outlineLvl w:val="1"/>
        <w:rPr>
          <w:rFonts w:hint="eastAsia" w:ascii="宋体" w:hAnsi="宋体" w:eastAsia="宋体" w:cs="宋体"/>
          <w:color w:val="auto"/>
          <w:sz w:val="22"/>
          <w:szCs w:val="22"/>
          <w:highlight w:val="none"/>
        </w:rPr>
      </w:pPr>
      <w:bookmarkStart w:id="248" w:name="_Toc6418"/>
      <w:r>
        <w:rPr>
          <w:rFonts w:hint="eastAsia" w:ascii="宋体" w:hAnsi="宋体" w:eastAsia="宋体" w:cs="宋体"/>
          <w:color w:val="auto"/>
          <w:sz w:val="22"/>
          <w:szCs w:val="22"/>
          <w:highlight w:val="none"/>
        </w:rPr>
        <w:t>(一)评审结果形成后，除下列情形外，任何人不得重新评审：</w:t>
      </w:r>
      <w:bookmarkEnd w:id="248"/>
    </w:p>
    <w:p w14:paraId="44FDE65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1.资格性检查认定错误；</w:t>
      </w:r>
    </w:p>
    <w:p w14:paraId="5C862CC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2.分值汇总计算错误；</w:t>
      </w:r>
    </w:p>
    <w:p w14:paraId="42BDBDE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3.分项评分超出评分标准范围；</w:t>
      </w:r>
    </w:p>
    <w:p w14:paraId="578C2C8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4.客观分评分不一致；</w:t>
      </w:r>
    </w:p>
    <w:p w14:paraId="60288D1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5.经磋商小组一致认定评分畸高、畸低的情形。</w:t>
      </w:r>
    </w:p>
    <w:p w14:paraId="35B5BBC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（二）采购人、采购代理机构发现磋商小组未按照磋商文件规定的评审标准进行评审的，应当重新开展采购活动，并同时书面报告本级财政部门。</w:t>
      </w:r>
    </w:p>
    <w:p w14:paraId="1DF41E1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（三）采购人或者采购代理机构不得通过对样品进行检测、对供应商进行考察等方式改变评审结果。</w:t>
      </w:r>
    </w:p>
    <w:p w14:paraId="454D4F64">
      <w:pPr>
        <w:pStyle w:val="4"/>
        <w:keepNext w:val="0"/>
        <w:keepLines w:val="0"/>
        <w:pageBreakBefore w:val="0"/>
        <w:widowControl w:val="0"/>
        <w:kinsoku/>
        <w:overflowPunct/>
        <w:topLinePunct w:val="0"/>
        <w:bidi w:val="0"/>
        <w:spacing w:before="120" w:after="120" w:line="480" w:lineRule="exact"/>
        <w:ind w:left="0" w:firstLine="0"/>
        <w:rPr>
          <w:rFonts w:hint="eastAsia" w:ascii="宋体" w:hAnsi="宋体" w:eastAsia="宋体" w:cs="宋体"/>
          <w:b/>
          <w:bCs/>
          <w:color w:val="auto"/>
          <w:spacing w:val="0"/>
          <w:w w:val="100"/>
          <w:sz w:val="28"/>
          <w:szCs w:val="28"/>
          <w:highlight w:val="none"/>
        </w:rPr>
      </w:pPr>
      <w:bookmarkStart w:id="249" w:name="_Toc26368"/>
      <w:bookmarkStart w:id="250" w:name="_Toc10365"/>
      <w:bookmarkStart w:id="251" w:name="_Toc14222"/>
      <w:bookmarkStart w:id="252" w:name="_Toc19763"/>
      <w:r>
        <w:rPr>
          <w:rFonts w:hint="eastAsia" w:ascii="宋体" w:hAnsi="宋体" w:eastAsia="宋体" w:cs="宋体"/>
          <w:b/>
          <w:bCs/>
          <w:color w:val="auto"/>
          <w:spacing w:val="0"/>
          <w:w w:val="100"/>
          <w:sz w:val="28"/>
          <w:szCs w:val="28"/>
          <w:highlight w:val="none"/>
        </w:rPr>
        <w:t>六   磋商纪律和要求</w:t>
      </w:r>
      <w:bookmarkEnd w:id="246"/>
      <w:bookmarkEnd w:id="247"/>
      <w:bookmarkEnd w:id="249"/>
      <w:bookmarkEnd w:id="250"/>
      <w:bookmarkEnd w:id="251"/>
      <w:bookmarkEnd w:id="252"/>
    </w:p>
    <w:p w14:paraId="198E924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（一）磋商小组成员必须公平、公正评审，遵纪守法，客观、廉洁地履行职责。</w:t>
      </w:r>
    </w:p>
    <w:p w14:paraId="7A877C3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（二）磋商小组成员在评审开始前，应关闭并上交随身携带的各种通信工具。</w:t>
      </w:r>
    </w:p>
    <w:p w14:paraId="2B847F9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（三）磋商小组成员在评审过程中，未经许可不得中途离开评审现场，不得迟到早退。</w:t>
      </w:r>
    </w:p>
    <w:p w14:paraId="0FD2B61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（四）磋商小组成员和工作人员不得透露评审过程中的评审情况和评审结果。</w:t>
      </w:r>
    </w:p>
    <w:p w14:paraId="1BE6227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评审时，磋商小组成员须按磋商文件规定的程序、条件和标准，对供应商响应文件的合规性、完整性和有效性进行审查、比较和评估，其中对供应商的资格条件、主要技术参数、报价和其他评审要素等，磋商小组成员应逐项进行审查、比较，不得漏评少评。如发现与磋商文件要求相偏离的，应对其偏离情形进行必要的核实，并在工作底稿中予以说明；如属于实质性偏离或符合无效响应文件的，可询问供应商，并允许供应商进行陈述申辩，但不允许其对偏离条款进行补充、修正或撤回。</w:t>
      </w:r>
    </w:p>
    <w:p w14:paraId="1E87C31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（六）采购人、采购代理机构不得向磋商小组的磋商小组成员作倾向性、误导性的解释或者说明。</w:t>
      </w:r>
    </w:p>
    <w:p w14:paraId="32488DB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采购代理机构应当为磋商小组成员提供必要的评审条件和相应的评审工作底稿，并严格按规定程序组织磋商小组成员有步骤地进行项目评审，对各磋商小组成员的评审情况和评审意见进行合理性和合规性审查，对明显畸高、畸低的重大差异评审情况（如其总评分偏离平均分30%以上），提醒相关磋商小组成员进行复核或书面说明理由。</w:t>
      </w:r>
    </w:p>
    <w:p w14:paraId="125DDD4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（八）磋商小组成员在评审过程中不得将自己的观点强加给其他磋商小组成员，磋商小组成员应自主发表见解，对评审意见承担个人责任。</w:t>
      </w:r>
    </w:p>
    <w:p w14:paraId="388CEBD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评审结束后，磋商小组应向采购代理机构提交项目评审报告。评审报告是采购人确定成交供应商的合法依据，磋商小组应当如实、客观地反映评审情况，按磋商文件的评审办法和细则的规定推荐成交候选人，说明推荐理由，并重点对成交候选人的技术、服务和价格等情况进行评价和比较。如排名第一的供应商报价为最高报价的，评审报告中必须对其报价的合理性等进行分析和特别说明。</w:t>
      </w:r>
    </w:p>
    <w:p w14:paraId="6D0E8D0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磋商小组成员应当独立、客观、公正地提出评审意见，不得带有倾向性，不得影响其他磋商小组成员评审，并在评审报告上签字；如对评审报告有异议的，可在报告上签署不同意见，并说明理由，否则将视为同意。</w:t>
      </w:r>
    </w:p>
    <w:p w14:paraId="1F5C0DB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（十一）磋商小组成员应当遵守评审工作纪律，不得泄露评审文件、评审情况和评审中获悉的商业秘密。</w:t>
      </w:r>
    </w:p>
    <w:p w14:paraId="4CBFB28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磋商小组在评审过程中发现供应商有行贿、提供虚假材料或者串通等违法行为的，应当及时向财政部门报告。</w:t>
      </w:r>
    </w:p>
    <w:p w14:paraId="239D201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（十二）磋商文件内容违反国家有关强制性规定的，磋商小组应当停止评审并向采购代理机构说明情况。</w:t>
      </w:r>
    </w:p>
    <w:p w14:paraId="740FDFE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（十三）磋商小组成员应当配合采购代理机构答复供应商提出的质疑。</w:t>
      </w:r>
    </w:p>
    <w:p w14:paraId="0AE034E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outlineLvl w:val="1"/>
        <w:rPr>
          <w:rFonts w:hint="eastAsia" w:ascii="宋体" w:hAnsi="宋体" w:eastAsia="宋体" w:cs="宋体"/>
          <w:color w:val="auto"/>
          <w:sz w:val="22"/>
          <w:szCs w:val="22"/>
          <w:highlight w:val="none"/>
        </w:rPr>
      </w:pPr>
      <w:bookmarkStart w:id="253" w:name="_Toc3000"/>
      <w:r>
        <w:rPr>
          <w:rFonts w:hint="eastAsia" w:ascii="宋体" w:hAnsi="宋体" w:eastAsia="宋体" w:cs="宋体"/>
          <w:color w:val="auto"/>
          <w:sz w:val="22"/>
          <w:szCs w:val="22"/>
          <w:highlight w:val="none"/>
        </w:rPr>
        <w:t>（十四）磋商小组成员应当配合财政部门的投诉处理工作。</w:t>
      </w:r>
      <w:bookmarkEnd w:id="253"/>
    </w:p>
    <w:p w14:paraId="0F2AD3D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（十五）磋商小组成员有如下行为之一的，责令改正，给予警告，可以并处一千元以下的罚款：</w:t>
      </w:r>
    </w:p>
    <w:p w14:paraId="6421E3B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1)明知应当回避而未主动回避的</w:t>
      </w:r>
      <w:r>
        <w:rPr>
          <w:rFonts w:hint="eastAsia" w:ascii="宋体" w:hAnsi="宋体" w:eastAsia="宋体" w:cs="宋体"/>
          <w:color w:val="auto"/>
          <w:sz w:val="22"/>
          <w:szCs w:val="22"/>
          <w:highlight w:val="none"/>
          <w:lang w:eastAsia="zh-CN"/>
        </w:rPr>
        <w:t>；</w:t>
      </w:r>
    </w:p>
    <w:p w14:paraId="6B953F3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2)在知道自己为磋商小组成员身份后至评审结束前的时段内私下接触供应商的</w:t>
      </w:r>
      <w:r>
        <w:rPr>
          <w:rFonts w:hint="eastAsia" w:ascii="宋体" w:hAnsi="宋体" w:eastAsia="宋体" w:cs="宋体"/>
          <w:color w:val="auto"/>
          <w:sz w:val="22"/>
          <w:szCs w:val="22"/>
          <w:highlight w:val="none"/>
          <w:lang w:eastAsia="zh-CN"/>
        </w:rPr>
        <w:t>；</w:t>
      </w:r>
    </w:p>
    <w:p w14:paraId="5738280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3)在评审过程中擅离职守，影响评审程序正常进行的</w:t>
      </w:r>
      <w:r>
        <w:rPr>
          <w:rFonts w:hint="eastAsia" w:ascii="宋体" w:hAnsi="宋体" w:eastAsia="宋体" w:cs="宋体"/>
          <w:color w:val="auto"/>
          <w:sz w:val="22"/>
          <w:szCs w:val="22"/>
          <w:highlight w:val="none"/>
          <w:lang w:eastAsia="zh-CN"/>
        </w:rPr>
        <w:t>；</w:t>
      </w:r>
    </w:p>
    <w:p w14:paraId="7784C4D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4)在评审过程有明显不合理或者不正当倾向性的</w:t>
      </w:r>
      <w:r>
        <w:rPr>
          <w:rFonts w:hint="eastAsia" w:ascii="宋体" w:hAnsi="宋体" w:eastAsia="宋体" w:cs="宋体"/>
          <w:color w:val="auto"/>
          <w:sz w:val="22"/>
          <w:szCs w:val="22"/>
          <w:highlight w:val="none"/>
          <w:lang w:eastAsia="zh-CN"/>
        </w:rPr>
        <w:t>；</w:t>
      </w:r>
    </w:p>
    <w:p w14:paraId="4E400E5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5)未按磋商文件规定的评审方法和标准进行评审的。</w:t>
      </w:r>
    </w:p>
    <w:p w14:paraId="04A1AE5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6)上述1)至5)行为影响成交结果的，成交结果无效。</w:t>
      </w:r>
    </w:p>
    <w:p w14:paraId="7021748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(十六)采购代理机构可对各磋商小组成员的专业技术水平和职业道德素质等情况进行评价，并可将评价意见在评审结束后2个工作日内反馈给财政部门，财政部门以此作为对磋商小组成员的考核管理依据。</w:t>
      </w:r>
    </w:p>
    <w:p w14:paraId="247EC63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七）政府采购磋商小组成员未按照磋商文件规定的评审程序、评审方法和评审标准进行独立评审或者泄露评审文件、评审情况的，由财政部门给予警告，并处2000元以上2万元以下的罚款；影响成交、成交结果的，处2万元以上5万元以下的罚款，禁止其参加政府采购评审活动。</w:t>
      </w:r>
    </w:p>
    <w:p w14:paraId="325890C3">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政府采购磋商小组成员与供应商存在利害关系未回避的，处2万元以上5万元以下的罚款，禁止其参加政府采购评审活动。</w:t>
      </w:r>
    </w:p>
    <w:p w14:paraId="4698E0C2">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政府采购磋商小组成员收受采购人、采购代理机构、供应商贿赂或者获取其他不正当利益，构成犯罪的，依法追究刑事责任；尚不构成犯罪的，处2万元以上5万元以下的罚款，禁止其参加政府采购评审活动。</w:t>
      </w:r>
    </w:p>
    <w:p w14:paraId="27CE062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宋体" w:hAnsi="宋体" w:eastAsia="宋体" w:cs="宋体"/>
          <w:color w:val="auto"/>
          <w:spacing w:val="0"/>
          <w:w w:val="100"/>
          <w:sz w:val="22"/>
          <w:szCs w:val="22"/>
          <w:highlight w:val="none"/>
        </w:rPr>
      </w:pPr>
      <w:r>
        <w:rPr>
          <w:rFonts w:hint="eastAsia" w:ascii="宋体" w:hAnsi="宋体" w:eastAsia="宋体" w:cs="宋体"/>
          <w:color w:val="auto"/>
          <w:sz w:val="22"/>
          <w:szCs w:val="22"/>
          <w:highlight w:val="none"/>
        </w:rPr>
        <w:t>政府采购磋商小组成员有上述违法行为的，其评审意见无效，不得获取评审费；有违法所得的，没收违法所得；给他人造成损失的，依法承担民事责任。</w:t>
      </w:r>
    </w:p>
    <w:sectPr>
      <w:headerReference r:id="rId4" w:type="default"/>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A04A">
    <w:pPr>
      <w:pStyle w:val="28"/>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8CE1FC3">
                <w:pPr>
                  <w:pStyle w:val="28"/>
                  <w:rPr>
                    <w:rFonts w:hint="eastAsia" w:eastAsia="宋体"/>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lang w:val="en-US" w:eastAsia="zh-CN"/>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B9AAC">
    <w:pPr>
      <w:pStyle w:val="30"/>
      <w:pBdr>
        <w:bottom w:val="thickThinSmallGap" w:color="auto" w:sz="12" w:space="1"/>
      </w:pBdr>
      <w:rPr>
        <w:rFonts w:ascii="楷体" w:hAnsi="楷体" w:eastAsia="楷体" w:cs="楷体"/>
        <w:sz w:val="19"/>
        <w:szCs w:val="19"/>
      </w:rPr>
    </w:pPr>
    <w:r>
      <w:rPr>
        <w:rFonts w:hint="eastAsia" w:ascii="楷体" w:hAnsi="楷体" w:eastAsia="楷体" w:cs="楷体"/>
        <w:sz w:val="19"/>
        <w:szCs w:val="19"/>
        <w:lang w:eastAsia="zh-CN"/>
      </w:rPr>
      <w:t>2024-2025年度庆元县生态质量国家级样地生物多样性调查监测项目</w:t>
    </w:r>
    <w:r>
      <w:rPr>
        <w:rFonts w:hint="eastAsia" w:ascii="楷体" w:hAnsi="楷体" w:eastAsia="楷体" w:cs="楷体"/>
        <w:sz w:val="19"/>
        <w:szCs w:val="19"/>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89CA">
    <w:pPr>
      <w:pStyle w:val="30"/>
      <w:pBdr>
        <w:bottom w:val="thickThinSmallGap" w:color="auto" w:sz="12" w:space="0"/>
      </w:pBdr>
      <w:rPr>
        <w:sz w:val="19"/>
        <w:szCs w:val="19"/>
      </w:rPr>
    </w:pPr>
    <w:r>
      <w:rPr>
        <w:rFonts w:hint="eastAsia" w:ascii="楷体" w:hAnsi="楷体" w:eastAsia="楷体" w:cs="楷体"/>
        <w:sz w:val="19"/>
        <w:szCs w:val="19"/>
        <w:lang w:eastAsia="zh-CN"/>
      </w:rPr>
      <w:t>2024-2025年度庆元县生态质量国家级样地生物多样性调查监测项目</w:t>
    </w:r>
    <w:r>
      <w:rPr>
        <w:rFonts w:hint="eastAsia" w:ascii="楷体" w:hAnsi="楷体" w:eastAsia="楷体" w:cs="楷体"/>
        <w:sz w:val="19"/>
        <w:szCs w:val="19"/>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0236AB"/>
    <w:multiLevelType w:val="singleLevel"/>
    <w:tmpl w:val="620236AB"/>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A0ZDY5ZmRlNDQ4YTM4ZWY4ZTg1ZWYwMzdmNzFkYzcifQ=="/>
  </w:docVars>
  <w:rsids>
    <w:rsidRoot w:val="001765BB"/>
    <w:rsid w:val="0002534F"/>
    <w:rsid w:val="000B6D67"/>
    <w:rsid w:val="001765BB"/>
    <w:rsid w:val="001E5E24"/>
    <w:rsid w:val="00306D09"/>
    <w:rsid w:val="003406BF"/>
    <w:rsid w:val="00430043"/>
    <w:rsid w:val="004848F7"/>
    <w:rsid w:val="00570EAE"/>
    <w:rsid w:val="005862C1"/>
    <w:rsid w:val="00630FCA"/>
    <w:rsid w:val="006670B1"/>
    <w:rsid w:val="0068424A"/>
    <w:rsid w:val="00754492"/>
    <w:rsid w:val="0082080E"/>
    <w:rsid w:val="00842081"/>
    <w:rsid w:val="0089552F"/>
    <w:rsid w:val="008E2542"/>
    <w:rsid w:val="00B7577D"/>
    <w:rsid w:val="00C6667B"/>
    <w:rsid w:val="00CE2DF7"/>
    <w:rsid w:val="00D822B6"/>
    <w:rsid w:val="00D969E5"/>
    <w:rsid w:val="00DA10F1"/>
    <w:rsid w:val="00E13884"/>
    <w:rsid w:val="00EA23D3"/>
    <w:rsid w:val="00EF0690"/>
    <w:rsid w:val="00F41A4F"/>
    <w:rsid w:val="01013352"/>
    <w:rsid w:val="0102387A"/>
    <w:rsid w:val="01A02539"/>
    <w:rsid w:val="01B13486"/>
    <w:rsid w:val="01B42948"/>
    <w:rsid w:val="01E7687A"/>
    <w:rsid w:val="01F83765"/>
    <w:rsid w:val="02380E83"/>
    <w:rsid w:val="0239402A"/>
    <w:rsid w:val="023A2E4D"/>
    <w:rsid w:val="0256755B"/>
    <w:rsid w:val="025D45D9"/>
    <w:rsid w:val="026C1B4D"/>
    <w:rsid w:val="02881E0B"/>
    <w:rsid w:val="02900CBF"/>
    <w:rsid w:val="02B81FC4"/>
    <w:rsid w:val="02DD40D3"/>
    <w:rsid w:val="02F624BB"/>
    <w:rsid w:val="038D16A3"/>
    <w:rsid w:val="03E272F9"/>
    <w:rsid w:val="04350AB9"/>
    <w:rsid w:val="047023A7"/>
    <w:rsid w:val="048B12E8"/>
    <w:rsid w:val="04A44EF6"/>
    <w:rsid w:val="04FF212C"/>
    <w:rsid w:val="05351F51"/>
    <w:rsid w:val="05452235"/>
    <w:rsid w:val="05512A5E"/>
    <w:rsid w:val="057A7ABD"/>
    <w:rsid w:val="0580501B"/>
    <w:rsid w:val="05C85296"/>
    <w:rsid w:val="05E236C5"/>
    <w:rsid w:val="064D09AD"/>
    <w:rsid w:val="066D6C1F"/>
    <w:rsid w:val="066E57BB"/>
    <w:rsid w:val="068C399D"/>
    <w:rsid w:val="06D02072"/>
    <w:rsid w:val="06E942ED"/>
    <w:rsid w:val="070E2C2D"/>
    <w:rsid w:val="07925E44"/>
    <w:rsid w:val="07AA2551"/>
    <w:rsid w:val="07CD1810"/>
    <w:rsid w:val="07E35D35"/>
    <w:rsid w:val="07E42607"/>
    <w:rsid w:val="0825634E"/>
    <w:rsid w:val="084476A8"/>
    <w:rsid w:val="087E03E4"/>
    <w:rsid w:val="08A9139C"/>
    <w:rsid w:val="08A940F7"/>
    <w:rsid w:val="08B23DAB"/>
    <w:rsid w:val="08DF22E1"/>
    <w:rsid w:val="08E17D03"/>
    <w:rsid w:val="08EB06E4"/>
    <w:rsid w:val="096408EA"/>
    <w:rsid w:val="09AB4631"/>
    <w:rsid w:val="0A2613D7"/>
    <w:rsid w:val="0AA07F0D"/>
    <w:rsid w:val="0AB92869"/>
    <w:rsid w:val="0AE15509"/>
    <w:rsid w:val="0B74624C"/>
    <w:rsid w:val="0B955E93"/>
    <w:rsid w:val="0BB85ED4"/>
    <w:rsid w:val="0BC9482D"/>
    <w:rsid w:val="0BD22349"/>
    <w:rsid w:val="0BF5078E"/>
    <w:rsid w:val="0C083C74"/>
    <w:rsid w:val="0C656D19"/>
    <w:rsid w:val="0C6F7F5E"/>
    <w:rsid w:val="0C743400"/>
    <w:rsid w:val="0C8278CB"/>
    <w:rsid w:val="0C8F244C"/>
    <w:rsid w:val="0C9A6C16"/>
    <w:rsid w:val="0CB24B04"/>
    <w:rsid w:val="0CCA3020"/>
    <w:rsid w:val="0CCE3F49"/>
    <w:rsid w:val="0CDA5435"/>
    <w:rsid w:val="0D8256A8"/>
    <w:rsid w:val="0DAC5D61"/>
    <w:rsid w:val="0DC363ED"/>
    <w:rsid w:val="0DFF75A9"/>
    <w:rsid w:val="0E381772"/>
    <w:rsid w:val="0E603C3C"/>
    <w:rsid w:val="0E621CD1"/>
    <w:rsid w:val="0F0F7AC8"/>
    <w:rsid w:val="0F785EA6"/>
    <w:rsid w:val="0FF83255"/>
    <w:rsid w:val="0FFD3CCB"/>
    <w:rsid w:val="10214AC8"/>
    <w:rsid w:val="109A2E3C"/>
    <w:rsid w:val="10D73F5D"/>
    <w:rsid w:val="118C4D48"/>
    <w:rsid w:val="119B21C7"/>
    <w:rsid w:val="119D6F55"/>
    <w:rsid w:val="11BA18B5"/>
    <w:rsid w:val="120118F6"/>
    <w:rsid w:val="125F0939"/>
    <w:rsid w:val="12AD24F0"/>
    <w:rsid w:val="12E80D0B"/>
    <w:rsid w:val="13541895"/>
    <w:rsid w:val="13E53E69"/>
    <w:rsid w:val="13E76BAD"/>
    <w:rsid w:val="145E2384"/>
    <w:rsid w:val="145E51EB"/>
    <w:rsid w:val="14847F58"/>
    <w:rsid w:val="14AD5701"/>
    <w:rsid w:val="14D72BCA"/>
    <w:rsid w:val="14F902DA"/>
    <w:rsid w:val="15190FE8"/>
    <w:rsid w:val="15202377"/>
    <w:rsid w:val="153F272B"/>
    <w:rsid w:val="15951DF0"/>
    <w:rsid w:val="15A22D8C"/>
    <w:rsid w:val="15CC22D2"/>
    <w:rsid w:val="1609105D"/>
    <w:rsid w:val="16406571"/>
    <w:rsid w:val="164D4902"/>
    <w:rsid w:val="16CD3E38"/>
    <w:rsid w:val="16FB6C78"/>
    <w:rsid w:val="170B1C85"/>
    <w:rsid w:val="170C789A"/>
    <w:rsid w:val="170D70BC"/>
    <w:rsid w:val="17DB6FBA"/>
    <w:rsid w:val="17E3199A"/>
    <w:rsid w:val="17E7717C"/>
    <w:rsid w:val="18350BCE"/>
    <w:rsid w:val="1876405C"/>
    <w:rsid w:val="18992376"/>
    <w:rsid w:val="18A07E00"/>
    <w:rsid w:val="18A8690B"/>
    <w:rsid w:val="18E75124"/>
    <w:rsid w:val="19746333"/>
    <w:rsid w:val="19F722DF"/>
    <w:rsid w:val="1A212523"/>
    <w:rsid w:val="1A545F22"/>
    <w:rsid w:val="1B0A0632"/>
    <w:rsid w:val="1B24700A"/>
    <w:rsid w:val="1B383AD4"/>
    <w:rsid w:val="1B4532BD"/>
    <w:rsid w:val="1B684441"/>
    <w:rsid w:val="1BC14E5F"/>
    <w:rsid w:val="1BD81DE0"/>
    <w:rsid w:val="1BE20386"/>
    <w:rsid w:val="1BF43C15"/>
    <w:rsid w:val="1BFB4FA4"/>
    <w:rsid w:val="1C1C7324"/>
    <w:rsid w:val="1C2517C8"/>
    <w:rsid w:val="1C360B5C"/>
    <w:rsid w:val="1C394A5C"/>
    <w:rsid w:val="1C420E24"/>
    <w:rsid w:val="1C462954"/>
    <w:rsid w:val="1C566601"/>
    <w:rsid w:val="1C75612C"/>
    <w:rsid w:val="1C77394F"/>
    <w:rsid w:val="1CA35B59"/>
    <w:rsid w:val="1CD4543E"/>
    <w:rsid w:val="1CD721FC"/>
    <w:rsid w:val="1CF41996"/>
    <w:rsid w:val="1D0165EA"/>
    <w:rsid w:val="1D1A7FC9"/>
    <w:rsid w:val="1D25559E"/>
    <w:rsid w:val="1D5315F4"/>
    <w:rsid w:val="1D6B4741"/>
    <w:rsid w:val="1D706C8C"/>
    <w:rsid w:val="1DDE1760"/>
    <w:rsid w:val="1DE303E5"/>
    <w:rsid w:val="1E0C3498"/>
    <w:rsid w:val="1E711335"/>
    <w:rsid w:val="1E933BB9"/>
    <w:rsid w:val="1EC70EE8"/>
    <w:rsid w:val="1F1F544D"/>
    <w:rsid w:val="1F592C68"/>
    <w:rsid w:val="1F7F63D4"/>
    <w:rsid w:val="1FB02549"/>
    <w:rsid w:val="200308CB"/>
    <w:rsid w:val="20AA343C"/>
    <w:rsid w:val="20BA217F"/>
    <w:rsid w:val="2107263D"/>
    <w:rsid w:val="21C23F64"/>
    <w:rsid w:val="21C3227F"/>
    <w:rsid w:val="21F030D1"/>
    <w:rsid w:val="223C7883"/>
    <w:rsid w:val="223E1359"/>
    <w:rsid w:val="223E3863"/>
    <w:rsid w:val="22A243CB"/>
    <w:rsid w:val="22BB43D7"/>
    <w:rsid w:val="22DB37D6"/>
    <w:rsid w:val="22F61E29"/>
    <w:rsid w:val="22FC7F13"/>
    <w:rsid w:val="23C779BA"/>
    <w:rsid w:val="23EB3B2A"/>
    <w:rsid w:val="244514B2"/>
    <w:rsid w:val="2460195F"/>
    <w:rsid w:val="247031F2"/>
    <w:rsid w:val="24763D61"/>
    <w:rsid w:val="24A501A2"/>
    <w:rsid w:val="24A563F4"/>
    <w:rsid w:val="24E86F8E"/>
    <w:rsid w:val="250F5A73"/>
    <w:rsid w:val="251D242F"/>
    <w:rsid w:val="254D4272"/>
    <w:rsid w:val="25896456"/>
    <w:rsid w:val="25C44658"/>
    <w:rsid w:val="25C91C6F"/>
    <w:rsid w:val="2618519D"/>
    <w:rsid w:val="26577CC5"/>
    <w:rsid w:val="266256ED"/>
    <w:rsid w:val="26AF0B8D"/>
    <w:rsid w:val="26BC4754"/>
    <w:rsid w:val="26E73009"/>
    <w:rsid w:val="270D0566"/>
    <w:rsid w:val="2754008C"/>
    <w:rsid w:val="276525D1"/>
    <w:rsid w:val="278A3175"/>
    <w:rsid w:val="27952750"/>
    <w:rsid w:val="27A91D58"/>
    <w:rsid w:val="27B30E28"/>
    <w:rsid w:val="27BD1CA7"/>
    <w:rsid w:val="281331DB"/>
    <w:rsid w:val="28327326"/>
    <w:rsid w:val="287070ED"/>
    <w:rsid w:val="288B5901"/>
    <w:rsid w:val="28906C24"/>
    <w:rsid w:val="28B210E0"/>
    <w:rsid w:val="28CD6E8D"/>
    <w:rsid w:val="29060CF0"/>
    <w:rsid w:val="2907142C"/>
    <w:rsid w:val="29134D42"/>
    <w:rsid w:val="29471395"/>
    <w:rsid w:val="294E6051"/>
    <w:rsid w:val="296A3769"/>
    <w:rsid w:val="29B82726"/>
    <w:rsid w:val="2ADD13DC"/>
    <w:rsid w:val="2B8E1C47"/>
    <w:rsid w:val="2BB37B40"/>
    <w:rsid w:val="2BEF7F55"/>
    <w:rsid w:val="2C0802E5"/>
    <w:rsid w:val="2C1750BD"/>
    <w:rsid w:val="2C210A56"/>
    <w:rsid w:val="2C327F80"/>
    <w:rsid w:val="2C5C699D"/>
    <w:rsid w:val="2C8E65D6"/>
    <w:rsid w:val="2C9A7789"/>
    <w:rsid w:val="2D1A4678"/>
    <w:rsid w:val="2D2A393B"/>
    <w:rsid w:val="2D520BA0"/>
    <w:rsid w:val="2D825525"/>
    <w:rsid w:val="2D827EC1"/>
    <w:rsid w:val="2D9B6293"/>
    <w:rsid w:val="2DB63420"/>
    <w:rsid w:val="2ECE5A58"/>
    <w:rsid w:val="2EED3ABC"/>
    <w:rsid w:val="2F2820FC"/>
    <w:rsid w:val="2F6117D7"/>
    <w:rsid w:val="2F6431EF"/>
    <w:rsid w:val="2F706905"/>
    <w:rsid w:val="2F7229B1"/>
    <w:rsid w:val="301D32E3"/>
    <w:rsid w:val="302F1268"/>
    <w:rsid w:val="302F5020"/>
    <w:rsid w:val="30683C8B"/>
    <w:rsid w:val="307B625B"/>
    <w:rsid w:val="30E41F80"/>
    <w:rsid w:val="31103CDC"/>
    <w:rsid w:val="311566B0"/>
    <w:rsid w:val="31271F3F"/>
    <w:rsid w:val="315C6CF3"/>
    <w:rsid w:val="316513E5"/>
    <w:rsid w:val="317B7F7E"/>
    <w:rsid w:val="31833619"/>
    <w:rsid w:val="31F2722F"/>
    <w:rsid w:val="31FB58A6"/>
    <w:rsid w:val="32000452"/>
    <w:rsid w:val="32043468"/>
    <w:rsid w:val="32446460"/>
    <w:rsid w:val="324803BF"/>
    <w:rsid w:val="324E1E79"/>
    <w:rsid w:val="32675668"/>
    <w:rsid w:val="327B46DE"/>
    <w:rsid w:val="32A36D9D"/>
    <w:rsid w:val="32EB1476"/>
    <w:rsid w:val="32FE2712"/>
    <w:rsid w:val="33534D80"/>
    <w:rsid w:val="33D91C17"/>
    <w:rsid w:val="344C5A5D"/>
    <w:rsid w:val="346B243C"/>
    <w:rsid w:val="34EA39B0"/>
    <w:rsid w:val="350F721A"/>
    <w:rsid w:val="350F761D"/>
    <w:rsid w:val="3538296D"/>
    <w:rsid w:val="35505F08"/>
    <w:rsid w:val="355856C5"/>
    <w:rsid w:val="355E6ADD"/>
    <w:rsid w:val="355F5EB4"/>
    <w:rsid w:val="36722213"/>
    <w:rsid w:val="367B13CD"/>
    <w:rsid w:val="36846BD9"/>
    <w:rsid w:val="36914101"/>
    <w:rsid w:val="36C46BAE"/>
    <w:rsid w:val="36DC2AE7"/>
    <w:rsid w:val="36E92637"/>
    <w:rsid w:val="37135440"/>
    <w:rsid w:val="372738D0"/>
    <w:rsid w:val="372E5D8E"/>
    <w:rsid w:val="378679C0"/>
    <w:rsid w:val="37A34A15"/>
    <w:rsid w:val="37B00EE0"/>
    <w:rsid w:val="3858312F"/>
    <w:rsid w:val="387B14EE"/>
    <w:rsid w:val="38B83EC7"/>
    <w:rsid w:val="38B90269"/>
    <w:rsid w:val="38F512A1"/>
    <w:rsid w:val="3986014B"/>
    <w:rsid w:val="39981C2C"/>
    <w:rsid w:val="39A71E6F"/>
    <w:rsid w:val="39C4263A"/>
    <w:rsid w:val="39D11F19"/>
    <w:rsid w:val="39DC07CC"/>
    <w:rsid w:val="39F8091D"/>
    <w:rsid w:val="3A990C15"/>
    <w:rsid w:val="3AFB06C4"/>
    <w:rsid w:val="3B1D3D59"/>
    <w:rsid w:val="3B59181A"/>
    <w:rsid w:val="3B98446F"/>
    <w:rsid w:val="3BC235AA"/>
    <w:rsid w:val="3BF82E56"/>
    <w:rsid w:val="3C565BED"/>
    <w:rsid w:val="3C664263"/>
    <w:rsid w:val="3C6C5566"/>
    <w:rsid w:val="3CB15DFB"/>
    <w:rsid w:val="3D243DFC"/>
    <w:rsid w:val="3D274520"/>
    <w:rsid w:val="3D4445A5"/>
    <w:rsid w:val="3D6D6297"/>
    <w:rsid w:val="3D7824A0"/>
    <w:rsid w:val="3DA71CC7"/>
    <w:rsid w:val="3DC3761F"/>
    <w:rsid w:val="3DDA29EB"/>
    <w:rsid w:val="3DDC7293"/>
    <w:rsid w:val="3DEE5150"/>
    <w:rsid w:val="3E0F3D55"/>
    <w:rsid w:val="3E347584"/>
    <w:rsid w:val="3E704F26"/>
    <w:rsid w:val="3E8D5B07"/>
    <w:rsid w:val="3E9A6446"/>
    <w:rsid w:val="3EA10F6E"/>
    <w:rsid w:val="3EAA48DB"/>
    <w:rsid w:val="3EBA1180"/>
    <w:rsid w:val="3EC006FD"/>
    <w:rsid w:val="3F302EEF"/>
    <w:rsid w:val="3F6C1B91"/>
    <w:rsid w:val="3FB452E6"/>
    <w:rsid w:val="3FE7416D"/>
    <w:rsid w:val="3FF943DB"/>
    <w:rsid w:val="4000052B"/>
    <w:rsid w:val="401364B0"/>
    <w:rsid w:val="409527ED"/>
    <w:rsid w:val="40CB0B39"/>
    <w:rsid w:val="40F83B74"/>
    <w:rsid w:val="414B37CA"/>
    <w:rsid w:val="416D399E"/>
    <w:rsid w:val="41816CFC"/>
    <w:rsid w:val="421A3B26"/>
    <w:rsid w:val="42884F34"/>
    <w:rsid w:val="428B3EEC"/>
    <w:rsid w:val="42903DE8"/>
    <w:rsid w:val="42983EE1"/>
    <w:rsid w:val="42D31F27"/>
    <w:rsid w:val="438321C9"/>
    <w:rsid w:val="43B65AD0"/>
    <w:rsid w:val="43C55D14"/>
    <w:rsid w:val="43F35309"/>
    <w:rsid w:val="44380C59"/>
    <w:rsid w:val="448B2AB9"/>
    <w:rsid w:val="44C131CA"/>
    <w:rsid w:val="44DC1567"/>
    <w:rsid w:val="455235D7"/>
    <w:rsid w:val="45782CBD"/>
    <w:rsid w:val="45835E86"/>
    <w:rsid w:val="462A6CC8"/>
    <w:rsid w:val="46476EB4"/>
    <w:rsid w:val="46613A61"/>
    <w:rsid w:val="46A2233C"/>
    <w:rsid w:val="47501D98"/>
    <w:rsid w:val="476D64B5"/>
    <w:rsid w:val="47CE63FF"/>
    <w:rsid w:val="47CF7161"/>
    <w:rsid w:val="47D04464"/>
    <w:rsid w:val="48180B08"/>
    <w:rsid w:val="482D3688"/>
    <w:rsid w:val="489A2B79"/>
    <w:rsid w:val="48AB372A"/>
    <w:rsid w:val="48AD61A4"/>
    <w:rsid w:val="48DC4EDD"/>
    <w:rsid w:val="48EE1869"/>
    <w:rsid w:val="492948F0"/>
    <w:rsid w:val="493A2D00"/>
    <w:rsid w:val="49431BB4"/>
    <w:rsid w:val="49641DFF"/>
    <w:rsid w:val="49904FE3"/>
    <w:rsid w:val="49B60BC2"/>
    <w:rsid w:val="4A437281"/>
    <w:rsid w:val="4A442B1E"/>
    <w:rsid w:val="4A695500"/>
    <w:rsid w:val="4A804456"/>
    <w:rsid w:val="4A82670C"/>
    <w:rsid w:val="4A835FE1"/>
    <w:rsid w:val="4A9F106C"/>
    <w:rsid w:val="4AAC19DB"/>
    <w:rsid w:val="4AB13630"/>
    <w:rsid w:val="4AB8212E"/>
    <w:rsid w:val="4AD24FB7"/>
    <w:rsid w:val="4AEF6430"/>
    <w:rsid w:val="4B3A28A8"/>
    <w:rsid w:val="4B925FBA"/>
    <w:rsid w:val="4BA426B2"/>
    <w:rsid w:val="4BAC74D4"/>
    <w:rsid w:val="4BBA19A6"/>
    <w:rsid w:val="4BCE772F"/>
    <w:rsid w:val="4C2D4D08"/>
    <w:rsid w:val="4C301F8C"/>
    <w:rsid w:val="4C602E4C"/>
    <w:rsid w:val="4C7D48E6"/>
    <w:rsid w:val="4CA05340"/>
    <w:rsid w:val="4CF47B0A"/>
    <w:rsid w:val="4D187320"/>
    <w:rsid w:val="4D331F40"/>
    <w:rsid w:val="4D402BC3"/>
    <w:rsid w:val="4D495A2D"/>
    <w:rsid w:val="4D9F1383"/>
    <w:rsid w:val="4DC97209"/>
    <w:rsid w:val="4E0631B0"/>
    <w:rsid w:val="4E772F17"/>
    <w:rsid w:val="4EAF1A9A"/>
    <w:rsid w:val="4ED935FF"/>
    <w:rsid w:val="4F097EB1"/>
    <w:rsid w:val="4F2E6E63"/>
    <w:rsid w:val="4F3B30AB"/>
    <w:rsid w:val="4F5D1A82"/>
    <w:rsid w:val="4F7C5E20"/>
    <w:rsid w:val="50225CE9"/>
    <w:rsid w:val="502D335A"/>
    <w:rsid w:val="50966800"/>
    <w:rsid w:val="50F0181F"/>
    <w:rsid w:val="51007BB2"/>
    <w:rsid w:val="51135753"/>
    <w:rsid w:val="5119144D"/>
    <w:rsid w:val="515B1A65"/>
    <w:rsid w:val="51ED7922"/>
    <w:rsid w:val="51F17720"/>
    <w:rsid w:val="521C7446"/>
    <w:rsid w:val="5237602E"/>
    <w:rsid w:val="52654F32"/>
    <w:rsid w:val="52831274"/>
    <w:rsid w:val="53185E60"/>
    <w:rsid w:val="536E3CD2"/>
    <w:rsid w:val="53914DFB"/>
    <w:rsid w:val="53FD73AB"/>
    <w:rsid w:val="54725A3B"/>
    <w:rsid w:val="54821FD2"/>
    <w:rsid w:val="54905ECA"/>
    <w:rsid w:val="549B4A49"/>
    <w:rsid w:val="54AB4AB2"/>
    <w:rsid w:val="54B72DD0"/>
    <w:rsid w:val="54C81223"/>
    <w:rsid w:val="54CD2C7A"/>
    <w:rsid w:val="551E1962"/>
    <w:rsid w:val="554051FA"/>
    <w:rsid w:val="55436A98"/>
    <w:rsid w:val="554B4D04"/>
    <w:rsid w:val="55583F15"/>
    <w:rsid w:val="555F7520"/>
    <w:rsid w:val="55627866"/>
    <w:rsid w:val="556A0D67"/>
    <w:rsid w:val="556E0C8F"/>
    <w:rsid w:val="558275C0"/>
    <w:rsid w:val="55BB270A"/>
    <w:rsid w:val="55CC4CE0"/>
    <w:rsid w:val="55CE071D"/>
    <w:rsid w:val="55E56E7D"/>
    <w:rsid w:val="55FB793D"/>
    <w:rsid w:val="56466840"/>
    <w:rsid w:val="568850AA"/>
    <w:rsid w:val="56DA0439"/>
    <w:rsid w:val="56E45969"/>
    <w:rsid w:val="56ED315F"/>
    <w:rsid w:val="57097D04"/>
    <w:rsid w:val="572F1F45"/>
    <w:rsid w:val="574C257C"/>
    <w:rsid w:val="5805272B"/>
    <w:rsid w:val="5846521D"/>
    <w:rsid w:val="586C27AA"/>
    <w:rsid w:val="58CD2F90"/>
    <w:rsid w:val="58F92290"/>
    <w:rsid w:val="58FC79B5"/>
    <w:rsid w:val="59372DB8"/>
    <w:rsid w:val="595102A8"/>
    <w:rsid w:val="5954428A"/>
    <w:rsid w:val="595C637A"/>
    <w:rsid w:val="59771406"/>
    <w:rsid w:val="597E1037"/>
    <w:rsid w:val="59871B46"/>
    <w:rsid w:val="59A20A41"/>
    <w:rsid w:val="59C457E9"/>
    <w:rsid w:val="59C56616"/>
    <w:rsid w:val="59D148D4"/>
    <w:rsid w:val="5A160930"/>
    <w:rsid w:val="5A4126B8"/>
    <w:rsid w:val="5A581238"/>
    <w:rsid w:val="5A750793"/>
    <w:rsid w:val="5A9F428D"/>
    <w:rsid w:val="5ABA5A4E"/>
    <w:rsid w:val="5ABD1549"/>
    <w:rsid w:val="5B50627E"/>
    <w:rsid w:val="5BAA161F"/>
    <w:rsid w:val="5BB126B0"/>
    <w:rsid w:val="5BF54764"/>
    <w:rsid w:val="5C4C7549"/>
    <w:rsid w:val="5C590598"/>
    <w:rsid w:val="5C7F0CFE"/>
    <w:rsid w:val="5C8B76A2"/>
    <w:rsid w:val="5D4C28ED"/>
    <w:rsid w:val="5D780D91"/>
    <w:rsid w:val="5D885990"/>
    <w:rsid w:val="5DAA35EC"/>
    <w:rsid w:val="5E053485"/>
    <w:rsid w:val="5E357F05"/>
    <w:rsid w:val="5E601EA5"/>
    <w:rsid w:val="5EA904F7"/>
    <w:rsid w:val="5EC7698C"/>
    <w:rsid w:val="5EFD4B93"/>
    <w:rsid w:val="5F463D55"/>
    <w:rsid w:val="5F693700"/>
    <w:rsid w:val="5FA82A0A"/>
    <w:rsid w:val="5FBE6FD9"/>
    <w:rsid w:val="5FC133DB"/>
    <w:rsid w:val="5FE4008C"/>
    <w:rsid w:val="60223F69"/>
    <w:rsid w:val="60495B77"/>
    <w:rsid w:val="6051068D"/>
    <w:rsid w:val="60697740"/>
    <w:rsid w:val="60A9016E"/>
    <w:rsid w:val="60B42F40"/>
    <w:rsid w:val="611C318D"/>
    <w:rsid w:val="61231614"/>
    <w:rsid w:val="616059D8"/>
    <w:rsid w:val="61952A3A"/>
    <w:rsid w:val="61EC71A5"/>
    <w:rsid w:val="61F061FA"/>
    <w:rsid w:val="623A0D8C"/>
    <w:rsid w:val="62402CDD"/>
    <w:rsid w:val="624955E0"/>
    <w:rsid w:val="62886432"/>
    <w:rsid w:val="62C86F60"/>
    <w:rsid w:val="62F75C80"/>
    <w:rsid w:val="6305507B"/>
    <w:rsid w:val="631B7BBC"/>
    <w:rsid w:val="63924D51"/>
    <w:rsid w:val="63C55447"/>
    <w:rsid w:val="63FA6EBC"/>
    <w:rsid w:val="649B5907"/>
    <w:rsid w:val="64E72E8B"/>
    <w:rsid w:val="64F733FB"/>
    <w:rsid w:val="651309BF"/>
    <w:rsid w:val="654A0829"/>
    <w:rsid w:val="65A25ECB"/>
    <w:rsid w:val="65CC6636"/>
    <w:rsid w:val="65E66EBF"/>
    <w:rsid w:val="65E97270"/>
    <w:rsid w:val="664E6AF4"/>
    <w:rsid w:val="666158E9"/>
    <w:rsid w:val="668931E4"/>
    <w:rsid w:val="66D2111A"/>
    <w:rsid w:val="66EF082E"/>
    <w:rsid w:val="673821D5"/>
    <w:rsid w:val="673A6D84"/>
    <w:rsid w:val="67560922"/>
    <w:rsid w:val="677865EE"/>
    <w:rsid w:val="67A37D24"/>
    <w:rsid w:val="67CD660C"/>
    <w:rsid w:val="67FB6640"/>
    <w:rsid w:val="68072EB4"/>
    <w:rsid w:val="69085BD7"/>
    <w:rsid w:val="69195E08"/>
    <w:rsid w:val="697D4DD7"/>
    <w:rsid w:val="69F66DCA"/>
    <w:rsid w:val="69F80494"/>
    <w:rsid w:val="6A18228A"/>
    <w:rsid w:val="6A3A44B6"/>
    <w:rsid w:val="6A5C3994"/>
    <w:rsid w:val="6A651713"/>
    <w:rsid w:val="6A654986"/>
    <w:rsid w:val="6A7F531D"/>
    <w:rsid w:val="6A86769D"/>
    <w:rsid w:val="6ABC6AA2"/>
    <w:rsid w:val="6AFC79BD"/>
    <w:rsid w:val="6B3C7DBA"/>
    <w:rsid w:val="6B4D55BD"/>
    <w:rsid w:val="6B853477"/>
    <w:rsid w:val="6BDA3F0C"/>
    <w:rsid w:val="6BFC369B"/>
    <w:rsid w:val="6C757A27"/>
    <w:rsid w:val="6D0D7C60"/>
    <w:rsid w:val="6D314804"/>
    <w:rsid w:val="6D4D2752"/>
    <w:rsid w:val="6D8522FB"/>
    <w:rsid w:val="6DC65779"/>
    <w:rsid w:val="6DD1099D"/>
    <w:rsid w:val="6DE31A1D"/>
    <w:rsid w:val="6DE6174A"/>
    <w:rsid w:val="6DF7098F"/>
    <w:rsid w:val="6E0E0133"/>
    <w:rsid w:val="6E404345"/>
    <w:rsid w:val="6E571528"/>
    <w:rsid w:val="6E625D89"/>
    <w:rsid w:val="6EB24E96"/>
    <w:rsid w:val="6EB53936"/>
    <w:rsid w:val="6EB74327"/>
    <w:rsid w:val="6EC72090"/>
    <w:rsid w:val="6F061F74"/>
    <w:rsid w:val="6F411E43"/>
    <w:rsid w:val="6F873675"/>
    <w:rsid w:val="6FD54C31"/>
    <w:rsid w:val="6FEE488F"/>
    <w:rsid w:val="701360DB"/>
    <w:rsid w:val="702E1FD5"/>
    <w:rsid w:val="704C6791"/>
    <w:rsid w:val="704D3137"/>
    <w:rsid w:val="70731E76"/>
    <w:rsid w:val="70C60851"/>
    <w:rsid w:val="70D32F6E"/>
    <w:rsid w:val="70DA1A4D"/>
    <w:rsid w:val="70E76DCF"/>
    <w:rsid w:val="71156856"/>
    <w:rsid w:val="7148570A"/>
    <w:rsid w:val="71A32F04"/>
    <w:rsid w:val="71DB5A05"/>
    <w:rsid w:val="71F94808"/>
    <w:rsid w:val="72EE0533"/>
    <w:rsid w:val="732950C8"/>
    <w:rsid w:val="735071F1"/>
    <w:rsid w:val="73730004"/>
    <w:rsid w:val="73A86934"/>
    <w:rsid w:val="73C571E6"/>
    <w:rsid w:val="73ED13D6"/>
    <w:rsid w:val="74640AAD"/>
    <w:rsid w:val="74890514"/>
    <w:rsid w:val="749E3893"/>
    <w:rsid w:val="74E27C24"/>
    <w:rsid w:val="75120F9A"/>
    <w:rsid w:val="753D12FE"/>
    <w:rsid w:val="75490E47"/>
    <w:rsid w:val="754B3A1B"/>
    <w:rsid w:val="759C2B2C"/>
    <w:rsid w:val="75FC2F67"/>
    <w:rsid w:val="762B73A9"/>
    <w:rsid w:val="764F3097"/>
    <w:rsid w:val="76660782"/>
    <w:rsid w:val="769A71E1"/>
    <w:rsid w:val="76A40BE3"/>
    <w:rsid w:val="76C9762C"/>
    <w:rsid w:val="76E934EC"/>
    <w:rsid w:val="770B16B4"/>
    <w:rsid w:val="771F6F0D"/>
    <w:rsid w:val="77456248"/>
    <w:rsid w:val="775A7706"/>
    <w:rsid w:val="77B27D81"/>
    <w:rsid w:val="787E7941"/>
    <w:rsid w:val="78947487"/>
    <w:rsid w:val="78A31478"/>
    <w:rsid w:val="78A3200D"/>
    <w:rsid w:val="78B1738C"/>
    <w:rsid w:val="78DE471C"/>
    <w:rsid w:val="790A7530"/>
    <w:rsid w:val="790E7239"/>
    <w:rsid w:val="791528EE"/>
    <w:rsid w:val="796B2F7D"/>
    <w:rsid w:val="79C63670"/>
    <w:rsid w:val="7A021C83"/>
    <w:rsid w:val="7A024084"/>
    <w:rsid w:val="7A3D71EE"/>
    <w:rsid w:val="7A3F088C"/>
    <w:rsid w:val="7A481A23"/>
    <w:rsid w:val="7A9F41B4"/>
    <w:rsid w:val="7AAD2A82"/>
    <w:rsid w:val="7B086145"/>
    <w:rsid w:val="7B2C1BF9"/>
    <w:rsid w:val="7B43672B"/>
    <w:rsid w:val="7B503B39"/>
    <w:rsid w:val="7BAB6FC2"/>
    <w:rsid w:val="7BAE4C49"/>
    <w:rsid w:val="7BC8347A"/>
    <w:rsid w:val="7BD568B4"/>
    <w:rsid w:val="7BE2036B"/>
    <w:rsid w:val="7BFE7D17"/>
    <w:rsid w:val="7C541568"/>
    <w:rsid w:val="7CB2612E"/>
    <w:rsid w:val="7CBB09FD"/>
    <w:rsid w:val="7CF404F4"/>
    <w:rsid w:val="7D2708CA"/>
    <w:rsid w:val="7D3D633F"/>
    <w:rsid w:val="7DC77131"/>
    <w:rsid w:val="7E363E66"/>
    <w:rsid w:val="7E377FAC"/>
    <w:rsid w:val="7EA56E0E"/>
    <w:rsid w:val="7EC30170"/>
    <w:rsid w:val="7F36087E"/>
    <w:rsid w:val="7F3C0973"/>
    <w:rsid w:val="7F4339B5"/>
    <w:rsid w:val="7F8434D1"/>
    <w:rsid w:val="7FAD5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7"/>
    <w:autoRedefine/>
    <w:qFormat/>
    <w:uiPriority w:val="0"/>
    <w:pPr>
      <w:widowControl/>
      <w:wordWrap w:val="0"/>
      <w:spacing w:after="160"/>
      <w:ind w:left="1024"/>
      <w:outlineLvl w:val="0"/>
    </w:pPr>
    <w:rPr>
      <w:rFonts w:ascii="Times New Roman" w:hAnsi="Times New Roman" w:eastAsia="宋体" w:cs="Times New Roman"/>
      <w:kern w:val="0"/>
      <w:sz w:val="20"/>
      <w:szCs w:val="20"/>
    </w:rPr>
  </w:style>
  <w:style w:type="paragraph" w:styleId="3">
    <w:name w:val="heading 2"/>
    <w:basedOn w:val="1"/>
    <w:next w:val="1"/>
    <w:link w:val="58"/>
    <w:autoRedefine/>
    <w:qFormat/>
    <w:uiPriority w:val="0"/>
    <w:pPr>
      <w:widowControl/>
      <w:wordWrap w:val="0"/>
      <w:spacing w:after="160"/>
      <w:ind w:left="1024"/>
      <w:outlineLvl w:val="1"/>
    </w:pPr>
    <w:rPr>
      <w:rFonts w:ascii="Times New Roman" w:hAnsi="Times New Roman" w:eastAsia="宋体" w:cs="Times New Roman"/>
      <w:kern w:val="0"/>
      <w:sz w:val="20"/>
      <w:szCs w:val="20"/>
    </w:rPr>
  </w:style>
  <w:style w:type="paragraph" w:styleId="4">
    <w:name w:val="heading 3"/>
    <w:basedOn w:val="1"/>
    <w:next w:val="5"/>
    <w:link w:val="59"/>
    <w:autoRedefine/>
    <w:qFormat/>
    <w:uiPriority w:val="0"/>
    <w:pPr>
      <w:widowControl/>
      <w:wordWrap w:val="0"/>
      <w:spacing w:after="160"/>
      <w:ind w:left="1400" w:firstLine="1136"/>
      <w:outlineLvl w:val="2"/>
    </w:pPr>
    <w:rPr>
      <w:rFonts w:ascii="Times New Roman" w:hAnsi="Times New Roman" w:eastAsia="宋体" w:cs="Times New Roman"/>
      <w:kern w:val="0"/>
      <w:sz w:val="20"/>
      <w:szCs w:val="20"/>
    </w:rPr>
  </w:style>
  <w:style w:type="paragraph" w:styleId="6">
    <w:name w:val="heading 4"/>
    <w:basedOn w:val="1"/>
    <w:next w:val="1"/>
    <w:link w:val="60"/>
    <w:autoRedefine/>
    <w:qFormat/>
    <w:uiPriority w:val="0"/>
    <w:pPr>
      <w:wordWrap w:val="0"/>
      <w:spacing w:after="160"/>
      <w:ind w:left="1600" w:firstLine="2160"/>
      <w:outlineLvl w:val="3"/>
    </w:pPr>
    <w:rPr>
      <w:rFonts w:ascii="Times New Roman" w:hAnsi="Times New Roman" w:eastAsia="宋体" w:cs="Times New Roman"/>
    </w:rPr>
  </w:style>
  <w:style w:type="paragraph" w:styleId="7">
    <w:name w:val="heading 5"/>
    <w:next w:val="1"/>
    <w:link w:val="61"/>
    <w:autoRedefine/>
    <w:qFormat/>
    <w:uiPriority w:val="0"/>
    <w:pPr>
      <w:wordWrap w:val="0"/>
      <w:spacing w:after="160"/>
      <w:ind w:left="1800" w:firstLine="1136"/>
      <w:jc w:val="both"/>
      <w:outlineLvl w:val="4"/>
    </w:pPr>
    <w:rPr>
      <w:rFonts w:ascii="Times New Roman" w:hAnsi="Times New Roman" w:eastAsia="宋体" w:cs="Times New Roman"/>
      <w:lang w:val="en-US" w:eastAsia="zh-CN" w:bidi="ar-SA"/>
    </w:rPr>
  </w:style>
  <w:style w:type="paragraph" w:styleId="8">
    <w:name w:val="heading 6"/>
    <w:basedOn w:val="1"/>
    <w:next w:val="1"/>
    <w:link w:val="62"/>
    <w:autoRedefine/>
    <w:qFormat/>
    <w:uiPriority w:val="0"/>
    <w:pPr>
      <w:wordWrap w:val="0"/>
      <w:spacing w:after="160"/>
      <w:ind w:left="2000" w:firstLine="2160"/>
      <w:outlineLvl w:val="5"/>
    </w:pPr>
    <w:rPr>
      <w:rFonts w:ascii="Times New Roman" w:hAnsi="Times New Roman" w:eastAsia="宋体" w:cs="Times New Roman"/>
    </w:rPr>
  </w:style>
  <w:style w:type="paragraph" w:styleId="9">
    <w:name w:val="heading 7"/>
    <w:next w:val="1"/>
    <w:link w:val="63"/>
    <w:autoRedefine/>
    <w:qFormat/>
    <w:uiPriority w:val="0"/>
    <w:pPr>
      <w:wordWrap w:val="0"/>
      <w:spacing w:after="160"/>
      <w:ind w:left="2200" w:firstLine="1136"/>
      <w:jc w:val="both"/>
      <w:outlineLvl w:val="6"/>
    </w:pPr>
    <w:rPr>
      <w:rFonts w:ascii="Times New Roman" w:hAnsi="Times New Roman" w:eastAsia="宋体" w:cs="Times New Roman"/>
      <w:lang w:val="en-US" w:eastAsia="zh-CN" w:bidi="ar-SA"/>
    </w:rPr>
  </w:style>
  <w:style w:type="paragraph" w:styleId="10">
    <w:name w:val="heading 8"/>
    <w:next w:val="1"/>
    <w:link w:val="64"/>
    <w:autoRedefine/>
    <w:qFormat/>
    <w:uiPriority w:val="0"/>
    <w:pPr>
      <w:wordWrap w:val="0"/>
      <w:spacing w:after="160"/>
      <w:ind w:left="2400" w:firstLine="1136"/>
      <w:jc w:val="both"/>
      <w:outlineLvl w:val="7"/>
    </w:pPr>
    <w:rPr>
      <w:rFonts w:ascii="Times New Roman" w:hAnsi="Times New Roman" w:eastAsia="宋体" w:cs="Times New Roman"/>
      <w:lang w:val="en-US" w:eastAsia="zh-CN" w:bidi="ar-SA"/>
    </w:rPr>
  </w:style>
  <w:style w:type="paragraph" w:styleId="11">
    <w:name w:val="heading 9"/>
    <w:next w:val="1"/>
    <w:link w:val="65"/>
    <w:autoRedefine/>
    <w:qFormat/>
    <w:uiPriority w:val="0"/>
    <w:pPr>
      <w:wordWrap w:val="0"/>
      <w:spacing w:after="160"/>
      <w:ind w:left="2600" w:firstLine="1136"/>
      <w:jc w:val="both"/>
      <w:outlineLvl w:val="8"/>
    </w:pPr>
    <w:rPr>
      <w:rFonts w:ascii="Times New Roman" w:hAnsi="Times New Roman" w:eastAsia="宋体" w:cs="Times New Roman"/>
      <w:lang w:val="en-US" w:eastAsia="zh-CN" w:bidi="ar-SA"/>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wordWrap w:val="0"/>
      <w:ind w:left="1096"/>
    </w:pPr>
    <w:rPr>
      <w:rFonts w:ascii="Times New Roman" w:hAnsi="Times New Roman" w:eastAsia="宋体" w:cs="Times New Roman"/>
      <w:kern w:val="0"/>
      <w:sz w:val="20"/>
      <w:szCs w:val="20"/>
    </w:rPr>
  </w:style>
  <w:style w:type="paragraph" w:styleId="12">
    <w:name w:val="toc 7"/>
    <w:next w:val="1"/>
    <w:autoRedefine/>
    <w:qFormat/>
    <w:uiPriority w:val="0"/>
    <w:pPr>
      <w:wordWrap w:val="0"/>
      <w:ind w:left="1101"/>
      <w:jc w:val="both"/>
    </w:pPr>
    <w:rPr>
      <w:rFonts w:ascii="Times New Roman" w:hAnsi="Times New Roman" w:eastAsia="宋体" w:cs="Times New Roman"/>
      <w:lang w:val="en-US" w:eastAsia="zh-CN" w:bidi="ar-SA"/>
    </w:rPr>
  </w:style>
  <w:style w:type="paragraph" w:styleId="13">
    <w:name w:val="annotation text"/>
    <w:basedOn w:val="1"/>
    <w:qFormat/>
    <w:uiPriority w:val="0"/>
    <w:pPr>
      <w:jc w:val="left"/>
    </w:pPr>
  </w:style>
  <w:style w:type="paragraph" w:styleId="14">
    <w:name w:val="Body Text 3"/>
    <w:basedOn w:val="1"/>
    <w:qFormat/>
    <w:uiPriority w:val="0"/>
    <w:pPr>
      <w:widowControl/>
      <w:spacing w:line="360" w:lineRule="auto"/>
    </w:pPr>
    <w:rPr>
      <w:rFonts w:ascii="仿宋_GB2312" w:hAnsi="Calibri" w:eastAsia="仿宋_GB2312"/>
      <w:sz w:val="24"/>
      <w:szCs w:val="20"/>
    </w:rPr>
  </w:style>
  <w:style w:type="paragraph" w:styleId="15">
    <w:name w:val="Body Text"/>
    <w:basedOn w:val="1"/>
    <w:link w:val="73"/>
    <w:autoRedefine/>
    <w:qFormat/>
    <w:uiPriority w:val="99"/>
    <w:pPr>
      <w:widowControl/>
      <w:wordWrap w:val="0"/>
      <w:autoSpaceDE w:val="0"/>
      <w:autoSpaceDN w:val="0"/>
      <w:adjustRightInd w:val="0"/>
      <w:spacing w:line="300" w:lineRule="auto"/>
      <w:ind w:left="1024" w:firstLine="422" w:firstLineChars="200"/>
    </w:pPr>
    <w:rPr>
      <w:rFonts w:ascii="宋体" w:hAnsi="宋体" w:eastAsia="宋体" w:cs="Times New Roman"/>
      <w:kern w:val="0"/>
      <w:sz w:val="20"/>
      <w:szCs w:val="21"/>
      <w:lang w:val="zh-CN"/>
    </w:rPr>
  </w:style>
  <w:style w:type="paragraph" w:styleId="16">
    <w:name w:val="Body Text Indent"/>
    <w:basedOn w:val="1"/>
    <w:next w:val="17"/>
    <w:link w:val="74"/>
    <w:autoRedefine/>
    <w:qFormat/>
    <w:uiPriority w:val="0"/>
    <w:pPr>
      <w:widowControl/>
      <w:wordWrap w:val="0"/>
      <w:spacing w:after="120"/>
      <w:ind w:left="420" w:leftChars="200"/>
    </w:pPr>
    <w:rPr>
      <w:rFonts w:ascii="Times New Roman" w:hAnsi="Times New Roman" w:eastAsia="宋体" w:cs="Times New Roman"/>
      <w:kern w:val="0"/>
      <w:sz w:val="20"/>
      <w:szCs w:val="20"/>
    </w:rPr>
  </w:style>
  <w:style w:type="paragraph" w:styleId="17">
    <w:name w:val="Body Text First Indent 2"/>
    <w:basedOn w:val="16"/>
    <w:next w:val="18"/>
    <w:link w:val="77"/>
    <w:autoRedefine/>
    <w:qFormat/>
    <w:uiPriority w:val="0"/>
    <w:pPr>
      <w:ind w:firstLine="420" w:firstLineChars="200"/>
    </w:pPr>
  </w:style>
  <w:style w:type="paragraph" w:customStyle="1" w:styleId="18">
    <w:name w:val="样式 正文首行缩进 2 + Arial"/>
    <w:basedOn w:val="1"/>
    <w:next w:val="1"/>
    <w:qFormat/>
    <w:uiPriority w:val="0"/>
    <w:pPr>
      <w:spacing w:after="120" w:line="320" w:lineRule="atLeast"/>
      <w:ind w:firstLine="200" w:firstLineChars="200"/>
    </w:pPr>
    <w:rPr>
      <w:rFonts w:ascii="Arial" w:hAnsi="Arial"/>
    </w:rPr>
  </w:style>
  <w:style w:type="paragraph" w:styleId="19">
    <w:name w:val="Block Text"/>
    <w:basedOn w:val="1"/>
    <w:autoRedefine/>
    <w:qFormat/>
    <w:uiPriority w:val="0"/>
    <w:pPr>
      <w:spacing w:after="120"/>
      <w:ind w:left="1440" w:leftChars="700" w:right="1440" w:rightChars="700"/>
    </w:pPr>
    <w:rPr>
      <w:rFonts w:ascii="Calibri" w:hAnsi="Calibri"/>
      <w:szCs w:val="24"/>
    </w:rPr>
  </w:style>
  <w:style w:type="paragraph" w:styleId="20">
    <w:name w:val="toc 5"/>
    <w:next w:val="1"/>
    <w:autoRedefine/>
    <w:qFormat/>
    <w:uiPriority w:val="0"/>
    <w:pPr>
      <w:wordWrap w:val="0"/>
      <w:ind w:left="1275"/>
      <w:jc w:val="both"/>
    </w:pPr>
    <w:rPr>
      <w:rFonts w:ascii="Times New Roman" w:hAnsi="Times New Roman" w:eastAsia="宋体" w:cs="Times New Roman"/>
      <w:lang w:val="en-US" w:eastAsia="zh-CN" w:bidi="ar-SA"/>
    </w:rPr>
  </w:style>
  <w:style w:type="paragraph" w:styleId="21">
    <w:name w:val="toc 3"/>
    <w:basedOn w:val="1"/>
    <w:next w:val="1"/>
    <w:autoRedefine/>
    <w:qFormat/>
    <w:uiPriority w:val="0"/>
    <w:pPr>
      <w:wordWrap w:val="0"/>
      <w:ind w:left="1193"/>
    </w:pPr>
    <w:rPr>
      <w:rFonts w:ascii="Times New Roman" w:hAnsi="Times New Roman" w:eastAsia="宋体" w:cs="Times New Roman"/>
      <w:kern w:val="0"/>
      <w:sz w:val="20"/>
      <w:szCs w:val="20"/>
    </w:rPr>
  </w:style>
  <w:style w:type="paragraph" w:styleId="22">
    <w:name w:val="Plain Text"/>
    <w:basedOn w:val="1"/>
    <w:next w:val="1"/>
    <w:link w:val="72"/>
    <w:autoRedefine/>
    <w:qFormat/>
    <w:uiPriority w:val="0"/>
    <w:pPr>
      <w:widowControl/>
      <w:wordWrap w:val="0"/>
      <w:ind w:left="1024"/>
    </w:pPr>
    <w:rPr>
      <w:rFonts w:ascii="宋体" w:hAnsi="Courier New" w:eastAsia="宋体" w:cs="Times New Roman"/>
      <w:kern w:val="0"/>
      <w:sz w:val="20"/>
      <w:szCs w:val="20"/>
    </w:rPr>
  </w:style>
  <w:style w:type="paragraph" w:styleId="23">
    <w:name w:val="toc 8"/>
    <w:next w:val="1"/>
    <w:autoRedefine/>
    <w:qFormat/>
    <w:uiPriority w:val="0"/>
    <w:pPr>
      <w:wordWrap w:val="0"/>
      <w:ind w:left="1270"/>
      <w:jc w:val="both"/>
    </w:pPr>
    <w:rPr>
      <w:rFonts w:ascii="Times New Roman" w:hAnsi="Times New Roman" w:eastAsia="宋体" w:cs="Times New Roman"/>
      <w:lang w:val="en-US" w:eastAsia="zh-CN" w:bidi="ar-SA"/>
    </w:rPr>
  </w:style>
  <w:style w:type="paragraph" w:styleId="24">
    <w:name w:val="Date"/>
    <w:basedOn w:val="1"/>
    <w:next w:val="1"/>
    <w:autoRedefine/>
    <w:qFormat/>
    <w:uiPriority w:val="0"/>
    <w:pPr>
      <w:adjustRightInd w:val="0"/>
      <w:spacing w:line="312" w:lineRule="atLeast"/>
    </w:pPr>
    <w:rPr>
      <w:rFonts w:ascii="仿宋_GB2312" w:eastAsia="仿宋_GB2312"/>
      <w:kern w:val="0"/>
      <w:sz w:val="28"/>
      <w:szCs w:val="20"/>
    </w:rPr>
  </w:style>
  <w:style w:type="paragraph" w:styleId="25">
    <w:name w:val="Body Text Indent 2"/>
    <w:basedOn w:val="1"/>
    <w:next w:val="26"/>
    <w:link w:val="75"/>
    <w:autoRedefine/>
    <w:qFormat/>
    <w:uiPriority w:val="0"/>
    <w:pPr>
      <w:widowControl/>
      <w:wordWrap w:val="0"/>
      <w:snapToGrid w:val="0"/>
      <w:spacing w:line="400" w:lineRule="exact"/>
      <w:ind w:left="1024" w:firstLine="480"/>
    </w:pPr>
    <w:rPr>
      <w:rFonts w:ascii="Times New Roman" w:hAnsi="Times New Roman" w:eastAsia="仿宋_GB2312" w:cs="Times New Roman"/>
      <w:kern w:val="0"/>
      <w:sz w:val="24"/>
      <w:szCs w:val="20"/>
    </w:rPr>
  </w:style>
  <w:style w:type="paragraph" w:styleId="26">
    <w:name w:val="Body Text First Indent"/>
    <w:basedOn w:val="15"/>
    <w:next w:val="1"/>
    <w:autoRedefine/>
    <w:qFormat/>
    <w:uiPriority w:val="0"/>
    <w:pPr>
      <w:spacing w:after="120" w:line="240" w:lineRule="auto"/>
      <w:ind w:firstLine="420" w:firstLineChars="100"/>
    </w:pPr>
    <w:rPr>
      <w:rFonts w:ascii="Times New Roman"/>
      <w:sz w:val="21"/>
    </w:rPr>
  </w:style>
  <w:style w:type="paragraph" w:styleId="27">
    <w:name w:val="Balloon Text"/>
    <w:basedOn w:val="1"/>
    <w:link w:val="127"/>
    <w:autoRedefine/>
    <w:semiHidden/>
    <w:unhideWhenUsed/>
    <w:qFormat/>
    <w:uiPriority w:val="99"/>
    <w:rPr>
      <w:sz w:val="18"/>
      <w:szCs w:val="18"/>
    </w:rPr>
  </w:style>
  <w:style w:type="paragraph" w:styleId="28">
    <w:name w:val="footer"/>
    <w:basedOn w:val="1"/>
    <w:link w:val="52"/>
    <w:autoRedefine/>
    <w:unhideWhenUsed/>
    <w:qFormat/>
    <w:uiPriority w:val="99"/>
    <w:pPr>
      <w:tabs>
        <w:tab w:val="center" w:pos="4153"/>
        <w:tab w:val="right" w:pos="8306"/>
      </w:tabs>
      <w:snapToGrid w:val="0"/>
      <w:jc w:val="left"/>
    </w:pPr>
    <w:rPr>
      <w:sz w:val="18"/>
      <w:szCs w:val="18"/>
    </w:rPr>
  </w:style>
  <w:style w:type="paragraph" w:styleId="29">
    <w:name w:val="envelope return"/>
    <w:basedOn w:val="1"/>
    <w:qFormat/>
    <w:uiPriority w:val="0"/>
    <w:pPr>
      <w:snapToGrid w:val="0"/>
    </w:pPr>
    <w:rPr>
      <w:rFonts w:ascii="Arial" w:hAnsi="Arial"/>
    </w:rPr>
  </w:style>
  <w:style w:type="paragraph" w:styleId="30">
    <w:name w:val="header"/>
    <w:basedOn w:val="1"/>
    <w:link w:val="5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0"/>
    <w:pPr>
      <w:widowControl/>
      <w:wordWrap w:val="0"/>
      <w:ind w:left="1024"/>
    </w:pPr>
    <w:rPr>
      <w:rFonts w:ascii="Times New Roman" w:hAnsi="Times New Roman" w:eastAsia="宋体" w:cs="Times New Roman"/>
      <w:kern w:val="0"/>
      <w:sz w:val="20"/>
      <w:szCs w:val="20"/>
    </w:rPr>
  </w:style>
  <w:style w:type="paragraph" w:styleId="32">
    <w:name w:val="toc 4"/>
    <w:next w:val="1"/>
    <w:autoRedefine/>
    <w:qFormat/>
    <w:uiPriority w:val="0"/>
    <w:pPr>
      <w:wordWrap w:val="0"/>
      <w:ind w:left="1106"/>
      <w:jc w:val="both"/>
    </w:pPr>
    <w:rPr>
      <w:rFonts w:ascii="Times New Roman" w:hAnsi="Times New Roman" w:eastAsia="宋体" w:cs="Times New Roman"/>
      <w:lang w:val="en-US" w:eastAsia="zh-CN" w:bidi="ar-SA"/>
    </w:rPr>
  </w:style>
  <w:style w:type="paragraph" w:styleId="33">
    <w:name w:val="Subtitle"/>
    <w:next w:val="1"/>
    <w:link w:val="76"/>
    <w:autoRedefine/>
    <w:qFormat/>
    <w:uiPriority w:val="0"/>
    <w:pPr>
      <w:wordWrap w:val="0"/>
      <w:spacing w:after="60"/>
      <w:ind w:left="1024"/>
      <w:jc w:val="center"/>
    </w:pPr>
    <w:rPr>
      <w:rFonts w:ascii="Times New Roman" w:hAnsi="Times New Roman" w:eastAsia="宋体" w:cs="Times New Roman"/>
      <w:lang w:val="en-US" w:eastAsia="zh-CN" w:bidi="ar-SA"/>
    </w:rPr>
  </w:style>
  <w:style w:type="paragraph" w:styleId="34">
    <w:name w:val="List"/>
    <w:basedOn w:val="1"/>
    <w:qFormat/>
    <w:uiPriority w:val="0"/>
    <w:pPr>
      <w:ind w:left="200" w:hanging="200" w:hangingChars="200"/>
    </w:pPr>
  </w:style>
  <w:style w:type="paragraph" w:styleId="35">
    <w:name w:val="toc 6"/>
    <w:basedOn w:val="1"/>
    <w:next w:val="1"/>
    <w:autoRedefine/>
    <w:qFormat/>
    <w:uiPriority w:val="0"/>
    <w:pPr>
      <w:wordWrap w:val="0"/>
      <w:ind w:left="1188"/>
    </w:pPr>
    <w:rPr>
      <w:rFonts w:ascii="Times New Roman" w:hAnsi="Times New Roman" w:eastAsia="宋体" w:cs="Times New Roman"/>
    </w:rPr>
  </w:style>
  <w:style w:type="paragraph" w:styleId="36">
    <w:name w:val="Body Text Indent 3"/>
    <w:basedOn w:val="1"/>
    <w:autoRedefine/>
    <w:semiHidden/>
    <w:unhideWhenUsed/>
    <w:qFormat/>
    <w:uiPriority w:val="99"/>
    <w:pPr>
      <w:spacing w:after="120"/>
      <w:ind w:left="420" w:leftChars="200"/>
    </w:pPr>
    <w:rPr>
      <w:sz w:val="16"/>
      <w:szCs w:val="16"/>
    </w:rPr>
  </w:style>
  <w:style w:type="paragraph" w:styleId="37">
    <w:name w:val="toc 2"/>
    <w:basedOn w:val="1"/>
    <w:next w:val="1"/>
    <w:autoRedefine/>
    <w:qFormat/>
    <w:uiPriority w:val="0"/>
    <w:pPr>
      <w:wordWrap w:val="0"/>
      <w:ind w:left="1024"/>
    </w:pPr>
    <w:rPr>
      <w:rFonts w:ascii="Times New Roman" w:hAnsi="Times New Roman" w:eastAsia="宋体" w:cs="Times New Roman"/>
      <w:kern w:val="0"/>
      <w:sz w:val="20"/>
      <w:szCs w:val="20"/>
    </w:rPr>
  </w:style>
  <w:style w:type="paragraph" w:styleId="38">
    <w:name w:val="toc 9"/>
    <w:next w:val="1"/>
    <w:autoRedefine/>
    <w:qFormat/>
    <w:uiPriority w:val="0"/>
    <w:pPr>
      <w:wordWrap w:val="0"/>
      <w:ind w:left="1183"/>
      <w:jc w:val="both"/>
    </w:pPr>
    <w:rPr>
      <w:rFonts w:ascii="Times New Roman" w:hAnsi="Times New Roman" w:eastAsia="宋体" w:cs="Times New Roman"/>
      <w:lang w:val="en-US" w:eastAsia="zh-CN" w:bidi="ar-SA"/>
    </w:rPr>
  </w:style>
  <w:style w:type="paragraph" w:styleId="39">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40">
    <w:name w:val="Title"/>
    <w:basedOn w:val="1"/>
    <w:next w:val="1"/>
    <w:link w:val="78"/>
    <w:autoRedefine/>
    <w:qFormat/>
    <w:uiPriority w:val="0"/>
    <w:pPr>
      <w:widowControl/>
      <w:wordWrap w:val="0"/>
      <w:overflowPunct w:val="0"/>
      <w:autoSpaceDE w:val="0"/>
      <w:autoSpaceDN w:val="0"/>
      <w:adjustRightInd w:val="0"/>
      <w:spacing w:line="420" w:lineRule="exact"/>
      <w:ind w:left="1024"/>
      <w:jc w:val="center"/>
      <w:textAlignment w:val="baseline"/>
    </w:pPr>
    <w:rPr>
      <w:rFonts w:ascii="Times New Roman" w:hAnsi="Times New Roman" w:eastAsia="黑体" w:cs="Times New Roman"/>
      <w:b/>
      <w:kern w:val="0"/>
      <w:sz w:val="28"/>
      <w:szCs w:val="20"/>
      <w:lang w:val="en-GB"/>
    </w:rPr>
  </w:style>
  <w:style w:type="table" w:styleId="42">
    <w:name w:val="Table Grid"/>
    <w:basedOn w:val="4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0"/>
    <w:rPr>
      <w:b/>
      <w:bCs/>
    </w:rPr>
  </w:style>
  <w:style w:type="character" w:styleId="45">
    <w:name w:val="Emphasis"/>
    <w:autoRedefine/>
    <w:qFormat/>
    <w:uiPriority w:val="0"/>
    <w:rPr>
      <w:i/>
      <w:sz w:val="21"/>
    </w:rPr>
  </w:style>
  <w:style w:type="character" w:styleId="46">
    <w:name w:val="Hyperlink"/>
    <w:basedOn w:val="43"/>
    <w:autoRedefine/>
    <w:unhideWhenUsed/>
    <w:qFormat/>
    <w:uiPriority w:val="99"/>
    <w:rPr>
      <w:color w:val="0000FF"/>
      <w:u w:val="single"/>
    </w:rPr>
  </w:style>
  <w:style w:type="paragraph" w:customStyle="1" w:styleId="47">
    <w:name w:val="密级编号"/>
    <w:basedOn w:val="1"/>
    <w:next w:val="5"/>
    <w:autoRedefine/>
    <w:qFormat/>
    <w:uiPriority w:val="0"/>
    <w:pPr>
      <w:jc w:val="center"/>
    </w:pPr>
    <w:rPr>
      <w:rFonts w:ascii="仿宋_GB2312" w:hAnsi="Times New Roman" w:eastAsia="仿宋_GB2312" w:cs="Times New Roman"/>
      <w:sz w:val="24"/>
    </w:rPr>
  </w:style>
  <w:style w:type="paragraph" w:customStyle="1" w:styleId="48">
    <w:name w:val="正文（首行缩进2字符）"/>
    <w:basedOn w:val="1"/>
    <w:autoRedefine/>
    <w:qFormat/>
    <w:uiPriority w:val="0"/>
    <w:pPr>
      <w:spacing w:line="360" w:lineRule="auto"/>
      <w:ind w:firstLine="420" w:firstLineChars="200"/>
    </w:pPr>
    <w:rPr>
      <w:szCs w:val="21"/>
    </w:rPr>
  </w:style>
  <w:style w:type="paragraph" w:customStyle="1" w:styleId="49">
    <w:name w:val="首行缩进"/>
    <w:basedOn w:val="1"/>
    <w:autoRedefine/>
    <w:qFormat/>
    <w:uiPriority w:val="0"/>
    <w:pPr>
      <w:spacing w:line="360" w:lineRule="auto"/>
      <w:ind w:firstLine="480" w:firstLineChars="200"/>
      <w:jc w:val="left"/>
    </w:pPr>
    <w:rPr>
      <w:rFonts w:ascii="宋体" w:hAnsi="宋体"/>
      <w:sz w:val="24"/>
    </w:rPr>
  </w:style>
  <w:style w:type="paragraph" w:customStyle="1" w:styleId="50">
    <w:name w:val="一级标题"/>
    <w:basedOn w:val="1"/>
    <w:next w:val="15"/>
    <w:autoRedefine/>
    <w:qFormat/>
    <w:uiPriority w:val="0"/>
    <w:pPr>
      <w:outlineLvl w:val="0"/>
    </w:pPr>
    <w:rPr>
      <w:b/>
      <w:bCs/>
      <w:sz w:val="32"/>
    </w:rPr>
  </w:style>
  <w:style w:type="character" w:customStyle="1" w:styleId="51">
    <w:name w:val="页眉 Char"/>
    <w:basedOn w:val="43"/>
    <w:link w:val="30"/>
    <w:autoRedefine/>
    <w:semiHidden/>
    <w:qFormat/>
    <w:uiPriority w:val="99"/>
    <w:rPr>
      <w:sz w:val="18"/>
      <w:szCs w:val="18"/>
    </w:rPr>
  </w:style>
  <w:style w:type="character" w:customStyle="1" w:styleId="52">
    <w:name w:val="页脚 Char"/>
    <w:basedOn w:val="43"/>
    <w:link w:val="28"/>
    <w:autoRedefine/>
    <w:qFormat/>
    <w:uiPriority w:val="99"/>
    <w:rPr>
      <w:sz w:val="18"/>
      <w:szCs w:val="18"/>
    </w:rPr>
  </w:style>
  <w:style w:type="paragraph" w:customStyle="1" w:styleId="53">
    <w:name w:val="s-mid-content-date"/>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4">
    <w:name w:val="apple-converted-space"/>
    <w:basedOn w:val="43"/>
    <w:autoRedefine/>
    <w:qFormat/>
    <w:uiPriority w:val="0"/>
  </w:style>
  <w:style w:type="character" w:customStyle="1" w:styleId="55">
    <w:name w:val="bookmark-item"/>
    <w:basedOn w:val="43"/>
    <w:autoRedefine/>
    <w:qFormat/>
    <w:uiPriority w:val="0"/>
  </w:style>
  <w:style w:type="paragraph" w:customStyle="1" w:styleId="56">
    <w:name w:val="fjxx"/>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7">
    <w:name w:val="标题 1 Char"/>
    <w:basedOn w:val="43"/>
    <w:link w:val="2"/>
    <w:autoRedefine/>
    <w:qFormat/>
    <w:uiPriority w:val="0"/>
    <w:rPr>
      <w:rFonts w:ascii="Times New Roman" w:hAnsi="Times New Roman" w:eastAsia="宋体" w:cs="Times New Roman"/>
      <w:kern w:val="0"/>
      <w:sz w:val="20"/>
      <w:szCs w:val="20"/>
    </w:rPr>
  </w:style>
  <w:style w:type="character" w:customStyle="1" w:styleId="58">
    <w:name w:val="标题 2 Char"/>
    <w:basedOn w:val="43"/>
    <w:link w:val="3"/>
    <w:autoRedefine/>
    <w:qFormat/>
    <w:uiPriority w:val="0"/>
    <w:rPr>
      <w:rFonts w:ascii="Times New Roman" w:hAnsi="Times New Roman" w:eastAsia="宋体" w:cs="Times New Roman"/>
      <w:kern w:val="0"/>
      <w:sz w:val="20"/>
      <w:szCs w:val="20"/>
    </w:rPr>
  </w:style>
  <w:style w:type="character" w:customStyle="1" w:styleId="59">
    <w:name w:val="标题 3 Char"/>
    <w:basedOn w:val="43"/>
    <w:link w:val="4"/>
    <w:autoRedefine/>
    <w:qFormat/>
    <w:uiPriority w:val="0"/>
    <w:rPr>
      <w:rFonts w:ascii="Times New Roman" w:hAnsi="Times New Roman" w:eastAsia="宋体" w:cs="Times New Roman"/>
      <w:kern w:val="0"/>
      <w:sz w:val="20"/>
      <w:szCs w:val="20"/>
    </w:rPr>
  </w:style>
  <w:style w:type="character" w:customStyle="1" w:styleId="60">
    <w:name w:val="标题 4 Char"/>
    <w:basedOn w:val="43"/>
    <w:link w:val="6"/>
    <w:autoRedefine/>
    <w:qFormat/>
    <w:uiPriority w:val="0"/>
    <w:rPr>
      <w:rFonts w:ascii="Times New Roman" w:hAnsi="Times New Roman" w:eastAsia="宋体" w:cs="Times New Roman"/>
      <w:kern w:val="0"/>
      <w:sz w:val="20"/>
      <w:szCs w:val="20"/>
    </w:rPr>
  </w:style>
  <w:style w:type="character" w:customStyle="1" w:styleId="61">
    <w:name w:val="标题 5 Char"/>
    <w:basedOn w:val="43"/>
    <w:link w:val="7"/>
    <w:autoRedefine/>
    <w:qFormat/>
    <w:uiPriority w:val="0"/>
    <w:rPr>
      <w:rFonts w:ascii="Times New Roman" w:hAnsi="Times New Roman" w:eastAsia="宋体" w:cs="Times New Roman"/>
      <w:kern w:val="0"/>
      <w:sz w:val="20"/>
      <w:szCs w:val="20"/>
    </w:rPr>
  </w:style>
  <w:style w:type="character" w:customStyle="1" w:styleId="62">
    <w:name w:val="标题 6 Char"/>
    <w:basedOn w:val="43"/>
    <w:link w:val="8"/>
    <w:autoRedefine/>
    <w:qFormat/>
    <w:uiPriority w:val="0"/>
    <w:rPr>
      <w:rFonts w:ascii="Times New Roman" w:hAnsi="Times New Roman" w:eastAsia="宋体" w:cs="Times New Roman"/>
      <w:kern w:val="0"/>
      <w:sz w:val="20"/>
      <w:szCs w:val="20"/>
    </w:rPr>
  </w:style>
  <w:style w:type="character" w:customStyle="1" w:styleId="63">
    <w:name w:val="标题 7 Char"/>
    <w:basedOn w:val="43"/>
    <w:link w:val="9"/>
    <w:autoRedefine/>
    <w:qFormat/>
    <w:uiPriority w:val="0"/>
    <w:rPr>
      <w:rFonts w:ascii="Times New Roman" w:hAnsi="Times New Roman" w:eastAsia="宋体" w:cs="Times New Roman"/>
      <w:kern w:val="0"/>
      <w:sz w:val="20"/>
      <w:szCs w:val="20"/>
    </w:rPr>
  </w:style>
  <w:style w:type="character" w:customStyle="1" w:styleId="64">
    <w:name w:val="标题 8 Char"/>
    <w:basedOn w:val="43"/>
    <w:link w:val="10"/>
    <w:autoRedefine/>
    <w:qFormat/>
    <w:uiPriority w:val="0"/>
    <w:rPr>
      <w:rFonts w:ascii="Times New Roman" w:hAnsi="Times New Roman" w:eastAsia="宋体" w:cs="Times New Roman"/>
      <w:kern w:val="0"/>
      <w:sz w:val="20"/>
      <w:szCs w:val="20"/>
    </w:rPr>
  </w:style>
  <w:style w:type="character" w:customStyle="1" w:styleId="65">
    <w:name w:val="标题 9 Char"/>
    <w:basedOn w:val="43"/>
    <w:link w:val="11"/>
    <w:autoRedefine/>
    <w:qFormat/>
    <w:uiPriority w:val="0"/>
    <w:rPr>
      <w:rFonts w:ascii="Times New Roman" w:hAnsi="Times New Roman" w:eastAsia="宋体" w:cs="Times New Roman"/>
      <w:kern w:val="0"/>
      <w:sz w:val="20"/>
      <w:szCs w:val="20"/>
    </w:rPr>
  </w:style>
  <w:style w:type="character" w:customStyle="1" w:styleId="66">
    <w:name w:val="不明显参考1"/>
    <w:autoRedefine/>
    <w:qFormat/>
    <w:uiPriority w:val="0"/>
    <w:rPr>
      <w:color w:val="auto"/>
      <w:sz w:val="21"/>
    </w:rPr>
  </w:style>
  <w:style w:type="character" w:customStyle="1" w:styleId="67">
    <w:name w:val="不明显强调1"/>
    <w:autoRedefine/>
    <w:qFormat/>
    <w:uiPriority w:val="0"/>
    <w:rPr>
      <w:i/>
      <w:color w:val="auto"/>
      <w:sz w:val="21"/>
    </w:rPr>
  </w:style>
  <w:style w:type="character" w:customStyle="1" w:styleId="68">
    <w:name w:val="font21"/>
    <w:basedOn w:val="43"/>
    <w:autoRedefine/>
    <w:qFormat/>
    <w:uiPriority w:val="0"/>
    <w:rPr>
      <w:rFonts w:hint="eastAsia" w:ascii="宋体" w:hAnsi="宋体" w:eastAsia="宋体" w:cs="宋体"/>
      <w:color w:val="000000"/>
      <w:sz w:val="16"/>
      <w:szCs w:val="16"/>
      <w:u w:val="none"/>
    </w:rPr>
  </w:style>
  <w:style w:type="character" w:customStyle="1" w:styleId="69">
    <w:name w:val="明显参考1"/>
    <w:autoRedefine/>
    <w:qFormat/>
    <w:uiPriority w:val="0"/>
    <w:rPr>
      <w:b/>
      <w:color w:val="auto"/>
      <w:sz w:val="21"/>
    </w:rPr>
  </w:style>
  <w:style w:type="character" w:customStyle="1" w:styleId="70">
    <w:name w:val="明显强调1"/>
    <w:autoRedefine/>
    <w:qFormat/>
    <w:uiPriority w:val="0"/>
    <w:rPr>
      <w:i/>
      <w:color w:val="auto"/>
      <w:sz w:val="21"/>
    </w:rPr>
  </w:style>
  <w:style w:type="character" w:customStyle="1" w:styleId="71">
    <w:name w:val="书籍标题1"/>
    <w:autoRedefine/>
    <w:qFormat/>
    <w:uiPriority w:val="0"/>
    <w:rPr>
      <w:b/>
      <w:i/>
      <w:sz w:val="21"/>
    </w:rPr>
  </w:style>
  <w:style w:type="character" w:customStyle="1" w:styleId="72">
    <w:name w:val="纯文本 Char"/>
    <w:basedOn w:val="43"/>
    <w:link w:val="22"/>
    <w:autoRedefine/>
    <w:qFormat/>
    <w:uiPriority w:val="0"/>
    <w:rPr>
      <w:rFonts w:ascii="宋体" w:hAnsi="Courier New" w:eastAsia="宋体" w:cs="Times New Roman"/>
      <w:kern w:val="0"/>
      <w:sz w:val="20"/>
      <w:szCs w:val="20"/>
    </w:rPr>
  </w:style>
  <w:style w:type="character" w:customStyle="1" w:styleId="73">
    <w:name w:val="正文文本 Char"/>
    <w:basedOn w:val="43"/>
    <w:link w:val="15"/>
    <w:autoRedefine/>
    <w:qFormat/>
    <w:uiPriority w:val="99"/>
    <w:rPr>
      <w:rFonts w:ascii="宋体" w:hAnsi="宋体" w:eastAsia="宋体" w:cs="Times New Roman"/>
      <w:kern w:val="0"/>
      <w:sz w:val="20"/>
      <w:szCs w:val="21"/>
      <w:lang w:val="zh-CN"/>
    </w:rPr>
  </w:style>
  <w:style w:type="character" w:customStyle="1" w:styleId="74">
    <w:name w:val="正文文本缩进 Char"/>
    <w:basedOn w:val="43"/>
    <w:link w:val="16"/>
    <w:autoRedefine/>
    <w:qFormat/>
    <w:uiPriority w:val="0"/>
    <w:rPr>
      <w:rFonts w:ascii="Times New Roman" w:hAnsi="Times New Roman" w:eastAsia="宋体" w:cs="Times New Roman"/>
      <w:kern w:val="0"/>
      <w:sz w:val="20"/>
      <w:szCs w:val="20"/>
    </w:rPr>
  </w:style>
  <w:style w:type="character" w:customStyle="1" w:styleId="75">
    <w:name w:val="正文文本缩进 2 Char"/>
    <w:basedOn w:val="43"/>
    <w:link w:val="25"/>
    <w:autoRedefine/>
    <w:qFormat/>
    <w:uiPriority w:val="0"/>
    <w:rPr>
      <w:rFonts w:ascii="Times New Roman" w:hAnsi="Times New Roman" w:eastAsia="仿宋_GB2312" w:cs="Times New Roman"/>
      <w:kern w:val="0"/>
      <w:sz w:val="24"/>
      <w:szCs w:val="20"/>
    </w:rPr>
  </w:style>
  <w:style w:type="character" w:customStyle="1" w:styleId="76">
    <w:name w:val="副标题 Char"/>
    <w:basedOn w:val="43"/>
    <w:link w:val="33"/>
    <w:autoRedefine/>
    <w:qFormat/>
    <w:uiPriority w:val="0"/>
    <w:rPr>
      <w:rFonts w:ascii="Times New Roman" w:hAnsi="Times New Roman" w:eastAsia="宋体" w:cs="Times New Roman"/>
      <w:kern w:val="0"/>
      <w:sz w:val="20"/>
      <w:szCs w:val="20"/>
    </w:rPr>
  </w:style>
  <w:style w:type="character" w:customStyle="1" w:styleId="77">
    <w:name w:val="正文首行缩进 2 Char"/>
    <w:basedOn w:val="74"/>
    <w:link w:val="17"/>
    <w:autoRedefine/>
    <w:qFormat/>
    <w:uiPriority w:val="0"/>
    <w:rPr>
      <w:rFonts w:ascii="Times New Roman" w:hAnsi="Times New Roman" w:eastAsia="宋体" w:cs="Times New Roman"/>
      <w:kern w:val="0"/>
      <w:sz w:val="20"/>
      <w:szCs w:val="20"/>
    </w:rPr>
  </w:style>
  <w:style w:type="character" w:customStyle="1" w:styleId="78">
    <w:name w:val="标题 Char"/>
    <w:basedOn w:val="43"/>
    <w:link w:val="40"/>
    <w:autoRedefine/>
    <w:qFormat/>
    <w:uiPriority w:val="0"/>
    <w:rPr>
      <w:rFonts w:ascii="Times New Roman" w:hAnsi="Times New Roman" w:eastAsia="黑体" w:cs="Times New Roman"/>
      <w:b/>
      <w:kern w:val="0"/>
      <w:sz w:val="28"/>
      <w:szCs w:val="20"/>
      <w:lang w:val="en-GB"/>
    </w:rPr>
  </w:style>
  <w:style w:type="paragraph" w:customStyle="1" w:styleId="79">
    <w:name w:val="TOC 标题1"/>
    <w:next w:val="1"/>
    <w:autoRedefine/>
    <w:qFormat/>
    <w:uiPriority w:val="0"/>
    <w:pPr>
      <w:wordWrap w:val="0"/>
      <w:ind w:left="2560"/>
    </w:pPr>
    <w:rPr>
      <w:rFonts w:ascii="Times New Roman" w:hAnsi="Times New Roman" w:eastAsia="宋体" w:cs="Times New Roman"/>
      <w:lang w:val="en-US" w:eastAsia="zh-CN" w:bidi="ar-SA"/>
    </w:rPr>
  </w:style>
  <w:style w:type="paragraph" w:customStyle="1" w:styleId="80">
    <w:name w:val="正文_8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Char"/>
    <w:basedOn w:val="1"/>
    <w:autoRedefine/>
    <w:qFormat/>
    <w:uiPriority w:val="0"/>
    <w:pPr>
      <w:widowControl/>
      <w:wordWrap w:val="0"/>
      <w:ind w:left="1024"/>
    </w:pPr>
    <w:rPr>
      <w:rFonts w:ascii="Tahoma" w:hAnsi="Tahoma" w:eastAsia="宋体" w:cs="Times New Roman"/>
      <w:kern w:val="0"/>
      <w:sz w:val="24"/>
      <w:szCs w:val="20"/>
    </w:rPr>
  </w:style>
  <w:style w:type="paragraph" w:customStyle="1" w:styleId="83">
    <w:name w:val="Char_0"/>
    <w:basedOn w:val="84"/>
    <w:autoRedefine/>
    <w:qFormat/>
    <w:uiPriority w:val="0"/>
    <w:rPr>
      <w:rFonts w:ascii="Tahoma" w:hAnsi="Tahoma"/>
      <w:sz w:val="24"/>
      <w:szCs w:val="20"/>
    </w:rPr>
  </w:style>
  <w:style w:type="paragraph" w:customStyle="1" w:styleId="84">
    <w:name w:val="正文_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5">
    <w:name w:val="正文_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6">
    <w:name w:val="正文_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纯文本_0"/>
    <w:basedOn w:val="88"/>
    <w:autoRedefine/>
    <w:unhideWhenUsed/>
    <w:qFormat/>
    <w:uiPriority w:val="0"/>
    <w:pPr>
      <w:widowControl/>
      <w:wordWrap w:val="0"/>
      <w:ind w:left="1024"/>
    </w:pPr>
    <w:rPr>
      <w:rFonts w:ascii="宋体" w:hAnsi="Courier New"/>
      <w:kern w:val="0"/>
      <w:sz w:val="20"/>
      <w:szCs w:val="20"/>
    </w:rPr>
  </w:style>
  <w:style w:type="paragraph" w:customStyle="1" w:styleId="88">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列出段落1"/>
    <w:basedOn w:val="1"/>
    <w:next w:val="1"/>
    <w:autoRedefine/>
    <w:qFormat/>
    <w:uiPriority w:val="0"/>
    <w:pPr>
      <w:wordWrap w:val="0"/>
      <w:ind w:left="1106"/>
    </w:pPr>
    <w:rPr>
      <w:rFonts w:ascii="Times New Roman" w:hAnsi="Times New Roman" w:eastAsia="宋体" w:cs="Times New Roman"/>
      <w:kern w:val="0"/>
      <w:sz w:val="20"/>
      <w:szCs w:val="20"/>
    </w:rPr>
  </w:style>
  <w:style w:type="paragraph" w:customStyle="1" w:styleId="90">
    <w:name w:val="普通(网站)_0"/>
    <w:basedOn w:val="84"/>
    <w:autoRedefine/>
    <w:unhideWhenUsed/>
    <w:qFormat/>
    <w:uiPriority w:val="0"/>
    <w:pPr>
      <w:widowControl/>
      <w:wordWrap w:val="0"/>
      <w:spacing w:before="100" w:beforeAutospacing="1" w:after="100" w:afterAutospacing="1"/>
      <w:ind w:left="1024"/>
      <w:jc w:val="left"/>
    </w:pPr>
    <w:rPr>
      <w:rFonts w:ascii="宋体" w:hAnsi="宋体"/>
      <w:kern w:val="0"/>
      <w:sz w:val="24"/>
    </w:rPr>
  </w:style>
  <w:style w:type="paragraph" w:customStyle="1" w:styleId="91">
    <w:name w:val="引用1"/>
    <w:next w:val="1"/>
    <w:link w:val="92"/>
    <w:autoRedefine/>
    <w:qFormat/>
    <w:uiPriority w:val="0"/>
    <w:pPr>
      <w:wordWrap w:val="0"/>
      <w:spacing w:before="200" w:after="160"/>
      <w:ind w:left="3680" w:right="864"/>
      <w:jc w:val="center"/>
    </w:pPr>
    <w:rPr>
      <w:rFonts w:ascii="Times New Roman" w:hAnsi="Times New Roman" w:eastAsia="宋体" w:cs="Times New Roman"/>
      <w:i/>
      <w:lang w:val="en-US" w:eastAsia="zh-CN" w:bidi="ar-SA"/>
    </w:rPr>
  </w:style>
  <w:style w:type="character" w:customStyle="1" w:styleId="92">
    <w:name w:val="引用 字符"/>
    <w:basedOn w:val="43"/>
    <w:link w:val="91"/>
    <w:autoRedefine/>
    <w:qFormat/>
    <w:uiPriority w:val="0"/>
    <w:rPr>
      <w:rFonts w:ascii="Times New Roman" w:hAnsi="Times New Roman" w:eastAsia="宋体" w:cs="Times New Roman"/>
      <w:i/>
      <w:kern w:val="0"/>
      <w:sz w:val="20"/>
      <w:szCs w:val="20"/>
    </w:rPr>
  </w:style>
  <w:style w:type="paragraph" w:customStyle="1" w:styleId="93">
    <w:name w:val="*正文"/>
    <w:basedOn w:val="1"/>
    <w:autoRedefine/>
    <w:qFormat/>
    <w:uiPriority w:val="0"/>
    <w:pPr>
      <w:widowControl/>
      <w:wordWrap w:val="0"/>
      <w:ind w:left="1024" w:firstLine="200" w:firstLineChars="200"/>
      <w:contextualSpacing/>
    </w:pPr>
    <w:rPr>
      <w:rFonts w:ascii="宋体" w:hAnsi="Times New Roman" w:eastAsia="宋体" w:cs="Times New Roman"/>
      <w:kern w:val="0"/>
      <w:sz w:val="20"/>
      <w:szCs w:val="24"/>
      <w:lang w:bidi="en-US"/>
    </w:rPr>
  </w:style>
  <w:style w:type="paragraph" w:customStyle="1" w:styleId="94">
    <w:name w:val="明显引用1"/>
    <w:next w:val="1"/>
    <w:link w:val="95"/>
    <w:autoRedefine/>
    <w:qFormat/>
    <w:uiPriority w:val="0"/>
    <w:pPr>
      <w:wordWrap w:val="0"/>
      <w:spacing w:before="360" w:after="360"/>
      <w:ind w:left="3766" w:right="950"/>
      <w:jc w:val="center"/>
    </w:pPr>
    <w:rPr>
      <w:rFonts w:ascii="Times New Roman" w:hAnsi="Times New Roman" w:eastAsia="宋体" w:cs="Times New Roman"/>
      <w:i/>
      <w:lang w:val="en-US" w:eastAsia="zh-CN" w:bidi="ar-SA"/>
    </w:rPr>
  </w:style>
  <w:style w:type="character" w:customStyle="1" w:styleId="95">
    <w:name w:val="明显引用 字符"/>
    <w:basedOn w:val="43"/>
    <w:link w:val="94"/>
    <w:autoRedefine/>
    <w:qFormat/>
    <w:uiPriority w:val="0"/>
    <w:rPr>
      <w:rFonts w:ascii="Times New Roman" w:hAnsi="Times New Roman" w:eastAsia="宋体" w:cs="Times New Roman"/>
      <w:i/>
      <w:kern w:val="0"/>
      <w:sz w:val="20"/>
      <w:szCs w:val="20"/>
    </w:rPr>
  </w:style>
  <w:style w:type="paragraph" w:customStyle="1" w:styleId="96">
    <w:name w:val="Other|1"/>
    <w:basedOn w:val="1"/>
    <w:autoRedefine/>
    <w:qFormat/>
    <w:uiPriority w:val="0"/>
    <w:pPr>
      <w:widowControl/>
      <w:wordWrap w:val="0"/>
      <w:ind w:left="1024"/>
    </w:pPr>
    <w:rPr>
      <w:rFonts w:ascii="宋体" w:hAnsi="宋体" w:eastAsia="宋体" w:cs="宋体"/>
      <w:kern w:val="0"/>
      <w:sz w:val="19"/>
      <w:szCs w:val="19"/>
      <w:lang w:val="zh-CN" w:bidi="zh-CN"/>
    </w:rPr>
  </w:style>
  <w:style w:type="paragraph" w:customStyle="1" w:styleId="9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8">
    <w:name w:val="纯文本_3"/>
    <w:basedOn w:val="99"/>
    <w:autoRedefine/>
    <w:qFormat/>
    <w:uiPriority w:val="0"/>
    <w:rPr>
      <w:rFonts w:ascii="宋体" w:hAnsi="Courier New"/>
      <w:szCs w:val="20"/>
    </w:rPr>
  </w:style>
  <w:style w:type="paragraph" w:customStyle="1" w:styleId="99">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Table Paragraph"/>
    <w:basedOn w:val="1"/>
    <w:autoRedefine/>
    <w:qFormat/>
    <w:uiPriority w:val="1"/>
    <w:rPr>
      <w:rFonts w:ascii="仿宋" w:hAnsi="仿宋" w:eastAsia="仿宋" w:cs="仿宋"/>
      <w:lang w:val="zh-CN" w:bidi="zh-CN"/>
    </w:rPr>
  </w:style>
  <w:style w:type="paragraph" w:customStyle="1" w:styleId="101">
    <w:name w:val="纯文本_0_0"/>
    <w:basedOn w:val="81"/>
    <w:autoRedefine/>
    <w:qFormat/>
    <w:uiPriority w:val="0"/>
    <w:rPr>
      <w:rFonts w:ascii="宋体" w:hAnsi="Courier New"/>
      <w:szCs w:val="21"/>
    </w:rPr>
  </w:style>
  <w:style w:type="paragraph" w:customStyle="1" w:styleId="102">
    <w:name w:val="正文_8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
    <w:name w:val="正文_1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纯文本_1"/>
    <w:basedOn w:val="105"/>
    <w:autoRedefine/>
    <w:qFormat/>
    <w:uiPriority w:val="0"/>
    <w:rPr>
      <w:rFonts w:ascii="宋体" w:hAnsi="Courier New"/>
      <w:szCs w:val="20"/>
    </w:rPr>
  </w:style>
  <w:style w:type="paragraph" w:customStyle="1" w:styleId="10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正文_2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正文_1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
    <w:name w:val="正文_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纯文本1"/>
    <w:basedOn w:val="1"/>
    <w:autoRedefine/>
    <w:qFormat/>
    <w:uiPriority w:val="0"/>
    <w:pPr>
      <w:adjustRightInd w:val="0"/>
      <w:jc w:val="left"/>
    </w:pPr>
    <w:rPr>
      <w:rFonts w:ascii="宋体" w:hAnsi="Courier New"/>
      <w:sz w:val="24"/>
      <w:szCs w:val="20"/>
    </w:rPr>
  </w:style>
  <w:style w:type="character" w:customStyle="1" w:styleId="112">
    <w:name w:val="font91"/>
    <w:basedOn w:val="43"/>
    <w:autoRedefine/>
    <w:qFormat/>
    <w:uiPriority w:val="0"/>
    <w:rPr>
      <w:rFonts w:hint="eastAsia" w:ascii="宋体" w:hAnsi="宋体" w:eastAsia="宋体" w:cs="宋体"/>
      <w:color w:val="000000"/>
      <w:sz w:val="24"/>
      <w:szCs w:val="24"/>
      <w:u w:val="none"/>
    </w:rPr>
  </w:style>
  <w:style w:type="paragraph" w:customStyle="1" w:styleId="113">
    <w:name w:val="WPSOffice手动目录 1"/>
    <w:autoRedefine/>
    <w:qFormat/>
    <w:uiPriority w:val="0"/>
    <w:rPr>
      <w:rFonts w:ascii="Calibri" w:hAnsi="Calibri" w:eastAsia="宋体" w:cs="Times New Roman"/>
      <w:lang w:val="en-US" w:eastAsia="zh-CN" w:bidi="ar-SA"/>
    </w:rPr>
  </w:style>
  <w:style w:type="paragraph" w:customStyle="1" w:styleId="114">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115">
    <w:name w:val="UserStyle_0"/>
    <w:basedOn w:val="1"/>
    <w:next w:val="116"/>
    <w:autoRedefine/>
    <w:qFormat/>
    <w:uiPriority w:val="0"/>
    <w:pPr>
      <w:textAlignment w:val="baseline"/>
    </w:pPr>
    <w:rPr>
      <w:rFonts w:ascii="Calibri" w:hAnsi="Calibri" w:eastAsia="宋体" w:cs="Times New Roman"/>
      <w:b/>
      <w:bCs/>
      <w:sz w:val="32"/>
      <w:szCs w:val="24"/>
    </w:rPr>
  </w:style>
  <w:style w:type="paragraph" w:customStyle="1" w:styleId="116">
    <w:name w:val="BodyText"/>
    <w:basedOn w:val="1"/>
    <w:autoRedefine/>
    <w:qFormat/>
    <w:uiPriority w:val="0"/>
    <w:pPr>
      <w:jc w:val="center"/>
      <w:textAlignment w:val="baseline"/>
    </w:pPr>
    <w:rPr>
      <w:rFonts w:ascii="Calibri" w:hAnsi="Calibri" w:eastAsia="宋体"/>
      <w:sz w:val="44"/>
      <w:szCs w:val="20"/>
    </w:rPr>
  </w:style>
  <w:style w:type="character" w:customStyle="1" w:styleId="117">
    <w:name w:val="NormalCharacter"/>
    <w:autoRedefine/>
    <w:semiHidden/>
    <w:qFormat/>
    <w:uiPriority w:val="0"/>
    <w:rPr>
      <w:rFonts w:asciiTheme="minorHAnsi" w:hAnsiTheme="minorHAnsi" w:eastAsiaTheme="minorEastAsia" w:cstheme="minorBidi"/>
      <w:kern w:val="2"/>
      <w:sz w:val="21"/>
      <w:szCs w:val="22"/>
      <w:lang w:val="en-US" w:eastAsia="zh-CN" w:bidi="ar-SA"/>
    </w:rPr>
  </w:style>
  <w:style w:type="paragraph" w:customStyle="1" w:styleId="118">
    <w:name w:val="Heading1"/>
    <w:basedOn w:val="1"/>
    <w:next w:val="1"/>
    <w:autoRedefine/>
    <w:qFormat/>
    <w:uiPriority w:val="0"/>
    <w:pPr>
      <w:spacing w:beforeAutospacing="1" w:afterAutospacing="1"/>
      <w:jc w:val="left"/>
      <w:textAlignment w:val="baseline"/>
    </w:pPr>
    <w:rPr>
      <w:rFonts w:ascii="宋体" w:hAnsi="宋体" w:eastAsia="宋体"/>
      <w:b/>
      <w:kern w:val="44"/>
      <w:sz w:val="48"/>
      <w:szCs w:val="48"/>
    </w:rPr>
  </w:style>
  <w:style w:type="paragraph" w:customStyle="1" w:styleId="119">
    <w:name w:val="Heading2"/>
    <w:basedOn w:val="1"/>
    <w:next w:val="1"/>
    <w:autoRedefine/>
    <w:qFormat/>
    <w:uiPriority w:val="0"/>
    <w:pPr>
      <w:keepNext/>
      <w:keepLines/>
      <w:spacing w:line="360" w:lineRule="auto"/>
      <w:textAlignment w:val="baseline"/>
    </w:pPr>
    <w:rPr>
      <w:rFonts w:ascii="Cambria" w:hAnsi="Cambria" w:eastAsia="宋体" w:cs="Times New Roman"/>
      <w:b/>
      <w:bCs/>
      <w:sz w:val="28"/>
      <w:szCs w:val="32"/>
    </w:rPr>
  </w:style>
  <w:style w:type="paragraph" w:customStyle="1" w:styleId="120">
    <w:name w:val="正文ok"/>
    <w:autoRedefine/>
    <w:qFormat/>
    <w:uiPriority w:val="0"/>
    <w:pPr>
      <w:spacing w:line="360" w:lineRule="auto"/>
      <w:ind w:firstLine="200" w:firstLineChars="200"/>
    </w:pPr>
    <w:rPr>
      <w:rFonts w:ascii="宋体" w:hAnsi="Times New Roman" w:eastAsia="宋体" w:cs="宋体"/>
      <w:sz w:val="24"/>
      <w:lang w:val="en-US" w:eastAsia="zh-CN" w:bidi="ar-SA"/>
    </w:rPr>
  </w:style>
  <w:style w:type="paragraph" w:customStyle="1" w:styleId="121">
    <w:name w:val="xl35"/>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szCs w:val="24"/>
    </w:rPr>
  </w:style>
  <w:style w:type="character" w:customStyle="1" w:styleId="122">
    <w:name w:val="Char Char1"/>
    <w:autoRedefine/>
    <w:qFormat/>
    <w:uiPriority w:val="0"/>
    <w:rPr>
      <w:rFonts w:ascii="Times New Roman" w:hAnsi="Times New Roman" w:eastAsia="宋体"/>
      <w:color w:val="auto"/>
      <w:kern w:val="2"/>
      <w:sz w:val="18"/>
      <w:szCs w:val="24"/>
      <w:lang w:val="en-US" w:eastAsia="zh-CN"/>
    </w:rPr>
  </w:style>
  <w:style w:type="paragraph" w:customStyle="1" w:styleId="123">
    <w:name w:val="_Style 14"/>
    <w:basedOn w:val="1"/>
    <w:next w:val="89"/>
    <w:autoRedefine/>
    <w:qFormat/>
    <w:uiPriority w:val="99"/>
    <w:pPr>
      <w:spacing w:line="360" w:lineRule="auto"/>
      <w:ind w:firstLine="420" w:firstLineChars="200"/>
    </w:pPr>
    <w:rPr>
      <w:rFonts w:ascii="等线" w:hAnsi="等线" w:eastAsia="等线"/>
      <w:sz w:val="24"/>
    </w:rPr>
  </w:style>
  <w:style w:type="character" w:customStyle="1" w:styleId="124">
    <w:name w:val="Char Char5"/>
    <w:autoRedefine/>
    <w:qFormat/>
    <w:uiPriority w:val="0"/>
    <w:rPr>
      <w:rFonts w:ascii="Times New Roman" w:hAnsi="Times New Roman" w:eastAsia="宋体"/>
      <w:color w:val="auto"/>
      <w:kern w:val="2"/>
      <w:sz w:val="21"/>
      <w:szCs w:val="24"/>
      <w:lang w:val="en-US" w:eastAsia="zh-CN"/>
    </w:rPr>
  </w:style>
  <w:style w:type="paragraph" w:customStyle="1" w:styleId="125">
    <w:name w:val="正文1"/>
    <w:next w:val="1"/>
    <w:autoRedefine/>
    <w:qFormat/>
    <w:uiPriority w:val="0"/>
    <w:pPr>
      <w:widowControl w:val="0"/>
      <w:adjustRightInd w:val="0"/>
      <w:spacing w:line="240" w:lineRule="atLeast"/>
      <w:jc w:val="both"/>
    </w:pPr>
    <w:rPr>
      <w:rFonts w:ascii="宋体" w:hAnsi="Times New Roman" w:eastAsia="宋体" w:cs="Times New Roman"/>
      <w:sz w:val="34"/>
      <w:lang w:val="en-US" w:eastAsia="zh-CN" w:bidi="ar-SA"/>
    </w:rPr>
  </w:style>
  <w:style w:type="paragraph" w:customStyle="1" w:styleId="126">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27">
    <w:name w:val="批注框文本 Char"/>
    <w:basedOn w:val="43"/>
    <w:link w:val="27"/>
    <w:autoRedefine/>
    <w:semiHidden/>
    <w:qFormat/>
    <w:uiPriority w:val="99"/>
    <w:rPr>
      <w:rFonts w:asciiTheme="minorHAnsi" w:hAnsiTheme="minorHAnsi" w:eastAsiaTheme="minorEastAsia" w:cstheme="minorBidi"/>
      <w:kern w:val="2"/>
      <w:sz w:val="18"/>
      <w:szCs w:val="18"/>
    </w:rPr>
  </w:style>
  <w:style w:type="paragraph" w:customStyle="1" w:styleId="128">
    <w:name w:val="正文缩进1"/>
    <w:basedOn w:val="1"/>
    <w:autoRedefine/>
    <w:qFormat/>
    <w:uiPriority w:val="0"/>
    <w:pPr>
      <w:autoSpaceDE w:val="0"/>
      <w:autoSpaceDN w:val="0"/>
      <w:adjustRightInd w:val="0"/>
      <w:ind w:firstLine="420"/>
      <w:jc w:val="left"/>
    </w:pPr>
    <w:rPr>
      <w:rFonts w:ascii="宋体" w:hAnsi="Times New Roman"/>
      <w:kern w:val="0"/>
      <w:sz w:val="24"/>
      <w:szCs w:val="20"/>
    </w:rPr>
  </w:style>
  <w:style w:type="paragraph" w:customStyle="1" w:styleId="129">
    <w:name w:val="索引 11"/>
    <w:basedOn w:val="1"/>
    <w:next w:val="1"/>
    <w:autoRedefine/>
    <w:qFormat/>
    <w:uiPriority w:val="0"/>
    <w:pPr>
      <w:spacing w:line="360" w:lineRule="auto"/>
    </w:pPr>
    <w:rPr>
      <w:rFonts w:ascii="仿宋_GB2312" w:hAnsi="Times New Roman" w:eastAsia="仿宋_GB2312"/>
      <w:sz w:val="24"/>
      <w:szCs w:val="20"/>
    </w:rPr>
  </w:style>
  <w:style w:type="table" w:customStyle="1" w:styleId="130">
    <w:name w:val="Table Normal"/>
    <w:autoRedefine/>
    <w:semiHidden/>
    <w:unhideWhenUsed/>
    <w:qFormat/>
    <w:uiPriority w:val="2"/>
    <w:tblPr>
      <w:tblCellMar>
        <w:top w:w="0" w:type="dxa"/>
        <w:left w:w="0" w:type="dxa"/>
        <w:bottom w:w="0" w:type="dxa"/>
        <w:right w:w="0" w:type="dxa"/>
      </w:tblCellMar>
    </w:tblPr>
  </w:style>
  <w:style w:type="paragraph" w:styleId="131">
    <w:name w:val="List Paragraph"/>
    <w:basedOn w:val="1"/>
    <w:autoRedefine/>
    <w:qFormat/>
    <w:uiPriority w:val="1"/>
    <w:pPr>
      <w:ind w:left="535" w:firstLine="480"/>
    </w:pPr>
  </w:style>
  <w:style w:type="paragraph" w:customStyle="1" w:styleId="132">
    <w:name w:val="正文首行缩进2字符"/>
    <w:basedOn w:val="1"/>
    <w:autoRedefine/>
    <w:qFormat/>
    <w:uiPriority w:val="99"/>
    <w:pPr>
      <w:spacing w:line="360" w:lineRule="auto"/>
      <w:ind w:firstLine="200" w:firstLineChars="200"/>
    </w:pPr>
    <w:rPr>
      <w:rFonts w:ascii="Times New Roman" w:hAnsi="Times New Roman" w:eastAsia="仿宋" w:cs="Times New Roman"/>
      <w:sz w:val="28"/>
      <w:szCs w:val="20"/>
    </w:rPr>
  </w:style>
  <w:style w:type="paragraph" w:customStyle="1" w:styleId="133">
    <w:name w:val="样式 标题 31.1.1标题 333rd levelBOD 0Bold HeadCTH3H31Heading ...1"/>
    <w:basedOn w:val="4"/>
    <w:autoRedefine/>
    <w:qFormat/>
    <w:uiPriority w:val="0"/>
    <w:pPr>
      <w:spacing w:after="0"/>
      <w:ind w:firstLine="0"/>
    </w:pPr>
    <w:rPr>
      <w:rFonts w:hAnsi="宋体" w:cs="宋体"/>
      <w:sz w:val="24"/>
    </w:rPr>
  </w:style>
  <w:style w:type="paragraph" w:customStyle="1" w:styleId="134">
    <w:name w:val="_Style 3"/>
    <w:basedOn w:val="1"/>
    <w:autoRedefine/>
    <w:qFormat/>
    <w:uiPriority w:val="34"/>
    <w:pPr>
      <w:ind w:firstLine="420" w:firstLineChars="200"/>
    </w:pPr>
    <w:rPr>
      <w:szCs w:val="24"/>
    </w:rPr>
  </w:style>
  <w:style w:type="paragraph" w:customStyle="1" w:styleId="135">
    <w:name w:val="普通 (Web)"/>
    <w:basedOn w:val="1"/>
    <w:next w:val="1"/>
    <w:autoRedefine/>
    <w:qFormat/>
    <w:uiPriority w:val="0"/>
    <w:pPr>
      <w:spacing w:before="100" w:after="100"/>
      <w:ind w:firstLine="480"/>
      <w:jc w:val="left"/>
    </w:pPr>
    <w:rPr>
      <w:rFonts w:ascii="宋体" w:eastAsia="宋体"/>
      <w:color w:val="000000"/>
      <w:kern w:val="0"/>
      <w:sz w:val="24"/>
    </w:rPr>
  </w:style>
  <w:style w:type="paragraph" w:customStyle="1" w:styleId="136">
    <w:name w:val="Normal_22"/>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137">
    <w:name w:val="纯文本_5_0"/>
    <w:basedOn w:val="138"/>
    <w:autoRedefine/>
    <w:qFormat/>
    <w:uiPriority w:val="0"/>
    <w:rPr>
      <w:rFonts w:ascii="宋体" w:hAnsi="Courier New"/>
      <w:szCs w:val="20"/>
    </w:rPr>
  </w:style>
  <w:style w:type="paragraph" w:customStyle="1" w:styleId="138">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正文_1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样式1"/>
    <w:basedOn w:val="1"/>
    <w:qFormat/>
    <w:uiPriority w:val="0"/>
    <w:pPr>
      <w:spacing w:line="360" w:lineRule="auto"/>
      <w:ind w:firstLine="420" w:firstLineChars="200"/>
    </w:pPr>
    <w:rPr>
      <w:sz w:val="24"/>
      <w:szCs w:val="20"/>
    </w:rPr>
  </w:style>
  <w:style w:type="paragraph" w:customStyle="1" w:styleId="141">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2">
    <w:name w:val="样式3"/>
    <w:basedOn w:val="22"/>
    <w:next w:val="1"/>
    <w:qFormat/>
    <w:uiPriority w:val="0"/>
    <w:pPr>
      <w:adjustRightInd/>
      <w:textAlignment w:val="auto"/>
    </w:pPr>
    <w:rPr>
      <w:rFonts w:ascii="Times New Roman" w:hAnsi="Times New Roman" w:eastAsia="宋体" w:cs="Times New Roman"/>
      <w:kern w:val="2"/>
      <w:sz w:val="21"/>
      <w:szCs w:val="20"/>
    </w:rPr>
  </w:style>
  <w:style w:type="paragraph" w:customStyle="1" w:styleId="143">
    <w:name w:val="默认段落字体 Para Char Char Char Char Char Char Char Char Char1 Char Char Char Char"/>
    <w:basedOn w:val="1"/>
    <w:qFormat/>
    <w:uiPriority w:val="0"/>
    <w:rPr>
      <w:rFonts w:ascii="Tahoma" w:hAnsi="Tahoma"/>
      <w:sz w:val="24"/>
    </w:rPr>
  </w:style>
  <w:style w:type="paragraph" w:customStyle="1" w:styleId="144">
    <w:name w:val="表格文字"/>
    <w:basedOn w:val="22"/>
    <w:next w:val="15"/>
    <w:qFormat/>
    <w:uiPriority w:val="0"/>
    <w:pPr>
      <w:adjustRightInd w:val="0"/>
      <w:spacing w:line="420" w:lineRule="atLeast"/>
      <w:ind w:firstLine="643" w:firstLineChars="200"/>
      <w:textAlignment w:val="baseline"/>
    </w:pPr>
    <w:rPr>
      <w:rFonts w:ascii="仿宋" w:hAnsi="仿宋" w:eastAsia="仿宋" w:cs="Times New Roman"/>
      <w:sz w:val="24"/>
    </w:rPr>
  </w:style>
  <w:style w:type="paragraph" w:customStyle="1" w:styleId="145">
    <w:name w:val="Body Text First Indent 21"/>
    <w:basedOn w:val="1"/>
    <w:qFormat/>
    <w:uiPriority w:val="0"/>
    <w:pPr>
      <w:widowControl w:val="0"/>
      <w:autoSpaceDE w:val="0"/>
      <w:autoSpaceDN w:val="0"/>
      <w:adjustRightInd w:val="0"/>
      <w:spacing w:after="120"/>
      <w:ind w:left="200" w:leftChars="200" w:firstLine="420"/>
    </w:pPr>
    <w:rPr>
      <w:rFonts w:ascii="宋体" w:hAnsi="Times New Roman" w:eastAsia="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67</Pages>
  <Words>33123</Words>
  <Characters>35971</Characters>
  <Lines>259</Lines>
  <Paragraphs>73</Paragraphs>
  <TotalTime>38</TotalTime>
  <ScaleCrop>false</ScaleCrop>
  <LinksUpToDate>false</LinksUpToDate>
  <CharactersWithSpaces>39881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2022-06-02T06:44:00Z</dcterms:created>
  <dc:creator>deeplm</dc:creator>
  <cp:lastModifiedBy>滚滚圆</cp:lastModifiedBy>
  <cp:lastPrinted>2024-08-23T03:04:00Z</cp:lastPrinted>
  <dcterms:modified xsi:type="dcterms:W3CDTF">2024-09-10T11:21:49Z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6315022D59A0405DB7F5774026E0BF34</vt:lpwstr>
  </property>
</Properties>
</file>