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0"/>
        <w:rPr>
          <w:rFonts w:ascii="宋体"/>
          <w:b/>
          <w:sz w:val="44"/>
          <w:szCs w:val="44"/>
        </w:rPr>
      </w:pPr>
      <w:bookmarkStart w:id="0" w:name="_Toc30463"/>
      <w:r>
        <w:rPr>
          <w:rFonts w:hint="eastAsia" w:ascii="宋体"/>
          <w:b/>
          <w:sz w:val="44"/>
          <w:szCs w:val="44"/>
        </w:rPr>
        <w:t>政府采购招标文件确认表</w:t>
      </w:r>
      <w:bookmarkEnd w:id="0"/>
    </w:p>
    <w:p>
      <w:pPr>
        <w:spacing w:line="360" w:lineRule="auto"/>
        <w:jc w:val="center"/>
        <w:rPr>
          <w:rFonts w:ascii="仿宋_GB2312" w:eastAsia="仿宋_GB2312"/>
          <w:sz w:val="44"/>
          <w:szCs w:val="20"/>
        </w:rPr>
      </w:pPr>
    </w:p>
    <w:tbl>
      <w:tblPr>
        <w:tblStyle w:val="37"/>
        <w:tblW w:w="1000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81"/>
        <w:gridCol w:w="2906"/>
        <w:gridCol w:w="49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7"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sz w:val="30"/>
              </w:rPr>
            </w:pPr>
            <w:r>
              <w:rPr>
                <w:rFonts w:hint="eastAsia" w:ascii="宋体" w:hAnsi="宋体" w:cs="宋体"/>
                <w:sz w:val="30"/>
                <w:szCs w:val="30"/>
              </w:rPr>
              <w:t>采购单位</w:t>
            </w:r>
          </w:p>
        </w:tc>
        <w:tc>
          <w:tcPr>
            <w:tcW w:w="7824" w:type="dxa"/>
            <w:gridSpan w:val="2"/>
            <w:tcBorders>
              <w:top w:val="single" w:color="auto" w:sz="4" w:space="0"/>
              <w:left w:val="single" w:color="auto" w:sz="4" w:space="0"/>
              <w:bottom w:val="single" w:color="auto" w:sz="4" w:space="0"/>
              <w:right w:val="single" w:color="auto" w:sz="4" w:space="0"/>
            </w:tcBorders>
            <w:vAlign w:val="center"/>
          </w:tcPr>
          <w:p>
            <w:pPr>
              <w:pStyle w:val="23"/>
              <w:snapToGrid w:val="0"/>
              <w:spacing w:before="120" w:after="120" w:line="360" w:lineRule="auto"/>
              <w:rPr>
                <w:rFonts w:eastAsia="仿宋_GB2312"/>
                <w:bCs/>
                <w:sz w:val="32"/>
                <w:szCs w:val="32"/>
              </w:rPr>
            </w:pPr>
            <w:r>
              <w:rPr>
                <w:rFonts w:hint="eastAsia" w:hAnsi="宋体"/>
                <w:w w:val="96"/>
                <w:kern w:val="0"/>
                <w:sz w:val="32"/>
                <w:szCs w:val="32"/>
              </w:rPr>
              <w:t>磐安县仁川镇人民政府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08"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pPr>
              <w:pStyle w:val="36"/>
              <w:ind w:left="0" w:leftChars="0" w:firstLine="0" w:firstLineChars="0"/>
              <w:rPr>
                <w:w w:val="96"/>
                <w:kern w:val="0"/>
                <w:sz w:val="32"/>
                <w:szCs w:val="32"/>
              </w:rPr>
            </w:pPr>
            <w:r>
              <w:rPr>
                <w:rFonts w:hint="eastAsia"/>
                <w:w w:val="96"/>
                <w:kern w:val="0"/>
                <w:sz w:val="32"/>
                <w:szCs w:val="32"/>
              </w:rPr>
              <w:t>招标单位</w:t>
            </w:r>
          </w:p>
        </w:tc>
        <w:tc>
          <w:tcPr>
            <w:tcW w:w="7824" w:type="dxa"/>
            <w:gridSpan w:val="2"/>
            <w:tcBorders>
              <w:top w:val="single" w:color="auto" w:sz="4" w:space="0"/>
              <w:left w:val="single" w:color="auto" w:sz="4" w:space="0"/>
              <w:bottom w:val="single" w:color="auto" w:sz="4" w:space="0"/>
              <w:right w:val="single" w:color="auto" w:sz="4" w:space="0"/>
            </w:tcBorders>
            <w:vAlign w:val="center"/>
          </w:tcPr>
          <w:p>
            <w:pPr>
              <w:pStyle w:val="36"/>
              <w:ind w:left="0" w:leftChars="0" w:firstLine="0" w:firstLineChars="0"/>
              <w:rPr>
                <w:w w:val="96"/>
                <w:kern w:val="0"/>
                <w:sz w:val="32"/>
                <w:szCs w:val="32"/>
              </w:rPr>
            </w:pPr>
            <w:r>
              <w:rPr>
                <w:rFonts w:hint="eastAsia"/>
                <w:w w:val="96"/>
                <w:kern w:val="0"/>
                <w:sz w:val="32"/>
                <w:szCs w:val="32"/>
              </w:rPr>
              <w:t>浙江诚远工程咨询有限公司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96"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pPr>
              <w:pStyle w:val="36"/>
              <w:ind w:left="0" w:leftChars="0" w:firstLine="0" w:firstLineChars="0"/>
              <w:rPr>
                <w:w w:val="96"/>
                <w:kern w:val="0"/>
                <w:sz w:val="32"/>
                <w:szCs w:val="32"/>
              </w:rPr>
            </w:pPr>
            <w:r>
              <w:rPr>
                <w:rFonts w:hint="eastAsia"/>
                <w:w w:val="96"/>
                <w:kern w:val="0"/>
                <w:sz w:val="32"/>
                <w:szCs w:val="32"/>
              </w:rPr>
              <w:t>招标项目名称</w:t>
            </w:r>
          </w:p>
        </w:tc>
        <w:tc>
          <w:tcPr>
            <w:tcW w:w="7824" w:type="dxa"/>
            <w:gridSpan w:val="2"/>
            <w:tcBorders>
              <w:top w:val="single" w:color="auto" w:sz="4" w:space="0"/>
              <w:left w:val="single" w:color="auto" w:sz="4" w:space="0"/>
              <w:bottom w:val="single" w:color="auto" w:sz="4" w:space="0"/>
              <w:right w:val="single" w:color="auto" w:sz="4" w:space="0"/>
            </w:tcBorders>
            <w:vAlign w:val="center"/>
          </w:tcPr>
          <w:p>
            <w:pPr>
              <w:pStyle w:val="36"/>
              <w:ind w:left="0" w:leftChars="0" w:firstLine="0" w:firstLineChars="0"/>
              <w:rPr>
                <w:rFonts w:hint="eastAsia" w:eastAsia="宋体"/>
                <w:w w:val="96"/>
                <w:kern w:val="0"/>
                <w:sz w:val="32"/>
                <w:szCs w:val="32"/>
                <w:lang w:eastAsia="zh-CN"/>
              </w:rPr>
            </w:pPr>
            <w:r>
              <w:rPr>
                <w:rFonts w:hint="eastAsia"/>
                <w:w w:val="96"/>
                <w:kern w:val="0"/>
                <w:sz w:val="32"/>
                <w:szCs w:val="32"/>
                <w:lang w:eastAsia="zh-CN"/>
              </w:rPr>
              <w:t>磐安县仁川镇共富风貌驿产品采购项目（第二次）</w:t>
            </w:r>
          </w:p>
          <w:p>
            <w:pPr>
              <w:pStyle w:val="36"/>
              <w:ind w:left="0" w:leftChars="0" w:firstLine="0" w:firstLineChars="0"/>
              <w:rPr>
                <w:w w:val="96"/>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05"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sz w:val="30"/>
              </w:rPr>
            </w:pPr>
            <w:r>
              <w:rPr>
                <w:rFonts w:hint="eastAsia" w:ascii="宋体" w:hAnsi="宋体" w:cs="宋体"/>
                <w:sz w:val="30"/>
                <w:szCs w:val="30"/>
              </w:rPr>
              <w:t>财政审批号</w:t>
            </w:r>
          </w:p>
        </w:tc>
        <w:tc>
          <w:tcPr>
            <w:tcW w:w="7824"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eastAsia="仿宋_GB2312"/>
                <w:bCs/>
                <w:sz w:val="32"/>
                <w:szCs w:val="32"/>
              </w:rPr>
            </w:pPr>
            <w:r>
              <w:rPr>
                <w:rFonts w:hint="eastAsia" w:asciiTheme="majorEastAsia" w:hAnsiTheme="majorEastAsia" w:eastAsiaTheme="majorEastAsia" w:cstheme="majorEastAsia"/>
                <w:bCs/>
                <w:sz w:val="32"/>
                <w:szCs w:val="32"/>
              </w:rPr>
              <w:t>磐财采确临【2024】523号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52" w:hRule="exact"/>
          <w:jc w:val="center"/>
        </w:trPr>
        <w:tc>
          <w:tcPr>
            <w:tcW w:w="2181" w:type="dxa"/>
            <w:tcBorders>
              <w:top w:val="single" w:color="auto" w:sz="4" w:space="0"/>
              <w:left w:val="single" w:color="auto" w:sz="4" w:space="0"/>
              <w:bottom w:val="single" w:color="auto" w:sz="4" w:space="0"/>
              <w:right w:val="single" w:color="auto" w:sz="4" w:space="0"/>
            </w:tcBorders>
            <w:vAlign w:val="center"/>
          </w:tcPr>
          <w:p>
            <w:pPr>
              <w:spacing w:line="360" w:lineRule="auto"/>
              <w:rPr>
                <w:rFonts w:ascii="仿宋_GB2312" w:eastAsia="仿宋_GB2312"/>
                <w:sz w:val="30"/>
              </w:rPr>
            </w:pPr>
            <w:r>
              <w:rPr>
                <w:rFonts w:hint="eastAsia" w:ascii="宋体" w:hAnsi="宋体" w:cs="宋体"/>
                <w:sz w:val="30"/>
                <w:szCs w:val="30"/>
              </w:rPr>
              <w:t>招标项目编号</w:t>
            </w:r>
          </w:p>
        </w:tc>
        <w:tc>
          <w:tcPr>
            <w:tcW w:w="7824" w:type="dxa"/>
            <w:gridSpan w:val="2"/>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eastAsia="仿宋_GB2312"/>
                <w:bCs/>
                <w:sz w:val="32"/>
                <w:szCs w:val="32"/>
                <w:lang w:val="en-US" w:eastAsia="zh-CN"/>
              </w:rPr>
            </w:pPr>
            <w:r>
              <w:rPr>
                <w:rFonts w:hint="eastAsia" w:eastAsia="仿宋_GB2312"/>
                <w:bCs/>
                <w:sz w:val="32"/>
                <w:szCs w:val="32"/>
              </w:rPr>
              <w:t>ZJCY-PA202400</w:t>
            </w:r>
            <w:r>
              <w:rPr>
                <w:rFonts w:hint="eastAsia" w:eastAsia="仿宋_GB2312"/>
                <w:bCs/>
                <w:sz w:val="32"/>
                <w:szCs w:val="32"/>
                <w:lang w:val="en-US" w:eastAsia="zh-CN"/>
              </w:rPr>
              <w:t>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3" w:hRule="exact"/>
          <w:jc w:val="center"/>
        </w:trPr>
        <w:tc>
          <w:tcPr>
            <w:tcW w:w="5087" w:type="dxa"/>
            <w:gridSpan w:val="2"/>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 w:val="30"/>
                <w:szCs w:val="30"/>
              </w:rPr>
            </w:pPr>
          </w:p>
          <w:p>
            <w:pPr>
              <w:spacing w:line="360" w:lineRule="auto"/>
              <w:rPr>
                <w:rFonts w:ascii="宋体" w:hAnsi="宋体" w:cs="宋体"/>
                <w:sz w:val="30"/>
                <w:szCs w:val="30"/>
              </w:rPr>
            </w:pPr>
            <w:r>
              <w:rPr>
                <w:rFonts w:hint="eastAsia" w:ascii="宋体" w:hAnsi="宋体" w:cs="宋体"/>
                <w:sz w:val="30"/>
                <w:szCs w:val="30"/>
              </w:rPr>
              <w:t>单位负责人:（签名）</w:t>
            </w:r>
          </w:p>
          <w:p>
            <w:pPr>
              <w:spacing w:line="360" w:lineRule="auto"/>
              <w:rPr>
                <w:rFonts w:ascii="宋体" w:hAnsi="宋体" w:cs="宋体"/>
                <w:sz w:val="30"/>
                <w:szCs w:val="30"/>
              </w:rPr>
            </w:pPr>
          </w:p>
          <w:p>
            <w:pPr>
              <w:spacing w:line="360" w:lineRule="auto"/>
              <w:rPr>
                <w:rFonts w:ascii="宋体" w:hAnsi="宋体" w:cs="宋体"/>
                <w:sz w:val="30"/>
                <w:szCs w:val="30"/>
              </w:rPr>
            </w:pPr>
          </w:p>
          <w:p>
            <w:pPr>
              <w:spacing w:line="360" w:lineRule="auto"/>
              <w:rPr>
                <w:rFonts w:ascii="宋体" w:hAnsi="宋体" w:cs="宋体"/>
                <w:sz w:val="30"/>
                <w:szCs w:val="30"/>
              </w:rPr>
            </w:pPr>
            <w:r>
              <w:rPr>
                <w:rFonts w:hint="eastAsia" w:ascii="宋体" w:hAnsi="宋体" w:cs="宋体"/>
                <w:sz w:val="30"/>
                <w:szCs w:val="30"/>
              </w:rPr>
              <w:t>采购单位：（盖章）</w:t>
            </w:r>
          </w:p>
          <w:p>
            <w:pPr>
              <w:spacing w:line="360" w:lineRule="auto"/>
              <w:rPr>
                <w:rFonts w:ascii="宋体" w:hAnsi="宋体" w:cs="宋体"/>
                <w:sz w:val="30"/>
                <w:szCs w:val="30"/>
              </w:rPr>
            </w:pPr>
          </w:p>
          <w:p>
            <w:pPr>
              <w:spacing w:line="360" w:lineRule="auto"/>
              <w:rPr>
                <w:rFonts w:ascii="宋体" w:hAnsi="宋体" w:cs="宋体"/>
                <w:sz w:val="30"/>
                <w:szCs w:val="30"/>
              </w:rPr>
            </w:pPr>
            <w:r>
              <w:rPr>
                <w:rFonts w:hint="eastAsia" w:ascii="宋体" w:hAnsi="宋体" w:cs="宋体"/>
                <w:sz w:val="30"/>
                <w:szCs w:val="30"/>
              </w:rPr>
              <w:t>经办人：（签名）</w:t>
            </w:r>
          </w:p>
          <w:p>
            <w:pPr>
              <w:spacing w:line="360" w:lineRule="auto"/>
              <w:rPr>
                <w:rFonts w:ascii="宋体" w:hAnsi="宋体" w:cs="宋体"/>
                <w:sz w:val="30"/>
                <w:szCs w:val="30"/>
              </w:rPr>
            </w:pPr>
          </w:p>
          <w:p>
            <w:pPr>
              <w:pStyle w:val="2"/>
            </w:pPr>
          </w:p>
          <w:p>
            <w:pPr>
              <w:spacing w:line="360" w:lineRule="auto"/>
              <w:rPr>
                <w:rFonts w:hint="eastAsia" w:eastAsia="宋体"/>
                <w:lang w:eastAsia="zh-CN"/>
              </w:rPr>
            </w:pPr>
            <w:r>
              <w:rPr>
                <w:rFonts w:hint="eastAsia" w:ascii="宋体" w:hAnsi="宋体" w:cs="宋体"/>
                <w:sz w:val="30"/>
                <w:szCs w:val="30"/>
                <w:lang w:eastAsia="zh-CN"/>
              </w:rPr>
              <w:t>2024年 6月24日</w:t>
            </w:r>
          </w:p>
        </w:tc>
        <w:tc>
          <w:tcPr>
            <w:tcW w:w="4918" w:type="dxa"/>
            <w:tcBorders>
              <w:top w:val="single" w:color="auto" w:sz="4" w:space="0"/>
              <w:left w:val="single" w:color="auto" w:sz="4" w:space="0"/>
              <w:bottom w:val="single" w:color="auto" w:sz="4" w:space="0"/>
              <w:right w:val="single" w:color="auto" w:sz="4" w:space="0"/>
            </w:tcBorders>
          </w:tcPr>
          <w:p>
            <w:pPr>
              <w:spacing w:line="360" w:lineRule="auto"/>
              <w:rPr>
                <w:rFonts w:ascii="宋体" w:hAnsi="宋体" w:cs="宋体"/>
                <w:sz w:val="30"/>
                <w:szCs w:val="30"/>
              </w:rPr>
            </w:pPr>
          </w:p>
          <w:p>
            <w:pPr>
              <w:spacing w:line="360" w:lineRule="auto"/>
              <w:rPr>
                <w:rFonts w:ascii="宋体" w:hAnsi="宋体" w:cs="宋体"/>
                <w:sz w:val="30"/>
                <w:szCs w:val="30"/>
              </w:rPr>
            </w:pPr>
          </w:p>
          <w:p>
            <w:pPr>
              <w:spacing w:line="360" w:lineRule="auto"/>
              <w:rPr>
                <w:rFonts w:ascii="宋体" w:hAnsi="宋体" w:cs="宋体"/>
                <w:sz w:val="30"/>
                <w:szCs w:val="30"/>
              </w:rPr>
            </w:pPr>
            <w:r>
              <w:rPr>
                <w:rFonts w:hint="eastAsia" w:ascii="宋体" w:hAnsi="宋体" w:cs="宋体"/>
                <w:sz w:val="30"/>
                <w:szCs w:val="30"/>
              </w:rPr>
              <w:t>代理机构：</w:t>
            </w:r>
          </w:p>
          <w:p>
            <w:pPr>
              <w:spacing w:line="360" w:lineRule="auto"/>
              <w:rPr>
                <w:rFonts w:ascii="宋体" w:hAnsi="宋体" w:cs="宋体"/>
                <w:sz w:val="30"/>
                <w:szCs w:val="30"/>
              </w:rPr>
            </w:pPr>
            <w:r>
              <w:rPr>
                <w:rFonts w:hint="eastAsia" w:ascii="宋体" w:hAnsi="宋体" w:cs="宋体"/>
                <w:sz w:val="30"/>
                <w:szCs w:val="30"/>
              </w:rPr>
              <w:t xml:space="preserve">（盖章） </w:t>
            </w:r>
          </w:p>
          <w:p>
            <w:pPr>
              <w:spacing w:line="360" w:lineRule="auto"/>
              <w:rPr>
                <w:rFonts w:ascii="宋体" w:hAnsi="宋体" w:cs="宋体"/>
                <w:sz w:val="30"/>
                <w:szCs w:val="30"/>
              </w:rPr>
            </w:pPr>
          </w:p>
          <w:p>
            <w:pPr>
              <w:spacing w:line="360" w:lineRule="auto"/>
              <w:rPr>
                <w:rFonts w:ascii="宋体" w:hAnsi="宋体" w:cs="宋体"/>
                <w:sz w:val="30"/>
                <w:szCs w:val="30"/>
              </w:rPr>
            </w:pPr>
          </w:p>
          <w:p>
            <w:pPr>
              <w:spacing w:line="360" w:lineRule="auto"/>
              <w:rPr>
                <w:rFonts w:ascii="宋体" w:hAnsi="宋体" w:cs="宋体"/>
                <w:sz w:val="30"/>
                <w:szCs w:val="30"/>
              </w:rPr>
            </w:pPr>
          </w:p>
          <w:p>
            <w:pPr>
              <w:pStyle w:val="2"/>
            </w:pPr>
          </w:p>
          <w:p>
            <w:pPr>
              <w:spacing w:line="360" w:lineRule="auto"/>
              <w:rPr>
                <w:rFonts w:ascii="宋体" w:hAnsi="宋体" w:cs="宋体"/>
                <w:sz w:val="30"/>
                <w:szCs w:val="30"/>
              </w:rPr>
            </w:pPr>
          </w:p>
          <w:p>
            <w:pPr>
              <w:spacing w:line="360" w:lineRule="auto"/>
              <w:rPr>
                <w:rFonts w:hint="eastAsia" w:eastAsia="宋体"/>
                <w:lang w:eastAsia="zh-CN"/>
              </w:rPr>
            </w:pPr>
            <w:r>
              <w:rPr>
                <w:rFonts w:hint="eastAsia" w:ascii="宋体" w:hAnsi="宋体" w:cs="宋体"/>
                <w:sz w:val="30"/>
                <w:szCs w:val="30"/>
                <w:lang w:eastAsia="zh-CN"/>
              </w:rPr>
              <w:t>2024年 6月24日</w:t>
            </w:r>
          </w:p>
        </w:tc>
      </w:tr>
    </w:tbl>
    <w:p>
      <w:pPr>
        <w:rPr>
          <w:rFonts w:ascii="黑体" w:hAnsi="宋体" w:eastAsia="黑体"/>
          <w:sz w:val="72"/>
          <w:szCs w:val="72"/>
        </w:rPr>
      </w:pPr>
    </w:p>
    <w:p>
      <w:pPr>
        <w:spacing w:line="360" w:lineRule="auto"/>
        <w:jc w:val="center"/>
        <w:rPr>
          <w:rFonts w:ascii="黑体" w:hAnsi="宋体" w:eastAsia="黑体"/>
          <w:sz w:val="48"/>
          <w:szCs w:val="48"/>
        </w:rPr>
      </w:pPr>
    </w:p>
    <w:p>
      <w:pPr>
        <w:spacing w:line="360" w:lineRule="auto"/>
        <w:jc w:val="center"/>
        <w:rPr>
          <w:rFonts w:hint="eastAsia" w:ascii="仿宋_GB2312" w:eastAsia="仿宋_GB2312"/>
          <w:sz w:val="48"/>
          <w:szCs w:val="48"/>
          <w:lang w:eastAsia="zh-CN"/>
        </w:rPr>
      </w:pPr>
      <w:r>
        <w:rPr>
          <w:rFonts w:hint="eastAsia" w:ascii="黑体" w:hAnsi="宋体" w:eastAsia="黑体"/>
          <w:sz w:val="48"/>
          <w:szCs w:val="48"/>
          <w:lang w:eastAsia="zh-CN"/>
        </w:rPr>
        <w:t>磐安县仁川镇共富风貌驿产品采购项目（第二次）</w:t>
      </w:r>
    </w:p>
    <w:p>
      <w:pPr>
        <w:spacing w:before="156" w:beforeLines="50"/>
        <w:rPr>
          <w:rFonts w:ascii="仿宋_GB2312" w:hAnsi="宋体" w:eastAsia="仿宋_GB2312"/>
          <w:bCs/>
          <w:sz w:val="72"/>
          <w:szCs w:val="72"/>
        </w:rPr>
      </w:pPr>
    </w:p>
    <w:p>
      <w:pPr>
        <w:spacing w:before="156" w:beforeLines="50"/>
        <w:jc w:val="center"/>
        <w:rPr>
          <w:rFonts w:ascii="宋体" w:hAnsi="宋体" w:cs="宋体"/>
          <w:bCs/>
          <w:sz w:val="72"/>
          <w:szCs w:val="72"/>
        </w:rPr>
      </w:pPr>
      <w:r>
        <w:rPr>
          <w:rFonts w:hint="eastAsia" w:ascii="宋体" w:hAnsi="宋体" w:cs="宋体"/>
          <w:bCs/>
          <w:sz w:val="72"/>
          <w:szCs w:val="72"/>
        </w:rPr>
        <w:t>竞争性磋商文件</w:t>
      </w:r>
    </w:p>
    <w:p>
      <w:pPr>
        <w:snapToGrid w:val="0"/>
        <w:spacing w:before="156" w:beforeLines="50" w:line="360" w:lineRule="auto"/>
        <w:rPr>
          <w:rFonts w:ascii="仿宋_GB2312" w:hAnsi="宋体" w:eastAsia="仿宋_GB2312"/>
          <w:sz w:val="30"/>
          <w:szCs w:val="72"/>
        </w:rPr>
      </w:pPr>
    </w:p>
    <w:p>
      <w:pPr>
        <w:snapToGrid w:val="0"/>
        <w:spacing w:before="156" w:beforeLines="50" w:line="360" w:lineRule="auto"/>
        <w:rPr>
          <w:rFonts w:ascii="仿宋_GB2312" w:hAnsi="宋体" w:eastAsia="仿宋_GB2312"/>
          <w:sz w:val="30"/>
          <w:szCs w:val="72"/>
        </w:rPr>
      </w:pPr>
    </w:p>
    <w:p>
      <w:pPr>
        <w:snapToGrid w:val="0"/>
        <w:spacing w:before="156" w:beforeLines="50" w:line="360" w:lineRule="auto"/>
        <w:jc w:val="center"/>
        <w:rPr>
          <w:rFonts w:ascii="仿宋_GB2312" w:hAnsi="宋体" w:eastAsia="仿宋_GB2312"/>
          <w:sz w:val="30"/>
          <w:szCs w:val="72"/>
        </w:rPr>
      </w:pPr>
    </w:p>
    <w:p>
      <w:pPr>
        <w:snapToGrid w:val="0"/>
        <w:spacing w:before="156" w:beforeLines="50" w:line="360" w:lineRule="auto"/>
        <w:rPr>
          <w:rFonts w:ascii="仿宋_GB2312" w:hAnsi="宋体" w:eastAsia="仿宋_GB2312"/>
          <w:sz w:val="30"/>
          <w:szCs w:val="72"/>
        </w:rPr>
      </w:pPr>
    </w:p>
    <w:p>
      <w:pPr>
        <w:pStyle w:val="23"/>
        <w:snapToGrid w:val="0"/>
        <w:spacing w:before="120" w:after="120" w:line="360" w:lineRule="auto"/>
        <w:ind w:left="1195" w:hanging="1195" w:hangingChars="496"/>
        <w:rPr>
          <w:rFonts w:hint="eastAsia" w:hAnsi="宋体" w:eastAsia="宋体"/>
          <w:b/>
          <w:bCs/>
          <w:sz w:val="24"/>
          <w:szCs w:val="24"/>
          <w:lang w:eastAsia="zh-CN"/>
        </w:rPr>
      </w:pPr>
      <w:r>
        <w:rPr>
          <w:rFonts w:hint="eastAsia" w:hAnsi="宋体"/>
          <w:b/>
          <w:bCs/>
          <w:sz w:val="24"/>
          <w:szCs w:val="24"/>
        </w:rPr>
        <w:t>项目编号：</w:t>
      </w:r>
      <w:r>
        <w:rPr>
          <w:rFonts w:hint="eastAsia" w:hAnsi="宋体"/>
          <w:b/>
          <w:bCs/>
          <w:sz w:val="24"/>
          <w:szCs w:val="24"/>
          <w:lang w:eastAsia="zh-CN"/>
        </w:rPr>
        <w:t>ZJCY-PA2024009</w:t>
      </w:r>
    </w:p>
    <w:p>
      <w:pPr>
        <w:pStyle w:val="23"/>
        <w:snapToGrid w:val="0"/>
        <w:spacing w:before="120" w:after="120" w:line="360" w:lineRule="auto"/>
        <w:ind w:left="1195" w:hanging="1195" w:hangingChars="496"/>
        <w:rPr>
          <w:rFonts w:hint="eastAsia" w:hAnsi="宋体" w:eastAsia="宋体"/>
          <w:b/>
          <w:bCs/>
          <w:sz w:val="28"/>
          <w:szCs w:val="28"/>
          <w:lang w:eastAsia="zh-CN"/>
        </w:rPr>
      </w:pPr>
      <w:r>
        <w:rPr>
          <w:rFonts w:hint="eastAsia" w:hAnsi="宋体"/>
          <w:b/>
          <w:bCs/>
          <w:sz w:val="24"/>
          <w:szCs w:val="24"/>
        </w:rPr>
        <w:t>项目名称：</w:t>
      </w:r>
      <w:r>
        <w:rPr>
          <w:rFonts w:hint="eastAsia" w:hAnsi="宋体"/>
          <w:b/>
          <w:bCs/>
          <w:sz w:val="24"/>
          <w:szCs w:val="24"/>
          <w:lang w:eastAsia="zh-CN"/>
        </w:rPr>
        <w:t>磐安县仁川镇共富风貌驿产品采购项目（第二次）</w:t>
      </w:r>
    </w:p>
    <w:p>
      <w:pPr>
        <w:pStyle w:val="23"/>
        <w:snapToGrid w:val="0"/>
        <w:spacing w:before="120" w:after="120" w:line="360" w:lineRule="auto"/>
        <w:ind w:left="1195" w:hanging="1195" w:hangingChars="496"/>
        <w:rPr>
          <w:rFonts w:hAnsi="宋体"/>
          <w:b/>
          <w:bCs/>
          <w:sz w:val="24"/>
          <w:szCs w:val="24"/>
        </w:rPr>
      </w:pPr>
      <w:r>
        <w:rPr>
          <w:rFonts w:hint="eastAsia" w:hAnsi="宋体"/>
          <w:b/>
          <w:bCs/>
          <w:sz w:val="24"/>
          <w:szCs w:val="24"/>
        </w:rPr>
        <w:t>采购单位：磐安县仁川镇人民政府</w:t>
      </w:r>
    </w:p>
    <w:p>
      <w:pPr>
        <w:pStyle w:val="23"/>
        <w:snapToGrid w:val="0"/>
        <w:spacing w:before="120" w:after="120" w:line="360" w:lineRule="auto"/>
        <w:ind w:left="1195" w:hanging="1195" w:hangingChars="496"/>
        <w:rPr>
          <w:rFonts w:hAnsi="宋体"/>
          <w:b/>
          <w:bCs/>
          <w:sz w:val="24"/>
          <w:szCs w:val="24"/>
        </w:rPr>
      </w:pPr>
      <w:r>
        <w:rPr>
          <w:rFonts w:hint="eastAsia" w:hAnsi="宋体"/>
          <w:b/>
          <w:bCs/>
          <w:sz w:val="24"/>
          <w:szCs w:val="24"/>
        </w:rPr>
        <w:t>招标机构：浙江诚远工程咨询有限公司</w:t>
      </w:r>
    </w:p>
    <w:p>
      <w:pPr>
        <w:pStyle w:val="23"/>
        <w:snapToGrid w:val="0"/>
        <w:spacing w:before="120" w:after="120" w:line="360" w:lineRule="auto"/>
        <w:ind w:left="1195" w:hanging="1195" w:hangingChars="496"/>
        <w:rPr>
          <w:rFonts w:hAnsi="宋体"/>
          <w:b/>
          <w:bCs/>
          <w:sz w:val="24"/>
          <w:szCs w:val="24"/>
        </w:rPr>
      </w:pPr>
    </w:p>
    <w:p>
      <w:pPr>
        <w:rPr>
          <w:rFonts w:hAnsi="宋体"/>
          <w:b/>
          <w:bCs/>
          <w:sz w:val="24"/>
        </w:rPr>
      </w:pPr>
    </w:p>
    <w:p>
      <w:pPr>
        <w:tabs>
          <w:tab w:val="left" w:pos="985"/>
        </w:tabs>
        <w:rPr>
          <w:rFonts w:hAnsi="宋体"/>
          <w:b/>
          <w:bCs/>
          <w:sz w:val="24"/>
        </w:rPr>
      </w:pPr>
    </w:p>
    <w:p>
      <w:pPr>
        <w:pStyle w:val="13"/>
      </w:pPr>
    </w:p>
    <w:p>
      <w:pPr>
        <w:jc w:val="center"/>
        <w:rPr>
          <w:rFonts w:eastAsia="黑体"/>
          <w:sz w:val="48"/>
        </w:rPr>
      </w:pPr>
      <w:r>
        <w:rPr>
          <w:rFonts w:hint="eastAsia" w:ascii="仿宋_GB2312" w:eastAsia="仿宋_GB2312"/>
          <w:sz w:val="30"/>
        </w:rPr>
        <w:t xml:space="preserve">       </w:t>
      </w:r>
      <w:r>
        <w:rPr>
          <w:rFonts w:hint="eastAsia" w:ascii="仿宋_GB2312" w:eastAsia="仿宋_GB2312"/>
          <w:sz w:val="30"/>
          <w:lang w:val="en-US" w:eastAsia="zh-CN"/>
        </w:rPr>
        <w:t xml:space="preserve">    </w:t>
      </w:r>
      <w:r>
        <w:rPr>
          <w:rFonts w:hint="eastAsia" w:ascii="仿宋_GB2312" w:eastAsia="仿宋_GB2312"/>
          <w:sz w:val="30"/>
        </w:rPr>
        <w:t xml:space="preserve"> </w:t>
      </w:r>
      <w:r>
        <w:rPr>
          <w:rFonts w:hint="eastAsia" w:ascii="仿宋_GB2312" w:eastAsia="仿宋_GB2312"/>
          <w:sz w:val="30"/>
          <w:lang w:eastAsia="zh-CN"/>
        </w:rPr>
        <w:t>2024年 6月24日</w:t>
      </w:r>
      <w:r>
        <w:rPr>
          <w:rFonts w:eastAsia="黑体"/>
          <w:sz w:val="48"/>
        </w:rPr>
        <w:br w:type="page"/>
      </w:r>
    </w:p>
    <w:p>
      <w:pPr>
        <w:pStyle w:val="18"/>
      </w:pPr>
    </w:p>
    <w:p>
      <w:pPr>
        <w:spacing w:line="480" w:lineRule="auto"/>
        <w:jc w:val="center"/>
        <w:rPr>
          <w:rFonts w:eastAsia="黑体"/>
          <w:sz w:val="48"/>
        </w:rPr>
      </w:pPr>
      <w:r>
        <w:rPr>
          <w:rFonts w:hint="eastAsia" w:eastAsia="黑体"/>
          <w:sz w:val="48"/>
        </w:rPr>
        <w:t>磋商文件目录</w:t>
      </w:r>
    </w:p>
    <w:p>
      <w:pPr>
        <w:spacing w:line="900" w:lineRule="exact"/>
        <w:ind w:firstLine="3840" w:firstLineChars="1200"/>
        <w:jc w:val="left"/>
        <w:rPr>
          <w:rFonts w:ascii="新宋体" w:hAnsi="新宋体" w:eastAsia="新宋体"/>
          <w:color w:val="auto"/>
          <w:sz w:val="32"/>
          <w:szCs w:val="32"/>
        </w:rPr>
      </w:pPr>
      <w:r>
        <w:rPr>
          <w:rFonts w:hint="eastAsia" w:ascii="新宋体" w:hAnsi="新宋体" w:eastAsia="新宋体"/>
          <w:color w:val="auto"/>
          <w:sz w:val="32"/>
          <w:szCs w:val="32"/>
        </w:rPr>
        <w:t>招标(磋商)公告</w:t>
      </w:r>
    </w:p>
    <w:p>
      <w:pPr>
        <w:spacing w:line="900" w:lineRule="exact"/>
        <w:ind w:firstLine="3680" w:firstLineChars="1150"/>
        <w:outlineLvl w:val="0"/>
        <w:rPr>
          <w:bCs/>
          <w:sz w:val="32"/>
          <w:szCs w:val="32"/>
        </w:rPr>
      </w:pPr>
      <w:r>
        <w:rPr>
          <w:rFonts w:hint="eastAsia"/>
          <w:bCs/>
          <w:sz w:val="32"/>
          <w:szCs w:val="32"/>
        </w:rPr>
        <w:t>前附表</w:t>
      </w:r>
    </w:p>
    <w:p>
      <w:pPr>
        <w:numPr>
          <w:ilvl w:val="0"/>
          <w:numId w:val="5"/>
        </w:numPr>
        <w:tabs>
          <w:tab w:val="left" w:pos="2160"/>
        </w:tabs>
        <w:spacing w:line="900" w:lineRule="exact"/>
        <w:ind w:hanging="900"/>
        <w:jc w:val="left"/>
        <w:rPr>
          <w:rFonts w:ascii="新宋体" w:hAnsi="新宋体" w:eastAsia="新宋体"/>
          <w:sz w:val="32"/>
          <w:szCs w:val="32"/>
        </w:rPr>
      </w:pPr>
      <w:r>
        <w:rPr>
          <w:rFonts w:hint="eastAsia" w:ascii="新宋体" w:hAnsi="新宋体" w:eastAsia="新宋体"/>
          <w:sz w:val="32"/>
          <w:szCs w:val="32"/>
        </w:rPr>
        <w:t>招标需求</w:t>
      </w:r>
    </w:p>
    <w:p>
      <w:pPr>
        <w:numPr>
          <w:ilvl w:val="0"/>
          <w:numId w:val="5"/>
        </w:numPr>
        <w:tabs>
          <w:tab w:val="left" w:pos="2160"/>
        </w:tabs>
        <w:spacing w:line="900" w:lineRule="exact"/>
        <w:ind w:hanging="900"/>
        <w:jc w:val="left"/>
        <w:rPr>
          <w:rFonts w:ascii="新宋体" w:hAnsi="新宋体" w:eastAsia="新宋体"/>
          <w:sz w:val="32"/>
          <w:szCs w:val="32"/>
        </w:rPr>
      </w:pPr>
      <w:r>
        <w:rPr>
          <w:rFonts w:hint="eastAsia" w:ascii="新宋体" w:hAnsi="新宋体" w:eastAsia="新宋体"/>
          <w:sz w:val="32"/>
          <w:szCs w:val="32"/>
        </w:rPr>
        <w:t>投标人须知</w:t>
      </w:r>
    </w:p>
    <w:p>
      <w:pPr>
        <w:numPr>
          <w:ilvl w:val="0"/>
          <w:numId w:val="5"/>
        </w:numPr>
        <w:tabs>
          <w:tab w:val="left" w:pos="2160"/>
        </w:tabs>
        <w:spacing w:line="900" w:lineRule="exact"/>
        <w:ind w:hanging="900"/>
        <w:jc w:val="left"/>
        <w:rPr>
          <w:rFonts w:ascii="新宋体" w:hAnsi="新宋体" w:eastAsia="新宋体"/>
          <w:sz w:val="32"/>
          <w:szCs w:val="32"/>
        </w:rPr>
      </w:pPr>
      <w:r>
        <w:rPr>
          <w:rFonts w:hint="eastAsia" w:ascii="新宋体" w:hAnsi="新宋体" w:eastAsia="新宋体"/>
          <w:sz w:val="32"/>
          <w:szCs w:val="32"/>
        </w:rPr>
        <w:t>评审方法</w:t>
      </w:r>
    </w:p>
    <w:p>
      <w:pPr>
        <w:numPr>
          <w:ilvl w:val="0"/>
          <w:numId w:val="5"/>
        </w:numPr>
        <w:tabs>
          <w:tab w:val="left" w:pos="2160"/>
        </w:tabs>
        <w:spacing w:line="900" w:lineRule="exact"/>
        <w:ind w:hanging="900"/>
        <w:jc w:val="left"/>
        <w:rPr>
          <w:rFonts w:ascii="新宋体" w:hAnsi="新宋体" w:eastAsia="新宋体"/>
          <w:sz w:val="32"/>
          <w:szCs w:val="32"/>
        </w:rPr>
      </w:pPr>
      <w:r>
        <w:rPr>
          <w:rFonts w:hint="eastAsia" w:ascii="新宋体" w:hAnsi="新宋体" w:eastAsia="新宋体"/>
          <w:sz w:val="32"/>
          <w:szCs w:val="32"/>
        </w:rPr>
        <w:t>合同的主要条款</w:t>
      </w:r>
    </w:p>
    <w:p>
      <w:pPr>
        <w:numPr>
          <w:ilvl w:val="0"/>
          <w:numId w:val="5"/>
        </w:numPr>
        <w:tabs>
          <w:tab w:val="left" w:pos="2160"/>
        </w:tabs>
        <w:spacing w:line="900" w:lineRule="exact"/>
        <w:ind w:hanging="900"/>
        <w:jc w:val="left"/>
        <w:rPr>
          <w:rFonts w:ascii="新宋体" w:hAnsi="新宋体" w:eastAsia="新宋体"/>
          <w:sz w:val="32"/>
          <w:szCs w:val="32"/>
        </w:rPr>
      </w:pPr>
      <w:r>
        <w:rPr>
          <w:rFonts w:hint="eastAsia" w:ascii="新宋体" w:hAnsi="新宋体" w:eastAsia="新宋体"/>
          <w:sz w:val="32"/>
          <w:szCs w:val="32"/>
        </w:rPr>
        <w:t>附件</w:t>
      </w:r>
    </w:p>
    <w:p>
      <w:pPr>
        <w:rPr>
          <w:b/>
          <w:sz w:val="32"/>
          <w:szCs w:val="32"/>
        </w:rPr>
      </w:pPr>
      <w:bookmarkStart w:id="1" w:name="_Toc373402673"/>
    </w:p>
    <w:bookmarkEnd w:id="1"/>
    <w:p>
      <w:pPr>
        <w:rPr>
          <w:rFonts w:ascii="宋体" w:hAnsi="宋体"/>
          <w:b/>
          <w:sz w:val="44"/>
          <w:szCs w:val="44"/>
        </w:rPr>
      </w:pPr>
      <w:r>
        <w:rPr>
          <w:rFonts w:ascii="宋体" w:hAnsi="宋体"/>
          <w:b/>
          <w:sz w:val="44"/>
          <w:szCs w:val="44"/>
        </w:rPr>
        <w:br w:type="page"/>
      </w:r>
    </w:p>
    <w:p>
      <w:pPr>
        <w:jc w:val="center"/>
        <w:outlineLvl w:val="0"/>
        <w:rPr>
          <w:rFonts w:ascii="宋体" w:hAnsi="宋体"/>
          <w:b/>
          <w:sz w:val="24"/>
        </w:rPr>
      </w:pPr>
      <w:bookmarkStart w:id="2" w:name="_Toc31414"/>
      <w:r>
        <w:rPr>
          <w:rFonts w:hint="eastAsia" w:ascii="宋体" w:hAnsi="宋体"/>
          <w:b/>
          <w:sz w:val="30"/>
          <w:szCs w:val="30"/>
        </w:rPr>
        <w:t>招标(磋商)公告</w:t>
      </w:r>
      <w:bookmarkEnd w:id="2"/>
    </w:p>
    <w:p>
      <w:pPr>
        <w:pBdr>
          <w:top w:val="single" w:color="auto" w:sz="4" w:space="1"/>
          <w:left w:val="single" w:color="auto" w:sz="4" w:space="4"/>
          <w:bottom w:val="single" w:color="auto" w:sz="4" w:space="1"/>
          <w:right w:val="single" w:color="auto" w:sz="4" w:space="4"/>
        </w:pBdr>
        <w:spacing w:line="400" w:lineRule="exact"/>
        <w:ind w:firstLine="482" w:firstLineChars="200"/>
        <w:rPr>
          <w:rFonts w:ascii="宋体" w:hAnsi="宋体" w:cs="宋体"/>
          <w:b/>
          <w:bCs/>
          <w:sz w:val="24"/>
          <w:u w:val="single"/>
        </w:rPr>
      </w:pPr>
      <w:r>
        <w:rPr>
          <w:rFonts w:hint="eastAsia" w:ascii="宋体" w:hAnsi="宋体" w:cs="宋体"/>
          <w:b/>
          <w:bCs/>
          <w:sz w:val="24"/>
          <w:u w:val="single"/>
        </w:rPr>
        <w:t>项目概况</w:t>
      </w:r>
    </w:p>
    <w:p>
      <w:pPr>
        <w:pBdr>
          <w:top w:val="single" w:color="auto" w:sz="4" w:space="1"/>
          <w:left w:val="single" w:color="auto" w:sz="4" w:space="4"/>
          <w:bottom w:val="single" w:color="auto" w:sz="4" w:space="1"/>
          <w:right w:val="single" w:color="auto" w:sz="4" w:space="4"/>
        </w:pBdr>
        <w:wordWrap w:val="0"/>
        <w:spacing w:line="400" w:lineRule="exact"/>
        <w:ind w:firstLine="482" w:firstLineChars="200"/>
        <w:rPr>
          <w:rFonts w:ascii="宋体" w:hAnsi="宋体" w:cs="宋体"/>
          <w:sz w:val="24"/>
        </w:rPr>
      </w:pPr>
      <w:r>
        <w:rPr>
          <w:rFonts w:hint="eastAsia" w:ascii="宋体" w:hAnsi="宋体" w:cs="宋体"/>
          <w:b/>
          <w:bCs/>
          <w:color w:val="auto"/>
          <w:sz w:val="24"/>
          <w:u w:val="single"/>
          <w:lang w:eastAsia="zh-CN"/>
        </w:rPr>
        <w:t>磐安县仁川镇共富风貌驿产品采购项目（第二次）</w:t>
      </w:r>
      <w:r>
        <w:rPr>
          <w:rFonts w:hint="eastAsia" w:ascii="宋体" w:hAnsi="宋体" w:cs="宋体"/>
          <w:b/>
          <w:bCs/>
          <w:color w:val="auto"/>
          <w:sz w:val="24"/>
          <w:u w:val="single"/>
        </w:rPr>
        <w:t>（经磐财采确</w:t>
      </w:r>
      <w:r>
        <w:rPr>
          <w:color w:val="auto"/>
        </w:rPr>
        <w:fldChar w:fldCharType="begin"/>
      </w:r>
      <w:r>
        <w:rPr>
          <w:color w:val="auto"/>
        </w:rPr>
        <w:instrText xml:space="preserve"> HYPERLINK "https://pay.zcygov.cn/purchaseplan_front/" \l "/purchasePlans/_blank" \t "https://www.zcygov.cn/bidding-entrust/" </w:instrText>
      </w:r>
      <w:r>
        <w:rPr>
          <w:color w:val="auto"/>
        </w:rPr>
        <w:fldChar w:fldCharType="separate"/>
      </w:r>
      <w:r>
        <w:rPr>
          <w:rStyle w:val="43"/>
          <w:rFonts w:hint="eastAsia" w:ascii="宋体" w:hAnsi="宋体" w:cs="宋体"/>
          <w:b/>
          <w:bCs/>
          <w:color w:val="auto"/>
          <w:sz w:val="24"/>
        </w:rPr>
        <w:t>临[2024]523号</w:t>
      </w:r>
      <w:r>
        <w:rPr>
          <w:rStyle w:val="43"/>
          <w:rFonts w:ascii="宋体" w:hAnsi="宋体" w:cs="宋体"/>
          <w:b/>
          <w:bCs/>
          <w:color w:val="auto"/>
          <w:sz w:val="24"/>
        </w:rPr>
        <w:fldChar w:fldCharType="end"/>
      </w:r>
      <w:r>
        <w:rPr>
          <w:rFonts w:hint="eastAsia" w:ascii="宋体" w:hAnsi="宋体" w:cs="宋体"/>
          <w:b/>
          <w:bCs/>
          <w:color w:val="auto"/>
          <w:sz w:val="24"/>
          <w:u w:val="single"/>
        </w:rPr>
        <w:t>采购计划确认书批准）</w:t>
      </w:r>
      <w:r>
        <w:rPr>
          <w:rFonts w:hint="eastAsia" w:ascii="宋体" w:hAnsi="宋体" w:cs="宋体"/>
          <w:b/>
          <w:bCs/>
          <w:color w:val="auto"/>
          <w:sz w:val="24"/>
          <w:u w:val="single"/>
          <w:lang w:eastAsia="zh-CN"/>
        </w:rPr>
        <w:t>，</w:t>
      </w:r>
      <w:r>
        <w:rPr>
          <w:rFonts w:hint="eastAsia" w:ascii="宋体" w:hAnsi="宋体" w:cs="宋体"/>
          <w:color w:val="auto"/>
          <w:sz w:val="24"/>
        </w:rPr>
        <w:t>潜在投标人应在</w:t>
      </w:r>
      <w:r>
        <w:rPr>
          <w:rFonts w:hint="eastAsia" w:ascii="宋体" w:hAnsi="宋体" w:cs="宋体"/>
          <w:color w:val="auto"/>
          <w:sz w:val="24"/>
          <w:u w:val="single"/>
        </w:rPr>
        <w:t>（网址：浙江政府采购网:http://zfcg.czt.zj.gov.cn）</w:t>
      </w:r>
      <w:r>
        <w:rPr>
          <w:rFonts w:hint="eastAsia" w:ascii="宋体" w:hAnsi="宋体" w:cs="宋体"/>
          <w:color w:val="auto"/>
          <w:sz w:val="24"/>
        </w:rPr>
        <w:t>获取招标文件，并于</w:t>
      </w:r>
      <w:r>
        <w:rPr>
          <w:rFonts w:hint="eastAsia" w:ascii="宋体" w:hAnsi="宋体" w:cs="Arial"/>
          <w:b/>
          <w:bCs/>
          <w:color w:val="auto"/>
          <w:sz w:val="24"/>
          <w:u w:val="single"/>
          <w:lang w:eastAsia="zh-CN"/>
        </w:rPr>
        <w:t>2024年7月8日09:00</w:t>
      </w:r>
      <w:r>
        <w:rPr>
          <w:rFonts w:hint="eastAsia" w:ascii="宋体" w:hAnsi="宋体" w:cs="宋体"/>
          <w:bCs/>
          <w:color w:val="auto"/>
          <w:sz w:val="24"/>
          <w:u w:val="single"/>
        </w:rPr>
        <w:t>（</w:t>
      </w:r>
      <w:r>
        <w:rPr>
          <w:rFonts w:hint="eastAsia" w:ascii="宋体" w:hAnsi="宋体" w:cs="宋体"/>
          <w:bCs/>
          <w:color w:val="auto"/>
          <w:sz w:val="24"/>
        </w:rPr>
        <w:t>北京</w:t>
      </w:r>
      <w:r>
        <w:rPr>
          <w:rFonts w:hint="eastAsia" w:ascii="宋体" w:hAnsi="宋体" w:cs="宋体"/>
          <w:bCs/>
          <w:sz w:val="24"/>
        </w:rPr>
        <w:t>时间）前递交投标文件</w:t>
      </w:r>
      <w:r>
        <w:rPr>
          <w:rFonts w:hint="eastAsia" w:ascii="宋体" w:hAnsi="宋体" w:cs="宋体"/>
          <w:sz w:val="24"/>
        </w:rPr>
        <w:t>。</w:t>
      </w:r>
    </w:p>
    <w:p>
      <w:pPr>
        <w:snapToGrid w:val="0"/>
        <w:spacing w:line="480" w:lineRule="exact"/>
        <w:ind w:firstLine="602" w:firstLineChars="250"/>
        <w:rPr>
          <w:rFonts w:hint="eastAsia" w:ascii="宋体" w:hAnsi="宋体" w:eastAsia="宋体" w:cs="宋体"/>
          <w:b/>
          <w:sz w:val="24"/>
          <w:lang w:eastAsia="zh-CN"/>
        </w:rPr>
      </w:pPr>
      <w:r>
        <w:rPr>
          <w:rFonts w:hint="eastAsia" w:ascii="宋体" w:hAnsi="宋体" w:cs="宋体"/>
          <w:b/>
          <w:sz w:val="24"/>
        </w:rPr>
        <w:t>一、项目编号：</w:t>
      </w:r>
      <w:r>
        <w:rPr>
          <w:rFonts w:hint="eastAsia" w:ascii="宋体" w:hAnsi="宋体" w:cs="宋体"/>
          <w:bCs/>
          <w:sz w:val="24"/>
          <w:lang w:eastAsia="zh-CN"/>
        </w:rPr>
        <w:t>ZJCY-PA2024009</w:t>
      </w:r>
    </w:p>
    <w:p>
      <w:pPr>
        <w:snapToGrid w:val="0"/>
        <w:spacing w:line="480" w:lineRule="exact"/>
        <w:ind w:firstLine="602" w:firstLineChars="250"/>
        <w:rPr>
          <w:rFonts w:ascii="宋体" w:hAnsi="宋体" w:cs="宋体"/>
          <w:bCs/>
          <w:sz w:val="24"/>
        </w:rPr>
      </w:pPr>
      <w:r>
        <w:rPr>
          <w:rFonts w:hint="eastAsia" w:ascii="宋体" w:hAnsi="宋体" w:cs="宋体"/>
          <w:b/>
          <w:sz w:val="24"/>
        </w:rPr>
        <w:t>二、采购组织类型：</w:t>
      </w:r>
      <w:r>
        <w:rPr>
          <w:rFonts w:hint="eastAsia" w:ascii="宋体" w:hAnsi="宋体" w:cs="宋体"/>
          <w:bCs/>
          <w:sz w:val="24"/>
        </w:rPr>
        <w:t>分散采购</w:t>
      </w:r>
    </w:p>
    <w:p>
      <w:pPr>
        <w:snapToGrid w:val="0"/>
        <w:spacing w:line="480" w:lineRule="exact"/>
        <w:ind w:firstLine="1566" w:firstLineChars="650"/>
        <w:rPr>
          <w:rFonts w:ascii="宋体" w:hAnsi="宋体" w:cs="宋体"/>
          <w:b/>
          <w:sz w:val="24"/>
        </w:rPr>
      </w:pPr>
      <w:r>
        <w:rPr>
          <w:rFonts w:hint="eastAsia" w:ascii="宋体" w:hAnsi="宋体" w:cs="宋体"/>
          <w:b/>
          <w:sz w:val="24"/>
        </w:rPr>
        <w:t>采购方式：</w:t>
      </w:r>
      <w:r>
        <w:rPr>
          <w:rFonts w:hint="eastAsia" w:ascii="宋体" w:hAnsi="宋体" w:cs="宋体"/>
          <w:bCs/>
          <w:sz w:val="24"/>
        </w:rPr>
        <w:t xml:space="preserve">竞争性磋商      </w:t>
      </w:r>
    </w:p>
    <w:p>
      <w:pPr>
        <w:snapToGrid w:val="0"/>
        <w:spacing w:line="480" w:lineRule="exact"/>
        <w:ind w:firstLine="602" w:firstLineChars="250"/>
        <w:rPr>
          <w:rFonts w:ascii="宋体" w:hAnsi="宋体" w:cs="宋体"/>
          <w:b/>
          <w:sz w:val="24"/>
        </w:rPr>
      </w:pPr>
      <w:r>
        <w:rPr>
          <w:rFonts w:hint="eastAsia" w:ascii="宋体" w:hAnsi="宋体" w:cs="宋体"/>
          <w:b/>
          <w:sz w:val="24"/>
        </w:rPr>
        <w:t>三、预算金额：172万元</w:t>
      </w:r>
    </w:p>
    <w:p>
      <w:pPr>
        <w:snapToGrid w:val="0"/>
        <w:spacing w:line="480" w:lineRule="exact"/>
        <w:ind w:firstLine="1084" w:firstLineChars="450"/>
        <w:rPr>
          <w:rFonts w:ascii="宋体" w:hAnsi="宋体" w:cs="宋体"/>
          <w:sz w:val="24"/>
        </w:rPr>
      </w:pPr>
      <w:r>
        <w:rPr>
          <w:rFonts w:hint="eastAsia" w:ascii="宋体" w:hAnsi="宋体" w:cs="宋体"/>
          <w:b/>
          <w:sz w:val="24"/>
        </w:rPr>
        <w:t>合同履行期限：</w:t>
      </w:r>
      <w:r>
        <w:rPr>
          <w:rFonts w:hint="eastAsia" w:ascii="宋体" w:hAnsi="宋体" w:cs="宋体"/>
          <w:sz w:val="24"/>
        </w:rPr>
        <w:t>合同签订后60天内完成项目交付。</w:t>
      </w:r>
    </w:p>
    <w:p>
      <w:pPr>
        <w:numPr>
          <w:ilvl w:val="0"/>
          <w:numId w:val="6"/>
        </w:numPr>
        <w:snapToGrid w:val="0"/>
        <w:spacing w:line="480" w:lineRule="exact"/>
        <w:ind w:firstLine="602" w:firstLineChars="250"/>
        <w:rPr>
          <w:rFonts w:ascii="宋体" w:hAnsi="宋体" w:cs="宋体"/>
          <w:sz w:val="24"/>
        </w:rPr>
      </w:pPr>
      <w:r>
        <w:rPr>
          <w:rFonts w:hint="eastAsia" w:ascii="宋体" w:hAnsi="宋体" w:cs="宋体"/>
          <w:b/>
          <w:sz w:val="24"/>
        </w:rPr>
        <w:t>采购需求：</w:t>
      </w:r>
      <w:r>
        <w:rPr>
          <w:rFonts w:hint="eastAsia" w:ascii="宋体" w:hAnsi="宋体" w:cs="宋体"/>
          <w:sz w:val="24"/>
        </w:rPr>
        <w:t>（详细采购要求见招标需求）</w:t>
      </w:r>
    </w:p>
    <w:tbl>
      <w:tblPr>
        <w:tblStyle w:val="37"/>
        <w:tblW w:w="94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825"/>
        <w:gridCol w:w="735"/>
        <w:gridCol w:w="735"/>
        <w:gridCol w:w="1365"/>
        <w:gridCol w:w="276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3825" w:type="dxa"/>
            <w:vAlign w:val="center"/>
          </w:tcPr>
          <w:p>
            <w:pPr>
              <w:spacing w:line="360" w:lineRule="exact"/>
              <w:jc w:val="center"/>
              <w:rPr>
                <w:rFonts w:ascii="宋体" w:hAnsi="宋体"/>
                <w:b/>
                <w:szCs w:val="21"/>
              </w:rPr>
            </w:pPr>
            <w:r>
              <w:rPr>
                <w:rFonts w:hint="eastAsia" w:ascii="宋体" w:hAnsi="宋体"/>
                <w:b/>
                <w:szCs w:val="21"/>
              </w:rPr>
              <w:t>项目内容</w:t>
            </w:r>
          </w:p>
        </w:tc>
        <w:tc>
          <w:tcPr>
            <w:tcW w:w="735" w:type="dxa"/>
            <w:vAlign w:val="center"/>
          </w:tcPr>
          <w:p>
            <w:pPr>
              <w:spacing w:line="360" w:lineRule="exact"/>
              <w:jc w:val="center"/>
              <w:rPr>
                <w:rFonts w:ascii="宋体" w:hAnsi="宋体"/>
                <w:b/>
                <w:szCs w:val="21"/>
              </w:rPr>
            </w:pPr>
            <w:r>
              <w:rPr>
                <w:rFonts w:hint="eastAsia" w:ascii="宋体" w:hAnsi="宋体"/>
                <w:b/>
                <w:szCs w:val="21"/>
              </w:rPr>
              <w:t>数量</w:t>
            </w:r>
          </w:p>
        </w:tc>
        <w:tc>
          <w:tcPr>
            <w:tcW w:w="735" w:type="dxa"/>
            <w:vAlign w:val="center"/>
          </w:tcPr>
          <w:p>
            <w:pPr>
              <w:spacing w:line="360" w:lineRule="exact"/>
              <w:jc w:val="center"/>
              <w:rPr>
                <w:rFonts w:ascii="宋体" w:hAnsi="宋体"/>
                <w:b/>
                <w:szCs w:val="21"/>
              </w:rPr>
            </w:pPr>
            <w:r>
              <w:rPr>
                <w:rFonts w:hint="eastAsia" w:ascii="宋体" w:hAnsi="宋体"/>
                <w:b/>
                <w:szCs w:val="21"/>
              </w:rPr>
              <w:t>单位</w:t>
            </w:r>
          </w:p>
        </w:tc>
        <w:tc>
          <w:tcPr>
            <w:tcW w:w="1365" w:type="dxa"/>
            <w:vAlign w:val="center"/>
          </w:tcPr>
          <w:p>
            <w:pPr>
              <w:spacing w:line="360" w:lineRule="exact"/>
              <w:jc w:val="center"/>
              <w:rPr>
                <w:rFonts w:ascii="宋体" w:hAnsi="宋体"/>
                <w:b/>
                <w:szCs w:val="21"/>
              </w:rPr>
            </w:pPr>
            <w:r>
              <w:rPr>
                <w:rFonts w:hint="eastAsia" w:ascii="宋体" w:hAnsi="宋体"/>
                <w:b/>
                <w:szCs w:val="21"/>
              </w:rPr>
              <w:t>最高限价</w:t>
            </w:r>
          </w:p>
          <w:p>
            <w:pPr>
              <w:spacing w:line="360" w:lineRule="exact"/>
              <w:ind w:firstLine="105" w:firstLineChars="50"/>
              <w:rPr>
                <w:rFonts w:ascii="宋体" w:hAnsi="宋体"/>
                <w:b/>
                <w:szCs w:val="21"/>
              </w:rPr>
            </w:pPr>
            <w:r>
              <w:rPr>
                <w:rFonts w:hint="eastAsia" w:ascii="宋体" w:hAnsi="宋体"/>
                <w:b/>
                <w:szCs w:val="21"/>
              </w:rPr>
              <w:t>（万元）</w:t>
            </w:r>
          </w:p>
        </w:tc>
        <w:tc>
          <w:tcPr>
            <w:tcW w:w="2763" w:type="dxa"/>
            <w:vAlign w:val="center"/>
          </w:tcPr>
          <w:p>
            <w:pPr>
              <w:spacing w:line="360" w:lineRule="exact"/>
              <w:jc w:val="center"/>
              <w:rPr>
                <w:rFonts w:ascii="宋体" w:hAnsi="宋体"/>
                <w:b/>
                <w:szCs w:val="21"/>
              </w:rPr>
            </w:pPr>
            <w:r>
              <w:rPr>
                <w:rFonts w:hint="eastAsia" w:ascii="宋体" w:hAnsi="宋体"/>
                <w:b/>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0" w:hRule="atLeast"/>
          <w:jc w:val="center"/>
        </w:trPr>
        <w:tc>
          <w:tcPr>
            <w:tcW w:w="3825" w:type="dxa"/>
            <w:shd w:val="clear" w:color="auto" w:fill="auto"/>
            <w:vAlign w:val="center"/>
          </w:tcPr>
          <w:p>
            <w:pPr>
              <w:spacing w:line="360" w:lineRule="exact"/>
              <w:rPr>
                <w:rFonts w:hint="eastAsia" w:ascii="宋体" w:hAnsi="宋体" w:eastAsia="宋体"/>
                <w:b/>
                <w:bCs/>
                <w:szCs w:val="21"/>
                <w:lang w:eastAsia="zh-CN"/>
              </w:rPr>
            </w:pPr>
            <w:r>
              <w:rPr>
                <w:rFonts w:hint="eastAsia" w:ascii="宋体" w:hAnsi="宋体"/>
                <w:b/>
                <w:bCs/>
                <w:sz w:val="24"/>
                <w:lang w:eastAsia="zh-CN"/>
              </w:rPr>
              <w:t>磐安县仁川镇共富风貌驿产品采购项目（第二次）</w:t>
            </w:r>
          </w:p>
        </w:tc>
        <w:tc>
          <w:tcPr>
            <w:tcW w:w="735" w:type="dxa"/>
            <w:shd w:val="clear" w:color="auto" w:fill="auto"/>
            <w:vAlign w:val="center"/>
          </w:tcPr>
          <w:p>
            <w:pPr>
              <w:spacing w:line="360" w:lineRule="exact"/>
              <w:jc w:val="center"/>
              <w:rPr>
                <w:rFonts w:ascii="宋体" w:hAnsi="宋体"/>
                <w:b/>
                <w:bCs/>
                <w:szCs w:val="21"/>
              </w:rPr>
            </w:pPr>
            <w:r>
              <w:rPr>
                <w:rFonts w:hint="eastAsia" w:ascii="宋体" w:hAnsi="宋体"/>
                <w:b/>
                <w:bCs/>
                <w:szCs w:val="21"/>
              </w:rPr>
              <w:t>1</w:t>
            </w:r>
          </w:p>
        </w:tc>
        <w:tc>
          <w:tcPr>
            <w:tcW w:w="735" w:type="dxa"/>
            <w:shd w:val="clear" w:color="auto" w:fill="auto"/>
            <w:vAlign w:val="center"/>
          </w:tcPr>
          <w:p>
            <w:pPr>
              <w:spacing w:line="360" w:lineRule="exact"/>
              <w:jc w:val="center"/>
              <w:rPr>
                <w:rFonts w:hint="eastAsia" w:ascii="宋体" w:hAnsi="宋体" w:eastAsia="宋体"/>
                <w:b/>
                <w:bCs/>
                <w:szCs w:val="21"/>
                <w:lang w:val="en-US" w:eastAsia="zh-CN"/>
              </w:rPr>
            </w:pPr>
            <w:r>
              <w:rPr>
                <w:rFonts w:hint="eastAsia" w:ascii="宋体" w:hAnsi="宋体"/>
                <w:b/>
                <w:bCs/>
                <w:szCs w:val="21"/>
                <w:lang w:val="en-US" w:eastAsia="zh-CN"/>
              </w:rPr>
              <w:t>批</w:t>
            </w:r>
          </w:p>
        </w:tc>
        <w:tc>
          <w:tcPr>
            <w:tcW w:w="1365" w:type="dxa"/>
            <w:shd w:val="clear" w:color="auto" w:fill="auto"/>
            <w:vAlign w:val="center"/>
          </w:tcPr>
          <w:p>
            <w:pPr>
              <w:spacing w:line="360" w:lineRule="exact"/>
              <w:jc w:val="center"/>
              <w:rPr>
                <w:rFonts w:ascii="宋体" w:hAnsi="宋体"/>
                <w:b/>
                <w:bCs/>
                <w:szCs w:val="21"/>
              </w:rPr>
            </w:pPr>
            <w:r>
              <w:rPr>
                <w:rFonts w:hint="eastAsia" w:ascii="宋体" w:hAnsi="宋体"/>
                <w:b/>
                <w:bCs/>
                <w:szCs w:val="21"/>
              </w:rPr>
              <w:t>172</w:t>
            </w:r>
          </w:p>
        </w:tc>
        <w:tc>
          <w:tcPr>
            <w:tcW w:w="2763" w:type="dxa"/>
            <w:shd w:val="clear" w:color="auto" w:fill="auto"/>
            <w:vAlign w:val="center"/>
          </w:tcPr>
          <w:p>
            <w:pPr>
              <w:spacing w:line="360" w:lineRule="exact"/>
              <w:jc w:val="center"/>
              <w:rPr>
                <w:rFonts w:ascii="宋体" w:hAnsi="宋体"/>
                <w:b/>
                <w:bCs/>
                <w:szCs w:val="21"/>
              </w:rPr>
            </w:pPr>
            <w:r>
              <w:rPr>
                <w:rFonts w:hint="eastAsia" w:hAnsi="宋体"/>
                <w:b/>
                <w:bCs/>
                <w:sz w:val="24"/>
              </w:rPr>
              <w:t>具体详见第一章《招标需求》</w:t>
            </w:r>
            <w:r>
              <w:rPr>
                <w:rFonts w:hint="eastAsia" w:ascii="宋体" w:hAnsi="宋体" w:cs="宋体"/>
                <w:bCs/>
                <w:color w:val="00B050"/>
                <w:sz w:val="24"/>
              </w:rPr>
              <w:t>。</w:t>
            </w:r>
          </w:p>
        </w:tc>
      </w:tr>
    </w:tbl>
    <w:p>
      <w:pPr>
        <w:spacing w:line="460" w:lineRule="exact"/>
        <w:ind w:firstLine="482" w:firstLineChars="200"/>
        <w:outlineLvl w:val="1"/>
        <w:rPr>
          <w:rFonts w:ascii="宋体" w:hAnsi="宋体" w:cs="宋体"/>
          <w:b/>
          <w:sz w:val="24"/>
        </w:rPr>
      </w:pPr>
      <w:bookmarkStart w:id="3" w:name="_Toc2693"/>
      <w:r>
        <w:rPr>
          <w:rFonts w:hint="eastAsia" w:ascii="宋体" w:hAnsi="宋体" w:cs="宋体"/>
          <w:b/>
          <w:sz w:val="24"/>
        </w:rPr>
        <w:t>五、参加磋商谈判厂（商）家的资格要求：</w:t>
      </w:r>
      <w:bookmarkEnd w:id="3"/>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1.满足《中华人民共和国政府采购法》第二十二条规定；本项目磋商谈判截止之日前三年内，未被“信用中国”、“中国政府采购网”列入失信被执行人、重大税收违法案件当事人名单、政府采购严重违法失信行为记录名单的。</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2.落实政府采购政策需满足的资格要求：</w:t>
      </w:r>
    </w:p>
    <w:p>
      <w:pPr>
        <w:spacing w:line="480" w:lineRule="exact"/>
        <w:ind w:firstLine="720" w:firstLineChars="300"/>
        <w:rPr>
          <w:rFonts w:ascii="宋体" w:hAnsi="宋体"/>
          <w:sz w:val="24"/>
        </w:rPr>
      </w:pPr>
      <w:r>
        <w:rPr>
          <w:rFonts w:hint="eastAsia" w:ascii="宋体" w:hAnsi="宋体"/>
          <w:sz w:val="24"/>
        </w:rPr>
        <w:sym w:font="Wingdings" w:char="00FE"/>
      </w:r>
      <w:r>
        <w:rPr>
          <w:rFonts w:hint="eastAsia" w:ascii="宋体" w:hAnsi="宋体"/>
          <w:sz w:val="24"/>
        </w:rPr>
        <w:t>本项目不专门面向中小企业。</w:t>
      </w:r>
    </w:p>
    <w:p>
      <w:pPr>
        <w:spacing w:line="480" w:lineRule="exact"/>
        <w:ind w:firstLine="720" w:firstLineChars="300"/>
        <w:rPr>
          <w:rFonts w:ascii="宋体" w:hAnsi="宋体"/>
          <w:sz w:val="24"/>
        </w:rPr>
      </w:pPr>
      <w:r>
        <w:rPr>
          <w:rFonts w:hint="eastAsia" w:ascii="宋体" w:hAnsi="宋体"/>
          <w:sz w:val="24"/>
        </w:rPr>
        <w:sym w:font="Wingdings" w:char="00A8"/>
      </w:r>
      <w:r>
        <w:rPr>
          <w:rFonts w:hint="eastAsia" w:ascii="宋体" w:hAnsi="宋体"/>
          <w:sz w:val="24"/>
        </w:rPr>
        <w:t>本项目专门面向中小企业。</w:t>
      </w:r>
    </w:p>
    <w:p>
      <w:pPr>
        <w:spacing w:line="480" w:lineRule="exact"/>
        <w:ind w:firstLine="1200" w:firstLineChars="500"/>
        <w:rPr>
          <w:rFonts w:ascii="宋体" w:hAnsi="宋体"/>
          <w:sz w:val="24"/>
        </w:rPr>
      </w:pPr>
      <w:r>
        <w:rPr>
          <w:rFonts w:hint="eastAsia" w:ascii="宋体" w:hAnsi="宋体"/>
          <w:sz w:val="24"/>
        </w:rPr>
        <w:sym w:font="Wingdings" w:char="00A8"/>
      </w:r>
      <w:r>
        <w:rPr>
          <w:rFonts w:hint="eastAsia" w:ascii="宋体" w:hAnsi="宋体"/>
          <w:sz w:val="24"/>
        </w:rPr>
        <w:t>货物全部由符合政策要求的中小企业制造，提供中小企业声明函；</w:t>
      </w:r>
    </w:p>
    <w:p>
      <w:pPr>
        <w:spacing w:line="480" w:lineRule="exact"/>
        <w:ind w:firstLine="1200" w:firstLineChars="500"/>
        <w:rPr>
          <w:rFonts w:ascii="宋体" w:hAnsi="宋体"/>
          <w:sz w:val="24"/>
        </w:rPr>
      </w:pPr>
      <w:r>
        <w:rPr>
          <w:rFonts w:hint="eastAsia" w:ascii="宋体" w:hAnsi="宋体"/>
          <w:sz w:val="24"/>
        </w:rPr>
        <w:sym w:font="Wingdings" w:char="00A8"/>
      </w:r>
      <w:r>
        <w:rPr>
          <w:rFonts w:hint="eastAsia" w:ascii="宋体" w:hAnsi="宋体"/>
          <w:sz w:val="24"/>
        </w:rPr>
        <w:t>货物全部由符合政策要求的小微企业制造，提供中小企业声明函；</w:t>
      </w:r>
    </w:p>
    <w:p>
      <w:pPr>
        <w:spacing w:line="480" w:lineRule="exact"/>
        <w:ind w:firstLine="1200" w:firstLineChars="500"/>
        <w:rPr>
          <w:rFonts w:ascii="宋体" w:hAnsi="宋体"/>
          <w:sz w:val="24"/>
        </w:rPr>
      </w:pPr>
      <w:r>
        <w:rPr>
          <w:rFonts w:hint="eastAsia" w:ascii="宋体" w:hAnsi="宋体"/>
          <w:sz w:val="24"/>
        </w:rPr>
        <w:sym w:font="Wingdings" w:char="00A8"/>
      </w:r>
      <w:r>
        <w:rPr>
          <w:rFonts w:hint="eastAsia" w:ascii="宋体" w:hAnsi="宋体"/>
          <w:sz w:val="24"/>
        </w:rPr>
        <w:t>工程全部由符合政策要求的中小企业承接，提供中小企业声明函；</w:t>
      </w:r>
    </w:p>
    <w:p>
      <w:pPr>
        <w:spacing w:line="480" w:lineRule="exact"/>
        <w:ind w:firstLine="1200" w:firstLineChars="500"/>
        <w:rPr>
          <w:rFonts w:ascii="宋体" w:hAnsi="宋体"/>
          <w:sz w:val="24"/>
        </w:rPr>
      </w:pPr>
      <w:r>
        <w:rPr>
          <w:rFonts w:hint="eastAsia" w:ascii="宋体" w:hAnsi="宋体"/>
          <w:sz w:val="24"/>
        </w:rPr>
        <w:sym w:font="Wingdings" w:char="00A8"/>
      </w:r>
      <w:r>
        <w:rPr>
          <w:rFonts w:hint="eastAsia" w:ascii="宋体" w:hAnsi="宋体"/>
          <w:sz w:val="24"/>
        </w:rPr>
        <w:t>工程全部由符合政策要求的小微企业承接，提供中小企业声明函；</w:t>
      </w:r>
    </w:p>
    <w:p>
      <w:pPr>
        <w:spacing w:line="480" w:lineRule="exact"/>
        <w:ind w:firstLine="1200" w:firstLineChars="500"/>
        <w:rPr>
          <w:rFonts w:ascii="宋体" w:hAnsi="宋体"/>
          <w:sz w:val="24"/>
        </w:rPr>
      </w:pPr>
      <w:r>
        <w:rPr>
          <w:rFonts w:hint="eastAsia" w:ascii="宋体" w:hAnsi="宋体"/>
          <w:sz w:val="24"/>
        </w:rPr>
        <w:sym w:font="Wingdings" w:char="00A8"/>
      </w:r>
      <w:r>
        <w:rPr>
          <w:rFonts w:hint="eastAsia" w:ascii="宋体" w:hAnsi="宋体"/>
          <w:sz w:val="24"/>
        </w:rPr>
        <w:t>服务全部由符合政策要求的中小企业承接，提供中小企业声明函；</w:t>
      </w:r>
    </w:p>
    <w:p>
      <w:pPr>
        <w:spacing w:line="480" w:lineRule="exact"/>
        <w:ind w:firstLine="1200" w:firstLineChars="500"/>
      </w:pPr>
      <w:r>
        <w:rPr>
          <w:rFonts w:hint="eastAsia" w:ascii="宋体" w:hAnsi="宋体"/>
          <w:sz w:val="24"/>
        </w:rPr>
        <w:sym w:font="Wingdings" w:char="00A8"/>
      </w:r>
      <w:r>
        <w:rPr>
          <w:rFonts w:hint="eastAsia" w:ascii="宋体" w:hAnsi="宋体"/>
          <w:sz w:val="24"/>
        </w:rPr>
        <w:t>服务全部由符合政策要求的小微企业承接，提供中小企业声明函；</w:t>
      </w:r>
    </w:p>
    <w:p>
      <w:pPr>
        <w:numPr>
          <w:ilvl w:val="0"/>
          <w:numId w:val="7"/>
        </w:numPr>
        <w:snapToGrid w:val="0"/>
        <w:spacing w:line="460" w:lineRule="exact"/>
        <w:ind w:right="218" w:rightChars="104" w:firstLine="542" w:firstLineChars="225"/>
        <w:rPr>
          <w:rFonts w:ascii="宋体" w:hAnsi="宋体" w:cs="Arial"/>
          <w:b/>
          <w:bCs/>
          <w:sz w:val="24"/>
        </w:rPr>
      </w:pPr>
      <w:r>
        <w:rPr>
          <w:rFonts w:hint="eastAsia" w:ascii="宋体" w:hAnsi="宋体" w:cs="Arial"/>
          <w:b/>
          <w:bCs/>
          <w:sz w:val="24"/>
        </w:rPr>
        <w:t>本项目的特定资格要求：无</w:t>
      </w:r>
    </w:p>
    <w:p>
      <w:pPr>
        <w:numPr>
          <w:ilvl w:val="0"/>
          <w:numId w:val="7"/>
        </w:numPr>
        <w:ind w:firstLine="540" w:firstLineChars="225"/>
        <w:rPr>
          <w:sz w:val="24"/>
        </w:rPr>
      </w:pPr>
      <w:r>
        <w:rPr>
          <w:rFonts w:hint="eastAsia" w:ascii="宋体" w:hAnsi="宋体" w:cs="Arial"/>
          <w:bCs/>
          <w:sz w:val="24"/>
        </w:rPr>
        <w:t>本项目否接受联合体投标。</w:t>
      </w:r>
    </w:p>
    <w:p>
      <w:pPr>
        <w:pStyle w:val="3"/>
        <w:keepLines/>
        <w:adjustRightInd/>
        <w:snapToGrid/>
        <w:spacing w:before="140" w:after="20" w:afterLines="0" w:line="360" w:lineRule="auto"/>
        <w:ind w:firstLine="562" w:firstLineChars="200"/>
        <w:jc w:val="both"/>
      </w:pPr>
      <w:r>
        <w:rPr>
          <w:rFonts w:hint="eastAsia" w:ascii="Arial" w:hAnsi="Arial"/>
          <w:kern w:val="2"/>
          <w:sz w:val="28"/>
          <w:szCs w:val="32"/>
        </w:rPr>
        <w:t>三、招标文件的获取</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1.招标文件获取期限：投标截止时间前</w:t>
      </w:r>
    </w:p>
    <w:p>
      <w:pPr>
        <w:snapToGrid w:val="0"/>
        <w:spacing w:line="480" w:lineRule="exact"/>
        <w:ind w:right="218" w:rightChars="104" w:firstLine="480" w:firstLineChars="200"/>
      </w:pPr>
      <w:r>
        <w:rPr>
          <w:rFonts w:hint="eastAsia" w:ascii="宋体" w:hAnsi="宋体" w:cs="Arial"/>
          <w:bCs/>
          <w:sz w:val="24"/>
        </w:rPr>
        <w:t>2.招标文件获取方式：政府采购云平台（www.zcygov.cn）</w:t>
      </w:r>
    </w:p>
    <w:p>
      <w:pPr>
        <w:snapToGrid w:val="0"/>
        <w:spacing w:line="480" w:lineRule="exact"/>
        <w:ind w:right="218" w:rightChars="104" w:firstLine="482" w:firstLineChars="200"/>
        <w:rPr>
          <w:rFonts w:ascii="宋体" w:hAnsi="宋体" w:cs="Arial"/>
          <w:b/>
          <w:sz w:val="24"/>
        </w:rPr>
      </w:pPr>
      <w:r>
        <w:rPr>
          <w:rFonts w:hint="eastAsia" w:ascii="宋体" w:hAnsi="宋体" w:cs="Arial"/>
          <w:b/>
          <w:sz w:val="24"/>
        </w:rPr>
        <w:t xml:space="preserve">（1）供应商登录政采云平台在线申请获取采购文件（进入“项目采购”应用，在获取采购文件菜单中选择项目，申请获取采购文件）。 </w:t>
      </w:r>
    </w:p>
    <w:p>
      <w:pPr>
        <w:snapToGrid w:val="0"/>
        <w:spacing w:line="480" w:lineRule="exact"/>
        <w:ind w:right="218" w:rightChars="104" w:firstLine="482" w:firstLineChars="200"/>
        <w:rPr>
          <w:rFonts w:ascii="Arial" w:hAnsi="Arial"/>
          <w:sz w:val="28"/>
          <w:szCs w:val="32"/>
        </w:rPr>
      </w:pPr>
      <w:r>
        <w:rPr>
          <w:rFonts w:hint="eastAsia" w:ascii="宋体" w:hAnsi="宋体" w:cs="Arial"/>
          <w:b/>
          <w:sz w:val="24"/>
        </w:rPr>
        <w:t>（2）在浙江政府采购网采购公告附件中以“游客”身份获取的招标文件仅供阅览；潜在供应商未按上述第（1）条方式获取招标文件的不得对招标文件提起质疑投诉。</w:t>
      </w:r>
    </w:p>
    <w:p>
      <w:pPr>
        <w:pStyle w:val="3"/>
        <w:keepLines/>
        <w:adjustRightInd/>
        <w:snapToGrid/>
        <w:spacing w:before="140" w:after="20" w:afterLines="0" w:line="360" w:lineRule="auto"/>
        <w:ind w:firstLine="562" w:firstLineChars="200"/>
        <w:jc w:val="both"/>
        <w:rPr>
          <w:rFonts w:ascii="Arial" w:hAnsi="Arial"/>
          <w:kern w:val="2"/>
          <w:sz w:val="28"/>
          <w:szCs w:val="32"/>
        </w:rPr>
      </w:pPr>
      <w:r>
        <w:rPr>
          <w:rFonts w:hint="eastAsia" w:ascii="Arial" w:hAnsi="Arial"/>
          <w:kern w:val="2"/>
          <w:sz w:val="28"/>
          <w:szCs w:val="32"/>
        </w:rPr>
        <w:t>四、提交投标文件截止时间</w:t>
      </w:r>
    </w:p>
    <w:p>
      <w:pPr>
        <w:snapToGrid w:val="0"/>
        <w:spacing w:line="480" w:lineRule="exact"/>
        <w:ind w:right="218" w:rightChars="104" w:firstLine="480" w:firstLineChars="200"/>
        <w:rPr>
          <w:rFonts w:ascii="宋体" w:hAnsi="宋体" w:cs="宋体"/>
          <w:sz w:val="24"/>
        </w:rPr>
      </w:pPr>
      <w:r>
        <w:rPr>
          <w:rFonts w:hint="eastAsia" w:ascii="宋体" w:hAnsi="宋体" w:cs="宋体"/>
          <w:bCs/>
          <w:sz w:val="24"/>
        </w:rPr>
        <w:t>1.提交投标文件截止时间：</w:t>
      </w:r>
      <w:r>
        <w:rPr>
          <w:rFonts w:hint="eastAsia" w:ascii="宋体" w:hAnsi="宋体" w:cs="宋体"/>
          <w:bCs/>
          <w:sz w:val="24"/>
          <w:lang w:eastAsia="zh-CN"/>
        </w:rPr>
        <w:t>2024年7月8日09:00</w:t>
      </w:r>
      <w:r>
        <w:rPr>
          <w:rFonts w:hint="eastAsia" w:ascii="宋体" w:hAnsi="宋体" w:cs="宋体"/>
          <w:sz w:val="24"/>
        </w:rPr>
        <w:t>（北京时间）前将电子加密投标文件上传到政府采购云平台，未上传电子投标文件的，视为供应商放弃投标。</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2.供应商如提供备份投标文件的，应于</w:t>
      </w:r>
      <w:r>
        <w:rPr>
          <w:rFonts w:hint="eastAsia" w:ascii="宋体" w:hAnsi="宋体" w:cs="宋体"/>
          <w:bCs/>
          <w:sz w:val="24"/>
          <w:lang w:eastAsia="zh-CN"/>
        </w:rPr>
        <w:t>2024年7月8日09:00</w:t>
      </w:r>
      <w:r>
        <w:rPr>
          <w:rFonts w:hint="eastAsia" w:ascii="宋体" w:hAnsi="宋体" w:cs="Arial"/>
          <w:bCs/>
          <w:sz w:val="24"/>
        </w:rPr>
        <w:t>（北京时间）前，将电子备份投标文件和纸质备份投标文件分别密封，</w:t>
      </w:r>
      <w:r>
        <w:rPr>
          <w:rFonts w:hint="eastAsia" w:ascii="宋体" w:hAnsi="宋体" w:cs="Arial"/>
          <w:b/>
          <w:bCs/>
          <w:sz w:val="24"/>
        </w:rPr>
        <w:t>递交至浙江诚远工程咨询有限公司（磐安县安文街道北镇街15号二楼），联系人：厉晓，联系电话：15258906930</w:t>
      </w:r>
      <w:r>
        <w:rPr>
          <w:rFonts w:hint="eastAsia" w:ascii="宋体" w:hAnsi="宋体" w:cs="宋体"/>
          <w:b/>
          <w:bCs/>
          <w:sz w:val="24"/>
        </w:rPr>
        <w:t>（646930）邮箱：</w:t>
      </w:r>
      <w:r>
        <w:rPr>
          <w:rFonts w:ascii="Verdana" w:hAnsi="Verdana" w:eastAsia="Verdana" w:cs="Verdana"/>
          <w:color w:val="000000"/>
          <w:sz w:val="24"/>
          <w:shd w:val="clear" w:color="auto" w:fill="FFFFFF"/>
        </w:rPr>
        <w:t>2725394297</w:t>
      </w:r>
      <w:r>
        <w:rPr>
          <w:rFonts w:ascii="宋体" w:hAnsi="宋体" w:cs="宋体"/>
          <w:b/>
          <w:bCs/>
          <w:sz w:val="24"/>
        </w:rPr>
        <w:t>@</w:t>
      </w:r>
      <w:r>
        <w:rPr>
          <w:rFonts w:hint="eastAsia" w:ascii="宋体" w:hAnsi="宋体" w:cs="宋体"/>
          <w:b/>
          <w:bCs/>
          <w:sz w:val="24"/>
        </w:rPr>
        <w:t>qq</w:t>
      </w:r>
      <w:r>
        <w:rPr>
          <w:rFonts w:ascii="宋体" w:hAnsi="宋体" w:cs="宋体"/>
          <w:b/>
          <w:bCs/>
          <w:sz w:val="24"/>
        </w:rPr>
        <w:t>.com</w:t>
      </w:r>
      <w:r>
        <w:rPr>
          <w:rFonts w:hint="eastAsia" w:ascii="宋体" w:hAnsi="宋体" w:cs="Arial"/>
          <w:bCs/>
          <w:sz w:val="24"/>
        </w:rPr>
        <w:t>逾期送达或未密封将予以拒收。供应商仅提供备份投标文件（包括以电子备份投标文件或纸质备份投标文件）投标的，投标无效。</w:t>
      </w:r>
    </w:p>
    <w:p>
      <w:pPr>
        <w:snapToGrid w:val="0"/>
        <w:spacing w:line="480" w:lineRule="exact"/>
        <w:ind w:right="218" w:rightChars="104" w:firstLine="480" w:firstLineChars="200"/>
        <w:rPr>
          <w:rFonts w:ascii="宋体" w:hAnsi="宋体" w:cs="宋体"/>
          <w:bCs/>
          <w:sz w:val="24"/>
        </w:rPr>
      </w:pPr>
      <w:r>
        <w:rPr>
          <w:rFonts w:hint="eastAsia" w:ascii="宋体" w:hAnsi="宋体" w:cs="Arial"/>
          <w:bCs/>
          <w:sz w:val="24"/>
        </w:rPr>
        <w:t>3.如因系统或部分电子投标文件无法解密，而采用纸质备份投标文件线下评审程序时，供应商在投标截止时间前未提交纸质备份投标文件的，视为供应商放弃投标。</w:t>
      </w:r>
    </w:p>
    <w:p>
      <w:pPr>
        <w:pStyle w:val="3"/>
        <w:keepLines/>
        <w:adjustRightInd/>
        <w:snapToGrid/>
        <w:spacing w:before="140" w:after="20" w:afterLines="0" w:line="360" w:lineRule="auto"/>
        <w:ind w:firstLine="562" w:firstLineChars="200"/>
        <w:jc w:val="both"/>
        <w:rPr>
          <w:rFonts w:ascii="Arial" w:hAnsi="Arial"/>
          <w:kern w:val="2"/>
          <w:sz w:val="28"/>
          <w:szCs w:val="32"/>
        </w:rPr>
      </w:pPr>
      <w:bookmarkStart w:id="4" w:name="_Toc17679"/>
      <w:bookmarkStart w:id="5" w:name="_Toc15"/>
      <w:bookmarkStart w:id="6" w:name="_Toc22135"/>
      <w:bookmarkStart w:id="7" w:name="_Toc14408"/>
      <w:bookmarkStart w:id="8" w:name="_Toc8418"/>
      <w:bookmarkStart w:id="9" w:name="_Toc7601"/>
      <w:bookmarkStart w:id="10" w:name="_Toc20159"/>
      <w:r>
        <w:rPr>
          <w:rFonts w:hint="eastAsia" w:ascii="Arial" w:hAnsi="Arial"/>
          <w:kern w:val="2"/>
          <w:sz w:val="28"/>
          <w:szCs w:val="32"/>
        </w:rPr>
        <w:t>五、开标时间和地点</w:t>
      </w:r>
      <w:bookmarkEnd w:id="4"/>
      <w:bookmarkEnd w:id="5"/>
      <w:bookmarkEnd w:id="6"/>
      <w:bookmarkEnd w:id="7"/>
      <w:bookmarkEnd w:id="8"/>
      <w:bookmarkEnd w:id="9"/>
      <w:bookmarkEnd w:id="10"/>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1.开标时间：</w:t>
      </w:r>
      <w:r>
        <w:rPr>
          <w:rFonts w:hint="eastAsia" w:ascii="宋体" w:hAnsi="宋体" w:cs="宋体"/>
          <w:bCs/>
          <w:sz w:val="24"/>
          <w:lang w:eastAsia="zh-CN"/>
        </w:rPr>
        <w:t>2024年7月8日09:00</w:t>
      </w:r>
      <w:r>
        <w:rPr>
          <w:rFonts w:hint="eastAsia" w:ascii="宋体" w:hAnsi="宋体" w:cs="Arial"/>
          <w:bCs/>
          <w:sz w:val="24"/>
        </w:rPr>
        <w:t>（北京时间）</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2.开标地点（网址）：政采云平台（https://www.zcygov.cn/）</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3.采购代理机构在招标文件规定的时间通过政府采购云平台组织开标、开启投标文件，所有供应商均应准时在线参加。采购组织机构将向各投标供应商发出“电子加密投标文件”的解密通知，各投标供应商代表应当在发出解密通知后30分钟内自行完成“电子加密投标文件”的在线解密。若供应商在规定时间内无法解密或解密失败，可使用电子备份投标文件进行或使用纸质备份投标文件进行线下评标。</w:t>
      </w:r>
    </w:p>
    <w:p>
      <w:pPr>
        <w:snapToGrid w:val="0"/>
        <w:spacing w:line="480" w:lineRule="exact"/>
        <w:ind w:right="218" w:rightChars="104" w:firstLine="562" w:firstLineChars="200"/>
        <w:rPr>
          <w:rFonts w:ascii="Arial" w:hAnsi="Arial"/>
          <w:b/>
          <w:bCs/>
          <w:sz w:val="28"/>
          <w:szCs w:val="32"/>
        </w:rPr>
      </w:pPr>
      <w:r>
        <w:rPr>
          <w:rFonts w:hint="eastAsia" w:ascii="Arial" w:hAnsi="Arial"/>
          <w:b/>
          <w:bCs/>
          <w:sz w:val="28"/>
          <w:szCs w:val="32"/>
        </w:rPr>
        <w:t>六、公告期限</w:t>
      </w:r>
    </w:p>
    <w:p>
      <w:pPr>
        <w:snapToGrid w:val="0"/>
        <w:spacing w:line="480" w:lineRule="exact"/>
        <w:ind w:right="218" w:rightChars="104" w:firstLine="480" w:firstLineChars="200"/>
        <w:rPr>
          <w:rFonts w:ascii="Arial" w:hAnsi="Arial"/>
          <w:sz w:val="28"/>
          <w:szCs w:val="32"/>
        </w:rPr>
      </w:pPr>
      <w:r>
        <w:rPr>
          <w:rFonts w:hint="eastAsia" w:ascii="宋体" w:hAnsi="宋体" w:cs="Arial"/>
          <w:sz w:val="24"/>
        </w:rPr>
        <w:t>自本公告发布之日起5个工作日（以公告发布次日开始计算）</w:t>
      </w:r>
    </w:p>
    <w:p>
      <w:pPr>
        <w:pStyle w:val="3"/>
        <w:keepLines/>
        <w:adjustRightInd/>
        <w:snapToGrid/>
        <w:spacing w:before="140" w:after="20" w:afterLines="0" w:line="360" w:lineRule="auto"/>
        <w:ind w:firstLine="562" w:firstLineChars="200"/>
        <w:jc w:val="both"/>
        <w:rPr>
          <w:rFonts w:ascii="Arial" w:hAnsi="Arial"/>
          <w:kern w:val="2"/>
          <w:sz w:val="28"/>
          <w:szCs w:val="32"/>
        </w:rPr>
      </w:pPr>
      <w:r>
        <w:rPr>
          <w:rFonts w:hint="eastAsia" w:ascii="Arial" w:hAnsi="Arial"/>
          <w:kern w:val="2"/>
          <w:sz w:val="28"/>
          <w:szCs w:val="32"/>
        </w:rPr>
        <w:t>七、其他补充事宜</w:t>
      </w:r>
    </w:p>
    <w:p>
      <w:pPr>
        <w:spacing w:line="480" w:lineRule="exact"/>
        <w:ind w:firstLine="480" w:firstLineChars="200"/>
        <w:rPr>
          <w:rFonts w:ascii="宋体" w:hAnsi="宋体"/>
          <w:sz w:val="24"/>
        </w:rPr>
      </w:pPr>
      <w:r>
        <w:rPr>
          <w:rFonts w:hint="eastAsia" w:ascii="仿宋_GB2312" w:hAnsi="仿宋_GB2312" w:eastAsia="仿宋_GB2312" w:cs="仿宋_GB2312"/>
          <w:sz w:val="24"/>
        </w:rPr>
        <w:t> </w:t>
      </w:r>
      <w:r>
        <w:rPr>
          <w:rFonts w:hint="eastAsia" w:ascii="宋体" w:hAnsi="宋体"/>
          <w:sz w:val="24"/>
        </w:rPr>
        <w:t>1.《浙江省财政厅关于进一步发挥政府采购政策功能全力推动经济稳进提质的通知》 （浙财采监（〔2022〕3号）、《浙江省财政厅关于进一步促进政府采购公平竞争打造最优营商环境的通知》（浙财采监〔2021〕22号）已分别于2022年1月29日、2022年2月1日开始实施，此前有关规定与上述文件内容不一致的，按上述文件要求执行。</w:t>
      </w:r>
    </w:p>
    <w:p>
      <w:pPr>
        <w:spacing w:line="480" w:lineRule="exact"/>
        <w:ind w:firstLine="480" w:firstLineChars="200"/>
        <w:rPr>
          <w:rFonts w:ascii="宋体" w:hAnsi="宋体"/>
          <w:sz w:val="24"/>
        </w:rPr>
      </w:pPr>
      <w:r>
        <w:rPr>
          <w:rFonts w:hint="eastAsia" w:ascii="宋体" w:hAnsi="宋体"/>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480" w:lineRule="exact"/>
        <w:ind w:firstLine="480" w:firstLineChars="200"/>
        <w:rPr>
          <w:rFonts w:ascii="宋体" w:hAnsi="宋体"/>
          <w:sz w:val="24"/>
        </w:rPr>
      </w:pPr>
      <w:r>
        <w:rPr>
          <w:rFonts w:hint="eastAsia" w:ascii="宋体" w:hAnsi="宋体"/>
          <w:sz w:val="24"/>
        </w:rPr>
        <w:t>3.供应商认为采购文件使自己的权益受到损害的，可以自获取采购文件之日或者采购文件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480" w:lineRule="exact"/>
        <w:ind w:firstLine="480" w:firstLineChars="200"/>
        <w:rPr>
          <w:rFonts w:ascii="宋体" w:hAnsi="宋体"/>
          <w:sz w:val="24"/>
        </w:rPr>
      </w:pPr>
      <w:r>
        <w:rPr>
          <w:rFonts w:hint="eastAsia" w:ascii="宋体" w:hAnsi="宋体"/>
          <w:sz w:val="24"/>
        </w:rPr>
        <w:t>4.企业信用融资：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投标人发放贷款的一种融资方式。投标人可登录浙江政府采购( https://www zizfcg gov.cn)的中小企业信用融资栏目了解相关信息。 供应商可以通过浙江政府采购网(https://zfcg. czt.zj. gov.cn/)首页的“浙江政采贷”模块进入申请，还可以通过政府采购云平台(https://wwwzcygov.cn/)首页的“金融服务”模块进入申请。</w:t>
      </w:r>
    </w:p>
    <w:p>
      <w:pPr>
        <w:spacing w:line="480" w:lineRule="exact"/>
        <w:ind w:firstLine="480" w:firstLineChars="200"/>
        <w:rPr>
          <w:rFonts w:ascii="宋体" w:hAnsi="宋体"/>
          <w:sz w:val="24"/>
        </w:rPr>
      </w:pPr>
      <w:r>
        <w:rPr>
          <w:rFonts w:hint="eastAsia" w:ascii="宋体" w:hAnsi="宋体"/>
          <w:sz w:val="24"/>
        </w:rPr>
        <w:t xml:space="preserve"> 5.根据《浙江省财政厅关于进一步加大政府采购支持中小企业力度 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相关材料。</w:t>
      </w:r>
    </w:p>
    <w:p>
      <w:pPr>
        <w:spacing w:line="480" w:lineRule="exact"/>
        <w:ind w:firstLine="480" w:firstLineChars="200"/>
        <w:rPr>
          <w:rFonts w:ascii="宋体" w:hAnsi="宋体" w:cs="Arial"/>
          <w:bCs/>
          <w:sz w:val="24"/>
        </w:rPr>
      </w:pPr>
      <w:r>
        <w:rPr>
          <w:rFonts w:hint="eastAsia" w:ascii="宋体" w:hAnsi="宋体"/>
          <w:sz w:val="24"/>
        </w:rPr>
        <w:t>6.落实政策：执行节约能源、保护环境相关的节能产品政府强制采购和优先采购政策，执行环境标志产品政府优先采购政策；执行扶持不发达地区和少数民族地区、促进中小企业发展、支持监狱企业发展、促进残疾人就业、支持中小企业信用融资等政府采购政策。</w:t>
      </w:r>
      <w:r>
        <w:rPr>
          <w:rFonts w:hint="eastAsia" w:ascii="宋体" w:hAnsi="宋体" w:cs="Arial"/>
          <w:bCs/>
          <w:sz w:val="24"/>
        </w:rPr>
        <w:t xml:space="preserve">   </w:t>
      </w:r>
    </w:p>
    <w:p>
      <w:pPr>
        <w:pStyle w:val="3"/>
        <w:keepLines/>
        <w:adjustRightInd/>
        <w:snapToGrid/>
        <w:spacing w:before="0" w:afterLines="0" w:line="240" w:lineRule="auto"/>
        <w:ind w:firstLine="562" w:firstLineChars="200"/>
        <w:jc w:val="both"/>
        <w:rPr>
          <w:rFonts w:ascii="Arial" w:hAnsi="Arial"/>
          <w:kern w:val="2"/>
          <w:sz w:val="28"/>
          <w:szCs w:val="32"/>
        </w:rPr>
      </w:pPr>
      <w:r>
        <w:rPr>
          <w:rFonts w:hint="eastAsia" w:ascii="Arial" w:hAnsi="Arial"/>
          <w:kern w:val="2"/>
          <w:sz w:val="28"/>
          <w:szCs w:val="32"/>
        </w:rPr>
        <w:t>八、政采贷</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具体要求、条件和操作教程可通过政采云首页右上角——网站导航——金融服务查看，也可拨打政采云客服热线400-881-7190咨询，也可查看公告附件中的相关宣传资料，或向各地已开通政采贷的银行咨询办理。中标供应商可通过以保函的形式提交履约保证金，减少对中小微企业的资金占用，降低财务成本。具体的条件、要求和操作程序由申请贷款的中标供应商向各地保险公司、银行咨询办理。</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风险提示：</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（1）本内容仅为提供给各中标供应商对办理政府采购金融服务的宣传和了解之方便，对金融服务的具体内容和操作流程均以各金融机构的要求为准，也不作强制要求。</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（2）政府采购金融服务有风险，请详细了解并综合评估后再决定。</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（3）政府采购金融服务遵循平等自愿、风险自担的原则。采购人、代理机构、财政部门不为任何政府采购金融服务项目承担任何形式的担保、解释或其他连带责任。</w:t>
      </w:r>
    </w:p>
    <w:p>
      <w:pPr>
        <w:snapToGrid w:val="0"/>
        <w:spacing w:line="480" w:lineRule="exact"/>
        <w:ind w:firstLine="562" w:firstLineChars="200"/>
        <w:outlineLvl w:val="1"/>
        <w:rPr>
          <w:rFonts w:ascii="宋体" w:hAnsi="宋体" w:cs="宋体"/>
          <w:b/>
          <w:bCs/>
          <w:kern w:val="0"/>
          <w:sz w:val="24"/>
        </w:rPr>
      </w:pPr>
      <w:bookmarkStart w:id="11" w:name="_Toc14402"/>
      <w:bookmarkStart w:id="12" w:name="_Toc13168"/>
      <w:bookmarkStart w:id="13" w:name="_Toc13994"/>
      <w:bookmarkStart w:id="14" w:name="_Toc23494"/>
      <w:r>
        <w:rPr>
          <w:rFonts w:hint="eastAsia" w:ascii="Arial" w:hAnsi="Arial"/>
          <w:b/>
          <w:bCs/>
          <w:sz w:val="28"/>
          <w:szCs w:val="32"/>
        </w:rPr>
        <w:t>九、</w:t>
      </w:r>
      <w:bookmarkEnd w:id="11"/>
      <w:bookmarkEnd w:id="12"/>
      <w:bookmarkEnd w:id="13"/>
      <w:bookmarkEnd w:id="14"/>
      <w:r>
        <w:rPr>
          <w:rFonts w:hint="eastAsia" w:ascii="Arial" w:hAnsi="Arial"/>
          <w:b/>
          <w:bCs/>
          <w:sz w:val="28"/>
          <w:szCs w:val="32"/>
        </w:rPr>
        <w:t>业务咨询</w:t>
      </w:r>
      <w:r>
        <w:rPr>
          <w:rFonts w:hint="eastAsia" w:ascii="Arial" w:hAnsi="Arial"/>
          <w:sz w:val="28"/>
          <w:szCs w:val="32"/>
        </w:rPr>
        <w:t>（招标需求的疑问请向采购人询问或反映）</w:t>
      </w:r>
    </w:p>
    <w:p>
      <w:pPr>
        <w:snapToGrid w:val="0"/>
        <w:spacing w:line="480" w:lineRule="exact"/>
        <w:ind w:right="218" w:rightChars="104" w:firstLine="480" w:firstLineChars="200"/>
        <w:outlineLvl w:val="2"/>
        <w:rPr>
          <w:rFonts w:ascii="宋体" w:hAnsi="宋体" w:cs="Arial"/>
          <w:bCs/>
          <w:sz w:val="24"/>
        </w:rPr>
      </w:pPr>
      <w:r>
        <w:rPr>
          <w:rFonts w:hint="eastAsia" w:ascii="宋体" w:hAnsi="宋体" w:cs="Arial"/>
          <w:bCs/>
          <w:sz w:val="24"/>
        </w:rPr>
        <w:t>1.采购人名称：磐安县仁川镇人民政府</w:t>
      </w:r>
    </w:p>
    <w:p>
      <w:pPr>
        <w:snapToGrid w:val="0"/>
        <w:spacing w:line="480" w:lineRule="exact"/>
        <w:ind w:right="218" w:rightChars="104" w:firstLine="480" w:firstLineChars="200"/>
        <w:outlineLvl w:val="2"/>
        <w:rPr>
          <w:rFonts w:hint="default" w:ascii="宋体" w:hAnsi="宋体" w:eastAsia="宋体" w:cs="宋体"/>
          <w:bCs/>
          <w:sz w:val="24"/>
          <w:lang w:val="en-US" w:eastAsia="zh-CN"/>
        </w:rPr>
      </w:pPr>
      <w:r>
        <w:rPr>
          <w:rFonts w:hint="eastAsia" w:ascii="宋体" w:hAnsi="宋体" w:cs="宋体"/>
          <w:bCs/>
          <w:sz w:val="24"/>
          <w:lang w:val="zh-CN"/>
        </w:rPr>
        <w:t>联系人：</w:t>
      </w:r>
      <w:r>
        <w:rPr>
          <w:rFonts w:hint="eastAsia" w:ascii="宋体" w:hAnsi="宋体" w:cs="宋体"/>
          <w:bCs/>
          <w:sz w:val="24"/>
        </w:rPr>
        <w:t xml:space="preserve">傅康强 </w:t>
      </w:r>
      <w:r>
        <w:rPr>
          <w:rFonts w:hint="eastAsia" w:ascii="宋体" w:hAnsi="宋体" w:cs="宋体"/>
          <w:bCs/>
          <w:sz w:val="24"/>
          <w:lang w:val="zh-CN"/>
        </w:rPr>
        <w:t xml:space="preserve">    </w:t>
      </w:r>
      <w:r>
        <w:rPr>
          <w:rFonts w:hint="eastAsia" w:ascii="宋体" w:hAnsi="宋体" w:cs="宋体"/>
          <w:bCs/>
          <w:sz w:val="24"/>
        </w:rPr>
        <w:t xml:space="preserve"> </w:t>
      </w:r>
      <w:r>
        <w:rPr>
          <w:rFonts w:hint="eastAsia" w:ascii="宋体" w:hAnsi="宋体" w:cs="宋体"/>
          <w:bCs/>
          <w:sz w:val="24"/>
          <w:lang w:val="zh-CN"/>
        </w:rPr>
        <w:t xml:space="preserve">   </w:t>
      </w:r>
      <w:r>
        <w:rPr>
          <w:rFonts w:hint="eastAsia" w:ascii="宋体" w:hAnsi="宋体" w:cs="宋体"/>
          <w:bCs/>
          <w:sz w:val="24"/>
        </w:rPr>
        <w:t xml:space="preserve">     </w:t>
      </w:r>
      <w:r>
        <w:rPr>
          <w:rFonts w:hint="eastAsia" w:ascii="宋体" w:hAnsi="宋体" w:cs="宋体"/>
          <w:bCs/>
          <w:sz w:val="24"/>
          <w:lang w:val="zh-CN"/>
        </w:rPr>
        <w:t xml:space="preserve"> 联系电话：</w:t>
      </w:r>
      <w:r>
        <w:rPr>
          <w:rFonts w:hint="eastAsia" w:ascii="宋体" w:hAnsi="宋体" w:cs="宋体"/>
          <w:bCs/>
          <w:sz w:val="24"/>
          <w:lang w:val="en-US" w:eastAsia="zh-CN"/>
        </w:rPr>
        <w:t>18257091805</w:t>
      </w:r>
    </w:p>
    <w:p>
      <w:pPr>
        <w:snapToGrid w:val="0"/>
        <w:spacing w:line="480" w:lineRule="exact"/>
        <w:ind w:right="218" w:rightChars="104" w:firstLine="480" w:firstLineChars="200"/>
        <w:outlineLvl w:val="2"/>
        <w:rPr>
          <w:rFonts w:ascii="宋体" w:hAnsi="宋体" w:cs="宋体"/>
          <w:bCs/>
          <w:sz w:val="24"/>
        </w:rPr>
      </w:pPr>
      <w:r>
        <w:rPr>
          <w:rFonts w:hint="eastAsia" w:ascii="宋体" w:hAnsi="宋体" w:cs="宋体"/>
          <w:bCs/>
          <w:sz w:val="24"/>
        </w:rPr>
        <w:t>质疑联系人：洪桂冬           联系电话：</w:t>
      </w:r>
      <w:r>
        <w:rPr>
          <w:rFonts w:ascii="宋体" w:hAnsi="宋体" w:cs="宋体"/>
          <w:bCs/>
          <w:sz w:val="24"/>
        </w:rPr>
        <w:t>13857943925</w:t>
      </w:r>
      <w:r>
        <w:rPr>
          <w:rFonts w:hint="eastAsia" w:ascii="宋体" w:hAnsi="宋体" w:cs="宋体"/>
          <w:bCs/>
          <w:sz w:val="24"/>
        </w:rPr>
        <w:t xml:space="preserve">  </w:t>
      </w:r>
    </w:p>
    <w:p>
      <w:pPr>
        <w:snapToGrid w:val="0"/>
        <w:spacing w:line="480" w:lineRule="exact"/>
        <w:ind w:right="218" w:rightChars="104" w:firstLine="480" w:firstLineChars="200"/>
        <w:outlineLvl w:val="2"/>
        <w:rPr>
          <w:rFonts w:ascii="宋体" w:hAnsi="宋体" w:cs="宋体"/>
          <w:bCs/>
          <w:sz w:val="24"/>
        </w:rPr>
      </w:pPr>
      <w:r>
        <w:rPr>
          <w:rFonts w:hint="eastAsia" w:ascii="宋体" w:hAnsi="宋体" w:cs="宋体"/>
          <w:bCs/>
          <w:sz w:val="24"/>
          <w:lang w:val="zh-CN"/>
        </w:rPr>
        <w:t>地点：</w:t>
      </w:r>
      <w:r>
        <w:rPr>
          <w:rFonts w:hint="eastAsia" w:ascii="宋体" w:hAnsi="宋体" w:cs="Arial"/>
          <w:bCs/>
          <w:sz w:val="24"/>
        </w:rPr>
        <w:t>磐安县仁川镇</w:t>
      </w:r>
    </w:p>
    <w:p>
      <w:pPr>
        <w:snapToGrid w:val="0"/>
        <w:spacing w:line="480" w:lineRule="exact"/>
        <w:ind w:right="218" w:rightChars="104" w:firstLine="480" w:firstLineChars="200"/>
        <w:outlineLvl w:val="2"/>
        <w:rPr>
          <w:rFonts w:ascii="宋体" w:hAnsi="宋体" w:cs="Arial"/>
          <w:bCs/>
          <w:sz w:val="24"/>
        </w:rPr>
      </w:pPr>
      <w:r>
        <w:rPr>
          <w:rFonts w:hint="eastAsia" w:ascii="宋体" w:hAnsi="宋体" w:cs="Arial"/>
          <w:bCs/>
          <w:sz w:val="24"/>
        </w:rPr>
        <w:t>2.招标采购机构名称：</w:t>
      </w:r>
      <w:r>
        <w:rPr>
          <w:rFonts w:hint="eastAsia" w:ascii="宋体" w:hAnsi="宋体" w:cs="宋体"/>
          <w:bCs/>
          <w:sz w:val="24"/>
        </w:rPr>
        <w:t>浙江诚远工程咨询有限公司</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联系人：厉 晓</w:t>
      </w:r>
    </w:p>
    <w:p>
      <w:pPr>
        <w:snapToGrid w:val="0"/>
        <w:spacing w:line="480" w:lineRule="exact"/>
        <w:ind w:right="218" w:rightChars="104" w:firstLine="480" w:firstLineChars="200"/>
        <w:rPr>
          <w:rFonts w:ascii="宋体" w:hAnsi="宋体" w:cs="Arial"/>
          <w:bCs/>
          <w:sz w:val="24"/>
        </w:rPr>
      </w:pPr>
      <w:r>
        <w:rPr>
          <w:rFonts w:hint="eastAsia" w:ascii="宋体" w:hAnsi="宋体" w:cs="Arial"/>
          <w:bCs/>
          <w:sz w:val="24"/>
        </w:rPr>
        <w:t>联系电话：15258906930</w:t>
      </w:r>
    </w:p>
    <w:p>
      <w:pPr>
        <w:widowControl/>
        <w:tabs>
          <w:tab w:val="left" w:pos="4228"/>
        </w:tabs>
        <w:snapToGrid w:val="0"/>
        <w:spacing w:line="480" w:lineRule="exact"/>
        <w:ind w:firstLine="480" w:firstLineChars="200"/>
        <w:rPr>
          <w:rFonts w:ascii="宋体" w:hAnsi="宋体" w:cs="宋体"/>
          <w:bCs/>
          <w:sz w:val="24"/>
        </w:rPr>
      </w:pPr>
      <w:r>
        <w:rPr>
          <w:rFonts w:hint="eastAsia" w:ascii="宋体" w:hAnsi="宋体" w:cs="Arial"/>
          <w:bCs/>
          <w:sz w:val="24"/>
        </w:rPr>
        <w:t>地址：</w:t>
      </w:r>
      <w:r>
        <w:rPr>
          <w:rFonts w:hint="eastAsia" w:ascii="宋体" w:hAnsi="宋体" w:cs="宋体"/>
          <w:bCs/>
          <w:sz w:val="24"/>
        </w:rPr>
        <w:t>磐安县安文街道北镇街15号二楼</w:t>
      </w:r>
    </w:p>
    <w:p>
      <w:pPr>
        <w:snapToGrid w:val="0"/>
        <w:spacing w:line="480" w:lineRule="exact"/>
        <w:ind w:right="218" w:rightChars="104" w:firstLine="540" w:firstLineChars="225"/>
        <w:outlineLvl w:val="2"/>
        <w:rPr>
          <w:rFonts w:ascii="宋体" w:hAnsi="宋体" w:cs="Arial"/>
          <w:bCs/>
          <w:sz w:val="24"/>
        </w:rPr>
      </w:pPr>
      <w:r>
        <w:rPr>
          <w:rFonts w:hint="eastAsia" w:ascii="宋体" w:hAnsi="宋体" w:cs="Arial"/>
          <w:bCs/>
          <w:sz w:val="24"/>
        </w:rPr>
        <w:t>3.同级政府采购监督管理部门名称：金华市磐安县财政局</w:t>
      </w:r>
    </w:p>
    <w:p>
      <w:pPr>
        <w:snapToGrid w:val="0"/>
        <w:spacing w:line="480" w:lineRule="exact"/>
        <w:ind w:right="218" w:rightChars="104" w:firstLine="540" w:firstLineChars="225"/>
        <w:rPr>
          <w:rFonts w:ascii="宋体" w:hAnsi="宋体" w:cs="Arial"/>
          <w:bCs/>
          <w:sz w:val="24"/>
        </w:rPr>
      </w:pPr>
      <w:r>
        <w:rPr>
          <w:rFonts w:hint="eastAsia" w:ascii="宋体" w:hAnsi="宋体" w:cs="Arial"/>
          <w:bCs/>
          <w:sz w:val="24"/>
        </w:rPr>
        <w:t xml:space="preserve">联系人：陈巧慧            监督投诉电话：0579-84883829  </w:t>
      </w:r>
    </w:p>
    <w:p>
      <w:pPr>
        <w:snapToGrid w:val="0"/>
        <w:spacing w:line="480" w:lineRule="exact"/>
        <w:ind w:right="218" w:rightChars="104" w:firstLine="540" w:firstLineChars="225"/>
        <w:rPr>
          <w:rFonts w:ascii="宋体" w:hAnsi="宋体"/>
          <w:b/>
          <w:sz w:val="30"/>
          <w:szCs w:val="30"/>
        </w:rPr>
      </w:pPr>
      <w:r>
        <w:rPr>
          <w:rFonts w:hint="eastAsia" w:ascii="宋体" w:hAnsi="宋体" w:cs="Arial"/>
          <w:bCs/>
          <w:sz w:val="24"/>
        </w:rPr>
        <w:t xml:space="preserve">地址：磐安县安文街道文溪南路88号 </w:t>
      </w:r>
      <w:r>
        <w:rPr>
          <w:rFonts w:hint="eastAsia" w:ascii="宋体" w:hAnsi="宋体" w:cs="Arial"/>
          <w:sz w:val="24"/>
        </w:rPr>
        <w:t xml:space="preserve">      </w:t>
      </w:r>
    </w:p>
    <w:p>
      <w:pPr>
        <w:wordWrap w:val="0"/>
        <w:snapToGrid w:val="0"/>
        <w:spacing w:line="480" w:lineRule="exact"/>
        <w:ind w:firstLine="480" w:firstLineChars="200"/>
        <w:rPr>
          <w:rFonts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若对项目采购电子交易系统操作有疑问，可登录政采云（https://www.zcygov.cn/），点击右侧咨询小采，获取采小蜜智能服务管家帮助，或拨打政采云服务热线400-881-7190获取热线服务帮助。</w:t>
      </w:r>
    </w:p>
    <w:p>
      <w:pPr>
        <w:wordWrap w:val="0"/>
        <w:snapToGrid w:val="0"/>
        <w:spacing w:line="480" w:lineRule="exact"/>
        <w:ind w:firstLine="480" w:firstLineChars="200"/>
        <w:rPr>
          <w:rFonts w:ascii="宋体" w:hAnsi="宋体" w:cs="宋体"/>
          <w:b/>
          <w:sz w:val="24"/>
        </w:rPr>
      </w:pPr>
      <w:r>
        <w:rPr>
          <w:rFonts w:hint="eastAsia" w:ascii="宋体" w:hAnsi="宋体" w:cs="宋体"/>
          <w:sz w:val="24"/>
        </w:rPr>
        <w:t>CA问题联系电话（人工）：汇信CA 400-888-4636；天谷CA 400-087-8198。</w:t>
      </w:r>
    </w:p>
    <w:p>
      <w:pPr>
        <w:snapToGrid w:val="0"/>
        <w:spacing w:line="360" w:lineRule="auto"/>
        <w:outlineLvl w:val="0"/>
        <w:rPr>
          <w:rFonts w:ascii="宋体" w:hAnsi="宋体" w:cs="宋体"/>
        </w:rPr>
      </w:pPr>
    </w:p>
    <w:p>
      <w:pPr>
        <w:snapToGrid w:val="0"/>
        <w:spacing w:line="400" w:lineRule="exact"/>
        <w:ind w:firstLine="440"/>
        <w:jc w:val="left"/>
        <w:rPr>
          <w:rFonts w:ascii="宋体" w:hAnsi="宋体"/>
          <w:b/>
          <w:sz w:val="30"/>
          <w:szCs w:val="30"/>
        </w:rPr>
        <w:sectPr>
          <w:footerReference r:id="rId3" w:type="default"/>
          <w:pgSz w:w="11850" w:h="16783"/>
          <w:pgMar w:top="1247" w:right="1077" w:bottom="1247" w:left="1134" w:header="851" w:footer="992" w:gutter="0"/>
          <w:cols w:space="720" w:num="1"/>
          <w:docGrid w:type="lines" w:linePitch="312" w:charSpace="0"/>
        </w:sectPr>
      </w:pPr>
    </w:p>
    <w:p>
      <w:pPr>
        <w:widowControl/>
        <w:jc w:val="left"/>
        <w:rPr>
          <w:rFonts w:ascii="宋体" w:hAnsi="宋体"/>
          <w:b/>
          <w:sz w:val="30"/>
          <w:szCs w:val="30"/>
        </w:rPr>
      </w:pPr>
      <w:bookmarkStart w:id="15" w:name="_Toc21538"/>
    </w:p>
    <w:p>
      <w:pPr>
        <w:spacing w:line="500" w:lineRule="exact"/>
        <w:jc w:val="center"/>
        <w:outlineLvl w:val="0"/>
        <w:rPr>
          <w:rFonts w:ascii="宋体" w:hAnsi="宋体"/>
          <w:b/>
          <w:sz w:val="30"/>
          <w:szCs w:val="30"/>
        </w:rPr>
      </w:pPr>
      <w:r>
        <w:rPr>
          <w:rFonts w:hint="eastAsia" w:ascii="宋体" w:hAnsi="宋体"/>
          <w:b/>
          <w:sz w:val="30"/>
          <w:szCs w:val="30"/>
        </w:rPr>
        <w:t>前 附 表</w:t>
      </w:r>
      <w:bookmarkEnd w:id="15"/>
    </w:p>
    <w:tbl>
      <w:tblPr>
        <w:tblStyle w:val="37"/>
        <w:tblW w:w="95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0"/>
        <w:gridCol w:w="2880"/>
        <w:gridCol w:w="596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序号</w:t>
            </w:r>
          </w:p>
        </w:tc>
        <w:tc>
          <w:tcPr>
            <w:tcW w:w="2880" w:type="dxa"/>
            <w:vAlign w:val="center"/>
          </w:tcPr>
          <w:p>
            <w:pPr>
              <w:spacing w:line="500" w:lineRule="exact"/>
              <w:jc w:val="center"/>
              <w:outlineLvl w:val="0"/>
              <w:rPr>
                <w:rFonts w:ascii="宋体" w:hAnsi="宋体"/>
                <w:b/>
                <w:sz w:val="30"/>
                <w:szCs w:val="30"/>
              </w:rPr>
            </w:pPr>
            <w:r>
              <w:rPr>
                <w:rFonts w:hint="eastAsia" w:ascii="宋体" w:hAnsi="宋体"/>
                <w:b/>
                <w:sz w:val="30"/>
                <w:szCs w:val="30"/>
              </w:rPr>
              <w:t>内  容</w:t>
            </w:r>
          </w:p>
        </w:tc>
        <w:tc>
          <w:tcPr>
            <w:tcW w:w="5962" w:type="dxa"/>
            <w:vAlign w:val="center"/>
          </w:tcPr>
          <w:p>
            <w:pPr>
              <w:spacing w:line="500" w:lineRule="exact"/>
              <w:jc w:val="center"/>
              <w:outlineLvl w:val="0"/>
              <w:rPr>
                <w:rFonts w:ascii="宋体" w:hAnsi="宋体"/>
                <w:b/>
                <w:sz w:val="30"/>
                <w:szCs w:val="30"/>
              </w:rPr>
            </w:pPr>
            <w:r>
              <w:rPr>
                <w:rFonts w:hint="eastAsia" w:ascii="宋体" w:hAnsi="宋体"/>
                <w:b/>
                <w:sz w:val="30"/>
                <w:szCs w:val="30"/>
              </w:rPr>
              <w:t>说明与要求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1</w:t>
            </w:r>
          </w:p>
        </w:tc>
        <w:tc>
          <w:tcPr>
            <w:tcW w:w="2880" w:type="dxa"/>
            <w:vAlign w:val="center"/>
          </w:tcPr>
          <w:p>
            <w:pPr>
              <w:pStyle w:val="23"/>
              <w:spacing w:line="440" w:lineRule="exact"/>
              <w:rPr>
                <w:sz w:val="24"/>
                <w:szCs w:val="24"/>
              </w:rPr>
            </w:pPr>
            <w:r>
              <w:rPr>
                <w:rFonts w:hint="eastAsia"/>
                <w:sz w:val="24"/>
                <w:szCs w:val="24"/>
              </w:rPr>
              <w:t>采购人</w:t>
            </w:r>
          </w:p>
        </w:tc>
        <w:tc>
          <w:tcPr>
            <w:tcW w:w="5962" w:type="dxa"/>
            <w:vAlign w:val="center"/>
          </w:tcPr>
          <w:p>
            <w:pPr>
              <w:pStyle w:val="23"/>
              <w:spacing w:line="0" w:lineRule="atLeast"/>
              <w:rPr>
                <w:sz w:val="24"/>
                <w:szCs w:val="24"/>
              </w:rPr>
            </w:pPr>
            <w:r>
              <w:rPr>
                <w:rFonts w:hint="eastAsia" w:hAnsi="宋体" w:cs="Arial"/>
                <w:bCs/>
                <w:sz w:val="24"/>
              </w:rPr>
              <w:t>磐安县仁川镇人民政府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2</w:t>
            </w:r>
          </w:p>
        </w:tc>
        <w:tc>
          <w:tcPr>
            <w:tcW w:w="2880" w:type="dxa"/>
            <w:vAlign w:val="center"/>
          </w:tcPr>
          <w:p>
            <w:pPr>
              <w:pStyle w:val="23"/>
              <w:spacing w:line="440" w:lineRule="exact"/>
              <w:rPr>
                <w:sz w:val="24"/>
                <w:szCs w:val="24"/>
              </w:rPr>
            </w:pPr>
            <w:r>
              <w:rPr>
                <w:rFonts w:hint="eastAsia"/>
                <w:sz w:val="24"/>
                <w:szCs w:val="24"/>
              </w:rPr>
              <w:t>项目名称</w:t>
            </w:r>
          </w:p>
        </w:tc>
        <w:tc>
          <w:tcPr>
            <w:tcW w:w="5962" w:type="dxa"/>
            <w:vAlign w:val="center"/>
          </w:tcPr>
          <w:p>
            <w:pPr>
              <w:pStyle w:val="23"/>
              <w:spacing w:line="0" w:lineRule="atLeast"/>
              <w:rPr>
                <w:rFonts w:hint="eastAsia" w:eastAsia="宋体"/>
                <w:sz w:val="24"/>
                <w:szCs w:val="24"/>
                <w:lang w:eastAsia="zh-CN"/>
              </w:rPr>
            </w:pPr>
            <w:r>
              <w:rPr>
                <w:rFonts w:hint="eastAsia"/>
                <w:sz w:val="24"/>
                <w:szCs w:val="24"/>
                <w:lang w:eastAsia="zh-CN"/>
              </w:rPr>
              <w:t>磐安县仁川镇共富风貌驿产品采购项目（第二次）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3</w:t>
            </w:r>
          </w:p>
        </w:tc>
        <w:tc>
          <w:tcPr>
            <w:tcW w:w="2880" w:type="dxa"/>
            <w:vAlign w:val="center"/>
          </w:tcPr>
          <w:p>
            <w:pPr>
              <w:pStyle w:val="23"/>
              <w:spacing w:line="440" w:lineRule="exact"/>
              <w:rPr>
                <w:sz w:val="24"/>
                <w:szCs w:val="24"/>
              </w:rPr>
            </w:pPr>
            <w:r>
              <w:rPr>
                <w:rFonts w:hint="eastAsia"/>
                <w:sz w:val="24"/>
                <w:szCs w:val="24"/>
              </w:rPr>
              <w:t>竞争性磋商文件发售时间</w:t>
            </w:r>
          </w:p>
        </w:tc>
        <w:tc>
          <w:tcPr>
            <w:tcW w:w="5962" w:type="dxa"/>
            <w:vAlign w:val="center"/>
          </w:tcPr>
          <w:p>
            <w:pPr>
              <w:pStyle w:val="23"/>
              <w:spacing w:line="0" w:lineRule="atLeast"/>
              <w:rPr>
                <w:sz w:val="24"/>
                <w:szCs w:val="24"/>
              </w:rPr>
            </w:pPr>
            <w:r>
              <w:rPr>
                <w:rFonts w:hint="eastAsia"/>
                <w:sz w:val="24"/>
                <w:szCs w:val="24"/>
              </w:rPr>
              <w:t>公告发布之日起至竞争性磋商响应文件递交截止时间前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50" w:type="dxa"/>
            <w:vAlign w:val="center"/>
          </w:tcPr>
          <w:p>
            <w:pPr>
              <w:pStyle w:val="23"/>
              <w:spacing w:line="440" w:lineRule="exact"/>
              <w:rPr>
                <w:sz w:val="24"/>
                <w:szCs w:val="24"/>
              </w:rPr>
            </w:pPr>
            <w:r>
              <w:rPr>
                <w:rFonts w:hint="eastAsia"/>
                <w:sz w:val="24"/>
                <w:szCs w:val="24"/>
              </w:rPr>
              <w:t>4</w:t>
            </w:r>
          </w:p>
        </w:tc>
        <w:tc>
          <w:tcPr>
            <w:tcW w:w="2880" w:type="dxa"/>
            <w:vAlign w:val="center"/>
          </w:tcPr>
          <w:p>
            <w:pPr>
              <w:pStyle w:val="23"/>
              <w:spacing w:line="440" w:lineRule="exact"/>
              <w:rPr>
                <w:sz w:val="24"/>
                <w:szCs w:val="24"/>
              </w:rPr>
            </w:pPr>
            <w:r>
              <w:rPr>
                <w:rFonts w:hint="eastAsia"/>
                <w:sz w:val="24"/>
                <w:szCs w:val="24"/>
              </w:rPr>
              <w:t>竞争性磋商文件发售地点</w:t>
            </w:r>
          </w:p>
        </w:tc>
        <w:tc>
          <w:tcPr>
            <w:tcW w:w="5962" w:type="dxa"/>
            <w:vAlign w:val="center"/>
          </w:tcPr>
          <w:p>
            <w:pPr>
              <w:pStyle w:val="23"/>
              <w:spacing w:line="0" w:lineRule="atLeast"/>
              <w:rPr>
                <w:sz w:val="24"/>
                <w:szCs w:val="24"/>
              </w:rPr>
            </w:pPr>
            <w:r>
              <w:rPr>
                <w:rFonts w:hint="eastAsia"/>
                <w:spacing w:val="-10"/>
                <w:sz w:val="24"/>
                <w:szCs w:val="24"/>
              </w:rPr>
              <w:t>浙江政府采购网上免费获取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8" w:hRule="atLeast"/>
          <w:jc w:val="center"/>
        </w:trPr>
        <w:tc>
          <w:tcPr>
            <w:tcW w:w="750" w:type="dxa"/>
            <w:vAlign w:val="center"/>
          </w:tcPr>
          <w:p>
            <w:pPr>
              <w:pStyle w:val="23"/>
              <w:spacing w:line="440" w:lineRule="exact"/>
              <w:rPr>
                <w:sz w:val="24"/>
                <w:szCs w:val="24"/>
              </w:rPr>
            </w:pPr>
            <w:r>
              <w:rPr>
                <w:rFonts w:hint="eastAsia"/>
                <w:sz w:val="24"/>
                <w:szCs w:val="24"/>
              </w:rPr>
              <w:t>5</w:t>
            </w:r>
          </w:p>
        </w:tc>
        <w:tc>
          <w:tcPr>
            <w:tcW w:w="2880" w:type="dxa"/>
            <w:vAlign w:val="center"/>
          </w:tcPr>
          <w:p>
            <w:pPr>
              <w:pStyle w:val="23"/>
              <w:spacing w:line="440" w:lineRule="exact"/>
              <w:rPr>
                <w:sz w:val="24"/>
                <w:szCs w:val="24"/>
              </w:rPr>
            </w:pPr>
            <w:r>
              <w:rPr>
                <w:rFonts w:hint="eastAsia"/>
                <w:sz w:val="24"/>
                <w:szCs w:val="24"/>
              </w:rPr>
              <w:t>竞争性磋商响应文件形式、制作</w:t>
            </w:r>
          </w:p>
        </w:tc>
        <w:tc>
          <w:tcPr>
            <w:tcW w:w="5962" w:type="dxa"/>
            <w:vAlign w:val="center"/>
          </w:tcPr>
          <w:p>
            <w:pPr>
              <w:pStyle w:val="23"/>
              <w:spacing w:line="0" w:lineRule="atLeast"/>
              <w:rPr>
                <w:b/>
                <w:color w:val="auto"/>
                <w:sz w:val="24"/>
                <w:szCs w:val="24"/>
              </w:rPr>
            </w:pPr>
            <w:r>
              <w:rPr>
                <w:rFonts w:hint="eastAsia"/>
                <w:b/>
                <w:color w:val="auto"/>
                <w:sz w:val="24"/>
                <w:szCs w:val="24"/>
              </w:rPr>
              <w:t>磋商响应人请准备电子竞争性磋商响应文件</w:t>
            </w:r>
          </w:p>
          <w:p>
            <w:pPr>
              <w:pStyle w:val="23"/>
              <w:spacing w:line="0" w:lineRule="atLeast"/>
              <w:rPr>
                <w:color w:val="auto"/>
                <w:spacing w:val="-10"/>
                <w:sz w:val="24"/>
                <w:szCs w:val="24"/>
              </w:rPr>
            </w:pPr>
            <w:r>
              <w:rPr>
                <w:rFonts w:hint="eastAsia"/>
                <w:b/>
                <w:color w:val="auto"/>
                <w:sz w:val="24"/>
                <w:szCs w:val="24"/>
              </w:rPr>
              <w:t>（1）电子竞争性磋商响应文件，按政采云平台供应商项目采购-电子招投标操作指南</w:t>
            </w:r>
            <w:r>
              <w:rPr>
                <w:rFonts w:hint="eastAsia" w:ascii="仿宋" w:hAnsi="仿宋" w:eastAsia="仿宋"/>
                <w:b/>
                <w:color w:val="auto"/>
              </w:rPr>
              <w:t>（网</w:t>
            </w:r>
            <w:r>
              <w:rPr>
                <w:rFonts w:hint="eastAsia" w:ascii="仿宋_GB2312" w:hAnsi="仿宋_GB2312" w:eastAsia="仿宋_GB2312" w:cs="仿宋_GB2312"/>
                <w:bCs/>
                <w:snapToGrid w:val="0"/>
                <w:color w:val="auto"/>
                <w:sz w:val="24"/>
                <w:szCs w:val="24"/>
              </w:rPr>
              <w:t>https://service.zcygov.cn/#/knowledges/CW1EtGwBFdiHxlNd6I3m/6IMVAG0BFdiHxlNdQ8Na</w:t>
            </w:r>
            <w:r>
              <w:rPr>
                <w:rFonts w:hint="eastAsia" w:ascii="仿宋" w:hAnsi="仿宋" w:eastAsia="仿宋"/>
                <w:b/>
                <w:color w:val="auto"/>
              </w:rPr>
              <w:t>）</w:t>
            </w:r>
            <w:r>
              <w:rPr>
                <w:rFonts w:hint="eastAsia"/>
                <w:b/>
                <w:color w:val="auto"/>
                <w:sz w:val="24"/>
                <w:szCs w:val="24"/>
              </w:rPr>
              <w:t>及本竞争性磋商文件要求递交。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750" w:type="dxa"/>
            <w:vAlign w:val="center"/>
          </w:tcPr>
          <w:p>
            <w:pPr>
              <w:pStyle w:val="23"/>
              <w:spacing w:line="440" w:lineRule="exact"/>
              <w:rPr>
                <w:sz w:val="24"/>
                <w:szCs w:val="24"/>
              </w:rPr>
            </w:pPr>
            <w:r>
              <w:rPr>
                <w:rFonts w:hint="eastAsia"/>
                <w:sz w:val="24"/>
                <w:szCs w:val="24"/>
              </w:rPr>
              <w:t>6</w:t>
            </w:r>
          </w:p>
        </w:tc>
        <w:tc>
          <w:tcPr>
            <w:tcW w:w="2880" w:type="dxa"/>
            <w:vAlign w:val="center"/>
          </w:tcPr>
          <w:p>
            <w:pPr>
              <w:pStyle w:val="23"/>
              <w:spacing w:line="440" w:lineRule="exact"/>
              <w:rPr>
                <w:sz w:val="24"/>
                <w:szCs w:val="24"/>
              </w:rPr>
            </w:pPr>
            <w:r>
              <w:rPr>
                <w:rFonts w:hint="eastAsia"/>
                <w:sz w:val="24"/>
                <w:szCs w:val="24"/>
              </w:rPr>
              <w:t>竞争性磋商保证金</w:t>
            </w:r>
          </w:p>
        </w:tc>
        <w:tc>
          <w:tcPr>
            <w:tcW w:w="5962" w:type="dxa"/>
            <w:vAlign w:val="center"/>
          </w:tcPr>
          <w:p>
            <w:pPr>
              <w:pStyle w:val="23"/>
              <w:spacing w:line="0" w:lineRule="atLeast"/>
              <w:rPr>
                <w:color w:val="auto"/>
                <w:sz w:val="24"/>
                <w:szCs w:val="24"/>
              </w:rPr>
            </w:pPr>
            <w:r>
              <w:rPr>
                <w:rFonts w:hint="eastAsia"/>
                <w:color w:val="auto"/>
                <w:sz w:val="24"/>
                <w:szCs w:val="24"/>
              </w:rPr>
              <w:t>无需缴纳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7</w:t>
            </w:r>
          </w:p>
        </w:tc>
        <w:tc>
          <w:tcPr>
            <w:tcW w:w="2880" w:type="dxa"/>
            <w:vAlign w:val="center"/>
          </w:tcPr>
          <w:p>
            <w:pPr>
              <w:pStyle w:val="23"/>
              <w:spacing w:line="440" w:lineRule="exact"/>
              <w:rPr>
                <w:spacing w:val="-10"/>
                <w:sz w:val="24"/>
                <w:szCs w:val="24"/>
              </w:rPr>
            </w:pPr>
            <w:r>
              <w:rPr>
                <w:rFonts w:hint="eastAsia"/>
                <w:spacing w:val="-20"/>
                <w:sz w:val="24"/>
                <w:szCs w:val="24"/>
              </w:rPr>
              <w:t>递交竞争性磋商响应文件截止时间</w:t>
            </w:r>
          </w:p>
        </w:tc>
        <w:tc>
          <w:tcPr>
            <w:tcW w:w="5962" w:type="dxa"/>
            <w:vAlign w:val="center"/>
          </w:tcPr>
          <w:p>
            <w:pPr>
              <w:pStyle w:val="23"/>
              <w:spacing w:line="0" w:lineRule="atLeast"/>
              <w:rPr>
                <w:color w:val="auto"/>
                <w:sz w:val="28"/>
                <w:szCs w:val="28"/>
              </w:rPr>
            </w:pPr>
            <w:r>
              <w:rPr>
                <w:rFonts w:hint="eastAsia" w:hAnsi="宋体" w:cs="Arial"/>
                <w:b/>
                <w:bCs/>
                <w:color w:val="auto"/>
                <w:sz w:val="24"/>
                <w:u w:val="single"/>
                <w:lang w:eastAsia="zh-CN"/>
              </w:rPr>
              <w:t>2024年7月8日09:00</w:t>
            </w:r>
            <w:r>
              <w:rPr>
                <w:rFonts w:hint="eastAsia"/>
                <w:color w:val="auto"/>
                <w:sz w:val="28"/>
                <w:szCs w:val="28"/>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8</w:t>
            </w:r>
          </w:p>
        </w:tc>
        <w:tc>
          <w:tcPr>
            <w:tcW w:w="2880" w:type="dxa"/>
            <w:vAlign w:val="center"/>
          </w:tcPr>
          <w:p>
            <w:pPr>
              <w:pStyle w:val="23"/>
              <w:spacing w:line="440" w:lineRule="exact"/>
              <w:rPr>
                <w:spacing w:val="-20"/>
                <w:sz w:val="24"/>
                <w:szCs w:val="24"/>
              </w:rPr>
            </w:pPr>
            <w:r>
              <w:rPr>
                <w:rFonts w:hint="eastAsia"/>
                <w:sz w:val="24"/>
                <w:szCs w:val="24"/>
              </w:rPr>
              <w:t>磋商开始时间</w:t>
            </w:r>
          </w:p>
        </w:tc>
        <w:tc>
          <w:tcPr>
            <w:tcW w:w="5962" w:type="dxa"/>
            <w:vAlign w:val="center"/>
          </w:tcPr>
          <w:p>
            <w:pPr>
              <w:pStyle w:val="23"/>
              <w:spacing w:line="0" w:lineRule="atLeast"/>
              <w:rPr>
                <w:color w:val="auto"/>
                <w:sz w:val="28"/>
                <w:szCs w:val="28"/>
              </w:rPr>
            </w:pPr>
            <w:r>
              <w:rPr>
                <w:rFonts w:hint="eastAsia" w:hAnsi="宋体" w:cs="Arial"/>
                <w:b/>
                <w:bCs/>
                <w:color w:val="auto"/>
                <w:sz w:val="24"/>
                <w:u w:val="single"/>
                <w:lang w:eastAsia="zh-CN"/>
              </w:rPr>
              <w:t>2024年7月8日09:00</w:t>
            </w:r>
            <w:r>
              <w:rPr>
                <w:rFonts w:hint="eastAsia"/>
                <w:color w:val="auto"/>
                <w:sz w:val="28"/>
                <w:szCs w:val="28"/>
              </w:rPr>
              <w:t>（北京时间）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9</w:t>
            </w:r>
          </w:p>
        </w:tc>
        <w:tc>
          <w:tcPr>
            <w:tcW w:w="2880" w:type="dxa"/>
            <w:vAlign w:val="center"/>
          </w:tcPr>
          <w:p>
            <w:pPr>
              <w:pStyle w:val="23"/>
              <w:spacing w:line="440" w:lineRule="exact"/>
              <w:rPr>
                <w:sz w:val="24"/>
                <w:szCs w:val="24"/>
              </w:rPr>
            </w:pPr>
            <w:r>
              <w:rPr>
                <w:rFonts w:hint="eastAsia"/>
                <w:sz w:val="24"/>
                <w:szCs w:val="24"/>
              </w:rPr>
              <w:t>磋商地点</w:t>
            </w:r>
          </w:p>
        </w:tc>
        <w:tc>
          <w:tcPr>
            <w:tcW w:w="5962" w:type="dxa"/>
            <w:vAlign w:val="center"/>
          </w:tcPr>
          <w:p>
            <w:pPr>
              <w:pStyle w:val="23"/>
              <w:spacing w:line="0" w:lineRule="atLeast"/>
              <w:rPr>
                <w:sz w:val="24"/>
                <w:szCs w:val="24"/>
              </w:rPr>
            </w:pPr>
            <w:r>
              <w:rPr>
                <w:rFonts w:hint="eastAsia" w:hAnsi="宋体" w:cs="Arial"/>
                <w:bCs/>
                <w:sz w:val="24"/>
              </w:rPr>
              <w:t>金华市公共资源交易中心磐安县分中心评标室二 （磐安县安文街道花月路211号建设大厦22楼）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22" w:hRule="atLeast"/>
          <w:jc w:val="center"/>
        </w:trPr>
        <w:tc>
          <w:tcPr>
            <w:tcW w:w="750" w:type="dxa"/>
            <w:vAlign w:val="center"/>
          </w:tcPr>
          <w:p>
            <w:pPr>
              <w:pStyle w:val="23"/>
              <w:spacing w:line="440" w:lineRule="exact"/>
              <w:rPr>
                <w:sz w:val="24"/>
                <w:szCs w:val="24"/>
              </w:rPr>
            </w:pPr>
            <w:r>
              <w:rPr>
                <w:rFonts w:hint="eastAsia"/>
                <w:sz w:val="24"/>
                <w:szCs w:val="24"/>
              </w:rPr>
              <w:t>10</w:t>
            </w:r>
          </w:p>
        </w:tc>
        <w:tc>
          <w:tcPr>
            <w:tcW w:w="2880" w:type="dxa"/>
            <w:vAlign w:val="center"/>
          </w:tcPr>
          <w:p>
            <w:pPr>
              <w:pStyle w:val="23"/>
              <w:snapToGrid w:val="0"/>
              <w:spacing w:line="520" w:lineRule="exact"/>
              <w:rPr>
                <w:sz w:val="24"/>
                <w:szCs w:val="24"/>
              </w:rPr>
            </w:pPr>
            <w:r>
              <w:rPr>
                <w:rFonts w:hint="eastAsia"/>
                <w:b/>
                <w:sz w:val="24"/>
                <w:szCs w:val="24"/>
              </w:rPr>
              <w:t>电子竞争性磋商响应文件的传输递交</w:t>
            </w:r>
          </w:p>
        </w:tc>
        <w:tc>
          <w:tcPr>
            <w:tcW w:w="5962" w:type="dxa"/>
            <w:vAlign w:val="center"/>
          </w:tcPr>
          <w:p>
            <w:pPr>
              <w:pStyle w:val="23"/>
              <w:spacing w:line="0" w:lineRule="atLeast"/>
              <w:rPr>
                <w:sz w:val="24"/>
                <w:szCs w:val="24"/>
              </w:rPr>
            </w:pPr>
            <w:r>
              <w:rPr>
                <w:rFonts w:hint="eastAsia"/>
                <w:b/>
                <w:sz w:val="24"/>
                <w:szCs w:val="24"/>
              </w:rPr>
              <w:t>磋商响应人应当在磋商响应截止时间前完成电子竞争性磋商响应文件的传输递交，磋商响应截止时间前可以补充、修改或者撤回电子竞争性磋商响应文件。补充或者修改电子竞争性磋商响应文件的，应当先行撤回原文件，补充、修改后重新传输递交。磋商响应截止时间前未完成传输的，视为撤回竞争性磋商响应文件。磋商响应截止时间后送达的竞争性磋商响应文件，将被拒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11</w:t>
            </w:r>
          </w:p>
        </w:tc>
        <w:tc>
          <w:tcPr>
            <w:tcW w:w="2880" w:type="dxa"/>
            <w:vAlign w:val="center"/>
          </w:tcPr>
          <w:p>
            <w:pPr>
              <w:pStyle w:val="23"/>
              <w:spacing w:line="440" w:lineRule="exact"/>
              <w:rPr>
                <w:sz w:val="24"/>
                <w:szCs w:val="24"/>
              </w:rPr>
            </w:pPr>
            <w:r>
              <w:rPr>
                <w:rFonts w:hint="eastAsia"/>
                <w:sz w:val="24"/>
                <w:szCs w:val="24"/>
              </w:rPr>
              <w:t>签订合同</w:t>
            </w:r>
          </w:p>
        </w:tc>
        <w:tc>
          <w:tcPr>
            <w:tcW w:w="5962" w:type="dxa"/>
            <w:vAlign w:val="center"/>
          </w:tcPr>
          <w:p>
            <w:pPr>
              <w:pStyle w:val="23"/>
              <w:spacing w:line="0" w:lineRule="atLeast"/>
              <w:rPr>
                <w:sz w:val="24"/>
                <w:szCs w:val="24"/>
              </w:rPr>
            </w:pPr>
            <w:r>
              <w:rPr>
                <w:rFonts w:hint="eastAsia"/>
                <w:sz w:val="24"/>
                <w:szCs w:val="24"/>
              </w:rPr>
              <w:t>采购人确定中标供应商之日起两个工作日内后发出成交通知书。</w:t>
            </w:r>
          </w:p>
          <w:p>
            <w:pPr>
              <w:pStyle w:val="23"/>
              <w:spacing w:line="0" w:lineRule="atLeast"/>
              <w:rPr>
                <w:sz w:val="24"/>
                <w:szCs w:val="24"/>
              </w:rPr>
            </w:pPr>
            <w:r>
              <w:rPr>
                <w:rFonts w:hint="eastAsia"/>
                <w:sz w:val="24"/>
                <w:szCs w:val="24"/>
              </w:rPr>
              <w:t>在中标通知书发</w:t>
            </w:r>
            <w:r>
              <w:rPr>
                <w:rFonts w:hint="eastAsia"/>
                <w:sz w:val="24"/>
                <w:szCs w:val="24"/>
                <w:highlight w:val="yellow"/>
              </w:rPr>
              <w:t>出20日</w:t>
            </w:r>
            <w:r>
              <w:rPr>
                <w:rFonts w:hint="eastAsia"/>
                <w:sz w:val="24"/>
                <w:szCs w:val="24"/>
              </w:rPr>
              <w:t>内和采购人签订采购合同。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jc w:val="center"/>
        </w:trPr>
        <w:tc>
          <w:tcPr>
            <w:tcW w:w="750" w:type="dxa"/>
            <w:vAlign w:val="center"/>
          </w:tcPr>
          <w:p>
            <w:pPr>
              <w:pStyle w:val="23"/>
              <w:spacing w:line="440" w:lineRule="exact"/>
              <w:rPr>
                <w:sz w:val="24"/>
                <w:szCs w:val="24"/>
              </w:rPr>
            </w:pPr>
            <w:r>
              <w:rPr>
                <w:rFonts w:hint="eastAsia"/>
                <w:sz w:val="24"/>
                <w:szCs w:val="24"/>
              </w:rPr>
              <w:t>12</w:t>
            </w:r>
          </w:p>
        </w:tc>
        <w:tc>
          <w:tcPr>
            <w:tcW w:w="2880" w:type="dxa"/>
            <w:vAlign w:val="center"/>
          </w:tcPr>
          <w:p>
            <w:pPr>
              <w:pStyle w:val="23"/>
              <w:snapToGrid w:val="0"/>
              <w:spacing w:line="380" w:lineRule="exact"/>
              <w:rPr>
                <w:sz w:val="24"/>
                <w:szCs w:val="24"/>
              </w:rPr>
            </w:pPr>
            <w:r>
              <w:rPr>
                <w:rFonts w:hint="eastAsia"/>
                <w:sz w:val="24"/>
                <w:szCs w:val="24"/>
              </w:rPr>
              <w:t>信用查询</w:t>
            </w:r>
          </w:p>
        </w:tc>
        <w:tc>
          <w:tcPr>
            <w:tcW w:w="5962" w:type="dxa"/>
            <w:vAlign w:val="center"/>
          </w:tcPr>
          <w:p>
            <w:pPr>
              <w:pStyle w:val="23"/>
              <w:snapToGrid w:val="0"/>
              <w:spacing w:line="380" w:lineRule="exact"/>
              <w:rPr>
                <w:sz w:val="24"/>
                <w:szCs w:val="24"/>
              </w:rPr>
            </w:pPr>
            <w:r>
              <w:rPr>
                <w:rFonts w:hint="eastAsia"/>
                <w:sz w:val="24"/>
                <w:szCs w:val="24"/>
              </w:rPr>
              <w:t>根据《关于在政府采购活动中查询及使用信用记录有关问题的通知》财库[2016]125号的规定：</w:t>
            </w:r>
          </w:p>
          <w:p>
            <w:pPr>
              <w:pStyle w:val="23"/>
              <w:snapToGrid w:val="0"/>
              <w:spacing w:line="380" w:lineRule="exact"/>
              <w:rPr>
                <w:sz w:val="24"/>
                <w:szCs w:val="24"/>
              </w:rPr>
            </w:pPr>
            <w:r>
              <w:rPr>
                <w:rFonts w:hint="eastAsia"/>
                <w:sz w:val="24"/>
                <w:szCs w:val="24"/>
              </w:rPr>
              <w:t>1）采购人或采购代理机构将对本项目供应商的信用记录进行查询。查询渠道为信用中国网站（www.creditchina.gov.cn）、中国政府采购网（www.ccgp.gov.cn）；</w:t>
            </w:r>
          </w:p>
          <w:p>
            <w:pPr>
              <w:pStyle w:val="23"/>
              <w:snapToGrid w:val="0"/>
              <w:spacing w:line="380" w:lineRule="exact"/>
              <w:rPr>
                <w:sz w:val="24"/>
                <w:szCs w:val="24"/>
              </w:rPr>
            </w:pPr>
            <w:r>
              <w:rPr>
                <w:rFonts w:hint="eastAsia"/>
                <w:sz w:val="24"/>
                <w:szCs w:val="24"/>
              </w:rPr>
              <w:t>2）截止时点：提交竞争性磋商响应文件（响应文件）截止时间前3年内；</w:t>
            </w:r>
          </w:p>
          <w:p>
            <w:pPr>
              <w:pStyle w:val="23"/>
              <w:snapToGrid w:val="0"/>
              <w:spacing w:line="380" w:lineRule="exact"/>
              <w:rPr>
                <w:sz w:val="24"/>
                <w:szCs w:val="24"/>
              </w:rPr>
            </w:pPr>
            <w:r>
              <w:rPr>
                <w:rFonts w:hint="eastAsia"/>
                <w:sz w:val="24"/>
                <w:szCs w:val="24"/>
              </w:rPr>
              <w:t>3）查询记录和证据的留存：信用信息查询记录和证据以网页截图等方式留存。</w:t>
            </w:r>
          </w:p>
          <w:p>
            <w:pPr>
              <w:pStyle w:val="23"/>
              <w:snapToGrid w:val="0"/>
              <w:spacing w:line="380" w:lineRule="exact"/>
              <w:rPr>
                <w:sz w:val="24"/>
                <w:szCs w:val="24"/>
              </w:rPr>
            </w:pPr>
            <w:r>
              <w:rPr>
                <w:rFonts w:hint="eastAsia"/>
                <w:sz w:val="24"/>
                <w:szCs w:val="24"/>
              </w:rPr>
              <w:t>4）使用规则：被列入失信被执行人、重大税收违法案件当事人名单、政府采购严重违法失信行为记录名单及其它不符合《中华人民共和国政府采购法》第二十二条规定条件的，其竞争性磋商响应文件将被拒绝。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750" w:type="dxa"/>
            <w:vAlign w:val="center"/>
          </w:tcPr>
          <w:p>
            <w:pPr>
              <w:pStyle w:val="23"/>
              <w:spacing w:line="440" w:lineRule="exact"/>
              <w:rPr>
                <w:sz w:val="24"/>
                <w:szCs w:val="24"/>
              </w:rPr>
            </w:pPr>
            <w:r>
              <w:rPr>
                <w:rFonts w:hint="eastAsia"/>
                <w:sz w:val="24"/>
                <w:szCs w:val="24"/>
              </w:rPr>
              <w:t>13</w:t>
            </w:r>
          </w:p>
        </w:tc>
        <w:tc>
          <w:tcPr>
            <w:tcW w:w="2880" w:type="dxa"/>
            <w:vAlign w:val="center"/>
          </w:tcPr>
          <w:p>
            <w:pPr>
              <w:pStyle w:val="23"/>
              <w:spacing w:line="440" w:lineRule="exact"/>
              <w:rPr>
                <w:sz w:val="24"/>
                <w:szCs w:val="24"/>
              </w:rPr>
            </w:pPr>
            <w:r>
              <w:rPr>
                <w:rFonts w:hint="eastAsia"/>
                <w:sz w:val="24"/>
                <w:szCs w:val="24"/>
              </w:rPr>
              <w:t>有效投标人为2家时</w:t>
            </w:r>
          </w:p>
        </w:tc>
        <w:tc>
          <w:tcPr>
            <w:tcW w:w="5962" w:type="dxa"/>
            <w:vAlign w:val="center"/>
          </w:tcPr>
          <w:p>
            <w:pPr>
              <w:pStyle w:val="23"/>
              <w:spacing w:line="0" w:lineRule="atLeast"/>
              <w:rPr>
                <w:rStyle w:val="43"/>
                <w:sz w:val="24"/>
                <w:szCs w:val="24"/>
              </w:rPr>
            </w:pPr>
            <w:r>
              <w:rPr>
                <w:rFonts w:hint="eastAsia"/>
                <w:sz w:val="24"/>
                <w:szCs w:val="24"/>
              </w:rPr>
              <w:t>符合财政部《政府采购竞争性磋商采购方式管理暂行办法》第三条第四项情形的，如有效投标人为2家时，依法继续开标。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50" w:type="dxa"/>
            <w:vAlign w:val="center"/>
          </w:tcPr>
          <w:p>
            <w:pPr>
              <w:pStyle w:val="23"/>
              <w:spacing w:line="440" w:lineRule="exact"/>
              <w:rPr>
                <w:sz w:val="24"/>
                <w:szCs w:val="24"/>
              </w:rPr>
            </w:pPr>
            <w:r>
              <w:rPr>
                <w:rFonts w:hint="eastAsia"/>
                <w:sz w:val="24"/>
                <w:szCs w:val="24"/>
              </w:rPr>
              <w:t>14</w:t>
            </w:r>
          </w:p>
        </w:tc>
        <w:tc>
          <w:tcPr>
            <w:tcW w:w="2880" w:type="dxa"/>
            <w:vAlign w:val="center"/>
          </w:tcPr>
          <w:p>
            <w:pPr>
              <w:pStyle w:val="23"/>
              <w:spacing w:line="440" w:lineRule="exact"/>
              <w:rPr>
                <w:sz w:val="24"/>
                <w:szCs w:val="24"/>
              </w:rPr>
            </w:pPr>
            <w:r>
              <w:rPr>
                <w:rFonts w:hint="eastAsia"/>
                <w:sz w:val="24"/>
                <w:szCs w:val="24"/>
              </w:rPr>
              <w:t>公告及澄清文件发布网址</w:t>
            </w:r>
          </w:p>
        </w:tc>
        <w:tc>
          <w:tcPr>
            <w:tcW w:w="5962" w:type="dxa"/>
            <w:vAlign w:val="center"/>
          </w:tcPr>
          <w:p>
            <w:pPr>
              <w:pStyle w:val="23"/>
              <w:spacing w:line="0" w:lineRule="atLeast"/>
              <w:rPr>
                <w:color w:val="0000FF"/>
                <w:szCs w:val="21"/>
                <w:u w:val="single"/>
              </w:rPr>
            </w:pPr>
            <w:r>
              <w:rPr>
                <w:rStyle w:val="43"/>
                <w:rFonts w:hint="eastAsia"/>
                <w:sz w:val="24"/>
                <w:szCs w:val="24"/>
              </w:rPr>
              <w:t>http://zfcg.czt.zj.gov.cn</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750" w:type="dxa"/>
            <w:vAlign w:val="center"/>
          </w:tcPr>
          <w:p>
            <w:pPr>
              <w:pStyle w:val="23"/>
              <w:spacing w:line="440" w:lineRule="exact"/>
              <w:rPr>
                <w:sz w:val="24"/>
                <w:szCs w:val="24"/>
              </w:rPr>
            </w:pPr>
            <w:r>
              <w:rPr>
                <w:rFonts w:hint="eastAsia"/>
                <w:sz w:val="24"/>
                <w:szCs w:val="24"/>
              </w:rPr>
              <w:t>15</w:t>
            </w:r>
          </w:p>
        </w:tc>
        <w:tc>
          <w:tcPr>
            <w:tcW w:w="2880" w:type="dxa"/>
            <w:vAlign w:val="center"/>
          </w:tcPr>
          <w:p>
            <w:pPr>
              <w:pStyle w:val="23"/>
              <w:spacing w:line="440" w:lineRule="exact"/>
              <w:rPr>
                <w:sz w:val="24"/>
                <w:szCs w:val="24"/>
              </w:rPr>
            </w:pPr>
            <w:r>
              <w:rPr>
                <w:rFonts w:hint="eastAsia"/>
                <w:sz w:val="24"/>
                <w:szCs w:val="24"/>
              </w:rPr>
              <w:t>解释</w:t>
            </w:r>
          </w:p>
        </w:tc>
        <w:tc>
          <w:tcPr>
            <w:tcW w:w="5962" w:type="dxa"/>
            <w:vAlign w:val="center"/>
          </w:tcPr>
          <w:p>
            <w:pPr>
              <w:pStyle w:val="23"/>
              <w:spacing w:line="0" w:lineRule="atLeast"/>
              <w:rPr>
                <w:sz w:val="24"/>
                <w:szCs w:val="24"/>
              </w:rPr>
            </w:pPr>
            <w:r>
              <w:rPr>
                <w:rFonts w:hint="eastAsia"/>
                <w:b/>
                <w:sz w:val="24"/>
                <w:szCs w:val="24"/>
              </w:rPr>
              <w:t>磋商方对磋商响应方的落选不作出任何解释。采购人和招标代理机构的任何工作人员对磋商响应方所作的任何口头解释、介绍、答复，仅供磋商响应方参考，不作为磋商谈判依据，对采购人、招标代理机构和磋商谈判响应方无任何约束力，一切以网上公告及书面形式为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750" w:type="dxa"/>
            <w:vAlign w:val="center"/>
          </w:tcPr>
          <w:p>
            <w:pPr>
              <w:pStyle w:val="23"/>
              <w:spacing w:line="440" w:lineRule="exact"/>
              <w:rPr>
                <w:sz w:val="24"/>
                <w:szCs w:val="24"/>
              </w:rPr>
            </w:pPr>
            <w:r>
              <w:rPr>
                <w:rFonts w:hint="eastAsia"/>
                <w:sz w:val="24"/>
                <w:szCs w:val="24"/>
              </w:rPr>
              <w:t>16</w:t>
            </w:r>
          </w:p>
        </w:tc>
        <w:tc>
          <w:tcPr>
            <w:tcW w:w="2880" w:type="dxa"/>
            <w:vAlign w:val="center"/>
          </w:tcPr>
          <w:p>
            <w:pPr>
              <w:pStyle w:val="23"/>
              <w:spacing w:line="440" w:lineRule="exact"/>
              <w:rPr>
                <w:sz w:val="24"/>
                <w:szCs w:val="24"/>
              </w:rPr>
            </w:pPr>
            <w:r>
              <w:rPr>
                <w:rFonts w:hint="eastAsia"/>
                <w:sz w:val="24"/>
                <w:szCs w:val="24"/>
              </w:rPr>
              <w:t>政采贷</w:t>
            </w:r>
          </w:p>
        </w:tc>
        <w:tc>
          <w:tcPr>
            <w:tcW w:w="5962" w:type="dxa"/>
            <w:vAlign w:val="center"/>
          </w:tcPr>
          <w:p>
            <w:pPr>
              <w:pStyle w:val="23"/>
              <w:spacing w:line="0" w:lineRule="atLeast"/>
              <w:rPr>
                <w:rStyle w:val="43"/>
                <w:sz w:val="24"/>
                <w:szCs w:val="24"/>
              </w:rPr>
            </w:pPr>
            <w:r>
              <w:rPr>
                <w:rFonts w:hint="eastAsia"/>
                <w:sz w:val="24"/>
                <w:szCs w:val="24"/>
              </w:rPr>
              <w:t>本采购项目，中标单位与采购单位签订的政府采购合同适用于政府采购贷款政策，简称“政采贷”，具体内容详见附件《政府采购支持中小企业信用融资相关事项通知》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jc w:val="center"/>
        </w:trPr>
        <w:tc>
          <w:tcPr>
            <w:tcW w:w="750" w:type="dxa"/>
            <w:vAlign w:val="center"/>
          </w:tcPr>
          <w:p>
            <w:pPr>
              <w:pStyle w:val="23"/>
              <w:spacing w:line="440" w:lineRule="exact"/>
              <w:rPr>
                <w:sz w:val="24"/>
                <w:szCs w:val="24"/>
              </w:rPr>
            </w:pPr>
            <w:r>
              <w:rPr>
                <w:rFonts w:hint="eastAsia"/>
                <w:sz w:val="24"/>
                <w:szCs w:val="24"/>
              </w:rPr>
              <w:t>17</w:t>
            </w:r>
          </w:p>
        </w:tc>
        <w:tc>
          <w:tcPr>
            <w:tcW w:w="2880" w:type="dxa"/>
            <w:vAlign w:val="center"/>
          </w:tcPr>
          <w:p>
            <w:pPr>
              <w:pStyle w:val="23"/>
              <w:spacing w:line="440" w:lineRule="exact"/>
              <w:rPr>
                <w:sz w:val="24"/>
                <w:szCs w:val="24"/>
              </w:rPr>
            </w:pPr>
            <w:r>
              <w:rPr>
                <w:rFonts w:hint="eastAsia" w:hAnsi="宋体" w:cs="宋体"/>
                <w:sz w:val="24"/>
              </w:rPr>
              <w:t>投标报价及费用</w:t>
            </w:r>
          </w:p>
        </w:tc>
        <w:tc>
          <w:tcPr>
            <w:tcW w:w="5962" w:type="dxa"/>
            <w:vAlign w:val="center"/>
          </w:tcPr>
          <w:p>
            <w:pPr>
              <w:pStyle w:val="23"/>
              <w:spacing w:line="0" w:lineRule="atLeast"/>
              <w:rPr>
                <w:rFonts w:hint="eastAsia" w:eastAsia="宋体"/>
                <w:sz w:val="24"/>
                <w:szCs w:val="24"/>
                <w:lang w:eastAsia="zh-CN"/>
              </w:rPr>
            </w:pPr>
            <w:r>
              <w:rPr>
                <w:rFonts w:hint="eastAsia" w:hAnsi="宋体" w:cs="宋体"/>
                <w:sz w:val="24"/>
                <w:szCs w:val="24"/>
              </w:rPr>
              <w:t>1</w:t>
            </w:r>
            <w:r>
              <w:rPr>
                <w:rFonts w:hint="eastAsia" w:hAnsi="宋体" w:cs="宋体"/>
                <w:b w:val="0"/>
                <w:bCs w:val="0"/>
                <w:sz w:val="24"/>
                <w:szCs w:val="24"/>
              </w:rPr>
              <w:t>、本项目投标应以人民币报价；2、不论投标结果如何，投标人均应自行承担所有与投标有关的全部费用；</w:t>
            </w:r>
            <w:r>
              <w:rPr>
                <w:rFonts w:hint="eastAsia" w:hAnsi="宋体"/>
                <w:b w:val="0"/>
                <w:bCs w:val="0"/>
                <w:color w:val="000000"/>
                <w:sz w:val="24"/>
                <w:szCs w:val="24"/>
              </w:rPr>
              <w:t>3、</w:t>
            </w:r>
            <w:r>
              <w:rPr>
                <w:rFonts w:hint="eastAsia" w:hAnsi="宋体"/>
                <w:b w:val="0"/>
                <w:bCs w:val="0"/>
                <w:color w:val="000000"/>
                <w:sz w:val="24"/>
                <w:szCs w:val="24"/>
                <w:u w:val="none"/>
              </w:rPr>
              <w:t>本项目根据国家计委（计价格[2002]1980号）文件规定的货物类招标费率标准，按照中标通知书确定的中标总金额向中标单位收取招标服务费</w:t>
            </w:r>
            <w:r>
              <w:rPr>
                <w:rFonts w:hint="eastAsia" w:hAnsi="宋体"/>
                <w:b w:val="0"/>
                <w:bCs w:val="0"/>
                <w:color w:val="000000"/>
                <w:sz w:val="24"/>
                <w:szCs w:val="24"/>
                <w:u w:val="none"/>
                <w:lang w:eastAsia="zh-CN"/>
              </w:rPr>
              <w:t>；领取中标通知书时一次性收取费</w:t>
            </w:r>
            <w:r>
              <w:rPr>
                <w:rFonts w:hint="eastAsia" w:hAnsi="宋体"/>
                <w:b w:val="0"/>
                <w:bCs w:val="0"/>
                <w:color w:val="000000"/>
                <w:sz w:val="24"/>
                <w:szCs w:val="24"/>
                <w:u w:val="none"/>
                <w:lang w:val="en-US" w:eastAsia="zh-CN"/>
              </w:rPr>
              <w:t>用</w:t>
            </w:r>
            <w:r>
              <w:rPr>
                <w:rFonts w:hint="eastAsia" w:hAnsi="宋体"/>
                <w:b w:val="0"/>
                <w:bCs w:val="0"/>
                <w:color w:val="000000"/>
                <w:sz w:val="24"/>
                <w:szCs w:val="24"/>
                <w:u w:val="none"/>
                <w:lang w:eastAsia="zh-CN"/>
              </w:rPr>
              <w:t>。</w:t>
            </w:r>
          </w:p>
        </w:tc>
      </w:tr>
    </w:tbl>
    <w:p>
      <w:pPr>
        <w:pStyle w:val="50"/>
        <w:rPr>
          <w:rFonts w:hAnsi="宋体"/>
          <w:b/>
          <w:sz w:val="44"/>
          <w:szCs w:val="44"/>
        </w:rPr>
      </w:pPr>
      <w:r>
        <w:rPr>
          <w:rFonts w:hint="eastAsia" w:hAnsi="宋体"/>
          <w:kern w:val="2"/>
        </w:rPr>
        <w:t>注：如本招标文件后面的条款与本表有矛盾的以本表的内容为准。</w:t>
      </w:r>
    </w:p>
    <w:p>
      <w:pPr>
        <w:spacing w:line="340" w:lineRule="exact"/>
        <w:jc w:val="center"/>
        <w:rPr>
          <w:rFonts w:ascii="宋体" w:hAnsi="宋体"/>
          <w:b/>
          <w:sz w:val="44"/>
          <w:szCs w:val="44"/>
        </w:rPr>
      </w:pPr>
    </w:p>
    <w:p>
      <w:pPr>
        <w:widowControl/>
        <w:jc w:val="left"/>
        <w:rPr>
          <w:rFonts w:ascii="宋体" w:hAnsi="宋体"/>
          <w:b/>
          <w:sz w:val="44"/>
          <w:szCs w:val="44"/>
        </w:rPr>
      </w:pPr>
      <w:r>
        <w:rPr>
          <w:rFonts w:ascii="宋体" w:hAnsi="宋体"/>
          <w:b/>
          <w:sz w:val="44"/>
          <w:szCs w:val="44"/>
        </w:rPr>
        <w:br w:type="page"/>
      </w:r>
    </w:p>
    <w:p>
      <w:pPr>
        <w:spacing w:line="540" w:lineRule="exact"/>
        <w:jc w:val="center"/>
        <w:outlineLvl w:val="0"/>
        <w:rPr>
          <w:rFonts w:ascii="宋体" w:hAnsi="宋体"/>
          <w:b/>
          <w:sz w:val="36"/>
          <w:szCs w:val="36"/>
        </w:rPr>
      </w:pPr>
      <w:bookmarkStart w:id="16" w:name="_Toc1166"/>
      <w:r>
        <w:rPr>
          <w:rFonts w:hint="eastAsia" w:ascii="宋体" w:hAnsi="宋体"/>
          <w:b/>
          <w:sz w:val="36"/>
          <w:szCs w:val="36"/>
        </w:rPr>
        <w:t>第一章  招标需求</w:t>
      </w:r>
    </w:p>
    <w:p>
      <w:pPr>
        <w:adjustRightInd w:val="0"/>
        <w:snapToGrid w:val="0"/>
        <w:jc w:val="center"/>
        <w:rPr>
          <w:rFonts w:asciiTheme="minorEastAsia" w:hAnsiTheme="minorEastAsia" w:eastAsiaTheme="minorEastAsia" w:cstheme="minorEastAsia"/>
          <w:b/>
          <w:bCs/>
          <w:snapToGrid w:val="0"/>
          <w:w w:val="85"/>
          <w:szCs w:val="21"/>
        </w:rPr>
      </w:pPr>
    </w:p>
    <w:p>
      <w:pPr>
        <w:spacing w:before="157" w:beforeLines="50" w:line="336" w:lineRule="auto"/>
        <w:jc w:val="left"/>
        <w:rPr>
          <w:rFonts w:ascii="宋体" w:hAnsi="宋体" w:cs="宋体"/>
          <w:b/>
          <w:color w:val="000000"/>
          <w:szCs w:val="21"/>
        </w:rPr>
      </w:pPr>
      <w:r>
        <w:rPr>
          <w:rFonts w:hint="eastAsia" w:ascii="宋体" w:hAnsi="宋体"/>
          <w:b/>
          <w:szCs w:val="21"/>
        </w:rPr>
        <w:t>一、概况</w:t>
      </w:r>
    </w:p>
    <w:p>
      <w:pPr>
        <w:pStyle w:val="23"/>
        <w:spacing w:before="120" w:after="120" w:line="336" w:lineRule="auto"/>
        <w:rPr>
          <w:rFonts w:hAnsi="宋体" w:cs="宋体"/>
          <w:kern w:val="0"/>
          <w:sz w:val="24"/>
          <w:szCs w:val="21"/>
        </w:rPr>
      </w:pPr>
      <w:r>
        <w:rPr>
          <w:rFonts w:hint="eastAsia" w:hAnsi="宋体" w:cs="宋体"/>
          <w:kern w:val="0"/>
          <w:sz w:val="24"/>
          <w:szCs w:val="21"/>
        </w:rPr>
        <w:t>　　本次招标的项目为</w:t>
      </w:r>
      <w:r>
        <w:rPr>
          <w:rFonts w:hint="eastAsia" w:hAnsi="宋体" w:cs="宋体"/>
          <w:kern w:val="0"/>
          <w:sz w:val="24"/>
          <w:szCs w:val="21"/>
          <w:lang w:eastAsia="zh-CN"/>
        </w:rPr>
        <w:t>磐安县仁川镇共富风貌驿产品采购项目（第二次）</w:t>
      </w:r>
      <w:r>
        <w:rPr>
          <w:rFonts w:hint="eastAsia" w:hAnsi="宋体" w:cs="宋体"/>
          <w:kern w:val="0"/>
          <w:sz w:val="24"/>
          <w:szCs w:val="21"/>
        </w:rPr>
        <w:t>进行</w:t>
      </w:r>
      <w:r>
        <w:rPr>
          <w:rFonts w:hint="eastAsia"/>
          <w:sz w:val="24"/>
          <w:szCs w:val="24"/>
        </w:rPr>
        <w:t>竞争性磋商</w:t>
      </w:r>
      <w:r>
        <w:rPr>
          <w:rFonts w:hint="eastAsia" w:hAnsi="宋体" w:cs="宋体"/>
          <w:kern w:val="0"/>
          <w:sz w:val="24"/>
          <w:szCs w:val="21"/>
        </w:rPr>
        <w:t>。投标人须按招标文件的要求完成产品的供货、运输、安装、试验、调试、验收、培训及售后服务等工作。按工作顺序提交所需的无论是否被明细列在合同。</w:t>
      </w:r>
      <w:bookmarkStart w:id="17" w:name="_Toc12304"/>
      <w:bookmarkStart w:id="18" w:name="_Toc235778607"/>
      <w:bookmarkStart w:id="19" w:name="_Toc393902428"/>
      <w:bookmarkStart w:id="20" w:name="_Toc263090359"/>
      <w:bookmarkStart w:id="21" w:name="_Toc293306052"/>
      <w:bookmarkStart w:id="22" w:name="_Toc25127"/>
      <w:bookmarkStart w:id="23" w:name="_Toc20226"/>
    </w:p>
    <w:p>
      <w:pPr>
        <w:pStyle w:val="23"/>
        <w:spacing w:before="120" w:after="120" w:line="336" w:lineRule="auto"/>
        <w:rPr>
          <w:rFonts w:hAnsi="宋体"/>
          <w:b/>
          <w:szCs w:val="21"/>
        </w:rPr>
      </w:pPr>
      <w:r>
        <w:rPr>
          <w:rFonts w:hint="eastAsia" w:hAnsi="宋体"/>
          <w:b/>
          <w:szCs w:val="21"/>
        </w:rPr>
        <w:t>二、</w:t>
      </w:r>
      <w:r>
        <w:rPr>
          <w:rFonts w:hAnsi="宋体"/>
          <w:b/>
          <w:szCs w:val="21"/>
        </w:rPr>
        <w:t>招标范围</w:t>
      </w:r>
      <w:bookmarkEnd w:id="17"/>
      <w:bookmarkEnd w:id="18"/>
      <w:bookmarkEnd w:id="19"/>
      <w:bookmarkEnd w:id="20"/>
      <w:bookmarkEnd w:id="21"/>
      <w:bookmarkEnd w:id="22"/>
      <w:bookmarkEnd w:id="23"/>
    </w:p>
    <w:p>
      <w:pPr>
        <w:spacing w:line="336" w:lineRule="auto"/>
        <w:ind w:firstLine="470" w:firstLineChars="196"/>
        <w:rPr>
          <w:rFonts w:ascii="宋体" w:hAnsi="宋体"/>
          <w:sz w:val="24"/>
        </w:rPr>
      </w:pPr>
      <w:r>
        <w:rPr>
          <w:rFonts w:hint="eastAsia" w:ascii="宋体" w:hAnsi="宋体" w:cs="宋体"/>
          <w:kern w:val="0"/>
          <w:sz w:val="24"/>
        </w:rPr>
        <w:t>本项目采购内容主要包括</w:t>
      </w:r>
      <w:r>
        <w:rPr>
          <w:rFonts w:hint="eastAsia" w:hAnsi="宋体" w:cs="宋体"/>
          <w:kern w:val="0"/>
          <w:sz w:val="24"/>
          <w:lang w:eastAsia="zh-CN"/>
        </w:rPr>
        <w:t>磐安县仁川镇共富风貌驿产品采购项目（第二次）</w:t>
      </w:r>
      <w:r>
        <w:rPr>
          <w:rFonts w:hint="eastAsia" w:ascii="宋体" w:hAnsi="宋体" w:cs="宋体"/>
          <w:kern w:val="0"/>
          <w:sz w:val="24"/>
        </w:rPr>
        <w:t>的深化设计、</w:t>
      </w:r>
      <w:r>
        <w:rPr>
          <w:rFonts w:hint="eastAsia" w:hAnsi="宋体" w:cs="宋体"/>
          <w:kern w:val="0"/>
          <w:sz w:val="24"/>
        </w:rPr>
        <w:t>产品安装</w:t>
      </w:r>
      <w:r>
        <w:rPr>
          <w:rFonts w:hint="eastAsia" w:ascii="宋体" w:hAnsi="宋体" w:cs="宋体"/>
          <w:kern w:val="0"/>
          <w:sz w:val="24"/>
        </w:rPr>
        <w:t>、智能化设备及设施的采购安装调试，通过相关部门的验收合格，</w:t>
      </w:r>
      <w:r>
        <w:rPr>
          <w:rFonts w:hint="eastAsia" w:ascii="宋体" w:hAnsi="宋体"/>
          <w:sz w:val="24"/>
        </w:rPr>
        <w:t>直至交付采购人使用。</w:t>
      </w:r>
    </w:p>
    <w:p>
      <w:pPr>
        <w:spacing w:line="336" w:lineRule="auto"/>
        <w:ind w:firstLine="411" w:firstLineChars="196"/>
        <w:rPr>
          <w:rFonts w:ascii="宋体" w:hAnsi="宋体" w:cs="宋体"/>
          <w:kern w:val="0"/>
          <w:szCs w:val="21"/>
        </w:rPr>
      </w:pPr>
      <w:r>
        <w:rPr>
          <w:rFonts w:hint="eastAsia" w:ascii="宋体" w:hAnsi="宋体" w:cs="宋体"/>
          <w:kern w:val="0"/>
          <w:szCs w:val="21"/>
        </w:rPr>
        <w:t>1、深化设计</w:t>
      </w:r>
    </w:p>
    <w:p>
      <w:pPr>
        <w:spacing w:line="336" w:lineRule="auto"/>
        <w:ind w:firstLine="413" w:firstLineChars="196"/>
        <w:rPr>
          <w:rFonts w:ascii="宋体" w:hAnsi="宋体" w:cs="宋体"/>
          <w:b/>
          <w:kern w:val="0"/>
          <w:szCs w:val="21"/>
        </w:rPr>
      </w:pPr>
      <w:r>
        <w:rPr>
          <w:rFonts w:hint="eastAsia" w:ascii="宋体" w:hAnsi="宋体" w:cs="宋体"/>
          <w:b/>
          <w:kern w:val="0"/>
          <w:szCs w:val="21"/>
        </w:rPr>
        <w:t>采购人提供</w:t>
      </w:r>
      <w:r>
        <w:rPr>
          <w:rFonts w:hint="eastAsia" w:hAnsi="宋体"/>
          <w:b/>
          <w:szCs w:val="21"/>
        </w:rPr>
        <w:t>磐安县仁川镇共富风貌驿功能要求、产品</w:t>
      </w:r>
      <w:r>
        <w:rPr>
          <w:rFonts w:hint="eastAsia" w:hAnsi="宋体" w:cs="宋体"/>
          <w:b/>
          <w:kern w:val="0"/>
          <w:szCs w:val="21"/>
        </w:rPr>
        <w:t>意向风格效果</w:t>
      </w:r>
      <w:r>
        <w:rPr>
          <w:rFonts w:hint="eastAsia" w:ascii="宋体" w:hAnsi="宋体" w:cs="宋体"/>
          <w:b/>
          <w:kern w:val="0"/>
          <w:szCs w:val="21"/>
        </w:rPr>
        <w:t>图，供应商在</w:t>
      </w:r>
      <w:r>
        <w:rPr>
          <w:rFonts w:hint="eastAsia" w:hAnsi="宋体" w:cs="宋体"/>
          <w:b/>
          <w:kern w:val="0"/>
          <w:szCs w:val="21"/>
        </w:rPr>
        <w:t>相关需求</w:t>
      </w:r>
      <w:r>
        <w:rPr>
          <w:rFonts w:hint="eastAsia" w:ascii="宋体" w:hAnsi="宋体" w:cs="宋体"/>
          <w:b/>
          <w:kern w:val="0"/>
          <w:szCs w:val="21"/>
        </w:rPr>
        <w:t>基础上进行方案深化优化，并据此出具方案图、</w:t>
      </w:r>
      <w:r>
        <w:rPr>
          <w:rFonts w:hint="eastAsia" w:hAnsi="宋体" w:cs="宋体"/>
          <w:b/>
          <w:kern w:val="0"/>
          <w:szCs w:val="21"/>
        </w:rPr>
        <w:t>模块化房屋加工图</w:t>
      </w:r>
      <w:r>
        <w:rPr>
          <w:rFonts w:hint="eastAsia" w:ascii="宋体" w:hAnsi="宋体" w:cs="宋体"/>
          <w:b/>
          <w:kern w:val="0"/>
          <w:szCs w:val="21"/>
        </w:rPr>
        <w:t>、</w:t>
      </w:r>
      <w:r>
        <w:rPr>
          <w:rFonts w:hint="eastAsia" w:hAnsi="宋体" w:cs="宋体"/>
          <w:b/>
          <w:kern w:val="0"/>
          <w:szCs w:val="21"/>
        </w:rPr>
        <w:t>产品技术参数配置清单</w:t>
      </w:r>
      <w:r>
        <w:rPr>
          <w:rFonts w:hint="eastAsia" w:ascii="宋体" w:hAnsi="宋体" w:cs="宋体"/>
          <w:b/>
          <w:kern w:val="0"/>
          <w:szCs w:val="21"/>
        </w:rPr>
        <w:t>、实施方案等。</w:t>
      </w:r>
    </w:p>
    <w:p>
      <w:pPr>
        <w:spacing w:line="336" w:lineRule="auto"/>
        <w:ind w:firstLine="420" w:firstLineChars="200"/>
        <w:rPr>
          <w:rFonts w:ascii="宋体" w:hAnsi="宋体" w:cs="宋体"/>
          <w:kern w:val="0"/>
          <w:szCs w:val="21"/>
        </w:rPr>
      </w:pPr>
      <w:r>
        <w:rPr>
          <w:rFonts w:hint="eastAsia" w:ascii="宋体" w:hAnsi="宋体" w:cs="宋体"/>
          <w:kern w:val="0"/>
          <w:szCs w:val="21"/>
        </w:rPr>
        <w:t>设计范围包括基础、</w:t>
      </w:r>
      <w:r>
        <w:rPr>
          <w:rFonts w:hint="eastAsia" w:hAnsi="宋体" w:cs="宋体"/>
          <w:kern w:val="0"/>
          <w:szCs w:val="21"/>
        </w:rPr>
        <w:t>模块房屋主体</w:t>
      </w:r>
      <w:r>
        <w:rPr>
          <w:rFonts w:hint="eastAsia" w:ascii="宋体" w:hAnsi="宋体" w:cs="宋体"/>
          <w:kern w:val="0"/>
          <w:szCs w:val="21"/>
        </w:rPr>
        <w:t>、内外墙装饰、</w:t>
      </w:r>
      <w:r>
        <w:rPr>
          <w:rFonts w:hint="eastAsia" w:ascii="宋体" w:hAnsi="宋体"/>
          <w:szCs w:val="21"/>
        </w:rPr>
        <w:t>屋面、</w:t>
      </w:r>
      <w:r>
        <w:rPr>
          <w:rFonts w:hint="eastAsia" w:ascii="宋体" w:hAnsi="宋体" w:cs="宋体"/>
          <w:kern w:val="0"/>
          <w:szCs w:val="21"/>
        </w:rPr>
        <w:t>洁具配置、门、窗、</w:t>
      </w:r>
      <w:r>
        <w:rPr>
          <w:rFonts w:hint="eastAsia" w:ascii="宋体" w:hAnsi="宋体"/>
          <w:szCs w:val="21"/>
        </w:rPr>
        <w:t>灯具、</w:t>
      </w:r>
      <w:r>
        <w:rPr>
          <w:rFonts w:hint="eastAsia" w:ascii="宋体" w:hAnsi="宋体" w:cs="宋体"/>
          <w:kern w:val="0"/>
          <w:szCs w:val="21"/>
        </w:rPr>
        <w:t>室内外给排水、电气、通风空调、</w:t>
      </w:r>
      <w:r>
        <w:rPr>
          <w:rFonts w:hint="eastAsia" w:ascii="宋体" w:hAnsi="宋体"/>
          <w:bCs/>
          <w:szCs w:val="21"/>
        </w:rPr>
        <w:t>空气排风系统、</w:t>
      </w:r>
      <w:r>
        <w:rPr>
          <w:rFonts w:hint="eastAsia" w:ascii="宋体" w:hAnsi="宋体" w:cs="宋体"/>
          <w:kern w:val="0"/>
          <w:szCs w:val="21"/>
        </w:rPr>
        <w:t>除臭通风系统、智</w:t>
      </w:r>
      <w:r>
        <w:rPr>
          <w:rFonts w:hint="eastAsia" w:ascii="宋体" w:hAnsi="宋体"/>
          <w:bCs/>
          <w:szCs w:val="21"/>
        </w:rPr>
        <w:t>能管控系统、</w:t>
      </w:r>
      <w:r>
        <w:rPr>
          <w:rFonts w:hint="eastAsia" w:ascii="宋体" w:hAnsi="宋体" w:cs="宋体"/>
          <w:kern w:val="0"/>
          <w:szCs w:val="21"/>
        </w:rPr>
        <w:t>化粪池、</w:t>
      </w:r>
      <w:r>
        <w:rPr>
          <w:rFonts w:hint="eastAsia" w:ascii="宋体" w:hAnsi="宋体"/>
          <w:bCs/>
          <w:szCs w:val="21"/>
        </w:rPr>
        <w:t>配套绿化、</w:t>
      </w:r>
      <w:r>
        <w:rPr>
          <w:rFonts w:hint="eastAsia" w:ascii="宋体" w:hAnsi="宋体" w:cs="宋体"/>
          <w:kern w:val="0"/>
          <w:szCs w:val="21"/>
        </w:rPr>
        <w:t>标识标牌等广告设计在内的全部设计范围。</w:t>
      </w:r>
    </w:p>
    <w:p>
      <w:pPr>
        <w:spacing w:line="336" w:lineRule="auto"/>
        <w:ind w:firstLine="411" w:firstLineChars="196"/>
        <w:rPr>
          <w:rFonts w:ascii="宋体" w:hAnsi="宋体" w:cs="宋体"/>
          <w:kern w:val="0"/>
          <w:szCs w:val="21"/>
        </w:rPr>
      </w:pPr>
      <w:r>
        <w:rPr>
          <w:rFonts w:hint="eastAsia" w:ascii="宋体" w:hAnsi="宋体" w:cs="宋体"/>
          <w:kern w:val="0"/>
          <w:szCs w:val="21"/>
        </w:rPr>
        <w:t>2、</w:t>
      </w:r>
      <w:r>
        <w:rPr>
          <w:rFonts w:hint="eastAsia" w:hAnsi="宋体" w:cs="宋体"/>
          <w:kern w:val="0"/>
          <w:szCs w:val="21"/>
        </w:rPr>
        <w:t>产品安装</w:t>
      </w:r>
    </w:p>
    <w:p>
      <w:pPr>
        <w:spacing w:line="336" w:lineRule="auto"/>
        <w:ind w:firstLine="411" w:firstLineChars="196"/>
        <w:rPr>
          <w:rFonts w:ascii="宋体" w:hAnsi="宋体" w:cs="宋体"/>
          <w:color w:val="auto"/>
          <w:kern w:val="0"/>
          <w:szCs w:val="21"/>
        </w:rPr>
      </w:pPr>
      <w:r>
        <w:rPr>
          <w:rFonts w:hint="eastAsia" w:ascii="宋体" w:hAnsi="宋体" w:cs="宋体"/>
          <w:color w:val="auto"/>
          <w:kern w:val="0"/>
          <w:szCs w:val="21"/>
        </w:rPr>
        <w:t>采购人提供水电接口到驿站</w:t>
      </w:r>
      <w:r>
        <w:rPr>
          <w:rFonts w:hint="eastAsia" w:hAnsi="宋体" w:cs="宋体"/>
          <w:color w:val="auto"/>
          <w:kern w:val="0"/>
          <w:szCs w:val="21"/>
        </w:rPr>
        <w:t>模块化房屋加工图</w:t>
      </w:r>
      <w:r>
        <w:rPr>
          <w:rFonts w:hint="eastAsia" w:ascii="宋体" w:hAnsi="宋体" w:cs="宋体"/>
          <w:color w:val="auto"/>
          <w:kern w:val="0"/>
          <w:szCs w:val="21"/>
        </w:rPr>
        <w:t>图示位置。</w:t>
      </w:r>
    </w:p>
    <w:p>
      <w:pPr>
        <w:spacing w:line="336" w:lineRule="auto"/>
        <w:ind w:firstLine="472" w:firstLineChars="196"/>
        <w:rPr>
          <w:rFonts w:ascii="宋体" w:hAnsi="宋体"/>
          <w:b/>
          <w:sz w:val="24"/>
          <w:szCs w:val="21"/>
        </w:rPr>
      </w:pPr>
      <w:r>
        <w:rPr>
          <w:rFonts w:hint="eastAsia" w:ascii="宋体" w:hAnsi="宋体"/>
          <w:b/>
          <w:sz w:val="24"/>
          <w:szCs w:val="21"/>
        </w:rPr>
        <w:t>本项目采用交钥匙工程。</w:t>
      </w:r>
      <w:r>
        <w:rPr>
          <w:rFonts w:hint="eastAsia" w:hAnsi="宋体"/>
          <w:b/>
          <w:sz w:val="24"/>
          <w:szCs w:val="21"/>
        </w:rPr>
        <w:t>仁川镇共富风貌驿效果图</w:t>
      </w:r>
      <w:r>
        <w:rPr>
          <w:rFonts w:hint="eastAsia" w:ascii="宋体" w:hAnsi="宋体"/>
          <w:b/>
          <w:sz w:val="24"/>
          <w:szCs w:val="21"/>
        </w:rPr>
        <w:t>范围内的工程内容均由中标单位负责建设，至交付使用为止，费用包含在报价总价中。</w:t>
      </w:r>
    </w:p>
    <w:p>
      <w:pPr>
        <w:numPr>
          <w:ilvl w:val="0"/>
          <w:numId w:val="8"/>
        </w:numPr>
        <w:snapToGrid w:val="0"/>
        <w:spacing w:line="336" w:lineRule="auto"/>
        <w:jc w:val="left"/>
        <w:rPr>
          <w:rFonts w:ascii="宋体" w:hAnsi="宋体" w:cs="宋体"/>
          <w:b/>
          <w:kern w:val="0"/>
          <w:szCs w:val="21"/>
        </w:rPr>
      </w:pPr>
      <w:bookmarkStart w:id="24" w:name="_Toc30234"/>
      <w:bookmarkStart w:id="25" w:name="_Toc12312"/>
      <w:bookmarkStart w:id="26" w:name="_Toc3317"/>
      <w:r>
        <w:rPr>
          <w:rFonts w:hint="eastAsia" w:ascii="宋体" w:hAnsi="宋体"/>
          <w:b/>
          <w:szCs w:val="21"/>
        </w:rPr>
        <w:t>招标货物一览表</w:t>
      </w:r>
      <w:bookmarkEnd w:id="24"/>
      <w:bookmarkEnd w:id="25"/>
      <w:bookmarkEnd w:id="26"/>
      <w:r>
        <w:rPr>
          <w:rFonts w:hint="eastAsia" w:ascii="宋体" w:hAnsi="宋体"/>
          <w:b/>
          <w:szCs w:val="21"/>
        </w:rPr>
        <w:t>及</w:t>
      </w:r>
      <w:r>
        <w:rPr>
          <w:rFonts w:hint="eastAsia" w:hAnsi="宋体"/>
          <w:b/>
          <w:szCs w:val="21"/>
        </w:rPr>
        <w:t>产品</w:t>
      </w:r>
      <w:r>
        <w:rPr>
          <w:rFonts w:hint="eastAsia" w:hAnsi="宋体" w:cs="宋体"/>
          <w:b/>
          <w:kern w:val="0"/>
          <w:szCs w:val="21"/>
        </w:rPr>
        <w:t>意向风格效果</w:t>
      </w:r>
      <w:r>
        <w:rPr>
          <w:rFonts w:hint="eastAsia" w:ascii="宋体" w:hAnsi="宋体" w:cs="宋体"/>
          <w:b/>
          <w:kern w:val="0"/>
          <w:szCs w:val="21"/>
        </w:rPr>
        <w:t>图</w:t>
      </w:r>
    </w:p>
    <w:tbl>
      <w:tblPr>
        <w:tblStyle w:val="37"/>
        <w:tblW w:w="104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8"/>
        <w:gridCol w:w="675"/>
        <w:gridCol w:w="3526"/>
        <w:gridCol w:w="684"/>
        <w:gridCol w:w="2157"/>
        <w:gridCol w:w="9"/>
        <w:gridCol w:w="560"/>
        <w:gridCol w:w="829"/>
        <w:gridCol w:w="14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blHeader/>
        </w:trPr>
        <w:tc>
          <w:tcPr>
            <w:tcW w:w="10466" w:type="dxa"/>
            <w:gridSpan w:val="9"/>
            <w:noWrap/>
            <w:vAlign w:val="center"/>
          </w:tcPr>
          <w:p>
            <w:pPr>
              <w:widowControl/>
              <w:jc w:val="center"/>
              <w:textAlignment w:val="center"/>
              <w:rPr>
                <w:rFonts w:ascii="宋体" w:hAnsi="宋体" w:cs="宋体"/>
                <w:kern w:val="0"/>
                <w:sz w:val="18"/>
                <w:szCs w:val="18"/>
                <w:lang w:bidi="ar"/>
              </w:rPr>
            </w:pPr>
            <w:r>
              <w:rPr>
                <w:rFonts w:hint="eastAsia" w:ascii="宋体" w:hAnsi="宋体" w:cs="宋体"/>
                <w:sz w:val="24"/>
                <w:lang w:eastAsia="zh-CN"/>
              </w:rPr>
              <w:t>磐安县仁川镇共富风貌驿产品采购项目（第二次）</w:t>
            </w:r>
            <w:r>
              <w:rPr>
                <w:rFonts w:hint="eastAsia" w:ascii="宋体" w:hAnsi="宋体" w:cs="宋体"/>
                <w:color w:val="000000"/>
                <w:kern w:val="0"/>
                <w:sz w:val="24"/>
                <w:lang w:bidi="ar"/>
              </w:rPr>
              <w:t>配置清单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588" w:type="dxa"/>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序号</w:t>
            </w:r>
          </w:p>
        </w:tc>
        <w:tc>
          <w:tcPr>
            <w:tcW w:w="675" w:type="dxa"/>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名称</w:t>
            </w:r>
          </w:p>
        </w:tc>
        <w:tc>
          <w:tcPr>
            <w:tcW w:w="6367" w:type="dxa"/>
            <w:gridSpan w:val="3"/>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性能指标</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单位</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数量</w:t>
            </w:r>
          </w:p>
        </w:tc>
        <w:tc>
          <w:tcPr>
            <w:tcW w:w="1438"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模块单价（元)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1</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结构体系模块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分层式结构钢体系</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1.125*250mm H型主框架梁</w:t>
            </w:r>
          </w:p>
        </w:tc>
        <w:tc>
          <w:tcPr>
            <w:tcW w:w="2841" w:type="dxa"/>
            <w:gridSpan w:val="2"/>
            <w:vMerge w:val="restart"/>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2.80*120mm方通次框架梁</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CellMar>
            <w:top w:w="0" w:type="dxa"/>
            <w:left w:w="108" w:type="dxa"/>
            <w:bottom w:w="0" w:type="dxa"/>
            <w:right w:w="108" w:type="dxa"/>
          </w:tblCellMar>
        </w:tblPrEx>
        <w:trPr>
          <w:trHeight w:val="36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3.框架K型柱</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4.定制60*120mmC型檩立柱构件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5.定制方管立柱120*120mm构件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 xml:space="preserve">分层式结构钢体系连接构件  </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1.L型连接件</w:t>
            </w:r>
          </w:p>
        </w:tc>
        <w:tc>
          <w:tcPr>
            <w:tcW w:w="2841" w:type="dxa"/>
            <w:gridSpan w:val="2"/>
            <w:vMerge w:val="restart"/>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r>
              <w:rPr>
                <w:rStyle w:val="122"/>
                <w:rFonts w:hint="default"/>
                <w:sz w:val="18"/>
                <w:szCs w:val="18"/>
                <w:lang w:bidi="ar"/>
              </w:rPr>
              <w:t>高强螺栓材质</w:t>
            </w:r>
          </w:p>
          <w:p>
            <w:pPr>
              <w:widowControl/>
              <w:jc w:val="left"/>
              <w:textAlignment w:val="center"/>
              <w:rPr>
                <w:rStyle w:val="122"/>
                <w:rFonts w:hint="default"/>
                <w:sz w:val="18"/>
                <w:szCs w:val="18"/>
                <w:lang w:bidi="ar"/>
              </w:rPr>
            </w:pPr>
            <w:r>
              <w:rPr>
                <w:rStyle w:val="122"/>
                <w:rFonts w:hint="default"/>
                <w:sz w:val="18"/>
                <w:szCs w:val="18"/>
                <w:lang w:bidi="ar"/>
              </w:rPr>
              <w:t>表面处理：氧化发黑</w:t>
            </w:r>
          </w:p>
          <w:p>
            <w:pPr>
              <w:widowControl/>
              <w:jc w:val="left"/>
              <w:textAlignment w:val="center"/>
              <w:rPr>
                <w:rStyle w:val="122"/>
                <w:rFonts w:hint="default"/>
                <w:sz w:val="18"/>
                <w:szCs w:val="18"/>
                <w:lang w:bidi="ar"/>
              </w:rPr>
            </w:pPr>
            <w:r>
              <w:rPr>
                <w:rStyle w:val="122"/>
                <w:rFonts w:hint="default"/>
                <w:sz w:val="18"/>
                <w:szCs w:val="18"/>
                <w:lang w:bidi="ar"/>
              </w:rPr>
              <w:t>强度等级：10.9级</w:t>
            </w: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43</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2.T型连接件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3.M16*40*4高强螺栓</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416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 xml:space="preserve">模块化房屋基础 </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 xml:space="preserve">1.条形基础 </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C25现浇混凝土</w:t>
            </w:r>
          </w:p>
          <w:p>
            <w:pPr>
              <w:widowControl/>
              <w:jc w:val="left"/>
              <w:textAlignment w:val="center"/>
              <w:rPr>
                <w:rStyle w:val="122"/>
                <w:rFonts w:hint="default"/>
                <w:sz w:val="18"/>
                <w:szCs w:val="18"/>
                <w:lang w:bidi="ar"/>
              </w:rPr>
            </w:pPr>
            <w:r>
              <w:rPr>
                <w:rStyle w:val="122"/>
                <w:rFonts w:hint="default"/>
                <w:sz w:val="18"/>
                <w:szCs w:val="18"/>
                <w:lang w:bidi="ar"/>
              </w:rPr>
              <w:t>应采用HRB400E型抗震钢筋</w:t>
            </w:r>
          </w:p>
        </w:tc>
        <w:tc>
          <w:tcPr>
            <w:tcW w:w="569" w:type="dxa"/>
            <w:gridSpan w:val="2"/>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2.台阶坡道 基础砌筑 过井 化粪池</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ind w:firstLine="180" w:firstLineChars="100"/>
              <w:rPr>
                <w:rFonts w:ascii="宋体" w:hAnsi="宋体" w:cs="宋体"/>
                <w:kern w:val="0"/>
                <w:sz w:val="18"/>
                <w:szCs w:val="18"/>
                <w:lang w:bidi="ar"/>
              </w:rPr>
            </w:pPr>
            <w:r>
              <w:rPr>
                <w:rFonts w:hint="eastAsia" w:ascii="宋体" w:hAnsi="宋体" w:cs="宋体"/>
                <w:kern w:val="0"/>
                <w:sz w:val="18"/>
                <w:szCs w:val="18"/>
                <w:lang w:bidi="ar"/>
              </w:rPr>
              <w:t>项</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2</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围护体系模块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SuperWall-复合墙体-（内外墙）</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1.外墙饰面板</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外墙饰面：装饰纤维水泥板16×455×1820mm（日吉华）自清洁涂层处理工艺，铺设透气膜干挂连接</w:t>
            </w:r>
          </w:p>
          <w:p>
            <w:pPr>
              <w:widowControl/>
              <w:jc w:val="left"/>
              <w:textAlignment w:val="center"/>
              <w:rPr>
                <w:rStyle w:val="122"/>
                <w:rFonts w:hint="default"/>
                <w:sz w:val="18"/>
                <w:szCs w:val="18"/>
                <w:lang w:bidi="ar"/>
              </w:rPr>
            </w:pPr>
            <w:r>
              <w:rPr>
                <w:rStyle w:val="122"/>
                <w:rFonts w:hint="default"/>
                <w:sz w:val="18"/>
                <w:szCs w:val="18"/>
                <w:lang w:bidi="ar"/>
              </w:rPr>
              <w:t>内墙饰面：1200*2900*18mm实心竹炭纤维板B1级防火、防水、防潮、高强度、高品木纹覆膜</w:t>
            </w:r>
          </w:p>
          <w:p>
            <w:pPr>
              <w:widowControl/>
              <w:jc w:val="left"/>
              <w:textAlignment w:val="center"/>
              <w:rPr>
                <w:rStyle w:val="122"/>
                <w:rFonts w:hint="default"/>
                <w:sz w:val="18"/>
                <w:szCs w:val="18"/>
                <w:lang w:bidi="ar"/>
              </w:rPr>
            </w:pPr>
            <w:r>
              <w:rPr>
                <w:rStyle w:val="122"/>
                <w:rFonts w:hint="default"/>
                <w:sz w:val="18"/>
                <w:szCs w:val="18"/>
                <w:lang w:bidi="ar"/>
              </w:rPr>
              <w:t>保温层:导热系数0.050W/（㎡·K）隔音系数50db</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328.6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2.内置管线预埋一体成型</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3.内墙饰面板（仿木纹）</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4.保温层</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5.女儿墙装配钢板安装</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成品通高厕隔系统</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widowControl/>
              <w:jc w:val="center"/>
              <w:textAlignment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1.U型成品通高厕隔</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厕隔间规格1200*1600mm</w:t>
            </w:r>
          </w:p>
          <w:p>
            <w:pPr>
              <w:widowControl/>
              <w:jc w:val="left"/>
              <w:textAlignment w:val="center"/>
              <w:rPr>
                <w:rStyle w:val="122"/>
                <w:rFonts w:hint="default"/>
                <w:sz w:val="18"/>
                <w:szCs w:val="18"/>
                <w:lang w:bidi="ar"/>
              </w:rPr>
            </w:pPr>
            <w:r>
              <w:rPr>
                <w:rStyle w:val="122"/>
                <w:rFonts w:hint="default"/>
                <w:sz w:val="18"/>
                <w:szCs w:val="18"/>
                <w:lang w:bidi="ar"/>
              </w:rPr>
              <w:t>（含定制铝型材框架、收边条、限位、铝蜂窝板隔板）</w:t>
            </w:r>
          </w:p>
          <w:p>
            <w:pPr>
              <w:widowControl/>
              <w:jc w:val="left"/>
              <w:textAlignment w:val="center"/>
              <w:rPr>
                <w:rStyle w:val="122"/>
                <w:rFonts w:hint="default"/>
                <w:sz w:val="18"/>
                <w:szCs w:val="18"/>
                <w:lang w:bidi="ar"/>
              </w:rPr>
            </w:pPr>
            <w:r>
              <w:rPr>
                <w:rStyle w:val="122"/>
                <w:rFonts w:hint="default"/>
                <w:sz w:val="18"/>
                <w:szCs w:val="18"/>
                <w:lang w:bidi="ar"/>
              </w:rPr>
              <w:t>厕隔门规格：600*3000*54 mm</w:t>
            </w:r>
          </w:p>
          <w:p>
            <w:pPr>
              <w:widowControl/>
              <w:jc w:val="left"/>
              <w:textAlignment w:val="center"/>
              <w:rPr>
                <w:rStyle w:val="122"/>
                <w:rFonts w:hint="default"/>
                <w:sz w:val="18"/>
                <w:szCs w:val="18"/>
                <w:lang w:bidi="ar"/>
              </w:rPr>
            </w:pPr>
            <w:r>
              <w:rPr>
                <w:rStyle w:val="122"/>
                <w:rFonts w:hint="default"/>
                <w:sz w:val="18"/>
                <w:szCs w:val="18"/>
                <w:lang w:bidi="ar"/>
              </w:rPr>
              <w:t>隐形、铝蜂窝板静音门（含五金、门锁）、</w:t>
            </w: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8</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2.通高成品厕隔间门</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3</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屋面吊顶模块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屋面框架模块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1.40*80mm屋架梁、40*80mm屋脊梁</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2.50*100mm屋脊相交处短柱、50*100mm屋谷梁柱</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3.定制栋檩40*80mm、直边椽子40*80mm+钢托板、屋檐钢梁直边支架</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4.屋架小柱底座、屋架小柱底板</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屋面饰面模块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1.坡屋面铝制金属瓦</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430*65mm铝镁锰板金属屋面系统（含防水透气层、保温层、防潮层、铝合金支座、檩条配件）</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588" w:type="dxa"/>
            <w:vMerge w:val="continue"/>
            <w:noWrap/>
            <w:vAlign w:val="center"/>
          </w:tcPr>
          <w:p>
            <w:pPr>
              <w:widowControl/>
              <w:jc w:val="left"/>
              <w:textAlignment w:val="center"/>
            </w:pPr>
          </w:p>
        </w:tc>
        <w:tc>
          <w:tcPr>
            <w:tcW w:w="675" w:type="dxa"/>
            <w:vMerge w:val="continue"/>
            <w:noWrap/>
            <w:vAlign w:val="center"/>
          </w:tcPr>
          <w:p>
            <w:pPr>
              <w:widowControl/>
              <w:jc w:val="left"/>
              <w:textAlignment w:val="cente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2.定制屋面型材收边条</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left"/>
              <w:textAlignment w:val="center"/>
              <w:rPr>
                <w:rFonts w:ascii="宋体" w:hAnsi="宋体" w:cs="宋体"/>
                <w:kern w:val="0"/>
                <w:sz w:val="18"/>
                <w:szCs w:val="18"/>
                <w:lang w:bidi="ar"/>
              </w:rPr>
            </w:pPr>
          </w:p>
        </w:tc>
        <w:tc>
          <w:tcPr>
            <w:tcW w:w="829" w:type="dxa"/>
            <w:vMerge w:val="continue"/>
            <w:vAlign w:val="center"/>
          </w:tcPr>
          <w:p>
            <w:pPr>
              <w:widowControl/>
              <w:jc w:val="left"/>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continue"/>
            <w:noWrap/>
            <w:vAlign w:val="center"/>
          </w:tcPr>
          <w:p>
            <w:pPr>
              <w:widowControl/>
              <w:jc w:val="left"/>
              <w:textAlignment w:val="center"/>
              <w:rPr>
                <w:rFonts w:ascii="宋体" w:hAnsi="宋体" w:cs="宋体"/>
                <w:kern w:val="0"/>
                <w:sz w:val="18"/>
                <w:szCs w:val="18"/>
                <w:lang w:bidi="ar"/>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3.屋檐金属板（配构件）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left"/>
              <w:textAlignment w:val="center"/>
              <w:rPr>
                <w:rFonts w:ascii="宋体" w:hAnsi="宋体" w:cs="宋体"/>
                <w:kern w:val="0"/>
                <w:sz w:val="18"/>
                <w:szCs w:val="18"/>
                <w:lang w:bidi="ar"/>
              </w:rPr>
            </w:pPr>
          </w:p>
        </w:tc>
        <w:tc>
          <w:tcPr>
            <w:tcW w:w="829" w:type="dxa"/>
            <w:vMerge w:val="continue"/>
            <w:vAlign w:val="center"/>
          </w:tcPr>
          <w:p>
            <w:pPr>
              <w:widowControl/>
              <w:jc w:val="left"/>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widowControl/>
              <w:jc w:val="left"/>
              <w:textAlignment w:val="center"/>
              <w:rPr>
                <w:rFonts w:ascii="宋体" w:hAnsi="宋体" w:cs="宋体"/>
                <w:kern w:val="0"/>
                <w:sz w:val="18"/>
                <w:szCs w:val="18"/>
                <w:lang w:bidi="ar"/>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4.600*3000*120mm复合保温楼面板</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center"/>
              <w:textAlignment w:val="center"/>
              <w:rPr>
                <w:rFonts w:ascii="宋体" w:hAnsi="宋体" w:cs="宋体"/>
                <w:kern w:val="0"/>
                <w:sz w:val="18"/>
                <w:szCs w:val="18"/>
                <w:lang w:bidi="ar"/>
              </w:rPr>
            </w:pPr>
          </w:p>
        </w:tc>
        <w:tc>
          <w:tcPr>
            <w:tcW w:w="829" w:type="dxa"/>
            <w:vMerge w:val="continue"/>
            <w:vAlign w:val="center"/>
          </w:tcPr>
          <w:p>
            <w:pPr>
              <w:widowControl/>
              <w:jc w:val="center"/>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吊顶天花模块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CellMar>
            <w:top w:w="0" w:type="dxa"/>
            <w:left w:w="108" w:type="dxa"/>
            <w:bottom w:w="0" w:type="dxa"/>
            <w:right w:w="108" w:type="dxa"/>
          </w:tblCellMar>
        </w:tblPrEx>
        <w:trPr>
          <w:trHeight w:val="456"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w:t>
            </w:r>
            <w:r>
              <w:rPr>
                <w:rStyle w:val="122"/>
                <w:rFonts w:hint="default"/>
                <w:sz w:val="18"/>
                <w:szCs w:val="18"/>
                <w:lang w:bidi="ar"/>
              </w:rPr>
              <w:t>天花系统</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设备集成卡扣式铝蜂窝板规格1200*3000*9mm（含T\Z型铝型材收边条、吊筋三角龙骨及配件）</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2.吊顶侧边定制型材收边系统；含铝型材风口</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4</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地面快装模块</w:t>
            </w:r>
          </w:p>
        </w:tc>
        <w:tc>
          <w:tcPr>
            <w:tcW w:w="3526" w:type="dxa"/>
            <w:vAlign w:val="center"/>
          </w:tcPr>
          <w:p>
            <w:pPr>
              <w:jc w:val="left"/>
              <w:rPr>
                <w:rFonts w:ascii="宋体" w:hAnsi="宋体" w:cs="宋体"/>
                <w:kern w:val="0"/>
                <w:sz w:val="18"/>
                <w:szCs w:val="18"/>
                <w:lang w:bidi="ar"/>
              </w:rPr>
            </w:pPr>
            <w:r>
              <w:rPr>
                <w:rStyle w:val="122"/>
                <w:rFonts w:hint="default"/>
                <w:b/>
                <w:bCs/>
                <w:sz w:val="18"/>
                <w:szCs w:val="18"/>
                <w:lang w:bidi="ar"/>
              </w:rPr>
              <w:t>地面模块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1.干法装配集成地面楼面板</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抗冲击耐化学腐蚀防滑600*600*9.8mm</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地砖</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5</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机电系统模块</w:t>
            </w:r>
          </w:p>
        </w:tc>
        <w:tc>
          <w:tcPr>
            <w:tcW w:w="3526" w:type="dxa"/>
            <w:vAlign w:val="center"/>
          </w:tcPr>
          <w:p>
            <w:pPr>
              <w:widowControl/>
              <w:jc w:val="left"/>
              <w:textAlignment w:val="center"/>
              <w:rPr>
                <w:rFonts w:ascii="宋体" w:hAnsi="宋体" w:cs="宋体"/>
                <w:sz w:val="18"/>
                <w:szCs w:val="18"/>
              </w:rPr>
            </w:pPr>
            <w:r>
              <w:rPr>
                <w:rStyle w:val="122"/>
                <w:rFonts w:hint="default"/>
                <w:b/>
                <w:bCs/>
                <w:sz w:val="18"/>
                <w:szCs w:val="18"/>
                <w:lang w:bidi="ar"/>
              </w:rPr>
              <w:t>节能灯具（西顿）</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设备工艺</w:t>
            </w:r>
          </w:p>
        </w:tc>
        <w:tc>
          <w:tcPr>
            <w:tcW w:w="1398" w:type="dxa"/>
            <w:gridSpan w:val="3"/>
            <w:vAlign w:val="center"/>
          </w:tcPr>
          <w:p>
            <w:pPr>
              <w:widowControl/>
              <w:jc w:val="left"/>
              <w:textAlignment w:val="center"/>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Style w:val="122"/>
                <w:rFonts w:hint="default"/>
                <w:sz w:val="18"/>
                <w:szCs w:val="18"/>
                <w:lang w:bidi="ar"/>
              </w:rPr>
              <w:t>1.LED嵌入式线条灯</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LD-AX01色温4500K照度150lx照射角为12°色斑直径600mm显色指数90(Ra)</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15</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仿宋" w:hAnsi="仿宋" w:eastAsia="仿宋" w:cs="仿宋"/>
                <w:kern w:val="0"/>
                <w:szCs w:val="21"/>
                <w:lang w:bidi="ar"/>
              </w:rPr>
            </w:pPr>
            <w:r>
              <w:rPr>
                <w:rStyle w:val="122"/>
                <w:rFonts w:hint="default"/>
                <w:sz w:val="18"/>
                <w:szCs w:val="18"/>
                <w:lang w:bidi="ar"/>
              </w:rPr>
              <w:t>2.LED嵌入式可调节射灯</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12</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Style w:val="122"/>
                <w:rFonts w:hint="default"/>
                <w:sz w:val="18"/>
                <w:szCs w:val="18"/>
                <w:lang w:bidi="ar"/>
              </w:rPr>
            </w:pPr>
            <w:r>
              <w:rPr>
                <w:rStyle w:val="122"/>
                <w:rFonts w:hint="default"/>
                <w:sz w:val="18"/>
                <w:szCs w:val="18"/>
                <w:lang w:bidi="ar"/>
              </w:rPr>
              <w:t xml:space="preserve">3.LED嵌入式可调节防水筒灯 </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25</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Style w:val="122"/>
                <w:rFonts w:hint="default"/>
                <w:b/>
                <w:bCs/>
                <w:sz w:val="18"/>
                <w:szCs w:val="18"/>
                <w:lang w:bidi="ar"/>
              </w:rPr>
            </w:pPr>
            <w:r>
              <w:rPr>
                <w:rStyle w:val="122"/>
                <w:rFonts w:hint="default"/>
                <w:b/>
                <w:bCs/>
                <w:sz w:val="18"/>
                <w:szCs w:val="18"/>
                <w:lang w:bidi="ar"/>
              </w:rPr>
              <w:t>空调系统</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设备工艺</w:t>
            </w:r>
          </w:p>
        </w:tc>
        <w:tc>
          <w:tcPr>
            <w:tcW w:w="1398" w:type="dxa"/>
            <w:gridSpan w:val="3"/>
            <w:vAlign w:val="center"/>
          </w:tcPr>
          <w:p>
            <w:pPr>
              <w:jc w:val="left"/>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1.VRV</w:t>
            </w:r>
            <w:r>
              <w:rPr>
                <w:rStyle w:val="122"/>
                <w:rFonts w:hint="default"/>
                <w:sz w:val="18"/>
                <w:szCs w:val="18"/>
                <w:lang w:bidi="ar"/>
              </w:rPr>
              <w:t>空调多联式空调机组风管式室内机（主机+风机盘管+配件）</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直流变频、电压/频率</w:t>
            </w:r>
          </w:p>
          <w:p>
            <w:pPr>
              <w:widowControl/>
              <w:jc w:val="left"/>
              <w:textAlignment w:val="center"/>
              <w:rPr>
                <w:rStyle w:val="122"/>
                <w:rFonts w:hint="default"/>
                <w:sz w:val="18"/>
                <w:szCs w:val="18"/>
                <w:lang w:bidi="ar"/>
              </w:rPr>
            </w:pPr>
            <w:r>
              <w:rPr>
                <w:rStyle w:val="122"/>
                <w:rFonts w:hint="default"/>
                <w:sz w:val="18"/>
                <w:szCs w:val="18"/>
                <w:lang w:bidi="ar"/>
              </w:rPr>
              <w:t>220V/50Hz、内外机自动清洁、支持独立除湿、制冷剂R410a</w:t>
            </w:r>
          </w:p>
          <w:p>
            <w:pPr>
              <w:widowControl/>
              <w:jc w:val="left"/>
              <w:textAlignment w:val="center"/>
            </w:pPr>
            <w:r>
              <w:rPr>
                <w:rStyle w:val="122"/>
                <w:rFonts w:hint="default"/>
                <w:sz w:val="18"/>
                <w:szCs w:val="18"/>
                <w:lang w:bidi="ar"/>
              </w:rPr>
              <w:t>支持除甲醛</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jc w:val="left"/>
              <w:rPr>
                <w:rStyle w:val="122"/>
                <w:rFonts w:hint="default"/>
                <w:b/>
                <w:bCs/>
                <w:sz w:val="18"/>
                <w:szCs w:val="18"/>
                <w:lang w:bidi="ar"/>
              </w:rPr>
            </w:pPr>
            <w:r>
              <w:rPr>
                <w:rStyle w:val="122"/>
                <w:rFonts w:hint="default"/>
                <w:b/>
                <w:bCs/>
                <w:sz w:val="18"/>
                <w:szCs w:val="18"/>
                <w:lang w:bidi="ar"/>
              </w:rPr>
              <w:t xml:space="preserve">电气给排水 </w:t>
            </w: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Style w:val="122"/>
                <w:rFonts w:hint="default"/>
                <w:sz w:val="18"/>
                <w:szCs w:val="18"/>
                <w:lang w:bidi="ar"/>
              </w:rPr>
            </w:pPr>
            <w:r>
              <w:rPr>
                <w:rStyle w:val="122"/>
                <w:rFonts w:hint="default"/>
                <w:sz w:val="18"/>
                <w:szCs w:val="18"/>
                <w:lang w:bidi="ar"/>
              </w:rPr>
              <w:t>1.排水波纹管、</w:t>
            </w:r>
            <w:r>
              <w:rPr>
                <w:rStyle w:val="123"/>
                <w:rFonts w:hint="eastAsia" w:ascii="宋体" w:hAnsi="宋体" w:cs="宋体"/>
                <w:sz w:val="18"/>
                <w:szCs w:val="18"/>
                <w:lang w:bidi="ar"/>
              </w:rPr>
              <w:t>PVC</w:t>
            </w:r>
            <w:r>
              <w:rPr>
                <w:rStyle w:val="122"/>
                <w:rFonts w:hint="default"/>
                <w:sz w:val="18"/>
                <w:szCs w:val="18"/>
                <w:lang w:bidi="ar"/>
              </w:rPr>
              <w:t>给水排水管</w:t>
            </w:r>
            <w:r>
              <w:rPr>
                <w:rStyle w:val="123"/>
                <w:rFonts w:hint="eastAsia" w:ascii="宋体" w:hAnsi="宋体" w:cs="宋体"/>
                <w:sz w:val="18"/>
                <w:szCs w:val="18"/>
                <w:lang w:bidi="ar"/>
              </w:rPr>
              <w:t>DE20 35 50 110 160 (1.0MPa)含装配件</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项</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2.WDZB_BYJ</w:t>
            </w:r>
            <w:r>
              <w:rPr>
                <w:rStyle w:val="122"/>
                <w:rFonts w:hint="default"/>
                <w:sz w:val="18"/>
                <w:szCs w:val="18"/>
                <w:lang w:bidi="ar"/>
              </w:rPr>
              <w:t>低烟无卤绝缘电线</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3.20mmKBG</w:t>
            </w:r>
            <w:r>
              <w:rPr>
                <w:rStyle w:val="122"/>
                <w:rFonts w:hint="default"/>
                <w:sz w:val="18"/>
                <w:szCs w:val="18"/>
                <w:lang w:bidi="ar"/>
              </w:rPr>
              <w:t>镀锌电管</w:t>
            </w:r>
            <w:r>
              <w:rPr>
                <w:rStyle w:val="123"/>
                <w:rFonts w:hint="eastAsia" w:ascii="宋体" w:hAnsi="宋体" w:cs="宋体"/>
                <w:sz w:val="18"/>
                <w:szCs w:val="18"/>
                <w:lang w:bidi="ar"/>
              </w:rPr>
              <w:t xml:space="preserve"> </w:t>
            </w:r>
            <w:r>
              <w:rPr>
                <w:rStyle w:val="122"/>
                <w:rFonts w:hint="default"/>
                <w:sz w:val="18"/>
                <w:szCs w:val="18"/>
                <w:lang w:bidi="ar"/>
              </w:rPr>
              <w:t>强电配电箱</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 xml:space="preserve">4.100*50mm </w:t>
            </w:r>
            <w:r>
              <w:rPr>
                <w:rStyle w:val="122"/>
                <w:rFonts w:hint="default"/>
                <w:sz w:val="18"/>
                <w:szCs w:val="18"/>
                <w:lang w:bidi="ar"/>
              </w:rPr>
              <w:t>钢板喷涂桥架</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6</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门窗系统模块</w:t>
            </w:r>
          </w:p>
        </w:tc>
        <w:tc>
          <w:tcPr>
            <w:tcW w:w="7765" w:type="dxa"/>
            <w:gridSpan w:val="6"/>
            <w:vAlign w:val="center"/>
          </w:tcPr>
          <w:p>
            <w:pPr>
              <w:widowControl/>
              <w:jc w:val="left"/>
              <w:textAlignment w:val="center"/>
              <w:rPr>
                <w:rStyle w:val="122"/>
                <w:rFonts w:hint="default"/>
                <w:b/>
                <w:bCs/>
                <w:sz w:val="18"/>
                <w:szCs w:val="18"/>
                <w:lang w:bidi="ar"/>
              </w:rPr>
            </w:pPr>
            <w:r>
              <w:rPr>
                <w:rStyle w:val="122"/>
                <w:rFonts w:hint="default"/>
                <w:b/>
                <w:bCs/>
                <w:sz w:val="18"/>
                <w:szCs w:val="18"/>
                <w:lang w:bidi="ar"/>
              </w:rPr>
              <w:t>门窗模块</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1.6+12+6 LOW-E</w:t>
            </w:r>
            <w:r>
              <w:rPr>
                <w:rStyle w:val="122"/>
                <w:rFonts w:hint="default"/>
                <w:sz w:val="18"/>
                <w:szCs w:val="18"/>
                <w:lang w:bidi="ar"/>
              </w:rPr>
              <w:t>中空高透夹膜玻璃幕墙；</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sz w:val="18"/>
                <w:szCs w:val="18"/>
              </w:rPr>
              <w:t>56.16</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2.1600*3200mm</w:t>
            </w:r>
            <w:r>
              <w:rPr>
                <w:rStyle w:val="122"/>
                <w:rFonts w:hint="default"/>
                <w:sz w:val="18"/>
                <w:szCs w:val="18"/>
                <w:lang w:bidi="ar"/>
              </w:rPr>
              <w:t>通高断桥铝型材双开玻璃门；</w:t>
            </w:r>
            <w:r>
              <w:rPr>
                <w:rStyle w:val="123"/>
                <w:rFonts w:hint="eastAsia" w:ascii="宋体" w:hAnsi="宋体" w:cs="宋体"/>
                <w:sz w:val="18"/>
                <w:szCs w:val="18"/>
                <w:lang w:bidi="ar"/>
              </w:rPr>
              <w:t xml:space="preserve"> </w:t>
            </w:r>
            <w:r>
              <w:rPr>
                <w:rStyle w:val="122"/>
                <w:rFonts w:hint="default"/>
                <w:sz w:val="18"/>
                <w:szCs w:val="18"/>
                <w:lang w:bidi="ar"/>
              </w:rPr>
              <w:t>含自动闭合器、五金、门锁</w:t>
            </w:r>
            <w:r>
              <w:rPr>
                <w:rFonts w:hint="eastAsia" w:ascii="宋体" w:hAnsi="宋体" w:cs="宋体"/>
                <w:kern w:val="0"/>
                <w:sz w:val="18"/>
                <w:szCs w:val="18"/>
                <w:lang w:bidi="ar"/>
              </w:rPr>
              <w:t>；</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3.1000*3200mm</w:t>
            </w:r>
            <w:r>
              <w:rPr>
                <w:rStyle w:val="122"/>
                <w:rFonts w:hint="default"/>
                <w:sz w:val="18"/>
                <w:szCs w:val="18"/>
                <w:lang w:bidi="ar"/>
              </w:rPr>
              <w:t>隐形、静音铝制单开复合门，门厚</w:t>
            </w:r>
            <w:r>
              <w:rPr>
                <w:rStyle w:val="123"/>
                <w:rFonts w:hint="eastAsia" w:ascii="宋体" w:hAnsi="宋体" w:cs="宋体"/>
                <w:sz w:val="18"/>
                <w:szCs w:val="18"/>
                <w:lang w:bidi="ar"/>
              </w:rPr>
              <w:t>56mm</w:t>
            </w:r>
            <w:r>
              <w:rPr>
                <w:rStyle w:val="122"/>
                <w:rFonts w:hint="default"/>
                <w:sz w:val="18"/>
                <w:szCs w:val="18"/>
                <w:lang w:bidi="ar"/>
              </w:rPr>
              <w:t>；含五金、门锁</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4.1000*3200mm</w:t>
            </w:r>
            <w:r>
              <w:rPr>
                <w:rStyle w:val="122"/>
                <w:rFonts w:hint="default"/>
                <w:sz w:val="18"/>
                <w:szCs w:val="18"/>
                <w:lang w:bidi="ar"/>
              </w:rPr>
              <w:t>通高断桥铝型材单开玻璃门；</w:t>
            </w:r>
            <w:r>
              <w:rPr>
                <w:rStyle w:val="123"/>
                <w:rFonts w:hint="eastAsia" w:ascii="宋体" w:hAnsi="宋体" w:cs="宋体"/>
                <w:sz w:val="18"/>
                <w:szCs w:val="18"/>
                <w:lang w:bidi="ar"/>
              </w:rPr>
              <w:t xml:space="preserve"> </w:t>
            </w:r>
            <w:r>
              <w:rPr>
                <w:rStyle w:val="122"/>
                <w:rFonts w:hint="default"/>
                <w:sz w:val="18"/>
                <w:szCs w:val="18"/>
                <w:lang w:bidi="ar"/>
              </w:rPr>
              <w:t>含自动闭合器、五金、门锁</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5.600*2400mm</w:t>
            </w:r>
            <w:r>
              <w:rPr>
                <w:rStyle w:val="122"/>
                <w:rFonts w:hint="default"/>
                <w:sz w:val="18"/>
                <w:szCs w:val="18"/>
                <w:lang w:bidi="ar"/>
              </w:rPr>
              <w:t>下悬式断桥铝合金</w:t>
            </w:r>
            <w:r>
              <w:rPr>
                <w:rStyle w:val="123"/>
                <w:rFonts w:hint="eastAsia" w:ascii="宋体" w:hAnsi="宋体" w:cs="宋体"/>
                <w:sz w:val="18"/>
                <w:szCs w:val="18"/>
                <w:lang w:bidi="ar"/>
              </w:rPr>
              <w:t>LOW-E</w:t>
            </w:r>
            <w:r>
              <w:rPr>
                <w:rStyle w:val="122"/>
                <w:rFonts w:hint="default"/>
                <w:sz w:val="18"/>
                <w:szCs w:val="18"/>
                <w:lang w:bidi="ar"/>
              </w:rPr>
              <w:t>中空钢化玻璃窗；含纱窗</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7</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洁具节水模块</w:t>
            </w:r>
          </w:p>
        </w:tc>
        <w:tc>
          <w:tcPr>
            <w:tcW w:w="7765" w:type="dxa"/>
            <w:gridSpan w:val="6"/>
            <w:vAlign w:val="center"/>
          </w:tcPr>
          <w:p>
            <w:pPr>
              <w:widowControl/>
              <w:jc w:val="left"/>
              <w:textAlignment w:val="center"/>
              <w:rPr>
                <w:rFonts w:ascii="宋体" w:hAnsi="宋体" w:cs="宋体"/>
                <w:sz w:val="18"/>
                <w:szCs w:val="18"/>
              </w:rPr>
            </w:pPr>
            <w:r>
              <w:rPr>
                <w:rFonts w:hint="eastAsia" w:ascii="宋体" w:hAnsi="宋体" w:cs="宋体"/>
                <w:b/>
                <w:bCs/>
                <w:kern w:val="0"/>
                <w:sz w:val="18"/>
                <w:szCs w:val="18"/>
                <w:lang w:bidi="ar"/>
              </w:rPr>
              <w:t>全自动节能蹲便装置（含装配件）</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1.单次冲厕用水量小于2.5-3.5升；</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套</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7</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2.采用陶瓷存水弯蹲便器；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3.在低水压低水流环境下也可正常使用；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4.</w:t>
            </w:r>
            <w:r>
              <w:rPr>
                <w:rStyle w:val="124"/>
                <w:rFonts w:hint="default"/>
                <w:sz w:val="18"/>
                <w:szCs w:val="18"/>
                <w:lang w:bidi="ar"/>
              </w:rPr>
              <w:t>节能强力冲洗脚踏阀；</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5.采用地面管道脚踏冲洗阀门；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b/>
                <w:bCs/>
                <w:kern w:val="0"/>
                <w:sz w:val="18"/>
                <w:szCs w:val="18"/>
                <w:lang w:bidi="ar"/>
              </w:rPr>
              <w:t xml:space="preserve">节能洗手盆 </w:t>
            </w:r>
            <w:r>
              <w:rPr>
                <w:rFonts w:hint="eastAsia" w:ascii="宋体" w:hAnsi="宋体" w:cs="宋体"/>
                <w:kern w:val="0"/>
                <w:sz w:val="18"/>
                <w:szCs w:val="18"/>
                <w:lang w:bidi="ar"/>
              </w:rPr>
              <w:t xml:space="preserve">规格495*400mm 台下盆  </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3</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widowControl/>
              <w:textAlignment w:val="center"/>
              <w:rPr>
                <w:rFonts w:ascii="宋体" w:hAnsi="宋体" w:cs="宋体"/>
                <w:sz w:val="18"/>
                <w:szCs w:val="18"/>
              </w:rPr>
            </w:pPr>
            <w:r>
              <w:rPr>
                <w:rFonts w:hint="eastAsia" w:ascii="宋体" w:hAnsi="宋体" w:cs="宋体"/>
                <w:b/>
                <w:bCs/>
                <w:kern w:val="0"/>
                <w:sz w:val="18"/>
                <w:szCs w:val="18"/>
                <w:lang w:bidi="ar"/>
              </w:rPr>
              <w:t>感应一体式小便装置（含装配件）</w:t>
            </w:r>
            <w:r>
              <w:rPr>
                <w:rFonts w:hint="eastAsia" w:ascii="宋体" w:hAnsi="宋体" w:cs="宋体"/>
                <w:kern w:val="0"/>
                <w:sz w:val="18"/>
                <w:szCs w:val="18"/>
                <w:lang w:bidi="ar"/>
              </w:rPr>
              <w:t>壁挂型</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1.单次冲厕用水量小于1.2升；</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套</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2.采用陶瓷带水封小便器；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3.污水置换稀释率&gt;100；</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4.采用感应式冲洗阀门；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5.</w:t>
            </w:r>
            <w:r>
              <w:rPr>
                <w:rStyle w:val="124"/>
                <w:rFonts w:hint="default"/>
                <w:sz w:val="18"/>
                <w:szCs w:val="18"/>
                <w:lang w:bidi="ar"/>
              </w:rPr>
              <w:t>感应节能小便斗、节水喷管、双浮下水配件等；</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潜水艇隔臭地漏</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1.重力磁力双重密封式设计；</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6</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2.保证水流大时下水通畅，不易堵塞；</w:t>
            </w:r>
          </w:p>
        </w:tc>
        <w:tc>
          <w:tcPr>
            <w:tcW w:w="569" w:type="dxa"/>
            <w:gridSpan w:val="2"/>
            <w:vMerge w:val="continue"/>
            <w:vAlign w:val="center"/>
          </w:tcPr>
          <w:p>
            <w:pPr>
              <w:widowControl/>
              <w:jc w:val="center"/>
              <w:textAlignment w:val="center"/>
              <w:rPr>
                <w:rFonts w:ascii="宋体" w:hAnsi="宋体" w:cs="宋体"/>
                <w:kern w:val="0"/>
                <w:sz w:val="18"/>
                <w:szCs w:val="18"/>
                <w:lang w:bidi="ar"/>
              </w:rPr>
            </w:pPr>
          </w:p>
        </w:tc>
        <w:tc>
          <w:tcPr>
            <w:tcW w:w="829" w:type="dxa"/>
            <w:vMerge w:val="continue"/>
            <w:vAlign w:val="center"/>
          </w:tcPr>
          <w:p>
            <w:pPr>
              <w:widowControl/>
              <w:jc w:val="center"/>
              <w:textAlignment w:val="center"/>
              <w:rPr>
                <w:rFonts w:ascii="宋体" w:hAnsi="宋体" w:cs="宋体"/>
                <w:kern w:val="0"/>
                <w:sz w:val="18"/>
                <w:szCs w:val="18"/>
                <w:lang w:bidi="ar"/>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3.表面镀镍拉丝处理、ABS内芯材质；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4.地漏主体、地漏芯、浮盒、导水圈；</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restart"/>
            <w:noWrap/>
            <w:vAlign w:val="center"/>
          </w:tcPr>
          <w:p>
            <w:pPr>
              <w:widowControl/>
              <w:tabs>
                <w:tab w:val="left" w:pos="332"/>
              </w:tabs>
              <w:jc w:val="center"/>
              <w:textAlignment w:val="center"/>
              <w:rPr>
                <w:rFonts w:ascii="宋体" w:hAnsi="宋体" w:cs="宋体"/>
                <w:sz w:val="18"/>
                <w:szCs w:val="18"/>
              </w:rPr>
            </w:pPr>
            <w:r>
              <w:rPr>
                <w:rFonts w:hint="eastAsia" w:ascii="宋体" w:hAnsi="宋体" w:cs="宋体"/>
                <w:sz w:val="18"/>
                <w:szCs w:val="18"/>
              </w:rPr>
              <w:t>8</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除臭通风模块</w:t>
            </w:r>
          </w:p>
        </w:tc>
        <w:tc>
          <w:tcPr>
            <w:tcW w:w="4210" w:type="dxa"/>
            <w:gridSpan w:val="2"/>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 xml:space="preserve">除臭模块 </w:t>
            </w:r>
          </w:p>
        </w:tc>
        <w:tc>
          <w:tcPr>
            <w:tcW w:w="2157"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设备工艺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widowControl/>
              <w:tabs>
                <w:tab w:val="left" w:pos="332"/>
              </w:tabs>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4210" w:type="dxa"/>
            <w:gridSpan w:val="2"/>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w:t>
            </w:r>
            <w:r>
              <w:rPr>
                <w:rStyle w:val="122"/>
                <w:rFonts w:hint="default"/>
                <w:sz w:val="18"/>
                <w:szCs w:val="18"/>
                <w:lang w:bidi="ar"/>
              </w:rPr>
              <w:t>自强排空气置换杀菌消毒除臭主机</w:t>
            </w:r>
          </w:p>
        </w:tc>
        <w:tc>
          <w:tcPr>
            <w:tcW w:w="2157" w:type="dxa"/>
            <w:vMerge w:val="restart"/>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主机规格 ：710*280*240mm等离子发生器、电离器、处理风量17000（m3/h）双极高能离子净化主机，</w:t>
            </w:r>
            <w:r>
              <w:rPr>
                <w:rStyle w:val="122"/>
                <w:rFonts w:hint="default"/>
                <w:sz w:val="18"/>
                <w:szCs w:val="18"/>
                <w:lang w:bidi="ar"/>
              </w:rPr>
              <w:t>羟基氧化</w:t>
            </w:r>
            <w:r>
              <w:rPr>
                <w:rFonts w:hint="eastAsia" w:ascii="宋体" w:hAnsi="宋体" w:cs="宋体"/>
                <w:kern w:val="0"/>
                <w:sz w:val="18"/>
                <w:szCs w:val="18"/>
                <w:lang w:bidi="ar"/>
              </w:rPr>
              <w:t>空气消毒除臭系统，实现多区换气集中控制，纤维层滤网</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3</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4210" w:type="dxa"/>
            <w:gridSpan w:val="2"/>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自排、强排相结合，多点分散式排放风口</w:t>
            </w:r>
          </w:p>
        </w:tc>
        <w:tc>
          <w:tcPr>
            <w:tcW w:w="2157" w:type="dxa"/>
            <w:vMerge w:val="continue"/>
            <w:vAlign w:val="center"/>
          </w:tcPr>
          <w:p>
            <w:pPr>
              <w:jc w:val="left"/>
              <w:rPr>
                <w:rFonts w:ascii="宋体" w:hAnsi="宋体" w:cs="宋体"/>
                <w:kern w:val="0"/>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4210" w:type="dxa"/>
            <w:gridSpan w:val="2"/>
            <w:vAlign w:val="center"/>
          </w:tcPr>
          <w:p>
            <w:pPr>
              <w:jc w:val="left"/>
              <w:rPr>
                <w:rFonts w:ascii="宋体" w:hAnsi="宋体" w:cs="宋体"/>
                <w:sz w:val="18"/>
                <w:szCs w:val="18"/>
              </w:rPr>
            </w:pPr>
            <w:r>
              <w:rPr>
                <w:rFonts w:hint="eastAsia" w:ascii="宋体" w:hAnsi="宋体" w:cs="宋体"/>
                <w:kern w:val="0"/>
                <w:sz w:val="18"/>
                <w:szCs w:val="18"/>
                <w:lang w:bidi="ar"/>
              </w:rPr>
              <w:t>3.</w:t>
            </w:r>
            <w:r>
              <w:rPr>
                <w:rStyle w:val="122"/>
                <w:rFonts w:hint="default"/>
                <w:sz w:val="18"/>
                <w:szCs w:val="18"/>
                <w:lang w:bidi="ar"/>
              </w:rPr>
              <w:t>定时开放，羟基氧化的方式进行杀菌</w:t>
            </w:r>
          </w:p>
        </w:tc>
        <w:tc>
          <w:tcPr>
            <w:tcW w:w="2157" w:type="dxa"/>
            <w:vMerge w:val="continue"/>
            <w:vAlign w:val="center"/>
          </w:tcPr>
          <w:p>
            <w:pPr>
              <w:jc w:val="left"/>
              <w:rPr>
                <w:rFonts w:ascii="宋体" w:hAnsi="宋体" w:cs="宋体"/>
                <w:kern w:val="0"/>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9</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智能化模块</w:t>
            </w:r>
          </w:p>
        </w:tc>
        <w:tc>
          <w:tcPr>
            <w:tcW w:w="7765" w:type="dxa"/>
            <w:gridSpan w:val="6"/>
            <w:vAlign w:val="center"/>
          </w:tcPr>
          <w:p>
            <w:pPr>
              <w:widowControl/>
              <w:textAlignment w:val="center"/>
              <w:rPr>
                <w:rFonts w:ascii="宋体" w:hAnsi="宋体" w:cs="宋体"/>
                <w:sz w:val="18"/>
                <w:szCs w:val="18"/>
              </w:rPr>
            </w:pPr>
            <w:r>
              <w:rPr>
                <w:rFonts w:hint="eastAsia" w:ascii="宋体" w:hAnsi="宋体" w:cs="宋体"/>
                <w:b/>
                <w:bCs/>
                <w:kern w:val="0"/>
                <w:sz w:val="18"/>
                <w:szCs w:val="18"/>
                <w:lang w:bidi="ar"/>
              </w:rPr>
              <w:t xml:space="preserve">智能环境监测系统  </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1.实现公厕空气质量在线自动监控及处理、人流计数、厕位有无人显示；</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项</w:t>
            </w:r>
          </w:p>
        </w:tc>
        <w:tc>
          <w:tcPr>
            <w:tcW w:w="829" w:type="dxa"/>
            <w:vMerge w:val="restart"/>
            <w:vAlign w:val="center"/>
          </w:tcPr>
          <w:p>
            <w:pPr>
              <w:widowControl/>
              <w:jc w:val="center"/>
              <w:textAlignment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CellMar>
            <w:top w:w="0" w:type="dxa"/>
            <w:left w:w="108" w:type="dxa"/>
            <w:bottom w:w="0" w:type="dxa"/>
            <w:right w:w="108" w:type="dxa"/>
          </w:tblCellMar>
        </w:tblPrEx>
        <w:trPr>
          <w:trHeight w:val="645"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公厕空气质量特征指标（氨气、硫化氢）就地通过有线传送到电子显示屏进行实时显示</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3.32</w:t>
            </w:r>
            <w:r>
              <w:rPr>
                <w:rStyle w:val="122"/>
                <w:rFonts w:hint="default"/>
                <w:sz w:val="18"/>
                <w:szCs w:val="18"/>
                <w:lang w:bidi="ar"/>
              </w:rPr>
              <w:t>寸显示器（含智能化操作系统软件）</w:t>
            </w:r>
          </w:p>
        </w:tc>
        <w:tc>
          <w:tcPr>
            <w:tcW w:w="569" w:type="dxa"/>
            <w:gridSpan w:val="2"/>
            <w:vMerge w:val="continue"/>
            <w:vAlign w:val="center"/>
          </w:tcPr>
          <w:p>
            <w:pPr>
              <w:widowControl/>
              <w:jc w:val="center"/>
              <w:textAlignment w:val="center"/>
              <w:rPr>
                <w:rFonts w:ascii="宋体" w:hAnsi="宋体" w:cs="宋体"/>
                <w:sz w:val="18"/>
                <w:szCs w:val="18"/>
              </w:rPr>
            </w:pPr>
          </w:p>
        </w:tc>
        <w:tc>
          <w:tcPr>
            <w:tcW w:w="829" w:type="dxa"/>
            <w:vMerge w:val="continue"/>
            <w:vAlign w:val="center"/>
          </w:tcPr>
          <w:p>
            <w:pPr>
              <w:widowControl/>
              <w:jc w:val="center"/>
              <w:textAlignment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4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w:t>
            </w:r>
            <w:r>
              <w:rPr>
                <w:rStyle w:val="122"/>
                <w:rFonts w:hint="default"/>
                <w:sz w:val="18"/>
                <w:szCs w:val="18"/>
                <w:lang w:bidi="ar"/>
              </w:rPr>
              <w:t>包含主机和监测探头（红外+雷达）</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CellMar>
            <w:top w:w="0" w:type="dxa"/>
            <w:left w:w="108" w:type="dxa"/>
            <w:bottom w:w="0" w:type="dxa"/>
            <w:right w:w="108" w:type="dxa"/>
          </w:tblCellMar>
        </w:tblPrEx>
        <w:trPr>
          <w:trHeight w:val="46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jc w:val="left"/>
              <w:rPr>
                <w:rFonts w:ascii="宋体" w:hAnsi="宋体" w:cs="宋体"/>
                <w:sz w:val="18"/>
                <w:szCs w:val="18"/>
              </w:rPr>
            </w:pPr>
            <w:r>
              <w:rPr>
                <w:rFonts w:hint="eastAsia" w:ascii="宋体" w:hAnsi="宋体" w:cs="宋体"/>
                <w:b/>
                <w:bCs/>
                <w:kern w:val="0"/>
                <w:sz w:val="18"/>
                <w:szCs w:val="18"/>
                <w:lang w:bidi="ar"/>
              </w:rPr>
              <w:t xml:space="preserve">智能管控系统   </w:t>
            </w:r>
            <w:r>
              <w:rPr>
                <w:rFonts w:hint="eastAsia" w:ascii="宋体" w:hAnsi="宋体" w:cs="宋体"/>
                <w:kern w:val="0"/>
                <w:sz w:val="18"/>
                <w:szCs w:val="18"/>
                <w:lang w:bidi="ar"/>
              </w:rPr>
              <w:t xml:space="preserve"> </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1.智能水表、智能人流监控系统、智能电表、网关模块、</w:t>
            </w:r>
            <w:r>
              <w:rPr>
                <w:rStyle w:val="123"/>
                <w:rFonts w:hint="eastAsia" w:ascii="宋体" w:hAnsi="宋体" w:cs="宋体"/>
                <w:sz w:val="18"/>
                <w:szCs w:val="18"/>
                <w:lang w:bidi="ar"/>
              </w:rPr>
              <w:t>IO</w:t>
            </w:r>
            <w:r>
              <w:rPr>
                <w:rStyle w:val="122"/>
                <w:rFonts w:hint="default"/>
                <w:sz w:val="18"/>
                <w:szCs w:val="18"/>
                <w:lang w:bidi="ar"/>
              </w:rPr>
              <w:t>模块、灯光控制模块、排风控制模块、电源控制模块、弱电控制、智能开关等</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10</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其它部品模块</w:t>
            </w:r>
          </w:p>
        </w:tc>
        <w:tc>
          <w:tcPr>
            <w:tcW w:w="7765" w:type="dxa"/>
            <w:gridSpan w:val="6"/>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部品模块</w:t>
            </w:r>
          </w:p>
        </w:tc>
        <w:tc>
          <w:tcPr>
            <w:tcW w:w="1438" w:type="dxa"/>
            <w:vMerge w:val="restart"/>
            <w:vAlign w:val="center"/>
          </w:tcPr>
          <w:p>
            <w:pPr>
              <w:widowControl/>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w:t>
            </w:r>
            <w:r>
              <w:rPr>
                <w:rStyle w:val="122"/>
                <w:rFonts w:hint="default"/>
                <w:sz w:val="18"/>
                <w:szCs w:val="18"/>
                <w:lang w:bidi="ar"/>
              </w:rPr>
              <w:t>第三卫生间洁具套件（马桶、小便器、洗手盆、龙头、无障碍扶手）</w:t>
            </w:r>
            <w:r>
              <w:rPr>
                <w:rStyle w:val="123"/>
                <w:rFonts w:hint="eastAsia" w:ascii="宋体" w:hAnsi="宋体" w:cs="宋体"/>
                <w:sz w:val="18"/>
                <w:szCs w:val="18"/>
                <w:lang w:bidi="ar"/>
              </w:rPr>
              <w:t xml:space="preserve"> </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婴儿护理台、婴儿保护椅、儿童马桶、儿童小便器</w:t>
            </w:r>
          </w:p>
        </w:tc>
        <w:tc>
          <w:tcPr>
            <w:tcW w:w="569" w:type="dxa"/>
            <w:gridSpan w:val="2"/>
            <w:vAlign w:val="center"/>
          </w:tcPr>
          <w:p>
            <w:pPr>
              <w:jc w:val="center"/>
              <w:rPr>
                <w:rFonts w:ascii="宋体" w:hAnsi="宋体" w:cs="宋体"/>
                <w:sz w:val="18"/>
                <w:szCs w:val="18"/>
              </w:rPr>
            </w:pPr>
            <w:r>
              <w:rPr>
                <w:rFonts w:hint="eastAsia" w:ascii="宋体" w:hAnsi="宋体" w:cs="宋体"/>
                <w:kern w:val="0"/>
                <w:sz w:val="18"/>
                <w:szCs w:val="18"/>
                <w:lang w:bidi="ar"/>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3.</w:t>
            </w:r>
            <w:r>
              <w:rPr>
                <w:rStyle w:val="122"/>
                <w:rFonts w:hint="default"/>
                <w:sz w:val="18"/>
                <w:szCs w:val="18"/>
                <w:lang w:bidi="ar"/>
              </w:rPr>
              <w:t>镜面广告显示设备（智能魔镜）</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4.LOGO</w:t>
            </w:r>
            <w:r>
              <w:rPr>
                <w:rStyle w:val="122"/>
                <w:rFonts w:hint="default"/>
                <w:sz w:val="18"/>
                <w:szCs w:val="18"/>
                <w:lang w:bidi="ar"/>
              </w:rPr>
              <w:t>广告字设计制作安装（室外门头主LOGO室外小标识 第三卫生间、管理间房间标识 男女卫卫生间标识 厕隔间标识）</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5.</w:t>
            </w:r>
            <w:r>
              <w:rPr>
                <w:rStyle w:val="122"/>
                <w:rFonts w:hint="default"/>
                <w:sz w:val="18"/>
                <w:szCs w:val="18"/>
                <w:lang w:bidi="ar"/>
              </w:rPr>
              <w:t>衣帽钩（≥</w:t>
            </w:r>
            <w:r>
              <w:rPr>
                <w:rStyle w:val="123"/>
                <w:rFonts w:hint="eastAsia" w:ascii="宋体" w:hAnsi="宋体" w:cs="宋体"/>
                <w:sz w:val="18"/>
                <w:szCs w:val="18"/>
                <w:lang w:bidi="ar"/>
              </w:rPr>
              <w:t>5kg</w:t>
            </w:r>
            <w:r>
              <w:rPr>
                <w:rStyle w:val="122"/>
                <w:rFonts w:hint="default"/>
                <w:sz w:val="18"/>
                <w:szCs w:val="18"/>
                <w:lang w:bidi="ar"/>
              </w:rPr>
              <w:t>）、安全扶手、及残疾扶手、安全标牌、防撞条</w:t>
            </w:r>
          </w:p>
        </w:tc>
        <w:tc>
          <w:tcPr>
            <w:tcW w:w="560" w:type="dxa"/>
            <w:vAlign w:val="center"/>
          </w:tcPr>
          <w:p>
            <w:pPr>
              <w:jc w:val="left"/>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6.</w:t>
            </w:r>
            <w:r>
              <w:rPr>
                <w:rStyle w:val="122"/>
                <w:rFonts w:hint="default"/>
                <w:sz w:val="18"/>
                <w:szCs w:val="18"/>
                <w:lang w:bidi="ar"/>
              </w:rPr>
              <w:t>成品洗手台、成品防雾镜、烘手器、厕纸机、感应洗手液器、制热装置、小便器玻璃隔断安装</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trPr>
        <w:tc>
          <w:tcPr>
            <w:tcW w:w="588" w:type="dxa"/>
            <w:vMerge w:val="restart"/>
            <w:noWrap/>
            <w:vAlign w:val="center"/>
          </w:tcPr>
          <w:p>
            <w:pPr>
              <w:jc w:val="left"/>
              <w:rPr>
                <w:rFonts w:ascii="宋体" w:hAnsi="宋体" w:cs="宋体"/>
                <w:sz w:val="18"/>
                <w:szCs w:val="18"/>
              </w:rPr>
            </w:pPr>
            <w:r>
              <w:rPr>
                <w:rFonts w:hint="eastAsia" w:ascii="宋体" w:hAnsi="宋体" w:cs="宋体"/>
                <w:sz w:val="18"/>
                <w:szCs w:val="18"/>
              </w:rPr>
              <w:t>11</w:t>
            </w:r>
          </w:p>
        </w:tc>
        <w:tc>
          <w:tcPr>
            <w:tcW w:w="675" w:type="dxa"/>
            <w:vMerge w:val="restart"/>
            <w:noWrap/>
            <w:vAlign w:val="center"/>
          </w:tcPr>
          <w:p>
            <w:pPr>
              <w:jc w:val="left"/>
              <w:rPr>
                <w:rFonts w:ascii="宋体" w:hAnsi="宋体" w:cs="宋体"/>
                <w:sz w:val="18"/>
                <w:szCs w:val="18"/>
              </w:rPr>
            </w:pPr>
            <w:r>
              <w:rPr>
                <w:rFonts w:hint="eastAsia" w:ascii="宋体" w:hAnsi="宋体" w:cs="宋体"/>
                <w:sz w:val="18"/>
                <w:szCs w:val="18"/>
              </w:rPr>
              <w:t>家具模块</w:t>
            </w:r>
          </w:p>
        </w:tc>
        <w:tc>
          <w:tcPr>
            <w:tcW w:w="7765" w:type="dxa"/>
            <w:gridSpan w:val="6"/>
            <w:vAlign w:val="center"/>
          </w:tcPr>
          <w:p>
            <w:pPr>
              <w:jc w:val="left"/>
              <w:rPr>
                <w:rFonts w:ascii="宋体" w:hAnsi="宋体" w:cs="宋体"/>
                <w:sz w:val="18"/>
                <w:szCs w:val="18"/>
              </w:rPr>
            </w:pPr>
            <w:r>
              <w:rPr>
                <w:rFonts w:hint="eastAsia" w:ascii="宋体" w:hAnsi="宋体" w:cs="宋体"/>
                <w:b/>
                <w:bCs/>
                <w:kern w:val="0"/>
                <w:sz w:val="18"/>
                <w:szCs w:val="18"/>
                <w:lang w:bidi="ar"/>
              </w:rPr>
              <w:t>家具模块</w:t>
            </w:r>
          </w:p>
        </w:tc>
        <w:tc>
          <w:tcPr>
            <w:tcW w:w="1438" w:type="dxa"/>
            <w:vMerge w:val="restart"/>
            <w:vAlign w:val="center"/>
          </w:tcPr>
          <w:p>
            <w:pP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1.成品休闲等候区座椅套装（1000圆桌+4把休闲椅）</w:t>
            </w:r>
          </w:p>
        </w:tc>
        <w:tc>
          <w:tcPr>
            <w:tcW w:w="560" w:type="dxa"/>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2.600*1200*3000mm书架/礼品架</w:t>
            </w:r>
          </w:p>
        </w:tc>
        <w:tc>
          <w:tcPr>
            <w:tcW w:w="560" w:type="dxa"/>
            <w:vAlign w:val="center"/>
          </w:tcPr>
          <w:p>
            <w:pPr>
              <w:jc w:val="center"/>
              <w:rPr>
                <w:rFonts w:ascii="宋体" w:hAnsi="宋体" w:cs="宋体"/>
                <w:sz w:val="18"/>
                <w:szCs w:val="18"/>
              </w:rPr>
            </w:pPr>
            <w:r>
              <w:rPr>
                <w:rFonts w:hint="eastAsia" w:ascii="宋体" w:hAnsi="宋体" w:cs="宋体"/>
                <w:sz w:val="18"/>
                <w:szCs w:val="18"/>
              </w:rPr>
              <w:t>组</w:t>
            </w:r>
          </w:p>
        </w:tc>
        <w:tc>
          <w:tcPr>
            <w:tcW w:w="829" w:type="dxa"/>
            <w:vAlign w:val="center"/>
          </w:tcPr>
          <w:p>
            <w:pPr>
              <w:jc w:val="center"/>
              <w:rPr>
                <w:rFonts w:ascii="宋体" w:hAnsi="宋体" w:cs="宋体"/>
                <w:sz w:val="18"/>
                <w:szCs w:val="18"/>
              </w:rPr>
            </w:pPr>
            <w:r>
              <w:rPr>
                <w:rFonts w:hint="eastAsia" w:ascii="宋体" w:hAnsi="宋体" w:cs="宋体"/>
                <w:sz w:val="18"/>
                <w:szCs w:val="18"/>
              </w:rPr>
              <w:t>9</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588" w:type="dxa"/>
            <w:noWrap/>
            <w:vAlign w:val="center"/>
          </w:tcPr>
          <w:p>
            <w:pPr>
              <w:jc w:val="left"/>
              <w:rPr>
                <w:rFonts w:ascii="宋体" w:hAnsi="宋体" w:cs="宋体"/>
                <w:sz w:val="18"/>
                <w:szCs w:val="18"/>
              </w:rPr>
            </w:pPr>
            <w:r>
              <w:rPr>
                <w:rFonts w:hint="eastAsia" w:ascii="宋体" w:hAnsi="宋体" w:cs="宋体"/>
                <w:sz w:val="18"/>
                <w:szCs w:val="18"/>
              </w:rPr>
              <w:t>12</w:t>
            </w:r>
          </w:p>
        </w:tc>
        <w:tc>
          <w:tcPr>
            <w:tcW w:w="675" w:type="dxa"/>
            <w:noWrap/>
            <w:vAlign w:val="center"/>
          </w:tcPr>
          <w:p>
            <w:pPr>
              <w:jc w:val="left"/>
              <w:rPr>
                <w:rFonts w:ascii="宋体" w:hAnsi="宋体" w:cs="宋体"/>
                <w:sz w:val="18"/>
                <w:szCs w:val="18"/>
              </w:rPr>
            </w:pPr>
            <w:r>
              <w:rPr>
                <w:rFonts w:hint="eastAsia" w:ascii="宋体" w:hAnsi="宋体" w:cs="宋体"/>
                <w:sz w:val="18"/>
                <w:szCs w:val="18"/>
              </w:rPr>
              <w:t>绿化</w:t>
            </w: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草坪铺设、灌木、花卉、常绿乔木(树种按甲方需求配置)</w:t>
            </w:r>
          </w:p>
        </w:tc>
        <w:tc>
          <w:tcPr>
            <w:tcW w:w="560" w:type="dxa"/>
            <w:vAlign w:val="center"/>
          </w:tcPr>
          <w:p>
            <w:pPr>
              <w:jc w:val="center"/>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Align w:val="center"/>
          </w:tcPr>
          <w:p>
            <w:pP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1263" w:type="dxa"/>
            <w:gridSpan w:val="2"/>
            <w:noWrap/>
            <w:vAlign w:val="center"/>
          </w:tcPr>
          <w:p>
            <w:pPr>
              <w:jc w:val="left"/>
              <w:rPr>
                <w:rFonts w:ascii="宋体" w:hAnsi="宋体" w:cs="宋体"/>
                <w:sz w:val="18"/>
                <w:szCs w:val="18"/>
              </w:rPr>
            </w:pPr>
            <w:r>
              <w:rPr>
                <w:rFonts w:hint="eastAsia" w:ascii="宋体" w:hAnsi="宋体" w:cs="宋体"/>
                <w:sz w:val="18"/>
                <w:szCs w:val="18"/>
              </w:rPr>
              <w:t>总价（元）</w:t>
            </w:r>
          </w:p>
        </w:tc>
        <w:tc>
          <w:tcPr>
            <w:tcW w:w="9203" w:type="dxa"/>
            <w:gridSpan w:val="7"/>
            <w:vAlign w:val="center"/>
          </w:tcPr>
          <w:p>
            <w:pPr>
              <w:jc w:val="left"/>
              <w:rPr>
                <w:rFonts w:ascii="宋体" w:hAnsi="宋体" w:cs="宋体"/>
                <w:sz w:val="18"/>
                <w:szCs w:val="18"/>
              </w:rPr>
            </w:pPr>
            <w:r>
              <w:rPr>
                <w:rFonts w:hint="eastAsia" w:ascii="宋体" w:hAnsi="宋体" w:cs="宋体"/>
                <w:sz w:val="18"/>
                <w:szCs w:val="18"/>
              </w:rPr>
              <w:t>小写：</w:t>
            </w:r>
            <w:r>
              <w:rPr>
                <w:rFonts w:hint="eastAsia" w:ascii="宋体" w:hAnsi="宋体" w:cs="宋体"/>
                <w:sz w:val="18"/>
                <w:szCs w:val="18"/>
                <w:u w:val="single"/>
              </w:rPr>
              <w:t xml:space="preserve">                        </w:t>
            </w:r>
            <w:r>
              <w:rPr>
                <w:rFonts w:hint="eastAsia" w:ascii="宋体" w:hAnsi="宋体" w:cs="宋体"/>
                <w:sz w:val="18"/>
                <w:szCs w:val="18"/>
              </w:rPr>
              <w:t xml:space="preserve"> 大写：</w:t>
            </w:r>
            <w:r>
              <w:rPr>
                <w:rFonts w:hint="eastAsia" w:ascii="宋体" w:hAnsi="宋体" w:cs="宋体"/>
                <w:sz w:val="18"/>
                <w:szCs w:val="18"/>
                <w:u w:val="single"/>
              </w:rPr>
              <w:t xml:space="preserve">                                 </w:t>
            </w:r>
            <w:r>
              <w:rPr>
                <w:rFonts w:hint="eastAsia" w:ascii="宋体" w:hAnsi="宋体" w:cs="宋体"/>
                <w:sz w:val="18"/>
                <w:szCs w:val="18"/>
              </w:rPr>
              <w:t>元</w:t>
            </w:r>
          </w:p>
        </w:tc>
      </w:tr>
      <w:tr>
        <w:tblPrEx>
          <w:tblCellMar>
            <w:top w:w="0" w:type="dxa"/>
            <w:left w:w="108" w:type="dxa"/>
            <w:bottom w:w="0" w:type="dxa"/>
            <w:right w:w="108" w:type="dxa"/>
          </w:tblCellMar>
        </w:tblPrEx>
        <w:trPr>
          <w:trHeight w:val="768" w:hRule="atLeast"/>
        </w:trPr>
        <w:tc>
          <w:tcPr>
            <w:tcW w:w="10466" w:type="dxa"/>
            <w:gridSpan w:val="9"/>
            <w:noWrap/>
            <w:vAlign w:val="center"/>
          </w:tcPr>
          <w:p>
            <w:pPr>
              <w:jc w:val="left"/>
              <w:rPr>
                <w:rFonts w:ascii="宋体" w:hAnsi="宋体" w:cs="宋体"/>
                <w:sz w:val="18"/>
                <w:szCs w:val="18"/>
              </w:rPr>
            </w:pPr>
            <w:r>
              <w:rPr>
                <w:rFonts w:hint="eastAsia" w:ascii="宋体" w:hAnsi="宋体" w:cs="宋体"/>
                <w:sz w:val="18"/>
                <w:szCs w:val="18"/>
              </w:rPr>
              <w:t>注：1.电、给水、排污、通讯、临时水电由甲方接至房屋轮廓线1米内指定位置；</w:t>
            </w:r>
          </w:p>
          <w:p>
            <w:pPr>
              <w:ind w:firstLine="360" w:firstLineChars="200"/>
              <w:jc w:val="left"/>
              <w:rPr>
                <w:rFonts w:ascii="宋体" w:hAnsi="宋体" w:cs="宋体"/>
                <w:sz w:val="18"/>
                <w:szCs w:val="18"/>
              </w:rPr>
            </w:pPr>
            <w:r>
              <w:rPr>
                <w:rFonts w:hint="eastAsia" w:ascii="宋体" w:hAnsi="宋体" w:cs="宋体"/>
                <w:sz w:val="18"/>
                <w:szCs w:val="18"/>
              </w:rPr>
              <w:t>2.本产品价格含税费、深化设计、运输、吊装、安装、调试、局部绿化、硬化等，售后服务2年</w:t>
            </w:r>
          </w:p>
        </w:tc>
      </w:tr>
    </w:tbl>
    <w:p>
      <w:pPr>
        <w:pStyle w:val="2"/>
      </w:pPr>
    </w:p>
    <w:p/>
    <w:p>
      <w:r>
        <w:rPr>
          <w:rFonts w:hint="eastAsia"/>
        </w:rPr>
        <w:t>产品意向风格效果图</w:t>
      </w:r>
    </w:p>
    <w:p>
      <w:pPr>
        <w:pStyle w:val="2"/>
        <w:ind w:left="0" w:firstLine="0"/>
      </w:pPr>
      <w:r>
        <w:drawing>
          <wp:anchor distT="0" distB="0" distL="114300" distR="114300" simplePos="0" relativeHeight="251659264" behindDoc="0" locked="0" layoutInCell="1" allowOverlap="1">
            <wp:simplePos x="0" y="0"/>
            <wp:positionH relativeFrom="column">
              <wp:posOffset>-33655</wp:posOffset>
            </wp:positionH>
            <wp:positionV relativeFrom="paragraph">
              <wp:posOffset>65405</wp:posOffset>
            </wp:positionV>
            <wp:extent cx="5777865" cy="1560195"/>
            <wp:effectExtent l="0" t="0" r="0" b="1905"/>
            <wp:wrapNone/>
            <wp:docPr id="1" name="图片 1" descr="//Zj/h/02-公共卫生间分类/22.金华驿站/62-仁川镇共富风貌驿/09 招投标及合同/附图二/外观.png外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Zj/h/02-公共卫生间分类/22.金华驿站/62-仁川镇共富风貌驿/09 招投标及合同/附图二/外观.png外观"/>
                    <pic:cNvPicPr>
                      <a:picLocks noChangeAspect="1"/>
                    </pic:cNvPicPr>
                  </pic:nvPicPr>
                  <pic:blipFill>
                    <a:blip r:embed="rId7"/>
                    <a:srcRect l="523" r="801" b="-125"/>
                    <a:stretch>
                      <a:fillRect/>
                    </a:stretch>
                  </pic:blipFill>
                  <pic:spPr>
                    <a:xfrm>
                      <a:off x="0" y="0"/>
                      <a:ext cx="5777865" cy="1560195"/>
                    </a:xfrm>
                    <a:prstGeom prst="rect">
                      <a:avLst/>
                    </a:prstGeom>
                    <a:noFill/>
                    <a:ln>
                      <a:noFill/>
                    </a:ln>
                  </pic:spPr>
                </pic:pic>
              </a:graphicData>
            </a:graphic>
          </wp:anchor>
        </w:drawing>
      </w:r>
    </w:p>
    <w:p>
      <w:pPr>
        <w:spacing w:line="336" w:lineRule="auto"/>
        <w:rPr>
          <w:rFonts w:ascii="宋体" w:hAnsi="宋体"/>
          <w:b/>
          <w:szCs w:val="21"/>
        </w:rPr>
      </w:pPr>
      <w:bookmarkStart w:id="27" w:name="_Toc379811062"/>
      <w:bookmarkStart w:id="28" w:name="_Toc365897798"/>
      <w:bookmarkStart w:id="29" w:name="_Toc25142"/>
      <w:bookmarkStart w:id="30" w:name="_Toc351971199"/>
      <w:bookmarkStart w:id="31" w:name="_Toc25910"/>
      <w:bookmarkStart w:id="32" w:name="_Toc25470"/>
      <w:bookmarkStart w:id="33" w:name="_Toc17326"/>
      <w:bookmarkStart w:id="34" w:name="_Toc449014492"/>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r>
        <w:drawing>
          <wp:anchor distT="0" distB="0" distL="114300" distR="114300" simplePos="0" relativeHeight="251661312" behindDoc="0" locked="0" layoutInCell="1" allowOverlap="1">
            <wp:simplePos x="0" y="0"/>
            <wp:positionH relativeFrom="column">
              <wp:posOffset>-88900</wp:posOffset>
            </wp:positionH>
            <wp:positionV relativeFrom="paragraph">
              <wp:posOffset>250825</wp:posOffset>
            </wp:positionV>
            <wp:extent cx="5835650" cy="2734945"/>
            <wp:effectExtent l="0" t="0" r="0" b="8255"/>
            <wp:wrapNone/>
            <wp:docPr id="4" name="图片 2" descr="//Zj/h/02-公共卫生间分类/22.金华驿站/62-仁川镇共富风貌驿/09 招投标及合同/附图二/公共卫生间.png公共卫生间"/>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2" descr="//Zj/h/02-公共卫生间分类/22.金华驿站/62-仁川镇共富风貌驿/09 招投标及合同/附图二/公共卫生间.png公共卫生间"/>
                    <pic:cNvPicPr>
                      <a:picLocks noChangeAspect="1"/>
                    </pic:cNvPicPr>
                  </pic:nvPicPr>
                  <pic:blipFill>
                    <a:blip r:embed="rId8"/>
                    <a:srcRect t="8226" b="8226"/>
                    <a:stretch>
                      <a:fillRect/>
                    </a:stretch>
                  </pic:blipFill>
                  <pic:spPr>
                    <a:xfrm>
                      <a:off x="0" y="0"/>
                      <a:ext cx="5835650" cy="2734945"/>
                    </a:xfrm>
                    <a:prstGeom prst="rect">
                      <a:avLst/>
                    </a:prstGeom>
                    <a:noFill/>
                    <a:ln>
                      <a:noFill/>
                    </a:ln>
                  </pic:spPr>
                </pic:pic>
              </a:graphicData>
            </a:graphic>
          </wp:anchor>
        </w:drawing>
      </w: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b/>
          <w:szCs w:val="21"/>
        </w:rPr>
      </w:pPr>
    </w:p>
    <w:p>
      <w:pPr>
        <w:spacing w:line="336" w:lineRule="auto"/>
        <w:rPr>
          <w:rFonts w:ascii="宋体" w:hAnsi="宋体" w:cs="宋体"/>
          <w:b/>
          <w:bCs/>
          <w:kern w:val="0"/>
          <w:szCs w:val="21"/>
        </w:rPr>
      </w:pPr>
      <w:r>
        <w:rPr>
          <w:rFonts w:hint="eastAsia" w:ascii="宋体" w:hAnsi="宋体"/>
          <w:b/>
          <w:szCs w:val="21"/>
        </w:rPr>
        <w:t>四、</w:t>
      </w:r>
      <w:bookmarkEnd w:id="27"/>
      <w:bookmarkEnd w:id="28"/>
      <w:bookmarkEnd w:id="29"/>
      <w:bookmarkEnd w:id="30"/>
      <w:bookmarkEnd w:id="31"/>
      <w:bookmarkEnd w:id="32"/>
      <w:r>
        <w:rPr>
          <w:rFonts w:hint="eastAsia" w:ascii="宋体" w:hAnsi="宋体"/>
          <w:b/>
          <w:szCs w:val="21"/>
        </w:rPr>
        <w:t>技术要求及标准的执行</w:t>
      </w:r>
    </w:p>
    <w:p>
      <w:pPr>
        <w:spacing w:line="336" w:lineRule="auto"/>
        <w:ind w:firstLine="420" w:firstLineChars="200"/>
        <w:rPr>
          <w:rFonts w:ascii="宋体" w:hAnsi="宋体" w:cs="宋体"/>
          <w:szCs w:val="21"/>
        </w:rPr>
      </w:pPr>
      <w:r>
        <w:rPr>
          <w:rFonts w:hint="eastAsia" w:ascii="宋体" w:hAnsi="宋体" w:cs="宋体"/>
          <w:szCs w:val="21"/>
        </w:rPr>
        <w:t>供应商提供的产品应标明所执行的质量标准，若同一标准已颁发新标准，则按最新标准执行。若同一产品同时有几个标准（国际标准、国家标准、行业标准、企业标准等），则按最高层次的标准执行。下述标准及规范要求有出入则以较严格者为准。</w:t>
      </w:r>
    </w:p>
    <w:p>
      <w:pPr>
        <w:pStyle w:val="23"/>
        <w:spacing w:before="120" w:after="120" w:line="336" w:lineRule="auto"/>
        <w:ind w:left="315" w:leftChars="150"/>
        <w:rPr>
          <w:rFonts w:hAnsi="宋体"/>
          <w:szCs w:val="21"/>
        </w:rPr>
      </w:pPr>
      <w:r>
        <w:rPr>
          <w:rFonts w:hint="eastAsia" w:hAnsi="宋体"/>
          <w:szCs w:val="21"/>
        </w:rPr>
        <w:t>（1）《旅游厕所质量等级的划分与评定》GB/T18973</w:t>
      </w:r>
    </w:p>
    <w:p>
      <w:pPr>
        <w:pStyle w:val="23"/>
        <w:spacing w:before="120" w:after="120" w:line="336" w:lineRule="auto"/>
        <w:ind w:left="315" w:leftChars="150"/>
        <w:rPr>
          <w:rFonts w:hAnsi="宋体"/>
          <w:szCs w:val="21"/>
        </w:rPr>
      </w:pPr>
      <w:r>
        <w:rPr>
          <w:rFonts w:hint="eastAsia" w:hAnsi="宋体"/>
          <w:szCs w:val="21"/>
        </w:rPr>
        <w:t>（2）《城市公共厕所设计标准》CJJ14-2016</w:t>
      </w:r>
    </w:p>
    <w:p>
      <w:pPr>
        <w:pStyle w:val="23"/>
        <w:spacing w:before="120" w:after="120" w:line="336" w:lineRule="auto"/>
        <w:ind w:left="315" w:leftChars="150"/>
        <w:rPr>
          <w:rFonts w:hAnsi="宋体"/>
          <w:szCs w:val="21"/>
        </w:rPr>
      </w:pPr>
      <w:r>
        <w:rPr>
          <w:rFonts w:hint="eastAsia" w:hAnsi="宋体"/>
          <w:szCs w:val="21"/>
        </w:rPr>
        <w:t>（3）《建筑设计防火规范》GB50016</w:t>
      </w:r>
    </w:p>
    <w:p>
      <w:pPr>
        <w:pStyle w:val="23"/>
        <w:spacing w:before="120" w:after="120" w:line="336" w:lineRule="auto"/>
        <w:ind w:left="315" w:leftChars="150"/>
        <w:rPr>
          <w:rFonts w:hAnsi="宋体"/>
          <w:szCs w:val="21"/>
        </w:rPr>
      </w:pPr>
      <w:r>
        <w:rPr>
          <w:rFonts w:hint="eastAsia" w:hAnsi="宋体"/>
          <w:szCs w:val="21"/>
        </w:rPr>
        <w:t>（4）《建筑抗震设计规范》GB50011</w:t>
      </w:r>
    </w:p>
    <w:p>
      <w:pPr>
        <w:pStyle w:val="23"/>
        <w:spacing w:before="120" w:after="120" w:line="336" w:lineRule="auto"/>
        <w:ind w:left="315" w:leftChars="150"/>
        <w:rPr>
          <w:rFonts w:hAnsi="宋体"/>
          <w:szCs w:val="21"/>
        </w:rPr>
      </w:pPr>
      <w:r>
        <w:rPr>
          <w:rFonts w:hint="eastAsia" w:hAnsi="宋体"/>
          <w:szCs w:val="21"/>
        </w:rPr>
        <w:t>（5）《无障碍设计规范》GB50763</w:t>
      </w:r>
    </w:p>
    <w:p>
      <w:pPr>
        <w:pStyle w:val="23"/>
        <w:spacing w:before="120" w:after="120" w:line="336" w:lineRule="auto"/>
        <w:ind w:left="315" w:leftChars="150"/>
        <w:rPr>
          <w:rFonts w:hAnsi="宋体"/>
          <w:szCs w:val="21"/>
        </w:rPr>
      </w:pPr>
      <w:r>
        <w:rPr>
          <w:rFonts w:hint="eastAsia" w:hAnsi="宋体"/>
          <w:szCs w:val="21"/>
        </w:rPr>
        <w:t>（6）《建筑给水排水设计规范》GB50015</w:t>
      </w:r>
    </w:p>
    <w:p>
      <w:pPr>
        <w:pStyle w:val="23"/>
        <w:spacing w:before="120" w:after="120" w:line="336" w:lineRule="auto"/>
        <w:ind w:left="315" w:leftChars="150"/>
        <w:rPr>
          <w:rFonts w:hAnsi="宋体"/>
          <w:szCs w:val="21"/>
        </w:rPr>
      </w:pPr>
      <w:r>
        <w:rPr>
          <w:rFonts w:hint="eastAsia" w:hAnsi="宋体"/>
          <w:szCs w:val="21"/>
        </w:rPr>
        <w:t>（7）《室内空气质量标准》GB/T 18883-2009</w:t>
      </w:r>
    </w:p>
    <w:p>
      <w:pPr>
        <w:pStyle w:val="23"/>
        <w:spacing w:before="120" w:after="120" w:line="336" w:lineRule="auto"/>
        <w:ind w:left="315" w:leftChars="150"/>
        <w:rPr>
          <w:rFonts w:hAnsi="宋体"/>
          <w:szCs w:val="21"/>
        </w:rPr>
      </w:pPr>
      <w:r>
        <w:rPr>
          <w:rFonts w:hint="eastAsia" w:hAnsi="宋体"/>
          <w:szCs w:val="21"/>
        </w:rPr>
        <w:t>（8）《民用建筑工程室内环境污染控制规范》GB50325-2010</w:t>
      </w:r>
    </w:p>
    <w:p>
      <w:pPr>
        <w:pStyle w:val="23"/>
        <w:spacing w:before="120" w:after="120" w:line="336" w:lineRule="auto"/>
        <w:ind w:left="315" w:leftChars="150"/>
        <w:rPr>
          <w:rFonts w:hAnsi="宋体"/>
          <w:szCs w:val="21"/>
        </w:rPr>
      </w:pPr>
      <w:r>
        <w:rPr>
          <w:rFonts w:hint="eastAsia" w:hAnsi="宋体"/>
          <w:szCs w:val="21"/>
        </w:rPr>
        <w:t>（9）《卫生陶瓷》GB6952-2015</w:t>
      </w:r>
    </w:p>
    <w:p>
      <w:pPr>
        <w:pStyle w:val="23"/>
        <w:spacing w:before="120" w:after="120" w:line="336" w:lineRule="auto"/>
        <w:ind w:left="315" w:leftChars="150"/>
        <w:rPr>
          <w:rFonts w:hAnsi="宋体"/>
          <w:szCs w:val="21"/>
        </w:rPr>
      </w:pPr>
      <w:r>
        <w:rPr>
          <w:rFonts w:hint="eastAsia" w:hAnsi="宋体"/>
          <w:szCs w:val="21"/>
        </w:rPr>
        <w:t>（10）《节水型生活用水器具》CJ164-2009</w:t>
      </w:r>
    </w:p>
    <w:p>
      <w:pPr>
        <w:pStyle w:val="23"/>
        <w:spacing w:before="120" w:after="120" w:line="336" w:lineRule="auto"/>
        <w:ind w:left="315" w:leftChars="150"/>
        <w:rPr>
          <w:rFonts w:hAnsi="宋体"/>
          <w:szCs w:val="21"/>
        </w:rPr>
      </w:pPr>
      <w:r>
        <w:rPr>
          <w:rFonts w:hint="eastAsia" w:hAnsi="宋体"/>
          <w:szCs w:val="21"/>
        </w:rPr>
        <w:t>（11）《用水器具节水技术条件》DB11/343-2006</w:t>
      </w:r>
    </w:p>
    <w:p>
      <w:pPr>
        <w:spacing w:line="336" w:lineRule="auto"/>
        <w:ind w:firstLine="420" w:firstLineChars="200"/>
        <w:rPr>
          <w:rFonts w:ascii="宋体" w:hAnsi="宋体"/>
          <w:szCs w:val="21"/>
        </w:rPr>
      </w:pPr>
      <w:r>
        <w:rPr>
          <w:rFonts w:hint="eastAsia" w:ascii="宋体" w:hAnsi="宋体" w:cs="宋体"/>
          <w:szCs w:val="21"/>
        </w:rPr>
        <w:t>以上规范和标准应以实施的最新版本为准。原有规范若已被废弃，则以相应的新规范为准。供应商应对所提供的货物材料性能、质量负责，并提供相应的指导安装、服务、质保。采购的货物所涉及的产品标准、规范，验收标准等，应符合国家有关条例及标准的规定。</w:t>
      </w:r>
    </w:p>
    <w:p>
      <w:pPr>
        <w:pStyle w:val="3"/>
        <w:spacing w:before="0" w:after="314" w:line="336" w:lineRule="auto"/>
        <w:rPr>
          <w:bCs w:val="0"/>
          <w:sz w:val="24"/>
          <w:szCs w:val="21"/>
        </w:rPr>
      </w:pPr>
    </w:p>
    <w:p>
      <w:pPr>
        <w:pStyle w:val="3"/>
        <w:spacing w:before="0" w:after="314" w:line="336" w:lineRule="auto"/>
        <w:rPr>
          <w:bCs w:val="0"/>
          <w:sz w:val="24"/>
          <w:szCs w:val="21"/>
        </w:rPr>
      </w:pPr>
      <w:r>
        <w:rPr>
          <w:rFonts w:hint="eastAsia"/>
          <w:bCs w:val="0"/>
          <w:sz w:val="24"/>
          <w:szCs w:val="21"/>
        </w:rPr>
        <w:t>五、主要设备、材料要求</w:t>
      </w:r>
    </w:p>
    <w:p>
      <w:pPr>
        <w:spacing w:line="336" w:lineRule="auto"/>
        <w:ind w:firstLine="420" w:firstLineChars="200"/>
        <w:rPr>
          <w:rFonts w:ascii="宋体" w:hAnsi="宋体" w:cs="宋体"/>
          <w:szCs w:val="21"/>
        </w:rPr>
      </w:pPr>
      <w:r>
        <w:rPr>
          <w:rFonts w:hint="eastAsia" w:ascii="宋体" w:hAnsi="宋体" w:cs="宋体"/>
          <w:szCs w:val="21"/>
        </w:rPr>
        <w:t>1、</w:t>
      </w:r>
      <w:r>
        <w:rPr>
          <w:rFonts w:hint="eastAsia" w:ascii="宋体" w:hAnsi="宋体" w:cs="宋体"/>
          <w:b/>
          <w:szCs w:val="21"/>
        </w:rPr>
        <w:t>项目所涉及的电气设备、卫生洁具、电器元件、机械设备及机械元件，应选择中高档产品</w:t>
      </w:r>
      <w:r>
        <w:rPr>
          <w:rFonts w:hint="eastAsia" w:hAnsi="宋体" w:cs="宋体"/>
          <w:b/>
          <w:szCs w:val="21"/>
        </w:rPr>
        <w:t>，</w:t>
      </w:r>
      <w:r>
        <w:rPr>
          <w:rFonts w:hint="eastAsia" w:ascii="宋体" w:hAnsi="宋体"/>
          <w:b/>
          <w:sz w:val="24"/>
          <w:szCs w:val="21"/>
        </w:rPr>
        <w:t>产品需经采购人验收合格后方可进场安装；</w:t>
      </w:r>
    </w:p>
    <w:p>
      <w:pPr>
        <w:spacing w:line="336" w:lineRule="auto"/>
        <w:ind w:firstLine="420" w:firstLineChars="200"/>
        <w:rPr>
          <w:rFonts w:ascii="宋体" w:hAnsi="宋体" w:cs="宋体"/>
          <w:szCs w:val="21"/>
        </w:rPr>
      </w:pPr>
      <w:r>
        <w:rPr>
          <w:rFonts w:hint="eastAsia" w:ascii="宋体" w:hAnsi="宋体" w:cs="宋体"/>
          <w:szCs w:val="21"/>
        </w:rPr>
        <w:t>2、</w:t>
      </w:r>
      <w:r>
        <w:rPr>
          <w:rFonts w:hint="eastAsia" w:hAnsi="宋体" w:cs="宋体"/>
          <w:szCs w:val="21"/>
        </w:rPr>
        <w:t>产品安装</w:t>
      </w:r>
      <w:r>
        <w:rPr>
          <w:rFonts w:hint="eastAsia" w:ascii="宋体" w:hAnsi="宋体" w:cs="宋体"/>
          <w:szCs w:val="21"/>
        </w:rPr>
        <w:t>所用材料有国家标准的，按照国标执行，没有国家标准的，按照行业标准或企业标准执行；</w:t>
      </w:r>
    </w:p>
    <w:p>
      <w:pPr>
        <w:spacing w:line="336" w:lineRule="auto"/>
        <w:ind w:firstLine="420" w:firstLineChars="200"/>
        <w:rPr>
          <w:rFonts w:ascii="宋体" w:hAnsi="宋体" w:cs="宋体"/>
          <w:szCs w:val="21"/>
        </w:rPr>
      </w:pPr>
      <w:r>
        <w:rPr>
          <w:rFonts w:hint="eastAsia" w:ascii="宋体" w:hAnsi="宋体" w:cs="宋体"/>
          <w:szCs w:val="21"/>
        </w:rPr>
        <w:t>3、</w:t>
      </w:r>
      <w:r>
        <w:rPr>
          <w:rFonts w:hint="eastAsia" w:hAnsi="宋体" w:cs="宋体"/>
          <w:szCs w:val="21"/>
        </w:rPr>
        <w:t>产品安装</w:t>
      </w:r>
      <w:r>
        <w:rPr>
          <w:rFonts w:hint="eastAsia" w:ascii="宋体" w:hAnsi="宋体" w:cs="宋体"/>
          <w:szCs w:val="21"/>
        </w:rPr>
        <w:t>所使用材料的品种、规格和质量应符合设计和现行的国家标准的规定，严禁使用国家明令淘汰或不合格的材料；</w:t>
      </w:r>
    </w:p>
    <w:p>
      <w:pPr>
        <w:spacing w:line="336" w:lineRule="auto"/>
        <w:ind w:firstLine="420" w:firstLineChars="200"/>
        <w:rPr>
          <w:rFonts w:ascii="宋体" w:hAnsi="宋体" w:cs="宋体"/>
          <w:szCs w:val="21"/>
        </w:rPr>
      </w:pPr>
      <w:r>
        <w:rPr>
          <w:rFonts w:hint="eastAsia" w:ascii="宋体" w:hAnsi="宋体" w:cs="宋体"/>
          <w:szCs w:val="21"/>
        </w:rPr>
        <w:t>4、</w:t>
      </w:r>
      <w:r>
        <w:rPr>
          <w:rFonts w:hint="eastAsia" w:hAnsi="宋体" w:cs="宋体"/>
          <w:szCs w:val="21"/>
        </w:rPr>
        <w:t>产品</w:t>
      </w:r>
      <w:r>
        <w:rPr>
          <w:rFonts w:hint="eastAsia" w:ascii="宋体" w:hAnsi="宋体" w:cs="宋体"/>
          <w:szCs w:val="21"/>
        </w:rPr>
        <w:t>材料的品种、规格、性能应符合国家现行有关标准的规定；</w:t>
      </w:r>
    </w:p>
    <w:p>
      <w:pPr>
        <w:spacing w:line="336" w:lineRule="auto"/>
        <w:ind w:firstLine="420" w:firstLineChars="200"/>
        <w:rPr>
          <w:rFonts w:ascii="宋体" w:hAnsi="宋体" w:cs="宋体"/>
          <w:szCs w:val="21"/>
        </w:rPr>
      </w:pPr>
      <w:r>
        <w:rPr>
          <w:rFonts w:hint="eastAsia" w:ascii="宋体" w:hAnsi="宋体" w:cs="宋体"/>
          <w:szCs w:val="21"/>
        </w:rPr>
        <w:t>5、一律选用符合防火要求的阻燃和难燃材料；</w:t>
      </w:r>
    </w:p>
    <w:p>
      <w:pPr>
        <w:spacing w:line="336" w:lineRule="auto"/>
        <w:ind w:firstLine="420" w:firstLineChars="200"/>
        <w:rPr>
          <w:rFonts w:ascii="宋体" w:hAnsi="宋体" w:cs="宋体"/>
          <w:szCs w:val="21"/>
        </w:rPr>
      </w:pPr>
      <w:r>
        <w:rPr>
          <w:rFonts w:hint="eastAsia" w:ascii="宋体" w:hAnsi="宋体" w:cs="宋体"/>
          <w:szCs w:val="21"/>
        </w:rPr>
        <w:t>6、表面装饰涂覆材料至少两年内不得出现明显褪变色；</w:t>
      </w:r>
    </w:p>
    <w:p>
      <w:pPr>
        <w:spacing w:line="336" w:lineRule="auto"/>
        <w:ind w:firstLine="420" w:firstLineChars="200"/>
        <w:rPr>
          <w:rFonts w:ascii="宋体" w:hAnsi="宋体" w:cs="宋体"/>
          <w:szCs w:val="21"/>
        </w:rPr>
      </w:pPr>
      <w:r>
        <w:rPr>
          <w:rFonts w:hint="eastAsia" w:ascii="宋体" w:hAnsi="宋体" w:cs="宋体"/>
          <w:szCs w:val="21"/>
        </w:rPr>
        <w:t>7、有放射和电磁辐射的用材要符合国家防护规定；</w:t>
      </w:r>
    </w:p>
    <w:p>
      <w:pPr>
        <w:spacing w:line="336" w:lineRule="auto"/>
        <w:ind w:firstLine="420" w:firstLineChars="200"/>
        <w:rPr>
          <w:rFonts w:ascii="宋体" w:hAnsi="宋体" w:cs="宋体"/>
          <w:szCs w:val="21"/>
        </w:rPr>
      </w:pPr>
      <w:r>
        <w:rPr>
          <w:rFonts w:hint="eastAsia" w:ascii="宋体" w:hAnsi="宋体" w:cs="宋体"/>
          <w:szCs w:val="21"/>
        </w:rPr>
        <w:t>8、使用的各种材料不得对环境和人员造成污染和伤害，其所含有害物质溢出量不能高于国家规定的标准；</w:t>
      </w:r>
    </w:p>
    <w:p>
      <w:pPr>
        <w:pStyle w:val="3"/>
        <w:spacing w:before="0" w:after="314" w:line="336" w:lineRule="auto"/>
        <w:rPr>
          <w:bCs w:val="0"/>
          <w:sz w:val="24"/>
          <w:szCs w:val="21"/>
        </w:rPr>
      </w:pPr>
      <w:r>
        <w:rPr>
          <w:rFonts w:hint="eastAsia"/>
          <w:bCs w:val="0"/>
          <w:sz w:val="24"/>
          <w:szCs w:val="21"/>
        </w:rPr>
        <w:t>六、项目建设要求</w:t>
      </w:r>
    </w:p>
    <w:p>
      <w:pPr>
        <w:spacing w:line="460" w:lineRule="exact"/>
        <w:ind w:firstLine="420" w:firstLineChars="200"/>
        <w:rPr>
          <w:rFonts w:ascii="宋体" w:hAnsi="宋体"/>
          <w:szCs w:val="21"/>
        </w:rPr>
      </w:pPr>
      <w:r>
        <w:rPr>
          <w:rFonts w:hint="eastAsia" w:ascii="宋体" w:hAnsi="宋体"/>
          <w:szCs w:val="21"/>
        </w:rPr>
        <w:t>1、要求采用模块化装配，在工厂完成模块的生产，现场拼装或整体吊装，安装快速便捷且不产生工业垃圾和建筑扬尘。</w:t>
      </w:r>
    </w:p>
    <w:p>
      <w:pPr>
        <w:spacing w:line="336" w:lineRule="auto"/>
        <w:ind w:firstLine="420" w:firstLineChars="200"/>
        <w:rPr>
          <w:rFonts w:ascii="宋体" w:hAnsi="宋体"/>
          <w:szCs w:val="21"/>
        </w:rPr>
      </w:pPr>
      <w:r>
        <w:rPr>
          <w:rFonts w:hint="eastAsia" w:ascii="宋体" w:hAnsi="宋体"/>
          <w:szCs w:val="21"/>
        </w:rPr>
        <w:t>2、要求釆用钢结构</w:t>
      </w:r>
      <w:r>
        <w:rPr>
          <w:rFonts w:hint="eastAsia" w:hAnsi="宋体"/>
          <w:szCs w:val="21"/>
        </w:rPr>
        <w:t>体系</w:t>
      </w:r>
      <w:r>
        <w:rPr>
          <w:rFonts w:hint="eastAsia" w:ascii="宋体" w:hAnsi="宋体"/>
          <w:szCs w:val="21"/>
        </w:rPr>
        <w:t>，结构强度好，抗震七级以上、防风十级以上。</w:t>
      </w:r>
    </w:p>
    <w:p>
      <w:pPr>
        <w:spacing w:line="336" w:lineRule="auto"/>
        <w:ind w:firstLine="420" w:firstLineChars="200"/>
        <w:rPr>
          <w:rFonts w:ascii="宋体" w:hAnsi="宋体"/>
          <w:szCs w:val="21"/>
        </w:rPr>
      </w:pPr>
      <w:r>
        <w:rPr>
          <w:rFonts w:hint="eastAsia" w:ascii="宋体" w:hAnsi="宋体"/>
          <w:szCs w:val="21"/>
        </w:rPr>
        <w:t>3、本次招标采购的装配式驿站，要求按照新修订《城市公共厕所设计标准》CJJ14-2016的要求设计实施。并应体现“高效率节水、超强冲厕、驿站空气无臭化”的综合效果。</w:t>
      </w:r>
    </w:p>
    <w:p>
      <w:pPr>
        <w:spacing w:line="336" w:lineRule="auto"/>
        <w:ind w:firstLine="420" w:firstLineChars="200"/>
        <w:rPr>
          <w:rFonts w:ascii="宋体" w:hAnsi="宋体"/>
          <w:bCs/>
          <w:sz w:val="24"/>
        </w:rPr>
      </w:pPr>
      <w:r>
        <w:rPr>
          <w:rFonts w:hint="eastAsia" w:ascii="宋体" w:hAnsi="宋体"/>
          <w:bCs/>
          <w:szCs w:val="21"/>
        </w:rPr>
        <w:t>4、采购人提供的驿站资料仅供参考，投标人应依据采购人的需求、使用功能、技术要求深化设计方案，出具驿站平面图、效果图，满足功能及技术要求的其它图纸，此深化方案作为中标后施工方案的依据，招标人签字确认后方可实施，否则后果自负。</w:t>
      </w:r>
    </w:p>
    <w:p>
      <w:pPr>
        <w:spacing w:line="336" w:lineRule="auto"/>
        <w:rPr>
          <w:rFonts w:ascii="宋体" w:hAnsi="宋体"/>
          <w:b/>
          <w:szCs w:val="21"/>
        </w:rPr>
      </w:pPr>
      <w:r>
        <w:rPr>
          <w:rFonts w:hint="eastAsia" w:ascii="宋体" w:hAnsi="宋体" w:cs="宋体"/>
          <w:kern w:val="0"/>
          <w:szCs w:val="21"/>
        </w:rPr>
        <w:t xml:space="preserve"> </w:t>
      </w:r>
      <w:r>
        <w:rPr>
          <w:rFonts w:hint="eastAsia" w:hAnsi="宋体" w:cs="宋体"/>
          <w:kern w:val="0"/>
          <w:szCs w:val="21"/>
        </w:rPr>
        <w:t xml:space="preserve">   </w:t>
      </w:r>
      <w:r>
        <w:rPr>
          <w:rFonts w:hint="eastAsia" w:ascii="宋体" w:hAnsi="宋体"/>
          <w:szCs w:val="21"/>
        </w:rPr>
        <w:t>5、本项目不接受现场焊接。</w:t>
      </w:r>
    </w:p>
    <w:p>
      <w:pPr>
        <w:spacing w:line="336" w:lineRule="auto"/>
        <w:ind w:firstLine="420" w:firstLineChars="200"/>
        <w:rPr>
          <w:rFonts w:ascii="宋体" w:hAnsi="宋体"/>
          <w:bCs/>
          <w:szCs w:val="21"/>
        </w:rPr>
      </w:pPr>
      <w:r>
        <w:rPr>
          <w:rFonts w:hint="eastAsia" w:ascii="宋体" w:hAnsi="宋体"/>
          <w:bCs/>
          <w:szCs w:val="21"/>
        </w:rPr>
        <w:t>6、参考图纸详见附件（于招标文件最后）</w:t>
      </w:r>
    </w:p>
    <w:p>
      <w:pPr>
        <w:spacing w:line="336" w:lineRule="auto"/>
        <w:ind w:firstLine="420" w:firstLineChars="200"/>
        <w:rPr>
          <w:rFonts w:ascii="宋体" w:hAnsi="宋体"/>
          <w:bCs/>
          <w:szCs w:val="21"/>
        </w:rPr>
      </w:pPr>
      <w:r>
        <w:rPr>
          <w:rFonts w:hint="eastAsia" w:ascii="宋体" w:hAnsi="宋体"/>
          <w:bCs/>
          <w:szCs w:val="21"/>
        </w:rPr>
        <w:t>7、主要技术参数</w:t>
      </w:r>
      <w:r>
        <w:rPr>
          <w:rFonts w:hint="eastAsia" w:hAnsi="宋体"/>
          <w:bCs/>
          <w:szCs w:val="21"/>
        </w:rPr>
        <w:t>配置</w:t>
      </w:r>
      <w:r>
        <w:rPr>
          <w:rFonts w:hint="eastAsia" w:ascii="宋体" w:hAnsi="宋体"/>
          <w:bCs/>
          <w:szCs w:val="21"/>
        </w:rPr>
        <w:t>要求</w:t>
      </w:r>
    </w:p>
    <w:p>
      <w:pPr>
        <w:spacing w:line="336" w:lineRule="auto"/>
        <w:ind w:firstLine="420" w:firstLineChars="200"/>
        <w:rPr>
          <w:rFonts w:ascii="宋体" w:hAnsi="宋体"/>
          <w:bCs/>
          <w:szCs w:val="21"/>
        </w:rPr>
      </w:pPr>
      <w:r>
        <w:rPr>
          <w:rFonts w:hint="eastAsia" w:ascii="宋体" w:hAnsi="宋体"/>
          <w:bCs/>
          <w:szCs w:val="21"/>
        </w:rPr>
        <w:t>7</w:t>
      </w:r>
      <w:r>
        <w:rPr>
          <w:rFonts w:ascii="宋体" w:hAnsi="宋体"/>
          <w:bCs/>
          <w:szCs w:val="21"/>
        </w:rPr>
        <w:t>.</w:t>
      </w:r>
      <w:r>
        <w:rPr>
          <w:rFonts w:hint="eastAsia" w:ascii="宋体" w:hAnsi="宋体"/>
          <w:bCs/>
          <w:szCs w:val="21"/>
        </w:rPr>
        <w:t>1、</w:t>
      </w:r>
      <w:bookmarkStart w:id="35" w:name="OLE_LINK2"/>
      <w:r>
        <w:rPr>
          <w:rFonts w:hint="eastAsia" w:ascii="宋体" w:hAnsi="宋体"/>
          <w:bCs/>
          <w:szCs w:val="21"/>
        </w:rPr>
        <w:t>模块化</w:t>
      </w:r>
      <w:r>
        <w:rPr>
          <w:rFonts w:hint="eastAsia" w:hAnsi="宋体"/>
          <w:bCs/>
          <w:szCs w:val="21"/>
        </w:rPr>
        <w:t>房屋</w:t>
      </w:r>
      <w:r>
        <w:rPr>
          <w:rFonts w:hint="eastAsia" w:ascii="宋体" w:hAnsi="宋体"/>
          <w:bCs/>
          <w:szCs w:val="21"/>
        </w:rPr>
        <w:t>主体</w:t>
      </w:r>
      <w:r>
        <w:rPr>
          <w:rFonts w:hint="eastAsia" w:hAnsi="宋体"/>
          <w:bCs/>
          <w:szCs w:val="21"/>
        </w:rPr>
        <w:t>配置</w:t>
      </w:r>
    </w:p>
    <w:p>
      <w:pPr>
        <w:spacing w:line="460" w:lineRule="exact"/>
        <w:ind w:firstLine="480" w:firstLineChars="200"/>
        <w:rPr>
          <w:rFonts w:ascii="宋体" w:hAnsi="宋体"/>
          <w:bCs/>
          <w:sz w:val="24"/>
          <w:szCs w:val="21"/>
        </w:rPr>
      </w:pPr>
      <w:r>
        <w:rPr>
          <w:rFonts w:hint="eastAsia" w:ascii="宋体" w:hAnsi="宋体"/>
          <w:bCs/>
          <w:sz w:val="24"/>
          <w:szCs w:val="21"/>
        </w:rPr>
        <w:t>7.1.1基础：应采用现浇混凝土条形基础；</w:t>
      </w:r>
    </w:p>
    <w:p>
      <w:pPr>
        <w:spacing w:line="460" w:lineRule="exact"/>
        <w:ind w:firstLine="480" w:firstLineChars="200"/>
        <w:rPr>
          <w:rFonts w:ascii="宋体" w:hAnsi="宋体"/>
          <w:bCs/>
          <w:sz w:val="24"/>
          <w:szCs w:val="21"/>
        </w:rPr>
      </w:pPr>
      <w:r>
        <w:rPr>
          <w:rFonts w:hint="eastAsia" w:ascii="宋体" w:hAnsi="宋体"/>
          <w:bCs/>
          <w:sz w:val="24"/>
          <w:szCs w:val="21"/>
        </w:rPr>
        <w:t>7.1.2</w:t>
      </w:r>
      <w:r>
        <w:rPr>
          <w:rFonts w:hint="eastAsia" w:hAnsi="宋体" w:cs="宋体"/>
          <w:szCs w:val="21"/>
          <w:lang w:bidi="ar"/>
        </w:rPr>
        <w:t>▲</w:t>
      </w:r>
      <w:r>
        <w:rPr>
          <w:rFonts w:hint="eastAsia" w:ascii="宋体" w:hAnsi="宋体"/>
          <w:bCs/>
          <w:sz w:val="24"/>
          <w:szCs w:val="21"/>
        </w:rPr>
        <w:t>结构：</w:t>
      </w:r>
      <w:r>
        <w:rPr>
          <w:rFonts w:hint="eastAsia" w:ascii="宋体" w:hAnsi="宋体"/>
          <w:bCs/>
        </w:rPr>
        <w:t>应采用Q235B 250mm H</w:t>
      </w:r>
      <w:r>
        <w:rPr>
          <w:rFonts w:hint="eastAsia" w:hAnsi="宋体"/>
          <w:bCs/>
        </w:rPr>
        <w:t>镀锌</w:t>
      </w:r>
      <w:r>
        <w:rPr>
          <w:rFonts w:hint="eastAsia" w:ascii="宋体" w:hAnsi="宋体"/>
          <w:bCs/>
        </w:rPr>
        <w:t>型钢优质碳素分层式钢结构体系，高强度螺栓摩擦型连接；</w:t>
      </w:r>
    </w:p>
    <w:p>
      <w:pPr>
        <w:spacing w:line="460" w:lineRule="exact"/>
        <w:ind w:firstLine="480" w:firstLineChars="200"/>
        <w:rPr>
          <w:rFonts w:ascii="宋体" w:hAnsi="宋体"/>
          <w:bCs/>
          <w:sz w:val="24"/>
          <w:szCs w:val="21"/>
        </w:rPr>
      </w:pPr>
      <w:r>
        <w:rPr>
          <w:rFonts w:hint="eastAsia" w:ascii="宋体" w:hAnsi="宋体"/>
          <w:bCs/>
          <w:sz w:val="24"/>
          <w:szCs w:val="21"/>
        </w:rPr>
        <w:t>7.1.2</w:t>
      </w:r>
      <w:r>
        <w:rPr>
          <w:rFonts w:hint="eastAsia" w:hAnsi="宋体" w:cs="宋体"/>
          <w:szCs w:val="21"/>
          <w:lang w:bidi="ar"/>
        </w:rPr>
        <w:t>▲</w:t>
      </w:r>
      <w:r>
        <w:rPr>
          <w:rFonts w:hint="eastAsia" w:ascii="宋体" w:hAnsi="宋体"/>
          <w:bCs/>
          <w:sz w:val="24"/>
          <w:szCs w:val="21"/>
        </w:rPr>
        <w:t>地</w:t>
      </w:r>
      <w:r>
        <w:rPr>
          <w:rFonts w:hint="eastAsia" w:hAnsi="宋体"/>
          <w:bCs/>
          <w:sz w:val="24"/>
          <w:szCs w:val="21"/>
        </w:rPr>
        <w:t>面</w:t>
      </w:r>
      <w:r>
        <w:rPr>
          <w:rFonts w:hint="eastAsia" w:ascii="宋体" w:hAnsi="宋体"/>
          <w:bCs/>
          <w:sz w:val="24"/>
          <w:szCs w:val="21"/>
        </w:rPr>
        <w:t>：地</w:t>
      </w:r>
      <w:r>
        <w:rPr>
          <w:rFonts w:hint="eastAsia" w:hAnsi="宋体"/>
          <w:bCs/>
          <w:sz w:val="24"/>
          <w:szCs w:val="21"/>
        </w:rPr>
        <w:t>面</w:t>
      </w:r>
      <w:r>
        <w:rPr>
          <w:rFonts w:hint="eastAsia" w:ascii="宋体" w:hAnsi="宋体"/>
          <w:bCs/>
          <w:sz w:val="24"/>
          <w:szCs w:val="21"/>
        </w:rPr>
        <w:t>应采用地面模块化快装体系、基础快装垫层体系及瓷砖饰面，瓷砖应选择进口或</w:t>
      </w:r>
      <w:r>
        <w:rPr>
          <w:rFonts w:hint="eastAsia" w:hAnsi="宋体"/>
          <w:bCs/>
          <w:sz w:val="24"/>
          <w:szCs w:val="21"/>
        </w:rPr>
        <w:t>国内知名</w:t>
      </w:r>
      <w:r>
        <w:rPr>
          <w:rFonts w:hint="eastAsia" w:ascii="宋体" w:hAnsi="宋体"/>
          <w:bCs/>
          <w:sz w:val="24"/>
          <w:szCs w:val="21"/>
        </w:rPr>
        <w:t>品牌、选择时应注意耐脏性、防滑性、快干性及自洁性。</w:t>
      </w:r>
    </w:p>
    <w:p>
      <w:pPr>
        <w:spacing w:line="460" w:lineRule="exact"/>
        <w:ind w:firstLine="480" w:firstLineChars="200"/>
        <w:rPr>
          <w:rFonts w:ascii="宋体" w:hAnsi="宋体"/>
          <w:bCs/>
          <w:sz w:val="24"/>
          <w:szCs w:val="21"/>
        </w:rPr>
      </w:pPr>
      <w:r>
        <w:rPr>
          <w:rFonts w:hint="eastAsia" w:ascii="宋体" w:hAnsi="宋体"/>
          <w:bCs/>
          <w:sz w:val="24"/>
          <w:szCs w:val="21"/>
        </w:rPr>
        <w:t>7.1.3</w:t>
      </w:r>
      <w:r>
        <w:rPr>
          <w:rFonts w:hint="eastAsia" w:hAnsi="宋体" w:cs="宋体"/>
          <w:szCs w:val="21"/>
          <w:lang w:bidi="ar"/>
        </w:rPr>
        <w:t>▲</w:t>
      </w:r>
      <w:r>
        <w:rPr>
          <w:rFonts w:hint="eastAsia" w:ascii="宋体" w:hAnsi="宋体"/>
          <w:bCs/>
          <w:sz w:val="24"/>
          <w:szCs w:val="21"/>
        </w:rPr>
        <w:t>吊顶：吊顶采用吊顶</w:t>
      </w:r>
      <w:r>
        <w:rPr>
          <w:rFonts w:hint="eastAsia" w:hAnsi="宋体"/>
          <w:bCs/>
          <w:sz w:val="24"/>
          <w:szCs w:val="21"/>
        </w:rPr>
        <w:t>铝制</w:t>
      </w:r>
      <w:r>
        <w:rPr>
          <w:rFonts w:hint="eastAsia" w:ascii="宋体" w:hAnsi="宋体"/>
          <w:bCs/>
          <w:sz w:val="24"/>
          <w:szCs w:val="21"/>
        </w:rPr>
        <w:t>快装体系，应具备抗压性、同时兼具保温性能、防水性能、防火等级为A级。同时兼具吊顶吊筋快装点位，空调、机电安装预吊装点位，灯具及空调风口等设备应集成安装。</w:t>
      </w:r>
    </w:p>
    <w:p>
      <w:pPr>
        <w:spacing w:line="460" w:lineRule="exact"/>
        <w:ind w:firstLine="480" w:firstLineChars="200"/>
        <w:rPr>
          <w:rFonts w:ascii="宋体" w:hAnsi="宋体"/>
          <w:bCs/>
          <w:sz w:val="24"/>
          <w:szCs w:val="21"/>
        </w:rPr>
      </w:pPr>
      <w:r>
        <w:rPr>
          <w:rFonts w:hint="eastAsia" w:ascii="宋体" w:hAnsi="宋体"/>
          <w:bCs/>
          <w:sz w:val="24"/>
          <w:szCs w:val="21"/>
        </w:rPr>
        <w:t>7.1.4</w:t>
      </w:r>
      <w:r>
        <w:rPr>
          <w:rFonts w:hint="eastAsia" w:hAnsi="宋体" w:cs="宋体"/>
          <w:szCs w:val="21"/>
          <w:lang w:bidi="ar"/>
        </w:rPr>
        <w:t>▲</w:t>
      </w:r>
      <w:r>
        <w:rPr>
          <w:rFonts w:hint="eastAsia" w:ascii="宋体" w:hAnsi="宋体"/>
          <w:bCs/>
          <w:sz w:val="24"/>
          <w:szCs w:val="21"/>
        </w:rPr>
        <w:t>围护墙体：模块化房屋外墙应集内外墙结构、饰面、保温，防水，管线为一体，应具备抗压性、同时兼具保温性能、防水性能、自洁性，外墙装饰板与基础墙面间应设置空气隔热层以达到控制温度的目标。内墙应采用竹炭纤维饰面板（仿木纹）、兼具防水、防潮、防火性能</w:t>
      </w:r>
      <w:r>
        <w:rPr>
          <w:rFonts w:hint="eastAsia" w:ascii="宋体" w:hAnsi="宋体"/>
          <w:bCs/>
        </w:rPr>
        <w:t>；</w:t>
      </w:r>
    </w:p>
    <w:p>
      <w:pPr>
        <w:spacing w:line="460" w:lineRule="exact"/>
        <w:ind w:firstLine="480" w:firstLineChars="200"/>
        <w:rPr>
          <w:rFonts w:ascii="宋体" w:hAnsi="宋体"/>
          <w:bCs/>
          <w:sz w:val="24"/>
          <w:szCs w:val="21"/>
        </w:rPr>
      </w:pPr>
      <w:r>
        <w:rPr>
          <w:rFonts w:hint="eastAsia" w:ascii="宋体" w:hAnsi="宋体"/>
          <w:bCs/>
          <w:sz w:val="24"/>
          <w:szCs w:val="21"/>
        </w:rPr>
        <w:t>7.1.5屋面应采用坡屋面，保温层应采用镀锌保温复合板，饰面层配置金属瓦做整体防水工艺处理，屋面排水方式为自然排水；</w:t>
      </w:r>
    </w:p>
    <w:bookmarkEnd w:id="35"/>
    <w:p>
      <w:pPr>
        <w:spacing w:line="336" w:lineRule="auto"/>
        <w:ind w:firstLine="422" w:firstLineChars="200"/>
        <w:rPr>
          <w:rFonts w:ascii="宋体" w:hAnsi="宋体"/>
          <w:b/>
          <w:szCs w:val="21"/>
        </w:rPr>
      </w:pPr>
      <w:r>
        <w:rPr>
          <w:rFonts w:hint="eastAsia" w:ascii="宋体" w:hAnsi="宋体"/>
          <w:b/>
          <w:szCs w:val="21"/>
        </w:rPr>
        <w:t>7.</w:t>
      </w:r>
      <w:r>
        <w:rPr>
          <w:rFonts w:hint="eastAsia" w:hAnsi="宋体"/>
          <w:b/>
          <w:szCs w:val="21"/>
        </w:rPr>
        <w:t>2</w:t>
      </w:r>
      <w:r>
        <w:rPr>
          <w:rFonts w:hint="eastAsia" w:ascii="宋体" w:hAnsi="宋体"/>
          <w:b/>
          <w:szCs w:val="21"/>
        </w:rPr>
        <w:t>、</w:t>
      </w:r>
      <w:r>
        <w:rPr>
          <w:rFonts w:hint="eastAsia" w:hAnsi="宋体" w:cs="宋体"/>
          <w:szCs w:val="21"/>
          <w:lang w:bidi="ar"/>
        </w:rPr>
        <w:t>▲</w:t>
      </w:r>
      <w:r>
        <w:rPr>
          <w:rFonts w:hint="eastAsia" w:ascii="宋体" w:hAnsi="宋体"/>
          <w:b/>
          <w:szCs w:val="21"/>
        </w:rPr>
        <w:t>洁具配置</w:t>
      </w:r>
    </w:p>
    <w:p>
      <w:pPr>
        <w:pStyle w:val="121"/>
        <w:spacing w:line="336" w:lineRule="auto"/>
        <w:rPr>
          <w:rFonts w:ascii="宋体" w:hAnsi="宋体"/>
          <w:bCs/>
          <w:szCs w:val="24"/>
        </w:rPr>
      </w:pPr>
      <w:r>
        <w:rPr>
          <w:rFonts w:hint="eastAsia" w:ascii="宋体" w:hAnsi="宋体"/>
          <w:bCs/>
          <w:szCs w:val="24"/>
        </w:rPr>
        <w:t>7.2.1</w:t>
      </w:r>
      <w:r>
        <w:rPr>
          <w:rFonts w:hint="eastAsia" w:hAnsi="宋体"/>
          <w:bCs/>
          <w:szCs w:val="24"/>
        </w:rPr>
        <w:t>洁具</w:t>
      </w:r>
      <w:r>
        <w:rPr>
          <w:rFonts w:hint="eastAsia" w:ascii="宋体" w:hAnsi="宋体"/>
          <w:bCs/>
          <w:szCs w:val="24"/>
        </w:rPr>
        <w:t>应</w:t>
      </w:r>
      <w:r>
        <w:rPr>
          <w:rFonts w:hint="eastAsia" w:hAnsi="宋体"/>
          <w:bCs/>
          <w:szCs w:val="24"/>
        </w:rPr>
        <w:t>采用知名品牌（TOTO、美标、箭牌等）</w:t>
      </w:r>
      <w:r>
        <w:rPr>
          <w:rFonts w:hint="eastAsia" w:ascii="宋体" w:hAnsi="宋体"/>
          <w:bCs/>
          <w:szCs w:val="24"/>
        </w:rPr>
        <w:t>体现“节水、无臭化”的综合效果；</w:t>
      </w:r>
    </w:p>
    <w:p>
      <w:pPr>
        <w:pStyle w:val="121"/>
        <w:spacing w:line="336" w:lineRule="auto"/>
        <w:rPr>
          <w:rFonts w:ascii="宋体" w:hAnsi="宋体"/>
          <w:bCs/>
          <w:szCs w:val="24"/>
        </w:rPr>
      </w:pPr>
      <w:r>
        <w:rPr>
          <w:rFonts w:hint="eastAsia" w:ascii="宋体" w:hAnsi="宋体"/>
          <w:bCs/>
          <w:szCs w:val="24"/>
        </w:rPr>
        <w:t>7.2.2设备应是采用先进的节水冲洗技术，并不需要任何添加剂的定型产品。产品技术成熟，节水效果明显。</w:t>
      </w:r>
    </w:p>
    <w:p>
      <w:pPr>
        <w:pStyle w:val="121"/>
        <w:spacing w:line="336" w:lineRule="auto"/>
        <w:rPr>
          <w:rFonts w:ascii="宋体" w:hAnsi="宋体"/>
          <w:bCs/>
          <w:szCs w:val="24"/>
        </w:rPr>
      </w:pPr>
      <w:r>
        <w:rPr>
          <w:rFonts w:hint="eastAsia" w:ascii="宋体" w:hAnsi="宋体"/>
          <w:bCs/>
          <w:szCs w:val="24"/>
        </w:rPr>
        <w:t>7.2.3设备应适宜在低水压、低水流地区使用，冲洗效果好，操作简单，维护方便，保养运行成本低。便具取材使用陶瓷材料，使用寿命长，不易坏。</w:t>
      </w:r>
    </w:p>
    <w:p>
      <w:pPr>
        <w:pStyle w:val="121"/>
        <w:spacing w:line="336" w:lineRule="auto"/>
        <w:rPr>
          <w:rFonts w:ascii="宋体" w:hAnsi="宋体"/>
          <w:bCs/>
          <w:szCs w:val="24"/>
        </w:rPr>
      </w:pPr>
      <w:r>
        <w:rPr>
          <w:rFonts w:hint="eastAsia" w:ascii="宋体" w:hAnsi="宋体"/>
          <w:bCs/>
          <w:szCs w:val="24"/>
        </w:rPr>
        <w:t>7.2.4设备系统应是一套完整的闭合系统。其中包括：蹲便器、座便器、整个系统包括所需的上水管、阀门、支架等，设备系统的排污口能与市政预留的排污口方便对接；</w:t>
      </w:r>
    </w:p>
    <w:p>
      <w:pPr>
        <w:pStyle w:val="121"/>
        <w:spacing w:line="336" w:lineRule="auto"/>
        <w:rPr>
          <w:rFonts w:ascii="宋体" w:hAnsi="宋体"/>
          <w:bCs/>
          <w:szCs w:val="24"/>
        </w:rPr>
      </w:pPr>
      <w:r>
        <w:rPr>
          <w:rFonts w:hint="eastAsia" w:ascii="宋体" w:hAnsi="宋体"/>
          <w:bCs/>
          <w:szCs w:val="24"/>
        </w:rPr>
        <w:t>7.2.5蹲坐便器：符合GB 6952《卫生陶瓷》的要求，水冲式宜采用感应式或机械式节水型冲洗阀门。应采用具有返水弯水封功能的大坡度前冲后排式陶瓷便器，内径大于或等于450mm；座便器：采用存水弯式射流虹吸座便器；</w:t>
      </w:r>
    </w:p>
    <w:p>
      <w:pPr>
        <w:pStyle w:val="121"/>
        <w:spacing w:line="336" w:lineRule="auto"/>
        <w:rPr>
          <w:rFonts w:ascii="宋体" w:hAnsi="宋体"/>
          <w:bCs/>
          <w:szCs w:val="24"/>
        </w:rPr>
      </w:pPr>
      <w:r>
        <w:rPr>
          <w:rFonts w:hint="eastAsia" w:ascii="宋体" w:hAnsi="宋体"/>
          <w:bCs/>
          <w:szCs w:val="24"/>
        </w:rPr>
        <w:t>7.2.6小便斗为感应式水冲型设备采用瓷制半挂式小便器，置换稀释率&gt;100，并有完整水封阻臭。</w:t>
      </w:r>
    </w:p>
    <w:p>
      <w:pPr>
        <w:pStyle w:val="121"/>
        <w:spacing w:line="336" w:lineRule="auto"/>
        <w:ind w:firstLine="422"/>
        <w:rPr>
          <w:rFonts w:ascii="宋体" w:hAnsi="宋体"/>
          <w:b/>
          <w:bCs/>
          <w:szCs w:val="21"/>
        </w:rPr>
      </w:pPr>
      <w:r>
        <w:rPr>
          <w:rFonts w:hint="eastAsia" w:ascii="宋体" w:hAnsi="宋体"/>
          <w:b/>
          <w:bCs/>
          <w:szCs w:val="21"/>
        </w:rPr>
        <w:t>7.</w:t>
      </w:r>
      <w:r>
        <w:rPr>
          <w:rFonts w:hint="eastAsia" w:hAnsi="宋体"/>
          <w:b/>
          <w:bCs/>
          <w:szCs w:val="21"/>
        </w:rPr>
        <w:t xml:space="preserve">3 </w:t>
      </w:r>
      <w:r>
        <w:rPr>
          <w:rFonts w:hint="eastAsia" w:hAnsi="宋体" w:cs="宋体"/>
          <w:szCs w:val="21"/>
          <w:lang w:bidi="ar"/>
        </w:rPr>
        <w:t>▲</w:t>
      </w:r>
      <w:r>
        <w:rPr>
          <w:rFonts w:hint="eastAsia" w:ascii="宋体" w:hAnsi="宋体"/>
          <w:b/>
          <w:bCs/>
          <w:szCs w:val="21"/>
        </w:rPr>
        <w:t>空气排风系统技术指标</w:t>
      </w:r>
    </w:p>
    <w:p>
      <w:pPr>
        <w:pStyle w:val="121"/>
        <w:spacing w:line="336" w:lineRule="auto"/>
        <w:rPr>
          <w:rFonts w:ascii="宋体" w:hAnsi="宋体"/>
          <w:bCs/>
          <w:szCs w:val="24"/>
        </w:rPr>
      </w:pPr>
      <w:r>
        <w:rPr>
          <w:rFonts w:hint="eastAsia" w:ascii="宋体" w:hAnsi="宋体"/>
          <w:bCs/>
          <w:szCs w:val="24"/>
        </w:rPr>
        <w:t>7.3.1设备为自强排结合除臭系统；通风应满足CJJ14－2016《城市公共厕所设计标准》，确保厕所换气次数在5次/小时以上，强制排风设备的位置设计合理；</w:t>
      </w:r>
    </w:p>
    <w:p>
      <w:pPr>
        <w:pStyle w:val="121"/>
        <w:spacing w:line="336" w:lineRule="auto"/>
        <w:ind w:firstLine="0" w:firstLineChars="0"/>
        <w:rPr>
          <w:rFonts w:ascii="宋体" w:hAnsi="宋体"/>
          <w:bCs/>
          <w:szCs w:val="24"/>
        </w:rPr>
      </w:pPr>
      <w:r>
        <w:rPr>
          <w:rFonts w:hint="eastAsia" w:ascii="宋体" w:hAnsi="宋体"/>
          <w:bCs/>
          <w:szCs w:val="24"/>
        </w:rPr>
        <w:t>排风系统应采用多点式分散排风，瞬间排放室内污浊空气，并节能降耗，达到室内空气质量标准；</w:t>
      </w:r>
    </w:p>
    <w:p>
      <w:pPr>
        <w:pStyle w:val="121"/>
        <w:spacing w:line="336" w:lineRule="auto"/>
        <w:rPr>
          <w:rFonts w:ascii="宋体" w:hAnsi="宋体"/>
          <w:bCs/>
          <w:szCs w:val="24"/>
        </w:rPr>
      </w:pPr>
      <w:r>
        <w:rPr>
          <w:rFonts w:hint="eastAsia" w:ascii="宋体" w:hAnsi="宋体"/>
          <w:bCs/>
          <w:szCs w:val="24"/>
        </w:rPr>
        <w:t>7.3.2以驿站建筑面积90平方米为例，单机置换空气量不少于1200立方米/小时，要求在五分钟内置换完成驿站一次；（1200立方米/小时=20立方米*5分钟*4台=400立方米（面积90平方米*层高3.5米=315立方米）；</w:t>
      </w:r>
    </w:p>
    <w:p>
      <w:pPr>
        <w:pStyle w:val="121"/>
        <w:spacing w:line="336" w:lineRule="auto"/>
        <w:rPr>
          <w:rFonts w:ascii="宋体" w:hAnsi="宋体"/>
          <w:bCs/>
          <w:szCs w:val="24"/>
        </w:rPr>
      </w:pPr>
      <w:r>
        <w:rPr>
          <w:rFonts w:hint="eastAsia" w:ascii="宋体" w:hAnsi="宋体"/>
          <w:bCs/>
          <w:szCs w:val="24"/>
        </w:rPr>
        <w:t>7.3.3厕所内氨气指标及TVOC挥发物指标要求符合DBJ01-91-2004《民用建筑工程室内环境污染控制规则》的规定，除臭效果达到国家规定的臭气排放指标，即《恶臭污染物排放指标》GB14554-93；</w:t>
      </w:r>
    </w:p>
    <w:p>
      <w:pPr>
        <w:pStyle w:val="121"/>
        <w:spacing w:line="336" w:lineRule="auto"/>
        <w:rPr>
          <w:rFonts w:ascii="宋体" w:hAnsi="宋体"/>
          <w:bCs/>
          <w:szCs w:val="24"/>
        </w:rPr>
      </w:pPr>
      <w:r>
        <w:rPr>
          <w:rFonts w:hint="eastAsia" w:ascii="宋体" w:hAnsi="宋体"/>
          <w:bCs/>
          <w:szCs w:val="24"/>
        </w:rPr>
        <w:t>7.3.4设备正常运行可保持清新无臭味，除臭气流组织方式科学合理，运行中不能产生于空气所不附的气体（如飘香、烟味、尿味、臭味）整套设备（系统），运行平衡；</w:t>
      </w:r>
    </w:p>
    <w:p>
      <w:pPr>
        <w:pStyle w:val="121"/>
        <w:spacing w:line="336" w:lineRule="auto"/>
        <w:rPr>
          <w:rFonts w:ascii="宋体" w:hAnsi="宋体"/>
          <w:bCs/>
          <w:szCs w:val="24"/>
        </w:rPr>
      </w:pPr>
      <w:r>
        <w:rPr>
          <w:rFonts w:hint="eastAsia" w:ascii="宋体" w:hAnsi="宋体"/>
          <w:bCs/>
          <w:szCs w:val="24"/>
        </w:rPr>
        <w:t>7.3.5运行过程中工作噪音符合国家相关规定标准（单机正常运行噪音小于65分贝），维护方便，故障率低；</w:t>
      </w:r>
    </w:p>
    <w:p>
      <w:pPr>
        <w:pStyle w:val="121"/>
        <w:spacing w:line="336" w:lineRule="auto"/>
        <w:rPr>
          <w:rFonts w:ascii="宋体" w:hAnsi="宋体"/>
          <w:bCs/>
          <w:szCs w:val="24"/>
        </w:rPr>
      </w:pPr>
      <w:r>
        <w:rPr>
          <w:rFonts w:hint="eastAsia" w:ascii="宋体" w:hAnsi="宋体"/>
          <w:bCs/>
          <w:szCs w:val="24"/>
        </w:rPr>
        <w:t>7.3.6单机能耗0.4度/小时；</w:t>
      </w:r>
    </w:p>
    <w:p>
      <w:pPr>
        <w:pStyle w:val="121"/>
        <w:spacing w:line="336" w:lineRule="auto"/>
        <w:rPr>
          <w:rFonts w:ascii="宋体" w:hAnsi="宋体"/>
          <w:bCs/>
          <w:szCs w:val="24"/>
        </w:rPr>
      </w:pPr>
      <w:r>
        <w:rPr>
          <w:rFonts w:hint="eastAsia" w:ascii="宋体" w:hAnsi="宋体"/>
          <w:bCs/>
          <w:szCs w:val="24"/>
        </w:rPr>
        <w:t>7.3.7严禁使用化学手段达到遮味、除味，保证运行中自然空气流通；</w:t>
      </w:r>
    </w:p>
    <w:p>
      <w:pPr>
        <w:pStyle w:val="121"/>
        <w:spacing w:line="336" w:lineRule="auto"/>
        <w:rPr>
          <w:rFonts w:ascii="宋体" w:hAnsi="宋体"/>
          <w:bCs/>
          <w:szCs w:val="24"/>
        </w:rPr>
      </w:pPr>
      <w:r>
        <w:rPr>
          <w:rFonts w:hint="eastAsia" w:ascii="宋体" w:hAnsi="宋体"/>
          <w:bCs/>
          <w:szCs w:val="24"/>
        </w:rPr>
        <w:t>7.3.8管道：通风管全采用墙内预埋的复合材质，防腐蚀；</w:t>
      </w:r>
    </w:p>
    <w:p>
      <w:pPr>
        <w:pStyle w:val="121"/>
        <w:spacing w:line="336" w:lineRule="auto"/>
        <w:rPr>
          <w:rFonts w:ascii="宋体" w:hAnsi="宋体"/>
          <w:bCs/>
          <w:szCs w:val="24"/>
        </w:rPr>
      </w:pPr>
      <w:r>
        <w:rPr>
          <w:rFonts w:hint="eastAsia" w:ascii="宋体" w:hAnsi="宋体"/>
          <w:bCs/>
          <w:szCs w:val="24"/>
        </w:rPr>
        <w:t>7.3.9气味：厕所臭味强度不大于1级。</w:t>
      </w:r>
    </w:p>
    <w:p>
      <w:pPr>
        <w:pStyle w:val="121"/>
        <w:spacing w:line="336" w:lineRule="auto"/>
        <w:ind w:firstLine="422"/>
        <w:rPr>
          <w:rFonts w:ascii="宋体" w:hAnsi="宋体"/>
          <w:b/>
          <w:bCs/>
          <w:szCs w:val="21"/>
        </w:rPr>
      </w:pPr>
      <w:r>
        <w:rPr>
          <w:rFonts w:hint="eastAsia" w:ascii="宋体" w:hAnsi="宋体"/>
          <w:b/>
          <w:bCs/>
          <w:szCs w:val="21"/>
        </w:rPr>
        <w:t>7.</w:t>
      </w:r>
      <w:r>
        <w:rPr>
          <w:rFonts w:hint="eastAsia" w:hAnsi="宋体"/>
          <w:b/>
          <w:bCs/>
          <w:szCs w:val="21"/>
        </w:rPr>
        <w:t>4</w:t>
      </w:r>
      <w:r>
        <w:rPr>
          <w:rFonts w:hint="eastAsia" w:hAnsi="宋体" w:cs="宋体"/>
          <w:szCs w:val="21"/>
          <w:lang w:bidi="ar"/>
        </w:rPr>
        <w:t>▲</w:t>
      </w:r>
      <w:r>
        <w:rPr>
          <w:rFonts w:hint="eastAsia" w:ascii="宋体" w:hAnsi="宋体"/>
          <w:b/>
          <w:bCs/>
          <w:szCs w:val="21"/>
        </w:rPr>
        <w:t>智能管控系统技术指标</w:t>
      </w:r>
    </w:p>
    <w:p>
      <w:pPr>
        <w:pStyle w:val="121"/>
        <w:spacing w:line="336" w:lineRule="auto"/>
        <w:rPr>
          <w:rFonts w:ascii="宋体" w:hAnsi="宋体"/>
          <w:bCs/>
          <w:szCs w:val="21"/>
        </w:rPr>
      </w:pPr>
      <w:r>
        <w:rPr>
          <w:rFonts w:hint="eastAsia" w:ascii="宋体" w:hAnsi="宋体"/>
          <w:bCs/>
          <w:szCs w:val="21"/>
        </w:rPr>
        <w:t>7.</w:t>
      </w:r>
      <w:r>
        <w:rPr>
          <w:rFonts w:hint="eastAsia" w:hAnsi="宋体"/>
          <w:bCs/>
          <w:szCs w:val="21"/>
        </w:rPr>
        <w:t>4</w:t>
      </w:r>
      <w:r>
        <w:rPr>
          <w:rFonts w:hint="eastAsia" w:ascii="宋体" w:hAnsi="宋体"/>
          <w:bCs/>
          <w:szCs w:val="21"/>
        </w:rPr>
        <w:t>.1卫生间采用</w:t>
      </w:r>
      <w:r>
        <w:rPr>
          <w:rFonts w:hint="eastAsia" w:ascii="宋体" w:hAnsi="宋体" w:cs="DGOFMF+ËÎÌå"/>
          <w:szCs w:val="21"/>
        </w:rPr>
        <w:t>整体</w:t>
      </w:r>
      <w:r>
        <w:rPr>
          <w:rFonts w:hint="eastAsia" w:ascii="宋体" w:hAnsi="宋体"/>
          <w:bCs/>
          <w:szCs w:val="21"/>
        </w:rPr>
        <w:t>弱电智能管控系统；</w:t>
      </w:r>
    </w:p>
    <w:p>
      <w:pPr>
        <w:pStyle w:val="121"/>
        <w:spacing w:line="336" w:lineRule="auto"/>
        <w:rPr>
          <w:rFonts w:ascii="宋体" w:hAnsi="宋体"/>
          <w:bCs/>
          <w:szCs w:val="21"/>
        </w:rPr>
      </w:pPr>
      <w:r>
        <w:rPr>
          <w:rFonts w:hint="eastAsia" w:ascii="宋体" w:hAnsi="宋体"/>
          <w:bCs/>
          <w:szCs w:val="21"/>
        </w:rPr>
        <w:t>7.</w:t>
      </w:r>
      <w:r>
        <w:rPr>
          <w:rFonts w:hint="eastAsia" w:hAnsi="宋体"/>
          <w:bCs/>
          <w:szCs w:val="21"/>
        </w:rPr>
        <w:t>4</w:t>
      </w:r>
      <w:r>
        <w:rPr>
          <w:rFonts w:hint="eastAsia" w:ascii="宋体" w:hAnsi="宋体"/>
          <w:bCs/>
          <w:szCs w:val="21"/>
        </w:rPr>
        <w:t>.2满足对卫生间内灯光、音乐、杀菌、风机的实时开启管控措施，从而达到对卫生间能源的有效控制；</w:t>
      </w:r>
    </w:p>
    <w:p>
      <w:pPr>
        <w:pStyle w:val="121"/>
        <w:spacing w:line="336" w:lineRule="auto"/>
        <w:rPr>
          <w:rFonts w:ascii="宋体" w:hAnsi="宋体"/>
          <w:bCs/>
          <w:szCs w:val="21"/>
        </w:rPr>
      </w:pPr>
      <w:r>
        <w:rPr>
          <w:rFonts w:hint="eastAsia" w:ascii="宋体" w:hAnsi="宋体"/>
          <w:bCs/>
          <w:szCs w:val="21"/>
        </w:rPr>
        <w:t>7.</w:t>
      </w:r>
      <w:r>
        <w:rPr>
          <w:rFonts w:hint="eastAsia" w:hAnsi="宋体"/>
          <w:bCs/>
          <w:szCs w:val="21"/>
        </w:rPr>
        <w:t>4</w:t>
      </w:r>
      <w:r>
        <w:rPr>
          <w:rFonts w:hint="eastAsia" w:ascii="宋体" w:hAnsi="宋体"/>
          <w:bCs/>
          <w:szCs w:val="21"/>
        </w:rPr>
        <w:t>.3对卫生间硫化氢、氨气等臭味指标实现实时监控、显示；</w:t>
      </w:r>
    </w:p>
    <w:p>
      <w:pPr>
        <w:pStyle w:val="121"/>
        <w:spacing w:line="336" w:lineRule="auto"/>
        <w:rPr>
          <w:rFonts w:ascii="宋体" w:hAnsi="宋体"/>
          <w:bCs/>
          <w:szCs w:val="21"/>
        </w:rPr>
      </w:pPr>
      <w:r>
        <w:rPr>
          <w:rFonts w:hint="eastAsia" w:ascii="宋体" w:hAnsi="宋体"/>
          <w:bCs/>
          <w:szCs w:val="21"/>
        </w:rPr>
        <w:t>7.</w:t>
      </w:r>
      <w:r>
        <w:rPr>
          <w:rFonts w:hint="eastAsia" w:hAnsi="宋体"/>
          <w:bCs/>
          <w:szCs w:val="21"/>
        </w:rPr>
        <w:t>4</w:t>
      </w:r>
      <w:r>
        <w:rPr>
          <w:rFonts w:hint="eastAsia" w:ascii="宋体" w:hAnsi="宋体"/>
          <w:bCs/>
          <w:szCs w:val="21"/>
        </w:rPr>
        <w:t>.4人流量统计及蹲位引导系统，统计当天进入本卫生间人数；引导蹲位使用情况并在显示屏上显示出来；</w:t>
      </w:r>
    </w:p>
    <w:p>
      <w:pPr>
        <w:pStyle w:val="121"/>
        <w:spacing w:line="336" w:lineRule="auto"/>
        <w:rPr>
          <w:rFonts w:ascii="宋体" w:hAnsi="宋体"/>
          <w:bCs/>
          <w:szCs w:val="21"/>
        </w:rPr>
      </w:pPr>
      <w:r>
        <w:rPr>
          <w:rFonts w:hint="eastAsia" w:ascii="宋体" w:hAnsi="宋体"/>
          <w:bCs/>
          <w:szCs w:val="21"/>
        </w:rPr>
        <w:t>7.</w:t>
      </w:r>
      <w:r>
        <w:rPr>
          <w:rFonts w:hint="eastAsia" w:hAnsi="宋体"/>
          <w:bCs/>
          <w:szCs w:val="21"/>
        </w:rPr>
        <w:t>4</w:t>
      </w:r>
      <w:r>
        <w:rPr>
          <w:rFonts w:hint="eastAsia" w:ascii="宋体" w:hAnsi="宋体"/>
          <w:bCs/>
          <w:szCs w:val="21"/>
        </w:rPr>
        <w:t>.5视频监控，内含网络高清枪击摄像头，硬盘可储存 15天。</w:t>
      </w:r>
    </w:p>
    <w:p>
      <w:pPr>
        <w:spacing w:line="336" w:lineRule="auto"/>
        <w:ind w:firstLine="422" w:firstLineChars="200"/>
        <w:rPr>
          <w:rFonts w:ascii="宋体" w:hAnsi="宋体"/>
          <w:b/>
          <w:szCs w:val="21"/>
        </w:rPr>
      </w:pPr>
      <w:r>
        <w:rPr>
          <w:rFonts w:hint="eastAsia" w:ascii="宋体" w:hAnsi="宋体"/>
          <w:b/>
          <w:szCs w:val="21"/>
        </w:rPr>
        <w:t>7.</w:t>
      </w:r>
      <w:r>
        <w:rPr>
          <w:rFonts w:hint="eastAsia" w:hAnsi="宋体"/>
          <w:b/>
          <w:szCs w:val="21"/>
        </w:rPr>
        <w:t>5</w:t>
      </w:r>
      <w:r>
        <w:rPr>
          <w:rFonts w:hint="eastAsia" w:ascii="宋体" w:hAnsi="宋体"/>
          <w:b/>
          <w:szCs w:val="21"/>
        </w:rPr>
        <w:t>、</w:t>
      </w:r>
      <w:r>
        <w:rPr>
          <w:rFonts w:hint="eastAsia" w:hAnsi="宋体" w:cs="宋体"/>
          <w:szCs w:val="21"/>
          <w:lang w:bidi="ar"/>
        </w:rPr>
        <w:t>▲</w:t>
      </w:r>
      <w:r>
        <w:rPr>
          <w:rFonts w:hint="eastAsia" w:ascii="宋体" w:hAnsi="宋体"/>
          <w:b/>
          <w:szCs w:val="21"/>
        </w:rPr>
        <w:t>门、窗</w:t>
      </w:r>
      <w:r>
        <w:rPr>
          <w:rFonts w:hint="eastAsia" w:hAnsi="宋体"/>
          <w:b/>
          <w:szCs w:val="21"/>
        </w:rPr>
        <w:t>、玻璃幕墙</w:t>
      </w:r>
    </w:p>
    <w:p>
      <w:pPr>
        <w:spacing w:line="336" w:lineRule="auto"/>
        <w:ind w:firstLine="480" w:firstLineChars="200"/>
        <w:rPr>
          <w:rFonts w:ascii="宋体" w:hAnsi="宋体"/>
          <w:bCs/>
          <w:sz w:val="24"/>
        </w:rPr>
      </w:pPr>
      <w:r>
        <w:rPr>
          <w:rFonts w:hint="eastAsia" w:ascii="宋体" w:hAnsi="宋体"/>
          <w:bCs/>
          <w:sz w:val="24"/>
        </w:rPr>
        <w:t>7.5.1入户门应采用通高断桥铝型材玻璃门；</w:t>
      </w:r>
    </w:p>
    <w:p>
      <w:pPr>
        <w:spacing w:line="336" w:lineRule="auto"/>
        <w:ind w:firstLine="480" w:firstLineChars="200"/>
        <w:rPr>
          <w:rFonts w:ascii="宋体" w:hAnsi="宋体"/>
          <w:bCs/>
          <w:sz w:val="24"/>
        </w:rPr>
      </w:pPr>
      <w:r>
        <w:rPr>
          <w:rFonts w:hint="eastAsia" w:ascii="宋体" w:hAnsi="宋体"/>
          <w:bCs/>
          <w:sz w:val="24"/>
        </w:rPr>
        <w:t>7.5.2户内门应采用隐形、静音铝制复合门，门厚54mm；</w:t>
      </w:r>
    </w:p>
    <w:p>
      <w:pPr>
        <w:spacing w:line="336" w:lineRule="auto"/>
        <w:ind w:firstLine="480" w:firstLineChars="200"/>
        <w:rPr>
          <w:rFonts w:ascii="宋体" w:hAnsi="宋体"/>
          <w:bCs/>
          <w:sz w:val="24"/>
        </w:rPr>
      </w:pPr>
      <w:r>
        <w:rPr>
          <w:rFonts w:hint="eastAsia" w:ascii="宋体" w:hAnsi="宋体"/>
          <w:bCs/>
          <w:sz w:val="24"/>
        </w:rPr>
        <w:t>7.5.3外窗应采用下悬式断桥铝合金(6+12+6mm)LOW-E中空钢化玻璃窗。</w:t>
      </w:r>
    </w:p>
    <w:p>
      <w:pPr>
        <w:spacing w:line="336" w:lineRule="auto"/>
        <w:ind w:firstLine="480" w:firstLineChars="200"/>
        <w:rPr>
          <w:rFonts w:ascii="宋体" w:hAnsi="宋体"/>
          <w:bCs/>
          <w:sz w:val="24"/>
        </w:rPr>
      </w:pPr>
      <w:r>
        <w:rPr>
          <w:rFonts w:hint="eastAsia" w:ascii="宋体" w:hAnsi="宋体"/>
          <w:bCs/>
          <w:sz w:val="24"/>
        </w:rPr>
        <w:t>7.5.4玻璃幕墙应采用铝合金型材氟碳漆饰面，玻璃采用(6+12+6mm)LOW-E中空高透钢化玻璃。</w:t>
      </w:r>
    </w:p>
    <w:p>
      <w:pPr>
        <w:spacing w:line="336" w:lineRule="auto"/>
        <w:ind w:firstLine="422" w:firstLineChars="200"/>
        <w:rPr>
          <w:rFonts w:ascii="宋体" w:hAnsi="宋体"/>
          <w:b/>
          <w:szCs w:val="21"/>
        </w:rPr>
      </w:pPr>
      <w:r>
        <w:rPr>
          <w:rFonts w:hint="eastAsia" w:ascii="宋体" w:hAnsi="宋体"/>
          <w:b/>
          <w:szCs w:val="21"/>
        </w:rPr>
        <w:t>7.</w:t>
      </w:r>
      <w:r>
        <w:rPr>
          <w:rFonts w:hint="eastAsia" w:hAnsi="宋体"/>
          <w:b/>
          <w:szCs w:val="21"/>
        </w:rPr>
        <w:t>6</w:t>
      </w:r>
      <w:r>
        <w:rPr>
          <w:rFonts w:hint="eastAsia" w:ascii="宋体" w:hAnsi="宋体"/>
          <w:b/>
          <w:szCs w:val="21"/>
        </w:rPr>
        <w:t>、</w:t>
      </w:r>
      <w:r>
        <w:rPr>
          <w:rFonts w:hint="eastAsia" w:hAnsi="宋体" w:cs="宋体"/>
          <w:szCs w:val="21"/>
          <w:lang w:bidi="ar"/>
        </w:rPr>
        <w:t>▲</w:t>
      </w:r>
      <w:r>
        <w:rPr>
          <w:rFonts w:hint="eastAsia" w:ascii="宋体" w:hAnsi="宋体"/>
          <w:b/>
          <w:szCs w:val="21"/>
        </w:rPr>
        <w:t>灯具</w:t>
      </w:r>
    </w:p>
    <w:p>
      <w:pPr>
        <w:spacing w:line="336" w:lineRule="auto"/>
        <w:ind w:firstLine="480" w:firstLineChars="200"/>
        <w:rPr>
          <w:rFonts w:ascii="宋体" w:hAnsi="宋体"/>
          <w:bCs/>
          <w:sz w:val="24"/>
        </w:rPr>
      </w:pPr>
      <w:r>
        <w:rPr>
          <w:rFonts w:hint="eastAsia" w:ascii="宋体" w:hAnsi="宋体"/>
          <w:bCs/>
          <w:sz w:val="24"/>
        </w:rPr>
        <w:t xml:space="preserve">7.6.1所有照明均采用LED防眩光节能灯具，色温应控制在4500K、平均照度150lx、照射角为7°、9°、12°、36°、60°、120°，色斑直径为600mm。显色指数90(Ra)。 </w:t>
      </w:r>
    </w:p>
    <w:p>
      <w:pPr>
        <w:spacing w:line="336" w:lineRule="auto"/>
        <w:ind w:firstLine="480" w:firstLineChars="200"/>
        <w:rPr>
          <w:rFonts w:ascii="宋体" w:hAnsi="宋体"/>
          <w:bCs/>
          <w:sz w:val="24"/>
        </w:rPr>
      </w:pPr>
      <w:r>
        <w:rPr>
          <w:rFonts w:hint="eastAsia" w:ascii="宋体" w:hAnsi="宋体"/>
          <w:bCs/>
          <w:sz w:val="24"/>
        </w:rPr>
        <w:t>7.6.2所有灯具均采用智能系统管控。</w:t>
      </w:r>
    </w:p>
    <w:p>
      <w:pPr>
        <w:spacing w:line="336" w:lineRule="auto"/>
        <w:ind w:firstLine="422" w:firstLineChars="200"/>
        <w:rPr>
          <w:rFonts w:ascii="宋体" w:hAnsi="宋体"/>
          <w:b/>
          <w:szCs w:val="21"/>
        </w:rPr>
      </w:pPr>
      <w:r>
        <w:rPr>
          <w:rFonts w:hint="eastAsia" w:ascii="宋体" w:hAnsi="宋体"/>
          <w:b/>
          <w:szCs w:val="21"/>
        </w:rPr>
        <w:t>7.7、</w:t>
      </w:r>
      <w:r>
        <w:rPr>
          <w:rFonts w:hint="eastAsia" w:hAnsi="宋体" w:cs="宋体"/>
          <w:szCs w:val="21"/>
          <w:lang w:bidi="ar"/>
        </w:rPr>
        <w:t>▲</w:t>
      </w:r>
      <w:r>
        <w:rPr>
          <w:rFonts w:hint="eastAsia" w:ascii="宋体" w:hAnsi="宋体"/>
          <w:b/>
          <w:szCs w:val="21"/>
        </w:rPr>
        <w:t>空调</w:t>
      </w:r>
    </w:p>
    <w:p>
      <w:pPr>
        <w:spacing w:line="336" w:lineRule="auto"/>
        <w:ind w:firstLine="480" w:firstLineChars="200"/>
        <w:rPr>
          <w:rFonts w:ascii="宋体" w:hAnsi="宋体"/>
          <w:bCs/>
          <w:sz w:val="24"/>
        </w:rPr>
      </w:pPr>
      <w:r>
        <w:rPr>
          <w:rFonts w:hint="eastAsia" w:ascii="宋体" w:hAnsi="宋体"/>
          <w:bCs/>
          <w:sz w:val="24"/>
        </w:rPr>
        <w:t>7.7.1空调应采用空调应采用VRV多联一体机系统。</w:t>
      </w:r>
    </w:p>
    <w:p>
      <w:pPr>
        <w:spacing w:line="336" w:lineRule="auto"/>
        <w:ind w:firstLine="422" w:firstLineChars="200"/>
        <w:rPr>
          <w:rFonts w:ascii="宋体" w:hAnsi="宋体"/>
          <w:b/>
          <w:szCs w:val="21"/>
        </w:rPr>
      </w:pPr>
      <w:r>
        <w:rPr>
          <w:rFonts w:hint="eastAsia" w:ascii="宋体" w:hAnsi="宋体"/>
          <w:b/>
          <w:szCs w:val="21"/>
        </w:rPr>
        <w:t>7.8、厕隔间</w:t>
      </w:r>
    </w:p>
    <w:p>
      <w:pPr>
        <w:tabs>
          <w:tab w:val="left" w:pos="312"/>
        </w:tabs>
        <w:spacing w:line="336" w:lineRule="auto"/>
        <w:ind w:firstLine="480" w:firstLineChars="200"/>
        <w:rPr>
          <w:rFonts w:ascii="宋体" w:hAnsi="宋体"/>
          <w:bCs/>
          <w:sz w:val="24"/>
        </w:rPr>
      </w:pPr>
      <w:r>
        <w:rPr>
          <w:rFonts w:hint="eastAsia" w:ascii="宋体" w:hAnsi="宋体"/>
          <w:bCs/>
          <w:sz w:val="24"/>
        </w:rPr>
        <w:t>7.8.1厕隔间应采用防潮、耐腐、轻质材料，厕隔门应采用隐形、静音铝制复合门，中隔板与进深板工艺、厚度、高度与门板相同。厕隔门应轻松开启；</w:t>
      </w:r>
    </w:p>
    <w:p>
      <w:pPr>
        <w:spacing w:line="336" w:lineRule="auto"/>
        <w:ind w:firstLine="480" w:firstLineChars="200"/>
      </w:pPr>
      <w:r>
        <w:rPr>
          <w:rFonts w:hint="eastAsia" w:ascii="宋体" w:hAnsi="宋体"/>
          <w:bCs/>
          <w:sz w:val="24"/>
        </w:rPr>
        <w:t>7.8.2衣帽钩（≥5kg）、安全扶手、及残疾扶手。</w:t>
      </w:r>
    </w:p>
    <w:p>
      <w:pPr>
        <w:spacing w:line="336" w:lineRule="auto"/>
        <w:ind w:firstLine="422" w:firstLineChars="200"/>
        <w:rPr>
          <w:rFonts w:ascii="宋体" w:hAnsi="宋体"/>
          <w:b/>
          <w:szCs w:val="21"/>
        </w:rPr>
      </w:pPr>
      <w:r>
        <w:rPr>
          <w:rFonts w:hint="eastAsia" w:hAnsi="宋体"/>
          <w:b/>
          <w:szCs w:val="21"/>
        </w:rPr>
        <w:t>7</w:t>
      </w:r>
      <w:r>
        <w:rPr>
          <w:rFonts w:hint="eastAsia" w:ascii="宋体" w:hAnsi="宋体"/>
          <w:b/>
          <w:szCs w:val="21"/>
        </w:rPr>
        <w:t>.</w:t>
      </w:r>
      <w:r>
        <w:rPr>
          <w:rFonts w:hint="eastAsia" w:hAnsi="宋体"/>
          <w:b/>
          <w:szCs w:val="21"/>
        </w:rPr>
        <w:t>9</w:t>
      </w:r>
      <w:r>
        <w:rPr>
          <w:rFonts w:hint="eastAsia" w:ascii="宋体" w:hAnsi="宋体"/>
          <w:b/>
          <w:szCs w:val="21"/>
        </w:rPr>
        <w:t>、洗手区</w:t>
      </w:r>
    </w:p>
    <w:p>
      <w:pPr>
        <w:spacing w:line="336" w:lineRule="auto"/>
        <w:ind w:firstLine="420" w:firstLineChars="200"/>
        <w:rPr>
          <w:rFonts w:ascii="宋体" w:hAnsi="宋体"/>
          <w:szCs w:val="21"/>
        </w:rPr>
      </w:pPr>
      <w:r>
        <w:rPr>
          <w:rFonts w:hint="eastAsia" w:hAnsi="宋体"/>
          <w:szCs w:val="21"/>
        </w:rPr>
        <w:t>7</w:t>
      </w:r>
      <w:r>
        <w:rPr>
          <w:rFonts w:hint="eastAsia" w:ascii="宋体" w:hAnsi="宋体"/>
          <w:szCs w:val="21"/>
        </w:rPr>
        <w:t>.</w:t>
      </w:r>
      <w:r>
        <w:rPr>
          <w:rFonts w:hint="eastAsia" w:hAnsi="宋体"/>
          <w:szCs w:val="21"/>
        </w:rPr>
        <w:t>9</w:t>
      </w:r>
      <w:r>
        <w:rPr>
          <w:rFonts w:hint="eastAsia" w:ascii="宋体" w:hAnsi="宋体"/>
          <w:szCs w:val="21"/>
        </w:rPr>
        <w:t>.1</w:t>
      </w:r>
      <w:r>
        <w:rPr>
          <w:rFonts w:hint="eastAsia" w:ascii="宋体" w:hAnsi="宋体"/>
          <w:bCs/>
          <w:sz w:val="24"/>
        </w:rPr>
        <w:t>洗手台应设置儿童低位洗手台，应采用人造石、石英石类台面材料，宜打理、快干及自洁性强</w:t>
      </w:r>
      <w:r>
        <w:rPr>
          <w:rFonts w:hint="eastAsia" w:ascii="宋体" w:hAnsi="宋体"/>
          <w:szCs w:val="21"/>
        </w:rPr>
        <w:t>；</w:t>
      </w:r>
    </w:p>
    <w:p>
      <w:pPr>
        <w:spacing w:line="336" w:lineRule="auto"/>
        <w:ind w:firstLine="420" w:firstLineChars="200"/>
        <w:rPr>
          <w:rFonts w:ascii="宋体" w:hAnsi="宋体"/>
          <w:szCs w:val="21"/>
        </w:rPr>
      </w:pPr>
      <w:r>
        <w:rPr>
          <w:rFonts w:hint="eastAsia" w:hAnsi="宋体"/>
          <w:szCs w:val="21"/>
        </w:rPr>
        <w:t>7</w:t>
      </w:r>
      <w:r>
        <w:rPr>
          <w:rFonts w:hint="eastAsia" w:ascii="宋体" w:hAnsi="宋体"/>
          <w:szCs w:val="21"/>
        </w:rPr>
        <w:t>.</w:t>
      </w:r>
      <w:r>
        <w:rPr>
          <w:rFonts w:hint="eastAsia" w:hAnsi="宋体"/>
          <w:szCs w:val="21"/>
        </w:rPr>
        <w:t>10</w:t>
      </w:r>
      <w:r>
        <w:rPr>
          <w:rFonts w:hint="eastAsia" w:ascii="宋体" w:hAnsi="宋体"/>
          <w:szCs w:val="21"/>
        </w:rPr>
        <w:t>.</w:t>
      </w:r>
      <w:r>
        <w:rPr>
          <w:rFonts w:hint="eastAsia" w:hAnsi="宋体"/>
          <w:szCs w:val="21"/>
        </w:rPr>
        <w:t>2</w:t>
      </w:r>
      <w:r>
        <w:rPr>
          <w:rFonts w:hint="eastAsia" w:ascii="宋体" w:hAnsi="宋体"/>
          <w:bCs/>
          <w:sz w:val="24"/>
        </w:rPr>
        <w:t>洗手台应配置成品防雾镜、烘手器、厕纸机、洗手液器、制热装置、广告宣传机。</w:t>
      </w:r>
    </w:p>
    <w:p>
      <w:pPr>
        <w:spacing w:line="336" w:lineRule="auto"/>
        <w:ind w:firstLine="422" w:firstLineChars="200"/>
        <w:rPr>
          <w:rFonts w:ascii="宋体" w:hAnsi="宋体"/>
          <w:b/>
          <w:szCs w:val="21"/>
        </w:rPr>
      </w:pPr>
      <w:r>
        <w:rPr>
          <w:rFonts w:hint="eastAsia" w:ascii="宋体" w:hAnsi="宋体"/>
          <w:b/>
          <w:szCs w:val="21"/>
        </w:rPr>
        <w:t>7.9、第三卫生间</w:t>
      </w:r>
    </w:p>
    <w:p>
      <w:pPr>
        <w:spacing w:line="336" w:lineRule="auto"/>
        <w:ind w:firstLine="480" w:firstLineChars="200"/>
        <w:rPr>
          <w:rFonts w:ascii="宋体" w:hAnsi="宋体"/>
          <w:szCs w:val="21"/>
        </w:rPr>
      </w:pPr>
      <w:r>
        <w:rPr>
          <w:rFonts w:hint="eastAsia" w:ascii="宋体" w:hAnsi="宋体"/>
          <w:bCs/>
          <w:sz w:val="24"/>
        </w:rPr>
        <w:t>应设置SOS紧急呼叫按钮、无障碍洁具套件、婴儿护理台、儿童马桶及小便器。</w:t>
      </w:r>
    </w:p>
    <w:p>
      <w:pPr>
        <w:spacing w:line="336" w:lineRule="auto"/>
        <w:ind w:firstLine="422" w:firstLineChars="200"/>
        <w:rPr>
          <w:rFonts w:ascii="宋体" w:hAnsi="宋体"/>
          <w:b/>
          <w:szCs w:val="21"/>
        </w:rPr>
      </w:pPr>
      <w:r>
        <w:rPr>
          <w:rFonts w:hint="eastAsia" w:ascii="宋体" w:hAnsi="宋体"/>
          <w:b/>
          <w:szCs w:val="21"/>
        </w:rPr>
        <w:t>7.10、标识、标牌</w:t>
      </w:r>
    </w:p>
    <w:p>
      <w:pPr>
        <w:spacing w:line="336" w:lineRule="auto"/>
        <w:ind w:firstLine="480" w:firstLineChars="200"/>
        <w:rPr>
          <w:rFonts w:ascii="宋体" w:hAnsi="宋体"/>
          <w:bCs/>
          <w:sz w:val="24"/>
        </w:rPr>
      </w:pPr>
      <w:r>
        <w:rPr>
          <w:rFonts w:hint="eastAsia" w:ascii="宋体" w:hAnsi="宋体"/>
          <w:bCs/>
          <w:sz w:val="24"/>
        </w:rPr>
        <w:t>7.10.1标识：所有标识采用中英文亚克力不锈钢标牌制作；</w:t>
      </w:r>
    </w:p>
    <w:p>
      <w:pPr>
        <w:spacing w:line="336" w:lineRule="auto"/>
        <w:ind w:firstLine="480" w:firstLineChars="200"/>
        <w:rPr>
          <w:rFonts w:ascii="宋体" w:hAnsi="宋体"/>
          <w:sz w:val="24"/>
        </w:rPr>
      </w:pPr>
      <w:r>
        <w:rPr>
          <w:rFonts w:hint="eastAsia" w:ascii="宋体" w:hAnsi="宋体"/>
          <w:bCs/>
          <w:sz w:val="24"/>
        </w:rPr>
        <w:t>7.10.2</w:t>
      </w:r>
      <w:r>
        <w:rPr>
          <w:rFonts w:hint="eastAsia" w:ascii="宋体" w:hAnsi="宋体"/>
          <w:sz w:val="24"/>
        </w:rPr>
        <w:t>发光字，符合 《城市公共厕所设计标准》CJJ 14-2016规范。</w:t>
      </w:r>
    </w:p>
    <w:p>
      <w:pPr>
        <w:spacing w:line="336" w:lineRule="auto"/>
        <w:ind w:firstLine="422" w:firstLineChars="200"/>
        <w:rPr>
          <w:rFonts w:ascii="宋体" w:hAnsi="宋体"/>
          <w:b/>
          <w:szCs w:val="21"/>
        </w:rPr>
      </w:pPr>
      <w:r>
        <w:rPr>
          <w:rFonts w:hint="eastAsia" w:ascii="宋体" w:hAnsi="宋体"/>
          <w:b/>
          <w:szCs w:val="21"/>
        </w:rPr>
        <w:t>7.11、水、电：</w:t>
      </w:r>
    </w:p>
    <w:p>
      <w:pPr>
        <w:spacing w:line="336" w:lineRule="auto"/>
        <w:ind w:firstLine="420" w:firstLineChars="200"/>
        <w:rPr>
          <w:rFonts w:ascii="宋体" w:hAnsi="宋体"/>
          <w:szCs w:val="21"/>
        </w:rPr>
      </w:pPr>
      <w:r>
        <w:rPr>
          <w:rFonts w:hint="eastAsia" w:hAnsi="宋体"/>
          <w:szCs w:val="21"/>
        </w:rPr>
        <w:t>7.11.1</w:t>
      </w:r>
      <w:r>
        <w:rPr>
          <w:rFonts w:hint="eastAsia" w:ascii="宋体" w:hAnsi="宋体"/>
          <w:szCs w:val="21"/>
        </w:rPr>
        <w:t>，</w:t>
      </w:r>
      <w:r>
        <w:rPr>
          <w:rFonts w:hint="eastAsia" w:ascii="宋体" w:hAnsi="宋体"/>
          <w:bCs/>
          <w:kern w:val="0"/>
          <w:sz w:val="24"/>
          <w:szCs w:val="21"/>
        </w:rPr>
        <w:t>电气、给水、排污、通讯、临时水电</w:t>
      </w:r>
      <w:r>
        <w:rPr>
          <w:rFonts w:hint="eastAsia" w:ascii="宋体" w:hAnsi="宋体"/>
          <w:szCs w:val="21"/>
        </w:rPr>
        <w:t>总接入点由采购人提供</w:t>
      </w:r>
      <w:r>
        <w:rPr>
          <w:rFonts w:hint="eastAsia" w:ascii="宋体" w:hAnsi="宋体"/>
          <w:bCs/>
          <w:kern w:val="0"/>
          <w:sz w:val="24"/>
          <w:szCs w:val="21"/>
        </w:rPr>
        <w:t>接至房屋轮廓线1米内指定位置；</w:t>
      </w:r>
    </w:p>
    <w:p>
      <w:pPr>
        <w:spacing w:line="336" w:lineRule="auto"/>
        <w:ind w:firstLine="420" w:firstLineChars="200"/>
        <w:rPr>
          <w:rFonts w:ascii="宋体" w:hAnsi="宋体"/>
          <w:szCs w:val="21"/>
        </w:rPr>
      </w:pPr>
      <w:r>
        <w:rPr>
          <w:rFonts w:hint="eastAsia" w:hAnsi="宋体"/>
          <w:szCs w:val="21"/>
        </w:rPr>
        <w:t>7.11.2</w:t>
      </w:r>
      <w:r>
        <w:rPr>
          <w:rFonts w:hint="eastAsia" w:ascii="宋体" w:hAnsi="宋体"/>
          <w:szCs w:val="21"/>
        </w:rPr>
        <w:t>污水排水管最终接入市政管网由中标单位完成，</w:t>
      </w:r>
    </w:p>
    <w:p>
      <w:pPr>
        <w:spacing w:line="336" w:lineRule="auto"/>
        <w:ind w:firstLine="420" w:firstLineChars="200"/>
        <w:rPr>
          <w:rFonts w:ascii="宋体" w:hAnsi="宋体" w:cs="仿宋_GB2312"/>
          <w:b/>
          <w:szCs w:val="21"/>
        </w:rPr>
      </w:pPr>
      <w:r>
        <w:rPr>
          <w:rFonts w:hint="eastAsia" w:hAnsi="宋体"/>
          <w:szCs w:val="21"/>
        </w:rPr>
        <w:t>7.11.3</w:t>
      </w:r>
      <w:r>
        <w:rPr>
          <w:rFonts w:hint="eastAsia" w:ascii="宋体" w:hAnsi="宋体"/>
          <w:szCs w:val="21"/>
        </w:rPr>
        <w:t>施工过程中用水用电费用及所有临时线路的铺设和维护费用由中标单位自行负责。</w:t>
      </w:r>
      <w:bookmarkStart w:id="36" w:name="_Toc28406"/>
      <w:r>
        <w:rPr>
          <w:rFonts w:hint="eastAsia" w:ascii="宋体" w:hAnsi="宋体" w:cs="仿宋_GB2312"/>
          <w:szCs w:val="21"/>
        </w:rPr>
        <w:t xml:space="preserve">   </w:t>
      </w:r>
      <w:r>
        <w:rPr>
          <w:rFonts w:hint="eastAsia" w:ascii="宋体" w:hAnsi="宋体" w:cs="仿宋_GB2312"/>
          <w:b/>
          <w:szCs w:val="21"/>
        </w:rPr>
        <w:t xml:space="preserve"> </w:t>
      </w:r>
      <w:bookmarkStart w:id="37" w:name="_Toc8563"/>
      <w:bookmarkStart w:id="38" w:name="_Toc3260"/>
    </w:p>
    <w:p>
      <w:pPr>
        <w:spacing w:line="336" w:lineRule="auto"/>
        <w:rPr>
          <w:rFonts w:ascii="宋体" w:hAnsi="宋体"/>
          <w:b/>
          <w:sz w:val="24"/>
          <w:szCs w:val="21"/>
        </w:rPr>
      </w:pPr>
      <w:r>
        <w:rPr>
          <w:rFonts w:hint="eastAsia" w:ascii="宋体" w:hAnsi="宋体"/>
          <w:b/>
          <w:sz w:val="24"/>
          <w:szCs w:val="21"/>
        </w:rPr>
        <w:t>七、安全责任</w:t>
      </w:r>
      <w:bookmarkEnd w:id="37"/>
      <w:bookmarkEnd w:id="38"/>
    </w:p>
    <w:p>
      <w:pPr>
        <w:spacing w:line="336" w:lineRule="auto"/>
        <w:ind w:firstLine="420" w:firstLineChars="200"/>
        <w:rPr>
          <w:rFonts w:ascii="宋体" w:hAnsi="宋体" w:cs="宋体"/>
          <w:szCs w:val="21"/>
        </w:rPr>
      </w:pPr>
      <w:r>
        <w:rPr>
          <w:rFonts w:hint="eastAsia" w:ascii="宋体" w:hAnsi="宋体" w:cs="宋体"/>
          <w:szCs w:val="21"/>
        </w:rPr>
        <w:t>1、中标单位必须按规定办理有关保险。中标单位应自行承担合同规律性过程中的安全生产责任，如有任何人身意外伤害责任，均与采购人无关。</w:t>
      </w:r>
    </w:p>
    <w:p>
      <w:pPr>
        <w:spacing w:line="336" w:lineRule="auto"/>
        <w:ind w:firstLine="420" w:firstLineChars="200"/>
        <w:rPr>
          <w:rFonts w:ascii="宋体" w:hAnsi="宋体" w:cs="宋体"/>
          <w:szCs w:val="21"/>
        </w:rPr>
      </w:pPr>
      <w:r>
        <w:rPr>
          <w:rFonts w:hint="eastAsia" w:ascii="宋体" w:hAnsi="宋体" w:cs="宋体"/>
          <w:szCs w:val="21"/>
        </w:rPr>
        <w:t>2、供应商应制定安全生产计划、制定安全措施、施工注意安全防护、落实安全生产制度、设置专门的安全员、做好安全生产台账记录等。</w:t>
      </w:r>
    </w:p>
    <w:p>
      <w:pPr>
        <w:spacing w:line="336" w:lineRule="auto"/>
        <w:ind w:firstLine="420" w:firstLineChars="200"/>
        <w:rPr>
          <w:rFonts w:ascii="宋体" w:hAnsi="宋体" w:cs="宋体"/>
          <w:szCs w:val="21"/>
        </w:rPr>
      </w:pPr>
      <w:r>
        <w:rPr>
          <w:rFonts w:hint="eastAsia" w:ascii="宋体" w:hAnsi="宋体" w:cs="宋体"/>
          <w:szCs w:val="21"/>
        </w:rPr>
        <w:t>3、因中标单位设计原因造成的安全责任事故责任由中标单位自行承担，采购人对此不承担任何责任。本项目施工安装过程所有安全责任均由中标单位负责，采购人对此不承担任何责任。</w:t>
      </w:r>
    </w:p>
    <w:p>
      <w:pPr>
        <w:spacing w:line="336" w:lineRule="auto"/>
        <w:ind w:firstLine="420" w:firstLineChars="200"/>
        <w:rPr>
          <w:rFonts w:ascii="宋体" w:hAnsi="宋体" w:cs="宋体"/>
          <w:szCs w:val="21"/>
        </w:rPr>
      </w:pPr>
      <w:r>
        <w:rPr>
          <w:rFonts w:hint="eastAsia" w:ascii="宋体" w:hAnsi="宋体" w:cs="宋体"/>
          <w:szCs w:val="21"/>
        </w:rPr>
        <w:t>4、在施工安装期间，中标单位负责所需的起重、运输、施工机械等辅助设施设备，所有设施设备都须符合安全作业要求。</w:t>
      </w:r>
    </w:p>
    <w:p>
      <w:pPr>
        <w:spacing w:line="336" w:lineRule="auto"/>
        <w:rPr>
          <w:rFonts w:ascii="宋体" w:hAnsi="宋体"/>
          <w:b/>
          <w:color w:val="000000"/>
          <w:szCs w:val="21"/>
        </w:rPr>
      </w:pPr>
      <w:r>
        <w:rPr>
          <w:rFonts w:hint="eastAsia" w:ascii="宋体" w:hAnsi="宋体"/>
          <w:b/>
          <w:szCs w:val="21"/>
        </w:rPr>
        <w:t>八、</w:t>
      </w:r>
      <w:r>
        <w:rPr>
          <w:rFonts w:hint="eastAsia" w:ascii="宋体" w:hAnsi="宋体"/>
          <w:b/>
          <w:color w:val="000000"/>
          <w:szCs w:val="21"/>
        </w:rPr>
        <w:t>工程质量要求：</w:t>
      </w:r>
    </w:p>
    <w:p>
      <w:pPr>
        <w:spacing w:line="336" w:lineRule="auto"/>
        <w:rPr>
          <w:rFonts w:ascii="宋体" w:hAnsi="宋体"/>
          <w:b/>
          <w:bCs/>
          <w:szCs w:val="21"/>
        </w:rPr>
      </w:pPr>
      <w:r>
        <w:rPr>
          <w:rFonts w:hint="eastAsia" w:ascii="宋体" w:hAnsi="宋体"/>
          <w:color w:val="000000"/>
          <w:szCs w:val="21"/>
        </w:rPr>
        <w:t xml:space="preserve">    质量要求：合格，经有关部门验收后，如</w:t>
      </w:r>
      <w:r>
        <w:rPr>
          <w:rFonts w:hint="eastAsia" w:hAnsi="宋体"/>
          <w:color w:val="000000"/>
          <w:szCs w:val="21"/>
        </w:rPr>
        <w:t>产品安装</w:t>
      </w:r>
      <w:r>
        <w:rPr>
          <w:rFonts w:hint="eastAsia" w:ascii="宋体" w:hAnsi="宋体"/>
          <w:color w:val="000000"/>
          <w:szCs w:val="21"/>
        </w:rPr>
        <w:t>质量不合格，必须返工至合格，一切返工费用由</w:t>
      </w:r>
      <w:r>
        <w:rPr>
          <w:rFonts w:hint="eastAsia" w:ascii="宋体" w:hAnsi="宋体" w:cs="宋体"/>
          <w:szCs w:val="21"/>
        </w:rPr>
        <w:t>中标单位</w:t>
      </w:r>
      <w:r>
        <w:rPr>
          <w:rFonts w:hint="eastAsia" w:ascii="宋体" w:hAnsi="宋体"/>
          <w:color w:val="000000"/>
          <w:szCs w:val="21"/>
        </w:rPr>
        <w:t>承担。并做到安全生产，文明</w:t>
      </w:r>
      <w:r>
        <w:rPr>
          <w:rFonts w:hint="eastAsia" w:hAnsi="宋体"/>
          <w:color w:val="000000"/>
          <w:szCs w:val="21"/>
        </w:rPr>
        <w:t>安装</w:t>
      </w:r>
      <w:r>
        <w:rPr>
          <w:rFonts w:hint="eastAsia" w:ascii="宋体" w:hAnsi="宋体"/>
          <w:color w:val="000000"/>
          <w:szCs w:val="21"/>
        </w:rPr>
        <w:t>,保证场地整洁有序，服从采购管理人员和监理人员的监督。</w:t>
      </w:r>
    </w:p>
    <w:bookmarkEnd w:id="33"/>
    <w:bookmarkEnd w:id="34"/>
    <w:bookmarkEnd w:id="36"/>
    <w:p>
      <w:pPr>
        <w:spacing w:line="336" w:lineRule="auto"/>
        <w:rPr>
          <w:rFonts w:ascii="宋体" w:hAnsi="宋体"/>
          <w:b/>
          <w:szCs w:val="21"/>
        </w:rPr>
      </w:pPr>
      <w:bookmarkStart w:id="39" w:name="_Toc1508"/>
      <w:bookmarkStart w:id="40" w:name="_Toc449014494"/>
      <w:bookmarkStart w:id="41" w:name="_Toc13413"/>
      <w:r>
        <w:rPr>
          <w:rFonts w:hint="eastAsia" w:ascii="宋体" w:hAnsi="宋体"/>
          <w:b/>
          <w:szCs w:val="21"/>
        </w:rPr>
        <w:t>九、验收合格的条件</w:t>
      </w:r>
      <w:bookmarkEnd w:id="39"/>
      <w:bookmarkEnd w:id="40"/>
      <w:bookmarkEnd w:id="41"/>
    </w:p>
    <w:p>
      <w:pPr>
        <w:spacing w:line="336" w:lineRule="auto"/>
        <w:ind w:firstLine="420" w:firstLineChars="200"/>
        <w:rPr>
          <w:rFonts w:ascii="宋体" w:hAnsi="宋体"/>
          <w:szCs w:val="21"/>
        </w:rPr>
      </w:pPr>
      <w:r>
        <w:rPr>
          <w:rFonts w:hint="eastAsia" w:ascii="宋体" w:hAnsi="宋体"/>
          <w:szCs w:val="21"/>
        </w:rPr>
        <w:t>1.所供的产品符合产品标准和本招标文件及合同文件的要求。</w:t>
      </w:r>
    </w:p>
    <w:p>
      <w:pPr>
        <w:spacing w:line="336" w:lineRule="auto"/>
        <w:ind w:firstLine="420" w:firstLineChars="200"/>
        <w:rPr>
          <w:rFonts w:ascii="宋体" w:hAnsi="宋体"/>
          <w:szCs w:val="21"/>
        </w:rPr>
      </w:pPr>
      <w:r>
        <w:rPr>
          <w:rFonts w:hint="eastAsia" w:ascii="宋体" w:hAnsi="宋体"/>
          <w:szCs w:val="21"/>
        </w:rPr>
        <w:t>2.在进行测试和验收过程中发现的问题已被解决并得到采购人的认可。</w:t>
      </w:r>
    </w:p>
    <w:p>
      <w:pPr>
        <w:spacing w:line="336" w:lineRule="auto"/>
        <w:ind w:firstLine="420" w:firstLineChars="200"/>
        <w:rPr>
          <w:rFonts w:ascii="宋体" w:hAnsi="宋体"/>
          <w:szCs w:val="21"/>
        </w:rPr>
      </w:pPr>
      <w:r>
        <w:rPr>
          <w:rFonts w:hint="eastAsia" w:ascii="宋体" w:hAnsi="宋体"/>
          <w:szCs w:val="21"/>
        </w:rPr>
        <w:t>3.所有合同中规定的货物和材料均已提交。</w:t>
      </w:r>
    </w:p>
    <w:p>
      <w:pPr>
        <w:spacing w:line="336" w:lineRule="auto"/>
        <w:ind w:firstLine="420" w:firstLineChars="200"/>
        <w:rPr>
          <w:rFonts w:ascii="宋体" w:hAnsi="宋体"/>
          <w:szCs w:val="21"/>
        </w:rPr>
      </w:pPr>
      <w:r>
        <w:rPr>
          <w:rFonts w:hint="eastAsia" w:hAnsi="宋体"/>
          <w:szCs w:val="21"/>
        </w:rPr>
        <w:t>4</w:t>
      </w:r>
      <w:r>
        <w:rPr>
          <w:rFonts w:hint="eastAsia" w:ascii="宋体" w:hAnsi="宋体"/>
          <w:szCs w:val="21"/>
        </w:rPr>
        <w:t>.所有相关的技术文件及资料均已提交并得到接受。</w:t>
      </w:r>
      <w:bookmarkStart w:id="42" w:name="_Toc449014496"/>
      <w:bookmarkStart w:id="43" w:name="_Toc7115"/>
    </w:p>
    <w:p>
      <w:pPr>
        <w:spacing w:line="336" w:lineRule="auto"/>
        <w:rPr>
          <w:rFonts w:ascii="宋体" w:hAnsi="宋体"/>
          <w:b/>
          <w:szCs w:val="21"/>
        </w:rPr>
      </w:pPr>
      <w:r>
        <w:rPr>
          <w:rFonts w:hint="eastAsia" w:ascii="宋体" w:hAnsi="宋体"/>
          <w:b/>
          <w:szCs w:val="21"/>
        </w:rPr>
        <w:t>十、售后服务</w:t>
      </w:r>
      <w:bookmarkEnd w:id="42"/>
      <w:bookmarkEnd w:id="43"/>
    </w:p>
    <w:p>
      <w:pPr>
        <w:spacing w:line="336" w:lineRule="auto"/>
        <w:ind w:firstLine="420" w:firstLineChars="200"/>
        <w:rPr>
          <w:rFonts w:ascii="宋体" w:hAnsi="宋体"/>
          <w:szCs w:val="21"/>
        </w:rPr>
      </w:pPr>
      <w:r>
        <w:rPr>
          <w:rFonts w:hint="eastAsia" w:ascii="宋体" w:hAnsi="宋体"/>
          <w:szCs w:val="21"/>
        </w:rPr>
        <w:t>1.中标人必须对合同中规定的货物和安装提供相应的2年质保期（货物另有超过2年质保规定的按原规定执行）；时间从货物调试完成验收合格之日起计算。质保期内中标单位须免费负责修理和替换任何由于产品自身的质量问题造成的损坏，并负责有关费用。中标单位不能修理和不能调换，按不能交货处理。如因采购人使用不当造成故障，中标单位负责包修、包换或者包退，费用双方另行协商。</w:t>
      </w:r>
    </w:p>
    <w:p>
      <w:pPr>
        <w:spacing w:line="336" w:lineRule="auto"/>
        <w:ind w:firstLine="420" w:firstLineChars="200"/>
        <w:rPr>
          <w:rFonts w:ascii="宋体" w:hAnsi="宋体"/>
          <w:szCs w:val="21"/>
        </w:rPr>
      </w:pPr>
      <w:r>
        <w:rPr>
          <w:rFonts w:hint="eastAsia" w:ascii="宋体" w:hAnsi="宋体"/>
          <w:szCs w:val="21"/>
        </w:rPr>
        <w:t>2.中标单位在接到维修电话后4小时内作出响应，2个工作日内到达用户现场维修，一般故障应在24小时内修复，重大故障应在72小时内修复。</w:t>
      </w:r>
      <w:bookmarkStart w:id="44" w:name="_Toc26229"/>
      <w:bookmarkStart w:id="45" w:name="_Toc19137"/>
    </w:p>
    <w:bookmarkEnd w:id="44"/>
    <w:bookmarkEnd w:id="45"/>
    <w:p>
      <w:pPr>
        <w:spacing w:line="336" w:lineRule="auto"/>
        <w:rPr>
          <w:rFonts w:ascii="宋体" w:hAnsi="宋体"/>
          <w:b/>
          <w:szCs w:val="21"/>
        </w:rPr>
      </w:pPr>
      <w:bookmarkStart w:id="46" w:name="_Toc379811068"/>
      <w:bookmarkStart w:id="47" w:name="_Toc365897807"/>
      <w:bookmarkStart w:id="48" w:name="_Toc22293"/>
      <w:r>
        <w:rPr>
          <w:rFonts w:hint="eastAsia" w:ascii="宋体" w:hAnsi="宋体"/>
          <w:b/>
          <w:szCs w:val="21"/>
        </w:rPr>
        <w:t>十一、履约验收</w:t>
      </w:r>
      <w:bookmarkEnd w:id="46"/>
      <w:bookmarkEnd w:id="47"/>
      <w:bookmarkEnd w:id="48"/>
    </w:p>
    <w:p>
      <w:pPr>
        <w:spacing w:line="336" w:lineRule="auto"/>
        <w:ind w:firstLine="420" w:firstLineChars="200"/>
        <w:rPr>
          <w:rFonts w:ascii="宋体" w:hAnsi="宋体"/>
          <w:szCs w:val="21"/>
        </w:rPr>
      </w:pPr>
      <w:bookmarkStart w:id="49" w:name="_Toc365897808"/>
      <w:bookmarkStart w:id="50" w:name="_Toc238878121"/>
      <w:bookmarkStart w:id="51" w:name="_Toc274303249"/>
      <w:bookmarkStart w:id="52" w:name="_Toc379811069"/>
      <w:r>
        <w:rPr>
          <w:rFonts w:hint="eastAsia" w:ascii="宋体" w:hAnsi="宋体"/>
          <w:szCs w:val="21"/>
        </w:rPr>
        <w:t>采购人应按《金华市政府采购合同履约与验收管理办法》及《金华市关于规范政府采购管理的若干意见》等有关规定，对政府采购项目履约情况予以监督并及时、认真组织验收。</w:t>
      </w:r>
      <w:bookmarkStart w:id="53" w:name="_Toc22986"/>
    </w:p>
    <w:p>
      <w:pPr>
        <w:spacing w:line="336" w:lineRule="auto"/>
        <w:ind w:firstLine="420" w:firstLineChars="200"/>
        <w:rPr>
          <w:rFonts w:ascii="宋体" w:hAnsi="宋体"/>
          <w:szCs w:val="21"/>
        </w:rPr>
      </w:pPr>
      <w:r>
        <w:rPr>
          <w:rFonts w:hint="eastAsia" w:ascii="宋体" w:hAnsi="宋体"/>
          <w:szCs w:val="21"/>
        </w:rPr>
        <w:t>1、采购人在收到供货商提交货物2日内依据招标文件上的技术规格要求和国家有关质量标准进行现场初步验收，产品符合招标文件技术要求的，给予签收，初步验收不合格的不予签收。</w:t>
      </w:r>
    </w:p>
    <w:p>
      <w:pPr>
        <w:spacing w:line="336" w:lineRule="auto"/>
        <w:ind w:firstLine="420" w:firstLineChars="200"/>
        <w:rPr>
          <w:rFonts w:ascii="宋体" w:hAnsi="宋体"/>
          <w:szCs w:val="21"/>
        </w:rPr>
      </w:pPr>
      <w:r>
        <w:rPr>
          <w:rFonts w:hint="eastAsia" w:ascii="宋体" w:hAnsi="宋体"/>
          <w:szCs w:val="21"/>
        </w:rPr>
        <w:t>2、供货商交货前应对产品作出全面检查和对验收文件（产品效果图、技术条款偏离表、产品技术参数配置表）进行整理，作为采购人收货验收和使用的技术条件依据，检验的结果应随货物交采购人。</w:t>
      </w:r>
    </w:p>
    <w:p>
      <w:pPr>
        <w:spacing w:line="336" w:lineRule="auto"/>
        <w:ind w:firstLine="420" w:firstLineChars="200"/>
        <w:rPr>
          <w:rFonts w:ascii="宋体" w:hAnsi="宋体"/>
          <w:szCs w:val="21"/>
        </w:rPr>
      </w:pPr>
      <w:r>
        <w:rPr>
          <w:rFonts w:hint="eastAsia" w:ascii="宋体" w:hAnsi="宋体"/>
          <w:szCs w:val="21"/>
        </w:rPr>
        <w:t>3、采购人对供货商提供的货物在使用前进行调试时，供货商需负责安装并培训采购人的使用操作人员，并协助采购人一起调试，直到符合技术要求，采购人才做最终验收。</w:t>
      </w:r>
    </w:p>
    <w:p>
      <w:pPr>
        <w:spacing w:line="336" w:lineRule="auto"/>
        <w:rPr>
          <w:rFonts w:ascii="宋体" w:hAnsi="宋体"/>
          <w:b/>
          <w:szCs w:val="21"/>
        </w:rPr>
      </w:pPr>
      <w:r>
        <w:rPr>
          <w:rFonts w:hint="eastAsia" w:ascii="宋体" w:hAnsi="宋体"/>
          <w:b/>
          <w:szCs w:val="21"/>
        </w:rPr>
        <w:t>十二、商务要求</w:t>
      </w:r>
      <w:bookmarkEnd w:id="49"/>
      <w:bookmarkEnd w:id="50"/>
      <w:bookmarkEnd w:id="51"/>
      <w:bookmarkEnd w:id="52"/>
      <w:bookmarkEnd w:id="53"/>
    </w:p>
    <w:tbl>
      <w:tblPr>
        <w:tblStyle w:val="37"/>
        <w:tblW w:w="946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6"/>
        <w:gridCol w:w="79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0" w:hRule="atLeast"/>
        </w:trPr>
        <w:tc>
          <w:tcPr>
            <w:tcW w:w="1526" w:type="dxa"/>
            <w:vAlign w:val="center"/>
          </w:tcPr>
          <w:p>
            <w:pPr>
              <w:pStyle w:val="13"/>
              <w:spacing w:line="336" w:lineRule="auto"/>
              <w:ind w:firstLine="0"/>
              <w:rPr>
                <w:rFonts w:cs="宋体"/>
                <w:szCs w:val="21"/>
              </w:rPr>
            </w:pPr>
            <w:r>
              <w:rPr>
                <w:rFonts w:hint="eastAsia" w:cs="宋体"/>
                <w:szCs w:val="21"/>
              </w:rPr>
              <w:t>▲质保期</w:t>
            </w:r>
          </w:p>
        </w:tc>
        <w:tc>
          <w:tcPr>
            <w:tcW w:w="7942" w:type="dxa"/>
            <w:vAlign w:val="center"/>
          </w:tcPr>
          <w:p>
            <w:pPr>
              <w:pStyle w:val="13"/>
              <w:ind w:firstLine="0"/>
              <w:rPr>
                <w:szCs w:val="21"/>
              </w:rPr>
            </w:pPr>
            <w:r>
              <w:rPr>
                <w:rFonts w:hint="eastAsia" w:cs="宋体"/>
                <w:szCs w:val="21"/>
              </w:rPr>
              <w:t>质保期2年，自竣工验收合格之日起计算。</w:t>
            </w:r>
            <w:r>
              <w:rPr>
                <w:rFonts w:hint="eastAsia"/>
                <w:szCs w:val="21"/>
              </w:rPr>
              <w:t>（货物另有超过2年质保规定的按原规定执行）；时间从货物调试完成验收合格之日起计算。质保期间需无偿提供技术支持，二年质保期满后维修只收材料成本费。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3" w:hRule="atLeast"/>
        </w:trPr>
        <w:tc>
          <w:tcPr>
            <w:tcW w:w="1526" w:type="dxa"/>
            <w:vAlign w:val="center"/>
          </w:tcPr>
          <w:p>
            <w:pPr>
              <w:pStyle w:val="13"/>
              <w:spacing w:line="336" w:lineRule="auto"/>
              <w:ind w:firstLine="0"/>
              <w:rPr>
                <w:rFonts w:cs="宋体"/>
                <w:szCs w:val="21"/>
              </w:rPr>
            </w:pPr>
            <w:r>
              <w:rPr>
                <w:rFonts w:hint="eastAsia" w:cs="宋体"/>
                <w:szCs w:val="21"/>
              </w:rPr>
              <w:t>▲工期及交货地点</w:t>
            </w:r>
          </w:p>
        </w:tc>
        <w:tc>
          <w:tcPr>
            <w:tcW w:w="7942" w:type="dxa"/>
            <w:vAlign w:val="center"/>
          </w:tcPr>
          <w:p>
            <w:pPr>
              <w:pStyle w:val="18"/>
              <w:rPr>
                <w:b/>
                <w:szCs w:val="21"/>
              </w:rPr>
            </w:pPr>
            <w:r>
              <w:rPr>
                <w:rFonts w:hint="eastAsia"/>
                <w:b/>
                <w:szCs w:val="21"/>
              </w:rPr>
              <w:t>1、设计周期：在响应文件中优化方案文件，如响应文件中设计深度未达到按图安装标准，责任由中标单位自负。</w:t>
            </w:r>
          </w:p>
          <w:p>
            <w:pPr>
              <w:pStyle w:val="18"/>
              <w:rPr>
                <w:b/>
                <w:szCs w:val="21"/>
              </w:rPr>
            </w:pPr>
            <w:r>
              <w:rPr>
                <w:rFonts w:hint="eastAsia"/>
                <w:b/>
                <w:szCs w:val="21"/>
              </w:rPr>
              <w:t>2、安装工期：</w:t>
            </w:r>
            <w:r>
              <w:rPr>
                <w:rFonts w:hint="eastAsia" w:cs="宋体"/>
                <w:b/>
                <w:szCs w:val="21"/>
              </w:rPr>
              <w:t>合同签订后60天内</w:t>
            </w:r>
            <w:r>
              <w:rPr>
                <w:rFonts w:hint="eastAsia"/>
                <w:b/>
                <w:szCs w:val="21"/>
              </w:rPr>
              <w:t>完成所有仁川镇共富风貌驿项目建设并通过验收合格。</w:t>
            </w:r>
          </w:p>
          <w:p>
            <w:pPr>
              <w:pStyle w:val="18"/>
              <w:rPr>
                <w:rFonts w:cs="宋体"/>
                <w:szCs w:val="21"/>
              </w:rPr>
            </w:pPr>
            <w:r>
              <w:rPr>
                <w:rFonts w:hint="eastAsia"/>
                <w:b/>
                <w:szCs w:val="21"/>
              </w:rPr>
              <w:t>3、交货地点：采购人指定地点。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4" w:hRule="atLeast"/>
        </w:trPr>
        <w:tc>
          <w:tcPr>
            <w:tcW w:w="1526" w:type="dxa"/>
            <w:vAlign w:val="center"/>
          </w:tcPr>
          <w:p>
            <w:pPr>
              <w:pStyle w:val="13"/>
              <w:spacing w:line="336" w:lineRule="auto"/>
              <w:ind w:firstLine="0"/>
              <w:rPr>
                <w:rFonts w:cs="宋体"/>
                <w:szCs w:val="21"/>
              </w:rPr>
            </w:pPr>
            <w:r>
              <w:rPr>
                <w:rFonts w:hint="eastAsia" w:cs="宋体"/>
                <w:szCs w:val="21"/>
              </w:rPr>
              <w:t>▲付款方式</w:t>
            </w:r>
          </w:p>
        </w:tc>
        <w:tc>
          <w:tcPr>
            <w:tcW w:w="7942" w:type="dxa"/>
            <w:vAlign w:val="center"/>
          </w:tcPr>
          <w:p>
            <w:pPr>
              <w:pStyle w:val="18"/>
              <w:rPr>
                <w:b/>
                <w:szCs w:val="21"/>
              </w:rPr>
            </w:pPr>
            <w:r>
              <w:rPr>
                <w:rFonts w:hint="eastAsia"/>
                <w:b/>
                <w:szCs w:val="21"/>
              </w:rPr>
              <w:t>1.1双方签订合同后付合同总价的30%作为产品定金；</w:t>
            </w:r>
          </w:p>
          <w:p>
            <w:pPr>
              <w:pStyle w:val="18"/>
              <w:rPr>
                <w:b/>
                <w:szCs w:val="21"/>
              </w:rPr>
            </w:pPr>
            <w:r>
              <w:rPr>
                <w:rFonts w:hint="eastAsia"/>
                <w:b/>
                <w:szCs w:val="21"/>
              </w:rPr>
              <w:t xml:space="preserve">1.2主体结构组装完成、内外墙装饰组装完成后付至合同总价的85%； </w:t>
            </w:r>
          </w:p>
          <w:p>
            <w:pPr>
              <w:pStyle w:val="18"/>
              <w:rPr>
                <w:b/>
                <w:szCs w:val="21"/>
              </w:rPr>
            </w:pPr>
            <w:r>
              <w:rPr>
                <w:rFonts w:hint="eastAsia"/>
                <w:b/>
                <w:szCs w:val="21"/>
              </w:rPr>
              <w:t>1.4产品部件全部组装完成并通过验收合格审计后付一次性结清。</w:t>
            </w:r>
          </w:p>
          <w:p>
            <w:pPr>
              <w:pStyle w:val="18"/>
              <w:rPr>
                <w:rFonts w:cs="宋体"/>
                <w:bCs/>
                <w:szCs w:val="21"/>
              </w:rPr>
            </w:pPr>
            <w:r>
              <w:rPr>
                <w:rFonts w:hint="eastAsia"/>
                <w:b/>
                <w:szCs w:val="21"/>
              </w:rPr>
              <w:t>2每次支付货款前，供货商应提供等额税票。</w:t>
            </w:r>
            <w:r>
              <w:rPr>
                <w:rFonts w:hint="eastAsia" w:cs="宋体"/>
                <w:b/>
                <w:szCs w:val="21"/>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2" w:hRule="atLeast"/>
        </w:trPr>
        <w:tc>
          <w:tcPr>
            <w:tcW w:w="1526" w:type="dxa"/>
            <w:vAlign w:val="center"/>
          </w:tcPr>
          <w:p>
            <w:pPr>
              <w:pStyle w:val="13"/>
              <w:spacing w:line="336" w:lineRule="auto"/>
              <w:ind w:firstLine="0"/>
              <w:rPr>
                <w:rFonts w:cs="宋体"/>
                <w:szCs w:val="21"/>
              </w:rPr>
            </w:pPr>
            <w:r>
              <w:rPr>
                <w:rFonts w:hint="eastAsia" w:cs="宋体"/>
                <w:szCs w:val="21"/>
              </w:rPr>
              <w:t>报价及结算</w:t>
            </w:r>
          </w:p>
        </w:tc>
        <w:tc>
          <w:tcPr>
            <w:tcW w:w="7942" w:type="dxa"/>
            <w:vAlign w:val="center"/>
          </w:tcPr>
          <w:p>
            <w:pPr>
              <w:numPr>
                <w:ilvl w:val="0"/>
                <w:numId w:val="9"/>
              </w:numPr>
              <w:spacing w:line="340" w:lineRule="exact"/>
              <w:rPr>
                <w:rFonts w:ascii="宋体" w:hAnsi="宋体"/>
                <w:b/>
                <w:szCs w:val="21"/>
              </w:rPr>
            </w:pPr>
            <w:r>
              <w:rPr>
                <w:rFonts w:hint="eastAsia" w:ascii="宋体" w:hAnsi="宋体"/>
                <w:b/>
                <w:szCs w:val="21"/>
              </w:rPr>
              <w:t>本项目报价采用总价包干，应包括深化优化设计及</w:t>
            </w:r>
            <w:r>
              <w:rPr>
                <w:rFonts w:hint="eastAsia" w:hAnsi="宋体"/>
                <w:b/>
                <w:szCs w:val="21"/>
              </w:rPr>
              <w:t>模块化房屋加工图</w:t>
            </w:r>
            <w:r>
              <w:rPr>
                <w:rFonts w:hint="eastAsia" w:ascii="宋体" w:hAnsi="宋体"/>
                <w:b/>
                <w:szCs w:val="21"/>
              </w:rPr>
              <w:t>设计费用、设备及材料的采购及安装调试费用、</w:t>
            </w:r>
            <w:r>
              <w:rPr>
                <w:rFonts w:hint="eastAsia" w:hAnsi="宋体"/>
                <w:b/>
                <w:szCs w:val="21"/>
              </w:rPr>
              <w:t>产品安装</w:t>
            </w:r>
            <w:r>
              <w:rPr>
                <w:rFonts w:hint="eastAsia" w:ascii="宋体" w:hAnsi="宋体"/>
                <w:b/>
                <w:szCs w:val="21"/>
              </w:rPr>
              <w:t>费用（包括人工、材料、机械、规费、措施费、整改及验收）、设施设备及软件系统费用、垃圾清扫和搬运、方案设计费用、税费、保险、利润、招标代理服务费、政策性文件规定及本项目包含的所有风险、责任等各项应有的一切费用。</w:t>
            </w:r>
          </w:p>
          <w:p>
            <w:pPr>
              <w:numPr>
                <w:ilvl w:val="0"/>
                <w:numId w:val="9"/>
              </w:numPr>
              <w:spacing w:line="340" w:lineRule="exact"/>
              <w:rPr>
                <w:rFonts w:ascii="宋体" w:hAnsi="宋体"/>
                <w:b/>
                <w:szCs w:val="21"/>
              </w:rPr>
            </w:pPr>
            <w:r>
              <w:rPr>
                <w:rFonts w:hint="eastAsia" w:ascii="宋体" w:hAnsi="宋体"/>
                <w:b/>
                <w:szCs w:val="21"/>
              </w:rPr>
              <w:t>供应商应列入而未列入其中的费用，均视为已包含在内，风险由供应商承担；报价不仅应包括采购文件所标明的，还应包括任何未明确标出的。其中全部材料应说明名称、型号、数量、单价、总价、产地、厂商等。供应商按要求应列入而未列入材料清单的货物及材料，均认为已含在总价中。</w:t>
            </w:r>
          </w:p>
          <w:p>
            <w:pPr>
              <w:numPr>
                <w:ilvl w:val="0"/>
                <w:numId w:val="9"/>
              </w:numPr>
              <w:spacing w:line="340" w:lineRule="exact"/>
              <w:rPr>
                <w:rFonts w:ascii="宋体" w:hAnsi="宋体"/>
                <w:b/>
                <w:szCs w:val="21"/>
              </w:rPr>
            </w:pPr>
            <w:r>
              <w:rPr>
                <w:rFonts w:hint="eastAsia" w:ascii="宋体" w:hAnsi="宋体"/>
                <w:b/>
                <w:szCs w:val="21"/>
              </w:rPr>
              <w:t>供应商因深化优化设计或</w:t>
            </w:r>
            <w:r>
              <w:rPr>
                <w:rFonts w:hint="eastAsia" w:hAnsi="宋体"/>
                <w:b/>
                <w:color w:val="FF0000"/>
                <w:szCs w:val="21"/>
              </w:rPr>
              <w:t>加</w:t>
            </w:r>
            <w:r>
              <w:rPr>
                <w:rFonts w:hint="eastAsia" w:ascii="宋体" w:hAnsi="宋体"/>
                <w:b/>
                <w:color w:val="FF0000"/>
                <w:szCs w:val="21"/>
              </w:rPr>
              <w:t>工图</w:t>
            </w:r>
            <w:r>
              <w:rPr>
                <w:rFonts w:hint="eastAsia" w:ascii="宋体" w:hAnsi="宋体"/>
                <w:b/>
                <w:szCs w:val="21"/>
              </w:rPr>
              <w:t>设计深度不够、</w:t>
            </w:r>
            <w:r>
              <w:rPr>
                <w:rFonts w:hint="eastAsia" w:hAnsi="宋体"/>
                <w:b/>
                <w:szCs w:val="21"/>
              </w:rPr>
              <w:t>产品技术参数配置清单</w:t>
            </w:r>
            <w:r>
              <w:rPr>
                <w:rFonts w:hint="eastAsia" w:ascii="宋体" w:hAnsi="宋体"/>
                <w:b/>
                <w:szCs w:val="21"/>
              </w:rPr>
              <w:t>漏项或缺项、报价失误等，责任由供应商自行承担。</w:t>
            </w:r>
          </w:p>
          <w:p>
            <w:pPr>
              <w:numPr>
                <w:ilvl w:val="0"/>
                <w:numId w:val="9"/>
              </w:numPr>
              <w:spacing w:line="340" w:lineRule="exact"/>
              <w:rPr>
                <w:rFonts w:ascii="宋体" w:hAnsi="宋体"/>
                <w:b/>
                <w:szCs w:val="21"/>
              </w:rPr>
            </w:pPr>
            <w:r>
              <w:rPr>
                <w:rFonts w:hint="eastAsia" w:ascii="宋体" w:hAnsi="宋体"/>
                <w:b/>
                <w:szCs w:val="21"/>
              </w:rPr>
              <w:t>中标单位在响应文件中的</w:t>
            </w:r>
            <w:r>
              <w:rPr>
                <w:rFonts w:hint="eastAsia" w:hAnsi="宋体"/>
                <w:b/>
                <w:color w:val="FF0000"/>
                <w:szCs w:val="21"/>
              </w:rPr>
              <w:t>加</w:t>
            </w:r>
            <w:r>
              <w:rPr>
                <w:rFonts w:hint="eastAsia" w:ascii="宋体" w:hAnsi="宋体"/>
                <w:b/>
                <w:color w:val="FF0000"/>
                <w:szCs w:val="21"/>
              </w:rPr>
              <w:t>工图</w:t>
            </w:r>
            <w:r>
              <w:rPr>
                <w:rFonts w:hint="eastAsia" w:ascii="宋体" w:hAnsi="宋体"/>
                <w:b/>
                <w:szCs w:val="21"/>
              </w:rPr>
              <w:t>缺陷或</w:t>
            </w:r>
            <w:r>
              <w:rPr>
                <w:rFonts w:hint="eastAsia" w:hAnsi="宋体"/>
                <w:b/>
                <w:szCs w:val="21"/>
              </w:rPr>
              <w:t>产品技术参数配置清单</w:t>
            </w:r>
            <w:r>
              <w:rPr>
                <w:rFonts w:hint="eastAsia" w:ascii="宋体" w:hAnsi="宋体"/>
                <w:b/>
                <w:szCs w:val="21"/>
              </w:rPr>
              <w:t>失误导致的功能或效果不能满足采购文件及方案设计文件的要求，其责任由中标单位自负，必须免费整改至符合采购文件及方案设计要求。</w:t>
            </w:r>
          </w:p>
          <w:p>
            <w:pPr>
              <w:spacing w:line="340" w:lineRule="exact"/>
            </w:pPr>
            <w:r>
              <w:rPr>
                <w:rFonts w:hint="eastAsia" w:ascii="宋体" w:hAnsi="宋体"/>
                <w:b/>
                <w:szCs w:val="21"/>
              </w:rPr>
              <w:t>5、水、电等施工的总接入点由采购人提供，用水用电费用及所有临时线路的铺设和维护费用由中标单位自行负责。所有费用均含在本次投标报价内，一次性包干，今后不予调整；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6" w:hRule="atLeast"/>
        </w:trPr>
        <w:tc>
          <w:tcPr>
            <w:tcW w:w="1526" w:type="dxa"/>
            <w:vAlign w:val="center"/>
          </w:tcPr>
          <w:p>
            <w:pPr>
              <w:adjustRightInd w:val="0"/>
              <w:snapToGrid w:val="0"/>
              <w:spacing w:line="336" w:lineRule="auto"/>
              <w:rPr>
                <w:rFonts w:ascii="宋体" w:hAnsi="宋体" w:cs="宋体"/>
                <w:szCs w:val="21"/>
              </w:rPr>
            </w:pPr>
            <w:r>
              <w:rPr>
                <w:rFonts w:hint="eastAsia" w:ascii="宋体" w:hAnsi="宋体" w:cs="宋体"/>
                <w:szCs w:val="21"/>
              </w:rPr>
              <w:t>履约保证金</w:t>
            </w:r>
          </w:p>
        </w:tc>
        <w:tc>
          <w:tcPr>
            <w:tcW w:w="7942" w:type="dxa"/>
            <w:vAlign w:val="center"/>
          </w:tcPr>
          <w:p>
            <w:pPr>
              <w:widowControl/>
              <w:spacing w:line="336" w:lineRule="auto"/>
              <w:jc w:val="left"/>
              <w:rPr>
                <w:rFonts w:ascii="宋体" w:hAnsi="宋体" w:cs="宋体"/>
                <w:bCs/>
                <w:szCs w:val="21"/>
              </w:rPr>
            </w:pPr>
            <w:r>
              <w:rPr>
                <w:rFonts w:hint="eastAsia" w:hAnsi="宋体" w:cs="宋体"/>
                <w:szCs w:val="21"/>
              </w:rPr>
              <w:t>无</w:t>
            </w:r>
          </w:p>
        </w:tc>
      </w:tr>
    </w:tbl>
    <w:p>
      <w:pPr>
        <w:pStyle w:val="23"/>
        <w:spacing w:before="120" w:after="120" w:line="336" w:lineRule="auto"/>
        <w:rPr>
          <w:rFonts w:hAnsi="宋体"/>
          <w:b/>
          <w:sz w:val="24"/>
          <w:szCs w:val="24"/>
        </w:rPr>
      </w:pPr>
      <w:bookmarkStart w:id="54" w:name="_Toc379811070"/>
      <w:bookmarkStart w:id="55" w:name="_Toc16544"/>
      <w:r>
        <w:rPr>
          <w:rFonts w:hint="eastAsia" w:hAnsi="宋体"/>
          <w:b/>
          <w:sz w:val="24"/>
          <w:szCs w:val="24"/>
        </w:rPr>
        <w:t>十三、其他</w:t>
      </w:r>
      <w:bookmarkEnd w:id="54"/>
      <w:bookmarkEnd w:id="55"/>
    </w:p>
    <w:p>
      <w:pPr>
        <w:spacing w:line="336" w:lineRule="auto"/>
        <w:ind w:firstLine="482" w:firstLineChars="200"/>
        <w:rPr>
          <w:rFonts w:ascii="宋体" w:hAnsi="宋体"/>
          <w:b/>
          <w:sz w:val="24"/>
        </w:rPr>
      </w:pPr>
      <w:r>
        <w:rPr>
          <w:rFonts w:hint="eastAsia" w:ascii="宋体" w:hAnsi="宋体"/>
          <w:b/>
          <w:sz w:val="24"/>
        </w:rPr>
        <w:t>1.投标人所投货物的技术参数不得低于本项目的技术要求和档次。</w:t>
      </w:r>
    </w:p>
    <w:p>
      <w:pPr>
        <w:spacing w:line="336" w:lineRule="auto"/>
        <w:ind w:firstLine="482" w:firstLineChars="200"/>
        <w:rPr>
          <w:rFonts w:ascii="宋体" w:hAnsi="宋体"/>
          <w:b/>
          <w:bCs/>
          <w:sz w:val="24"/>
        </w:rPr>
      </w:pPr>
      <w:r>
        <w:rPr>
          <w:rFonts w:hint="eastAsia" w:ascii="宋体" w:hAnsi="宋体"/>
          <w:b/>
          <w:bCs/>
          <w:sz w:val="24"/>
        </w:rPr>
        <w:t>2.中标单位在签订合同时，若坚持提出附加条件和不合理要求，中标资格将被取消，该中标人对由此产生的一切后果负责。</w:t>
      </w:r>
    </w:p>
    <w:p>
      <w:pPr>
        <w:spacing w:line="336" w:lineRule="auto"/>
        <w:ind w:firstLine="482" w:firstLineChars="200"/>
        <w:rPr>
          <w:rFonts w:ascii="宋体" w:hAnsi="宋体"/>
          <w:sz w:val="24"/>
        </w:rPr>
      </w:pPr>
      <w:r>
        <w:rPr>
          <w:rFonts w:hint="eastAsia" w:ascii="宋体" w:hAnsi="宋体"/>
          <w:b/>
          <w:bCs/>
          <w:sz w:val="24"/>
        </w:rPr>
        <w:t>3.投标人提交的投标文件均归采购人所有，不再返还给投标人。</w:t>
      </w:r>
    </w:p>
    <w:p>
      <w:pPr>
        <w:pStyle w:val="13"/>
        <w:rPr>
          <w:rFonts w:asciiTheme="minorEastAsia" w:hAnsiTheme="minorEastAsia" w:eastAsiaTheme="minorEastAsia" w:cstheme="minorEastAsia"/>
          <w:bCs/>
          <w:szCs w:val="21"/>
          <w:lang w:val="zh-CN"/>
        </w:rPr>
      </w:pPr>
      <w:r>
        <w:rPr>
          <w:sz w:val="24"/>
          <w:szCs w:val="24"/>
        </w:rPr>
        <w:br w:type="page"/>
      </w:r>
    </w:p>
    <w:p>
      <w:pPr>
        <w:pStyle w:val="13"/>
        <w:rPr>
          <w:rFonts w:asciiTheme="minorEastAsia" w:hAnsiTheme="minorEastAsia" w:eastAsiaTheme="minorEastAsia" w:cstheme="minorEastAsia"/>
          <w:bCs/>
          <w:szCs w:val="21"/>
          <w:lang w:val="zh-CN"/>
        </w:rPr>
      </w:pPr>
    </w:p>
    <w:p>
      <w:pPr>
        <w:numPr>
          <w:ilvl w:val="0"/>
          <w:numId w:val="10"/>
        </w:numPr>
        <w:spacing w:line="540" w:lineRule="exact"/>
        <w:jc w:val="center"/>
        <w:outlineLvl w:val="0"/>
        <w:rPr>
          <w:rFonts w:ascii="宋体" w:hAnsi="宋体"/>
          <w:b/>
          <w:sz w:val="36"/>
          <w:szCs w:val="36"/>
        </w:rPr>
      </w:pPr>
      <w:r>
        <w:rPr>
          <w:rFonts w:hint="eastAsia" w:ascii="宋体" w:hAnsi="宋体"/>
          <w:b/>
          <w:sz w:val="36"/>
          <w:szCs w:val="36"/>
        </w:rPr>
        <w:t>投标人须知</w:t>
      </w:r>
      <w:bookmarkEnd w:id="16"/>
      <w:bookmarkStart w:id="56" w:name="_Toc49074375"/>
      <w:bookmarkStart w:id="57" w:name="_Toc48038209"/>
    </w:p>
    <w:p>
      <w:pPr>
        <w:pStyle w:val="20"/>
        <w:ind w:left="1170" w:firstLine="0"/>
      </w:pPr>
    </w:p>
    <w:p>
      <w:pPr>
        <w:tabs>
          <w:tab w:val="left" w:pos="900"/>
        </w:tabs>
        <w:spacing w:line="400" w:lineRule="exact"/>
        <w:ind w:firstLine="562" w:firstLineChars="175"/>
        <w:jc w:val="center"/>
        <w:rPr>
          <w:rFonts w:ascii="宋体" w:hAnsi="宋体" w:cs="宋体"/>
          <w:b/>
          <w:bCs/>
          <w:sz w:val="32"/>
          <w:szCs w:val="32"/>
        </w:rPr>
      </w:pPr>
      <w:bookmarkStart w:id="58" w:name="_Toc114115345"/>
      <w:bookmarkStart w:id="59" w:name="_Toc16069"/>
      <w:r>
        <w:rPr>
          <w:rFonts w:hint="eastAsia" w:ascii="宋体" w:hAnsi="宋体" w:cs="宋体"/>
          <w:b/>
          <w:bCs/>
          <w:sz w:val="32"/>
          <w:szCs w:val="32"/>
        </w:rPr>
        <w:t>一  总 则</w:t>
      </w:r>
      <w:bookmarkEnd w:id="56"/>
      <w:bookmarkEnd w:id="57"/>
      <w:bookmarkEnd w:id="58"/>
      <w:bookmarkEnd w:id="59"/>
    </w:p>
    <w:p>
      <w:pPr>
        <w:snapToGrid w:val="0"/>
        <w:spacing w:line="480" w:lineRule="exact"/>
        <w:rPr>
          <w:rFonts w:ascii="宋体" w:hAnsi="宋体" w:cs="宋体"/>
          <w:b/>
          <w:kern w:val="0"/>
          <w:sz w:val="24"/>
        </w:rPr>
      </w:pPr>
      <w:r>
        <w:rPr>
          <w:rFonts w:hint="eastAsia" w:ascii="宋体" w:hAnsi="宋体" w:cs="宋体"/>
          <w:sz w:val="24"/>
        </w:rPr>
        <w:t>一、</w:t>
      </w:r>
      <w:r>
        <w:rPr>
          <w:rFonts w:hint="eastAsia" w:ascii="宋体" w:hAnsi="宋体" w:cs="宋体"/>
          <w:b/>
          <w:sz w:val="24"/>
        </w:rPr>
        <w:t>磋商文件的适用范围</w:t>
      </w:r>
    </w:p>
    <w:p>
      <w:pPr>
        <w:pStyle w:val="23"/>
        <w:snapToGrid w:val="0"/>
        <w:spacing w:line="480" w:lineRule="exact"/>
        <w:ind w:firstLine="480" w:firstLineChars="200"/>
        <w:rPr>
          <w:rFonts w:hAnsi="宋体" w:cs="宋体"/>
          <w:color w:val="000000"/>
          <w:kern w:val="0"/>
          <w:sz w:val="24"/>
          <w:szCs w:val="24"/>
        </w:rPr>
      </w:pPr>
      <w:r>
        <w:rPr>
          <w:rFonts w:hint="eastAsia" w:hAnsi="宋体" w:cs="宋体"/>
          <w:color w:val="000000"/>
          <w:kern w:val="0"/>
          <w:sz w:val="24"/>
          <w:szCs w:val="24"/>
        </w:rPr>
        <w:t>1.本磋商文件仅适用于本次采购公告中所叙述项目的服务采购。</w:t>
      </w:r>
    </w:p>
    <w:p>
      <w:pPr>
        <w:pStyle w:val="23"/>
        <w:snapToGrid w:val="0"/>
        <w:spacing w:line="480" w:lineRule="exact"/>
        <w:rPr>
          <w:rFonts w:hAnsi="宋体" w:cs="宋体"/>
          <w:b/>
          <w:sz w:val="24"/>
          <w:szCs w:val="24"/>
        </w:rPr>
      </w:pPr>
      <w:r>
        <w:rPr>
          <w:rFonts w:hint="eastAsia" w:hAnsi="宋体" w:cs="宋体"/>
          <w:b/>
          <w:sz w:val="24"/>
          <w:szCs w:val="24"/>
        </w:rPr>
        <w:t>二、定义</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1.招标采购单位系指组织本次招标的</w:t>
      </w:r>
      <w:r>
        <w:rPr>
          <w:rFonts w:hint="eastAsia" w:ascii="宋体" w:hAnsi="宋体" w:cs="宋体"/>
          <w:b/>
          <w:sz w:val="24"/>
        </w:rPr>
        <w:t>浙江诚远工程咨询有限公司（“招标方”）</w:t>
      </w:r>
      <w:r>
        <w:rPr>
          <w:rFonts w:hint="eastAsia" w:ascii="宋体" w:hAnsi="宋体" w:cs="宋体"/>
          <w:bCs/>
          <w:sz w:val="24"/>
        </w:rPr>
        <w:t>和</w:t>
      </w:r>
      <w:r>
        <w:rPr>
          <w:rFonts w:hint="eastAsia" w:ascii="宋体" w:hAnsi="宋体" w:cs="宋体"/>
          <w:b/>
          <w:sz w:val="24"/>
        </w:rPr>
        <w:t>磐安县仁川镇人民政府（“采购人”）</w:t>
      </w:r>
      <w:r>
        <w:rPr>
          <w:rFonts w:hint="eastAsia" w:ascii="宋体" w:hAnsi="宋体" w:cs="宋体"/>
          <w:bCs/>
          <w:sz w:val="24"/>
        </w:rPr>
        <w:t>。</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2.“投标人”系指向招标方提交投标文件的单位。</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3.“产品”系指供方按招标文件规定，须向采购人提供的一切设备、保险、税金、备品备件、工具、手册及其它有关技术资料和材料。</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4.“服务”系指招标文件规定投标人须承担的安装、调试、技术协助、校准、培训、技术指导以及其他类似的义务。</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5.“项目”系指投标人按招标文件规定向采购人提供的产品和服务。</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6.“书面形式”包括信函、传真、电报等。</w:t>
      </w:r>
    </w:p>
    <w:p>
      <w:pPr>
        <w:snapToGrid w:val="0"/>
        <w:spacing w:line="480" w:lineRule="exact"/>
        <w:rPr>
          <w:rFonts w:ascii="宋体" w:hAnsi="宋体" w:cs="宋体"/>
          <w:b/>
          <w:sz w:val="24"/>
        </w:rPr>
      </w:pPr>
      <w:r>
        <w:rPr>
          <w:rFonts w:hint="eastAsia" w:ascii="宋体" w:hAnsi="宋体" w:cs="宋体"/>
          <w:b/>
          <w:sz w:val="24"/>
        </w:rPr>
        <w:t>三、资金来源</w:t>
      </w:r>
    </w:p>
    <w:p>
      <w:pPr>
        <w:snapToGrid w:val="0"/>
        <w:spacing w:line="480" w:lineRule="exact"/>
        <w:ind w:firstLine="600" w:firstLineChars="250"/>
        <w:rPr>
          <w:rFonts w:ascii="宋体" w:hAnsi="宋体" w:cs="宋体"/>
          <w:kern w:val="0"/>
          <w:sz w:val="24"/>
        </w:rPr>
      </w:pPr>
      <w:r>
        <w:rPr>
          <w:rFonts w:hint="eastAsia" w:ascii="宋体" w:hAnsi="宋体" w:cs="宋体"/>
          <w:kern w:val="0"/>
          <w:sz w:val="24"/>
        </w:rPr>
        <w:t>1.采购人已获取本项目的采购资金。</w:t>
      </w:r>
    </w:p>
    <w:p>
      <w:pPr>
        <w:snapToGrid w:val="0"/>
        <w:spacing w:line="480" w:lineRule="exact"/>
        <w:rPr>
          <w:rFonts w:ascii="宋体" w:hAnsi="宋体" w:cs="宋体"/>
          <w:b/>
          <w:sz w:val="24"/>
        </w:rPr>
      </w:pPr>
      <w:r>
        <w:rPr>
          <w:rFonts w:hint="eastAsia" w:ascii="宋体" w:hAnsi="宋体" w:cs="宋体"/>
          <w:b/>
          <w:sz w:val="24"/>
        </w:rPr>
        <w:t>四、</w:t>
      </w:r>
      <w:r>
        <w:rPr>
          <w:rFonts w:hint="eastAsia" w:ascii="宋体" w:hAnsi="宋体" w:cs="宋体"/>
          <w:sz w:val="24"/>
        </w:rPr>
        <w:t>▲</w:t>
      </w:r>
      <w:r>
        <w:rPr>
          <w:rFonts w:hint="eastAsia" w:ascii="宋体" w:hAnsi="宋体" w:cs="宋体"/>
          <w:b/>
          <w:sz w:val="24"/>
        </w:rPr>
        <w:t>合格的投标人</w:t>
      </w:r>
    </w:p>
    <w:p>
      <w:pPr>
        <w:snapToGrid w:val="0"/>
        <w:spacing w:line="480" w:lineRule="exact"/>
        <w:ind w:right="218" w:rightChars="104" w:firstLine="540" w:firstLineChars="225"/>
        <w:rPr>
          <w:rFonts w:ascii="宋体" w:hAnsi="宋体" w:cs="宋体"/>
          <w:bCs/>
          <w:sz w:val="24"/>
        </w:rPr>
      </w:pPr>
      <w:bookmarkStart w:id="60" w:name="_Toc44759269"/>
      <w:bookmarkStart w:id="61" w:name="_Toc15805932"/>
      <w:bookmarkStart w:id="62" w:name="_Toc44759081"/>
      <w:bookmarkStart w:id="63" w:name="_Toc15813249"/>
      <w:bookmarkStart w:id="64" w:name="_Toc114115347"/>
      <w:bookmarkStart w:id="65" w:name="_Toc13595"/>
      <w:r>
        <w:rPr>
          <w:rFonts w:hint="eastAsia" w:ascii="宋体" w:hAnsi="宋体" w:cs="宋体"/>
          <w:bCs/>
          <w:sz w:val="24"/>
        </w:rPr>
        <w:t>1.满足《中华人民共和国政府采购法》第二十二条规定；</w:t>
      </w:r>
    </w:p>
    <w:p>
      <w:pPr>
        <w:spacing w:line="480" w:lineRule="exact"/>
        <w:ind w:firstLine="480" w:firstLineChars="200"/>
        <w:rPr>
          <w:rFonts w:ascii="宋体" w:hAnsi="宋体"/>
          <w:sz w:val="24"/>
        </w:rPr>
      </w:pPr>
      <w:r>
        <w:rPr>
          <w:rFonts w:hint="eastAsia" w:ascii="宋体" w:hAnsi="宋体" w:cs="宋体"/>
          <w:bCs/>
          <w:sz w:val="24"/>
        </w:rPr>
        <w:t>2.落实政府采购政策需满足的资格要求</w:t>
      </w:r>
      <w:r>
        <w:rPr>
          <w:rFonts w:hint="eastAsia" w:ascii="宋体" w:hAnsi="宋体" w:cs="宋体"/>
          <w:bCs/>
          <w:sz w:val="24"/>
          <w:lang w:val="en-US" w:eastAsia="zh-CN"/>
        </w:rPr>
        <w:t>:</w:t>
      </w:r>
      <w:r>
        <w:rPr>
          <w:rFonts w:hint="eastAsia" w:ascii="仿宋" w:hAnsi="仿宋" w:eastAsia="仿宋" w:cs="仿宋"/>
          <w:color w:val="000000"/>
          <w:sz w:val="27"/>
          <w:szCs w:val="27"/>
        </w:rPr>
        <w:t> </w:t>
      </w:r>
      <w:r>
        <w:rPr>
          <w:rFonts w:hint="eastAsia" w:ascii="宋体" w:hAnsi="宋体"/>
          <w:sz w:val="24"/>
        </w:rPr>
        <w:t>本项目不专门面向中小企业。</w:t>
      </w:r>
    </w:p>
    <w:p>
      <w:pPr>
        <w:spacing w:line="480" w:lineRule="exact"/>
        <w:ind w:firstLine="482" w:firstLineChars="200"/>
        <w:outlineLvl w:val="1"/>
        <w:rPr>
          <w:rFonts w:ascii="宋体" w:hAnsi="宋体" w:cs="宋体"/>
          <w:b/>
          <w:sz w:val="24"/>
        </w:rPr>
      </w:pPr>
      <w:r>
        <w:rPr>
          <w:rFonts w:hint="eastAsia" w:ascii="宋体" w:hAnsi="宋体" w:cs="宋体"/>
          <w:b/>
          <w:sz w:val="24"/>
        </w:rPr>
        <w:t>3.本项目的特定资格要求：</w:t>
      </w:r>
    </w:p>
    <w:p>
      <w:pPr>
        <w:snapToGrid w:val="0"/>
        <w:spacing w:line="480" w:lineRule="exact"/>
        <w:ind w:right="218" w:rightChars="104" w:firstLine="540" w:firstLineChars="225"/>
        <w:rPr>
          <w:rFonts w:ascii="宋体" w:hAnsi="宋体" w:cs="宋体"/>
          <w:bCs/>
          <w:sz w:val="24"/>
        </w:rPr>
      </w:pPr>
      <w:r>
        <w:rPr>
          <w:rFonts w:hint="eastAsia" w:ascii="宋体" w:hAnsi="宋体" w:cs="宋体"/>
          <w:bCs/>
          <w:sz w:val="24"/>
        </w:rPr>
        <w:t>（1）本项目谈判截止之日前三年内，未被“信用中国”、“中国政府采购网”列入失信被执行人、重大税收违法案件当事人名单、政府采购严重违法失信行为记录名单的；</w:t>
      </w:r>
    </w:p>
    <w:p>
      <w:pPr>
        <w:snapToGrid w:val="0"/>
        <w:spacing w:line="480" w:lineRule="exact"/>
        <w:outlineLvl w:val="0"/>
        <w:rPr>
          <w:rFonts w:ascii="宋体" w:hAnsi="宋体" w:cs="宋体"/>
          <w:b/>
          <w:sz w:val="24"/>
        </w:rPr>
      </w:pPr>
      <w:r>
        <w:rPr>
          <w:rFonts w:hint="eastAsia" w:ascii="宋体" w:hAnsi="宋体" w:cs="宋体"/>
          <w:b/>
          <w:sz w:val="24"/>
        </w:rPr>
        <w:t>五、投标要求及费用</w:t>
      </w:r>
    </w:p>
    <w:p>
      <w:pPr>
        <w:snapToGrid w:val="0"/>
        <w:spacing w:line="480" w:lineRule="exact"/>
        <w:ind w:firstLine="480" w:firstLineChars="200"/>
        <w:outlineLvl w:val="1"/>
        <w:rPr>
          <w:rFonts w:ascii="宋体" w:hAnsi="宋体" w:cs="宋体"/>
          <w:color w:val="000000"/>
          <w:kern w:val="0"/>
          <w:sz w:val="24"/>
        </w:rPr>
      </w:pPr>
      <w:r>
        <w:rPr>
          <w:rFonts w:hint="eastAsia" w:ascii="宋体" w:hAnsi="宋体" w:cs="宋体"/>
          <w:color w:val="000000"/>
          <w:kern w:val="0"/>
          <w:sz w:val="24"/>
        </w:rPr>
        <w:t>1.投标商一旦购买了本磋商文件并参加投标，即被认为接受了本磋商文件中招标通知 (邀请)书及投标商须知中所有条款和规定。</w:t>
      </w:r>
    </w:p>
    <w:p>
      <w:pPr>
        <w:pStyle w:val="23"/>
        <w:snapToGrid w:val="0"/>
        <w:spacing w:line="480" w:lineRule="exact"/>
        <w:ind w:left="-4" w:leftChars="-2" w:firstLine="480" w:firstLineChars="200"/>
        <w:outlineLvl w:val="1"/>
        <w:rPr>
          <w:rFonts w:hAnsi="宋体" w:cs="宋体"/>
          <w:color w:val="000000"/>
          <w:kern w:val="0"/>
          <w:sz w:val="24"/>
          <w:szCs w:val="24"/>
        </w:rPr>
      </w:pPr>
      <w:r>
        <w:rPr>
          <w:rFonts w:hint="eastAsia" w:hAnsi="宋体" w:cs="宋体"/>
          <w:color w:val="000000"/>
          <w:kern w:val="0"/>
          <w:sz w:val="24"/>
          <w:szCs w:val="24"/>
        </w:rPr>
        <w:t>2.不论投标结果如何，投标人均应自行承担所有与编写和递交投标文件有关的全部费用。</w:t>
      </w:r>
    </w:p>
    <w:p>
      <w:pPr>
        <w:pStyle w:val="23"/>
        <w:snapToGrid w:val="0"/>
        <w:spacing w:line="480" w:lineRule="exact"/>
        <w:jc w:val="left"/>
        <w:rPr>
          <w:rFonts w:hAnsi="宋体" w:cs="宋体"/>
          <w:b/>
          <w:sz w:val="24"/>
          <w:szCs w:val="24"/>
        </w:rPr>
      </w:pPr>
      <w:r>
        <w:rPr>
          <w:rFonts w:hint="eastAsia" w:hAnsi="宋体" w:cs="宋体"/>
          <w:b/>
          <w:sz w:val="24"/>
          <w:szCs w:val="24"/>
        </w:rPr>
        <w:t>六、特别声明：</w:t>
      </w:r>
    </w:p>
    <w:p>
      <w:pPr>
        <w:tabs>
          <w:tab w:val="left" w:pos="4228"/>
        </w:tabs>
        <w:spacing w:line="480" w:lineRule="exact"/>
        <w:ind w:firstLine="502"/>
        <w:rPr>
          <w:rFonts w:ascii="宋体" w:hAnsi="宋体" w:cs="宋体"/>
          <w:sz w:val="24"/>
        </w:rPr>
      </w:pPr>
      <w:r>
        <w:rPr>
          <w:rFonts w:hint="eastAsia" w:ascii="宋体" w:hAnsi="宋体" w:cs="宋体"/>
          <w:sz w:val="24"/>
        </w:rPr>
        <w:t>1.磋商响应方所使用的资格、信誉、荣誉、业绩与企业认证必须为本企业所拥有。在组织商务、技术评审或资格性审查时，不得将属于投标商母公司（总机构）或者同一母公司下属的其他子公司（同一总机构下属的其他分支机构）的人员、业绩、荣誉、知识产权、项目案例等，作为该投标商的资信文件予以确认或审查通过。</w:t>
      </w:r>
    </w:p>
    <w:p>
      <w:pPr>
        <w:tabs>
          <w:tab w:val="left" w:pos="4228"/>
        </w:tabs>
        <w:spacing w:line="480" w:lineRule="exact"/>
        <w:ind w:firstLine="502"/>
        <w:rPr>
          <w:rFonts w:ascii="宋体" w:hAnsi="宋体" w:cs="宋体"/>
          <w:sz w:val="24"/>
        </w:rPr>
      </w:pPr>
      <w:r>
        <w:rPr>
          <w:rFonts w:hint="eastAsia" w:ascii="宋体" w:hAnsi="宋体" w:cs="宋体"/>
          <w:sz w:val="24"/>
        </w:rPr>
        <w:t>2.磋商响应方应仔细阅读采购文件的所有内容，按照采购文件的要求提交采购响应文件，并对所提供的全部资料的真实性承担法律责任。</w:t>
      </w:r>
    </w:p>
    <w:p>
      <w:pPr>
        <w:tabs>
          <w:tab w:val="left" w:pos="4228"/>
        </w:tabs>
        <w:spacing w:line="480" w:lineRule="exact"/>
        <w:ind w:firstLine="502"/>
        <w:rPr>
          <w:rFonts w:ascii="宋体" w:hAnsi="宋体" w:cs="宋体"/>
          <w:sz w:val="24"/>
        </w:rPr>
      </w:pPr>
      <w:r>
        <w:rPr>
          <w:rFonts w:hint="eastAsia" w:ascii="宋体" w:hAnsi="宋体" w:cs="宋体"/>
          <w:sz w:val="24"/>
        </w:rPr>
        <w:t>3.竞标人在竞标活动中提供任何虚假材料,其竞标无效，并报监管部门查处。中标后发现的,已经造成其他损失的须赔偿相应损失，且民事赔偿并不免除违法竞标人的行政与刑事责任。</w:t>
      </w:r>
    </w:p>
    <w:p>
      <w:pPr>
        <w:widowControl/>
        <w:spacing w:line="480" w:lineRule="exact"/>
        <w:ind w:firstLine="480" w:firstLineChars="200"/>
        <w:jc w:val="left"/>
        <w:rPr>
          <w:rFonts w:ascii="宋体" w:hAnsi="宋体" w:cs="宋体"/>
          <w:sz w:val="24"/>
        </w:rPr>
      </w:pPr>
      <w:r>
        <w:rPr>
          <w:rFonts w:hint="eastAsia" w:ascii="宋体" w:hAnsi="宋体" w:cs="宋体"/>
          <w:sz w:val="24"/>
        </w:rPr>
        <w:t>4.</w:t>
      </w:r>
      <w:r>
        <w:rPr>
          <w:rFonts w:hint="eastAsia" w:ascii="宋体" w:hAnsi="宋体" w:cs="宋体"/>
          <w:b/>
          <w:sz w:val="24"/>
        </w:rPr>
        <w:t>根据《中华人民共和国政府采购法实施条例》（国务院令第658号）和浙江省财政厅、省监察厅《关于进一步规范政府采购活动的若干意见》（浙财采监字〔2007〕2号）的规定。</w:t>
      </w:r>
      <w:r>
        <w:rPr>
          <w:rFonts w:hint="eastAsia" w:ascii="宋体" w:hAnsi="宋体" w:cs="宋体"/>
          <w:sz w:val="24"/>
        </w:rPr>
        <w:t>多家投标商参加采购响应，如其中两家或两家以上投标商的法定代表人为同一人或相互之间存在投资关系且达到控股的，按一个投标商认定。评审时，取其中通过资格审查后的报价最低一家为有效投标商；当报价相同时，则以技术标最优一家为有效投标商；均相同时，由评审委员会（或谈判、询价小组，以下统称评审小组）集体决定。</w:t>
      </w:r>
    </w:p>
    <w:p>
      <w:pPr>
        <w:pStyle w:val="23"/>
        <w:snapToGrid w:val="0"/>
        <w:spacing w:line="480" w:lineRule="exact"/>
        <w:jc w:val="left"/>
        <w:rPr>
          <w:rFonts w:hAnsi="宋体" w:cs="宋体"/>
          <w:b/>
          <w:sz w:val="24"/>
          <w:szCs w:val="24"/>
        </w:rPr>
      </w:pPr>
      <w:r>
        <w:rPr>
          <w:rFonts w:hint="eastAsia" w:hAnsi="宋体" w:cs="宋体"/>
          <w:b/>
          <w:sz w:val="24"/>
          <w:szCs w:val="24"/>
        </w:rPr>
        <w:t>七、质疑和投诉</w:t>
      </w:r>
    </w:p>
    <w:p>
      <w:pPr>
        <w:tabs>
          <w:tab w:val="left" w:pos="4228"/>
        </w:tabs>
        <w:spacing w:line="480" w:lineRule="exact"/>
        <w:ind w:firstLine="502"/>
        <w:rPr>
          <w:rFonts w:ascii="宋体" w:hAnsi="宋体" w:cs="宋体"/>
          <w:sz w:val="24"/>
        </w:rPr>
      </w:pPr>
      <w:r>
        <w:rPr>
          <w:rFonts w:hint="eastAsia" w:ascii="宋体" w:hAnsi="宋体" w:cs="宋体"/>
          <w:sz w:val="24"/>
        </w:rPr>
        <w:t>1.质疑、投诉应当采用书面形式，质疑书、投诉书均应明确阐述采购文件、招标过程或成交结果中使自己合法权益受到损害的实质性内容，提供相关事实、依据和证据及其来源或线索，便于有关单位调查、答复和处理。</w:t>
      </w:r>
    </w:p>
    <w:p>
      <w:pPr>
        <w:tabs>
          <w:tab w:val="left" w:pos="4228"/>
        </w:tabs>
        <w:spacing w:line="480" w:lineRule="exact"/>
        <w:ind w:firstLine="502"/>
        <w:rPr>
          <w:rFonts w:ascii="宋体" w:hAnsi="宋体" w:cs="宋体"/>
          <w:sz w:val="24"/>
        </w:rPr>
      </w:pPr>
      <w:r>
        <w:rPr>
          <w:rFonts w:hint="eastAsia" w:ascii="宋体" w:hAnsi="宋体" w:cs="宋体"/>
          <w:sz w:val="24"/>
        </w:rPr>
        <w:t>2.投标商未按规定要求提出的，则视同认可采购文件，但法律法规及规范性文件有明确规定的除外。</w:t>
      </w:r>
    </w:p>
    <w:p>
      <w:pPr>
        <w:snapToGrid w:val="0"/>
        <w:spacing w:line="480" w:lineRule="exact"/>
        <w:jc w:val="center"/>
        <w:outlineLvl w:val="2"/>
        <w:rPr>
          <w:rFonts w:ascii="宋体" w:hAnsi="宋体" w:cs="宋体"/>
          <w:b/>
          <w:kern w:val="44"/>
          <w:sz w:val="24"/>
        </w:rPr>
      </w:pPr>
      <w:r>
        <w:rPr>
          <w:rFonts w:hint="eastAsia" w:ascii="宋体" w:hAnsi="宋体" w:cs="宋体"/>
          <w:b/>
          <w:kern w:val="44"/>
          <w:sz w:val="24"/>
        </w:rPr>
        <w:t>二  磋商文件</w:t>
      </w:r>
      <w:bookmarkEnd w:id="60"/>
      <w:bookmarkEnd w:id="61"/>
      <w:bookmarkEnd w:id="62"/>
      <w:bookmarkEnd w:id="63"/>
      <w:bookmarkEnd w:id="64"/>
      <w:bookmarkEnd w:id="65"/>
    </w:p>
    <w:p>
      <w:pPr>
        <w:snapToGrid w:val="0"/>
        <w:spacing w:line="480" w:lineRule="exact"/>
        <w:rPr>
          <w:rFonts w:ascii="宋体" w:hAnsi="宋体" w:cs="宋体"/>
          <w:b/>
          <w:sz w:val="24"/>
        </w:rPr>
      </w:pPr>
      <w:r>
        <w:rPr>
          <w:rFonts w:hint="eastAsia" w:ascii="宋体" w:hAnsi="宋体" w:cs="宋体"/>
          <w:b/>
          <w:sz w:val="24"/>
        </w:rPr>
        <w:t>八、磋商文件构成</w:t>
      </w:r>
    </w:p>
    <w:p>
      <w:pPr>
        <w:tabs>
          <w:tab w:val="left" w:pos="4228"/>
        </w:tabs>
        <w:spacing w:line="480" w:lineRule="exact"/>
        <w:ind w:firstLine="502"/>
        <w:rPr>
          <w:rFonts w:ascii="宋体" w:hAnsi="宋体" w:cs="宋体"/>
          <w:sz w:val="24"/>
        </w:rPr>
      </w:pPr>
      <w:r>
        <w:rPr>
          <w:rFonts w:hint="eastAsia" w:ascii="宋体" w:hAnsi="宋体" w:cs="宋体"/>
          <w:sz w:val="24"/>
        </w:rPr>
        <w:t>1.磋商文件共七章，各章的内容如下：</w:t>
      </w:r>
    </w:p>
    <w:p>
      <w:pPr>
        <w:tabs>
          <w:tab w:val="left" w:pos="4228"/>
        </w:tabs>
        <w:spacing w:line="480" w:lineRule="exact"/>
        <w:ind w:firstLine="502"/>
        <w:rPr>
          <w:rFonts w:ascii="宋体" w:hAnsi="宋体" w:cs="宋体"/>
          <w:sz w:val="24"/>
        </w:rPr>
      </w:pPr>
      <w:r>
        <w:rPr>
          <w:rFonts w:hint="eastAsia" w:ascii="宋体" w:hAnsi="宋体" w:cs="宋体"/>
          <w:sz w:val="24"/>
        </w:rPr>
        <w:t>（1）招标(磋商)公告</w:t>
      </w:r>
    </w:p>
    <w:p>
      <w:pPr>
        <w:tabs>
          <w:tab w:val="left" w:pos="4228"/>
        </w:tabs>
        <w:spacing w:line="480" w:lineRule="exact"/>
        <w:ind w:firstLine="502"/>
        <w:rPr>
          <w:rFonts w:ascii="宋体" w:hAnsi="宋体" w:cs="宋体"/>
          <w:sz w:val="24"/>
        </w:rPr>
      </w:pPr>
      <w:r>
        <w:rPr>
          <w:rFonts w:hint="eastAsia" w:ascii="宋体" w:hAnsi="宋体" w:cs="宋体"/>
          <w:sz w:val="24"/>
        </w:rPr>
        <w:t>（2）前附表</w:t>
      </w:r>
    </w:p>
    <w:p>
      <w:pPr>
        <w:tabs>
          <w:tab w:val="left" w:pos="4228"/>
        </w:tabs>
        <w:spacing w:line="480" w:lineRule="exact"/>
        <w:ind w:firstLine="502"/>
        <w:rPr>
          <w:rFonts w:ascii="宋体" w:hAnsi="宋体" w:cs="宋体"/>
          <w:sz w:val="24"/>
        </w:rPr>
      </w:pPr>
      <w:r>
        <w:rPr>
          <w:rFonts w:hint="eastAsia" w:ascii="宋体" w:hAnsi="宋体" w:cs="宋体"/>
          <w:sz w:val="24"/>
        </w:rPr>
        <w:t>（3）招标需求</w:t>
      </w:r>
    </w:p>
    <w:p>
      <w:pPr>
        <w:tabs>
          <w:tab w:val="left" w:pos="4228"/>
        </w:tabs>
        <w:spacing w:line="480" w:lineRule="exact"/>
        <w:ind w:firstLine="502"/>
        <w:rPr>
          <w:rFonts w:ascii="宋体" w:hAnsi="宋体" w:cs="宋体"/>
          <w:sz w:val="24"/>
        </w:rPr>
      </w:pPr>
      <w:r>
        <w:rPr>
          <w:rFonts w:hint="eastAsia" w:ascii="宋体" w:hAnsi="宋体" w:cs="宋体"/>
          <w:sz w:val="24"/>
        </w:rPr>
        <w:t>（4）投标人须知</w:t>
      </w:r>
    </w:p>
    <w:p>
      <w:pPr>
        <w:tabs>
          <w:tab w:val="left" w:pos="4228"/>
        </w:tabs>
        <w:spacing w:line="480" w:lineRule="exact"/>
        <w:ind w:firstLine="502"/>
        <w:rPr>
          <w:rFonts w:ascii="宋体" w:hAnsi="宋体" w:cs="宋体"/>
          <w:sz w:val="24"/>
        </w:rPr>
      </w:pPr>
      <w:r>
        <w:rPr>
          <w:rFonts w:hint="eastAsia" w:ascii="宋体" w:hAnsi="宋体" w:cs="宋体"/>
          <w:sz w:val="24"/>
        </w:rPr>
        <w:t>（5）评审方法</w:t>
      </w:r>
    </w:p>
    <w:p>
      <w:pPr>
        <w:tabs>
          <w:tab w:val="left" w:pos="4228"/>
        </w:tabs>
        <w:spacing w:line="480" w:lineRule="exact"/>
        <w:ind w:firstLine="502"/>
        <w:rPr>
          <w:rFonts w:ascii="宋体" w:hAnsi="宋体" w:cs="宋体"/>
          <w:sz w:val="24"/>
        </w:rPr>
      </w:pPr>
      <w:r>
        <w:rPr>
          <w:rFonts w:hint="eastAsia" w:ascii="宋体" w:hAnsi="宋体" w:cs="宋体"/>
          <w:sz w:val="24"/>
        </w:rPr>
        <w:t>（6）合同的主要条款</w:t>
      </w:r>
    </w:p>
    <w:p>
      <w:pPr>
        <w:tabs>
          <w:tab w:val="left" w:pos="4228"/>
        </w:tabs>
        <w:spacing w:line="480" w:lineRule="exact"/>
        <w:ind w:firstLine="502"/>
        <w:rPr>
          <w:rFonts w:ascii="宋体" w:hAnsi="宋体" w:cs="宋体"/>
          <w:sz w:val="24"/>
        </w:rPr>
      </w:pPr>
      <w:r>
        <w:rPr>
          <w:rFonts w:hint="eastAsia" w:ascii="宋体" w:hAnsi="宋体" w:cs="宋体"/>
          <w:sz w:val="24"/>
        </w:rPr>
        <w:t>（7）附件</w:t>
      </w:r>
    </w:p>
    <w:p>
      <w:pPr>
        <w:tabs>
          <w:tab w:val="left" w:pos="4228"/>
        </w:tabs>
        <w:spacing w:line="480" w:lineRule="exact"/>
        <w:ind w:firstLine="502"/>
        <w:rPr>
          <w:rFonts w:ascii="宋体" w:hAnsi="宋体" w:cs="宋体"/>
          <w:sz w:val="24"/>
        </w:rPr>
      </w:pPr>
      <w:r>
        <w:rPr>
          <w:rFonts w:hint="eastAsia" w:ascii="宋体" w:hAnsi="宋体" w:cs="宋体"/>
          <w:sz w:val="24"/>
        </w:rPr>
        <w:t>2.投标商应认真阅读磋商文件中所有的事项、格式、条款和技术规范等要求，从而对磋商文件作出实质性的响应。如果没有按照磋商文件要求提交全部竞争性磋商响应文件或者资料，没有对磋商文件在各方面都作出实质性响应的，可能导致该投标被拒绝。</w:t>
      </w:r>
    </w:p>
    <w:p>
      <w:pPr>
        <w:snapToGrid w:val="0"/>
        <w:spacing w:line="480" w:lineRule="exact"/>
        <w:rPr>
          <w:rFonts w:ascii="宋体" w:hAnsi="宋体" w:cs="宋体"/>
          <w:b/>
          <w:sz w:val="24"/>
        </w:rPr>
      </w:pPr>
      <w:r>
        <w:rPr>
          <w:rFonts w:hint="eastAsia" w:ascii="宋体" w:hAnsi="宋体" w:cs="宋体"/>
          <w:b/>
          <w:sz w:val="24"/>
        </w:rPr>
        <w:t>九、磋商文件的澄清</w:t>
      </w:r>
    </w:p>
    <w:p>
      <w:pPr>
        <w:tabs>
          <w:tab w:val="left" w:pos="4228"/>
        </w:tabs>
        <w:spacing w:line="480" w:lineRule="exact"/>
        <w:ind w:firstLine="502"/>
        <w:rPr>
          <w:rFonts w:ascii="宋体" w:hAnsi="宋体" w:cs="宋体"/>
          <w:sz w:val="24"/>
        </w:rPr>
      </w:pPr>
      <w:r>
        <w:rPr>
          <w:rFonts w:hint="eastAsia" w:ascii="宋体" w:hAnsi="宋体" w:cs="宋体"/>
          <w:sz w:val="24"/>
        </w:rPr>
        <w:t>1.任何要求澄清磋商文件的投标人，均应在答疑截止时间前以信函、传真等书面形式通知谈判代理机构。采购代理机构将以书面形式予以答复所有投标人，同时认定其他澄清方式为无效。</w:t>
      </w:r>
    </w:p>
    <w:p>
      <w:pPr>
        <w:tabs>
          <w:tab w:val="left" w:pos="4228"/>
        </w:tabs>
        <w:spacing w:line="480" w:lineRule="exact"/>
        <w:ind w:firstLine="502"/>
        <w:rPr>
          <w:rFonts w:ascii="宋体" w:hAnsi="宋体" w:cs="宋体"/>
          <w:sz w:val="24"/>
        </w:rPr>
      </w:pPr>
      <w:r>
        <w:rPr>
          <w:rFonts w:hint="eastAsia" w:ascii="宋体" w:hAnsi="宋体" w:cs="宋体"/>
          <w:sz w:val="24"/>
        </w:rPr>
        <w:t>2.采购代理机构必须以书面形式答复投标人要求澄清的问题，并将不包含问题来源的答复书面通知所有购买招标文件的投标人；除书面答复以外的其他澄清方式及澄清内容均无效。</w:t>
      </w:r>
    </w:p>
    <w:p>
      <w:pPr>
        <w:tabs>
          <w:tab w:val="left" w:pos="4228"/>
        </w:tabs>
        <w:spacing w:line="480" w:lineRule="exact"/>
        <w:ind w:firstLine="502"/>
        <w:rPr>
          <w:rFonts w:ascii="宋体" w:hAnsi="宋体" w:cs="宋体"/>
          <w:sz w:val="24"/>
        </w:rPr>
      </w:pPr>
      <w:r>
        <w:rPr>
          <w:rFonts w:hint="eastAsia" w:ascii="宋体" w:hAnsi="宋体" w:cs="宋体"/>
          <w:sz w:val="24"/>
        </w:rPr>
        <w:t>3.招标文件澄清、答复、修改、补充的内容为招标文件的组成部分。当磋商文件与磋商文件的答复、澄清、修改、补充通知就同一内容的表述不一致时，以最后发出的书面文件为准。</w:t>
      </w:r>
    </w:p>
    <w:p>
      <w:pPr>
        <w:tabs>
          <w:tab w:val="left" w:pos="4228"/>
        </w:tabs>
        <w:spacing w:line="480" w:lineRule="exact"/>
        <w:ind w:firstLine="502"/>
        <w:rPr>
          <w:rFonts w:ascii="宋体" w:hAnsi="宋体" w:cs="宋体"/>
          <w:sz w:val="24"/>
        </w:rPr>
      </w:pPr>
      <w:r>
        <w:rPr>
          <w:rFonts w:hint="eastAsia" w:ascii="宋体" w:hAnsi="宋体" w:cs="宋体"/>
          <w:sz w:val="24"/>
        </w:rPr>
        <w:t>4.磋商文件的澄清、答复、修改或补充都应该通过本代理机构以法定形式发布，采购人非通过本机构，不得擅自澄清、答复、修改或补充磋商文件。</w:t>
      </w:r>
    </w:p>
    <w:p>
      <w:pPr>
        <w:snapToGrid w:val="0"/>
        <w:spacing w:line="480" w:lineRule="exact"/>
        <w:rPr>
          <w:rFonts w:ascii="宋体" w:hAnsi="宋体" w:cs="宋体"/>
          <w:b/>
          <w:sz w:val="24"/>
        </w:rPr>
      </w:pPr>
      <w:r>
        <w:rPr>
          <w:rFonts w:hint="eastAsia" w:ascii="宋体" w:hAnsi="宋体" w:cs="宋体"/>
          <w:b/>
          <w:sz w:val="24"/>
        </w:rPr>
        <w:t>十、磋商文件的修改</w:t>
      </w:r>
    </w:p>
    <w:p>
      <w:pPr>
        <w:tabs>
          <w:tab w:val="left" w:pos="4228"/>
        </w:tabs>
        <w:spacing w:line="480" w:lineRule="exact"/>
        <w:ind w:firstLine="502"/>
        <w:rPr>
          <w:rFonts w:ascii="宋体" w:hAnsi="宋体" w:cs="宋体"/>
          <w:sz w:val="24"/>
        </w:rPr>
      </w:pPr>
      <w:bookmarkStart w:id="66" w:name="_Toc44759270"/>
      <w:bookmarkStart w:id="67" w:name="_Toc114115348"/>
      <w:bookmarkStart w:id="68" w:name="_Toc15805933"/>
      <w:bookmarkStart w:id="69" w:name="_Toc15813250"/>
      <w:bookmarkStart w:id="70" w:name="_Toc11926"/>
      <w:bookmarkStart w:id="71" w:name="_Toc44759082"/>
      <w:r>
        <w:rPr>
          <w:rFonts w:hint="eastAsia" w:ascii="宋体" w:hAnsi="宋体" w:cs="宋体"/>
          <w:sz w:val="24"/>
        </w:rPr>
        <w:t>1.在答疑截止时间前，无论出于何种原因，采购代理机构可主动地或在解答投标人提出的问题时对磋商文件进行修改；</w:t>
      </w:r>
    </w:p>
    <w:p>
      <w:pPr>
        <w:tabs>
          <w:tab w:val="left" w:pos="4228"/>
        </w:tabs>
        <w:spacing w:line="480" w:lineRule="exact"/>
        <w:ind w:firstLine="502"/>
        <w:rPr>
          <w:rFonts w:ascii="宋体" w:hAnsi="宋体" w:cs="宋体"/>
          <w:sz w:val="24"/>
        </w:rPr>
      </w:pPr>
      <w:r>
        <w:rPr>
          <w:rFonts w:hint="eastAsia" w:ascii="宋体" w:hAnsi="宋体" w:cs="宋体"/>
          <w:sz w:val="24"/>
        </w:rPr>
        <w:t>2.磋商文件的修改将以书面形式通知所有投标人并对其具有约束力。为使投标人准备投标时有充分时间对磋商文件的修改部分进行研究，采购代理机构经采购人、县财政局政府采购监管科同意批准，可以自行决定是否延长投标截止期。</w:t>
      </w:r>
    </w:p>
    <w:p>
      <w:pPr>
        <w:snapToGrid w:val="0"/>
        <w:spacing w:line="480" w:lineRule="exact"/>
        <w:jc w:val="center"/>
        <w:outlineLvl w:val="2"/>
        <w:rPr>
          <w:rFonts w:ascii="宋体" w:hAnsi="宋体" w:cs="宋体"/>
          <w:b/>
          <w:kern w:val="44"/>
          <w:sz w:val="24"/>
        </w:rPr>
      </w:pPr>
      <w:r>
        <w:rPr>
          <w:rFonts w:hint="eastAsia" w:ascii="宋体" w:hAnsi="宋体" w:cs="宋体"/>
          <w:b/>
          <w:kern w:val="44"/>
          <w:sz w:val="24"/>
        </w:rPr>
        <w:t>三  投标文件的编制</w:t>
      </w:r>
      <w:bookmarkEnd w:id="66"/>
      <w:bookmarkEnd w:id="67"/>
      <w:bookmarkEnd w:id="68"/>
      <w:bookmarkEnd w:id="69"/>
      <w:bookmarkEnd w:id="70"/>
      <w:bookmarkEnd w:id="71"/>
    </w:p>
    <w:p>
      <w:pPr>
        <w:snapToGrid w:val="0"/>
        <w:spacing w:line="480" w:lineRule="exact"/>
        <w:outlineLvl w:val="0"/>
        <w:rPr>
          <w:rFonts w:ascii="宋体" w:hAnsi="宋体" w:cs="宋体"/>
          <w:b/>
          <w:sz w:val="24"/>
        </w:rPr>
      </w:pPr>
      <w:r>
        <w:rPr>
          <w:rFonts w:hint="eastAsia" w:ascii="宋体" w:hAnsi="宋体" w:cs="宋体"/>
          <w:b/>
          <w:sz w:val="24"/>
        </w:rPr>
        <w:t>十、投标文件编写注意事项</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1.投标人应仔细阅读磋商文件，了解磋商文件的要求。在完全了解磋商的内容后，编写投标文件。</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2.各投标方必须按下列“十二”的要求编制投标文件。</w:t>
      </w:r>
    </w:p>
    <w:p>
      <w:pPr>
        <w:pStyle w:val="23"/>
        <w:snapToGrid w:val="0"/>
        <w:spacing w:line="480" w:lineRule="exact"/>
        <w:jc w:val="left"/>
        <w:rPr>
          <w:rFonts w:hAnsi="宋体" w:cs="宋体"/>
          <w:b/>
          <w:sz w:val="24"/>
          <w:szCs w:val="24"/>
        </w:rPr>
      </w:pPr>
      <w:r>
        <w:rPr>
          <w:rFonts w:hint="eastAsia" w:hAnsi="宋体" w:cs="宋体"/>
          <w:b/>
          <w:sz w:val="24"/>
          <w:szCs w:val="24"/>
        </w:rPr>
        <w:t>十一、投标的语言及计量单位</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1. 投标人的投标文件以及投标人与采购代理机构就有关投标的所有来往函电统一使用中文（特别规定除外）。</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2.投标文件中使用的计量单位除磋商文件中有特殊规定外，一律使用法定计量单位。</w:t>
      </w:r>
    </w:p>
    <w:p>
      <w:pPr>
        <w:snapToGrid w:val="0"/>
        <w:spacing w:line="480" w:lineRule="exact"/>
        <w:outlineLvl w:val="0"/>
        <w:rPr>
          <w:rFonts w:ascii="宋体" w:hAnsi="宋体" w:cs="宋体"/>
          <w:b/>
          <w:sz w:val="24"/>
        </w:rPr>
      </w:pPr>
      <w:r>
        <w:rPr>
          <w:rFonts w:hint="eastAsia" w:ascii="宋体" w:hAnsi="宋体" w:cs="宋体"/>
          <w:b/>
          <w:sz w:val="24"/>
        </w:rPr>
        <w:t>十二、投标文件构成</w:t>
      </w:r>
    </w:p>
    <w:p>
      <w:pPr>
        <w:snapToGrid w:val="0"/>
        <w:spacing w:line="480" w:lineRule="exact"/>
        <w:ind w:firstLine="482" w:firstLineChars="200"/>
        <w:jc w:val="left"/>
        <w:rPr>
          <w:rFonts w:ascii="宋体" w:hAnsi="宋体" w:cs="宋体"/>
          <w:b/>
          <w:sz w:val="24"/>
        </w:rPr>
      </w:pPr>
      <w:r>
        <w:rPr>
          <w:rFonts w:hint="eastAsia" w:ascii="宋体" w:hAnsi="宋体" w:cs="宋体"/>
          <w:b/>
          <w:sz w:val="24"/>
        </w:rPr>
        <w:t>注：投标人应保证所提供文件资料的真实性，所有文件资料必须是针对本次投标的。如发现投标人提供了虚假文件资料，其投标将被拒绝，并自行承担相应的法律责任。</w:t>
      </w:r>
    </w:p>
    <w:p>
      <w:pPr>
        <w:keepLines/>
        <w:spacing w:line="480" w:lineRule="exact"/>
        <w:ind w:firstLine="241" w:firstLineChars="100"/>
        <w:contextualSpacing/>
        <w:jc w:val="left"/>
        <w:outlineLvl w:val="2"/>
        <w:rPr>
          <w:rFonts w:ascii="宋体" w:hAnsi="宋体" w:cs="宋体"/>
          <w:b/>
          <w:kern w:val="0"/>
          <w:sz w:val="24"/>
        </w:rPr>
      </w:pPr>
      <w:r>
        <w:rPr>
          <w:rFonts w:hint="eastAsia" w:ascii="宋体" w:hAnsi="宋体" w:cs="宋体"/>
          <w:b/>
          <w:kern w:val="0"/>
          <w:sz w:val="24"/>
        </w:rPr>
        <w:t>一）投标文件的组成</w:t>
      </w:r>
    </w:p>
    <w:p>
      <w:pPr>
        <w:tabs>
          <w:tab w:val="left" w:pos="0"/>
          <w:tab w:val="left" w:pos="900"/>
          <w:tab w:val="left" w:pos="7020"/>
          <w:tab w:val="left" w:pos="8460"/>
        </w:tabs>
        <w:snapToGrid w:val="0"/>
        <w:spacing w:line="480" w:lineRule="exact"/>
        <w:ind w:firstLine="482" w:firstLineChars="200"/>
        <w:rPr>
          <w:rFonts w:ascii="宋体" w:hAnsi="宋体" w:cs="宋体"/>
          <w:b/>
          <w:sz w:val="24"/>
        </w:rPr>
      </w:pPr>
      <w:r>
        <w:rPr>
          <w:rFonts w:hint="eastAsia" w:ascii="宋体" w:hAnsi="宋体" w:cs="宋体"/>
          <w:b/>
          <w:color w:val="000000" w:themeColor="text1"/>
          <w:sz w:val="24"/>
          <w14:textFill>
            <w14:solidFill>
              <w14:schemeClr w14:val="tx1"/>
            </w14:solidFill>
          </w14:textFill>
        </w:rPr>
        <w:t>投标文件</w:t>
      </w:r>
      <w:r>
        <w:rPr>
          <w:rFonts w:hint="eastAsia" w:ascii="宋体" w:hAnsi="宋体" w:cs="宋体"/>
          <w:color w:val="000000" w:themeColor="text1"/>
          <w:sz w:val="24"/>
          <w14:textFill>
            <w14:solidFill>
              <w14:schemeClr w14:val="tx1"/>
            </w14:solidFill>
          </w14:textFill>
        </w:rPr>
        <w:t>（</w:t>
      </w:r>
      <w:r>
        <w:rPr>
          <w:rFonts w:hint="eastAsia" w:ascii="宋体" w:hAnsi="宋体" w:cs="宋体"/>
          <w:b/>
          <w:color w:val="000000" w:themeColor="text1"/>
          <w:sz w:val="24"/>
          <w14:textFill>
            <w14:solidFill>
              <w14:schemeClr w14:val="tx1"/>
            </w14:solidFill>
          </w14:textFill>
        </w:rPr>
        <w:t>电子投标文件</w:t>
      </w:r>
      <w:r>
        <w:rPr>
          <w:rFonts w:hint="eastAsia" w:ascii="宋体" w:hAnsi="宋体" w:cs="宋体"/>
          <w:color w:val="000000" w:themeColor="text1"/>
          <w:sz w:val="24"/>
          <w14:textFill>
            <w14:solidFill>
              <w14:schemeClr w14:val="tx1"/>
            </w14:solidFill>
          </w14:textFill>
        </w:rPr>
        <w:t>）</w:t>
      </w:r>
      <w:r>
        <w:rPr>
          <w:rFonts w:hint="eastAsia" w:ascii="宋体" w:hAnsi="宋体" w:cs="宋体"/>
          <w:b/>
          <w:color w:val="000000" w:themeColor="text1"/>
          <w:sz w:val="24"/>
          <w14:textFill>
            <w14:solidFill>
              <w14:schemeClr w14:val="tx1"/>
            </w14:solidFill>
          </w14:textFill>
        </w:rPr>
        <w:t>由商务标、技术标二部份组成，电子投标文件中所须加盖公章部分均采用CA签章。</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1.如投标人不按上述规定制作投标文件的，可能导致被拒绝。</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2.关于本项目价格的信息只允许出现在“商务标”中，不得出现在技术标中。</w:t>
      </w:r>
    </w:p>
    <w:p>
      <w:pPr>
        <w:snapToGrid w:val="0"/>
        <w:spacing w:line="480" w:lineRule="exact"/>
        <w:ind w:left="2" w:leftChars="1" w:firstLine="480" w:firstLineChars="200"/>
        <w:rPr>
          <w:rFonts w:ascii="宋体" w:hAnsi="宋体" w:cs="宋体"/>
          <w:color w:val="000000"/>
          <w:sz w:val="24"/>
        </w:rPr>
      </w:pPr>
      <w:r>
        <w:rPr>
          <w:rFonts w:hint="eastAsia" w:ascii="宋体" w:hAnsi="宋体" w:cs="宋体"/>
          <w:color w:val="000000"/>
          <w:sz w:val="24"/>
        </w:rPr>
        <w:t>3.投标文件不得涂改和增删，如有错漏必须修改。</w:t>
      </w:r>
    </w:p>
    <w:p>
      <w:pPr>
        <w:snapToGrid w:val="0"/>
        <w:spacing w:line="480" w:lineRule="exact"/>
        <w:ind w:left="2" w:leftChars="1" w:firstLine="482" w:firstLineChars="200"/>
        <w:rPr>
          <w:rFonts w:ascii="宋体" w:hAnsi="宋体" w:cs="宋体"/>
          <w:b/>
          <w:bCs/>
          <w:color w:val="000000"/>
          <w:sz w:val="24"/>
        </w:rPr>
      </w:pPr>
      <w:r>
        <w:rPr>
          <w:rFonts w:hint="eastAsia" w:ascii="宋体" w:hAnsi="宋体" w:cs="宋体"/>
          <w:b/>
          <w:bCs/>
          <w:color w:val="000000"/>
          <w:sz w:val="24"/>
        </w:rPr>
        <w:t>▲注：磋商响应方应保证所提供文件资料的真实性，所有文件资料必须是针对本次磋商的。如发现磋商响应方提供了虚假文件资料，需方有权拒绝其谈判，磋商响应方自行承担相应的法律责任。</w:t>
      </w:r>
    </w:p>
    <w:p>
      <w:pPr>
        <w:snapToGrid w:val="0"/>
        <w:spacing w:line="480" w:lineRule="exact"/>
        <w:ind w:left="2" w:leftChars="1" w:firstLine="480" w:firstLineChars="200"/>
        <w:rPr>
          <w:rFonts w:ascii="宋体" w:hAnsi="宋体" w:cs="宋体"/>
          <w:b/>
          <w:bCs/>
          <w:color w:val="000000"/>
          <w:sz w:val="24"/>
        </w:rPr>
      </w:pPr>
      <w:r>
        <w:rPr>
          <w:rFonts w:hint="eastAsia" w:ascii="宋体" w:hAnsi="宋体" w:cs="宋体"/>
          <w:color w:val="000000"/>
          <w:sz w:val="24"/>
        </w:rPr>
        <w:t>本项目采用竞争性磋商采购方式进行采购，在磋商过程中，磋商小组可以根据磋商文件和磋商情况实质性变动采购需求中的技术、服务要求以及合同草案条款，但不得变动磋商文件中的其他内容。已提交响应文件的投标商，在提交最后报价之前，可以根据磋商情况退出磋商。</w:t>
      </w:r>
    </w:p>
    <w:p>
      <w:pPr>
        <w:autoSpaceDE w:val="0"/>
        <w:autoSpaceDN w:val="0"/>
        <w:adjustRightInd w:val="0"/>
        <w:spacing w:line="480" w:lineRule="exact"/>
        <w:ind w:firstLine="482" w:firstLineChars="200"/>
        <w:rPr>
          <w:rFonts w:ascii="宋体" w:hAnsi="宋体" w:cs="宋体"/>
          <w:sz w:val="24"/>
          <w:lang w:val="zh-CN"/>
        </w:rPr>
      </w:pPr>
      <w:r>
        <w:rPr>
          <w:rFonts w:hint="eastAsia" w:ascii="宋体" w:hAnsi="宋体" w:cs="宋体"/>
          <w:b/>
          <w:sz w:val="24"/>
        </w:rPr>
        <w:t>4</w:t>
      </w:r>
      <w:r>
        <w:rPr>
          <w:rFonts w:hint="eastAsia" w:ascii="宋体" w:hAnsi="宋体" w:cs="宋体"/>
          <w:b/>
          <w:kern w:val="0"/>
          <w:sz w:val="24"/>
        </w:rPr>
        <w:t>.</w:t>
      </w:r>
      <w:r>
        <w:rPr>
          <w:rFonts w:hint="eastAsia" w:ascii="宋体" w:hAnsi="宋体" w:cs="宋体"/>
          <w:b/>
          <w:bCs/>
          <w:sz w:val="24"/>
          <w:lang w:val="zh-CN"/>
        </w:rPr>
        <w:t>【商务标】</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（1）(初次)磋商报价一览表、分项报价表（按附件格式填写）</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（2）中小企业声明函（附件:小微企业投标时适用）</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（3）残疾人福利性单位声明函（附件:残疾人福利性单位投标时适用）</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（4）政府采购政策情况表（附件:小微企业、残疾人福利性单位、监狱企业投标时适用）</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注：①投标报价应以人民币为结算货币。须</w:t>
      </w:r>
      <w:r>
        <w:rPr>
          <w:rFonts w:hint="eastAsia" w:ascii="宋体" w:hAnsi="宋体" w:cs="宋体"/>
          <w:b/>
          <w:bCs/>
          <w:sz w:val="24"/>
        </w:rPr>
        <w:t>包括</w:t>
      </w:r>
      <w:r>
        <w:rPr>
          <w:rFonts w:hint="eastAsia" w:ascii="宋体" w:hAnsi="宋体"/>
          <w:b/>
          <w:bCs/>
          <w:sz w:val="24"/>
        </w:rPr>
        <w:t>报价包括方案设计费、设备费（包括必备的附件）、安装费（包括电子定时器、开关、配电箱等材料及基础费用）、运输装卸费、安装调试费、招标代理费、</w:t>
      </w:r>
      <w:r>
        <w:rPr>
          <w:rFonts w:hint="eastAsia" w:ascii="宋体" w:hAnsi="宋体"/>
          <w:b/>
          <w:bCs/>
          <w:sz w:val="24"/>
          <w:lang w:eastAsia="zh-CN"/>
        </w:rPr>
        <w:t>专家费、</w:t>
      </w:r>
      <w:r>
        <w:rPr>
          <w:rFonts w:hint="eastAsia" w:ascii="宋体" w:hAnsi="宋体"/>
          <w:b/>
          <w:bCs/>
          <w:sz w:val="24"/>
        </w:rPr>
        <w:t>验收费、售后服务、劳务费、管理费和税费等所有费用，投标报价为投标方所能承受的最低、最终一次性报</w:t>
      </w:r>
      <w:r>
        <w:rPr>
          <w:rFonts w:hint="eastAsia" w:ascii="宋体" w:hAnsi="宋体"/>
          <w:b/>
          <w:bCs/>
          <w:color w:val="C00000"/>
          <w:sz w:val="24"/>
        </w:rPr>
        <w:t>价</w:t>
      </w:r>
      <w:r>
        <w:rPr>
          <w:rFonts w:hint="eastAsia" w:ascii="宋体" w:hAnsi="宋体" w:cs="宋体"/>
          <w:b/>
          <w:bCs/>
          <w:color w:val="C00000"/>
          <w:sz w:val="24"/>
        </w:rPr>
        <w:t>，</w:t>
      </w:r>
      <w:r>
        <w:rPr>
          <w:rFonts w:hint="eastAsia" w:ascii="宋体" w:hAnsi="宋体" w:cs="宋体"/>
          <w:b/>
          <w:bCs/>
          <w:sz w:val="24"/>
        </w:rPr>
        <w:t>须由中标单位开具正式发票。</w:t>
      </w:r>
      <w:r>
        <w:rPr>
          <w:rFonts w:hint="eastAsia" w:ascii="宋体" w:hAnsi="宋体" w:cs="宋体"/>
          <w:sz w:val="24"/>
        </w:rPr>
        <w:t>投标方的投标报价为整个采购项目的总报价，如有漏项，视同已包含在其总项目中，合同总价不做调整。</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②供应商必须对本次采购所有设备按规定的数量进行唯一报价，采购人不接受任何有选择的报价，少报、漏报的投标报价无效。</w:t>
      </w:r>
    </w:p>
    <w:p>
      <w:pPr>
        <w:autoSpaceDE w:val="0"/>
        <w:autoSpaceDN w:val="0"/>
        <w:adjustRightInd w:val="0"/>
        <w:spacing w:line="480" w:lineRule="exact"/>
        <w:ind w:firstLine="482" w:firstLineChars="200"/>
        <w:rPr>
          <w:rFonts w:ascii="宋体" w:hAnsi="宋体" w:cs="宋体"/>
          <w:sz w:val="24"/>
        </w:rPr>
      </w:pPr>
      <w:r>
        <w:rPr>
          <w:rFonts w:hint="eastAsia" w:ascii="宋体" w:hAnsi="宋体" w:cs="宋体"/>
          <w:b/>
          <w:sz w:val="24"/>
        </w:rPr>
        <w:t>4</w:t>
      </w:r>
      <w:r>
        <w:rPr>
          <w:rFonts w:hint="eastAsia" w:ascii="宋体" w:hAnsi="宋体" w:cs="宋体"/>
          <w:sz w:val="24"/>
        </w:rPr>
        <w:t>.</w:t>
      </w:r>
      <w:r>
        <w:rPr>
          <w:rFonts w:hint="eastAsia" w:ascii="宋体" w:hAnsi="宋体" w:cs="宋体"/>
          <w:b/>
          <w:bCs/>
          <w:sz w:val="24"/>
        </w:rPr>
        <w:t>【技术标】</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（一）资格文件</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（1）投标函（按附件格式填写）；</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（2）投标声明书（按附件格式填写）；</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（3）《企业营业执照》；</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（4）法定代表人授权委托书、响应方代表身份证扫描件（加盖公章）；</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（5）投标单位情况表（按附件格式填写）；</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（6）符合《中华人民共和国政府采购法》第二十二条规定的《供应商市场行为信誉情况承诺书》（按附件格式填写）；</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（7）投标人认为有必要提供的其它文件。</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（二）技术文件</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（1）评分响应表（格式见附件）；</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（2）投标产品符合度（格式自拟）；</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（3）项目实施方案；</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（4）类似业绩（格式见附件）；</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（5）售后服务保障；</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（6）投标人需要说明的技术评标表所列的各项内容（格式自拟）；</w:t>
      </w:r>
    </w:p>
    <w:p>
      <w:pPr>
        <w:autoSpaceDE w:val="0"/>
        <w:autoSpaceDN w:val="0"/>
        <w:adjustRightInd w:val="0"/>
        <w:spacing w:line="480" w:lineRule="exact"/>
        <w:ind w:firstLine="480" w:firstLineChars="200"/>
        <w:rPr>
          <w:rFonts w:ascii="宋体" w:hAnsi="宋体" w:cs="宋体"/>
          <w:sz w:val="24"/>
        </w:rPr>
      </w:pPr>
      <w:r>
        <w:rPr>
          <w:rFonts w:hint="eastAsia" w:ascii="宋体" w:hAnsi="宋体" w:cs="宋体"/>
          <w:sz w:val="24"/>
        </w:rPr>
        <w:t>（7）无围标串标等负面行为承诺书（格式见附件）。</w:t>
      </w:r>
    </w:p>
    <w:p>
      <w:pPr>
        <w:autoSpaceDE w:val="0"/>
        <w:autoSpaceDN w:val="0"/>
        <w:adjustRightInd w:val="0"/>
        <w:spacing w:line="480" w:lineRule="exact"/>
        <w:ind w:firstLine="480" w:firstLineChars="200"/>
        <w:rPr>
          <w:rFonts w:ascii="宋体" w:hAnsi="宋体" w:cs="宋体"/>
          <w:sz w:val="24"/>
          <w:u w:val="single"/>
        </w:rPr>
      </w:pPr>
      <w:r>
        <w:rPr>
          <w:rFonts w:hint="eastAsia" w:ascii="宋体" w:hAnsi="宋体" w:cs="宋体"/>
          <w:sz w:val="24"/>
          <w:u w:val="single"/>
        </w:rPr>
        <w:t>投标商在投标报价中应充分考虑所有可能发生的费用，否则采购人将视投标总价中已包括所有费用。</w:t>
      </w:r>
    </w:p>
    <w:p>
      <w:pPr>
        <w:autoSpaceDE w:val="0"/>
        <w:autoSpaceDN w:val="0"/>
        <w:adjustRightInd w:val="0"/>
        <w:spacing w:line="480" w:lineRule="exact"/>
        <w:ind w:firstLine="480" w:firstLineChars="200"/>
        <w:rPr>
          <w:rFonts w:ascii="宋体" w:hAnsi="宋体" w:cs="宋体"/>
          <w:sz w:val="24"/>
          <w:u w:val="single"/>
        </w:rPr>
      </w:pPr>
      <w:r>
        <w:rPr>
          <w:rFonts w:hint="eastAsia" w:ascii="宋体" w:hAnsi="宋体" w:cs="宋体"/>
          <w:sz w:val="24"/>
          <w:u w:val="single"/>
        </w:rPr>
        <w:t>投标商对在合同执行中，除上述费用及招标文件规定的由中标人负责的工作范围以外需要买方协调或提供便利的工作应当在投标文件中说明。</w:t>
      </w:r>
    </w:p>
    <w:p>
      <w:pPr>
        <w:autoSpaceDE w:val="0"/>
        <w:autoSpaceDN w:val="0"/>
        <w:adjustRightInd w:val="0"/>
        <w:spacing w:line="480" w:lineRule="exact"/>
        <w:ind w:firstLine="480" w:firstLineChars="200"/>
        <w:rPr>
          <w:rFonts w:ascii="宋体" w:hAnsi="宋体" w:cs="宋体"/>
          <w:bCs/>
          <w:sz w:val="24"/>
        </w:rPr>
      </w:pPr>
      <w:r>
        <w:rPr>
          <w:rFonts w:hint="eastAsia" w:ascii="宋体" w:hAnsi="宋体" w:cs="宋体"/>
          <w:bCs/>
          <w:sz w:val="24"/>
        </w:rPr>
        <w:t>填写报价表格时，各项费用应如实填写，如已含在产品价格中，则填“含”，如免费则填“免”，不允许空白。</w:t>
      </w:r>
    </w:p>
    <w:p>
      <w:pPr>
        <w:autoSpaceDE w:val="0"/>
        <w:autoSpaceDN w:val="0"/>
        <w:adjustRightInd w:val="0"/>
        <w:spacing w:line="480" w:lineRule="exact"/>
        <w:ind w:firstLine="482" w:firstLineChars="200"/>
        <w:textAlignment w:val="bottom"/>
        <w:rPr>
          <w:rFonts w:ascii="宋体" w:hAnsi="宋体" w:cs="宋体"/>
          <w:b/>
          <w:sz w:val="24"/>
          <w:u w:val="single"/>
        </w:rPr>
      </w:pPr>
      <w:r>
        <w:rPr>
          <w:rFonts w:hint="eastAsia" w:ascii="宋体" w:hAnsi="宋体" w:cs="宋体"/>
          <w:b/>
          <w:bCs/>
          <w:color w:val="000000"/>
          <w:sz w:val="24"/>
          <w:u w:val="single"/>
        </w:rPr>
        <w:t>注：</w:t>
      </w:r>
      <w:r>
        <w:rPr>
          <w:rFonts w:hint="eastAsia" w:ascii="宋体" w:hAnsi="宋体" w:cs="宋体"/>
          <w:b/>
          <w:color w:val="000000"/>
          <w:sz w:val="24"/>
          <w:u w:val="single"/>
        </w:rPr>
        <w:t>电子投标文件（包括商务标、技术标）中磋商文件要求加盖公章的部分及带有“▲”的必须加盖单位CA章。</w:t>
      </w:r>
    </w:p>
    <w:p>
      <w:pPr>
        <w:pStyle w:val="23"/>
        <w:snapToGrid w:val="0"/>
        <w:spacing w:line="480" w:lineRule="exact"/>
        <w:ind w:left="105" w:leftChars="50" w:firstLine="361" w:firstLineChars="150"/>
        <w:jc w:val="left"/>
        <w:rPr>
          <w:rFonts w:hAnsi="宋体" w:cs="宋体"/>
          <w:b/>
          <w:bCs/>
          <w:kern w:val="0"/>
          <w:sz w:val="24"/>
          <w:szCs w:val="24"/>
        </w:rPr>
      </w:pPr>
      <w:bookmarkStart w:id="72" w:name="_Toc17716"/>
      <w:r>
        <w:rPr>
          <w:rFonts w:hint="eastAsia" w:hAnsi="宋体" w:cs="宋体"/>
          <w:b/>
          <w:bCs/>
          <w:kern w:val="0"/>
          <w:sz w:val="24"/>
          <w:szCs w:val="24"/>
        </w:rPr>
        <w:t>6、竞争性磋商响应文件的签署和份数</w:t>
      </w:r>
    </w:p>
    <w:p>
      <w:pPr>
        <w:pStyle w:val="23"/>
        <w:snapToGrid w:val="0"/>
        <w:spacing w:line="480" w:lineRule="exact"/>
        <w:ind w:left="105" w:leftChars="50" w:firstLine="361" w:firstLineChars="150"/>
        <w:jc w:val="left"/>
        <w:rPr>
          <w:rFonts w:hAnsi="宋体" w:cs="宋体"/>
          <w:b/>
          <w:bCs/>
          <w:kern w:val="0"/>
          <w:sz w:val="24"/>
          <w:szCs w:val="24"/>
        </w:rPr>
      </w:pPr>
      <w:r>
        <w:rPr>
          <w:rFonts w:hint="eastAsia" w:hAnsi="宋体" w:cs="宋体"/>
          <w:b/>
          <w:bCs/>
          <w:kern w:val="0"/>
          <w:sz w:val="24"/>
          <w:szCs w:val="24"/>
        </w:rPr>
        <w:t>电子竞争性磋商响应文件</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电子竞争性磋商响应文件</w:t>
      </w:r>
      <w:r>
        <w:rPr>
          <w:rFonts w:hint="eastAsia" w:hAnsi="宋体" w:cs="宋体"/>
          <w:b/>
          <w:sz w:val="24"/>
          <w:szCs w:val="24"/>
        </w:rPr>
        <w:t>应根据“政采云供应商项目采购-电子招投标操作指南”及本磋商文件规定的格式和顺序编制电子投标文件并进行关联定位。</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 xml:space="preserve">竞争性磋商响应文件需打印或用不褪色的墨水填写。竞争性磋商响应文件的装订顺序应按竞争性磋商须知第十二条所列顺序装订。                                                                                                                                                                                                                                                                                                        </w:t>
      </w:r>
    </w:p>
    <w:p>
      <w:pPr>
        <w:snapToGrid w:val="0"/>
        <w:spacing w:line="480" w:lineRule="exact"/>
        <w:ind w:firstLine="480" w:firstLineChars="200"/>
        <w:rPr>
          <w:rFonts w:ascii="宋体" w:hAnsi="宋体" w:cs="宋体"/>
          <w:kern w:val="0"/>
          <w:sz w:val="24"/>
        </w:rPr>
      </w:pPr>
      <w:r>
        <w:rPr>
          <w:rFonts w:hint="eastAsia" w:ascii="宋体" w:hAnsi="宋体" w:cs="宋体"/>
          <w:kern w:val="0"/>
          <w:sz w:val="24"/>
        </w:rPr>
        <w:t>所有竞争性磋商响应文件</w:t>
      </w:r>
      <w:r>
        <w:rPr>
          <w:rFonts w:hint="eastAsia" w:ascii="宋体" w:hAnsi="宋体" w:cs="宋体"/>
          <w:bCs/>
          <w:sz w:val="24"/>
        </w:rPr>
        <w:t>对签字、盖章有特别要求的地方，纸质版本投标文件无论正本或副本（副本可以是正本的复印件）必须由投标人法定代表人或法定代表人的授权委托人签署并加盖单位公章。电子投标文件中，投标人可以将扫描件上传至政采云系统，采用CA签章。投标人应写全称。</w:t>
      </w:r>
    </w:p>
    <w:p>
      <w:pPr>
        <w:pStyle w:val="23"/>
        <w:snapToGrid w:val="0"/>
        <w:spacing w:line="480" w:lineRule="exact"/>
        <w:ind w:left="105" w:leftChars="50" w:firstLine="361" w:firstLineChars="150"/>
        <w:jc w:val="left"/>
        <w:rPr>
          <w:rFonts w:hAnsi="宋体" w:cs="宋体"/>
          <w:b/>
          <w:bCs/>
          <w:kern w:val="0"/>
          <w:sz w:val="24"/>
          <w:szCs w:val="24"/>
        </w:rPr>
      </w:pPr>
      <w:r>
        <w:rPr>
          <w:rFonts w:hint="eastAsia" w:hAnsi="宋体" w:cs="宋体"/>
          <w:b/>
          <w:bCs/>
          <w:kern w:val="0"/>
          <w:sz w:val="24"/>
          <w:szCs w:val="24"/>
        </w:rPr>
        <w:t>7、竞争性磋商响应文件的递交</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▲1）本项目实行“网上投标、</w:t>
      </w:r>
      <w:r>
        <w:rPr>
          <w:rFonts w:hint="eastAsia" w:hAnsi="宋体" w:cs="宋体"/>
          <w:color w:val="C00000"/>
          <w:kern w:val="0"/>
          <w:sz w:val="24"/>
          <w:szCs w:val="24"/>
        </w:rPr>
        <w:t>电子评标”</w:t>
      </w:r>
      <w:r>
        <w:rPr>
          <w:rFonts w:hint="eastAsia" w:hAnsi="宋体" w:cs="宋体"/>
          <w:kern w:val="0"/>
          <w:sz w:val="24"/>
          <w:szCs w:val="24"/>
        </w:rPr>
        <w:t>，投标人应于投标截止时间前在“政采云”（电子交易平台）上传输、递交电子版投标文件（包括商务标、技术标）；</w:t>
      </w:r>
    </w:p>
    <w:p>
      <w:pPr>
        <w:snapToGrid w:val="0"/>
        <w:spacing w:line="480" w:lineRule="exact"/>
        <w:ind w:firstLine="480" w:firstLineChars="200"/>
        <w:rPr>
          <w:rFonts w:ascii="宋体" w:hAnsi="宋体" w:cs="宋体"/>
          <w:kern w:val="0"/>
          <w:sz w:val="24"/>
        </w:rPr>
      </w:pPr>
      <w:r>
        <w:rPr>
          <w:rFonts w:hint="eastAsia" w:ascii="宋体" w:hAnsi="宋体" w:cs="宋体"/>
          <w:kern w:val="0"/>
          <w:sz w:val="24"/>
        </w:rPr>
        <w:t>2）</w:t>
      </w:r>
      <w:r>
        <w:rPr>
          <w:rFonts w:hint="eastAsia" w:ascii="宋体" w:hAnsi="宋体" w:cs="宋体"/>
          <w:bCs/>
          <w:sz w:val="24"/>
        </w:rPr>
        <w:t>投标人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截止时间后传输递交的投标文件，将被拒收；</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3）投标人仅提交电子备份投标文件的，投标无效；</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4）本项目不强制投标人提交电子备份投标文件；如在开评标时出现电子投标文件无法解密或解密失败等情况，因投标人未提供电子备份投标文件而造成投标无效等一切后果和风险由投标人自行承担。</w:t>
      </w:r>
    </w:p>
    <w:p>
      <w:pPr>
        <w:pStyle w:val="23"/>
        <w:snapToGrid w:val="0"/>
        <w:spacing w:line="480" w:lineRule="exact"/>
        <w:ind w:left="105" w:leftChars="50" w:firstLine="361" w:firstLineChars="150"/>
        <w:jc w:val="left"/>
        <w:rPr>
          <w:rFonts w:hAnsi="宋体" w:cs="宋体"/>
          <w:b/>
          <w:bCs/>
          <w:kern w:val="0"/>
          <w:sz w:val="24"/>
          <w:szCs w:val="24"/>
        </w:rPr>
      </w:pPr>
      <w:r>
        <w:rPr>
          <w:rFonts w:hint="eastAsia" w:hAnsi="宋体" w:cs="宋体"/>
          <w:b/>
          <w:bCs/>
          <w:kern w:val="0"/>
          <w:sz w:val="24"/>
          <w:szCs w:val="24"/>
        </w:rPr>
        <w:t>5）中标方在领取中标通知书前，须向代理单位提供纸质投标文件；中标方须提商务标和技术标正本各1份、副本各1份，分别编制并单独装订成册；封面应注明“正本”、“副本”字样。（递交或邮寄地址：浙江诚远工程咨询有限公司（磐安县安文街道</w:t>
      </w:r>
      <w:r>
        <w:rPr>
          <w:rFonts w:hint="eastAsia" w:hAnsi="宋体" w:cs="宋体"/>
          <w:b/>
          <w:bCs/>
          <w:kern w:val="0"/>
          <w:sz w:val="24"/>
          <w:szCs w:val="24"/>
          <w:lang w:eastAsia="zh-CN"/>
        </w:rPr>
        <w:t>北镇街</w:t>
      </w:r>
      <w:r>
        <w:rPr>
          <w:rFonts w:hint="eastAsia" w:hAnsi="宋体" w:cs="宋体"/>
          <w:b/>
          <w:bCs/>
          <w:kern w:val="0"/>
          <w:sz w:val="24"/>
          <w:szCs w:val="24"/>
          <w:lang w:val="en-US" w:eastAsia="zh-CN"/>
        </w:rPr>
        <w:t>15号</w:t>
      </w:r>
      <w:r>
        <w:rPr>
          <w:rFonts w:hint="eastAsia" w:hAnsi="宋体" w:cs="宋体"/>
          <w:b/>
          <w:bCs/>
          <w:kern w:val="0"/>
          <w:sz w:val="24"/>
          <w:szCs w:val="24"/>
        </w:rPr>
        <w:t>2楼）；电话：</w:t>
      </w:r>
      <w:r>
        <w:rPr>
          <w:rFonts w:hint="eastAsia" w:hAnsi="宋体" w:cs="宋体"/>
          <w:b/>
          <w:bCs/>
          <w:kern w:val="0"/>
          <w:sz w:val="24"/>
          <w:szCs w:val="24"/>
          <w:lang w:val="en-US" w:eastAsia="zh-CN"/>
        </w:rPr>
        <w:t>15258906930</w:t>
      </w:r>
      <w:r>
        <w:rPr>
          <w:rFonts w:hint="eastAsia" w:hAnsi="宋体" w:cs="宋体"/>
          <w:b/>
          <w:bCs/>
          <w:kern w:val="0"/>
          <w:sz w:val="24"/>
          <w:szCs w:val="24"/>
        </w:rPr>
        <w:t>）</w:t>
      </w:r>
    </w:p>
    <w:p>
      <w:pPr>
        <w:pStyle w:val="23"/>
        <w:snapToGrid w:val="0"/>
        <w:spacing w:line="480" w:lineRule="exact"/>
        <w:ind w:left="105" w:leftChars="50" w:firstLine="361" w:firstLineChars="150"/>
        <w:jc w:val="left"/>
        <w:rPr>
          <w:rFonts w:hAnsi="宋体" w:cs="宋体"/>
          <w:b/>
          <w:bCs/>
          <w:kern w:val="0"/>
          <w:sz w:val="24"/>
          <w:szCs w:val="24"/>
        </w:rPr>
      </w:pPr>
      <w:r>
        <w:rPr>
          <w:rFonts w:hint="eastAsia" w:hAnsi="宋体" w:cs="宋体"/>
          <w:b/>
          <w:bCs/>
          <w:kern w:val="0"/>
          <w:sz w:val="24"/>
          <w:szCs w:val="24"/>
        </w:rPr>
        <w:t>6）有下列情况之一者其投标无效</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⑴响应文件逾期送达的；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⑵不具备磋商谈判文件规定资格要求；</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⑶磋商响应文件未按谈判文件要求签署、盖章的，未有效授权的；</w:t>
      </w:r>
    </w:p>
    <w:p>
      <w:pPr>
        <w:pStyle w:val="23"/>
        <w:snapToGrid w:val="0"/>
        <w:spacing w:line="480" w:lineRule="exact"/>
        <w:ind w:left="105" w:leftChars="50" w:firstLine="361" w:firstLineChars="150"/>
        <w:jc w:val="left"/>
        <w:rPr>
          <w:rFonts w:hAnsi="宋体" w:cs="宋体"/>
          <w:color w:val="000000" w:themeColor="text1"/>
          <w:kern w:val="0"/>
          <w:sz w:val="24"/>
          <w:szCs w:val="24"/>
          <w14:textFill>
            <w14:solidFill>
              <w14:schemeClr w14:val="tx1"/>
            </w14:solidFill>
          </w14:textFill>
        </w:rPr>
      </w:pPr>
      <w:r>
        <w:rPr>
          <w:rFonts w:hint="eastAsia" w:hAnsi="宋体" w:cs="宋体"/>
          <w:b/>
          <w:bCs/>
          <w:color w:val="000000" w:themeColor="text1"/>
          <w:kern w:val="0"/>
          <w:sz w:val="24"/>
          <w:szCs w:val="24"/>
          <w14:textFill>
            <w14:solidFill>
              <w14:schemeClr w14:val="tx1"/>
            </w14:solidFill>
          </w14:textFill>
        </w:rPr>
        <w:t>⑷磋商谈判文件中有▲处条款供应商未作实质性响应的；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⑸磋商响应文件关键内容字迹模糊、无法辨认的；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⑹磋商响应文件含有采购人不能接受的附加条件的；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⑺报价超出谈判文件中规定的预算金额或者最高限价的；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⑻提供虚假材料谋取成交的；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⑼不符合法律、法规和谈判文件规定的其他实质性要求的。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⑽电子磋商响应文件解密失败的；</w:t>
      </w:r>
    </w:p>
    <w:p>
      <w:pPr>
        <w:pStyle w:val="23"/>
        <w:snapToGrid w:val="0"/>
        <w:spacing w:line="480" w:lineRule="exact"/>
        <w:ind w:left="105" w:leftChars="50" w:firstLine="360" w:firstLineChars="150"/>
        <w:jc w:val="left"/>
        <w:rPr>
          <w:rFonts w:hAnsi="宋体" w:cs="宋体"/>
          <w:kern w:val="0"/>
          <w:sz w:val="24"/>
          <w:szCs w:val="24"/>
        </w:rPr>
      </w:pPr>
      <w:r>
        <w:rPr>
          <w:rFonts w:hint="eastAsia" w:hAnsi="宋体" w:cs="宋体"/>
          <w:kern w:val="0"/>
          <w:sz w:val="24"/>
          <w:szCs w:val="24"/>
        </w:rPr>
        <w:t>⑾电子磋商响应文件未按规定要求提供电子签章的；</w:t>
      </w:r>
    </w:p>
    <w:p>
      <w:pPr>
        <w:snapToGrid w:val="0"/>
        <w:spacing w:line="480" w:lineRule="exact"/>
        <w:jc w:val="center"/>
        <w:outlineLvl w:val="1"/>
        <w:rPr>
          <w:rFonts w:ascii="宋体" w:hAnsi="宋体" w:cs="宋体"/>
          <w:b/>
          <w:kern w:val="44"/>
          <w:sz w:val="24"/>
        </w:rPr>
      </w:pPr>
      <w:r>
        <w:rPr>
          <w:rFonts w:hint="eastAsia" w:ascii="宋体" w:hAnsi="宋体" w:cs="宋体"/>
          <w:b/>
          <w:kern w:val="44"/>
          <w:sz w:val="24"/>
        </w:rPr>
        <w:t>五 谈判与评标</w:t>
      </w:r>
      <w:bookmarkEnd w:id="72"/>
    </w:p>
    <w:p>
      <w:pPr>
        <w:pStyle w:val="23"/>
        <w:snapToGrid w:val="0"/>
        <w:spacing w:line="480" w:lineRule="exact"/>
        <w:jc w:val="left"/>
        <w:rPr>
          <w:rFonts w:hAnsi="宋体" w:cs="宋体"/>
          <w:b/>
          <w:sz w:val="24"/>
          <w:szCs w:val="24"/>
        </w:rPr>
      </w:pPr>
      <w:bookmarkStart w:id="73" w:name="_Toc30021"/>
      <w:r>
        <w:rPr>
          <w:rFonts w:hint="eastAsia" w:hAnsi="宋体" w:cs="宋体"/>
          <w:b/>
          <w:sz w:val="24"/>
          <w:szCs w:val="24"/>
        </w:rPr>
        <w:t>一十三、磋商小组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采购代理机构在“前附表”中规定的时间、地点，在有关部门的监督下组织竞争性磋商会议。投标商须由法定代表人持有效身份证件或委托代理机构持授权委托书和有效身份证件参加。未能按要求提交证件的视为不合格投标商，将拒绝其进入磋商程序。采购人将根据本次采购的特点，按照《中华人民共和国政府采购法》规定成立磋商小组。磋商小组对投标文件进行审查、质疑、评估和比较，并进行磋商、定标。</w:t>
      </w:r>
    </w:p>
    <w:p>
      <w:pPr>
        <w:pStyle w:val="23"/>
        <w:snapToGrid w:val="0"/>
        <w:spacing w:line="480" w:lineRule="exact"/>
        <w:jc w:val="left"/>
        <w:rPr>
          <w:rFonts w:hAnsi="宋体" w:cs="宋体"/>
          <w:b/>
          <w:sz w:val="24"/>
          <w:szCs w:val="24"/>
        </w:rPr>
      </w:pPr>
      <w:r>
        <w:rPr>
          <w:rFonts w:hint="eastAsia" w:hAnsi="宋体" w:cs="宋体"/>
          <w:b/>
          <w:sz w:val="24"/>
          <w:szCs w:val="24"/>
        </w:rPr>
        <w:t>一十四、对“投标文件”的审查和响应性</w:t>
      </w:r>
    </w:p>
    <w:p>
      <w:pPr>
        <w:pStyle w:val="23"/>
        <w:snapToGrid w:val="0"/>
        <w:spacing w:line="480" w:lineRule="exact"/>
        <w:ind w:firstLine="482" w:firstLineChars="200"/>
        <w:jc w:val="left"/>
        <w:rPr>
          <w:rFonts w:hAnsi="宋体" w:cs="宋体"/>
          <w:color w:val="000000"/>
          <w:kern w:val="0"/>
          <w:sz w:val="24"/>
          <w:szCs w:val="24"/>
        </w:rPr>
      </w:pPr>
      <w:r>
        <w:rPr>
          <w:rFonts w:hint="eastAsia" w:hAnsi="宋体" w:cs="宋体"/>
          <w:b/>
          <w:color w:val="000000"/>
          <w:kern w:val="0"/>
          <w:sz w:val="24"/>
          <w:szCs w:val="24"/>
        </w:rPr>
        <w:t>1</w:t>
      </w:r>
      <w:r>
        <w:rPr>
          <w:rFonts w:hint="eastAsia" w:hAnsi="宋体" w:cs="宋体"/>
          <w:color w:val="000000"/>
          <w:kern w:val="0"/>
          <w:sz w:val="24"/>
          <w:szCs w:val="24"/>
        </w:rPr>
        <w:t>.磋商小组就所有投标文件是否对磋商文件的实质性要求作出完全响应进行资格初审，确定合格投标人。</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①磋商小组审查“投标文件”是否完整；是否有计算错误；文件是否恰当地签署。</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②在对“投标文件”进行详细评估之前，磋商小组将依据投标方提供的“资信文件”审查投标方的技术和服务或生产能力。如果确定投标方无资格履行合同，其投标将被拒绝。</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kern w:val="0"/>
          <w:sz w:val="24"/>
        </w:rPr>
      </w:pPr>
      <w:r>
        <w:rPr>
          <w:rFonts w:hint="eastAsia" w:ascii="宋体" w:hAnsi="宋体" w:cs="宋体"/>
          <w:color w:val="000000"/>
          <w:kern w:val="0"/>
          <w:sz w:val="24"/>
        </w:rPr>
        <w:t>③磋商小组将确定每份投标文件是否对“磋商文件”的要求，作出了实质性的响应而没有重大偏离。实质上响应的投标应该是与磋商文件要求的全部条款、条件和规格相符且没有重大偏离的投标。对投标文件中的商务文件和技术文件的负偏离（使采购人无法接受）、反对将被认为是实质上的偏离，而纠正这些偏离将影响到其它提交实质性响应投标的投标人的公平竞争地位。实质偏离除本须知中列明的事项外，还包括：超出经营范围投标；投标文件未按第十七条和十九条的要求签署和盖章；投标文件明显不满足磋商文件的技术规格、技术标准要求或超出偏差范围。</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④磋商小组判断“投标文件”的响应性，仅基于“投标文件”本身而不靠外部证据。</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⑤采购人将拒绝被磋商小组确定为非实质性响应的投标方。投标方不能通过修正或撤销不符之处，而使其投标成为实质性响应的投标。</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color w:val="000000"/>
          <w:kern w:val="0"/>
          <w:sz w:val="24"/>
        </w:rPr>
      </w:pPr>
      <w:r>
        <w:rPr>
          <w:rFonts w:hint="eastAsia" w:ascii="宋体" w:hAnsi="宋体" w:cs="宋体"/>
          <w:b/>
          <w:color w:val="000000"/>
          <w:kern w:val="0"/>
          <w:sz w:val="24"/>
        </w:rPr>
        <w:t>2</w:t>
      </w:r>
      <w:r>
        <w:rPr>
          <w:rFonts w:hint="eastAsia" w:ascii="宋体" w:hAnsi="宋体" w:cs="宋体"/>
          <w:color w:val="000000"/>
          <w:kern w:val="0"/>
          <w:sz w:val="24"/>
        </w:rPr>
        <w:t>.</w:t>
      </w:r>
      <w:r>
        <w:rPr>
          <w:rFonts w:hint="eastAsia" w:ascii="宋体" w:hAnsi="宋体" w:cs="宋体"/>
          <w:b/>
          <w:color w:val="000000"/>
          <w:kern w:val="0"/>
          <w:sz w:val="24"/>
        </w:rPr>
        <w:t>投标无效的情形</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实质上没有响应招标文件要求的投标将被视为无效投标。投标人不得通过修正或撤消不合要求的偏离或保留从而使其投标成为实质上响应的投标，但经评标委员会认定属于投标人疏忽、笔误所造成的差错，应当允许其在评标结束之前进行修改或者补正（可以是复印件、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分结果。</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241" w:firstLineChars="100"/>
        <w:jc w:val="left"/>
        <w:rPr>
          <w:rFonts w:ascii="宋体" w:hAnsi="宋体" w:cs="宋体"/>
          <w:b/>
          <w:color w:val="000000"/>
          <w:kern w:val="0"/>
          <w:sz w:val="24"/>
        </w:rPr>
      </w:pPr>
      <w:r>
        <w:rPr>
          <w:rFonts w:hint="eastAsia" w:ascii="宋体" w:hAnsi="宋体" w:cs="宋体"/>
          <w:b/>
          <w:color w:val="000000"/>
          <w:kern w:val="0"/>
          <w:sz w:val="24"/>
        </w:rPr>
        <w:t>（1）在符合性审查和商务评审时，如发现下列情形之一的，投标文件将被视为无效：</w:t>
      </w:r>
    </w:p>
    <w:p>
      <w:pPr>
        <w:snapToGrid w:val="0"/>
        <w:spacing w:line="480" w:lineRule="exact"/>
        <w:ind w:firstLine="470" w:firstLineChars="196"/>
        <w:rPr>
          <w:rFonts w:ascii="宋体" w:hAnsi="宋体" w:cs="宋体"/>
          <w:color w:val="000000"/>
          <w:kern w:val="0"/>
          <w:sz w:val="24"/>
        </w:rPr>
      </w:pPr>
      <w:r>
        <w:rPr>
          <w:rFonts w:hint="eastAsia" w:ascii="宋体" w:hAnsi="宋体" w:cs="宋体"/>
          <w:color w:val="000000"/>
          <w:kern w:val="0"/>
          <w:sz w:val="24"/>
        </w:rPr>
        <w:t>①</w:t>
      </w:r>
      <w:r>
        <w:rPr>
          <w:rFonts w:hint="eastAsia" w:ascii="宋体" w:hAnsi="宋体" w:cs="宋体"/>
          <w:color w:val="000000"/>
          <w:sz w:val="24"/>
        </w:rPr>
        <w:t>超出经营范围竞标且法律法规规定属于限制经营或需前置性经营许可的；</w:t>
      </w:r>
    </w:p>
    <w:p>
      <w:pPr>
        <w:snapToGrid w:val="0"/>
        <w:spacing w:line="480" w:lineRule="exact"/>
        <w:ind w:firstLine="470" w:firstLineChars="196"/>
        <w:rPr>
          <w:rFonts w:ascii="宋体" w:hAnsi="宋体" w:cs="宋体"/>
          <w:color w:val="000000"/>
          <w:kern w:val="0"/>
          <w:sz w:val="24"/>
        </w:rPr>
      </w:pPr>
      <w:r>
        <w:rPr>
          <w:rFonts w:hint="eastAsia" w:ascii="宋体" w:hAnsi="宋体" w:cs="宋体"/>
          <w:color w:val="000000"/>
          <w:kern w:val="0"/>
          <w:sz w:val="24"/>
        </w:rPr>
        <w:t>②</w:t>
      </w:r>
      <w:r>
        <w:rPr>
          <w:rFonts w:hint="eastAsia" w:ascii="宋体" w:hAnsi="宋体" w:cs="宋体"/>
          <w:color w:val="000000"/>
          <w:spacing w:val="-4"/>
          <w:sz w:val="24"/>
        </w:rPr>
        <w:t>磋商时不能按采购文件和</w:t>
      </w:r>
      <w:r>
        <w:rPr>
          <w:rFonts w:hint="eastAsia" w:ascii="宋体" w:hAnsi="宋体" w:cs="宋体"/>
          <w:color w:val="000000"/>
          <w:sz w:val="24"/>
        </w:rPr>
        <w:t>磋商小组</w:t>
      </w:r>
      <w:r>
        <w:rPr>
          <w:rFonts w:hint="eastAsia" w:ascii="宋体" w:hAnsi="宋体" w:cs="宋体"/>
          <w:color w:val="000000"/>
          <w:spacing w:val="-4"/>
          <w:sz w:val="24"/>
        </w:rPr>
        <w:t>要求提供相应的资格文件</w:t>
      </w:r>
      <w:r>
        <w:rPr>
          <w:rFonts w:hint="eastAsia" w:ascii="宋体" w:hAnsi="宋体" w:cs="宋体"/>
          <w:color w:val="000000"/>
          <w:sz w:val="24"/>
        </w:rPr>
        <w:t>进行资格审查的，或者不符合采购文件标明的资格要求的；</w:t>
      </w:r>
    </w:p>
    <w:p>
      <w:pPr>
        <w:snapToGrid w:val="0"/>
        <w:spacing w:line="480" w:lineRule="exact"/>
        <w:ind w:firstLine="470" w:firstLineChars="196"/>
        <w:rPr>
          <w:rFonts w:ascii="宋体" w:hAnsi="宋体" w:cs="宋体"/>
          <w:color w:val="000000"/>
          <w:kern w:val="0"/>
          <w:sz w:val="24"/>
        </w:rPr>
      </w:pPr>
      <w:r>
        <w:rPr>
          <w:rFonts w:hint="eastAsia" w:ascii="宋体" w:hAnsi="宋体" w:cs="宋体"/>
          <w:color w:val="000000"/>
          <w:kern w:val="0"/>
          <w:sz w:val="24"/>
        </w:rPr>
        <w:t>③</w:t>
      </w:r>
      <w:r>
        <w:rPr>
          <w:rFonts w:hint="eastAsia" w:ascii="宋体" w:hAnsi="宋体" w:cs="宋体"/>
          <w:color w:val="000000"/>
          <w:sz w:val="24"/>
        </w:rPr>
        <w:t>竞争性磋商响应文件所有的声明书、采购响应函和法定代表人授权书原件均无盖单位CA章的,或未按采购文件规定格式</w:t>
      </w:r>
      <w:r>
        <w:rPr>
          <w:rFonts w:hint="eastAsia" w:ascii="宋体" w:hAnsi="宋体" w:cs="宋体"/>
          <w:bCs/>
          <w:color w:val="000000"/>
          <w:kern w:val="0"/>
          <w:sz w:val="24"/>
        </w:rPr>
        <w:t>提供声明书、</w:t>
      </w:r>
      <w:r>
        <w:rPr>
          <w:rFonts w:hint="eastAsia" w:ascii="宋体" w:hAnsi="宋体" w:cs="宋体"/>
          <w:color w:val="000000"/>
          <w:sz w:val="24"/>
        </w:rPr>
        <w:t>采购响应函</w:t>
      </w:r>
      <w:r>
        <w:rPr>
          <w:rFonts w:hint="eastAsia" w:ascii="宋体" w:hAnsi="宋体" w:cs="宋体"/>
          <w:bCs/>
          <w:color w:val="000000"/>
          <w:kern w:val="0"/>
          <w:sz w:val="24"/>
        </w:rPr>
        <w:t>、</w:t>
      </w:r>
      <w:r>
        <w:rPr>
          <w:rFonts w:hint="eastAsia" w:ascii="宋体" w:hAnsi="宋体" w:cs="宋体"/>
          <w:color w:val="000000"/>
          <w:sz w:val="24"/>
        </w:rPr>
        <w:t>供应商市场行为信誉（申明书）情况承诺书</w:t>
      </w:r>
      <w:r>
        <w:rPr>
          <w:rFonts w:hint="eastAsia" w:ascii="宋体" w:hAnsi="宋体" w:cs="宋体"/>
          <w:bCs/>
          <w:color w:val="000000"/>
          <w:kern w:val="0"/>
          <w:sz w:val="24"/>
        </w:rPr>
        <w:t>和</w:t>
      </w:r>
      <w:r>
        <w:rPr>
          <w:rFonts w:hint="eastAsia" w:ascii="宋体" w:hAnsi="宋体" w:cs="宋体"/>
          <w:color w:val="000000"/>
          <w:sz w:val="24"/>
        </w:rPr>
        <w:t>法定代表人授权书</w:t>
      </w:r>
      <w:r>
        <w:rPr>
          <w:rFonts w:hint="eastAsia" w:ascii="宋体" w:hAnsi="宋体" w:cs="宋体"/>
          <w:bCs/>
          <w:color w:val="000000"/>
          <w:kern w:val="0"/>
          <w:sz w:val="24"/>
        </w:rPr>
        <w:t>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④投标代表人未能出具身份证或与法定代表人授权委托人身份不符的；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⑤投标文件格式不规范、项目不齐全或者提供不真实资料的；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⑥投标文件的实质性内容未使用中文表述、意思表述不明确、前后矛盾或者使用计量单位不符合招标文件要求的（经评标委员会认定并允许其当场更正的笔误除外）；</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⑦投标有效期、交货时间、质保期、付款方式等商务条款不能满足招标文件要求的；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sz w:val="24"/>
        </w:rPr>
      </w:pPr>
      <w:r>
        <w:rPr>
          <w:rFonts w:hint="eastAsia" w:ascii="宋体" w:hAnsi="宋体" w:cs="宋体"/>
          <w:color w:val="000000"/>
          <w:kern w:val="0"/>
          <w:sz w:val="24"/>
        </w:rPr>
        <w:t>⑧电子竞争性磋商响应文件解密失败的，且未在规定时间内提交备份竞争性磋商响应文件的，或备份竞争性磋商响应文件均无法评审使用的；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⑼未实质性响应招标文件要求或投标文件有招标方不能接受的附加条件的。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241" w:firstLineChars="100"/>
        <w:jc w:val="left"/>
        <w:rPr>
          <w:rFonts w:ascii="宋体" w:hAnsi="宋体" w:cs="宋体"/>
          <w:b/>
          <w:color w:val="000000"/>
          <w:kern w:val="0"/>
          <w:sz w:val="24"/>
        </w:rPr>
      </w:pPr>
      <w:r>
        <w:rPr>
          <w:rFonts w:hint="eastAsia" w:ascii="宋体" w:hAnsi="宋体" w:cs="宋体"/>
          <w:b/>
          <w:color w:val="000000"/>
          <w:kern w:val="0"/>
          <w:sz w:val="24"/>
        </w:rPr>
        <w:t>（2）在技术评审时，如发现下列情形之一的，投标文件将被视为无效：</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①未提供或未如实提供投标货物的技术参数，或者投标文件标明的响应或偏离与事实不符或虚假投标的；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②投标技术方案不明确，存在一个或一个以上备选（替代）投标方案的；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③与其他参加本次投标投标商的投标文件（技术文件）的文字表述内容相同连续20行以上或者差错相同2处以上的；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④投标品牌与文件品牌不一致的。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241" w:firstLineChars="100"/>
        <w:jc w:val="left"/>
        <w:rPr>
          <w:rFonts w:ascii="宋体" w:hAnsi="宋体" w:cs="宋体"/>
          <w:b/>
          <w:color w:val="000000"/>
          <w:kern w:val="0"/>
          <w:sz w:val="24"/>
        </w:rPr>
      </w:pPr>
      <w:r>
        <w:rPr>
          <w:rFonts w:hint="eastAsia" w:ascii="宋体" w:hAnsi="宋体" w:cs="宋体"/>
          <w:b/>
          <w:color w:val="000000"/>
          <w:kern w:val="0"/>
          <w:sz w:val="24"/>
        </w:rPr>
        <w:t>（3）在报价评审时，如发现下列情形之一的，投标文件将被视为无效：</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①未采用人民币报价或者未按照招标文件标明的币种报价的；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②报价超出最高限价的；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③投标报价具有选择性，或者开标价格与投标文件承诺的优惠（折扣）价格不一致的；</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④被拒绝的投标文件为无效。</w:t>
      </w:r>
    </w:p>
    <w:p>
      <w:pPr>
        <w:pStyle w:val="23"/>
        <w:snapToGrid w:val="0"/>
        <w:spacing w:line="480" w:lineRule="exact"/>
        <w:jc w:val="left"/>
        <w:rPr>
          <w:rFonts w:hAnsi="宋体" w:cs="宋体"/>
          <w:b/>
          <w:sz w:val="24"/>
          <w:szCs w:val="24"/>
        </w:rPr>
      </w:pPr>
      <w:r>
        <w:rPr>
          <w:rFonts w:hint="eastAsia" w:hAnsi="宋体" w:cs="宋体"/>
          <w:b/>
          <w:sz w:val="24"/>
          <w:szCs w:val="24"/>
        </w:rPr>
        <w:t>一十五、磋商与评审</w:t>
      </w:r>
    </w:p>
    <w:p>
      <w:pPr>
        <w:pStyle w:val="23"/>
        <w:snapToGrid w:val="0"/>
        <w:spacing w:line="480" w:lineRule="exact"/>
        <w:ind w:firstLine="588" w:firstLineChars="245"/>
        <w:jc w:val="left"/>
        <w:rPr>
          <w:rFonts w:hAnsi="宋体" w:cs="宋体"/>
          <w:color w:val="000000"/>
          <w:kern w:val="0"/>
          <w:sz w:val="24"/>
          <w:szCs w:val="24"/>
        </w:rPr>
      </w:pPr>
      <w:r>
        <w:rPr>
          <w:rFonts w:hint="eastAsia" w:hAnsi="宋体" w:cs="宋体"/>
          <w:color w:val="000000"/>
          <w:kern w:val="0"/>
          <w:sz w:val="24"/>
          <w:szCs w:val="24"/>
        </w:rPr>
        <w:t>1．采购人根据需要对合格投标方进行磋商。</w:t>
      </w:r>
    </w:p>
    <w:p>
      <w:pPr>
        <w:pStyle w:val="23"/>
        <w:snapToGrid w:val="0"/>
        <w:spacing w:line="480" w:lineRule="exact"/>
        <w:ind w:firstLine="588" w:firstLineChars="245"/>
        <w:jc w:val="left"/>
        <w:rPr>
          <w:rFonts w:hAnsi="宋体" w:cs="宋体"/>
          <w:b/>
          <w:color w:val="000000"/>
          <w:kern w:val="0"/>
          <w:sz w:val="24"/>
          <w:szCs w:val="24"/>
          <w:u w:val="single"/>
        </w:rPr>
      </w:pPr>
      <w:r>
        <w:rPr>
          <w:rFonts w:hint="eastAsia" w:hAnsi="宋体" w:cs="宋体"/>
          <w:color w:val="000000"/>
          <w:kern w:val="0"/>
          <w:sz w:val="24"/>
          <w:szCs w:val="24"/>
        </w:rPr>
        <w:t>2．磋商小组成员与资格审查合格投标商进行谈判。投标方应由法人代表或法人代表授权的投标人进行磋商。磋商的内容主要有服务内容、服务质量、合同草案，包括当事人的权利和义务、履约期限和方式、资金支付要求、验收标准等投标人所作的重要答复均应补充以书面形式，并经法定代表人或授权人签署，作为投标文件的一部分，对投标人有约束力，但不得对投标内容进行实质性修改。在磋商中，磋商的任何一方不得透露与磋商有关的其他投标商的技术资料、价格和其他信息。专家询标期间，投标方法定代表人或委托代理人必须在场。</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3．为了更好地实现采购目标，磋商小组可能对部分设备进行增删或技术规格、质量要求以及磋商文件的其他条款进行修改，但涉及实质性变动的，要以书面形式通知所有参加磋商的投标商。投标商收到修改磋商文件的通知后，可以决定是否继续参加磋商活动。</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4．如对磋商文件中的设备及规格要求没有更改的，即对商务部分进行评审。如果有更改的则按照新的规定，并在启封商务标之前要求所有参加磋商的投标商对修改磋商文件的通知进行签字，在规定时间内再次报价。超过规定时间提交的报价作无效处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kern w:val="0"/>
          <w:sz w:val="24"/>
        </w:rPr>
        <w:t>5．</w:t>
      </w:r>
      <w:r>
        <w:rPr>
          <w:rFonts w:hint="eastAsia" w:ascii="宋体" w:hAnsi="宋体" w:cs="宋体"/>
          <w:color w:val="000000"/>
          <w:kern w:val="0"/>
          <w:sz w:val="24"/>
        </w:rPr>
        <w:t>在评标过程中，如磋商小组在某个评标阶段发现前一阶段评标过程中出现漏评、错评等特殊情形的，可以由磋商小组遵循公开、公正原则，采取投票方式按照少数服从多数原则做出书面评标意见，当场复评更正评标错误，但此复评仅限于投标商出现重大偏离或未实质性响应招标要求的情形，不得涉及投标商评分得分的更正修改。为此，可能造成的投标商投标文件的开启拆封，评标顺序的变更，采购人、采购组织机构与磋商小组不承担责任。</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6．如本项目参与投标的投标商不足三家的，本项目做流标处理；如本项目在评审过程中出现有效投标商不足三家的，可以按《政府采购竞争性磋商采购方式管理暂行办法》的通知【财库〔2014〕214号】文件规定执行。</w:t>
      </w:r>
    </w:p>
    <w:p>
      <w:pPr>
        <w:snapToGrid w:val="0"/>
        <w:spacing w:line="480" w:lineRule="exact"/>
        <w:jc w:val="center"/>
        <w:outlineLvl w:val="1"/>
        <w:rPr>
          <w:rFonts w:ascii="宋体" w:hAnsi="宋体" w:cs="宋体"/>
          <w:b/>
          <w:color w:val="000000" w:themeColor="text1"/>
          <w:kern w:val="44"/>
          <w:sz w:val="24"/>
          <w14:textFill>
            <w14:solidFill>
              <w14:schemeClr w14:val="tx1"/>
            </w14:solidFill>
          </w14:textFill>
        </w:rPr>
      </w:pPr>
      <w:r>
        <w:rPr>
          <w:rFonts w:hint="eastAsia" w:ascii="宋体" w:hAnsi="宋体" w:cs="宋体"/>
          <w:b/>
          <w:color w:val="000000" w:themeColor="text1"/>
          <w:kern w:val="44"/>
          <w:sz w:val="24"/>
          <w14:textFill>
            <w14:solidFill>
              <w14:schemeClr w14:val="tx1"/>
            </w14:solidFill>
          </w14:textFill>
        </w:rPr>
        <w:t>六  磋商程序</w:t>
      </w:r>
      <w:bookmarkEnd w:id="73"/>
    </w:p>
    <w:p>
      <w:pPr>
        <w:pStyle w:val="23"/>
        <w:snapToGrid w:val="0"/>
        <w:spacing w:line="480" w:lineRule="exact"/>
        <w:jc w:val="left"/>
        <w:rPr>
          <w:rFonts w:hAnsi="宋体" w:cs="宋体"/>
          <w:b/>
          <w:color w:val="000000" w:themeColor="text1"/>
          <w:sz w:val="24"/>
          <w:szCs w:val="24"/>
          <w14:textFill>
            <w14:solidFill>
              <w14:schemeClr w14:val="tx1"/>
            </w14:solidFill>
          </w14:textFill>
        </w:rPr>
      </w:pPr>
      <w:bookmarkStart w:id="74" w:name="_Toc15805936"/>
      <w:bookmarkStart w:id="75" w:name="_Toc44759085"/>
      <w:bookmarkStart w:id="76" w:name="_Toc114115351"/>
      <w:bookmarkStart w:id="77" w:name="_Toc15813253"/>
      <w:bookmarkStart w:id="78" w:name="_Toc44759273"/>
      <w:r>
        <w:rPr>
          <w:rFonts w:hint="eastAsia" w:hAnsi="宋体" w:cs="宋体"/>
          <w:b/>
          <w:color w:val="000000" w:themeColor="text1"/>
          <w:sz w:val="24"/>
          <w:szCs w:val="24"/>
          <w14:textFill>
            <w14:solidFill>
              <w14:schemeClr w14:val="tx1"/>
            </w14:solidFill>
          </w14:textFill>
        </w:rPr>
        <w:t>一十六、磋商程序</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1.磋商会由浙江诚远工程咨询有限公司主持，主持人宣布磋商会议开始；</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2.主持人介绍参加磋商会的人员名单；</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3.主持人宣布磋商期间的有关事项，告知应当回避的情形,提请有关人员回避，组织到场供应商签署不存在影响公平竞争的《政府采购活动现场确认声明书》；</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4.电子磋商开标及评审程序</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themeColor="text1"/>
          <w:kern w:val="0"/>
          <w:sz w:val="24"/>
          <w:u w:val="single"/>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4.1磋商响应截止时间后，竞标人登录政采云平台，用“项目采购-开标评标”功能对电子竞争性磋商响应文件进行在线解密。</w:t>
      </w:r>
      <w:r>
        <w:rPr>
          <w:rFonts w:hint="eastAsia" w:ascii="宋体" w:hAnsi="宋体" w:cs="宋体"/>
          <w:b/>
          <w:bCs/>
          <w:color w:val="000000" w:themeColor="text1"/>
          <w:kern w:val="0"/>
          <w:sz w:val="24"/>
          <w:u w:val="single"/>
          <w14:textFill>
            <w14:solidFill>
              <w14:schemeClr w14:val="tx1"/>
            </w14:solidFill>
          </w14:textFill>
        </w:rPr>
        <w:t>在线解密电子竞争性磋商响应文件时间为磋商响应时间起半个小时内。</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4.2采购人及采购代理机构依法对磋商响应方的资格进行审查，资格审查结束后磋商小组对竞争性磋商响应文件进行评审；</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4.3在系统上录入最终报价情况；</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4.4在系统上公开资格和商务技术评审结果；</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4.5评标委员会对报价情况进行评审；</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4.6在系统上公布评审结果。</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特别说明：政采云公司如对电子化开标及评审程序有调整的，按调整后的程序操作。</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themeColor="text1"/>
          <w:kern w:val="0"/>
          <w:sz w:val="24"/>
          <w14:textFill>
            <w14:solidFill>
              <w14:schemeClr w14:val="tx1"/>
            </w14:solidFill>
          </w14:textFill>
        </w:rPr>
      </w:pPr>
      <w:r>
        <w:rPr>
          <w:rFonts w:hint="eastAsia" w:ascii="宋体" w:hAnsi="宋体" w:cs="宋体"/>
          <w:b/>
          <w:bCs/>
          <w:color w:val="000000" w:themeColor="text1"/>
          <w:kern w:val="0"/>
          <w:sz w:val="24"/>
          <w14:textFill>
            <w14:solidFill>
              <w14:schemeClr w14:val="tx1"/>
            </w14:solidFill>
          </w14:textFill>
        </w:rPr>
        <w:t>5. 纸质招投标开标及评审程序（如需）</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5.1磋商响应方检查竞争性磋商响应文件密封的完整性并签字确认；</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5.2竞争性磋商响应文件启封前，磋商响应方代表应书面提出对参加磋商会的主持人、唱读人、纪录人和监督人是否有回避的请求，然经确认无误后打开资格文件、商务技术文件和初次报价文件外包装，清点竞争性磋商响应文件正本、副本数量，将符合采购文件要求的送评标室审核。</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5.3磋商小组确认采购文件，讨论决定是否需要求采购文件的要求（采购文件规定的可变动部分）进行实质性变动。</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b/>
          <w:bCs/>
          <w:color w:val="000000" w:themeColor="text1"/>
          <w:kern w:val="0"/>
          <w:sz w:val="24"/>
          <w14:textFill>
            <w14:solidFill>
              <w14:schemeClr w14:val="tx1"/>
            </w14:solidFill>
          </w14:textFill>
        </w:rPr>
      </w:pPr>
      <w:r>
        <w:rPr>
          <w:rFonts w:hint="eastAsia" w:ascii="宋体" w:hAnsi="宋体" w:cs="宋体"/>
          <w:color w:val="000000" w:themeColor="text1"/>
          <w:kern w:val="0"/>
          <w:sz w:val="24"/>
          <w14:textFill>
            <w14:solidFill>
              <w14:schemeClr w14:val="tx1"/>
            </w14:solidFill>
          </w14:textFill>
        </w:rPr>
        <w:t>5.4</w:t>
      </w:r>
      <w:r>
        <w:rPr>
          <w:rFonts w:hint="eastAsia" w:ascii="宋体" w:hAnsi="宋体" w:cs="宋体"/>
          <w:b/>
          <w:bCs/>
          <w:color w:val="000000" w:themeColor="text1"/>
          <w:kern w:val="0"/>
          <w:sz w:val="24"/>
          <w14:textFill>
            <w14:solidFill>
              <w14:schemeClr w14:val="tx1"/>
            </w14:solidFill>
          </w14:textFill>
        </w:rPr>
        <w:t>采购人</w:t>
      </w:r>
      <w:r>
        <w:rPr>
          <w:rFonts w:hint="eastAsia" w:ascii="宋体" w:hAnsi="宋体" w:cs="宋体"/>
          <w:color w:val="000000" w:themeColor="text1"/>
          <w:kern w:val="0"/>
          <w:sz w:val="24"/>
          <w14:textFill>
            <w14:solidFill>
              <w14:schemeClr w14:val="tx1"/>
            </w14:solidFill>
          </w14:textFill>
        </w:rPr>
        <w:t>检查磋商响应方提交的资格文件，对磋商响应方进行资格审查,</w:t>
      </w:r>
      <w:r>
        <w:rPr>
          <w:rFonts w:hint="eastAsia" w:ascii="宋体" w:hAnsi="宋体" w:cs="宋体"/>
          <w:b/>
          <w:bCs/>
          <w:color w:val="000000" w:themeColor="text1"/>
          <w:kern w:val="0"/>
          <w:sz w:val="24"/>
          <w14:textFill>
            <w14:solidFill>
              <w14:schemeClr w14:val="tx1"/>
            </w14:solidFill>
          </w14:textFill>
        </w:rPr>
        <w:t>包括对供应商在“信用中国”网站（</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"http://www.creditchina.gov.cn" </w:instrText>
      </w:r>
      <w:r>
        <w:rPr>
          <w:color w:val="000000" w:themeColor="text1"/>
          <w14:textFill>
            <w14:solidFill>
              <w14:schemeClr w14:val="tx1"/>
            </w14:solidFill>
          </w14:textFill>
        </w:rPr>
        <w:fldChar w:fldCharType="separate"/>
      </w:r>
      <w:r>
        <w:rPr>
          <w:rFonts w:hint="eastAsia" w:ascii="宋体" w:hAnsi="宋体" w:cs="宋体"/>
          <w:b/>
          <w:bCs/>
          <w:color w:val="000000" w:themeColor="text1"/>
          <w:kern w:val="0"/>
          <w:sz w:val="24"/>
          <w14:textFill>
            <w14:solidFill>
              <w14:schemeClr w14:val="tx1"/>
            </w14:solidFill>
          </w14:textFill>
        </w:rPr>
        <w:t>www.creditchina.gov.cn</w:t>
      </w:r>
      <w:r>
        <w:rPr>
          <w:rFonts w:hint="eastAsia" w:ascii="宋体" w:hAnsi="宋体" w:cs="宋体"/>
          <w:b/>
          <w:bCs/>
          <w:color w:val="000000" w:themeColor="text1"/>
          <w:kern w:val="0"/>
          <w:sz w:val="24"/>
          <w14:textFill>
            <w14:solidFill>
              <w14:schemeClr w14:val="tx1"/>
            </w14:solidFill>
          </w14:textFill>
        </w:rPr>
        <w:fldChar w:fldCharType="end"/>
      </w:r>
      <w:r>
        <w:rPr>
          <w:rFonts w:hint="eastAsia" w:ascii="宋体" w:hAnsi="宋体" w:cs="宋体"/>
          <w:b/>
          <w:bCs/>
          <w:color w:val="000000" w:themeColor="text1"/>
          <w:kern w:val="0"/>
          <w:sz w:val="24"/>
          <w14:textFill>
            <w14:solidFill>
              <w14:schemeClr w14:val="tx1"/>
            </w14:solidFill>
          </w14:textFill>
        </w:rPr>
        <w:t>）和中国政府采购网（</w:t>
      </w:r>
      <w:r>
        <w:rPr>
          <w:color w:val="000000" w:themeColor="text1"/>
          <w14:textFill>
            <w14:solidFill>
              <w14:schemeClr w14:val="tx1"/>
            </w14:solidFill>
          </w14:textFill>
        </w:rPr>
        <w:fldChar w:fldCharType="begin"/>
      </w:r>
      <w:r>
        <w:rPr>
          <w:color w:val="000000" w:themeColor="text1"/>
          <w14:textFill>
            <w14:solidFill>
              <w14:schemeClr w14:val="tx1"/>
            </w14:solidFill>
          </w14:textFill>
        </w:rPr>
        <w:instrText xml:space="preserve"> HYPERLINK "http://www.ccgp.gov.cn" </w:instrText>
      </w:r>
      <w:r>
        <w:rPr>
          <w:color w:val="000000" w:themeColor="text1"/>
          <w14:textFill>
            <w14:solidFill>
              <w14:schemeClr w14:val="tx1"/>
            </w14:solidFill>
          </w14:textFill>
        </w:rPr>
        <w:fldChar w:fldCharType="separate"/>
      </w:r>
      <w:r>
        <w:rPr>
          <w:rFonts w:hint="eastAsia" w:ascii="宋体" w:hAnsi="宋体" w:cs="宋体"/>
          <w:b/>
          <w:bCs/>
          <w:color w:val="000000" w:themeColor="text1"/>
          <w:kern w:val="0"/>
          <w:sz w:val="24"/>
          <w14:textFill>
            <w14:solidFill>
              <w14:schemeClr w14:val="tx1"/>
            </w14:solidFill>
          </w14:textFill>
        </w:rPr>
        <w:t>www.ccgp.gov.cn</w:t>
      </w:r>
      <w:r>
        <w:rPr>
          <w:rFonts w:hint="eastAsia" w:ascii="宋体" w:hAnsi="宋体" w:cs="宋体"/>
          <w:b/>
          <w:bCs/>
          <w:color w:val="000000" w:themeColor="text1"/>
          <w:kern w:val="0"/>
          <w:sz w:val="24"/>
          <w14:textFill>
            <w14:solidFill>
              <w14:schemeClr w14:val="tx1"/>
            </w14:solidFill>
          </w14:textFill>
        </w:rPr>
        <w:fldChar w:fldCharType="end"/>
      </w:r>
      <w:r>
        <w:rPr>
          <w:rFonts w:hint="eastAsia" w:ascii="宋体" w:hAnsi="宋体" w:cs="宋体"/>
          <w:b/>
          <w:bCs/>
          <w:color w:val="000000" w:themeColor="text1"/>
          <w:kern w:val="0"/>
          <w:sz w:val="24"/>
          <w14:textFill>
            <w14:solidFill>
              <w14:schemeClr w14:val="tx1"/>
            </w14:solidFill>
          </w14:textFill>
        </w:rPr>
        <w:t>）进行信用查询。</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6.磋商小组审核采购响应文件。</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6.1磋商小组按照商务、技术等进行分工审核采购响应文件。各专家在全面审核的基础上有侧重的进行分工。</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6.2依据竞争性磋商文件的规定，从采购响应文件的有效性、完整性和对竞争性磋商文件的响应程度进行审查，以确定是否对磋商文件的实质性要求作出响应。</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6.3磋商小组汇总并讨论审核情况，确定磋商响应方是否具有磋商资格。</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6.4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6.5供应商按照磋商文件的变动情况和磋商小组的要求重新提交响应文件，并由其加盖CA公章。</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7.采购响应文件的澄清。</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为有助于采购响应文件的审查、评判和比较，磋商小组可以书面形式要求磋商响应方对采购响应文件含义不明确的内容作必要的澄清或说明，磋商响应方应采用书面形式进行澄清、说明或承诺。磋商响应方对磋商中所涉及的澄清、修改、承诺等补充资料等在规定的时间内以书面文件形式提交至磋商小组，其书面文件必须由磋商响应方的法定代表人或其授权代理人签字（或CA签章），作为采购响应文件的补充。如该磋商响应方成为成交供应商，则该磋商响应方的采购响应文件（含所有补充资料）将作为合同的组成部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8.对响应文件初次报价部分进行磋商，要求供应商剔除初次报价中不合理的成分。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9.各磋商响应方在本项目全部磋商结束后进行最终报价，磋商小组对最终报价的合理性进行审核（</w:t>
      </w:r>
      <w:r>
        <w:rPr>
          <w:rFonts w:hint="eastAsia" w:ascii="宋体" w:hAnsi="宋体" w:cs="宋体"/>
          <w:b/>
          <w:bCs/>
          <w:color w:val="000000"/>
          <w:kern w:val="0"/>
          <w:sz w:val="24"/>
        </w:rPr>
        <w:t>最终报价不得高于初次报价，否则为无效报价）</w:t>
      </w:r>
      <w:r>
        <w:rPr>
          <w:rFonts w:hint="eastAsia" w:ascii="宋体" w:hAnsi="宋体" w:cs="宋体"/>
          <w:color w:val="000000"/>
          <w:kern w:val="0"/>
          <w:sz w:val="24"/>
        </w:rPr>
        <w:t>。磋商小组根据评标内容及标准对提交最终报价的供应商的响应文件和最后报价进行综合评分。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10.起草评审报告，所有磋商专家须在评审报告上签字确认。</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11.本项目由采购人（或采购人事先授权磋商小组）按照磋商报告中推荐的排列顺序依法确定成交供应商。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12.采购代理机构公布最终评审结果。</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12.1本项目原则上采用政采云电子招投标开标及评审程序，但有下情形之一的，按以下情况处理：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12.2若投标人在规定时间内无法解密或解密失败，采购代理机构将开启该投标人递交的备份电子竞争性磋商响应文件，上传至政采云平台项目采购模块，以完成开标，原电子竞争性磋商响应文件自动失效；</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2" w:firstLineChars="225"/>
        <w:jc w:val="left"/>
        <w:rPr>
          <w:rFonts w:ascii="宋体" w:hAnsi="宋体" w:cs="宋体"/>
          <w:b/>
          <w:bCs/>
          <w:color w:val="000000"/>
          <w:kern w:val="0"/>
          <w:sz w:val="24"/>
        </w:rPr>
      </w:pPr>
      <w:r>
        <w:rPr>
          <w:rFonts w:hint="eastAsia" w:ascii="宋体" w:hAnsi="宋体" w:cs="宋体"/>
          <w:b/>
          <w:bCs/>
          <w:color w:val="000000"/>
          <w:kern w:val="0"/>
          <w:sz w:val="24"/>
        </w:rPr>
        <w:t>12.3若因政采云平台原因无法读取或电子开评标无法正常进行，采购代理机构将开启所有投标人递交的纸质备份竞争性磋商响应文件，以完成开标，电子竞争性磋商响应文件及备份电子竞争性磋商响应文件自动失效。</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13.开标会议结束。</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jc w:val="left"/>
        <w:rPr>
          <w:rFonts w:ascii="宋体" w:hAnsi="宋体" w:cs="宋体"/>
          <w:b/>
          <w:bCs/>
          <w:color w:val="000000"/>
          <w:kern w:val="0"/>
          <w:sz w:val="24"/>
        </w:rPr>
      </w:pPr>
      <w:r>
        <w:rPr>
          <w:rFonts w:hint="eastAsia" w:ascii="宋体" w:hAnsi="宋体" w:cs="宋体"/>
          <w:b/>
          <w:bCs/>
          <w:color w:val="000000"/>
          <w:kern w:val="0"/>
          <w:sz w:val="24"/>
        </w:rPr>
        <w:t>一十七、采购响应文件计算错误的修正</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A.采购响应文件中磋商报价一览表内容与采购响应文件中磋商分项报价表内容不一致的，以磋商报价一览表为准；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B.采购响应文件的大写金额和小写金额不一致的，以大写金额为准；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C.总价金额与按单价汇总金额不一致的，以单价金额计算结果为准；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D.单价金额小数点有明显错位的，应以总价为准，并修改单价；</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E.对不同文字文本采购响应文件的解释发生异议的，以中文文本为准。</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jc w:val="left"/>
        <w:rPr>
          <w:rFonts w:ascii="宋体" w:hAnsi="宋体" w:cs="宋体"/>
          <w:b/>
          <w:bCs/>
          <w:color w:val="000000"/>
          <w:kern w:val="0"/>
          <w:sz w:val="24"/>
        </w:rPr>
      </w:pPr>
      <w:r>
        <w:rPr>
          <w:rFonts w:hint="eastAsia" w:ascii="宋体" w:hAnsi="宋体" w:cs="宋体"/>
          <w:b/>
          <w:bCs/>
          <w:color w:val="000000"/>
          <w:kern w:val="0"/>
          <w:sz w:val="24"/>
        </w:rPr>
        <w:t>一十八、投标文件的澄清</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r>
        <w:rPr>
          <w:rFonts w:hint="eastAsia" w:ascii="宋体" w:hAnsi="宋体" w:cs="宋体"/>
          <w:color w:val="000000"/>
          <w:kern w:val="0"/>
          <w:sz w:val="24"/>
        </w:rPr>
        <w:t>评标时磋商小组有权请投标人就投标文件加以澄清。投标人对要求澄清的问题应以书面形式明确答复，并应有法定代表人或法人授权代表的签署。投标人的澄清文件是投标文件的组成部分，投标文件的澄清不得改变投标的实质内容。</w:t>
      </w:r>
    </w:p>
    <w:p>
      <w:pPr>
        <w:tabs>
          <w:tab w:val="left" w:pos="0"/>
          <w:tab w:val="left" w:pos="720"/>
          <w:tab w:val="left" w:pos="2160"/>
          <w:tab w:val="left" w:pos="2880"/>
          <w:tab w:val="left" w:pos="3600"/>
          <w:tab w:val="left" w:pos="4320"/>
          <w:tab w:val="left" w:pos="5040"/>
          <w:tab w:val="left" w:pos="5760"/>
        </w:tabs>
        <w:autoSpaceDE w:val="0"/>
        <w:autoSpaceDN w:val="0"/>
        <w:adjustRightInd w:val="0"/>
        <w:spacing w:line="480" w:lineRule="exact"/>
        <w:ind w:right="71" w:rightChars="34" w:firstLine="540" w:firstLineChars="225"/>
        <w:jc w:val="left"/>
        <w:rPr>
          <w:rFonts w:ascii="宋体" w:hAnsi="宋体" w:cs="宋体"/>
          <w:color w:val="000000"/>
          <w:kern w:val="0"/>
          <w:sz w:val="24"/>
        </w:rPr>
      </w:pPr>
    </w:p>
    <w:p>
      <w:pPr>
        <w:snapToGrid w:val="0"/>
        <w:spacing w:line="480" w:lineRule="exact"/>
        <w:jc w:val="center"/>
        <w:outlineLvl w:val="1"/>
        <w:rPr>
          <w:rFonts w:ascii="宋体" w:hAnsi="宋体" w:cs="宋体"/>
          <w:b/>
          <w:kern w:val="44"/>
          <w:sz w:val="24"/>
        </w:rPr>
      </w:pPr>
      <w:bookmarkStart w:id="79" w:name="_Toc8691"/>
      <w:r>
        <w:rPr>
          <w:rFonts w:hint="eastAsia" w:ascii="宋体" w:hAnsi="宋体" w:cs="宋体"/>
          <w:b/>
          <w:kern w:val="44"/>
          <w:sz w:val="24"/>
        </w:rPr>
        <w:t>七  授予合同</w:t>
      </w:r>
      <w:bookmarkEnd w:id="74"/>
      <w:bookmarkEnd w:id="75"/>
      <w:bookmarkEnd w:id="76"/>
      <w:bookmarkEnd w:id="77"/>
      <w:bookmarkEnd w:id="78"/>
      <w:bookmarkEnd w:id="79"/>
    </w:p>
    <w:p>
      <w:pPr>
        <w:pStyle w:val="23"/>
        <w:snapToGrid w:val="0"/>
        <w:spacing w:line="480" w:lineRule="exact"/>
        <w:jc w:val="left"/>
        <w:rPr>
          <w:rFonts w:hAnsi="宋体" w:cs="宋体"/>
          <w:b/>
          <w:sz w:val="24"/>
          <w:szCs w:val="24"/>
        </w:rPr>
      </w:pPr>
      <w:r>
        <w:rPr>
          <w:rFonts w:hint="eastAsia" w:hAnsi="宋体" w:cs="宋体"/>
          <w:b/>
          <w:sz w:val="24"/>
          <w:szCs w:val="24"/>
        </w:rPr>
        <w:t>一十九、合同授予标准</w:t>
      </w:r>
    </w:p>
    <w:p>
      <w:pPr>
        <w:pStyle w:val="23"/>
        <w:snapToGrid w:val="0"/>
        <w:spacing w:line="480" w:lineRule="exact"/>
        <w:ind w:firstLine="480" w:firstLineChars="200"/>
        <w:jc w:val="left"/>
        <w:rPr>
          <w:rFonts w:hAnsi="宋体" w:cs="宋体"/>
          <w:color w:val="000000"/>
          <w:kern w:val="0"/>
          <w:sz w:val="24"/>
          <w:szCs w:val="24"/>
        </w:rPr>
      </w:pPr>
      <w:r>
        <w:rPr>
          <w:rFonts w:hint="eastAsia" w:hAnsi="宋体" w:cs="宋体"/>
          <w:color w:val="000000"/>
          <w:kern w:val="0"/>
          <w:sz w:val="24"/>
          <w:szCs w:val="24"/>
        </w:rPr>
        <w:t>1．在审标、询标及调查考核的基础上，磋商小组按照平等、客观、公正的原则，根据评标办法进行综合评定。本项目响应文件基本符合竞争性磋商采购要求，</w:t>
      </w:r>
      <w:r>
        <w:rPr>
          <w:rFonts w:hint="eastAsia" w:hAnsi="宋体" w:cs="宋体"/>
          <w:b/>
          <w:color w:val="000000"/>
          <w:kern w:val="0"/>
          <w:sz w:val="24"/>
          <w:szCs w:val="24"/>
        </w:rPr>
        <w:t>能够最大限度满足竞争性磋商采购中规定的各项综合评价标准.</w:t>
      </w:r>
    </w:p>
    <w:p>
      <w:pPr>
        <w:pStyle w:val="23"/>
        <w:snapToGrid w:val="0"/>
        <w:spacing w:line="480" w:lineRule="exact"/>
        <w:ind w:firstLine="480" w:firstLineChars="200"/>
        <w:jc w:val="left"/>
        <w:rPr>
          <w:rFonts w:hAnsi="宋体" w:cs="宋体"/>
          <w:color w:val="000000"/>
          <w:kern w:val="0"/>
          <w:sz w:val="24"/>
          <w:szCs w:val="24"/>
        </w:rPr>
      </w:pPr>
      <w:r>
        <w:rPr>
          <w:rFonts w:hint="eastAsia" w:hAnsi="宋体" w:cs="宋体"/>
          <w:color w:val="000000"/>
          <w:kern w:val="0"/>
          <w:sz w:val="24"/>
          <w:szCs w:val="24"/>
        </w:rPr>
        <w:t>2．</w:t>
      </w:r>
      <w:r>
        <w:rPr>
          <w:rFonts w:hint="eastAsia" w:hAnsi="宋体" w:cs="宋体"/>
          <w:kern w:val="0"/>
          <w:sz w:val="24"/>
          <w:szCs w:val="24"/>
        </w:rPr>
        <w:t>更改采购货物数量的权利。</w:t>
      </w:r>
      <w:r>
        <w:rPr>
          <w:rFonts w:hint="eastAsia" w:hAnsi="宋体" w:cs="宋体"/>
          <w:color w:val="000000"/>
          <w:kern w:val="0"/>
          <w:sz w:val="24"/>
          <w:szCs w:val="24"/>
        </w:rPr>
        <w:t>经</w:t>
      </w:r>
      <w:r>
        <w:rPr>
          <w:rFonts w:hint="eastAsia" w:hAnsi="宋体" w:cs="宋体"/>
          <w:kern w:val="0"/>
          <w:sz w:val="24"/>
          <w:szCs w:val="24"/>
        </w:rPr>
        <w:t>县财政局政府采购监管科</w:t>
      </w:r>
      <w:r>
        <w:rPr>
          <w:rFonts w:hint="eastAsia" w:hAnsi="宋体" w:cs="宋体"/>
          <w:color w:val="000000"/>
          <w:kern w:val="0"/>
          <w:sz w:val="24"/>
          <w:szCs w:val="24"/>
        </w:rPr>
        <w:t>核准，采购人有权对采购货物数量进行修正，但不得超过法律规定的限度。</w:t>
      </w:r>
    </w:p>
    <w:p>
      <w:pPr>
        <w:pStyle w:val="23"/>
        <w:snapToGrid w:val="0"/>
        <w:spacing w:line="480" w:lineRule="exact"/>
        <w:jc w:val="left"/>
        <w:rPr>
          <w:rFonts w:hAnsi="宋体" w:cs="宋体"/>
          <w:b/>
          <w:sz w:val="24"/>
          <w:szCs w:val="24"/>
        </w:rPr>
      </w:pPr>
      <w:r>
        <w:rPr>
          <w:rFonts w:hint="eastAsia" w:hAnsi="宋体" w:cs="宋体"/>
          <w:b/>
          <w:sz w:val="24"/>
          <w:szCs w:val="24"/>
        </w:rPr>
        <w:t>二十、中标通知书</w:t>
      </w:r>
    </w:p>
    <w:p>
      <w:pPr>
        <w:spacing w:line="480" w:lineRule="exact"/>
        <w:ind w:firstLine="480" w:firstLineChars="200"/>
        <w:rPr>
          <w:rFonts w:ascii="宋体" w:hAnsi="宋体" w:cs="宋体"/>
          <w:b/>
          <w:sz w:val="24"/>
        </w:rPr>
      </w:pPr>
      <w:r>
        <w:rPr>
          <w:rFonts w:hint="eastAsia" w:ascii="宋体" w:hAnsi="宋体" w:cs="宋体"/>
          <w:sz w:val="24"/>
        </w:rPr>
        <w:t>1．谈判结束后，自中标、成交投标商确定之日起2个工作日内，发《中标通知书》，并在浙江省政府采购网上发布中标、成交结果公告。</w:t>
      </w:r>
      <w:r>
        <w:rPr>
          <w:rFonts w:hint="eastAsia" w:ascii="宋体" w:hAnsi="宋体" w:cs="宋体"/>
          <w:b/>
          <w:bCs/>
          <w:sz w:val="24"/>
        </w:rPr>
        <w:t>如有恶意质疑、投诉，且导致授予合同的期限延期的，</w:t>
      </w:r>
      <w:r>
        <w:rPr>
          <w:rFonts w:hint="eastAsia" w:ascii="宋体" w:hAnsi="宋体" w:cs="宋体"/>
          <w:b/>
          <w:sz w:val="24"/>
        </w:rPr>
        <w:t>将其上报财政局采购监管科列入不诚信投标商名单，在今后参加政府采购活动评标时，给予扣分处理。情节严重的将直接进入政府采购黑名单。</w:t>
      </w:r>
    </w:p>
    <w:p>
      <w:pPr>
        <w:spacing w:line="480" w:lineRule="exact"/>
        <w:ind w:firstLine="480" w:firstLineChars="200"/>
        <w:rPr>
          <w:rFonts w:ascii="宋体" w:hAnsi="宋体" w:cs="宋体"/>
          <w:b/>
          <w:sz w:val="24"/>
        </w:rPr>
      </w:pPr>
      <w:r>
        <w:rPr>
          <w:rFonts w:hint="eastAsia" w:ascii="宋体" w:hAnsi="宋体" w:cs="宋体"/>
          <w:sz w:val="24"/>
        </w:rPr>
        <w:t>2．中标通知书发出后，若成交投标商放弃中标，应当承担相应的法律责任，中标通知书对采购人和成交投标商具有同等法律效力。</w:t>
      </w:r>
    </w:p>
    <w:p>
      <w:pPr>
        <w:pStyle w:val="23"/>
        <w:snapToGrid w:val="0"/>
        <w:spacing w:line="480" w:lineRule="exact"/>
        <w:jc w:val="left"/>
        <w:rPr>
          <w:rFonts w:hAnsi="宋体" w:cs="宋体"/>
          <w:b/>
          <w:sz w:val="24"/>
          <w:szCs w:val="24"/>
        </w:rPr>
      </w:pPr>
      <w:r>
        <w:rPr>
          <w:rFonts w:hint="eastAsia" w:hAnsi="宋体" w:cs="宋体"/>
          <w:b/>
          <w:sz w:val="24"/>
          <w:szCs w:val="24"/>
        </w:rPr>
        <w:t>二十一、签订合同</w:t>
      </w:r>
    </w:p>
    <w:p>
      <w:pPr>
        <w:pStyle w:val="23"/>
        <w:snapToGrid w:val="0"/>
        <w:spacing w:line="480" w:lineRule="exact"/>
        <w:ind w:firstLine="475" w:firstLineChars="198"/>
        <w:jc w:val="left"/>
        <w:rPr>
          <w:rFonts w:hAnsi="宋体" w:cs="宋体"/>
          <w:color w:val="000000"/>
          <w:kern w:val="0"/>
          <w:sz w:val="24"/>
          <w:szCs w:val="24"/>
        </w:rPr>
      </w:pPr>
      <w:r>
        <w:rPr>
          <w:rFonts w:hint="eastAsia" w:hAnsi="宋体" w:cs="宋体"/>
          <w:color w:val="000000"/>
          <w:kern w:val="0"/>
          <w:sz w:val="24"/>
          <w:szCs w:val="24"/>
        </w:rPr>
        <w:t>1．中标单位凭中标通知书与采购人签订合同，报县政府采购中心审核，并报县财政局政府采购监督科备案。</w:t>
      </w:r>
    </w:p>
    <w:p>
      <w:pPr>
        <w:pStyle w:val="23"/>
        <w:snapToGrid w:val="0"/>
        <w:spacing w:line="480" w:lineRule="exact"/>
        <w:ind w:firstLine="480" w:firstLineChars="200"/>
        <w:jc w:val="left"/>
        <w:rPr>
          <w:rFonts w:hAnsi="宋体" w:cs="宋体"/>
          <w:color w:val="000000"/>
          <w:kern w:val="0"/>
          <w:sz w:val="24"/>
          <w:szCs w:val="24"/>
        </w:rPr>
      </w:pPr>
      <w:r>
        <w:rPr>
          <w:rFonts w:hint="eastAsia" w:hAnsi="宋体" w:cs="宋体"/>
          <w:color w:val="000000"/>
          <w:kern w:val="0"/>
          <w:sz w:val="24"/>
          <w:szCs w:val="24"/>
        </w:rPr>
        <w:t>2．如中标人不按中标通知书中规定时间、地点与采购人签订合同，将取消中标资格。</w:t>
      </w:r>
    </w:p>
    <w:p>
      <w:pPr>
        <w:pStyle w:val="23"/>
        <w:snapToGrid w:val="0"/>
        <w:spacing w:line="480" w:lineRule="exact"/>
        <w:jc w:val="left"/>
        <w:rPr>
          <w:rFonts w:hAnsi="宋体" w:cs="宋体"/>
          <w:b/>
          <w:sz w:val="24"/>
          <w:szCs w:val="24"/>
        </w:rPr>
      </w:pPr>
      <w:r>
        <w:rPr>
          <w:rFonts w:hint="eastAsia" w:hAnsi="宋体" w:cs="宋体"/>
          <w:b/>
          <w:sz w:val="24"/>
          <w:szCs w:val="24"/>
        </w:rPr>
        <w:t>二十二、履约保证金</w:t>
      </w:r>
    </w:p>
    <w:p>
      <w:pPr>
        <w:pStyle w:val="23"/>
        <w:snapToGrid w:val="0"/>
        <w:spacing w:line="480" w:lineRule="exact"/>
        <w:ind w:firstLine="472" w:firstLineChars="197"/>
        <w:jc w:val="left"/>
        <w:rPr>
          <w:rFonts w:hAnsi="宋体" w:cs="宋体"/>
          <w:color w:val="FF0000"/>
          <w:kern w:val="0"/>
          <w:sz w:val="24"/>
          <w:szCs w:val="24"/>
        </w:rPr>
      </w:pPr>
      <w:r>
        <w:rPr>
          <w:rFonts w:hint="eastAsia" w:hAnsi="宋体" w:cs="宋体"/>
          <w:sz w:val="24"/>
          <w:szCs w:val="24"/>
        </w:rPr>
        <w:t>合同签订时，采购人按《中华人民共和国政府采购法实施条例》有关规定自行收取项目履约保证金。采购人要求中标或者成交供应商提交履约保证金的，供应商应当以支票、汇票、本票或者金融机构、担保机构出具的保函等非现金形式提交。</w:t>
      </w:r>
    </w:p>
    <w:p>
      <w:pPr>
        <w:pStyle w:val="23"/>
        <w:snapToGrid w:val="0"/>
        <w:spacing w:line="480" w:lineRule="exact"/>
        <w:jc w:val="left"/>
        <w:rPr>
          <w:rFonts w:hAnsi="宋体" w:cs="宋体"/>
          <w:b/>
          <w:sz w:val="24"/>
          <w:szCs w:val="24"/>
        </w:rPr>
      </w:pPr>
      <w:r>
        <w:rPr>
          <w:rFonts w:hint="eastAsia" w:hAnsi="宋体" w:cs="宋体"/>
          <w:b/>
          <w:sz w:val="24"/>
          <w:szCs w:val="24"/>
        </w:rPr>
        <w:t>二十三、对评标过程和结果的质疑的受理及处理</w:t>
      </w:r>
    </w:p>
    <w:p>
      <w:pPr>
        <w:pStyle w:val="23"/>
        <w:snapToGrid w:val="0"/>
        <w:spacing w:line="480" w:lineRule="exact"/>
        <w:ind w:firstLine="360" w:firstLineChars="150"/>
        <w:jc w:val="left"/>
        <w:rPr>
          <w:rFonts w:hAnsi="宋体" w:cs="宋体"/>
          <w:color w:val="000000"/>
          <w:kern w:val="0"/>
          <w:sz w:val="24"/>
          <w:szCs w:val="24"/>
        </w:rPr>
      </w:pPr>
      <w:r>
        <w:rPr>
          <w:rFonts w:hint="eastAsia" w:hAnsi="宋体" w:cs="宋体"/>
          <w:color w:val="000000"/>
          <w:kern w:val="0"/>
          <w:sz w:val="24"/>
          <w:szCs w:val="24"/>
        </w:rPr>
        <w:t>1．招标方拒绝接受未参加本项目文件或已文件但未递交投标文件的投标商的质疑。</w:t>
      </w:r>
    </w:p>
    <w:p>
      <w:pPr>
        <w:widowControl/>
        <w:tabs>
          <w:tab w:val="left" w:pos="4228"/>
        </w:tabs>
        <w:snapToGrid w:val="0"/>
        <w:spacing w:line="480" w:lineRule="exact"/>
        <w:ind w:firstLine="480" w:firstLineChars="200"/>
        <w:rPr>
          <w:rFonts w:ascii="宋体" w:hAnsi="宋体" w:cs="宋体"/>
          <w:color w:val="000000"/>
          <w:kern w:val="0"/>
          <w:sz w:val="24"/>
        </w:rPr>
      </w:pPr>
      <w:r>
        <w:rPr>
          <w:rFonts w:hint="eastAsia" w:ascii="宋体" w:hAnsi="宋体" w:cs="宋体"/>
          <w:color w:val="000000"/>
          <w:kern w:val="0"/>
          <w:sz w:val="24"/>
        </w:rPr>
        <w:t>2．质疑受理须提交的资料：书面申请须原件（须列明申诉理由，质疑单位名称，联系人，联系电话，手机，传真等，并加盖投标单位公章），复印件和传真件无效。</w:t>
      </w:r>
    </w:p>
    <w:p>
      <w:pPr>
        <w:pStyle w:val="23"/>
        <w:snapToGrid w:val="0"/>
        <w:spacing w:line="480" w:lineRule="exact"/>
        <w:ind w:firstLine="360" w:firstLineChars="150"/>
        <w:jc w:val="left"/>
        <w:rPr>
          <w:rFonts w:hAnsi="宋体" w:cs="宋体"/>
          <w:color w:val="000000"/>
          <w:kern w:val="0"/>
          <w:sz w:val="24"/>
          <w:szCs w:val="24"/>
        </w:rPr>
      </w:pPr>
      <w:r>
        <w:rPr>
          <w:rFonts w:hint="eastAsia" w:hAnsi="宋体" w:cs="宋体"/>
          <w:color w:val="000000"/>
          <w:kern w:val="0"/>
          <w:sz w:val="24"/>
          <w:szCs w:val="24"/>
        </w:rPr>
        <w:t>3．质疑、投诉应当采用书面形式，质疑书、投诉书均应明确阐述招标文件、招标过程或中标结果中使自己合法权益受到损害的实质性内容，提供相关事实、依据和证据及其来源或线索，便于有关单位调查、答复和处理。如质疑投诉不成立或恶意诽谤的，将根据有关规定作出必要的处罚。</w:t>
      </w:r>
    </w:p>
    <w:p>
      <w:pPr>
        <w:snapToGrid w:val="0"/>
        <w:spacing w:line="480" w:lineRule="exact"/>
        <w:jc w:val="center"/>
        <w:rPr>
          <w:rFonts w:ascii="宋体" w:hAnsi="宋体" w:cs="宋体"/>
          <w:b/>
          <w:kern w:val="44"/>
          <w:sz w:val="24"/>
        </w:rPr>
      </w:pPr>
      <w:bookmarkStart w:id="80" w:name="_Toc15813254"/>
      <w:bookmarkStart w:id="81" w:name="_Toc114115352"/>
      <w:bookmarkStart w:id="82" w:name="_Toc44759274"/>
      <w:bookmarkStart w:id="83" w:name="_Toc44759086"/>
      <w:bookmarkStart w:id="84" w:name="_Toc15805937"/>
      <w:r>
        <w:rPr>
          <w:rFonts w:hint="eastAsia" w:ascii="宋体" w:hAnsi="宋体" w:cs="宋体"/>
          <w:b/>
          <w:kern w:val="44"/>
          <w:sz w:val="24"/>
        </w:rPr>
        <w:t>八 其他事项</w:t>
      </w:r>
      <w:bookmarkEnd w:id="80"/>
      <w:bookmarkEnd w:id="81"/>
      <w:bookmarkEnd w:id="82"/>
      <w:bookmarkEnd w:id="83"/>
      <w:bookmarkEnd w:id="84"/>
    </w:p>
    <w:p>
      <w:pPr>
        <w:pStyle w:val="23"/>
        <w:snapToGrid w:val="0"/>
        <w:spacing w:line="480" w:lineRule="exact"/>
        <w:jc w:val="left"/>
        <w:rPr>
          <w:rFonts w:hAnsi="宋体" w:cs="宋体"/>
          <w:b/>
          <w:sz w:val="24"/>
          <w:szCs w:val="24"/>
        </w:rPr>
      </w:pPr>
      <w:r>
        <w:rPr>
          <w:rFonts w:hint="eastAsia" w:hAnsi="宋体" w:cs="宋体"/>
          <w:b/>
          <w:sz w:val="24"/>
          <w:szCs w:val="24"/>
        </w:rPr>
        <w:t>二十四、解释权</w:t>
      </w:r>
    </w:p>
    <w:p>
      <w:pPr>
        <w:pStyle w:val="23"/>
        <w:snapToGrid w:val="0"/>
        <w:spacing w:line="480" w:lineRule="exact"/>
        <w:ind w:firstLine="361" w:firstLineChars="150"/>
        <w:jc w:val="left"/>
        <w:rPr>
          <w:rFonts w:hAnsi="宋体" w:cs="宋体"/>
          <w:b/>
          <w:bCs/>
          <w:color w:val="000000"/>
          <w:kern w:val="0"/>
          <w:sz w:val="24"/>
          <w:szCs w:val="24"/>
        </w:rPr>
      </w:pPr>
      <w:r>
        <w:rPr>
          <w:rFonts w:hint="eastAsia" w:hAnsi="宋体" w:cs="宋体"/>
          <w:b/>
          <w:bCs/>
          <w:color w:val="000000"/>
          <w:kern w:val="0"/>
          <w:sz w:val="24"/>
          <w:szCs w:val="24"/>
        </w:rPr>
        <w:t>本招标文件未尽事宜按现行政府采购的有关法律法规和规定执行。招标采购单位对本招标文件拥有最终解释权。</w:t>
      </w:r>
    </w:p>
    <w:p>
      <w:pPr>
        <w:pStyle w:val="23"/>
        <w:snapToGrid w:val="0"/>
        <w:spacing w:line="480" w:lineRule="exact"/>
        <w:ind w:firstLine="482" w:firstLineChars="200"/>
        <w:jc w:val="center"/>
        <w:rPr>
          <w:rFonts w:hAnsi="宋体" w:cs="宋体"/>
          <w:b/>
          <w:bCs/>
          <w:kern w:val="0"/>
          <w:sz w:val="36"/>
          <w:szCs w:val="36"/>
        </w:rPr>
      </w:pPr>
      <w:r>
        <w:rPr>
          <w:rFonts w:hint="eastAsia" w:hAnsi="宋体" w:cs="宋体"/>
          <w:b/>
          <w:bCs/>
          <w:kern w:val="0"/>
          <w:sz w:val="24"/>
          <w:szCs w:val="24"/>
        </w:rPr>
        <w:br w:type="page"/>
      </w:r>
      <w:bookmarkStart w:id="85" w:name="_Toc22974"/>
      <w:r>
        <w:rPr>
          <w:rFonts w:hint="eastAsia" w:hAnsi="宋体" w:cs="宋体"/>
          <w:b/>
          <w:bCs/>
          <w:kern w:val="0"/>
          <w:sz w:val="36"/>
          <w:szCs w:val="36"/>
        </w:rPr>
        <w:t>第三章  评审办法</w:t>
      </w:r>
      <w:bookmarkEnd w:id="85"/>
    </w:p>
    <w:p>
      <w:pPr>
        <w:spacing w:line="480" w:lineRule="exact"/>
        <w:ind w:firstLine="480" w:firstLineChars="200"/>
        <w:rPr>
          <w:rFonts w:ascii="宋体" w:hAnsi="宋体" w:cs="宋体"/>
          <w:sz w:val="24"/>
        </w:rPr>
      </w:pPr>
      <w:r>
        <w:rPr>
          <w:rFonts w:hint="eastAsia" w:ascii="宋体" w:hAnsi="宋体" w:cs="宋体"/>
          <w:sz w:val="24"/>
        </w:rPr>
        <w:t>根据《中华人民共和国政府采购法》和《中华人民共和国招标投标法》的有关规定，为更好地做到公开、公平、公正，结合本次招标的特点，特制定本评标细则。</w:t>
      </w:r>
    </w:p>
    <w:p>
      <w:pPr>
        <w:spacing w:line="480" w:lineRule="exact"/>
        <w:rPr>
          <w:rFonts w:ascii="宋体" w:hAnsi="宋体" w:cs="宋体"/>
          <w:b/>
          <w:bCs/>
          <w:sz w:val="24"/>
        </w:rPr>
      </w:pPr>
      <w:r>
        <w:rPr>
          <w:rFonts w:hint="eastAsia" w:ascii="宋体" w:hAnsi="宋体" w:cs="宋体"/>
          <w:b/>
          <w:bCs/>
          <w:sz w:val="24"/>
        </w:rPr>
        <w:t>一、评标组织</w:t>
      </w:r>
    </w:p>
    <w:p>
      <w:pPr>
        <w:spacing w:line="480" w:lineRule="exact"/>
        <w:ind w:firstLine="480" w:firstLineChars="200"/>
        <w:rPr>
          <w:rFonts w:ascii="宋体" w:hAnsi="宋体" w:cs="宋体"/>
          <w:sz w:val="24"/>
        </w:rPr>
      </w:pPr>
      <w:r>
        <w:rPr>
          <w:rFonts w:hint="eastAsia" w:ascii="宋体" w:hAnsi="宋体" w:cs="宋体"/>
          <w:sz w:val="24"/>
        </w:rPr>
        <w:t>评审工作由采购人依法组建的磋商小组负责</w:t>
      </w:r>
      <w:r>
        <w:rPr>
          <w:rFonts w:hint="eastAsia" w:ascii="宋体" w:hAnsi="宋体" w:cs="宋体"/>
          <w:color w:val="000000"/>
          <w:sz w:val="24"/>
        </w:rPr>
        <w:t>，磋商小组由采购人代表以及评审专家共同组成</w:t>
      </w:r>
      <w:r>
        <w:rPr>
          <w:rFonts w:hint="eastAsia" w:ascii="宋体" w:hAnsi="宋体" w:cs="宋体"/>
          <w:sz w:val="24"/>
        </w:rPr>
        <w:t>。评审全过程由县公证处工作人员或采购管理部门全程监督。</w:t>
      </w:r>
    </w:p>
    <w:p>
      <w:pPr>
        <w:numPr>
          <w:ilvl w:val="0"/>
          <w:numId w:val="11"/>
        </w:numPr>
        <w:spacing w:line="480" w:lineRule="exact"/>
        <w:rPr>
          <w:rFonts w:ascii="宋体" w:hAnsi="宋体" w:cs="宋体"/>
          <w:sz w:val="24"/>
        </w:rPr>
      </w:pPr>
      <w:r>
        <w:rPr>
          <w:rFonts w:hint="eastAsia" w:ascii="宋体" w:hAnsi="宋体" w:cs="宋体"/>
          <w:b/>
          <w:bCs/>
          <w:sz w:val="24"/>
        </w:rPr>
        <w:t>评标原则和评标方法</w:t>
      </w:r>
    </w:p>
    <w:p>
      <w:pPr>
        <w:spacing w:line="480" w:lineRule="exact"/>
        <w:ind w:firstLine="482" w:firstLineChars="200"/>
        <w:rPr>
          <w:rFonts w:ascii="宋体" w:hAnsi="宋体" w:cs="宋体"/>
          <w:b/>
          <w:sz w:val="24"/>
        </w:rPr>
      </w:pPr>
      <w:r>
        <w:rPr>
          <w:rFonts w:hint="eastAsia" w:ascii="宋体" w:hAnsi="宋体" w:cs="宋体"/>
          <w:b/>
          <w:sz w:val="24"/>
        </w:rPr>
        <w:t>本次评审采用综合评分法，总分100分。磋商小组根据竞争性磋商文件制定的评审办法对投标商进行评审排序，将综合得分第一的投标商向采购人推荐其为成交投标商。</w:t>
      </w:r>
    </w:p>
    <w:p>
      <w:pPr>
        <w:spacing w:line="480" w:lineRule="exact"/>
        <w:ind w:firstLine="480" w:firstLineChars="200"/>
        <w:rPr>
          <w:rFonts w:ascii="宋体" w:hAnsi="宋体" w:cs="宋体"/>
          <w:sz w:val="24"/>
        </w:rPr>
      </w:pPr>
      <w:r>
        <w:rPr>
          <w:rFonts w:hint="eastAsia" w:ascii="宋体" w:hAnsi="宋体" w:cs="宋体"/>
          <w:sz w:val="24"/>
        </w:rPr>
        <w:t>评标委员会根据评分细则，对各投标单位的技术标进行书面审核和评论后，由各专家独立酌情给分，打分时保留小数1位，每人一份评分表，并签名。在统计得分时，如果发现某一单项评分超过评分细则规定的分值范围，则该张评分表无效。投标人资信、业绩及技术性能等的最终得分为评标专家组成员的有效评分的算术平均值。计算时保留2位小数。</w:t>
      </w:r>
    </w:p>
    <w:tbl>
      <w:tblPr>
        <w:tblStyle w:val="37"/>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1"/>
        <w:gridCol w:w="1363"/>
        <w:gridCol w:w="6669"/>
        <w:gridCol w:w="10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691" w:type="dxa"/>
            <w:vAlign w:val="center"/>
          </w:tcPr>
          <w:p>
            <w:pPr>
              <w:spacing w:line="460" w:lineRule="exact"/>
              <w:jc w:val="center"/>
              <w:rPr>
                <w:rFonts w:ascii="宋体" w:hAnsi="宋体"/>
              </w:rPr>
            </w:pPr>
            <w:r>
              <w:rPr>
                <w:rFonts w:hint="eastAsia"/>
                <w:szCs w:val="21"/>
              </w:rPr>
              <w:t>序号</w:t>
            </w:r>
          </w:p>
        </w:tc>
        <w:tc>
          <w:tcPr>
            <w:tcW w:w="1363" w:type="dxa"/>
            <w:vAlign w:val="center"/>
          </w:tcPr>
          <w:p>
            <w:pPr>
              <w:spacing w:line="460" w:lineRule="exact"/>
              <w:jc w:val="center"/>
              <w:rPr>
                <w:rFonts w:ascii="宋体" w:hAnsi="宋体"/>
              </w:rPr>
            </w:pPr>
            <w:r>
              <w:rPr>
                <w:rFonts w:hint="eastAsia"/>
                <w:szCs w:val="21"/>
              </w:rPr>
              <w:t>评审内容</w:t>
            </w:r>
          </w:p>
        </w:tc>
        <w:tc>
          <w:tcPr>
            <w:tcW w:w="6669" w:type="dxa"/>
            <w:vAlign w:val="center"/>
          </w:tcPr>
          <w:p>
            <w:pPr>
              <w:spacing w:line="460" w:lineRule="exact"/>
              <w:ind w:firstLine="315" w:firstLineChars="150"/>
              <w:jc w:val="center"/>
              <w:rPr>
                <w:rFonts w:ascii="宋体" w:hAnsi="宋体"/>
                <w:bCs/>
              </w:rPr>
            </w:pPr>
            <w:r>
              <w:rPr>
                <w:rFonts w:hint="eastAsia"/>
                <w:szCs w:val="21"/>
              </w:rPr>
              <w:t>评审细则</w:t>
            </w:r>
          </w:p>
        </w:tc>
        <w:tc>
          <w:tcPr>
            <w:tcW w:w="1040" w:type="dxa"/>
            <w:vAlign w:val="center"/>
          </w:tcPr>
          <w:p>
            <w:pPr>
              <w:spacing w:line="460" w:lineRule="exact"/>
              <w:jc w:val="center"/>
              <w:rPr>
                <w:rFonts w:ascii="宋体" w:hAnsi="宋体"/>
                <w:bCs/>
              </w:rPr>
            </w:pPr>
            <w:r>
              <w:rPr>
                <w:rFonts w:hint="eastAsia"/>
                <w:szCs w:val="21"/>
              </w:rPr>
              <w:t>分值（分）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2" w:hRule="atLeast"/>
          <w:jc w:val="center"/>
        </w:trPr>
        <w:tc>
          <w:tcPr>
            <w:tcW w:w="691" w:type="dxa"/>
            <w:vAlign w:val="center"/>
          </w:tcPr>
          <w:p>
            <w:pPr>
              <w:spacing w:line="460" w:lineRule="exact"/>
              <w:jc w:val="center"/>
              <w:rPr>
                <w:rFonts w:ascii="宋体" w:hAnsi="宋体"/>
              </w:rPr>
            </w:pPr>
            <w:r>
              <w:rPr>
                <w:rFonts w:hint="eastAsia" w:ascii="宋体" w:hAnsi="宋体"/>
              </w:rPr>
              <w:t>1</w:t>
            </w:r>
          </w:p>
        </w:tc>
        <w:tc>
          <w:tcPr>
            <w:tcW w:w="1363" w:type="dxa"/>
            <w:vAlign w:val="center"/>
          </w:tcPr>
          <w:p>
            <w:pPr>
              <w:spacing w:line="460" w:lineRule="exact"/>
              <w:jc w:val="center"/>
              <w:rPr>
                <w:rFonts w:ascii="宋体" w:hAnsi="宋体"/>
              </w:rPr>
            </w:pPr>
            <w:r>
              <w:rPr>
                <w:rFonts w:hint="eastAsia" w:ascii="宋体" w:hAnsi="宋体"/>
              </w:rPr>
              <w:t>专利技术</w:t>
            </w:r>
          </w:p>
        </w:tc>
        <w:tc>
          <w:tcPr>
            <w:tcW w:w="6669" w:type="dxa"/>
            <w:vAlign w:val="center"/>
          </w:tcPr>
          <w:p>
            <w:pPr>
              <w:widowControl/>
              <w:jc w:val="left"/>
              <w:rPr>
                <w:rFonts w:ascii="䅂䍄䕅⯋컌" w:hAnsi="䅂䍄䕅⯋컌" w:eastAsia="䅂䍄䕅⯋컌" w:cs="䅂䍄䕅⯋컌"/>
                <w:kern w:val="0"/>
                <w:szCs w:val="21"/>
                <w:lang w:bidi="ar"/>
              </w:rPr>
            </w:pPr>
            <w:r>
              <w:rPr>
                <w:rFonts w:hint="eastAsia" w:ascii="宋体" w:hAnsi="宋体"/>
                <w:bCs/>
              </w:rPr>
              <w:t>投标人具有厕所、模块化装配式建筑相关专利的，每提供一个得</w:t>
            </w:r>
            <w:r>
              <w:rPr>
                <w:rFonts w:hint="eastAsia" w:hAnsi="宋体"/>
                <w:bCs/>
              </w:rPr>
              <w:t>2</w:t>
            </w:r>
            <w:r>
              <w:rPr>
                <w:rFonts w:hint="eastAsia" w:ascii="宋体" w:hAnsi="宋体"/>
                <w:bCs/>
              </w:rPr>
              <w:t>分，最高得</w:t>
            </w:r>
            <w:r>
              <w:rPr>
                <w:rFonts w:hint="eastAsia" w:hAnsi="宋体"/>
                <w:bCs/>
              </w:rPr>
              <w:t>6</w:t>
            </w:r>
            <w:r>
              <w:rPr>
                <w:rFonts w:hint="eastAsia" w:ascii="宋体" w:hAnsi="宋体"/>
                <w:bCs/>
              </w:rPr>
              <w:t>分。</w:t>
            </w:r>
          </w:p>
        </w:tc>
        <w:tc>
          <w:tcPr>
            <w:tcW w:w="1040" w:type="dxa"/>
            <w:vAlign w:val="center"/>
          </w:tcPr>
          <w:p>
            <w:pPr>
              <w:spacing w:line="460" w:lineRule="exact"/>
              <w:jc w:val="center"/>
              <w:rPr>
                <w:rFonts w:ascii="宋体" w:hAnsi="宋体"/>
              </w:rPr>
            </w:pPr>
            <w:r>
              <w:rPr>
                <w:rFonts w:hint="eastAsia" w:hAnsi="宋体"/>
              </w:rPr>
              <w:t>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7" w:hRule="atLeast"/>
          <w:jc w:val="center"/>
        </w:trPr>
        <w:tc>
          <w:tcPr>
            <w:tcW w:w="691" w:type="dxa"/>
            <w:vAlign w:val="center"/>
          </w:tcPr>
          <w:p>
            <w:pPr>
              <w:spacing w:line="460" w:lineRule="exact"/>
              <w:jc w:val="center"/>
              <w:rPr>
                <w:rFonts w:ascii="宋体" w:hAnsi="宋体"/>
              </w:rPr>
            </w:pPr>
            <w:r>
              <w:rPr>
                <w:rFonts w:hint="eastAsia" w:ascii="宋体" w:hAnsi="宋体"/>
              </w:rPr>
              <w:t>2</w:t>
            </w:r>
          </w:p>
        </w:tc>
        <w:tc>
          <w:tcPr>
            <w:tcW w:w="1363" w:type="dxa"/>
            <w:vAlign w:val="center"/>
          </w:tcPr>
          <w:p>
            <w:pPr>
              <w:spacing w:line="460" w:lineRule="exact"/>
              <w:jc w:val="center"/>
              <w:rPr>
                <w:rFonts w:ascii="宋体" w:hAnsi="宋体"/>
              </w:rPr>
            </w:pPr>
            <w:r>
              <w:rPr>
                <w:rFonts w:hint="eastAsia" w:ascii="宋体" w:hAnsi="宋体"/>
              </w:rPr>
              <w:t>企业业绩</w:t>
            </w:r>
          </w:p>
        </w:tc>
        <w:tc>
          <w:tcPr>
            <w:tcW w:w="6669" w:type="dxa"/>
            <w:vAlign w:val="center"/>
          </w:tcPr>
          <w:p>
            <w:pPr>
              <w:spacing w:line="460" w:lineRule="exact"/>
              <w:rPr>
                <w:rFonts w:ascii="宋体" w:hAnsi="宋体"/>
                <w:bCs/>
              </w:rPr>
            </w:pPr>
            <w:r>
              <w:rPr>
                <w:rFonts w:hint="eastAsia" w:ascii="宋体" w:hAnsi="宋体"/>
                <w:bCs/>
              </w:rPr>
              <w:t>投标人自2020年01月01日以来（以合同签订日期为准），具有过类似项目的合同业绩，每提供一份有效合同得</w:t>
            </w:r>
            <w:r>
              <w:rPr>
                <w:rFonts w:ascii="宋体" w:hAnsi="宋体"/>
                <w:bCs/>
              </w:rPr>
              <w:t>1</w:t>
            </w:r>
            <w:r>
              <w:rPr>
                <w:rFonts w:hint="eastAsia" w:ascii="宋体" w:hAnsi="宋体"/>
                <w:bCs/>
              </w:rPr>
              <w:t>分，最高得</w:t>
            </w:r>
            <w:r>
              <w:rPr>
                <w:rFonts w:hint="eastAsia" w:hAnsi="宋体"/>
                <w:bCs/>
              </w:rPr>
              <w:t>3</w:t>
            </w:r>
            <w:r>
              <w:rPr>
                <w:rFonts w:hint="eastAsia" w:ascii="宋体" w:hAnsi="宋体"/>
                <w:bCs/>
              </w:rPr>
              <w:t>分。</w:t>
            </w:r>
          </w:p>
          <w:p>
            <w:pPr>
              <w:spacing w:line="460" w:lineRule="exact"/>
              <w:rPr>
                <w:rFonts w:ascii="宋体" w:hAnsi="宋体"/>
                <w:bCs/>
              </w:rPr>
            </w:pPr>
            <w:r>
              <w:rPr>
                <w:rFonts w:hint="eastAsia" w:ascii="宋体" w:hAnsi="宋体"/>
                <w:bCs/>
              </w:rPr>
              <w:t>（提供合同复印件，并加盖公章。合同须能反映项目名称、主要标的物，签订时间和签章清晰可见）</w:t>
            </w:r>
          </w:p>
        </w:tc>
        <w:tc>
          <w:tcPr>
            <w:tcW w:w="1040" w:type="dxa"/>
            <w:vAlign w:val="center"/>
          </w:tcPr>
          <w:p>
            <w:pPr>
              <w:spacing w:line="460" w:lineRule="exact"/>
              <w:jc w:val="center"/>
              <w:rPr>
                <w:rFonts w:ascii="宋体" w:hAnsi="宋体"/>
              </w:rPr>
            </w:pPr>
            <w:r>
              <w:rPr>
                <w:rFonts w:hint="eastAsia" w:hAnsi="宋体"/>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 w:hRule="atLeast"/>
          <w:jc w:val="center"/>
        </w:trPr>
        <w:tc>
          <w:tcPr>
            <w:tcW w:w="691" w:type="dxa"/>
            <w:vAlign w:val="center"/>
          </w:tcPr>
          <w:p>
            <w:pPr>
              <w:spacing w:line="460" w:lineRule="exact"/>
              <w:jc w:val="center"/>
              <w:rPr>
                <w:rFonts w:ascii="宋体" w:hAnsi="宋体"/>
                <w:szCs w:val="21"/>
              </w:rPr>
            </w:pPr>
            <w:r>
              <w:rPr>
                <w:rFonts w:hint="eastAsia" w:ascii="宋体" w:hAnsi="宋体"/>
                <w:szCs w:val="21"/>
              </w:rPr>
              <w:t>3</w:t>
            </w:r>
          </w:p>
        </w:tc>
        <w:tc>
          <w:tcPr>
            <w:tcW w:w="1363" w:type="dxa"/>
            <w:vAlign w:val="center"/>
          </w:tcPr>
          <w:p>
            <w:pPr>
              <w:spacing w:line="460" w:lineRule="exact"/>
              <w:jc w:val="center"/>
              <w:rPr>
                <w:rFonts w:ascii="宋体" w:hAnsi="宋体"/>
                <w:szCs w:val="21"/>
              </w:rPr>
            </w:pPr>
            <w:r>
              <w:rPr>
                <w:rFonts w:hint="eastAsia" w:ascii="宋体" w:hAnsi="宋体"/>
                <w:szCs w:val="21"/>
              </w:rPr>
              <w:t xml:space="preserve">设计方案 </w:t>
            </w:r>
          </w:p>
        </w:tc>
        <w:tc>
          <w:tcPr>
            <w:tcW w:w="6669" w:type="dxa"/>
            <w:vAlign w:val="center"/>
          </w:tcPr>
          <w:p>
            <w:pPr>
              <w:ind w:firstLine="440"/>
              <w:jc w:val="left"/>
              <w:rPr>
                <w:rFonts w:ascii="宋体" w:hAnsi="宋体" w:cs="宋体"/>
                <w:color w:val="000000" w:themeColor="text1"/>
                <w:szCs w:val="21"/>
                <w14:textFill>
                  <w14:solidFill>
                    <w14:schemeClr w14:val="tx1"/>
                  </w14:solidFill>
                </w14:textFill>
              </w:rPr>
            </w:pPr>
            <w:r>
              <w:rPr>
                <w:rFonts w:hint="eastAsia" w:ascii="宋体" w:hAnsi="宋体" w:cs="宋体"/>
                <w:bCs/>
                <w:color w:val="auto"/>
                <w:szCs w:val="21"/>
              </w:rPr>
              <w:t>根</w:t>
            </w:r>
            <w:r>
              <w:rPr>
                <w:rFonts w:hint="eastAsia" w:ascii="宋体" w:hAnsi="宋体" w:cs="宋体"/>
                <w:color w:val="auto"/>
                <w:szCs w:val="21"/>
              </w:rPr>
              <w:t>据各投标单位设计方案，诠释对本项目的理解、定位、设计理念、设计描述、</w:t>
            </w:r>
            <w:r>
              <w:rPr>
                <w:rFonts w:hint="eastAsia" w:ascii="宋体" w:hAnsi="宋体" w:cs="宋体"/>
                <w:color w:val="000000" w:themeColor="text1"/>
                <w:szCs w:val="21"/>
                <w14:textFill>
                  <w14:solidFill>
                    <w14:schemeClr w14:val="tx1"/>
                  </w14:solidFill>
                </w14:textFill>
              </w:rPr>
              <w:t>彩色效果图所反映的艺术水准等综合打分：</w:t>
            </w:r>
          </w:p>
          <w:p>
            <w:pPr>
              <w:ind w:firstLine="440"/>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设计研究分析：</w:t>
            </w:r>
          </w:p>
          <w:p>
            <w:pPr>
              <w:ind w:firstLine="44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根据对本项目的理解程度，设计思路是否有针对共富风貌驿进行分析和研究（0-2分），以及是否有根据现场考察情况对共富风貌驿元素进行提炼分析（0-2分），提出符合共富风貌驿的设计目标和构想（0-2分）</w:t>
            </w:r>
          </w:p>
          <w:p>
            <w:pPr>
              <w:ind w:firstLine="440"/>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创意方案设计：</w:t>
            </w:r>
          </w:p>
          <w:p>
            <w:pPr>
              <w:ind w:firstLine="44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1．根据本项目设计方案是否能够体现仁川镇驿站的特色、反映出共富理念（0-2分），对项目共富风貌驿的功能价值及惠民便民的体现，设计方案说明是否表达阐述清晰准确（0-2分），</w:t>
            </w:r>
            <w:r>
              <w:rPr>
                <w:rFonts w:hint="eastAsia" w:ascii="宋体" w:hAnsi="宋体"/>
                <w:color w:val="000000" w:themeColor="text1"/>
                <w14:textFill>
                  <w14:solidFill>
                    <w14:schemeClr w14:val="tx1"/>
                  </w14:solidFill>
                </w14:textFill>
              </w:rPr>
              <w:t>布局合理性、功能完善性、</w:t>
            </w:r>
            <w:r>
              <w:rPr>
                <w:rFonts w:hint="eastAsia" w:ascii="宋体" w:hAnsi="宋体" w:cs="宋体"/>
                <w:color w:val="000000" w:themeColor="text1"/>
                <w:szCs w:val="21"/>
                <w14:textFill>
                  <w14:solidFill>
                    <w14:schemeClr w14:val="tx1"/>
                  </w14:solidFill>
                </w14:textFill>
              </w:rPr>
              <w:t>色彩搭配得美观新颖程度能够融入现场环境（0-4分）。</w:t>
            </w:r>
          </w:p>
          <w:p>
            <w:pPr>
              <w:ind w:firstLine="44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2．根据设计方案中是否有提供与本项目实际效果结合的模拟效果图，从提供的模拟效果图多方面分析设计方案与现场环境的协调性（0-2分）、融合程度（0-2分）</w:t>
            </w:r>
          </w:p>
          <w:p>
            <w:pPr>
              <w:ind w:firstLine="440"/>
              <w:jc w:val="left"/>
              <w:rPr>
                <w:rFonts w:ascii="宋体" w:hAnsi="宋体" w:cs="宋体"/>
                <w:b/>
                <w:bCs/>
                <w:color w:val="000000" w:themeColor="text1"/>
                <w:szCs w:val="21"/>
                <w14:textFill>
                  <w14:solidFill>
                    <w14:schemeClr w14:val="tx1"/>
                  </w14:solidFill>
                </w14:textFill>
              </w:rPr>
            </w:pPr>
            <w:r>
              <w:rPr>
                <w:rFonts w:hint="eastAsia" w:ascii="宋体" w:hAnsi="宋体" w:cs="宋体"/>
                <w:b/>
                <w:bCs/>
                <w:color w:val="000000" w:themeColor="text1"/>
                <w:szCs w:val="21"/>
                <w14:textFill>
                  <w14:solidFill>
                    <w14:schemeClr w14:val="tx1"/>
                  </w14:solidFill>
                </w14:textFill>
              </w:rPr>
              <w:t>施工深化设计：</w:t>
            </w:r>
          </w:p>
          <w:p>
            <w:pPr>
              <w:ind w:firstLine="44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1．根据产品深化图纸，对各项参数标注及制作工艺要求明确、标准程度，主体结构图是否包含三维透视图、材料、材质工艺等标准明确综合打分。（0-5分）</w:t>
            </w:r>
          </w:p>
          <w:p>
            <w:pPr>
              <w:ind w:firstLine="440"/>
              <w:jc w:val="left"/>
              <w:rPr>
                <w:rFonts w:ascii="宋体" w:hAnsi="宋体" w:cs="宋体"/>
                <w:color w:val="000000" w:themeColor="text1"/>
                <w:szCs w:val="21"/>
                <w14:textFill>
                  <w14:solidFill>
                    <w14:schemeClr w14:val="tx1"/>
                  </w14:solidFill>
                </w14:textFill>
              </w:rPr>
            </w:pPr>
            <w:r>
              <w:rPr>
                <w:rFonts w:hint="eastAsia" w:ascii="宋体" w:hAnsi="宋体" w:cs="宋体"/>
                <w:color w:val="000000" w:themeColor="text1"/>
                <w:szCs w:val="21"/>
                <w14:textFill>
                  <w14:solidFill>
                    <w14:schemeClr w14:val="tx1"/>
                  </w14:solidFill>
                </w14:textFill>
              </w:rPr>
              <w:t>2．根据产品结构图纸是否能达到抗震安全要求，</w:t>
            </w:r>
            <w:r>
              <w:rPr>
                <w:rFonts w:hint="eastAsia" w:ascii="宋体" w:hAnsi="宋体"/>
                <w:color w:val="000000" w:themeColor="text1"/>
                <w14:textFill>
                  <w14:solidFill>
                    <w14:schemeClr w14:val="tx1"/>
                  </w14:solidFill>
                </w14:textFill>
              </w:rPr>
              <w:t>投标人提供产品结构计算书的进行综合打分</w:t>
            </w:r>
            <w:r>
              <w:rPr>
                <w:rFonts w:hint="eastAsia" w:ascii="宋体" w:hAnsi="宋体" w:cs="宋体"/>
                <w:color w:val="000000" w:themeColor="text1"/>
                <w:szCs w:val="21"/>
                <w14:textFill>
                  <w14:solidFill>
                    <w14:schemeClr w14:val="tx1"/>
                  </w14:solidFill>
                </w14:textFill>
              </w:rPr>
              <w:t>。（0-3分）</w:t>
            </w:r>
          </w:p>
          <w:p>
            <w:pPr>
              <w:spacing w:line="460" w:lineRule="exact"/>
              <w:rPr>
                <w:rFonts w:ascii="宋体" w:hAnsi="宋体"/>
                <w:szCs w:val="21"/>
              </w:rPr>
            </w:pPr>
            <w:r>
              <w:rPr>
                <w:rFonts w:hint="eastAsia" w:ascii="宋体" w:hAnsi="宋体" w:cs="宋体"/>
                <w:b/>
                <w:bCs/>
                <w:color w:val="000000" w:themeColor="text1"/>
                <w:szCs w:val="21"/>
                <w14:textFill>
                  <w14:solidFill>
                    <w14:schemeClr w14:val="tx1"/>
                  </w14:solidFill>
                </w14:textFill>
              </w:rPr>
              <w:t>注：以上不提供设计方案不得分。</w:t>
            </w:r>
          </w:p>
        </w:tc>
        <w:tc>
          <w:tcPr>
            <w:tcW w:w="1040" w:type="dxa"/>
            <w:vAlign w:val="center"/>
          </w:tcPr>
          <w:p>
            <w:pPr>
              <w:spacing w:line="460" w:lineRule="exact"/>
              <w:jc w:val="center"/>
              <w:rPr>
                <w:rFonts w:ascii="宋体" w:hAnsi="宋体"/>
              </w:rPr>
            </w:pPr>
            <w:r>
              <w:rPr>
                <w:rFonts w:hint="eastAsia" w:ascii="宋体" w:hAnsi="宋体"/>
              </w:rPr>
              <w:t>26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91" w:type="dxa"/>
            <w:vAlign w:val="center"/>
          </w:tcPr>
          <w:p>
            <w:pPr>
              <w:spacing w:line="460" w:lineRule="exact"/>
              <w:jc w:val="center"/>
              <w:rPr>
                <w:rFonts w:ascii="宋体" w:hAnsi="宋体"/>
              </w:rPr>
            </w:pPr>
            <w:r>
              <w:rPr>
                <w:rFonts w:hint="eastAsia" w:ascii="宋体" w:hAnsi="宋体"/>
              </w:rPr>
              <w:t>4</w:t>
            </w:r>
          </w:p>
        </w:tc>
        <w:tc>
          <w:tcPr>
            <w:tcW w:w="1363" w:type="dxa"/>
            <w:vAlign w:val="center"/>
          </w:tcPr>
          <w:p>
            <w:pPr>
              <w:spacing w:line="460" w:lineRule="exact"/>
              <w:jc w:val="center"/>
              <w:rPr>
                <w:rFonts w:ascii="宋体" w:hAnsi="宋体"/>
              </w:rPr>
            </w:pPr>
            <w:r>
              <w:rPr>
                <w:rFonts w:hint="eastAsia" w:ascii="宋体" w:hAnsi="宋体"/>
              </w:rPr>
              <w:t>图纸深度</w:t>
            </w:r>
          </w:p>
        </w:tc>
        <w:tc>
          <w:tcPr>
            <w:tcW w:w="6669" w:type="dxa"/>
            <w:vAlign w:val="center"/>
          </w:tcPr>
          <w:p>
            <w:pPr>
              <w:spacing w:line="460" w:lineRule="exact"/>
              <w:rPr>
                <w:rFonts w:ascii="宋体" w:hAnsi="宋体"/>
              </w:rPr>
            </w:pPr>
            <w:r>
              <w:rPr>
                <w:rFonts w:hint="eastAsia" w:ascii="宋体" w:hAnsi="宋体"/>
              </w:rPr>
              <w:t>根据投标人提供的产品加工图纸（包括</w:t>
            </w:r>
            <w:r>
              <w:rPr>
                <w:rFonts w:hint="eastAsia" w:hAnsi="宋体"/>
              </w:rPr>
              <w:t>模块化房屋加工</w:t>
            </w:r>
            <w:r>
              <w:rPr>
                <w:rFonts w:hint="eastAsia" w:ascii="宋体" w:hAnsi="宋体"/>
              </w:rPr>
              <w:t>图纸、结构专业图纸、暖通专业图纸、电气专业图纸、排水专业图纸、弱电智能化专业图纸）进行评分：图纸完整性、科学性、合理性强的，得</w:t>
            </w:r>
            <w:r>
              <w:rPr>
                <w:rFonts w:hint="eastAsia" w:hAnsi="宋体"/>
              </w:rPr>
              <w:t>0</w:t>
            </w:r>
            <w:r>
              <w:rPr>
                <w:rFonts w:hint="eastAsia" w:ascii="宋体" w:hAnsi="宋体"/>
              </w:rPr>
              <w:t>-</w:t>
            </w:r>
            <w:r>
              <w:rPr>
                <w:rFonts w:hint="eastAsia" w:hAnsi="宋体"/>
              </w:rPr>
              <w:t>5</w:t>
            </w:r>
            <w:r>
              <w:rPr>
                <w:rFonts w:hint="eastAsia" w:ascii="宋体" w:hAnsi="宋体"/>
              </w:rPr>
              <w:t>分；</w:t>
            </w:r>
          </w:p>
        </w:tc>
        <w:tc>
          <w:tcPr>
            <w:tcW w:w="1040" w:type="dxa"/>
            <w:vAlign w:val="center"/>
          </w:tcPr>
          <w:p>
            <w:pPr>
              <w:spacing w:line="460" w:lineRule="exact"/>
              <w:jc w:val="center"/>
              <w:rPr>
                <w:rFonts w:ascii="宋体" w:hAnsi="宋体"/>
              </w:rPr>
            </w:pPr>
            <w:r>
              <w:rPr>
                <w:rFonts w:hint="eastAsia" w:ascii="宋体" w:hAnsi="宋体"/>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9" w:hRule="atLeast"/>
          <w:jc w:val="center"/>
        </w:trPr>
        <w:tc>
          <w:tcPr>
            <w:tcW w:w="691" w:type="dxa"/>
            <w:vMerge w:val="restart"/>
            <w:vAlign w:val="center"/>
          </w:tcPr>
          <w:p>
            <w:pPr>
              <w:spacing w:line="460" w:lineRule="exact"/>
              <w:jc w:val="center"/>
              <w:rPr>
                <w:rFonts w:ascii="宋体" w:hAnsi="宋体"/>
              </w:rPr>
            </w:pPr>
            <w:r>
              <w:rPr>
                <w:rFonts w:hint="eastAsia" w:ascii="宋体" w:hAnsi="宋体"/>
              </w:rPr>
              <w:t>5</w:t>
            </w:r>
          </w:p>
        </w:tc>
        <w:tc>
          <w:tcPr>
            <w:tcW w:w="1363" w:type="dxa"/>
            <w:vMerge w:val="restart"/>
            <w:vAlign w:val="center"/>
          </w:tcPr>
          <w:p>
            <w:pPr>
              <w:spacing w:line="460" w:lineRule="exact"/>
              <w:jc w:val="center"/>
              <w:rPr>
                <w:rFonts w:ascii="宋体" w:hAnsi="宋体"/>
              </w:rPr>
            </w:pPr>
            <w:r>
              <w:rPr>
                <w:rFonts w:ascii="宋体" w:hAnsi="宋体"/>
              </w:rPr>
              <w:t>性能指标</w:t>
            </w:r>
          </w:p>
        </w:tc>
        <w:tc>
          <w:tcPr>
            <w:tcW w:w="6669" w:type="dxa"/>
            <w:vAlign w:val="center"/>
          </w:tcPr>
          <w:p>
            <w:pPr>
              <w:spacing w:line="460" w:lineRule="exact"/>
              <w:rPr>
                <w:rFonts w:ascii="宋体" w:hAnsi="宋体"/>
              </w:rPr>
            </w:pPr>
            <w:r>
              <w:rPr>
                <w:rFonts w:hint="eastAsia" w:ascii="宋体" w:hAnsi="宋体"/>
              </w:rPr>
              <w:t>1.投标人需根据项目主要技术参数表中打“</w:t>
            </w:r>
            <w:r>
              <w:rPr>
                <w:rFonts w:hint="eastAsia" w:hAnsi="宋体" w:cs="宋体"/>
                <w:szCs w:val="21"/>
                <w:lang w:bidi="ar"/>
              </w:rPr>
              <w:t>▲</w:t>
            </w:r>
            <w:r>
              <w:rPr>
                <w:rFonts w:hint="eastAsia" w:ascii="宋体" w:hAnsi="宋体"/>
              </w:rPr>
              <w:t>”项（结构</w:t>
            </w:r>
            <w:r>
              <w:rPr>
                <w:rFonts w:hint="eastAsia" w:ascii="宋体" w:hAnsi="宋体" w:cs="方正仿宋_GBK"/>
              </w:rPr>
              <w:t>、屋面、吊顶、墙体、灯具、厕隔间、洁具配置、空气排风</w:t>
            </w:r>
            <w:r>
              <w:rPr>
                <w:rFonts w:hint="eastAsia" w:ascii="宋体" w:hAnsi="宋体"/>
              </w:rPr>
              <w:t>）进行详细描述，提供</w:t>
            </w:r>
            <w:r>
              <w:rPr>
                <w:rFonts w:hint="eastAsia" w:ascii="宋体" w:hAnsi="宋体" w:cs="方正仿宋_GBK"/>
              </w:rPr>
              <w:t>产品图片、技术数据、文字说明等响应资料，评审专家根</w:t>
            </w:r>
            <w:r>
              <w:rPr>
                <w:rFonts w:hint="eastAsia" w:ascii="宋体" w:hAnsi="宋体"/>
              </w:rPr>
              <w:t>据投标人提供的相关资料进行评价打分。</w:t>
            </w:r>
            <w:r>
              <w:rPr>
                <w:rFonts w:hint="eastAsia" w:ascii="宋体" w:hAnsi="宋体" w:cs="方正仿宋_GBK"/>
              </w:rPr>
              <w:t>完全响应</w:t>
            </w:r>
            <w:r>
              <w:rPr>
                <w:rFonts w:hint="eastAsia" w:ascii="宋体" w:hAnsi="宋体"/>
              </w:rPr>
              <w:t>招标文件要求的得</w:t>
            </w:r>
            <w:r>
              <w:rPr>
                <w:rFonts w:hint="eastAsia" w:hAnsi="宋体"/>
              </w:rPr>
              <w:t>10</w:t>
            </w:r>
            <w:r>
              <w:rPr>
                <w:rFonts w:hint="eastAsia" w:ascii="宋体" w:hAnsi="宋体"/>
              </w:rPr>
              <w:t>分，</w:t>
            </w:r>
            <w:r>
              <w:rPr>
                <w:rFonts w:hint="eastAsia" w:ascii="宋体" w:hAnsi="宋体" w:cs="方正仿宋_GBK"/>
              </w:rPr>
              <w:t>每负偏离一项扣1分，扣完本项得分为止。</w:t>
            </w:r>
          </w:p>
        </w:tc>
        <w:tc>
          <w:tcPr>
            <w:tcW w:w="1040" w:type="dxa"/>
            <w:vMerge w:val="restart"/>
            <w:vAlign w:val="center"/>
          </w:tcPr>
          <w:p>
            <w:pPr>
              <w:spacing w:line="460" w:lineRule="exact"/>
              <w:jc w:val="center"/>
              <w:rPr>
                <w:rFonts w:ascii="宋体" w:hAnsi="宋体"/>
              </w:rPr>
            </w:pPr>
            <w:r>
              <w:rPr>
                <w:rFonts w:hint="eastAsia" w:ascii="宋体" w:hAnsi="宋体"/>
              </w:rPr>
              <w:t>1</w:t>
            </w:r>
            <w:r>
              <w:rPr>
                <w:rFonts w:hint="eastAsia" w:hAnsi="宋体"/>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jc w:val="center"/>
        </w:trPr>
        <w:tc>
          <w:tcPr>
            <w:tcW w:w="691" w:type="dxa"/>
            <w:vMerge w:val="continue"/>
            <w:vAlign w:val="center"/>
          </w:tcPr>
          <w:p>
            <w:pPr>
              <w:spacing w:line="460" w:lineRule="exact"/>
              <w:jc w:val="center"/>
              <w:rPr>
                <w:rFonts w:ascii="宋体" w:hAnsi="宋体"/>
              </w:rPr>
            </w:pPr>
          </w:p>
        </w:tc>
        <w:tc>
          <w:tcPr>
            <w:tcW w:w="1363" w:type="dxa"/>
            <w:vMerge w:val="continue"/>
            <w:vAlign w:val="center"/>
          </w:tcPr>
          <w:p>
            <w:pPr>
              <w:spacing w:line="460" w:lineRule="exact"/>
              <w:jc w:val="center"/>
              <w:rPr>
                <w:rFonts w:ascii="宋体" w:hAnsi="宋体"/>
              </w:rPr>
            </w:pPr>
          </w:p>
        </w:tc>
        <w:tc>
          <w:tcPr>
            <w:tcW w:w="6669" w:type="dxa"/>
            <w:vAlign w:val="center"/>
          </w:tcPr>
          <w:p>
            <w:pPr>
              <w:spacing w:line="460" w:lineRule="exact"/>
              <w:rPr>
                <w:rFonts w:ascii="宋体" w:hAnsi="宋体"/>
              </w:rPr>
            </w:pPr>
            <w:r>
              <w:rPr>
                <w:rFonts w:hint="eastAsia" w:ascii="宋体" w:hAnsi="宋体"/>
              </w:rPr>
              <w:t>2.除上述打“</w:t>
            </w:r>
            <w:r>
              <w:rPr>
                <w:rFonts w:hint="eastAsia" w:hAnsi="宋体" w:cs="宋体"/>
                <w:szCs w:val="21"/>
                <w:lang w:bidi="ar"/>
              </w:rPr>
              <w:t>▲</w:t>
            </w:r>
            <w:r>
              <w:rPr>
                <w:rFonts w:hint="eastAsia" w:ascii="宋体" w:hAnsi="宋体"/>
              </w:rPr>
              <w:t>”项外，其它所投设备的技术参数、性能等是否满足招标文件的要求及偏离情况：根据投标人提供的技术参数偏离表及相关资料进行评审，完全响应招标文件要求的得</w:t>
            </w:r>
            <w:r>
              <w:rPr>
                <w:rFonts w:hint="eastAsia" w:hAnsi="宋体"/>
              </w:rPr>
              <w:t>5</w:t>
            </w:r>
            <w:r>
              <w:rPr>
                <w:rFonts w:hint="eastAsia" w:ascii="宋体" w:hAnsi="宋体"/>
              </w:rPr>
              <w:t>分，每负偏离一项扣0.5分，扣完本项得分为止。</w:t>
            </w:r>
          </w:p>
        </w:tc>
        <w:tc>
          <w:tcPr>
            <w:tcW w:w="1040" w:type="dxa"/>
            <w:vMerge w:val="continue"/>
            <w:vAlign w:val="center"/>
          </w:tcPr>
          <w:p>
            <w:pPr>
              <w:spacing w:line="460" w:lineRule="exact"/>
              <w:jc w:val="center"/>
              <w:rPr>
                <w:rFonts w:ascii="宋体" w:hAnsi="宋体"/>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 w:hRule="atLeast"/>
          <w:jc w:val="center"/>
        </w:trPr>
        <w:tc>
          <w:tcPr>
            <w:tcW w:w="691" w:type="dxa"/>
            <w:vAlign w:val="center"/>
          </w:tcPr>
          <w:p>
            <w:pPr>
              <w:spacing w:line="460" w:lineRule="exact"/>
              <w:jc w:val="center"/>
              <w:rPr>
                <w:rFonts w:ascii="宋体" w:hAnsi="宋体"/>
              </w:rPr>
            </w:pPr>
            <w:r>
              <w:rPr>
                <w:rFonts w:hint="eastAsia" w:ascii="宋体" w:hAnsi="宋体"/>
              </w:rPr>
              <w:t>6</w:t>
            </w:r>
          </w:p>
        </w:tc>
        <w:tc>
          <w:tcPr>
            <w:tcW w:w="1363" w:type="dxa"/>
            <w:vAlign w:val="center"/>
          </w:tcPr>
          <w:p>
            <w:pPr>
              <w:spacing w:line="460" w:lineRule="exact"/>
              <w:jc w:val="center"/>
              <w:rPr>
                <w:rFonts w:ascii="宋体" w:hAnsi="宋体"/>
              </w:rPr>
            </w:pPr>
            <w:r>
              <w:rPr>
                <w:rFonts w:hint="eastAsia" w:ascii="宋体" w:hAnsi="宋体"/>
              </w:rPr>
              <w:t>实施方案</w:t>
            </w:r>
          </w:p>
        </w:tc>
        <w:tc>
          <w:tcPr>
            <w:tcW w:w="6669" w:type="dxa"/>
            <w:vAlign w:val="center"/>
          </w:tcPr>
          <w:p>
            <w:pPr>
              <w:spacing w:line="460" w:lineRule="exact"/>
              <w:rPr>
                <w:rFonts w:ascii="宋体" w:hAnsi="宋体"/>
              </w:rPr>
            </w:pPr>
            <w:r>
              <w:rPr>
                <w:rFonts w:hint="eastAsia" w:ascii="宋体" w:hAnsi="宋体"/>
              </w:rPr>
              <w:t>根据投标人提供的实施方案进行评分：</w:t>
            </w:r>
          </w:p>
          <w:p>
            <w:pPr>
              <w:spacing w:line="460" w:lineRule="exact"/>
            </w:pPr>
            <w:r>
              <w:rPr>
                <w:rFonts w:hint="eastAsia" w:ascii="宋体" w:hAnsi="宋体"/>
              </w:rPr>
              <w:t>实施方案中安装计划详尽具体，流程安排紧凑有序、人员分工明确、确保工期按时完成的，得5分；有不足或缺陷的，每处扣0.5分，扣完为止；不能确保工期按时完成的，不得分。</w:t>
            </w:r>
          </w:p>
        </w:tc>
        <w:tc>
          <w:tcPr>
            <w:tcW w:w="1040" w:type="dxa"/>
            <w:vAlign w:val="center"/>
          </w:tcPr>
          <w:p>
            <w:pPr>
              <w:spacing w:line="460" w:lineRule="exact"/>
              <w:jc w:val="center"/>
              <w:rPr>
                <w:rFonts w:ascii="宋体" w:hAnsi="宋体"/>
              </w:rPr>
            </w:pPr>
            <w:r>
              <w:rPr>
                <w:rFonts w:hint="eastAsia" w:ascii="宋体" w:hAnsi="宋体"/>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691" w:type="dxa"/>
            <w:vMerge w:val="restart"/>
            <w:vAlign w:val="center"/>
          </w:tcPr>
          <w:p>
            <w:pPr>
              <w:spacing w:line="460" w:lineRule="exact"/>
              <w:jc w:val="center"/>
              <w:rPr>
                <w:rFonts w:ascii="宋体" w:hAnsi="宋体"/>
                <w:bCs/>
              </w:rPr>
            </w:pPr>
            <w:r>
              <w:rPr>
                <w:rFonts w:hint="eastAsia" w:ascii="宋体" w:hAnsi="宋体"/>
                <w:bCs/>
              </w:rPr>
              <w:t>7</w:t>
            </w:r>
          </w:p>
        </w:tc>
        <w:tc>
          <w:tcPr>
            <w:tcW w:w="1363" w:type="dxa"/>
            <w:vMerge w:val="restart"/>
            <w:vAlign w:val="center"/>
          </w:tcPr>
          <w:p>
            <w:pPr>
              <w:spacing w:line="460" w:lineRule="exact"/>
              <w:jc w:val="center"/>
              <w:rPr>
                <w:rFonts w:ascii="宋体" w:hAnsi="宋体"/>
                <w:bCs/>
              </w:rPr>
            </w:pPr>
            <w:r>
              <w:rPr>
                <w:rFonts w:hint="eastAsia" w:ascii="宋体" w:hAnsi="宋体"/>
                <w:bCs/>
              </w:rPr>
              <w:t>售后服务</w:t>
            </w:r>
          </w:p>
        </w:tc>
        <w:tc>
          <w:tcPr>
            <w:tcW w:w="6669" w:type="dxa"/>
            <w:vAlign w:val="center"/>
          </w:tcPr>
          <w:p>
            <w:pPr>
              <w:spacing w:line="460" w:lineRule="exact"/>
              <w:rPr>
                <w:rFonts w:ascii="宋体" w:hAnsi="宋体"/>
                <w:bCs/>
              </w:rPr>
            </w:pPr>
            <w:r>
              <w:rPr>
                <w:rFonts w:hint="eastAsia" w:ascii="宋体" w:hAnsi="宋体"/>
                <w:bCs/>
                <w:lang w:val="en-US" w:eastAsia="zh-CN"/>
              </w:rPr>
              <w:t>1.</w:t>
            </w:r>
            <w:r>
              <w:rPr>
                <w:rFonts w:hint="eastAsia" w:ascii="宋体" w:hAnsi="宋体"/>
                <w:bCs/>
              </w:rPr>
              <w:t xml:space="preserve">根据投标人售后服务响应时间承诺在接到维修电话后 2 小时内作出响应，1 个工作日内到达用户现场维修，一般故障在 </w:t>
            </w:r>
            <w:r>
              <w:rPr>
                <w:rFonts w:hint="eastAsia" w:hAnsi="宋体"/>
                <w:bCs/>
              </w:rPr>
              <w:t>24</w:t>
            </w:r>
            <w:r>
              <w:rPr>
                <w:rFonts w:hint="eastAsia" w:ascii="宋体" w:hAnsi="宋体"/>
                <w:bCs/>
              </w:rPr>
              <w:t>小时内修复，重大故障在 48 小时内修复的得 2 分；</w:t>
            </w:r>
          </w:p>
        </w:tc>
        <w:tc>
          <w:tcPr>
            <w:tcW w:w="1040" w:type="dxa"/>
            <w:vAlign w:val="center"/>
          </w:tcPr>
          <w:p>
            <w:pPr>
              <w:spacing w:line="460" w:lineRule="exact"/>
              <w:jc w:val="center"/>
              <w:rPr>
                <w:rFonts w:ascii="宋体" w:hAnsi="宋体"/>
                <w:bCs/>
              </w:rPr>
            </w:pPr>
            <w:r>
              <w:rPr>
                <w:rFonts w:hint="eastAsia" w:hAnsi="宋体"/>
                <w:bCs/>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691" w:type="dxa"/>
            <w:vMerge w:val="continue"/>
            <w:vAlign w:val="center"/>
          </w:tcPr>
          <w:p>
            <w:pPr>
              <w:spacing w:line="460" w:lineRule="exact"/>
              <w:jc w:val="center"/>
              <w:rPr>
                <w:rFonts w:ascii="宋体" w:hAnsi="宋体"/>
                <w:bCs/>
              </w:rPr>
            </w:pPr>
          </w:p>
        </w:tc>
        <w:tc>
          <w:tcPr>
            <w:tcW w:w="1363" w:type="dxa"/>
            <w:vMerge w:val="continue"/>
            <w:vAlign w:val="center"/>
          </w:tcPr>
          <w:p>
            <w:pPr>
              <w:spacing w:line="460" w:lineRule="exact"/>
              <w:jc w:val="center"/>
              <w:rPr>
                <w:rFonts w:ascii="宋体" w:hAnsi="宋体"/>
                <w:bCs/>
              </w:rPr>
            </w:pPr>
          </w:p>
        </w:tc>
        <w:tc>
          <w:tcPr>
            <w:tcW w:w="6669" w:type="dxa"/>
            <w:vAlign w:val="center"/>
          </w:tcPr>
          <w:p>
            <w:pPr>
              <w:spacing w:line="460" w:lineRule="exact"/>
              <w:rPr>
                <w:rFonts w:ascii="宋体" w:hAnsi="宋体"/>
                <w:bCs/>
              </w:rPr>
            </w:pPr>
            <w:r>
              <w:rPr>
                <w:rFonts w:hint="eastAsia" w:ascii="宋体" w:hAnsi="宋体"/>
                <w:bCs/>
              </w:rPr>
              <w:t>2.根据投标人承诺的质保期时间 2 年质保期（货物另有超过2 年质保规定的按原规定执行）的得 1 分，每延长 1 年得 1 分，最高得 3 分。</w:t>
            </w:r>
          </w:p>
        </w:tc>
        <w:tc>
          <w:tcPr>
            <w:tcW w:w="1040" w:type="dxa"/>
            <w:vAlign w:val="center"/>
          </w:tcPr>
          <w:p>
            <w:pPr>
              <w:spacing w:line="460" w:lineRule="exact"/>
              <w:jc w:val="center"/>
              <w:rPr>
                <w:rFonts w:ascii="宋体" w:hAnsi="宋体"/>
                <w:bCs/>
              </w:rPr>
            </w:pPr>
            <w:r>
              <w:rPr>
                <w:rFonts w:hint="eastAsia" w:ascii="宋体" w:hAnsi="宋体"/>
                <w:bCs/>
              </w:rPr>
              <w:t>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691" w:type="dxa"/>
            <w:vMerge w:val="continue"/>
            <w:vAlign w:val="center"/>
          </w:tcPr>
          <w:p>
            <w:pPr>
              <w:spacing w:line="460" w:lineRule="exact"/>
              <w:jc w:val="center"/>
              <w:rPr>
                <w:rFonts w:ascii="宋体" w:hAnsi="宋体"/>
                <w:bCs/>
              </w:rPr>
            </w:pPr>
          </w:p>
        </w:tc>
        <w:tc>
          <w:tcPr>
            <w:tcW w:w="1363" w:type="dxa"/>
            <w:vMerge w:val="continue"/>
            <w:vAlign w:val="center"/>
          </w:tcPr>
          <w:p>
            <w:pPr>
              <w:spacing w:line="460" w:lineRule="exact"/>
              <w:jc w:val="center"/>
              <w:rPr>
                <w:rFonts w:ascii="宋体" w:hAnsi="宋体"/>
                <w:bCs/>
              </w:rPr>
            </w:pPr>
          </w:p>
        </w:tc>
        <w:tc>
          <w:tcPr>
            <w:tcW w:w="6669" w:type="dxa"/>
            <w:vAlign w:val="center"/>
          </w:tcPr>
          <w:p>
            <w:pPr>
              <w:spacing w:line="460" w:lineRule="exact"/>
              <w:rPr>
                <w:rFonts w:ascii="宋体" w:hAnsi="宋体"/>
                <w:bCs/>
              </w:rPr>
            </w:pPr>
            <w:bookmarkStart w:id="99" w:name="_GoBack"/>
            <w:r>
              <w:rPr>
                <w:rFonts w:hint="eastAsia" w:ascii="宋体" w:hAnsi="宋体"/>
                <w:bCs/>
              </w:rPr>
              <w:t>3.根据投标人承诺质保期内外的售后服务措施、备品备件耗材的优惠承诺、能提供给使用单位的实质性服务措施进</w:t>
            </w:r>
            <w:r>
              <w:rPr>
                <w:rFonts w:hint="eastAsia" w:ascii="宋体" w:hAnsi="宋体"/>
              </w:rPr>
              <w:t>行评分</w:t>
            </w:r>
            <w:r>
              <w:rPr>
                <w:rFonts w:hint="eastAsia" w:ascii="宋体" w:hAnsi="宋体"/>
                <w:bCs/>
              </w:rPr>
              <w:t>（0-5分）。</w:t>
            </w:r>
            <w:bookmarkEnd w:id="99"/>
          </w:p>
        </w:tc>
        <w:tc>
          <w:tcPr>
            <w:tcW w:w="1040" w:type="dxa"/>
            <w:vAlign w:val="center"/>
          </w:tcPr>
          <w:p>
            <w:pPr>
              <w:spacing w:line="460" w:lineRule="exact"/>
              <w:jc w:val="center"/>
              <w:rPr>
                <w:rFonts w:ascii="宋体" w:hAnsi="宋体"/>
                <w:bCs/>
              </w:rPr>
            </w:pPr>
            <w:r>
              <w:rPr>
                <w:rFonts w:hint="eastAsia" w:ascii="宋体" w:hAnsi="宋体"/>
                <w:bCs/>
              </w:rPr>
              <w:t>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8723" w:type="dxa"/>
            <w:gridSpan w:val="3"/>
            <w:vAlign w:val="center"/>
          </w:tcPr>
          <w:p>
            <w:pPr>
              <w:spacing w:line="460" w:lineRule="exact"/>
              <w:jc w:val="center"/>
              <w:rPr>
                <w:rFonts w:ascii="宋体" w:hAnsi="宋体"/>
                <w:bCs/>
              </w:rPr>
            </w:pPr>
            <w:r>
              <w:rPr>
                <w:rFonts w:hint="eastAsia" w:ascii="宋体" w:hAnsi="宋体"/>
                <w:bCs/>
              </w:rPr>
              <w:t>合计</w:t>
            </w:r>
          </w:p>
        </w:tc>
        <w:tc>
          <w:tcPr>
            <w:tcW w:w="1040" w:type="dxa"/>
            <w:vAlign w:val="center"/>
          </w:tcPr>
          <w:p>
            <w:pPr>
              <w:spacing w:line="460" w:lineRule="exact"/>
              <w:jc w:val="center"/>
              <w:rPr>
                <w:rFonts w:ascii="宋体" w:hAnsi="宋体"/>
                <w:bCs/>
              </w:rPr>
            </w:pPr>
            <w:r>
              <w:rPr>
                <w:rFonts w:hint="eastAsia" w:hAnsi="宋体"/>
                <w:bCs/>
              </w:rPr>
              <w:t>7</w:t>
            </w:r>
            <w:r>
              <w:rPr>
                <w:rFonts w:hint="eastAsia" w:ascii="宋体" w:hAnsi="宋体"/>
                <w:bCs/>
              </w:rPr>
              <w:t>0</w:t>
            </w:r>
          </w:p>
        </w:tc>
      </w:tr>
    </w:tbl>
    <w:p>
      <w:pPr>
        <w:spacing w:line="480" w:lineRule="exact"/>
        <w:rPr>
          <w:rFonts w:ascii="宋体" w:hAnsi="宋体" w:cs="宋体"/>
          <w:b/>
          <w:bCs/>
          <w:sz w:val="24"/>
        </w:rPr>
      </w:pPr>
      <w:r>
        <w:rPr>
          <w:rFonts w:hint="eastAsia" w:ascii="宋体" w:hAnsi="宋体" w:cs="宋体"/>
          <w:color w:val="000000"/>
          <w:kern w:val="0"/>
          <w:sz w:val="24"/>
        </w:rPr>
        <w:t>▲</w:t>
      </w:r>
      <w:r>
        <w:rPr>
          <w:rFonts w:hint="eastAsia" w:ascii="宋体" w:hAnsi="宋体" w:cs="宋体"/>
          <w:b/>
          <w:bCs/>
          <w:sz w:val="24"/>
        </w:rPr>
        <w:t>注：如发现标书中有虚假响应的，一经采购单位查实，将抄报给磐安县财政局采购监管科，建议取消其投标资格。</w:t>
      </w:r>
    </w:p>
    <w:p>
      <w:pPr>
        <w:pStyle w:val="25"/>
        <w:spacing w:line="480" w:lineRule="exact"/>
        <w:ind w:firstLine="0" w:firstLineChars="0"/>
        <w:rPr>
          <w:rFonts w:hAnsi="宋体" w:cs="宋体"/>
          <w:b/>
          <w:bCs/>
          <w:color w:val="auto"/>
          <w:szCs w:val="24"/>
        </w:rPr>
      </w:pPr>
      <w:r>
        <w:rPr>
          <w:rFonts w:hint="eastAsia" w:hAnsi="宋体" w:cs="宋体"/>
          <w:b/>
          <w:bCs/>
          <w:color w:val="auto"/>
          <w:szCs w:val="24"/>
        </w:rPr>
        <w:t>三、商务报价（30分）</w:t>
      </w:r>
    </w:p>
    <w:p>
      <w:pPr>
        <w:spacing w:line="480" w:lineRule="exact"/>
        <w:ind w:firstLine="480" w:firstLineChars="200"/>
        <w:rPr>
          <w:rFonts w:ascii="宋体" w:hAnsi="宋体" w:cs="宋体"/>
          <w:sz w:val="24"/>
        </w:rPr>
      </w:pPr>
      <w:r>
        <w:rPr>
          <w:rFonts w:hint="eastAsia" w:ascii="宋体" w:hAnsi="宋体" w:cs="宋体"/>
          <w:sz w:val="24"/>
        </w:rPr>
        <w:t>1.以满足磋商文件要求且最后报价最低的投标商的价格为磋商基准价，其价格分为满分。其他投标商的价格分统一按照下列公式计算：</w:t>
      </w:r>
    </w:p>
    <w:p>
      <w:pPr>
        <w:spacing w:line="480" w:lineRule="exact"/>
        <w:ind w:firstLine="480" w:firstLineChars="200"/>
        <w:rPr>
          <w:rFonts w:ascii="宋体" w:hAnsi="宋体" w:cs="宋体"/>
          <w:sz w:val="24"/>
        </w:rPr>
      </w:pPr>
      <w:r>
        <w:rPr>
          <w:rFonts w:hint="eastAsia" w:ascii="宋体" w:hAnsi="宋体" w:cs="宋体"/>
          <w:sz w:val="24"/>
        </w:rPr>
        <w:t>2．</w:t>
      </w:r>
      <w:r>
        <w:rPr>
          <w:rFonts w:hint="eastAsia" w:ascii="宋体" w:hAnsi="宋体" w:cs="宋体"/>
          <w:sz w:val="24"/>
          <w:u w:val="single"/>
        </w:rPr>
        <w:t>磋商报价得分=（磋商基准价/最后磋商报价）×30%×100</w:t>
      </w:r>
    </w:p>
    <w:p>
      <w:pPr>
        <w:widowControl/>
        <w:spacing w:line="480" w:lineRule="exact"/>
        <w:ind w:firstLine="466" w:firstLineChars="200"/>
        <w:jc w:val="left"/>
        <w:rPr>
          <w:rFonts w:ascii="宋体" w:hAnsi="宋体" w:cs="宋体"/>
          <w:sz w:val="24"/>
        </w:rPr>
      </w:pPr>
      <w:r>
        <w:rPr>
          <w:rFonts w:hint="eastAsia" w:ascii="宋体" w:hAnsi="宋体" w:cs="宋体"/>
          <w:b/>
          <w:spacing w:val="-4"/>
          <w:sz w:val="24"/>
        </w:rPr>
        <w:t>注：</w:t>
      </w:r>
      <w:r>
        <w:rPr>
          <w:rFonts w:hint="eastAsia" w:ascii="宋体" w:hAnsi="宋体" w:cs="宋体"/>
          <w:sz w:val="24"/>
        </w:rPr>
        <w:t>1）根据财库[2020]46号《政府采购促进中小企业发展管理办法》、浙财采监[2022]3号的相关规定，未预留份额专门面向中小企业采购的采购项目，以及预留份额项目中的非预留部分标段，在评审时对符合该办法规定的小微企业的投标报价给予20%的扣除，取扣除后的价格作为评审投标报价（此评审投标报价仅在评标时使用）。享受相关中小企业扶持政策的投标人，必须在投标文件中提供《中小企业声明函》。</w:t>
      </w:r>
    </w:p>
    <w:p>
      <w:pPr>
        <w:widowControl/>
        <w:spacing w:line="480" w:lineRule="exact"/>
        <w:ind w:firstLine="480" w:firstLineChars="200"/>
        <w:jc w:val="left"/>
        <w:rPr>
          <w:rFonts w:ascii="宋体" w:hAnsi="宋体" w:cs="宋体"/>
          <w:sz w:val="24"/>
        </w:rPr>
      </w:pPr>
      <w:r>
        <w:rPr>
          <w:rFonts w:hint="eastAsia" w:ascii="宋体" w:hAnsi="宋体" w:cs="宋体"/>
          <w:sz w:val="24"/>
        </w:rPr>
        <w:t>2）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w:t>
      </w:r>
    </w:p>
    <w:p>
      <w:pPr>
        <w:widowControl/>
        <w:spacing w:line="480" w:lineRule="exact"/>
        <w:ind w:firstLine="480" w:firstLineChars="200"/>
        <w:jc w:val="left"/>
        <w:rPr>
          <w:rFonts w:ascii="宋体" w:hAnsi="宋体" w:cs="宋体"/>
          <w:sz w:val="24"/>
        </w:rPr>
      </w:pPr>
      <w:r>
        <w:rPr>
          <w:rFonts w:hint="eastAsia" w:ascii="宋体" w:hAnsi="宋体" w:cs="宋体"/>
          <w:sz w:val="24"/>
        </w:rPr>
        <w:t>3）根据财库[2014]68号的相关规定，在政府采购活动中，监狱企业视同小型、微型企业，享受评审中价格扣除政策，并在投标文件中提供由省级以上监狱管理局、戒毒管理局（含新疆生产建设兵团）出具的属于监狱企业的声明文件（格式自拟）。</w:t>
      </w:r>
    </w:p>
    <w:p>
      <w:pPr>
        <w:pStyle w:val="33"/>
        <w:spacing w:before="0" w:beforeAutospacing="0" w:after="0" w:afterAutospacing="0" w:line="480" w:lineRule="exact"/>
        <w:ind w:firstLine="466" w:firstLineChars="200"/>
        <w:rPr>
          <w:rFonts w:cs="宋体"/>
          <w:sz w:val="24"/>
          <w:u w:val="single"/>
        </w:rPr>
      </w:pPr>
      <w:r>
        <w:rPr>
          <w:rFonts w:hint="eastAsia" w:cs="宋体"/>
          <w:b/>
          <w:spacing w:val="-4"/>
          <w:sz w:val="24"/>
        </w:rPr>
        <w:t>小微企业的评审价格=小微企业的投标报价－小型、微型企业生产的产品</w:t>
      </w:r>
      <w:r>
        <w:rPr>
          <w:rFonts w:hint="eastAsia" w:cs="宋体"/>
          <w:b/>
          <w:spacing w:val="-4"/>
          <w:sz w:val="24"/>
          <w:lang w:val="en-GB"/>
        </w:rPr>
        <w:t>金额合计</w:t>
      </w:r>
      <w:r>
        <w:rPr>
          <w:rFonts w:hint="eastAsia" w:cs="宋体"/>
          <w:b/>
          <w:spacing w:val="-4"/>
          <w:sz w:val="24"/>
        </w:rPr>
        <w:t>×30%</w:t>
      </w:r>
    </w:p>
    <w:p>
      <w:pPr>
        <w:spacing w:line="480" w:lineRule="exact"/>
        <w:ind w:firstLine="480" w:firstLineChars="200"/>
        <w:rPr>
          <w:rFonts w:ascii="宋体" w:hAnsi="宋体" w:cs="宋体"/>
          <w:sz w:val="24"/>
        </w:rPr>
      </w:pPr>
      <w:r>
        <w:rPr>
          <w:rFonts w:hint="eastAsia" w:ascii="宋体" w:hAnsi="宋体" w:cs="宋体"/>
          <w:sz w:val="24"/>
        </w:rPr>
        <w:t>3.分析总报价及各个分项报价是否合理、报价范围是否完整、有否重大错漏项。如磋商小组一致认为最低投标报价或某些分项明显不合理，有降低质量、不能诚信履约的可能时，磋商小组有权通知投标方限期进行解释。如投标方未在规定期限内做出解释，或所作解释不合理，经磋商小组取得一致意见后，可确定该投标为无效标。</w:t>
      </w:r>
    </w:p>
    <w:p>
      <w:pPr>
        <w:spacing w:line="480" w:lineRule="exact"/>
        <w:rPr>
          <w:rFonts w:ascii="宋体" w:hAnsi="宋体" w:cs="宋体"/>
          <w:color w:val="000000"/>
          <w:sz w:val="24"/>
        </w:rPr>
      </w:pPr>
      <w:r>
        <w:rPr>
          <w:rFonts w:hint="eastAsia" w:ascii="宋体" w:hAnsi="宋体" w:cs="宋体"/>
          <w:b/>
          <w:bCs/>
          <w:color w:val="000000"/>
          <w:sz w:val="24"/>
        </w:rPr>
        <w:t>四、定标办法</w:t>
      </w:r>
    </w:p>
    <w:p>
      <w:pPr>
        <w:spacing w:line="480" w:lineRule="exact"/>
        <w:ind w:firstLine="480" w:firstLineChars="200"/>
        <w:rPr>
          <w:rFonts w:ascii="宋体" w:hAnsi="宋体" w:cs="宋体"/>
          <w:color w:val="000000"/>
          <w:sz w:val="24"/>
        </w:rPr>
      </w:pPr>
      <w:r>
        <w:rPr>
          <w:rFonts w:hint="eastAsia" w:ascii="宋体" w:hAnsi="宋体" w:cs="宋体"/>
          <w:sz w:val="24"/>
        </w:rPr>
        <w:t>1．</w:t>
      </w:r>
      <w:r>
        <w:rPr>
          <w:rFonts w:hint="eastAsia" w:ascii="宋体" w:hAnsi="宋体" w:cs="宋体"/>
          <w:b/>
          <w:color w:val="000000"/>
          <w:sz w:val="24"/>
        </w:rPr>
        <w:t>决标</w:t>
      </w:r>
    </w:p>
    <w:p>
      <w:pPr>
        <w:spacing w:line="480" w:lineRule="exact"/>
        <w:ind w:firstLine="480" w:firstLineChars="200"/>
        <w:rPr>
          <w:rFonts w:ascii="宋体" w:hAnsi="宋体" w:cs="宋体"/>
          <w:sz w:val="24"/>
        </w:rPr>
      </w:pPr>
      <w:r>
        <w:rPr>
          <w:rFonts w:hint="eastAsia" w:ascii="宋体" w:hAnsi="宋体" w:cs="宋体"/>
          <w:sz w:val="24"/>
        </w:rPr>
        <w:t>1）</w:t>
      </w:r>
      <w:r>
        <w:rPr>
          <w:rFonts w:hint="eastAsia" w:ascii="宋体" w:hAnsi="宋体" w:cs="宋体"/>
          <w:color w:val="000000"/>
          <w:sz w:val="24"/>
        </w:rPr>
        <w:t>磋商响应供应商评标</w:t>
      </w:r>
      <w:r>
        <w:rPr>
          <w:rFonts w:hint="eastAsia" w:ascii="宋体" w:hAnsi="宋体" w:cs="宋体"/>
          <w:bCs/>
          <w:color w:val="000000"/>
          <w:sz w:val="24"/>
        </w:rPr>
        <w:t>综合得分=价格分+技术分</w:t>
      </w:r>
      <w:r>
        <w:rPr>
          <w:rFonts w:hint="eastAsia" w:ascii="宋体" w:hAnsi="宋体" w:cs="宋体"/>
          <w:sz w:val="24"/>
        </w:rPr>
        <w:t>。</w:t>
      </w:r>
    </w:p>
    <w:p>
      <w:pPr>
        <w:spacing w:line="480" w:lineRule="exact"/>
        <w:ind w:firstLine="480" w:firstLineChars="200"/>
        <w:rPr>
          <w:rFonts w:ascii="宋体" w:hAnsi="宋体" w:cs="宋体"/>
          <w:sz w:val="24"/>
        </w:rPr>
      </w:pPr>
      <w:r>
        <w:rPr>
          <w:rFonts w:hint="eastAsia" w:ascii="宋体" w:hAnsi="宋体" w:cs="宋体"/>
          <w:sz w:val="24"/>
        </w:rPr>
        <w:t>2）磋商小组推荐得分最高的投标商为预成交投标商（如果得分相同则按报价从低到高顺序依次推荐为预中标单位）；如果得分相同，以报价低的优先；报价也相同，以抽签决定，并编写采购报告。</w:t>
      </w:r>
    </w:p>
    <w:p>
      <w:pPr>
        <w:spacing w:line="480" w:lineRule="exact"/>
        <w:ind w:firstLine="480" w:firstLineChars="200"/>
        <w:rPr>
          <w:rFonts w:ascii="宋体" w:hAnsi="宋体" w:cs="宋体"/>
          <w:sz w:val="24"/>
        </w:rPr>
      </w:pPr>
      <w:r>
        <w:rPr>
          <w:rFonts w:hint="eastAsia" w:ascii="宋体" w:hAnsi="宋体" w:cs="宋体"/>
          <w:sz w:val="24"/>
        </w:rPr>
        <w:t>2.所有分值计算保留小数点后二位，小数点后三位四舍五入。参见本竞争性磋商采购第三部分：“投标商须知”中的相关内容，未尽事宜按有关法律规定处理。</w:t>
      </w:r>
    </w:p>
    <w:p>
      <w:pPr>
        <w:spacing w:line="480" w:lineRule="exact"/>
        <w:ind w:right="34" w:firstLine="480" w:firstLineChars="200"/>
        <w:outlineLvl w:val="0"/>
        <w:rPr>
          <w:rFonts w:ascii="宋体" w:hAnsi="宋体" w:cs="宋体"/>
          <w:color w:val="000000"/>
          <w:sz w:val="24"/>
          <w:u w:val="single"/>
        </w:rPr>
      </w:pPr>
      <w:r>
        <w:rPr>
          <w:rFonts w:hint="eastAsia" w:ascii="宋体" w:hAnsi="宋体" w:cs="宋体"/>
          <w:color w:val="000000"/>
          <w:sz w:val="24"/>
        </w:rPr>
        <w:t>3.</w:t>
      </w:r>
      <w:r>
        <w:rPr>
          <w:rFonts w:hint="eastAsia" w:ascii="宋体" w:hAnsi="宋体" w:cs="宋体"/>
          <w:color w:val="000000"/>
          <w:sz w:val="24"/>
          <w:u w:val="single"/>
        </w:rPr>
        <w:t>▲报价超过预算的，二次报价高于第一次报价的，为无效标。</w:t>
      </w:r>
    </w:p>
    <w:p>
      <w:pPr>
        <w:adjustRightInd w:val="0"/>
        <w:snapToGrid w:val="0"/>
        <w:spacing w:line="300" w:lineRule="auto"/>
        <w:rPr>
          <w:rFonts w:ascii="宋体" w:hAnsi="宋体"/>
          <w:color w:val="000000"/>
          <w:sz w:val="28"/>
          <w:szCs w:val="28"/>
        </w:rPr>
      </w:pPr>
      <w:bookmarkStart w:id="86" w:name="_Toc6115"/>
    </w:p>
    <w:p>
      <w:pPr>
        <w:adjustRightInd w:val="0"/>
        <w:snapToGrid w:val="0"/>
        <w:spacing w:line="300" w:lineRule="auto"/>
        <w:rPr>
          <w:rFonts w:ascii="宋体" w:hAnsi="宋体"/>
          <w:color w:val="000000"/>
          <w:sz w:val="28"/>
          <w:szCs w:val="28"/>
        </w:rPr>
      </w:pPr>
    </w:p>
    <w:p>
      <w:pPr>
        <w:adjustRightInd w:val="0"/>
        <w:snapToGrid w:val="0"/>
        <w:spacing w:line="300" w:lineRule="auto"/>
        <w:rPr>
          <w:rFonts w:ascii="仿宋" w:hAnsi="仿宋" w:cs="宋体"/>
          <w:color w:val="000000"/>
          <w:sz w:val="24"/>
        </w:rPr>
      </w:pPr>
    </w:p>
    <w:p>
      <w:pPr>
        <w:adjustRightInd w:val="0"/>
        <w:snapToGrid w:val="0"/>
        <w:spacing w:line="300" w:lineRule="auto"/>
        <w:ind w:firstLine="560" w:firstLineChars="200"/>
        <w:rPr>
          <w:rFonts w:ascii="宋体"/>
          <w:color w:val="000000"/>
          <w:sz w:val="28"/>
          <w:szCs w:val="28"/>
        </w:rPr>
      </w:pPr>
    </w:p>
    <w:p>
      <w:pPr>
        <w:spacing w:line="480" w:lineRule="exact"/>
        <w:ind w:right="34" w:firstLine="723" w:firstLineChars="200"/>
        <w:jc w:val="center"/>
        <w:outlineLvl w:val="0"/>
        <w:rPr>
          <w:rFonts w:ascii="宋体" w:hAnsi="宋体" w:cs="宋体"/>
          <w:b/>
          <w:bCs/>
          <w:kern w:val="0"/>
          <w:sz w:val="36"/>
          <w:szCs w:val="36"/>
        </w:rPr>
      </w:pPr>
      <w:r>
        <w:rPr>
          <w:rFonts w:hint="eastAsia" w:ascii="宋体" w:hAnsi="宋体" w:cs="宋体"/>
          <w:b/>
          <w:bCs/>
          <w:kern w:val="0"/>
          <w:sz w:val="36"/>
          <w:szCs w:val="36"/>
        </w:rPr>
        <w:t>第四章 合同主要条款</w:t>
      </w:r>
      <w:bookmarkEnd w:id="86"/>
    </w:p>
    <w:p>
      <w:pPr>
        <w:spacing w:line="360" w:lineRule="auto"/>
        <w:ind w:firstLine="240" w:firstLineChars="100"/>
        <w:jc w:val="center"/>
        <w:rPr>
          <w:rFonts w:ascii="宋体" w:hAnsi="宋体" w:cs="Arial"/>
          <w:sz w:val="24"/>
        </w:rPr>
      </w:pPr>
      <w:r>
        <w:rPr>
          <w:rFonts w:hint="eastAsia" w:ascii="宋体" w:hAnsi="宋体" w:cs="Arial"/>
          <w:sz w:val="24"/>
        </w:rPr>
        <w:t>（格式参考，以具体签订的为准）</w:t>
      </w:r>
    </w:p>
    <w:p>
      <w:pPr>
        <w:autoSpaceDE w:val="0"/>
        <w:adjustRightInd w:val="0"/>
        <w:spacing w:line="360" w:lineRule="auto"/>
        <w:ind w:left="-1039" w:leftChars="-495" w:firstLine="624" w:firstLineChars="259"/>
        <w:jc w:val="center"/>
        <w:rPr>
          <w:rFonts w:ascii="宋体" w:hAnsi="宋体" w:cs="宋体"/>
          <w:b/>
          <w:bCs/>
          <w:kern w:val="0"/>
          <w:sz w:val="24"/>
        </w:rPr>
      </w:pPr>
      <w:r>
        <w:rPr>
          <w:rFonts w:hint="eastAsia" w:ascii="宋体" w:hAnsi="宋体" w:cs="宋体"/>
          <w:b/>
          <w:bCs/>
          <w:color w:val="000000"/>
          <w:kern w:val="0"/>
          <w:sz w:val="24"/>
        </w:rPr>
        <w:t xml:space="preserve">     采购合同（参考样本）</w:t>
      </w:r>
    </w:p>
    <w:p>
      <w:pPr>
        <w:pStyle w:val="23"/>
        <w:snapToGrid w:val="0"/>
        <w:spacing w:line="360" w:lineRule="auto"/>
        <w:ind w:right="218" w:rightChars="104"/>
        <w:rPr>
          <w:rFonts w:hAnsi="宋体" w:cs="Arial"/>
          <w:sz w:val="24"/>
          <w:szCs w:val="24"/>
        </w:rPr>
      </w:pPr>
      <w:r>
        <w:rPr>
          <w:rFonts w:hint="eastAsia" w:hAnsi="宋体" w:cs="Arial"/>
          <w:sz w:val="24"/>
          <w:szCs w:val="24"/>
        </w:rPr>
        <w:t xml:space="preserve">项目名称：                             </w:t>
      </w:r>
    </w:p>
    <w:p>
      <w:pPr>
        <w:pStyle w:val="23"/>
        <w:snapToGrid w:val="0"/>
        <w:spacing w:line="360" w:lineRule="auto"/>
        <w:ind w:right="218" w:rightChars="104"/>
        <w:rPr>
          <w:rFonts w:hAnsi="宋体" w:cs="Arial"/>
          <w:sz w:val="24"/>
          <w:szCs w:val="24"/>
        </w:rPr>
      </w:pPr>
      <w:r>
        <w:rPr>
          <w:rFonts w:hint="eastAsia" w:hAnsi="宋体" w:cs="Arial"/>
          <w:sz w:val="24"/>
          <w:szCs w:val="24"/>
        </w:rPr>
        <w:t>甲方（买方）：</w:t>
      </w:r>
    </w:p>
    <w:p>
      <w:pPr>
        <w:pStyle w:val="23"/>
        <w:snapToGrid w:val="0"/>
        <w:spacing w:line="360" w:lineRule="auto"/>
        <w:ind w:right="218" w:rightChars="104"/>
        <w:rPr>
          <w:rFonts w:hAnsi="宋体" w:cs="Arial"/>
          <w:sz w:val="24"/>
          <w:szCs w:val="24"/>
        </w:rPr>
      </w:pPr>
      <w:r>
        <w:rPr>
          <w:rFonts w:hint="eastAsia" w:hAnsi="宋体" w:cs="Arial"/>
          <w:sz w:val="24"/>
          <w:szCs w:val="24"/>
        </w:rPr>
        <w:t>乙方（卖方）：</w:t>
      </w:r>
    </w:p>
    <w:p>
      <w:pPr>
        <w:pStyle w:val="23"/>
        <w:adjustRightInd w:val="0"/>
        <w:snapToGrid w:val="0"/>
        <w:spacing w:line="360" w:lineRule="auto"/>
        <w:rPr>
          <w:rFonts w:hAnsi="宋体" w:cs="Arial"/>
          <w:sz w:val="24"/>
          <w:szCs w:val="24"/>
        </w:rPr>
      </w:pPr>
      <w:r>
        <w:rPr>
          <w:rFonts w:hint="eastAsia" w:hAnsi="宋体" w:cs="Arial"/>
          <w:sz w:val="24"/>
          <w:szCs w:val="24"/>
        </w:rPr>
        <w:t xml:space="preserve">   甲、乙双方根据年月日关于项目招标的结果，签署本合同。</w:t>
      </w:r>
    </w:p>
    <w:p>
      <w:pPr>
        <w:snapToGrid w:val="0"/>
        <w:spacing w:line="360" w:lineRule="auto"/>
        <w:ind w:firstLine="480" w:firstLineChars="200"/>
        <w:rPr>
          <w:rFonts w:ascii="宋体" w:hAnsi="宋体" w:cs="宋体"/>
          <w:sz w:val="24"/>
        </w:rPr>
      </w:pPr>
      <w:r>
        <w:rPr>
          <w:rFonts w:hint="eastAsia" w:ascii="宋体" w:hAnsi="宋体" w:cs="宋体"/>
          <w:sz w:val="24"/>
        </w:rPr>
        <w:t>一、货物内容</w:t>
      </w:r>
    </w:p>
    <w:p>
      <w:pPr>
        <w:snapToGrid w:val="0"/>
        <w:spacing w:line="360" w:lineRule="auto"/>
        <w:ind w:firstLine="480" w:firstLineChars="200"/>
        <w:rPr>
          <w:rFonts w:ascii="宋体" w:hAnsi="宋体" w:cs="宋体"/>
          <w:sz w:val="24"/>
        </w:rPr>
      </w:pPr>
      <w:r>
        <w:rPr>
          <w:rFonts w:hint="eastAsia" w:ascii="宋体" w:hAnsi="宋体" w:cs="宋体"/>
          <w:sz w:val="24"/>
        </w:rPr>
        <w:t>1.货物名称：</w:t>
      </w:r>
    </w:p>
    <w:p>
      <w:pPr>
        <w:snapToGrid w:val="0"/>
        <w:spacing w:line="360" w:lineRule="auto"/>
        <w:ind w:firstLine="480" w:firstLineChars="200"/>
        <w:rPr>
          <w:rFonts w:ascii="宋体" w:hAnsi="宋体" w:cs="宋体"/>
          <w:sz w:val="24"/>
        </w:rPr>
      </w:pPr>
      <w:r>
        <w:rPr>
          <w:rFonts w:hint="eastAsia" w:ascii="宋体" w:hAnsi="宋体" w:cs="宋体"/>
          <w:sz w:val="24"/>
        </w:rPr>
        <w:t>2.型号规格：</w:t>
      </w:r>
    </w:p>
    <w:p>
      <w:pPr>
        <w:snapToGrid w:val="0"/>
        <w:spacing w:line="360" w:lineRule="auto"/>
        <w:ind w:firstLine="480" w:firstLineChars="200"/>
        <w:rPr>
          <w:rFonts w:ascii="宋体" w:hAnsi="宋体" w:cs="宋体"/>
          <w:sz w:val="24"/>
        </w:rPr>
      </w:pPr>
      <w:r>
        <w:rPr>
          <w:rFonts w:hint="eastAsia" w:ascii="宋体" w:hAnsi="宋体" w:cs="宋体"/>
          <w:sz w:val="24"/>
        </w:rPr>
        <w:t>3.技术参数：</w:t>
      </w:r>
    </w:p>
    <w:p>
      <w:pPr>
        <w:snapToGrid w:val="0"/>
        <w:spacing w:line="360" w:lineRule="auto"/>
        <w:ind w:firstLine="480" w:firstLineChars="200"/>
        <w:rPr>
          <w:rFonts w:ascii="宋体" w:hAnsi="宋体" w:cs="宋体"/>
          <w:sz w:val="24"/>
        </w:rPr>
      </w:pPr>
      <w:r>
        <w:rPr>
          <w:rFonts w:hint="eastAsia" w:ascii="宋体" w:hAnsi="宋体" w:cs="宋体"/>
          <w:sz w:val="24"/>
        </w:rPr>
        <w:t>4.数量（单位）：</w:t>
      </w:r>
    </w:p>
    <w:p>
      <w:pPr>
        <w:snapToGrid w:val="0"/>
        <w:spacing w:line="360" w:lineRule="auto"/>
        <w:ind w:firstLine="480" w:firstLineChars="200"/>
        <w:rPr>
          <w:rFonts w:ascii="宋体" w:hAnsi="宋体" w:cs="宋体"/>
          <w:sz w:val="24"/>
        </w:rPr>
      </w:pPr>
      <w:r>
        <w:rPr>
          <w:rFonts w:hint="eastAsia" w:ascii="宋体" w:hAnsi="宋体" w:cs="宋体"/>
          <w:sz w:val="24"/>
        </w:rPr>
        <w:t>二、合同金额</w:t>
      </w:r>
    </w:p>
    <w:p>
      <w:pPr>
        <w:snapToGrid w:val="0"/>
        <w:spacing w:line="360" w:lineRule="auto"/>
        <w:ind w:firstLine="480" w:firstLineChars="200"/>
        <w:rPr>
          <w:rFonts w:ascii="宋体" w:hAnsi="宋体" w:cs="宋体"/>
          <w:sz w:val="24"/>
        </w:rPr>
      </w:pPr>
      <w:r>
        <w:rPr>
          <w:rFonts w:hint="eastAsia" w:ascii="宋体" w:hAnsi="宋体" w:cs="宋体"/>
          <w:sz w:val="24"/>
        </w:rPr>
        <w:t>本合同金额为（大写）：____________________________________元（￥_______________元）人民币。</w:t>
      </w:r>
    </w:p>
    <w:p>
      <w:pPr>
        <w:snapToGrid w:val="0"/>
        <w:spacing w:line="360" w:lineRule="auto"/>
        <w:ind w:firstLine="480" w:firstLineChars="200"/>
        <w:rPr>
          <w:rFonts w:ascii="宋体" w:hAnsi="宋体" w:cs="宋体"/>
          <w:sz w:val="24"/>
        </w:rPr>
      </w:pPr>
      <w:r>
        <w:rPr>
          <w:rFonts w:hint="eastAsia" w:ascii="宋体" w:hAnsi="宋体" w:cs="宋体"/>
          <w:sz w:val="24"/>
        </w:rPr>
        <w:t>三、技术资料</w:t>
      </w:r>
    </w:p>
    <w:p>
      <w:pPr>
        <w:snapToGrid w:val="0"/>
        <w:spacing w:line="360" w:lineRule="auto"/>
        <w:ind w:firstLine="480" w:firstLineChars="200"/>
        <w:rPr>
          <w:rFonts w:ascii="宋体" w:hAnsi="宋体" w:cs="宋体"/>
          <w:sz w:val="24"/>
        </w:rPr>
      </w:pPr>
      <w:r>
        <w:rPr>
          <w:rFonts w:hint="eastAsia" w:ascii="宋体" w:hAnsi="宋体" w:cs="宋体"/>
          <w:sz w:val="24"/>
        </w:rPr>
        <w:t>1.乙方应按招标文件规定的时间向甲方提供使用货物的有关技术资料。</w:t>
      </w:r>
    </w:p>
    <w:p>
      <w:pPr>
        <w:snapToGrid w:val="0"/>
        <w:spacing w:line="360" w:lineRule="auto"/>
        <w:ind w:firstLine="480" w:firstLineChars="200"/>
        <w:rPr>
          <w:rFonts w:ascii="宋体" w:hAnsi="宋体" w:cs="宋体"/>
          <w:sz w:val="24"/>
        </w:rPr>
      </w:pPr>
      <w:r>
        <w:rPr>
          <w:rFonts w:hint="eastAsia" w:ascii="宋体" w:hAnsi="宋体" w:cs="宋体"/>
          <w:sz w:val="24"/>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pPr>
        <w:snapToGrid w:val="0"/>
        <w:spacing w:line="360" w:lineRule="auto"/>
        <w:ind w:firstLine="480" w:firstLineChars="200"/>
        <w:rPr>
          <w:rFonts w:ascii="宋体" w:hAnsi="宋体" w:cs="宋体"/>
          <w:sz w:val="24"/>
        </w:rPr>
      </w:pPr>
      <w:r>
        <w:rPr>
          <w:rFonts w:hint="eastAsia" w:ascii="宋体" w:hAnsi="宋体" w:cs="宋体"/>
          <w:sz w:val="24"/>
        </w:rPr>
        <w:t>四、知识产权</w:t>
      </w:r>
    </w:p>
    <w:p>
      <w:pPr>
        <w:snapToGrid w:val="0"/>
        <w:spacing w:line="360" w:lineRule="auto"/>
        <w:ind w:firstLine="480" w:firstLineChars="200"/>
        <w:rPr>
          <w:rFonts w:ascii="宋体" w:hAnsi="宋体" w:cs="宋体"/>
          <w:sz w:val="24"/>
        </w:rPr>
      </w:pPr>
      <w:r>
        <w:rPr>
          <w:rFonts w:hint="eastAsia" w:ascii="宋体" w:hAnsi="宋体" w:cs="宋体"/>
          <w:sz w:val="24"/>
        </w:rPr>
        <w:t>乙方应保证所提供的货物或其任何一部分均不会侵犯任何第三方的知识产权。</w:t>
      </w:r>
    </w:p>
    <w:p>
      <w:pPr>
        <w:snapToGrid w:val="0"/>
        <w:spacing w:line="360" w:lineRule="auto"/>
        <w:ind w:firstLine="480" w:firstLineChars="200"/>
        <w:rPr>
          <w:rFonts w:ascii="宋体" w:hAnsi="宋体" w:cs="宋体"/>
          <w:sz w:val="24"/>
        </w:rPr>
      </w:pPr>
      <w:r>
        <w:rPr>
          <w:rFonts w:hint="eastAsia" w:ascii="宋体" w:hAnsi="宋体" w:cs="宋体"/>
          <w:sz w:val="24"/>
        </w:rPr>
        <w:t>五、产权担保</w:t>
      </w:r>
    </w:p>
    <w:p>
      <w:pPr>
        <w:snapToGrid w:val="0"/>
        <w:spacing w:line="360" w:lineRule="auto"/>
        <w:ind w:firstLine="480" w:firstLineChars="200"/>
        <w:rPr>
          <w:rFonts w:ascii="宋体" w:hAnsi="宋体" w:cs="宋体"/>
          <w:sz w:val="24"/>
        </w:rPr>
      </w:pPr>
      <w:r>
        <w:rPr>
          <w:rFonts w:hint="eastAsia" w:ascii="宋体" w:hAnsi="宋体" w:cs="宋体"/>
          <w:sz w:val="24"/>
        </w:rPr>
        <w:t>乙方保证所交付的货物的所有权完全属于乙方且无任何抵押、查封等产权瑕疵。</w:t>
      </w:r>
    </w:p>
    <w:p>
      <w:pPr>
        <w:snapToGrid w:val="0"/>
        <w:spacing w:line="360" w:lineRule="auto"/>
        <w:ind w:firstLine="480" w:firstLineChars="200"/>
        <w:rPr>
          <w:rFonts w:ascii="宋体" w:hAnsi="宋体" w:cs="宋体"/>
          <w:sz w:val="24"/>
        </w:rPr>
      </w:pPr>
      <w:r>
        <w:rPr>
          <w:rFonts w:hint="eastAsia" w:ascii="宋体" w:hAnsi="宋体" w:cs="宋体"/>
          <w:sz w:val="24"/>
        </w:rPr>
        <w:t>六、履约保证金（如有）</w:t>
      </w:r>
    </w:p>
    <w:p>
      <w:pPr>
        <w:snapToGrid w:val="0"/>
        <w:spacing w:line="360" w:lineRule="auto"/>
        <w:ind w:firstLine="480" w:firstLineChars="200"/>
        <w:rPr>
          <w:rFonts w:ascii="宋体" w:hAnsi="宋体" w:cs="宋体"/>
          <w:sz w:val="24"/>
        </w:rPr>
      </w:pPr>
      <w:r>
        <w:rPr>
          <w:rFonts w:hint="eastAsia" w:ascii="宋体" w:hAnsi="宋体" w:cs="宋体"/>
          <w:sz w:val="24"/>
        </w:rPr>
        <w:t>乙方交纳人民币△元作为本合同的履约保证金。</w:t>
      </w:r>
    </w:p>
    <w:p>
      <w:pPr>
        <w:snapToGrid w:val="0"/>
        <w:spacing w:line="360" w:lineRule="auto"/>
        <w:ind w:firstLine="480" w:firstLineChars="200"/>
        <w:rPr>
          <w:rFonts w:ascii="宋体" w:hAnsi="宋体" w:cs="宋体"/>
          <w:sz w:val="24"/>
        </w:rPr>
      </w:pPr>
      <w:r>
        <w:rPr>
          <w:rFonts w:hint="eastAsia" w:ascii="宋体" w:hAnsi="宋体" w:cs="宋体"/>
          <w:sz w:val="24"/>
        </w:rPr>
        <w:t>七、转包或分包</w:t>
      </w:r>
    </w:p>
    <w:p>
      <w:pPr>
        <w:snapToGrid w:val="0"/>
        <w:spacing w:line="360" w:lineRule="auto"/>
        <w:ind w:firstLine="480" w:firstLineChars="200"/>
        <w:rPr>
          <w:rFonts w:ascii="宋体" w:hAnsi="宋体" w:cs="宋体"/>
          <w:sz w:val="24"/>
        </w:rPr>
      </w:pPr>
      <w:r>
        <w:rPr>
          <w:rFonts w:hint="eastAsia" w:ascii="宋体" w:hAnsi="宋体" w:cs="宋体"/>
          <w:sz w:val="24"/>
        </w:rPr>
        <w:t>1.本合同范围的货物，应由乙方直接供应，不得转让他人供应</w:t>
      </w:r>
    </w:p>
    <w:p>
      <w:pPr>
        <w:snapToGrid w:val="0"/>
        <w:spacing w:line="360" w:lineRule="auto"/>
        <w:ind w:firstLine="480" w:firstLineChars="200"/>
        <w:rPr>
          <w:rFonts w:ascii="宋体" w:hAnsi="宋体" w:cs="宋体"/>
          <w:sz w:val="24"/>
        </w:rPr>
      </w:pPr>
      <w:r>
        <w:rPr>
          <w:rFonts w:hint="eastAsia" w:ascii="宋体" w:hAnsi="宋体" w:cs="宋体"/>
          <w:sz w:val="24"/>
        </w:rPr>
        <w:t>2.除非得到甲方的书面同意，乙方不得将本合同范围的货物全部或部分分包给他人供应</w:t>
      </w:r>
    </w:p>
    <w:p>
      <w:pPr>
        <w:snapToGrid w:val="0"/>
        <w:spacing w:line="360" w:lineRule="auto"/>
        <w:ind w:firstLine="480" w:firstLineChars="200"/>
        <w:rPr>
          <w:rFonts w:ascii="宋体" w:hAnsi="宋体" w:cs="宋体"/>
          <w:sz w:val="24"/>
        </w:rPr>
      </w:pPr>
      <w:r>
        <w:rPr>
          <w:rFonts w:hint="eastAsia" w:ascii="宋体" w:hAnsi="宋体" w:cs="宋体"/>
          <w:sz w:val="24"/>
        </w:rPr>
        <w:t>3.如有转让和未经甲方同意的分包行为，甲方有权解除合同，没收履约保证金并追究乙方的违约责任。</w:t>
      </w:r>
    </w:p>
    <w:p>
      <w:pPr>
        <w:snapToGrid w:val="0"/>
        <w:spacing w:line="360" w:lineRule="auto"/>
        <w:ind w:firstLine="480" w:firstLineChars="200"/>
        <w:rPr>
          <w:rFonts w:ascii="宋体" w:hAnsi="宋体" w:cs="宋体"/>
          <w:sz w:val="24"/>
        </w:rPr>
      </w:pPr>
      <w:r>
        <w:rPr>
          <w:rFonts w:hint="eastAsia" w:ascii="宋体" w:hAnsi="宋体" w:cs="宋体"/>
          <w:sz w:val="24"/>
        </w:rPr>
        <w:t>八、保修期和质保金</w:t>
      </w:r>
    </w:p>
    <w:p>
      <w:pPr>
        <w:snapToGrid w:val="0"/>
        <w:spacing w:line="360" w:lineRule="auto"/>
        <w:ind w:firstLine="480" w:firstLineChars="200"/>
        <w:rPr>
          <w:rFonts w:ascii="宋体" w:hAnsi="宋体" w:cs="宋体"/>
          <w:sz w:val="24"/>
        </w:rPr>
      </w:pPr>
      <w:r>
        <w:rPr>
          <w:rFonts w:hint="eastAsia" w:ascii="宋体" w:hAnsi="宋体" w:cs="宋体"/>
          <w:sz w:val="24"/>
        </w:rPr>
        <w:t>1.保修期年。（自交货验收合格之日起计）</w:t>
      </w:r>
    </w:p>
    <w:p>
      <w:pPr>
        <w:snapToGrid w:val="0"/>
        <w:spacing w:line="360" w:lineRule="auto"/>
        <w:ind w:firstLine="480" w:firstLineChars="200"/>
        <w:rPr>
          <w:rFonts w:ascii="宋体" w:hAnsi="宋体" w:cs="宋体"/>
          <w:sz w:val="24"/>
        </w:rPr>
      </w:pPr>
      <w:r>
        <w:rPr>
          <w:rFonts w:hint="eastAsia" w:ascii="宋体" w:hAnsi="宋体" w:cs="宋体"/>
          <w:sz w:val="24"/>
        </w:rPr>
        <w:t>2.质保金   元。（履约保证金在中标投标人按合同约定交货验收合格后自行转为质保金）</w:t>
      </w:r>
    </w:p>
    <w:p>
      <w:pPr>
        <w:snapToGrid w:val="0"/>
        <w:spacing w:line="360" w:lineRule="auto"/>
        <w:ind w:firstLine="480" w:firstLineChars="200"/>
        <w:rPr>
          <w:rFonts w:ascii="宋体" w:hAnsi="宋体" w:cs="宋体"/>
          <w:sz w:val="24"/>
        </w:rPr>
      </w:pPr>
      <w:r>
        <w:rPr>
          <w:rFonts w:hint="eastAsia" w:ascii="宋体" w:hAnsi="宋体" w:cs="宋体"/>
          <w:sz w:val="24"/>
        </w:rPr>
        <w:t>九、交货期、交货方式及交货地点</w:t>
      </w:r>
    </w:p>
    <w:p>
      <w:pPr>
        <w:snapToGrid w:val="0"/>
        <w:spacing w:line="360" w:lineRule="auto"/>
        <w:ind w:firstLine="480" w:firstLineChars="200"/>
        <w:rPr>
          <w:rFonts w:ascii="宋体" w:hAnsi="宋体" w:cs="宋体"/>
          <w:sz w:val="24"/>
        </w:rPr>
      </w:pPr>
      <w:r>
        <w:rPr>
          <w:rFonts w:hint="eastAsia" w:ascii="宋体" w:hAnsi="宋体" w:cs="宋体"/>
          <w:sz w:val="24"/>
        </w:rPr>
        <w:t>1.交货期：</w:t>
      </w:r>
    </w:p>
    <w:p>
      <w:pPr>
        <w:snapToGrid w:val="0"/>
        <w:spacing w:line="360" w:lineRule="auto"/>
        <w:ind w:firstLine="480" w:firstLineChars="200"/>
        <w:rPr>
          <w:rFonts w:ascii="宋体" w:hAnsi="宋体" w:cs="宋体"/>
          <w:sz w:val="24"/>
        </w:rPr>
      </w:pPr>
      <w:r>
        <w:rPr>
          <w:rFonts w:hint="eastAsia" w:ascii="宋体" w:hAnsi="宋体" w:cs="宋体"/>
          <w:sz w:val="24"/>
        </w:rPr>
        <w:t>2.交货方式：</w:t>
      </w:r>
    </w:p>
    <w:p>
      <w:pPr>
        <w:snapToGrid w:val="0"/>
        <w:spacing w:line="360" w:lineRule="auto"/>
        <w:ind w:firstLine="480" w:firstLineChars="200"/>
        <w:rPr>
          <w:rFonts w:ascii="宋体" w:hAnsi="宋体" w:cs="宋体"/>
          <w:sz w:val="24"/>
        </w:rPr>
      </w:pPr>
      <w:r>
        <w:rPr>
          <w:rFonts w:hint="eastAsia" w:ascii="宋体" w:hAnsi="宋体" w:cs="宋体"/>
          <w:sz w:val="24"/>
        </w:rPr>
        <w:t>3.交货地点：</w:t>
      </w:r>
    </w:p>
    <w:p>
      <w:pPr>
        <w:snapToGrid w:val="0"/>
        <w:spacing w:line="360" w:lineRule="auto"/>
        <w:ind w:firstLine="480" w:firstLineChars="200"/>
        <w:rPr>
          <w:rFonts w:ascii="宋体" w:hAnsi="宋体" w:cs="宋体"/>
          <w:sz w:val="24"/>
        </w:rPr>
      </w:pPr>
      <w:r>
        <w:rPr>
          <w:rFonts w:hint="eastAsia" w:ascii="宋体" w:hAnsi="宋体" w:cs="宋体"/>
          <w:sz w:val="24"/>
        </w:rPr>
        <w:t>十、货款支付</w:t>
      </w:r>
    </w:p>
    <w:p>
      <w:pPr>
        <w:snapToGrid w:val="0"/>
        <w:spacing w:line="360" w:lineRule="auto"/>
        <w:ind w:firstLine="480" w:firstLineChars="200"/>
        <w:rPr>
          <w:rFonts w:ascii="宋体" w:hAnsi="宋体" w:cs="宋体"/>
          <w:sz w:val="24"/>
        </w:rPr>
      </w:pPr>
      <w:r>
        <w:rPr>
          <w:rFonts w:hint="eastAsia" w:ascii="宋体" w:hAnsi="宋体" w:cs="宋体"/>
          <w:sz w:val="24"/>
        </w:rPr>
        <w:t>1.付款方式：按招标文件要求。</w:t>
      </w:r>
    </w:p>
    <w:p>
      <w:pPr>
        <w:snapToGrid w:val="0"/>
        <w:spacing w:line="360" w:lineRule="auto"/>
        <w:ind w:firstLine="480" w:firstLineChars="200"/>
        <w:rPr>
          <w:rFonts w:ascii="宋体" w:hAnsi="宋体" w:cs="宋体"/>
          <w:sz w:val="24"/>
        </w:rPr>
      </w:pPr>
      <w:r>
        <w:rPr>
          <w:rFonts w:hint="eastAsia" w:ascii="宋体" w:hAnsi="宋体" w:cs="宋体"/>
          <w:sz w:val="24"/>
        </w:rPr>
        <w:t>2.当采购数量与实际使用数量不一致时，乙方应根据实际使用量供货，合同的最终结算金额按实际使用量乘以成交单价进行计算。</w:t>
      </w:r>
    </w:p>
    <w:p>
      <w:pPr>
        <w:snapToGrid w:val="0"/>
        <w:spacing w:line="360" w:lineRule="auto"/>
        <w:ind w:firstLine="480" w:firstLineChars="200"/>
        <w:rPr>
          <w:rFonts w:ascii="宋体" w:hAnsi="宋体" w:cs="宋体"/>
          <w:sz w:val="24"/>
        </w:rPr>
      </w:pPr>
      <w:r>
        <w:rPr>
          <w:rFonts w:hint="eastAsia" w:ascii="宋体" w:hAnsi="宋体" w:cs="宋体"/>
          <w:sz w:val="24"/>
        </w:rPr>
        <w:t>为支持和促进中小企业发展，进一步发挥政府采购政策功能，浙江省财政厅出台浙财采监〔2020〕3 号文件，企业若有购买保险/保函或者融资意向，可登陆政采云平台融资服务（https://jinrong.zcygov.cn/），查看相应融资政策文件及各相关服务方案，咨询热线400-903-9583。</w:t>
      </w:r>
    </w:p>
    <w:p>
      <w:pPr>
        <w:snapToGrid w:val="0"/>
        <w:spacing w:line="360" w:lineRule="auto"/>
        <w:ind w:firstLine="480" w:firstLineChars="200"/>
        <w:rPr>
          <w:rFonts w:ascii="宋体" w:hAnsi="宋体" w:cs="宋体"/>
          <w:sz w:val="24"/>
        </w:rPr>
      </w:pPr>
      <w:r>
        <w:rPr>
          <w:rFonts w:hint="eastAsia" w:ascii="宋体" w:hAnsi="宋体" w:cs="宋体"/>
          <w:sz w:val="24"/>
        </w:rPr>
        <w:t>十一、税费</w:t>
      </w:r>
    </w:p>
    <w:p>
      <w:pPr>
        <w:snapToGrid w:val="0"/>
        <w:spacing w:line="360" w:lineRule="auto"/>
        <w:ind w:firstLine="480" w:firstLineChars="200"/>
        <w:rPr>
          <w:rFonts w:ascii="宋体" w:hAnsi="宋体" w:cs="宋体"/>
          <w:sz w:val="24"/>
        </w:rPr>
      </w:pPr>
      <w:r>
        <w:rPr>
          <w:rFonts w:hint="eastAsia" w:ascii="宋体" w:hAnsi="宋体" w:cs="宋体"/>
          <w:sz w:val="24"/>
        </w:rPr>
        <w:t>本合同执行中相关的一切税费均由乙方负担。</w:t>
      </w:r>
    </w:p>
    <w:p>
      <w:pPr>
        <w:snapToGrid w:val="0"/>
        <w:spacing w:line="360" w:lineRule="auto"/>
        <w:ind w:firstLine="480" w:firstLineChars="200"/>
        <w:rPr>
          <w:rFonts w:ascii="宋体" w:hAnsi="宋体" w:cs="宋体"/>
          <w:sz w:val="24"/>
        </w:rPr>
      </w:pPr>
      <w:r>
        <w:rPr>
          <w:rFonts w:hint="eastAsia" w:ascii="宋体" w:hAnsi="宋体" w:cs="宋体"/>
          <w:sz w:val="24"/>
        </w:rPr>
        <w:t>十二、质量保证及售后服务</w:t>
      </w:r>
    </w:p>
    <w:p>
      <w:pPr>
        <w:snapToGrid w:val="0"/>
        <w:spacing w:line="360" w:lineRule="auto"/>
        <w:ind w:firstLine="480" w:firstLineChars="200"/>
        <w:rPr>
          <w:rFonts w:ascii="宋体" w:hAnsi="宋体" w:cs="宋体"/>
          <w:sz w:val="24"/>
        </w:rPr>
      </w:pPr>
      <w:r>
        <w:rPr>
          <w:rFonts w:hint="eastAsia" w:ascii="宋体" w:hAnsi="宋体" w:cs="宋体"/>
          <w:sz w:val="24"/>
        </w:rPr>
        <w:t>1.乙方应按招标文件规定的货物性能、技术要求、质量标准向甲方提供未经使用的全新产品。</w:t>
      </w:r>
    </w:p>
    <w:p>
      <w:pPr>
        <w:snapToGrid w:val="0"/>
        <w:spacing w:line="360" w:lineRule="auto"/>
        <w:ind w:firstLine="480" w:firstLineChars="200"/>
        <w:rPr>
          <w:rFonts w:ascii="宋体" w:hAnsi="宋体" w:cs="宋体"/>
          <w:sz w:val="24"/>
        </w:rPr>
      </w:pPr>
      <w:r>
        <w:rPr>
          <w:rFonts w:hint="eastAsia" w:ascii="宋体" w:hAnsi="宋体" w:cs="宋体"/>
          <w:sz w:val="24"/>
        </w:rPr>
        <w:t>2.乙方提供的货物在保修期内因货物本身的质量问题发生故障，乙方应负责免费更换。对达不到技术要求者，根据实际情况，经双方协商，可按以下办法处理：</w:t>
      </w:r>
    </w:p>
    <w:p>
      <w:pPr>
        <w:snapToGrid w:val="0"/>
        <w:spacing w:line="360" w:lineRule="auto"/>
        <w:ind w:firstLine="480" w:firstLineChars="200"/>
        <w:rPr>
          <w:rFonts w:ascii="宋体" w:hAnsi="宋体" w:cs="宋体"/>
          <w:sz w:val="24"/>
        </w:rPr>
      </w:pPr>
      <w:r>
        <w:rPr>
          <w:rFonts w:hint="eastAsia" w:ascii="宋体" w:hAnsi="宋体" w:cs="宋体"/>
          <w:sz w:val="24"/>
        </w:rPr>
        <w:t>⑴更换：由乙方承担所发生的全部费用。</w:t>
      </w:r>
    </w:p>
    <w:p>
      <w:pPr>
        <w:snapToGrid w:val="0"/>
        <w:spacing w:line="360" w:lineRule="auto"/>
        <w:ind w:firstLine="480" w:firstLineChars="200"/>
        <w:rPr>
          <w:rFonts w:ascii="宋体" w:hAnsi="宋体" w:cs="宋体"/>
          <w:sz w:val="24"/>
        </w:rPr>
      </w:pPr>
      <w:r>
        <w:rPr>
          <w:rFonts w:hint="eastAsia" w:ascii="宋体" w:hAnsi="宋体" w:cs="宋体"/>
          <w:sz w:val="24"/>
        </w:rPr>
        <w:t>⑵贬值处理：由甲乙双方合议定价。</w:t>
      </w:r>
    </w:p>
    <w:p>
      <w:pPr>
        <w:snapToGrid w:val="0"/>
        <w:spacing w:line="360" w:lineRule="auto"/>
        <w:ind w:firstLine="480" w:firstLineChars="200"/>
        <w:rPr>
          <w:rFonts w:ascii="宋体" w:hAnsi="宋体" w:cs="宋体"/>
          <w:sz w:val="24"/>
        </w:rPr>
      </w:pPr>
      <w:r>
        <w:rPr>
          <w:rFonts w:hint="eastAsia" w:ascii="宋体" w:hAnsi="宋体" w:cs="宋体"/>
          <w:sz w:val="24"/>
        </w:rPr>
        <w:t>⑶退货处理：乙方应退还甲方支付的合同款，同时应承担该货物的直接费用（运输、保险、检验、货款利息及银行手续费等）。</w:t>
      </w:r>
    </w:p>
    <w:p>
      <w:pPr>
        <w:snapToGrid w:val="0"/>
        <w:spacing w:line="360" w:lineRule="auto"/>
        <w:ind w:firstLine="480" w:firstLineChars="200"/>
        <w:rPr>
          <w:rFonts w:ascii="宋体" w:hAnsi="宋体" w:cs="宋体"/>
          <w:sz w:val="24"/>
        </w:rPr>
      </w:pPr>
      <w:r>
        <w:rPr>
          <w:rFonts w:hint="eastAsia" w:ascii="宋体" w:hAnsi="宋体" w:cs="宋体"/>
          <w:sz w:val="24"/>
        </w:rPr>
        <w:t>3.如在使用过程中发生质量问题，乙方在接到甲方通知后在2小时内到达甲方现场。</w:t>
      </w:r>
    </w:p>
    <w:p>
      <w:pPr>
        <w:snapToGrid w:val="0"/>
        <w:spacing w:line="360" w:lineRule="auto"/>
        <w:ind w:firstLine="480" w:firstLineChars="200"/>
        <w:rPr>
          <w:rFonts w:ascii="宋体" w:hAnsi="宋体" w:cs="宋体"/>
          <w:sz w:val="24"/>
        </w:rPr>
      </w:pPr>
      <w:r>
        <w:rPr>
          <w:rFonts w:hint="eastAsia" w:ascii="宋体" w:hAnsi="宋体" w:cs="宋体"/>
          <w:sz w:val="24"/>
        </w:rPr>
        <w:t>4.在保修期内，乙方应对货物出现的质量及安全问题负责处理解决并承担一切费用。</w:t>
      </w:r>
    </w:p>
    <w:p>
      <w:pPr>
        <w:snapToGrid w:val="0"/>
        <w:spacing w:line="360" w:lineRule="auto"/>
        <w:ind w:firstLine="480" w:firstLineChars="200"/>
        <w:rPr>
          <w:rFonts w:ascii="宋体" w:hAnsi="宋体" w:cs="宋体"/>
          <w:sz w:val="24"/>
        </w:rPr>
      </w:pPr>
      <w:r>
        <w:rPr>
          <w:rFonts w:hint="eastAsia" w:ascii="宋体" w:hAnsi="宋体" w:cs="宋体"/>
          <w:sz w:val="24"/>
        </w:rPr>
        <w:t>5.上述的货物免费保修期为年，因人为因素出现的故障不在免费保修范围内。超过保修期的机器设备，终生维修，维修时只收部件成本费。</w:t>
      </w:r>
    </w:p>
    <w:p>
      <w:pPr>
        <w:snapToGrid w:val="0"/>
        <w:spacing w:line="360" w:lineRule="auto"/>
        <w:ind w:firstLine="480" w:firstLineChars="200"/>
        <w:rPr>
          <w:rFonts w:ascii="宋体" w:hAnsi="宋体" w:cs="宋体"/>
          <w:sz w:val="24"/>
        </w:rPr>
      </w:pPr>
      <w:r>
        <w:rPr>
          <w:rFonts w:hint="eastAsia" w:ascii="宋体" w:hAnsi="宋体" w:cs="宋体"/>
          <w:sz w:val="24"/>
        </w:rPr>
        <w:t>十三、调试和验收</w:t>
      </w:r>
    </w:p>
    <w:p>
      <w:pPr>
        <w:snapToGrid w:val="0"/>
        <w:spacing w:line="360" w:lineRule="auto"/>
        <w:ind w:firstLine="480" w:firstLineChars="200"/>
        <w:rPr>
          <w:rFonts w:ascii="宋体" w:hAnsi="宋体" w:cs="宋体"/>
          <w:sz w:val="24"/>
        </w:rPr>
      </w:pPr>
      <w:r>
        <w:rPr>
          <w:rFonts w:hint="eastAsia" w:ascii="宋体" w:hAnsi="宋体" w:cs="宋体"/>
          <w:sz w:val="24"/>
        </w:rPr>
        <w:t>1.甲方对乙方提交的货物依据招标文件上的技术规格要求和国家有关质量标准进行现场初步验收，外观、说明书符合招标文件技术要求的，给予签收，初步验收不合格的不予签收。货到后，甲方需在五个工作日内验收。</w:t>
      </w:r>
    </w:p>
    <w:p>
      <w:pPr>
        <w:snapToGrid w:val="0"/>
        <w:spacing w:line="360" w:lineRule="auto"/>
        <w:ind w:firstLine="480" w:firstLineChars="200"/>
        <w:rPr>
          <w:rFonts w:ascii="宋体" w:hAnsi="宋体" w:cs="宋体"/>
          <w:sz w:val="24"/>
        </w:rPr>
      </w:pPr>
      <w:r>
        <w:rPr>
          <w:rFonts w:hint="eastAsia" w:ascii="宋体" w:hAnsi="宋体" w:cs="宋体"/>
          <w:sz w:val="24"/>
        </w:rPr>
        <w:t>2.乙方交货前应对产品作出全面检查和对验收文件进行整理，并列出清单，作为甲方收货验收和使用的技术条件依据，检验的结果应随货物交甲方。</w:t>
      </w:r>
    </w:p>
    <w:p>
      <w:pPr>
        <w:snapToGrid w:val="0"/>
        <w:spacing w:line="360" w:lineRule="auto"/>
        <w:ind w:firstLine="480" w:firstLineChars="200"/>
        <w:rPr>
          <w:rFonts w:ascii="宋体" w:hAnsi="宋体" w:cs="宋体"/>
          <w:sz w:val="24"/>
        </w:rPr>
      </w:pPr>
      <w:r>
        <w:rPr>
          <w:rFonts w:hint="eastAsia" w:ascii="宋体" w:hAnsi="宋体" w:cs="宋体"/>
          <w:sz w:val="24"/>
        </w:rPr>
        <w:t>3.甲方对乙方提供的货物在使用前进行调试时，乙方需负责安装并培训甲方的使用操作人员，并协助甲方一起调试，直到符合技术要求，甲方才做最终验收。</w:t>
      </w:r>
    </w:p>
    <w:p>
      <w:pPr>
        <w:snapToGrid w:val="0"/>
        <w:spacing w:line="360" w:lineRule="auto"/>
        <w:ind w:firstLine="480" w:firstLineChars="200"/>
        <w:rPr>
          <w:rFonts w:ascii="宋体" w:hAnsi="宋体" w:cs="宋体"/>
          <w:sz w:val="24"/>
        </w:rPr>
      </w:pPr>
      <w:r>
        <w:rPr>
          <w:rFonts w:hint="eastAsia" w:ascii="宋体" w:hAnsi="宋体" w:cs="宋体"/>
          <w:sz w:val="24"/>
        </w:rPr>
        <w:t>4.对技术复杂的货物，甲方应请国家认可的专业检测机构参与初步验收及最终验收，并由其出具质量检测报告。</w:t>
      </w:r>
    </w:p>
    <w:p>
      <w:pPr>
        <w:snapToGrid w:val="0"/>
        <w:spacing w:line="360" w:lineRule="auto"/>
        <w:ind w:firstLine="480" w:firstLineChars="200"/>
        <w:rPr>
          <w:rFonts w:ascii="宋体" w:hAnsi="宋体" w:cs="宋体"/>
          <w:sz w:val="24"/>
        </w:rPr>
      </w:pPr>
      <w:r>
        <w:rPr>
          <w:rFonts w:hint="eastAsia" w:ascii="宋体" w:hAnsi="宋体" w:cs="宋体"/>
          <w:sz w:val="24"/>
        </w:rPr>
        <w:t>5.验收时乙方必须在现场，验收完毕后作出验收结果报告验收费用由乙方负责。</w:t>
      </w:r>
    </w:p>
    <w:p>
      <w:pPr>
        <w:snapToGrid w:val="0"/>
        <w:spacing w:line="360" w:lineRule="auto"/>
        <w:ind w:firstLine="480" w:firstLineChars="200"/>
        <w:rPr>
          <w:rFonts w:ascii="宋体" w:hAnsi="宋体" w:cs="宋体"/>
          <w:sz w:val="24"/>
        </w:rPr>
      </w:pPr>
      <w:r>
        <w:rPr>
          <w:rFonts w:hint="eastAsia" w:ascii="宋体" w:hAnsi="宋体" w:cs="宋体"/>
          <w:sz w:val="24"/>
        </w:rPr>
        <w:t>十四、货物包装、发运及运输</w:t>
      </w:r>
    </w:p>
    <w:p>
      <w:pPr>
        <w:snapToGrid w:val="0"/>
        <w:spacing w:line="360" w:lineRule="auto"/>
        <w:ind w:firstLine="480" w:firstLineChars="200"/>
        <w:rPr>
          <w:rFonts w:ascii="宋体" w:hAnsi="宋体" w:cs="宋体"/>
          <w:sz w:val="24"/>
        </w:rPr>
      </w:pPr>
      <w:r>
        <w:rPr>
          <w:rFonts w:hint="eastAsia" w:ascii="宋体" w:hAnsi="宋体" w:cs="宋体"/>
          <w:sz w:val="24"/>
        </w:rPr>
        <w:t>1.乙方应在货物发运前对其进行满足运输距离、防潮、防震、防锈和防破损装卸等要求包装，以保证货物安全运达甲方指定地点。</w:t>
      </w:r>
    </w:p>
    <w:p>
      <w:pPr>
        <w:snapToGrid w:val="0"/>
        <w:spacing w:line="360" w:lineRule="auto"/>
        <w:ind w:firstLine="480" w:firstLineChars="200"/>
        <w:rPr>
          <w:rFonts w:ascii="宋体" w:hAnsi="宋体" w:cs="宋体"/>
          <w:sz w:val="24"/>
        </w:rPr>
      </w:pPr>
      <w:r>
        <w:rPr>
          <w:rFonts w:hint="eastAsia" w:ascii="宋体" w:hAnsi="宋体" w:cs="宋体"/>
          <w:sz w:val="24"/>
        </w:rPr>
        <w:t>2.使用说明书、质量检验书、随配附件和工具以及清单一并附于货物内。</w:t>
      </w:r>
    </w:p>
    <w:p>
      <w:pPr>
        <w:snapToGrid w:val="0"/>
        <w:spacing w:line="360" w:lineRule="auto"/>
        <w:ind w:firstLine="480" w:firstLineChars="200"/>
        <w:rPr>
          <w:rFonts w:ascii="宋体" w:hAnsi="宋体" w:cs="宋体"/>
          <w:sz w:val="24"/>
        </w:rPr>
      </w:pPr>
      <w:r>
        <w:rPr>
          <w:rFonts w:hint="eastAsia" w:ascii="宋体" w:hAnsi="宋体" w:cs="宋体"/>
          <w:sz w:val="24"/>
        </w:rPr>
        <w:t>3.乙方在货物发运手续办理完毕后24小时内或货到甲方48小时前通知甲方，以准备接货。</w:t>
      </w:r>
    </w:p>
    <w:p>
      <w:pPr>
        <w:snapToGrid w:val="0"/>
        <w:spacing w:line="360" w:lineRule="auto"/>
        <w:ind w:firstLine="480" w:firstLineChars="200"/>
        <w:rPr>
          <w:rFonts w:ascii="宋体" w:hAnsi="宋体" w:cs="宋体"/>
          <w:sz w:val="24"/>
        </w:rPr>
      </w:pPr>
      <w:r>
        <w:rPr>
          <w:rFonts w:hint="eastAsia" w:ascii="宋体" w:hAnsi="宋体" w:cs="宋体"/>
          <w:sz w:val="24"/>
        </w:rPr>
        <w:t>4.货物在交付甲方前发生的风险均由乙方负责。</w:t>
      </w:r>
    </w:p>
    <w:p>
      <w:pPr>
        <w:snapToGrid w:val="0"/>
        <w:spacing w:line="360" w:lineRule="auto"/>
        <w:ind w:firstLine="480" w:firstLineChars="200"/>
        <w:rPr>
          <w:rFonts w:ascii="宋体" w:hAnsi="宋体" w:cs="宋体"/>
          <w:sz w:val="24"/>
        </w:rPr>
      </w:pPr>
      <w:r>
        <w:rPr>
          <w:rFonts w:hint="eastAsia" w:ascii="宋体" w:hAnsi="宋体" w:cs="宋体"/>
          <w:sz w:val="24"/>
        </w:rPr>
        <w:t>5.货物在规定的交付期限内由乙方送达甲方指定的地点视为交付，乙方同时需</w:t>
      </w:r>
    </w:p>
    <w:p>
      <w:pPr>
        <w:snapToGrid w:val="0"/>
        <w:spacing w:line="360" w:lineRule="auto"/>
        <w:ind w:firstLine="480" w:firstLineChars="200"/>
        <w:rPr>
          <w:rFonts w:ascii="宋体" w:hAnsi="宋体" w:cs="宋体"/>
          <w:sz w:val="24"/>
        </w:rPr>
      </w:pPr>
      <w:r>
        <w:rPr>
          <w:rFonts w:hint="eastAsia" w:ascii="宋体" w:hAnsi="宋体" w:cs="宋体"/>
          <w:sz w:val="24"/>
        </w:rPr>
        <w:t>通知甲方货物已送达。</w:t>
      </w:r>
    </w:p>
    <w:p>
      <w:pPr>
        <w:snapToGrid w:val="0"/>
        <w:spacing w:line="360" w:lineRule="auto"/>
        <w:ind w:firstLine="480" w:firstLineChars="200"/>
        <w:rPr>
          <w:rFonts w:ascii="宋体" w:hAnsi="宋体" w:cs="宋体"/>
          <w:sz w:val="24"/>
        </w:rPr>
      </w:pPr>
      <w:r>
        <w:rPr>
          <w:rFonts w:hint="eastAsia" w:ascii="宋体" w:hAnsi="宋体" w:cs="宋体"/>
          <w:sz w:val="24"/>
        </w:rPr>
        <w:t>十五、违约责任</w:t>
      </w:r>
    </w:p>
    <w:p>
      <w:pPr>
        <w:snapToGrid w:val="0"/>
        <w:spacing w:line="360" w:lineRule="auto"/>
        <w:ind w:firstLine="480" w:firstLineChars="200"/>
        <w:rPr>
          <w:rFonts w:ascii="宋体" w:hAnsi="宋体" w:cs="宋体"/>
          <w:sz w:val="24"/>
        </w:rPr>
      </w:pPr>
      <w:r>
        <w:rPr>
          <w:rFonts w:hint="eastAsia" w:ascii="宋体" w:hAnsi="宋体" w:cs="宋体"/>
          <w:sz w:val="24"/>
        </w:rPr>
        <w:t>1.甲方无正当理由拒收货物的，甲方向乙方偿付拒收货款总值的百分之五违约金。</w:t>
      </w:r>
    </w:p>
    <w:p>
      <w:pPr>
        <w:snapToGrid w:val="0"/>
        <w:spacing w:line="360" w:lineRule="auto"/>
        <w:ind w:firstLine="480" w:firstLineChars="200"/>
        <w:rPr>
          <w:rFonts w:ascii="宋体" w:hAnsi="宋体" w:cs="宋体"/>
          <w:sz w:val="24"/>
        </w:rPr>
      </w:pPr>
      <w:r>
        <w:rPr>
          <w:rFonts w:hint="eastAsia" w:ascii="宋体" w:hAnsi="宋体" w:cs="宋体"/>
          <w:sz w:val="24"/>
        </w:rPr>
        <w:t>2.甲方无故逾期验收和办理货款支付手续的,甲方应按逾期付款总额每日万分之五向乙方支付违约金。</w:t>
      </w:r>
    </w:p>
    <w:p>
      <w:pPr>
        <w:snapToGrid w:val="0"/>
        <w:spacing w:line="360" w:lineRule="auto"/>
        <w:ind w:firstLine="480" w:firstLineChars="200"/>
        <w:rPr>
          <w:rFonts w:ascii="宋体" w:hAnsi="宋体" w:cs="宋体"/>
          <w:sz w:val="24"/>
        </w:rPr>
      </w:pPr>
      <w:r>
        <w:rPr>
          <w:rFonts w:hint="eastAsia" w:ascii="宋体" w:hAnsi="宋体" w:cs="宋体"/>
          <w:sz w:val="24"/>
        </w:rPr>
        <w:t>3.乙方逾期交付货物的，乙方应按逾期交货总额每日千分之六向甲方支付违约金，由甲方从待付货款中扣除。逾期超过约定日期10个工作日不能交货的，甲方可解除本合同。乙方因逾期交货或因其他违约行为导致甲方解除合同的，乙方应向甲方支付合同总值5%的违约金，如造成甲方损失超过违约金的，超出部分由乙方继续承担赔偿责任。</w:t>
      </w:r>
    </w:p>
    <w:p>
      <w:pPr>
        <w:snapToGrid w:val="0"/>
        <w:spacing w:line="360" w:lineRule="auto"/>
        <w:ind w:firstLine="480" w:firstLineChars="200"/>
        <w:rPr>
          <w:rFonts w:ascii="宋体" w:hAnsi="宋体" w:cs="宋体"/>
          <w:sz w:val="24"/>
        </w:rPr>
      </w:pPr>
      <w:r>
        <w:rPr>
          <w:rFonts w:hint="eastAsia" w:ascii="宋体" w:hAnsi="宋体" w:cs="宋体"/>
          <w:sz w:val="24"/>
        </w:rPr>
        <w:t>4.乙方所交的货物品种、型号、规格、技术参数、质量不符合合同规定及招标文件规定标准的，甲方有权拒收该货物，乙方愿意更换货物但逾期交货的，按乙方逾期交货处理。乙方拒绝更换货物的，甲方可单方面解除合同。</w:t>
      </w:r>
    </w:p>
    <w:p>
      <w:pPr>
        <w:snapToGrid w:val="0"/>
        <w:spacing w:line="360" w:lineRule="auto"/>
        <w:ind w:firstLine="480" w:firstLineChars="200"/>
        <w:rPr>
          <w:rFonts w:ascii="宋体" w:hAnsi="宋体" w:cs="宋体"/>
          <w:sz w:val="24"/>
        </w:rPr>
      </w:pPr>
      <w:r>
        <w:rPr>
          <w:rFonts w:hint="eastAsia" w:ascii="宋体" w:hAnsi="宋体" w:cs="宋体"/>
          <w:sz w:val="24"/>
        </w:rPr>
        <w:t>十六、不可抗力事件处理</w:t>
      </w:r>
    </w:p>
    <w:p>
      <w:pPr>
        <w:snapToGrid w:val="0"/>
        <w:spacing w:line="360" w:lineRule="auto"/>
        <w:ind w:firstLine="480" w:firstLineChars="200"/>
        <w:rPr>
          <w:rFonts w:ascii="宋体" w:hAnsi="宋体" w:cs="宋体"/>
          <w:sz w:val="24"/>
        </w:rPr>
      </w:pPr>
      <w:r>
        <w:rPr>
          <w:rFonts w:hint="eastAsia" w:ascii="宋体" w:hAnsi="宋体" w:cs="宋体"/>
          <w:sz w:val="24"/>
        </w:rPr>
        <w:t>1.在合同有效期内，任何一方因不可抗力事件导致不能履行合同，则合同履行期可延长，其延长期与不可抗力影响期相同。</w:t>
      </w:r>
    </w:p>
    <w:p>
      <w:pPr>
        <w:snapToGrid w:val="0"/>
        <w:spacing w:line="360" w:lineRule="auto"/>
        <w:ind w:firstLine="480" w:firstLineChars="200"/>
        <w:rPr>
          <w:rFonts w:ascii="宋体" w:hAnsi="宋体" w:cs="宋体"/>
          <w:sz w:val="24"/>
        </w:rPr>
      </w:pPr>
      <w:r>
        <w:rPr>
          <w:rFonts w:hint="eastAsia" w:ascii="宋体" w:hAnsi="宋体" w:cs="宋体"/>
          <w:sz w:val="24"/>
        </w:rPr>
        <w:t>2.不可抗力事件发生后，应立即通知对方，并寄送有关权威机构出具的说明。</w:t>
      </w:r>
    </w:p>
    <w:p>
      <w:pPr>
        <w:snapToGrid w:val="0"/>
        <w:spacing w:line="360" w:lineRule="auto"/>
        <w:ind w:firstLine="480" w:firstLineChars="200"/>
        <w:rPr>
          <w:rFonts w:ascii="宋体" w:hAnsi="宋体" w:cs="宋体"/>
          <w:sz w:val="24"/>
        </w:rPr>
      </w:pPr>
      <w:r>
        <w:rPr>
          <w:rFonts w:hint="eastAsia" w:ascii="宋体" w:hAnsi="宋体" w:cs="宋体"/>
          <w:sz w:val="24"/>
        </w:rPr>
        <w:t>3.不可抗力事件延续120日以上，双方应通过友好协商，确定是否继续履行合同。</w:t>
      </w:r>
    </w:p>
    <w:p>
      <w:pPr>
        <w:snapToGrid w:val="0"/>
        <w:spacing w:line="360" w:lineRule="auto"/>
        <w:ind w:firstLine="480" w:firstLineChars="200"/>
        <w:rPr>
          <w:rFonts w:ascii="宋体" w:hAnsi="宋体" w:cs="宋体"/>
          <w:sz w:val="24"/>
        </w:rPr>
      </w:pPr>
      <w:r>
        <w:rPr>
          <w:rFonts w:hint="eastAsia" w:ascii="宋体" w:hAnsi="宋体" w:cs="宋体"/>
          <w:sz w:val="24"/>
        </w:rPr>
        <w:t>十七、诉讼</w:t>
      </w:r>
    </w:p>
    <w:p>
      <w:pPr>
        <w:snapToGrid w:val="0"/>
        <w:spacing w:line="360" w:lineRule="auto"/>
        <w:ind w:firstLine="480" w:firstLineChars="200"/>
        <w:rPr>
          <w:rFonts w:ascii="宋体" w:hAnsi="宋体" w:cs="宋体"/>
          <w:sz w:val="24"/>
        </w:rPr>
      </w:pPr>
      <w:r>
        <w:rPr>
          <w:rFonts w:hint="eastAsia" w:ascii="宋体" w:hAnsi="宋体" w:cs="宋体"/>
          <w:sz w:val="24"/>
        </w:rPr>
        <w:t>双方在执行合同中所发生的一切争议，应通过协商解决。如协商不成，可向甲方所在地法院起诉。</w:t>
      </w:r>
    </w:p>
    <w:p>
      <w:pPr>
        <w:snapToGrid w:val="0"/>
        <w:spacing w:line="360" w:lineRule="auto"/>
        <w:ind w:firstLine="480" w:firstLineChars="200"/>
        <w:rPr>
          <w:rFonts w:ascii="宋体" w:hAnsi="宋体" w:cs="宋体"/>
          <w:sz w:val="24"/>
        </w:rPr>
      </w:pPr>
      <w:r>
        <w:rPr>
          <w:rFonts w:hint="eastAsia" w:ascii="宋体" w:hAnsi="宋体" w:cs="宋体"/>
          <w:sz w:val="24"/>
        </w:rPr>
        <w:t>十八、合同生效及其它</w:t>
      </w:r>
    </w:p>
    <w:p>
      <w:pPr>
        <w:snapToGrid w:val="0"/>
        <w:spacing w:line="360" w:lineRule="auto"/>
        <w:ind w:firstLine="480" w:firstLineChars="200"/>
        <w:rPr>
          <w:rFonts w:ascii="宋体" w:hAnsi="宋体" w:cs="宋体"/>
          <w:sz w:val="24"/>
        </w:rPr>
      </w:pPr>
      <w:r>
        <w:rPr>
          <w:rFonts w:hint="eastAsia" w:ascii="宋体" w:hAnsi="宋体" w:cs="宋体"/>
          <w:sz w:val="24"/>
        </w:rPr>
        <w:t>1.合同经双方法定代表人或授权代表签字并加盖单位公章后生效。</w:t>
      </w:r>
    </w:p>
    <w:p>
      <w:pPr>
        <w:snapToGrid w:val="0"/>
        <w:spacing w:line="360" w:lineRule="auto"/>
        <w:ind w:firstLine="480" w:firstLineChars="200"/>
        <w:rPr>
          <w:rFonts w:ascii="宋体" w:hAnsi="宋体" w:cs="宋体"/>
          <w:sz w:val="24"/>
        </w:rPr>
      </w:pPr>
      <w:r>
        <w:rPr>
          <w:rFonts w:hint="eastAsia" w:ascii="宋体" w:hAnsi="宋体" w:cs="宋体"/>
          <w:sz w:val="24"/>
        </w:rPr>
        <w:t>2.本合同未尽事宜，遵照《合同法》有关条文执行。</w:t>
      </w:r>
    </w:p>
    <w:p>
      <w:pPr>
        <w:snapToGrid w:val="0"/>
        <w:spacing w:line="360" w:lineRule="auto"/>
        <w:ind w:firstLine="480" w:firstLineChars="200"/>
        <w:rPr>
          <w:rFonts w:ascii="宋体" w:hAnsi="宋体" w:cs="宋体"/>
          <w:sz w:val="24"/>
        </w:rPr>
      </w:pPr>
      <w:r>
        <w:rPr>
          <w:rFonts w:hint="eastAsia" w:ascii="宋体" w:hAnsi="宋体" w:cs="宋体"/>
          <w:sz w:val="24"/>
        </w:rPr>
        <w:t>3.本合同正本一式四份，具有同等法律效力，甲乙双方各执二份。</w:t>
      </w:r>
    </w:p>
    <w:p>
      <w:pPr>
        <w:adjustRightInd w:val="0"/>
        <w:snapToGrid w:val="0"/>
        <w:spacing w:line="300" w:lineRule="auto"/>
        <w:ind w:firstLine="480" w:firstLineChars="200"/>
        <w:rPr>
          <w:rFonts w:ascii="宋体" w:hAnsi="宋体"/>
          <w:color w:val="000000"/>
          <w:sz w:val="24"/>
        </w:rPr>
      </w:pPr>
      <w:r>
        <w:rPr>
          <w:rFonts w:hint="eastAsia" w:ascii="宋体" w:hAnsi="宋体"/>
          <w:color w:val="000000"/>
          <w:sz w:val="24"/>
        </w:rPr>
        <w:t xml:space="preserve">甲方（公章）：                           乙方（公章）：         </w:t>
      </w:r>
    </w:p>
    <w:p>
      <w:pPr>
        <w:adjustRightInd w:val="0"/>
        <w:snapToGrid w:val="0"/>
        <w:spacing w:line="300" w:lineRule="auto"/>
        <w:ind w:firstLine="480" w:firstLineChars="200"/>
        <w:rPr>
          <w:rFonts w:ascii="宋体" w:hAnsi="宋体"/>
          <w:color w:val="000000"/>
          <w:sz w:val="24"/>
        </w:rPr>
      </w:pPr>
      <w:r>
        <w:rPr>
          <w:rFonts w:hint="eastAsia" w:ascii="宋体" w:hAnsi="宋体"/>
          <w:color w:val="000000"/>
          <w:sz w:val="24"/>
        </w:rPr>
        <w:t xml:space="preserve">地址：                                  地址：                   </w:t>
      </w:r>
    </w:p>
    <w:p>
      <w:pPr>
        <w:adjustRightInd w:val="0"/>
        <w:snapToGrid w:val="0"/>
        <w:spacing w:line="300" w:lineRule="auto"/>
        <w:ind w:firstLine="480" w:firstLineChars="200"/>
        <w:rPr>
          <w:rFonts w:ascii="宋体" w:hAnsi="宋体"/>
          <w:color w:val="000000"/>
          <w:sz w:val="24"/>
        </w:rPr>
      </w:pPr>
      <w:r>
        <w:rPr>
          <w:rFonts w:hint="eastAsia" w:ascii="宋体" w:hAnsi="宋体"/>
          <w:color w:val="000000"/>
          <w:sz w:val="24"/>
        </w:rPr>
        <w:t>法定代表人或委托代表人：                法定代表人或委托代表人：</w:t>
      </w:r>
    </w:p>
    <w:p>
      <w:pPr>
        <w:adjustRightInd w:val="0"/>
        <w:snapToGrid w:val="0"/>
        <w:spacing w:line="300" w:lineRule="auto"/>
        <w:ind w:firstLine="480" w:firstLineChars="200"/>
        <w:rPr>
          <w:rFonts w:ascii="宋体" w:hAnsi="宋体"/>
          <w:color w:val="000000"/>
          <w:sz w:val="24"/>
        </w:rPr>
      </w:pPr>
      <w:r>
        <w:rPr>
          <w:rFonts w:hint="eastAsia" w:ascii="宋体" w:hAnsi="宋体"/>
          <w:color w:val="000000"/>
          <w:sz w:val="24"/>
        </w:rPr>
        <w:t xml:space="preserve">电话：                                  电话：                </w:t>
      </w:r>
    </w:p>
    <w:p>
      <w:pPr>
        <w:adjustRightInd w:val="0"/>
        <w:snapToGrid w:val="0"/>
        <w:spacing w:line="300" w:lineRule="auto"/>
        <w:ind w:firstLine="480" w:firstLineChars="200"/>
        <w:rPr>
          <w:rFonts w:ascii="宋体" w:hAnsi="宋体"/>
          <w:color w:val="000000"/>
          <w:sz w:val="24"/>
        </w:rPr>
      </w:pPr>
      <w:r>
        <w:rPr>
          <w:rFonts w:hint="eastAsia" w:ascii="宋体" w:hAnsi="宋体"/>
          <w:color w:val="000000"/>
          <w:sz w:val="24"/>
        </w:rPr>
        <w:t xml:space="preserve">传真：                                  传真：                </w:t>
      </w:r>
    </w:p>
    <w:p>
      <w:pPr>
        <w:widowControl/>
        <w:spacing w:line="480" w:lineRule="exact"/>
        <w:ind w:firstLine="480" w:firstLineChars="200"/>
        <w:jc w:val="left"/>
        <w:rPr>
          <w:rFonts w:ascii="宋体" w:hAnsi="宋体" w:cs="宋体"/>
          <w:b/>
          <w:sz w:val="30"/>
          <w:szCs w:val="30"/>
        </w:rPr>
      </w:pPr>
      <w:r>
        <w:rPr>
          <w:rFonts w:hint="eastAsia" w:ascii="宋体" w:hAnsi="宋体"/>
          <w:color w:val="000000"/>
          <w:sz w:val="24"/>
        </w:rPr>
        <w:t>邮政编码：                              邮政编码：</w:t>
      </w:r>
    </w:p>
    <w:p>
      <w:pPr>
        <w:widowControl/>
        <w:spacing w:line="480" w:lineRule="exact"/>
        <w:ind w:firstLine="602" w:firstLineChars="200"/>
        <w:jc w:val="left"/>
        <w:rPr>
          <w:rFonts w:ascii="宋体" w:hAnsi="宋体" w:cs="宋体"/>
          <w:b/>
          <w:sz w:val="30"/>
          <w:szCs w:val="30"/>
        </w:rPr>
      </w:pPr>
    </w:p>
    <w:p>
      <w:pPr>
        <w:widowControl/>
        <w:spacing w:line="480" w:lineRule="exact"/>
        <w:jc w:val="left"/>
        <w:rPr>
          <w:rFonts w:ascii="宋体" w:hAnsi="宋体" w:cs="宋体"/>
          <w:b/>
          <w:sz w:val="30"/>
          <w:szCs w:val="30"/>
        </w:rPr>
      </w:pPr>
    </w:p>
    <w:p>
      <w:pPr>
        <w:widowControl/>
        <w:spacing w:line="480" w:lineRule="exact"/>
        <w:ind w:firstLine="602" w:firstLineChars="200"/>
        <w:jc w:val="left"/>
        <w:rPr>
          <w:rFonts w:ascii="宋体" w:hAnsi="宋体" w:cs="宋体"/>
          <w:b/>
          <w:sz w:val="30"/>
          <w:szCs w:val="30"/>
        </w:rPr>
      </w:pPr>
      <w:r>
        <w:rPr>
          <w:rFonts w:hint="eastAsia" w:ascii="宋体" w:hAnsi="宋体" w:cs="宋体"/>
          <w:b/>
          <w:sz w:val="30"/>
          <w:szCs w:val="30"/>
        </w:rPr>
        <w:t>投标文件外层包装封面格式</w:t>
      </w:r>
    </w:p>
    <w:p>
      <w:pPr>
        <w:pStyle w:val="75"/>
        <w:spacing w:line="460" w:lineRule="exact"/>
        <w:ind w:left="1202" w:firstLine="0" w:firstLineChars="0"/>
        <w:rPr>
          <w:rFonts w:ascii="宋体" w:hAnsi="宋体" w:cs="宋体"/>
          <w:b/>
          <w:sz w:val="24"/>
        </w:rPr>
      </w:pPr>
    </w:p>
    <w:p>
      <w:pPr>
        <w:spacing w:line="460" w:lineRule="exact"/>
        <w:ind w:firstLine="480" w:firstLineChars="200"/>
        <w:rPr>
          <w:rFonts w:ascii="宋体" w:hAnsi="宋体" w:cs="宋体"/>
          <w:sz w:val="24"/>
        </w:rPr>
      </w:pPr>
      <w:r>
        <w:rPr>
          <w:rFonts w:hint="eastAsia" w:ascii="宋体" w:hAnsi="宋体" w:cs="宋体"/>
          <w:sz w:val="24"/>
        </w:rPr>
        <w:t>1．所有投标文件的</w:t>
      </w:r>
      <w:r>
        <w:rPr>
          <w:rFonts w:hint="eastAsia" w:ascii="宋体" w:hAnsi="宋体" w:cs="宋体"/>
          <w:sz w:val="24"/>
          <w:u w:val="single"/>
        </w:rPr>
        <w:t>外包装封面</w:t>
      </w:r>
      <w:r>
        <w:rPr>
          <w:rFonts w:hint="eastAsia" w:ascii="宋体" w:hAnsi="宋体" w:cs="宋体"/>
          <w:sz w:val="24"/>
        </w:rPr>
        <w:t>格式：（可选用）</w:t>
      </w:r>
    </w:p>
    <w:p>
      <w:pPr>
        <w:spacing w:line="460" w:lineRule="exact"/>
        <w:rPr>
          <w:rFonts w:ascii="宋体" w:hAnsi="宋体" w:cs="宋体"/>
          <w:b/>
          <w:sz w:val="36"/>
          <w:szCs w:val="36"/>
        </w:rPr>
      </w:pPr>
    </w:p>
    <w:p>
      <w:pPr>
        <w:spacing w:line="600" w:lineRule="auto"/>
        <w:jc w:val="center"/>
        <w:rPr>
          <w:rFonts w:hint="eastAsia" w:ascii="宋体" w:hAnsi="宋体" w:eastAsia="宋体" w:cs="宋体"/>
          <w:b/>
          <w:sz w:val="36"/>
          <w:szCs w:val="36"/>
          <w:lang w:eastAsia="zh-CN"/>
        </w:rPr>
      </w:pPr>
      <w:r>
        <w:rPr>
          <w:rFonts w:hint="eastAsia" w:ascii="宋体" w:hAnsi="宋体" w:cs="宋体"/>
          <w:b/>
          <w:sz w:val="36"/>
          <w:szCs w:val="36"/>
          <w:lang w:eastAsia="zh-CN"/>
        </w:rPr>
        <w:t>磐安县仁川镇共富风貌驿产品采购项目（第二次）</w:t>
      </w:r>
    </w:p>
    <w:p>
      <w:pPr>
        <w:spacing w:line="600" w:lineRule="auto"/>
        <w:jc w:val="center"/>
        <w:rPr>
          <w:rFonts w:ascii="宋体" w:hAnsi="宋体" w:cs="宋体"/>
          <w:b/>
          <w:sz w:val="36"/>
          <w:szCs w:val="36"/>
        </w:rPr>
      </w:pPr>
      <w:r>
        <w:rPr>
          <w:rFonts w:hint="eastAsia" w:ascii="宋体" w:hAnsi="宋体" w:cs="宋体"/>
          <w:b/>
          <w:sz w:val="36"/>
          <w:szCs w:val="36"/>
        </w:rPr>
        <w:t>投 标 文 件</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 xml:space="preserve">项目编号： </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投标文件名称：商务标/技术标</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投标人名称：（加盖公章）</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投标人地址：</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联系电话：</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法人或授权代表签字：</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在     年   月   日   时   分之前不得启封</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p>
    <w:p>
      <w:pPr>
        <w:spacing w:line="460" w:lineRule="exact"/>
        <w:ind w:firstLine="480" w:firstLineChars="200"/>
        <w:jc w:val="center"/>
        <w:rPr>
          <w:rFonts w:ascii="宋体" w:hAnsi="宋体" w:cs="宋体"/>
          <w:sz w:val="24"/>
        </w:rPr>
      </w:pPr>
      <w:r>
        <w:rPr>
          <w:rFonts w:hint="eastAsia" w:ascii="宋体" w:hAnsi="宋体" w:cs="宋体"/>
          <w:sz w:val="24"/>
        </w:rPr>
        <w:t xml:space="preserve">             年   月   日</w:t>
      </w:r>
    </w:p>
    <w:p>
      <w:pPr>
        <w:rPr>
          <w:rFonts w:ascii="仿宋_GB2312" w:hAnsi="宋体" w:eastAsia="仿宋_GB2312"/>
          <w:b/>
          <w:sz w:val="44"/>
          <w:szCs w:val="44"/>
        </w:rPr>
      </w:pPr>
      <w:r>
        <w:rPr>
          <w:rFonts w:ascii="仿宋_GB2312" w:hAnsi="宋体" w:eastAsia="仿宋_GB2312"/>
          <w:b/>
          <w:sz w:val="44"/>
          <w:szCs w:val="44"/>
        </w:rPr>
        <w:br w:type="page"/>
      </w:r>
    </w:p>
    <w:p>
      <w:pPr>
        <w:tabs>
          <w:tab w:val="left" w:pos="985"/>
        </w:tabs>
      </w:pPr>
    </w:p>
    <w:p>
      <w:pPr>
        <w:spacing w:line="460" w:lineRule="exact"/>
        <w:ind w:firstLine="2409" w:firstLineChars="800"/>
        <w:rPr>
          <w:rFonts w:ascii="宋体" w:hAnsi="宋体" w:cs="宋体"/>
          <w:b/>
          <w:sz w:val="30"/>
          <w:szCs w:val="30"/>
        </w:rPr>
      </w:pPr>
      <w:r>
        <w:rPr>
          <w:rFonts w:hint="eastAsia" w:ascii="宋体" w:hAnsi="宋体" w:cs="宋体"/>
          <w:b/>
          <w:sz w:val="30"/>
          <w:szCs w:val="30"/>
        </w:rPr>
        <w:t>二、投标文件封面格式</w:t>
      </w:r>
    </w:p>
    <w:p>
      <w:pPr>
        <w:spacing w:line="460" w:lineRule="exact"/>
        <w:ind w:firstLine="480" w:firstLineChars="200"/>
        <w:rPr>
          <w:rFonts w:ascii="宋体" w:hAnsi="宋体" w:cs="宋体"/>
          <w:sz w:val="24"/>
        </w:rPr>
      </w:pPr>
    </w:p>
    <w:p>
      <w:pPr>
        <w:spacing w:line="460" w:lineRule="exact"/>
        <w:ind w:firstLine="480" w:firstLineChars="200"/>
        <w:rPr>
          <w:rFonts w:ascii="宋体" w:hAnsi="宋体" w:cs="宋体"/>
          <w:sz w:val="24"/>
        </w:rPr>
      </w:pPr>
      <w:r>
        <w:rPr>
          <w:rFonts w:hint="eastAsia" w:ascii="宋体" w:hAnsi="宋体" w:cs="宋体"/>
          <w:sz w:val="24"/>
        </w:rPr>
        <w:t xml:space="preserve">1．商务技术文件的封面格式： </w:t>
      </w:r>
    </w:p>
    <w:p>
      <w:pPr>
        <w:spacing w:line="460" w:lineRule="exact"/>
        <w:ind w:firstLine="480" w:firstLineChars="200"/>
        <w:rPr>
          <w:rFonts w:ascii="宋体" w:hAnsi="宋体" w:cs="宋体"/>
          <w:sz w:val="24"/>
        </w:rPr>
      </w:pPr>
      <w:r>
        <w:rPr>
          <w:rFonts w:hint="eastAsia" w:ascii="宋体" w:hAnsi="宋体" w:cs="宋体"/>
          <w:sz w:val="24"/>
        </w:rPr>
        <w:t>（正本/副本）</w:t>
      </w:r>
    </w:p>
    <w:p>
      <w:pPr>
        <w:spacing w:line="460" w:lineRule="exact"/>
        <w:ind w:firstLine="600" w:firstLineChars="200"/>
        <w:jc w:val="center"/>
        <w:rPr>
          <w:rFonts w:ascii="宋体" w:hAnsi="宋体" w:cs="宋体"/>
          <w:sz w:val="30"/>
          <w:szCs w:val="30"/>
        </w:rPr>
      </w:pPr>
    </w:p>
    <w:p>
      <w:pPr>
        <w:spacing w:line="480" w:lineRule="auto"/>
        <w:jc w:val="center"/>
        <w:rPr>
          <w:rFonts w:hint="eastAsia" w:ascii="宋体" w:hAnsi="宋体" w:eastAsia="宋体" w:cs="宋体"/>
          <w:b/>
          <w:sz w:val="36"/>
          <w:szCs w:val="36"/>
          <w:lang w:eastAsia="zh-CN"/>
        </w:rPr>
      </w:pPr>
      <w:r>
        <w:rPr>
          <w:rFonts w:hint="eastAsia" w:ascii="宋体" w:hAnsi="宋体" w:cs="宋体"/>
          <w:b/>
          <w:sz w:val="36"/>
          <w:szCs w:val="36"/>
          <w:lang w:eastAsia="zh-CN"/>
        </w:rPr>
        <w:t>磐安县仁川镇共富风貌驿产品采购项目（第二次）</w:t>
      </w:r>
    </w:p>
    <w:p>
      <w:pPr>
        <w:spacing w:line="480" w:lineRule="auto"/>
        <w:jc w:val="center"/>
        <w:rPr>
          <w:rFonts w:ascii="宋体" w:hAnsi="宋体" w:cs="宋体"/>
          <w:b/>
          <w:sz w:val="36"/>
          <w:szCs w:val="36"/>
        </w:rPr>
      </w:pPr>
      <w:r>
        <w:rPr>
          <w:rFonts w:hint="eastAsia" w:ascii="宋体" w:hAnsi="宋体" w:cs="宋体"/>
          <w:b/>
          <w:sz w:val="36"/>
          <w:szCs w:val="36"/>
        </w:rPr>
        <w:t>商务/技术文件</w:t>
      </w:r>
    </w:p>
    <w:p>
      <w:pPr>
        <w:spacing w:line="460" w:lineRule="exact"/>
        <w:ind w:firstLine="482" w:firstLineChars="200"/>
        <w:jc w:val="center"/>
        <w:rPr>
          <w:rFonts w:ascii="宋体" w:hAnsi="宋体" w:cs="宋体"/>
          <w:b/>
          <w:sz w:val="24"/>
        </w:rPr>
      </w:pPr>
    </w:p>
    <w:p>
      <w:pPr>
        <w:spacing w:line="460" w:lineRule="exact"/>
        <w:ind w:firstLine="480" w:firstLineChars="200"/>
        <w:rPr>
          <w:rFonts w:ascii="宋体" w:hAnsi="宋体" w:cs="宋体"/>
          <w:sz w:val="24"/>
        </w:rPr>
      </w:pPr>
    </w:p>
    <w:p>
      <w:pPr>
        <w:spacing w:line="460" w:lineRule="exact"/>
        <w:ind w:firstLine="480" w:firstLineChars="200"/>
        <w:rPr>
          <w:rFonts w:ascii="宋体" w:cs="宋体"/>
          <w:sz w:val="24"/>
        </w:rPr>
      </w:pPr>
      <w:r>
        <w:rPr>
          <w:rFonts w:hint="eastAsia" w:ascii="宋体" w:hAnsi="宋体" w:cs="宋体"/>
          <w:sz w:val="24"/>
        </w:rPr>
        <w:t>项目编号：</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投标文件名称：商务标</w:t>
      </w:r>
      <w:r>
        <w:rPr>
          <w:rFonts w:ascii="宋体" w:hAnsi="宋体" w:cs="宋体"/>
          <w:sz w:val="24"/>
        </w:rPr>
        <w:t>/</w:t>
      </w:r>
      <w:r>
        <w:rPr>
          <w:rFonts w:hint="eastAsia" w:ascii="宋体" w:hAnsi="宋体" w:cs="宋体"/>
          <w:sz w:val="24"/>
        </w:rPr>
        <w:t>技术标</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投标人名称：（加盖公章）</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投标人地址：</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联系电话：</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法人或授权代表签字：</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r>
        <w:rPr>
          <w:rFonts w:hint="eastAsia" w:ascii="宋体" w:hAnsi="宋体" w:cs="宋体"/>
          <w:sz w:val="24"/>
        </w:rPr>
        <w:t>在年月日时分之前不得启封</w:t>
      </w: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p>
    <w:p>
      <w:pPr>
        <w:spacing w:line="460" w:lineRule="exact"/>
        <w:ind w:firstLine="480" w:firstLineChars="200"/>
        <w:rPr>
          <w:rFonts w:ascii="宋体" w:cs="宋体"/>
          <w:sz w:val="24"/>
        </w:rPr>
      </w:pPr>
    </w:p>
    <w:p>
      <w:pPr>
        <w:spacing w:line="460" w:lineRule="exact"/>
        <w:ind w:firstLine="480" w:firstLineChars="200"/>
        <w:jc w:val="center"/>
        <w:rPr>
          <w:rFonts w:ascii="宋体" w:cs="宋体"/>
          <w:sz w:val="24"/>
        </w:rPr>
      </w:pPr>
      <w:r>
        <w:rPr>
          <w:rFonts w:hint="eastAsia" w:ascii="宋体" w:hAnsi="宋体" w:cs="宋体"/>
          <w:sz w:val="24"/>
        </w:rPr>
        <w:t xml:space="preserve">             年    月    日</w:t>
      </w:r>
    </w:p>
    <w:p>
      <w:pPr>
        <w:spacing w:line="460" w:lineRule="exact"/>
        <w:ind w:firstLine="480" w:firstLineChars="200"/>
        <w:rPr>
          <w:rFonts w:ascii="宋体" w:hAnsi="宋体" w:cs="宋体"/>
          <w:sz w:val="24"/>
        </w:rPr>
      </w:pPr>
    </w:p>
    <w:p>
      <w:pPr>
        <w:spacing w:line="480" w:lineRule="exact"/>
        <w:jc w:val="center"/>
        <w:outlineLvl w:val="0"/>
        <w:rPr>
          <w:rFonts w:ascii="宋体" w:hAnsi="宋体"/>
          <w:b/>
          <w:sz w:val="36"/>
          <w:szCs w:val="36"/>
        </w:rPr>
      </w:pPr>
      <w:r>
        <w:rPr>
          <w:rFonts w:ascii="仿宋_GB2312" w:hAnsi="宋体" w:eastAsia="仿宋_GB2312"/>
          <w:b/>
          <w:sz w:val="44"/>
          <w:szCs w:val="44"/>
        </w:rPr>
        <w:br w:type="page"/>
      </w:r>
      <w:bookmarkStart w:id="87" w:name="_Toc32557"/>
      <w:r>
        <w:rPr>
          <w:rFonts w:hint="eastAsia" w:ascii="宋体" w:hAnsi="宋体"/>
          <w:b/>
          <w:sz w:val="36"/>
          <w:szCs w:val="36"/>
        </w:rPr>
        <w:t>第五章 附   件</w:t>
      </w:r>
      <w:bookmarkEnd w:id="87"/>
    </w:p>
    <w:p>
      <w:pPr>
        <w:pStyle w:val="4"/>
        <w:spacing w:before="314" w:afterLines="0"/>
        <w:jc w:val="both"/>
        <w:rPr>
          <w:rFonts w:hint="default"/>
          <w:sz w:val="24"/>
          <w:szCs w:val="24"/>
        </w:rPr>
      </w:pPr>
      <w:bookmarkStart w:id="88" w:name="_Toc14732"/>
      <w:r>
        <w:rPr>
          <w:sz w:val="24"/>
          <w:szCs w:val="24"/>
        </w:rPr>
        <w:t>附件1</w:t>
      </w:r>
      <w:bookmarkEnd w:id="88"/>
      <w:bookmarkStart w:id="89" w:name="_Toc114115359"/>
    </w:p>
    <w:p>
      <w:pPr>
        <w:spacing w:line="480" w:lineRule="exact"/>
        <w:jc w:val="center"/>
        <w:outlineLvl w:val="5"/>
        <w:rPr>
          <w:rFonts w:ascii="黑体" w:hAnsi="宋体" w:eastAsia="黑体"/>
          <w:b/>
          <w:bCs/>
          <w:kern w:val="0"/>
          <w:sz w:val="32"/>
          <w:szCs w:val="32"/>
        </w:rPr>
      </w:pPr>
      <w:r>
        <w:rPr>
          <w:rFonts w:hint="eastAsia" w:ascii="黑体" w:hAnsi="宋体" w:eastAsia="黑体"/>
          <w:b/>
          <w:bCs/>
          <w:kern w:val="0"/>
          <w:sz w:val="32"/>
          <w:szCs w:val="32"/>
        </w:rPr>
        <w:t>投  标  函</w:t>
      </w:r>
      <w:bookmarkEnd w:id="89"/>
    </w:p>
    <w:p>
      <w:pPr>
        <w:pStyle w:val="23"/>
        <w:spacing w:line="480" w:lineRule="exact"/>
        <w:rPr>
          <w:rFonts w:hAnsi="宋体"/>
          <w:sz w:val="24"/>
          <w:szCs w:val="24"/>
        </w:rPr>
      </w:pPr>
      <w:r>
        <w:rPr>
          <w:rFonts w:hint="eastAsia" w:hAnsi="宋体" w:cs="Arial"/>
          <w:sz w:val="24"/>
          <w:u w:val="single"/>
        </w:rPr>
        <w:t xml:space="preserve">      （招标采购单位名称）</w:t>
      </w:r>
      <w:r>
        <w:rPr>
          <w:rFonts w:hint="eastAsia" w:hAnsi="宋体"/>
          <w:sz w:val="24"/>
          <w:szCs w:val="24"/>
        </w:rPr>
        <w:t>：</w:t>
      </w:r>
    </w:p>
    <w:p>
      <w:pPr>
        <w:pStyle w:val="23"/>
        <w:spacing w:line="480" w:lineRule="exact"/>
        <w:ind w:firstLine="482"/>
        <w:rPr>
          <w:rFonts w:hAnsi="宋体"/>
          <w:sz w:val="24"/>
          <w:szCs w:val="24"/>
        </w:rPr>
      </w:pPr>
      <w:r>
        <w:rPr>
          <w:rFonts w:hint="eastAsia" w:hAnsi="宋体"/>
          <w:sz w:val="24"/>
          <w:szCs w:val="24"/>
        </w:rPr>
        <w:t>根据贵方</w:t>
      </w:r>
      <w:r>
        <w:rPr>
          <w:rFonts w:hint="eastAsia" w:hAnsi="宋体"/>
          <w:sz w:val="24"/>
          <w:szCs w:val="24"/>
          <w:u w:val="single"/>
        </w:rPr>
        <w:t>（磋商项目名称）</w:t>
      </w:r>
      <w:r>
        <w:rPr>
          <w:rFonts w:hint="eastAsia" w:hAnsi="宋体"/>
          <w:sz w:val="24"/>
          <w:szCs w:val="24"/>
        </w:rPr>
        <w:t>项目磋商文件编号</w:t>
      </w:r>
      <w:r>
        <w:rPr>
          <w:rFonts w:hint="eastAsia" w:hAnsi="宋体"/>
          <w:sz w:val="24"/>
          <w:szCs w:val="24"/>
          <w:u w:val="single"/>
        </w:rPr>
        <w:t>（磋商编号）</w:t>
      </w:r>
      <w:r>
        <w:rPr>
          <w:rFonts w:hint="eastAsia" w:hAnsi="宋体"/>
          <w:sz w:val="24"/>
          <w:szCs w:val="24"/>
        </w:rPr>
        <w:t>，正式授权下述签字人</w:t>
      </w:r>
      <w:r>
        <w:rPr>
          <w:rFonts w:hint="eastAsia" w:hAnsi="宋体"/>
          <w:sz w:val="24"/>
          <w:szCs w:val="24"/>
          <w:u w:val="single"/>
        </w:rPr>
        <w:t>（姓名和职务）</w:t>
      </w:r>
      <w:r>
        <w:rPr>
          <w:rFonts w:hint="eastAsia" w:hAnsi="宋体"/>
          <w:sz w:val="24"/>
          <w:szCs w:val="24"/>
        </w:rPr>
        <w:t>全权代表投标人</w:t>
      </w:r>
      <w:r>
        <w:rPr>
          <w:rFonts w:hint="eastAsia" w:hAnsi="宋体"/>
          <w:sz w:val="24"/>
          <w:szCs w:val="24"/>
          <w:u w:val="single"/>
        </w:rPr>
        <w:t>（投标人全称）</w:t>
      </w:r>
      <w:r>
        <w:rPr>
          <w:rFonts w:hint="eastAsia" w:hAnsi="宋体"/>
          <w:sz w:val="24"/>
          <w:szCs w:val="24"/>
        </w:rPr>
        <w:t>参加贵方组织的有关谈判活动，并提交下述文件</w:t>
      </w:r>
      <w:r>
        <w:rPr>
          <w:rFonts w:hint="eastAsia" w:hAnsi="宋体"/>
          <w:color w:val="000000"/>
          <w:sz w:val="24"/>
          <w:szCs w:val="24"/>
        </w:rPr>
        <w:t>：</w:t>
      </w:r>
    </w:p>
    <w:p>
      <w:pPr>
        <w:pStyle w:val="23"/>
        <w:numPr>
          <w:ilvl w:val="0"/>
          <w:numId w:val="12"/>
        </w:numPr>
        <w:spacing w:line="480" w:lineRule="exact"/>
        <w:rPr>
          <w:rFonts w:hAnsi="宋体"/>
          <w:sz w:val="24"/>
          <w:szCs w:val="24"/>
        </w:rPr>
      </w:pPr>
      <w:r>
        <w:rPr>
          <w:rFonts w:hint="eastAsia" w:hAnsi="宋体"/>
          <w:sz w:val="24"/>
          <w:szCs w:val="24"/>
        </w:rPr>
        <w:t>电子投标文件网上递交</w:t>
      </w:r>
      <w:r>
        <w:rPr>
          <w:rFonts w:hAnsi="宋体"/>
          <w:sz w:val="24"/>
          <w:szCs w:val="24"/>
          <w:u w:val="single"/>
        </w:rPr>
        <w:t>1</w:t>
      </w:r>
      <w:r>
        <w:rPr>
          <w:rFonts w:hint="eastAsia" w:hAnsi="宋体"/>
          <w:sz w:val="24"/>
          <w:szCs w:val="24"/>
        </w:rPr>
        <w:t>份。</w:t>
      </w:r>
    </w:p>
    <w:p>
      <w:pPr>
        <w:pStyle w:val="23"/>
        <w:numPr>
          <w:ilvl w:val="0"/>
          <w:numId w:val="12"/>
        </w:numPr>
        <w:spacing w:line="480" w:lineRule="exact"/>
        <w:rPr>
          <w:rFonts w:hAnsi="宋体"/>
          <w:sz w:val="24"/>
          <w:szCs w:val="24"/>
        </w:rPr>
      </w:pPr>
      <w:r>
        <w:rPr>
          <w:rFonts w:hint="eastAsia" w:hAnsi="宋体"/>
          <w:sz w:val="24"/>
          <w:szCs w:val="24"/>
        </w:rPr>
        <w:t>磋商文件规定的电子备份投标文件份。</w:t>
      </w:r>
    </w:p>
    <w:p>
      <w:pPr>
        <w:pStyle w:val="23"/>
        <w:numPr>
          <w:ilvl w:val="0"/>
          <w:numId w:val="12"/>
        </w:numPr>
        <w:spacing w:line="480" w:lineRule="exact"/>
        <w:rPr>
          <w:rFonts w:hAnsi="宋体"/>
          <w:sz w:val="24"/>
          <w:szCs w:val="24"/>
        </w:rPr>
      </w:pPr>
      <w:r>
        <w:rPr>
          <w:rFonts w:hint="eastAsia" w:hAnsi="宋体"/>
          <w:sz w:val="24"/>
          <w:szCs w:val="24"/>
        </w:rPr>
        <w:t>磋商文件规定的纸质备份投标文件份。</w:t>
      </w:r>
    </w:p>
    <w:p>
      <w:pPr>
        <w:pStyle w:val="23"/>
        <w:spacing w:line="480" w:lineRule="exact"/>
        <w:ind w:firstLine="480" w:firstLineChars="200"/>
        <w:rPr>
          <w:rFonts w:hAnsi="宋体"/>
          <w:sz w:val="24"/>
          <w:szCs w:val="24"/>
        </w:rPr>
      </w:pPr>
      <w:r>
        <w:rPr>
          <w:rFonts w:hint="eastAsia" w:hAnsi="宋体"/>
          <w:sz w:val="24"/>
          <w:szCs w:val="24"/>
        </w:rPr>
        <w:t>据此函，签字人兹宣布同意如下：</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1</w:t>
      </w:r>
      <w:r>
        <w:rPr>
          <w:rFonts w:hint="eastAsia" w:hAnsi="宋体"/>
          <w:sz w:val="24"/>
          <w:szCs w:val="24"/>
        </w:rPr>
        <w:t>）我们承担根据磋商文件的规定，完成合同的责任和义务。</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2</w:t>
      </w:r>
      <w:r>
        <w:rPr>
          <w:rFonts w:hint="eastAsia" w:hAnsi="宋体"/>
          <w:sz w:val="24"/>
          <w:szCs w:val="24"/>
        </w:rPr>
        <w:t>）我们已详细审核全部磋商文件、参考资料及有关附件，我们知道必须放弃提出含糊不清或误解问题的权利。</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3</w:t>
      </w:r>
      <w:r>
        <w:rPr>
          <w:rFonts w:hint="eastAsia" w:hAnsi="宋体"/>
          <w:sz w:val="24"/>
          <w:szCs w:val="24"/>
        </w:rPr>
        <w:t>）我们同意在投标人须知规定的开标日期起遵循本投标文件，并在投标人须知规定的投标有效期满之前均具有约束力，并有可能中标。</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4</w:t>
      </w:r>
      <w:r>
        <w:rPr>
          <w:rFonts w:hint="eastAsia" w:hAnsi="宋体"/>
          <w:sz w:val="24"/>
          <w:szCs w:val="24"/>
        </w:rPr>
        <w:t>）如果在开标后规定的投标有效期内撤回投标或者有其他违约行为，可按相关法律法规进行处罚。</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5</w:t>
      </w:r>
      <w:r>
        <w:rPr>
          <w:rFonts w:hint="eastAsia" w:hAnsi="宋体"/>
          <w:sz w:val="24"/>
          <w:szCs w:val="24"/>
        </w:rPr>
        <w:t>）同意向贵方提供贵方可能要求的与本投标有关的任何数据或资料。</w:t>
      </w:r>
    </w:p>
    <w:p>
      <w:pPr>
        <w:pStyle w:val="23"/>
        <w:spacing w:line="480" w:lineRule="exact"/>
        <w:ind w:firstLine="360" w:firstLineChars="150"/>
        <w:rPr>
          <w:rFonts w:hAnsi="宋体"/>
          <w:sz w:val="24"/>
          <w:szCs w:val="24"/>
        </w:rPr>
      </w:pPr>
      <w:r>
        <w:rPr>
          <w:rFonts w:hint="eastAsia" w:hAnsi="宋体"/>
          <w:sz w:val="24"/>
          <w:szCs w:val="24"/>
        </w:rPr>
        <w:t>（</w:t>
      </w:r>
      <w:r>
        <w:rPr>
          <w:rFonts w:hAnsi="宋体"/>
          <w:sz w:val="24"/>
          <w:szCs w:val="24"/>
        </w:rPr>
        <w:t>6</w:t>
      </w:r>
      <w:r>
        <w:rPr>
          <w:rFonts w:hint="eastAsia" w:hAnsi="宋体"/>
          <w:sz w:val="24"/>
          <w:szCs w:val="24"/>
        </w:rPr>
        <w:t>）我们完全理解贵方不一定要接受最低报价或收到的任何投标。</w:t>
      </w:r>
    </w:p>
    <w:p>
      <w:pPr>
        <w:pStyle w:val="23"/>
        <w:spacing w:line="480" w:lineRule="exact"/>
        <w:ind w:firstLine="420"/>
        <w:rPr>
          <w:rFonts w:hAnsi="宋体"/>
          <w:b/>
          <w:sz w:val="24"/>
          <w:szCs w:val="24"/>
        </w:rPr>
      </w:pPr>
      <w:r>
        <w:rPr>
          <w:rFonts w:hint="eastAsia" w:hAnsi="宋体"/>
          <w:b/>
          <w:sz w:val="24"/>
          <w:szCs w:val="24"/>
        </w:rPr>
        <w:t>与本投标有关的正式通讯地址为：</w:t>
      </w:r>
    </w:p>
    <w:p>
      <w:pPr>
        <w:pStyle w:val="23"/>
        <w:spacing w:line="480" w:lineRule="exact"/>
        <w:ind w:firstLine="420"/>
        <w:rPr>
          <w:rFonts w:hAnsi="宋体"/>
          <w:sz w:val="24"/>
          <w:szCs w:val="24"/>
        </w:rPr>
      </w:pPr>
      <w:r>
        <w:rPr>
          <w:rFonts w:hint="eastAsia" w:hAnsi="宋体"/>
          <w:sz w:val="24"/>
          <w:szCs w:val="24"/>
        </w:rPr>
        <w:t>地址：</w:t>
      </w:r>
      <w:r>
        <w:rPr>
          <w:rFonts w:hAnsi="宋体"/>
          <w:sz w:val="24"/>
          <w:szCs w:val="24"/>
        </w:rPr>
        <w:t>___________</w:t>
      </w:r>
      <w:r>
        <w:rPr>
          <w:rFonts w:hint="eastAsia" w:hAnsi="宋体"/>
          <w:sz w:val="24"/>
          <w:szCs w:val="24"/>
        </w:rPr>
        <w:t>邮政编码：</w:t>
      </w:r>
      <w:r>
        <w:rPr>
          <w:rFonts w:hAnsi="宋体"/>
          <w:sz w:val="24"/>
          <w:szCs w:val="24"/>
        </w:rPr>
        <w:t>__________</w:t>
      </w:r>
    </w:p>
    <w:p>
      <w:pPr>
        <w:pStyle w:val="23"/>
        <w:spacing w:line="480" w:lineRule="exact"/>
        <w:ind w:firstLine="420"/>
        <w:rPr>
          <w:rFonts w:hAnsi="宋体"/>
          <w:sz w:val="24"/>
          <w:szCs w:val="24"/>
        </w:rPr>
      </w:pPr>
      <w:r>
        <w:rPr>
          <w:rFonts w:hint="eastAsia" w:hAnsi="宋体"/>
          <w:sz w:val="24"/>
          <w:szCs w:val="24"/>
        </w:rPr>
        <w:t>电话、传真：</w:t>
      </w:r>
      <w:r>
        <w:rPr>
          <w:rFonts w:hAnsi="宋体"/>
          <w:sz w:val="24"/>
          <w:szCs w:val="24"/>
        </w:rPr>
        <w:t>________________</w:t>
      </w:r>
    </w:p>
    <w:p>
      <w:pPr>
        <w:pStyle w:val="23"/>
        <w:spacing w:line="480" w:lineRule="exact"/>
        <w:ind w:firstLine="420"/>
        <w:rPr>
          <w:rFonts w:hAnsi="宋体"/>
          <w:sz w:val="24"/>
          <w:szCs w:val="24"/>
        </w:rPr>
      </w:pPr>
      <w:r>
        <w:rPr>
          <w:rFonts w:hint="eastAsia" w:hAnsi="宋体"/>
          <w:sz w:val="24"/>
          <w:szCs w:val="24"/>
        </w:rPr>
        <w:t>电子邮件：</w:t>
      </w:r>
      <w:r>
        <w:rPr>
          <w:rFonts w:hAnsi="宋体"/>
          <w:sz w:val="24"/>
          <w:szCs w:val="24"/>
        </w:rPr>
        <w:t>___________</w:t>
      </w:r>
    </w:p>
    <w:p>
      <w:pPr>
        <w:pStyle w:val="23"/>
        <w:spacing w:line="480" w:lineRule="exact"/>
        <w:ind w:firstLine="420"/>
        <w:rPr>
          <w:rFonts w:hAnsi="宋体"/>
          <w:sz w:val="24"/>
          <w:szCs w:val="24"/>
        </w:rPr>
      </w:pPr>
      <w:r>
        <w:rPr>
          <w:rFonts w:hint="eastAsia" w:hAnsi="宋体"/>
          <w:sz w:val="24"/>
          <w:szCs w:val="24"/>
        </w:rPr>
        <w:t>法定代表人或全权代表人签名：</w:t>
      </w:r>
      <w:r>
        <w:rPr>
          <w:rFonts w:hAnsi="宋体"/>
          <w:sz w:val="24"/>
          <w:szCs w:val="24"/>
        </w:rPr>
        <w:t>__________</w:t>
      </w:r>
    </w:p>
    <w:p>
      <w:pPr>
        <w:pStyle w:val="23"/>
        <w:spacing w:line="480" w:lineRule="exact"/>
        <w:ind w:firstLine="420"/>
        <w:rPr>
          <w:rFonts w:hAnsi="宋体"/>
          <w:sz w:val="24"/>
          <w:szCs w:val="24"/>
        </w:rPr>
      </w:pPr>
      <w:r>
        <w:rPr>
          <w:rFonts w:hint="eastAsia" w:hAnsi="宋体"/>
          <w:sz w:val="24"/>
          <w:szCs w:val="24"/>
        </w:rPr>
        <w:t>投标人公章：</w:t>
      </w:r>
      <w:r>
        <w:rPr>
          <w:rFonts w:hAnsi="宋体"/>
          <w:sz w:val="24"/>
          <w:szCs w:val="24"/>
        </w:rPr>
        <w:t>_________________</w:t>
      </w:r>
    </w:p>
    <w:p>
      <w:pPr>
        <w:pStyle w:val="23"/>
        <w:spacing w:line="480" w:lineRule="exact"/>
        <w:ind w:firstLine="420"/>
        <w:rPr>
          <w:rFonts w:hAnsi="宋体"/>
          <w:sz w:val="24"/>
          <w:szCs w:val="24"/>
        </w:rPr>
      </w:pPr>
      <w:r>
        <w:rPr>
          <w:rFonts w:hint="eastAsia" w:hAnsi="宋体"/>
          <w:sz w:val="24"/>
          <w:szCs w:val="24"/>
        </w:rPr>
        <w:t>日期：</w:t>
      </w:r>
      <w:r>
        <w:rPr>
          <w:rFonts w:hAnsi="宋体"/>
          <w:sz w:val="24"/>
          <w:szCs w:val="24"/>
        </w:rPr>
        <w:t xml:space="preserve">__________________  </w:t>
      </w:r>
    </w:p>
    <w:p>
      <w:pPr>
        <w:spacing w:line="480" w:lineRule="exact"/>
        <w:rPr>
          <w:rFonts w:ascii="宋体" w:hAnsi="宋体"/>
          <w:b/>
          <w:sz w:val="24"/>
        </w:rPr>
      </w:pPr>
    </w:p>
    <w:p>
      <w:pPr>
        <w:spacing w:line="480" w:lineRule="exact"/>
        <w:rPr>
          <w:rFonts w:ascii="仿宋_GB2312" w:eastAsia="仿宋_GB2312"/>
          <w:b/>
          <w:sz w:val="24"/>
        </w:rPr>
      </w:pPr>
    </w:p>
    <w:p>
      <w:pPr>
        <w:spacing w:line="480" w:lineRule="exact"/>
        <w:outlineLvl w:val="0"/>
        <w:rPr>
          <w:rFonts w:ascii="宋体" w:hAnsi="宋体"/>
          <w:b/>
          <w:szCs w:val="21"/>
        </w:rPr>
      </w:pPr>
      <w:bookmarkStart w:id="90" w:name="_Toc12712"/>
      <w:r>
        <w:rPr>
          <w:rFonts w:hint="eastAsia" w:ascii="宋体" w:hAnsi="宋体"/>
          <w:b/>
          <w:szCs w:val="21"/>
        </w:rPr>
        <w:t>附件2</w:t>
      </w:r>
      <w:bookmarkEnd w:id="90"/>
    </w:p>
    <w:p>
      <w:pPr>
        <w:spacing w:line="480" w:lineRule="exact"/>
        <w:jc w:val="center"/>
        <w:outlineLvl w:val="3"/>
        <w:rPr>
          <w:rFonts w:ascii="宋体" w:hAnsi="宋体"/>
          <w:b/>
          <w:sz w:val="44"/>
          <w:szCs w:val="44"/>
        </w:rPr>
      </w:pPr>
      <w:r>
        <w:rPr>
          <w:rFonts w:hint="eastAsia" w:ascii="黑体" w:hAnsi="宋体" w:eastAsia="黑体"/>
          <w:b/>
          <w:bCs/>
          <w:kern w:val="0"/>
          <w:sz w:val="32"/>
          <w:szCs w:val="32"/>
        </w:rPr>
        <w:t>投标声明书</w:t>
      </w:r>
    </w:p>
    <w:p>
      <w:pPr>
        <w:spacing w:line="480" w:lineRule="exact"/>
        <w:rPr>
          <w:rFonts w:ascii="宋体" w:hAnsi="宋体"/>
          <w:bCs/>
          <w:sz w:val="24"/>
        </w:rPr>
      </w:pPr>
      <w:r>
        <w:rPr>
          <w:rFonts w:hint="eastAsia" w:ascii="宋体" w:hAnsi="宋体" w:cs="Arial"/>
          <w:sz w:val="24"/>
          <w:u w:val="single"/>
        </w:rPr>
        <w:t>（招标采购单位名称）</w:t>
      </w:r>
      <w:r>
        <w:rPr>
          <w:rFonts w:hint="eastAsia" w:ascii="宋体" w:hAnsi="宋体"/>
          <w:bCs/>
          <w:sz w:val="24"/>
        </w:rPr>
        <w:t>：</w:t>
      </w:r>
    </w:p>
    <w:p>
      <w:pPr>
        <w:snapToGrid w:val="0"/>
        <w:spacing w:line="480" w:lineRule="exact"/>
        <w:ind w:firstLine="480" w:firstLineChars="200"/>
        <w:rPr>
          <w:rFonts w:ascii="宋体"/>
          <w:sz w:val="24"/>
        </w:rPr>
      </w:pPr>
      <w:r>
        <w:rPr>
          <w:rFonts w:hint="eastAsia" w:ascii="宋体" w:hAnsi="宋体"/>
          <w:sz w:val="24"/>
          <w:u w:val="single"/>
        </w:rPr>
        <w:t xml:space="preserve">              （投标人名称）</w:t>
      </w:r>
      <w:r>
        <w:rPr>
          <w:rFonts w:hint="eastAsia" w:ascii="宋体" w:hAnsi="宋体"/>
          <w:sz w:val="24"/>
        </w:rPr>
        <w:t>系中华人民共和国合法企业，经营地址。</w:t>
      </w:r>
    </w:p>
    <w:p>
      <w:pPr>
        <w:snapToGrid w:val="0"/>
        <w:spacing w:line="480" w:lineRule="exact"/>
        <w:ind w:firstLine="480" w:firstLineChars="200"/>
        <w:rPr>
          <w:rFonts w:ascii="宋体"/>
          <w:sz w:val="24"/>
        </w:rPr>
      </w:pPr>
      <w:r>
        <w:rPr>
          <w:rFonts w:hint="eastAsia" w:ascii="宋体" w:hAnsi="宋体"/>
          <w:sz w:val="24"/>
        </w:rPr>
        <w:t>我（姓名）系（投标人名称）的法定代表人，我方愿意参加贵方组织的项目的投标，为便于贵方公正、择优地确定中标人及其投标产品和服务，我方就本次投标有关事项郑重声明如下：</w:t>
      </w:r>
    </w:p>
    <w:p>
      <w:pPr>
        <w:snapToGrid w:val="0"/>
        <w:spacing w:line="480" w:lineRule="exact"/>
        <w:ind w:firstLine="480" w:firstLineChars="200"/>
        <w:rPr>
          <w:rFonts w:ascii="宋体"/>
          <w:sz w:val="24"/>
        </w:rPr>
      </w:pPr>
      <w:r>
        <w:rPr>
          <w:rFonts w:ascii="宋体" w:hAnsi="宋体"/>
          <w:sz w:val="24"/>
        </w:rPr>
        <w:t>1</w:t>
      </w:r>
      <w:r>
        <w:rPr>
          <w:rFonts w:hint="eastAsia" w:ascii="宋体" w:hAnsi="宋体"/>
          <w:sz w:val="24"/>
        </w:rPr>
        <w:t>、我方向贵方提交的所有投标文件、资料都是准确的和真实的；</w:t>
      </w:r>
    </w:p>
    <w:p>
      <w:pPr>
        <w:snapToGrid w:val="0"/>
        <w:spacing w:line="480" w:lineRule="exact"/>
        <w:ind w:firstLine="480" w:firstLineChars="200"/>
        <w:rPr>
          <w:rFonts w:ascii="宋体"/>
          <w:sz w:val="24"/>
        </w:rPr>
      </w:pPr>
      <w:r>
        <w:rPr>
          <w:rFonts w:ascii="宋体" w:hAnsi="宋体"/>
          <w:sz w:val="24"/>
        </w:rPr>
        <w:t>2</w:t>
      </w:r>
      <w:r>
        <w:rPr>
          <w:rFonts w:hint="eastAsia" w:ascii="宋体" w:hAnsi="宋体"/>
          <w:sz w:val="24"/>
        </w:rPr>
        <w:t>、我方不是采购人的附属机构；在获知本项目采购信息后，与采购人聘请的为此项目提供咨询服务的公司及其附属机构没有任何联系；</w:t>
      </w:r>
    </w:p>
    <w:p>
      <w:pPr>
        <w:snapToGrid w:val="0"/>
        <w:spacing w:line="480" w:lineRule="exact"/>
        <w:ind w:firstLine="480" w:firstLineChars="200"/>
        <w:rPr>
          <w:rFonts w:ascii="宋体"/>
          <w:sz w:val="24"/>
        </w:rPr>
      </w:pPr>
      <w:r>
        <w:rPr>
          <w:rFonts w:ascii="宋体" w:hAnsi="宋体"/>
          <w:sz w:val="24"/>
        </w:rPr>
        <w:t>3</w:t>
      </w:r>
      <w:r>
        <w:rPr>
          <w:rFonts w:hint="eastAsia" w:ascii="宋体" w:hAnsi="宋体"/>
          <w:sz w:val="24"/>
        </w:rPr>
        <w:t>、我方诚意提请贵方关注：有关该产品的生产、供货、售后服务以及性能等方面的重大决策和事项有：</w:t>
      </w:r>
    </w:p>
    <w:p>
      <w:pPr>
        <w:pStyle w:val="14"/>
        <w:widowControl/>
        <w:snapToGrid w:val="0"/>
        <w:spacing w:after="0" w:line="480" w:lineRule="exact"/>
        <w:ind w:left="368" w:leftChars="175"/>
        <w:rPr>
          <w:u w:val="single"/>
        </w:rPr>
      </w:pPr>
    </w:p>
    <w:p>
      <w:pPr>
        <w:pStyle w:val="14"/>
        <w:widowControl/>
        <w:snapToGrid w:val="0"/>
        <w:spacing w:line="336" w:lineRule="auto"/>
        <w:ind w:left="368" w:leftChars="175"/>
      </w:pPr>
    </w:p>
    <w:p>
      <w:pPr>
        <w:pStyle w:val="14"/>
        <w:widowControl/>
        <w:snapToGrid w:val="0"/>
        <w:spacing w:line="336" w:lineRule="auto"/>
        <w:ind w:left="368" w:leftChars="175"/>
        <w:rPr>
          <w:u w:val="single"/>
        </w:rPr>
      </w:pPr>
    </w:p>
    <w:p>
      <w:pPr>
        <w:snapToGrid w:val="0"/>
        <w:spacing w:line="480" w:lineRule="exact"/>
        <w:ind w:firstLine="480" w:firstLineChars="200"/>
        <w:rPr>
          <w:rFonts w:ascii="宋体" w:hAnsi="宋体"/>
          <w:sz w:val="24"/>
        </w:rPr>
      </w:pPr>
      <w:r>
        <w:rPr>
          <w:rFonts w:hint="eastAsia" w:ascii="宋体" w:hAnsi="宋体"/>
          <w:sz w:val="24"/>
        </w:rPr>
        <w:t>4、我方最近三年内的被公开披露或查处的违法违规行为有：</w:t>
      </w:r>
    </w:p>
    <w:p>
      <w:pPr>
        <w:pStyle w:val="14"/>
        <w:widowControl/>
        <w:snapToGrid w:val="0"/>
        <w:spacing w:line="336" w:lineRule="auto"/>
        <w:ind w:left="368" w:leftChars="175"/>
      </w:pPr>
    </w:p>
    <w:p>
      <w:pPr>
        <w:pStyle w:val="14"/>
        <w:widowControl/>
        <w:snapToGrid w:val="0"/>
        <w:spacing w:line="336" w:lineRule="auto"/>
        <w:ind w:left="0" w:leftChars="0"/>
        <w:rPr>
          <w:u w:val="single"/>
        </w:rPr>
      </w:pPr>
    </w:p>
    <w:p>
      <w:pPr>
        <w:spacing w:line="480" w:lineRule="exact"/>
        <w:ind w:firstLine="360" w:firstLineChars="150"/>
        <w:rPr>
          <w:rFonts w:ascii="宋体"/>
          <w:bCs/>
          <w:sz w:val="24"/>
        </w:rPr>
      </w:pPr>
      <w:r>
        <w:rPr>
          <w:rFonts w:hAnsi="宋体"/>
          <w:sz w:val="24"/>
        </w:rPr>
        <w:t>5</w:t>
      </w:r>
      <w:r>
        <w:rPr>
          <w:rFonts w:hint="eastAsia" w:hAnsi="宋体"/>
          <w:sz w:val="24"/>
        </w:rPr>
        <w:t>、以上事项如有虚假或隐瞒，我方愿意承担一切后果和责任。</w:t>
      </w:r>
    </w:p>
    <w:p>
      <w:pPr>
        <w:spacing w:line="480" w:lineRule="exact"/>
        <w:ind w:firstLine="360" w:firstLineChars="150"/>
        <w:rPr>
          <w:rFonts w:ascii="宋体"/>
          <w:bCs/>
          <w:sz w:val="24"/>
          <w:u w:val="single"/>
        </w:rPr>
      </w:pPr>
      <w:r>
        <w:rPr>
          <w:rFonts w:hint="eastAsia" w:ascii="宋体" w:hAnsi="宋体"/>
          <w:bCs/>
          <w:sz w:val="24"/>
        </w:rPr>
        <w:t>授权代表签字：</w:t>
      </w:r>
    </w:p>
    <w:p>
      <w:pPr>
        <w:spacing w:line="480" w:lineRule="exact"/>
        <w:ind w:firstLine="360" w:firstLineChars="150"/>
        <w:rPr>
          <w:rFonts w:ascii="宋体"/>
          <w:bCs/>
          <w:sz w:val="24"/>
        </w:rPr>
      </w:pPr>
      <w:r>
        <w:rPr>
          <w:rFonts w:hint="eastAsia" w:ascii="宋体" w:hAnsi="宋体"/>
          <w:bCs/>
          <w:sz w:val="24"/>
        </w:rPr>
        <w:t>授权代表的职务：</w:t>
      </w:r>
    </w:p>
    <w:p>
      <w:pPr>
        <w:spacing w:line="480" w:lineRule="exact"/>
        <w:ind w:firstLine="360" w:firstLineChars="150"/>
        <w:rPr>
          <w:rFonts w:ascii="宋体"/>
          <w:bCs/>
          <w:sz w:val="24"/>
        </w:rPr>
      </w:pPr>
      <w:r>
        <w:rPr>
          <w:rFonts w:hint="eastAsia" w:ascii="宋体" w:hAnsi="宋体"/>
          <w:bCs/>
          <w:sz w:val="24"/>
        </w:rPr>
        <w:t>电话号码和传真号码：</w:t>
      </w:r>
    </w:p>
    <w:p>
      <w:pPr>
        <w:spacing w:line="480" w:lineRule="exact"/>
        <w:ind w:firstLine="360" w:firstLineChars="150"/>
        <w:rPr>
          <w:rFonts w:ascii="宋体"/>
          <w:bCs/>
          <w:sz w:val="24"/>
        </w:rPr>
      </w:pPr>
      <w:r>
        <w:rPr>
          <w:rFonts w:hint="eastAsia" w:ascii="宋体" w:hAnsi="宋体"/>
          <w:bCs/>
          <w:sz w:val="24"/>
        </w:rPr>
        <w:t>公章：</w:t>
      </w:r>
    </w:p>
    <w:p>
      <w:pPr>
        <w:spacing w:line="480" w:lineRule="exact"/>
        <w:ind w:firstLine="360" w:firstLineChars="150"/>
        <w:rPr>
          <w:rFonts w:ascii="宋体"/>
          <w:bCs/>
          <w:sz w:val="24"/>
        </w:rPr>
      </w:pPr>
      <w:r>
        <w:rPr>
          <w:rFonts w:hint="eastAsia" w:ascii="宋体" w:hAnsi="宋体"/>
          <w:bCs/>
          <w:sz w:val="24"/>
        </w:rPr>
        <w:t>日期：  年   月   日</w:t>
      </w:r>
    </w:p>
    <w:p>
      <w:pPr>
        <w:spacing w:line="480" w:lineRule="exact"/>
        <w:ind w:firstLine="360" w:firstLineChars="150"/>
        <w:rPr>
          <w:rFonts w:ascii="宋体" w:hAnsi="宋体"/>
          <w:bCs/>
          <w:sz w:val="24"/>
        </w:rPr>
      </w:pPr>
    </w:p>
    <w:p>
      <w:pPr>
        <w:spacing w:line="480" w:lineRule="exact"/>
        <w:outlineLvl w:val="0"/>
        <w:rPr>
          <w:rFonts w:ascii="宋体" w:hAnsi="宋体"/>
          <w:b/>
        </w:rPr>
      </w:pPr>
      <w:r>
        <w:rPr>
          <w:rFonts w:ascii="宋体" w:hAnsi="宋体"/>
          <w:b/>
        </w:rPr>
        <w:br w:type="page"/>
      </w:r>
      <w:bookmarkStart w:id="91" w:name="_Toc11229"/>
      <w:r>
        <w:rPr>
          <w:rFonts w:hint="eastAsia" w:ascii="宋体" w:hAnsi="宋体"/>
          <w:b/>
        </w:rPr>
        <w:t>附件3</w:t>
      </w:r>
      <w:bookmarkEnd w:id="91"/>
    </w:p>
    <w:p>
      <w:pPr>
        <w:tabs>
          <w:tab w:val="center" w:pos="4937"/>
          <w:tab w:val="left" w:pos="8032"/>
        </w:tabs>
        <w:spacing w:line="480" w:lineRule="exact"/>
        <w:jc w:val="left"/>
        <w:outlineLvl w:val="3"/>
        <w:rPr>
          <w:rFonts w:ascii="宋体" w:hAnsi="宋体"/>
          <w:b/>
          <w:sz w:val="24"/>
        </w:rPr>
      </w:pPr>
      <w:r>
        <w:rPr>
          <w:rFonts w:hint="eastAsia" w:ascii="宋体" w:hAnsi="宋体"/>
          <w:b/>
          <w:sz w:val="24"/>
        </w:rPr>
        <w:tab/>
      </w:r>
      <w:r>
        <w:rPr>
          <w:rFonts w:hint="eastAsia" w:ascii="宋体" w:hAnsi="宋体"/>
          <w:b/>
          <w:sz w:val="32"/>
          <w:szCs w:val="32"/>
        </w:rPr>
        <w:t>法定代表人授权委托书</w:t>
      </w:r>
      <w:r>
        <w:rPr>
          <w:rFonts w:hint="eastAsia" w:ascii="宋体" w:hAnsi="宋体"/>
          <w:b/>
          <w:sz w:val="24"/>
        </w:rPr>
        <w:tab/>
      </w:r>
    </w:p>
    <w:p>
      <w:pPr>
        <w:spacing w:line="360" w:lineRule="auto"/>
        <w:ind w:firstLine="480" w:firstLineChars="200"/>
        <w:rPr>
          <w:rFonts w:ascii="宋体" w:cs="Arial"/>
          <w:sz w:val="24"/>
        </w:rPr>
      </w:pPr>
      <w:r>
        <w:rPr>
          <w:rFonts w:hint="eastAsia" w:ascii="宋体" w:hAnsi="宋体" w:cs="Arial"/>
          <w:sz w:val="24"/>
        </w:rPr>
        <w:t>致：</w:t>
      </w:r>
      <w:r>
        <w:rPr>
          <w:rFonts w:hint="eastAsia" w:ascii="宋体" w:hAnsi="宋体" w:cs="Arial"/>
          <w:sz w:val="24"/>
          <w:u w:val="single"/>
        </w:rPr>
        <w:t>（招标采购单位名称）</w:t>
      </w:r>
      <w:r>
        <w:rPr>
          <w:rFonts w:hint="eastAsia" w:ascii="宋体" w:hAnsi="宋体" w:cs="Arial"/>
          <w:sz w:val="24"/>
        </w:rPr>
        <w:t>：</w:t>
      </w:r>
    </w:p>
    <w:p>
      <w:pPr>
        <w:spacing w:line="360" w:lineRule="auto"/>
        <w:ind w:firstLine="480" w:firstLineChars="200"/>
        <w:rPr>
          <w:rFonts w:ascii="宋体" w:cs="Arial"/>
          <w:sz w:val="24"/>
        </w:rPr>
      </w:pPr>
      <w:r>
        <w:rPr>
          <w:rFonts w:hint="eastAsia" w:ascii="宋体" w:hAnsi="宋体" w:cs="Arial"/>
          <w:sz w:val="24"/>
        </w:rPr>
        <w:t>我（姓名）系（投标人名称）的法定代表人，现授权委托本单位在职职工（姓名）以我方的名义参加</w:t>
      </w:r>
      <w:r>
        <w:rPr>
          <w:rFonts w:hint="eastAsia" w:ascii="宋体" w:hAnsi="宋体" w:cs="Arial"/>
          <w:sz w:val="24"/>
          <w:u w:val="single"/>
        </w:rPr>
        <w:t xml:space="preserve">              （项目编号）</w:t>
      </w:r>
      <w:r>
        <w:rPr>
          <w:rFonts w:hint="eastAsia" w:ascii="宋体" w:hAnsi="宋体" w:cs="Arial"/>
          <w:sz w:val="24"/>
        </w:rPr>
        <w:t>的投标活动，并代表我方全权办理针对上述项目的投标、开标、评标、签约等具体事务和签署相关文件。</w:t>
      </w:r>
    </w:p>
    <w:p>
      <w:pPr>
        <w:spacing w:line="360" w:lineRule="auto"/>
        <w:ind w:firstLine="480" w:firstLineChars="200"/>
        <w:rPr>
          <w:rFonts w:ascii="宋体" w:cs="Arial"/>
          <w:sz w:val="24"/>
        </w:rPr>
      </w:pPr>
      <w:r>
        <w:rPr>
          <w:rFonts w:hint="eastAsia" w:ascii="宋体" w:hAnsi="宋体" w:cs="Arial"/>
          <w:sz w:val="24"/>
        </w:rPr>
        <w:t>我方对委托代理人的签名事项负全部责任。</w:t>
      </w:r>
    </w:p>
    <w:p>
      <w:pPr>
        <w:spacing w:line="360" w:lineRule="auto"/>
        <w:ind w:firstLine="480" w:firstLineChars="200"/>
        <w:rPr>
          <w:rFonts w:ascii="宋体" w:cs="Arial"/>
          <w:sz w:val="24"/>
        </w:rPr>
      </w:pPr>
      <w:r>
        <w:rPr>
          <w:rFonts w:hint="eastAsia" w:ascii="宋体" w:hAnsi="宋体" w:cs="Arial"/>
          <w:sz w:val="24"/>
          <w:u w:val="single"/>
        </w:rPr>
        <w:t>在撤销授权的书面通知以前，本授权书一直有效。</w:t>
      </w:r>
      <w:r>
        <w:rPr>
          <w:rFonts w:hint="eastAsia" w:ascii="宋体" w:hAnsi="宋体" w:cs="Arial"/>
          <w:sz w:val="24"/>
        </w:rPr>
        <w:t>委托代理人在授权书有效期内签署的所有文件不因授权的撤销而失效。</w:t>
      </w:r>
    </w:p>
    <w:p>
      <w:pPr>
        <w:spacing w:line="360" w:lineRule="auto"/>
        <w:ind w:firstLine="480" w:firstLineChars="200"/>
        <w:rPr>
          <w:rFonts w:ascii="宋体" w:cs="Arial"/>
          <w:sz w:val="24"/>
        </w:rPr>
      </w:pPr>
      <w:r>
        <w:rPr>
          <w:rFonts w:hint="eastAsia" w:ascii="宋体" w:hAnsi="宋体" w:cs="Arial"/>
          <w:sz w:val="24"/>
        </w:rPr>
        <w:t>委托代理人无转委托权，特此委托。</w:t>
      </w:r>
    </w:p>
    <w:p>
      <w:pPr>
        <w:spacing w:line="360" w:lineRule="auto"/>
        <w:ind w:firstLine="480" w:firstLineChars="200"/>
        <w:rPr>
          <w:rFonts w:ascii="宋体" w:cs="Arial"/>
          <w:sz w:val="24"/>
          <w:u w:val="single"/>
        </w:rPr>
      </w:pPr>
      <w:r>
        <w:rPr>
          <w:rFonts w:hint="eastAsia" w:ascii="宋体" w:hAnsi="宋体" w:cs="Arial"/>
          <w:sz w:val="24"/>
        </w:rPr>
        <w:t>委托代理人签名：              法定代表人签名：</w:t>
      </w:r>
    </w:p>
    <w:p>
      <w:pPr>
        <w:spacing w:line="360" w:lineRule="auto"/>
        <w:ind w:firstLine="1560" w:firstLineChars="650"/>
        <w:rPr>
          <w:rFonts w:ascii="宋体" w:cs="Arial"/>
          <w:sz w:val="24"/>
          <w:u w:val="single"/>
        </w:rPr>
      </w:pPr>
      <w:r>
        <w:rPr>
          <w:rFonts w:hint="eastAsia" w:ascii="宋体" w:hAnsi="宋体" w:cs="Arial"/>
          <w:sz w:val="24"/>
        </w:rPr>
        <w:t xml:space="preserve"> 职务：              职务：</w:t>
      </w:r>
    </w:p>
    <w:p>
      <w:pPr>
        <w:snapToGrid w:val="0"/>
        <w:spacing w:before="157" w:beforeLines="50" w:after="50" w:line="276" w:lineRule="auto"/>
        <w:rPr>
          <w:rFonts w:ascii="宋体"/>
          <w:sz w:val="24"/>
        </w:rPr>
      </w:pPr>
      <w:r>
        <w:rPr>
          <w:rFonts w:hint="eastAsia" w:ascii="宋体" w:hAnsi="宋体"/>
          <w:sz w:val="24"/>
        </w:rPr>
        <w:t>委托代理人身份证复印件（正反双面）：</w:t>
      </w:r>
    </w:p>
    <w:tbl>
      <w:tblPr>
        <w:tblStyle w:val="37"/>
        <w:tblpPr w:leftFromText="180" w:rightFromText="180" w:vertAnchor="text" w:tblpX="109" w:tblpY="151"/>
        <w:tblW w:w="9444" w:type="dxa"/>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9444"/>
      </w:tblGrid>
      <w:tr>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3052" w:hRule="atLeast"/>
        </w:trPr>
        <w:tc>
          <w:tcPr>
            <w:tcW w:w="9444" w:type="dxa"/>
          </w:tcPr>
          <w:p>
            <w:pPr>
              <w:snapToGrid w:val="0"/>
              <w:spacing w:before="157" w:beforeLines="50" w:after="50" w:line="276" w:lineRule="auto"/>
              <w:rPr>
                <w:rFonts w:ascii="宋体"/>
                <w:sz w:val="24"/>
              </w:rPr>
            </w:pPr>
          </w:p>
          <w:p>
            <w:pPr>
              <w:snapToGrid w:val="0"/>
              <w:spacing w:before="157" w:beforeLines="50" w:after="50" w:line="276" w:lineRule="auto"/>
              <w:rPr>
                <w:rFonts w:ascii="宋体"/>
                <w:sz w:val="24"/>
              </w:rPr>
            </w:pPr>
          </w:p>
          <w:p>
            <w:pPr>
              <w:snapToGrid w:val="0"/>
              <w:spacing w:before="157" w:beforeLines="50" w:after="50" w:line="276" w:lineRule="auto"/>
              <w:rPr>
                <w:rFonts w:ascii="宋体"/>
                <w:sz w:val="24"/>
              </w:rPr>
            </w:pPr>
          </w:p>
          <w:p>
            <w:pPr>
              <w:snapToGrid w:val="0"/>
              <w:spacing w:before="157" w:beforeLines="50" w:after="50" w:line="276" w:lineRule="auto"/>
              <w:jc w:val="center"/>
              <w:rPr>
                <w:rFonts w:ascii="宋体"/>
                <w:sz w:val="24"/>
              </w:rPr>
            </w:pPr>
            <w:r>
              <w:rPr>
                <w:rFonts w:hint="eastAsia" w:ascii="宋体" w:hAnsi="宋体"/>
                <w:sz w:val="24"/>
              </w:rPr>
              <w:t>粘</w:t>
            </w:r>
          </w:p>
          <w:p>
            <w:pPr>
              <w:snapToGrid w:val="0"/>
              <w:spacing w:before="157" w:beforeLines="50" w:after="50" w:line="276" w:lineRule="auto"/>
              <w:jc w:val="center"/>
              <w:rPr>
                <w:rFonts w:ascii="宋体"/>
                <w:sz w:val="24"/>
              </w:rPr>
            </w:pPr>
          </w:p>
          <w:p>
            <w:pPr>
              <w:snapToGrid w:val="0"/>
              <w:spacing w:before="157" w:beforeLines="50" w:after="50" w:line="276" w:lineRule="auto"/>
              <w:jc w:val="center"/>
              <w:rPr>
                <w:rFonts w:ascii="宋体"/>
                <w:sz w:val="24"/>
              </w:rPr>
            </w:pPr>
            <w:r>
              <w:rPr>
                <w:rFonts w:hint="eastAsia" w:ascii="宋体" w:hAnsi="宋体"/>
                <w:sz w:val="24"/>
              </w:rPr>
              <w:t>贴</w:t>
            </w:r>
          </w:p>
          <w:p>
            <w:pPr>
              <w:snapToGrid w:val="0"/>
              <w:spacing w:before="157" w:beforeLines="50" w:after="50" w:line="276" w:lineRule="auto"/>
              <w:jc w:val="center"/>
              <w:rPr>
                <w:rFonts w:ascii="宋体"/>
                <w:sz w:val="24"/>
              </w:rPr>
            </w:pPr>
          </w:p>
          <w:p>
            <w:pPr>
              <w:snapToGrid w:val="0"/>
              <w:spacing w:before="157" w:beforeLines="50" w:after="50" w:line="276" w:lineRule="auto"/>
              <w:jc w:val="center"/>
              <w:rPr>
                <w:rFonts w:ascii="宋体"/>
                <w:sz w:val="24"/>
              </w:rPr>
            </w:pPr>
            <w:r>
              <w:rPr>
                <w:rFonts w:hint="eastAsia" w:ascii="宋体" w:hAnsi="宋体"/>
                <w:sz w:val="24"/>
              </w:rPr>
              <w:t>处</w:t>
            </w:r>
          </w:p>
        </w:tc>
      </w:tr>
    </w:tbl>
    <w:p>
      <w:pPr>
        <w:snapToGrid w:val="0"/>
        <w:spacing w:before="157" w:beforeLines="50" w:after="50" w:line="276" w:lineRule="auto"/>
        <w:rPr>
          <w:rFonts w:ascii="宋体"/>
          <w:sz w:val="24"/>
        </w:rPr>
      </w:pPr>
    </w:p>
    <w:p>
      <w:pPr>
        <w:snapToGrid w:val="0"/>
        <w:spacing w:line="360" w:lineRule="auto"/>
        <w:ind w:firstLine="2160" w:firstLineChars="900"/>
        <w:jc w:val="left"/>
        <w:rPr>
          <w:rFonts w:ascii="宋体"/>
          <w:sz w:val="24"/>
        </w:rPr>
      </w:pPr>
      <w:r>
        <w:rPr>
          <w:rFonts w:hint="eastAsia" w:ascii="宋体" w:hAnsi="宋体"/>
          <w:sz w:val="24"/>
        </w:rPr>
        <w:t>磋商响应方全称</w:t>
      </w:r>
      <w:r>
        <w:rPr>
          <w:rFonts w:hint="eastAsia" w:ascii="宋体" w:hAnsi="宋体"/>
          <w:spacing w:val="20"/>
          <w:sz w:val="24"/>
        </w:rPr>
        <w:t>（盖章）：</w:t>
      </w:r>
    </w:p>
    <w:p>
      <w:pPr>
        <w:snapToGrid w:val="0"/>
        <w:spacing w:before="157" w:beforeLines="50" w:after="50" w:line="276" w:lineRule="auto"/>
        <w:ind w:firstLine="2125" w:firstLineChars="759"/>
        <w:jc w:val="left"/>
        <w:rPr>
          <w:rFonts w:ascii="宋体"/>
          <w:spacing w:val="20"/>
          <w:sz w:val="24"/>
        </w:rPr>
      </w:pPr>
      <w:r>
        <w:rPr>
          <w:rFonts w:hint="eastAsia" w:ascii="宋体" w:hAnsi="宋体"/>
          <w:spacing w:val="20"/>
          <w:sz w:val="24"/>
        </w:rPr>
        <w:t xml:space="preserve"> 日期：年  月  日</w:t>
      </w:r>
    </w:p>
    <w:p>
      <w:pPr>
        <w:snapToGrid w:val="0"/>
        <w:spacing w:before="157" w:beforeLines="50" w:after="50" w:line="276" w:lineRule="auto"/>
        <w:jc w:val="left"/>
        <w:rPr>
          <w:rFonts w:ascii="宋体"/>
          <w:sz w:val="24"/>
        </w:rPr>
      </w:pPr>
      <w:r>
        <w:rPr>
          <w:rFonts w:ascii="宋体" w:hAnsi="宋体"/>
          <w:b/>
          <w:sz w:val="24"/>
        </w:rPr>
        <w:t>*</w:t>
      </w:r>
      <w:r>
        <w:rPr>
          <w:rFonts w:hint="eastAsia" w:ascii="宋体" w:hAnsi="宋体"/>
          <w:sz w:val="24"/>
        </w:rPr>
        <w:t>注；此表格格式不得修改。</w:t>
      </w:r>
    </w:p>
    <w:p>
      <w:pPr>
        <w:snapToGrid w:val="0"/>
        <w:spacing w:before="157" w:beforeLines="50" w:after="50" w:line="276" w:lineRule="auto"/>
        <w:jc w:val="left"/>
        <w:rPr>
          <w:rFonts w:ascii="宋体" w:hAnsi="宋体"/>
          <w:sz w:val="24"/>
        </w:rPr>
      </w:pPr>
    </w:p>
    <w:p>
      <w:pPr>
        <w:widowControl/>
        <w:jc w:val="left"/>
        <w:rPr>
          <w:rFonts w:ascii="宋体" w:hAnsi="宋体"/>
          <w:b/>
        </w:rPr>
      </w:pPr>
      <w:r>
        <w:rPr>
          <w:rFonts w:ascii="宋体" w:hAnsi="宋体"/>
          <w:b/>
          <w:sz w:val="24"/>
        </w:rPr>
        <w:br w:type="page"/>
      </w:r>
      <w:bookmarkStart w:id="92" w:name="_Toc19736"/>
      <w:r>
        <w:rPr>
          <w:rFonts w:hint="eastAsia" w:ascii="宋体" w:hAnsi="宋体"/>
          <w:b/>
        </w:rPr>
        <w:t>附件4</w:t>
      </w:r>
      <w:bookmarkEnd w:id="92"/>
    </w:p>
    <w:p>
      <w:pPr>
        <w:snapToGrid w:val="0"/>
        <w:spacing w:line="480" w:lineRule="exact"/>
        <w:jc w:val="center"/>
        <w:rPr>
          <w:rFonts w:ascii="宋体"/>
          <w:b/>
          <w:sz w:val="24"/>
        </w:rPr>
      </w:pPr>
      <w:r>
        <w:rPr>
          <w:rFonts w:hint="eastAsia" w:ascii="宋体" w:hAnsi="宋体"/>
          <w:b/>
          <w:sz w:val="24"/>
        </w:rPr>
        <w:t>投标单位情况表</w:t>
      </w:r>
    </w:p>
    <w:p>
      <w:pPr>
        <w:pStyle w:val="23"/>
        <w:spacing w:line="480" w:lineRule="exact"/>
        <w:rPr>
          <w:rFonts w:hAnsi="宋体"/>
          <w:sz w:val="24"/>
          <w:szCs w:val="24"/>
        </w:rPr>
      </w:pPr>
      <w:r>
        <w:rPr>
          <w:rFonts w:hint="eastAsia" w:hAnsi="宋体"/>
          <w:sz w:val="24"/>
          <w:szCs w:val="24"/>
        </w:rPr>
        <w:t>投标单位：                                             填表日期：</w:t>
      </w:r>
    </w:p>
    <w:tbl>
      <w:tblPr>
        <w:tblStyle w:val="37"/>
        <w:tblW w:w="95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1300"/>
        <w:gridCol w:w="3385"/>
        <w:gridCol w:w="1260"/>
        <w:gridCol w:w="158"/>
        <w:gridCol w:w="262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4" w:hRule="atLeast"/>
          <w:jc w:val="center"/>
        </w:trPr>
        <w:tc>
          <w:tcPr>
            <w:tcW w:w="2146" w:type="dxa"/>
            <w:gridSpan w:val="2"/>
            <w:vAlign w:val="center"/>
          </w:tcPr>
          <w:p>
            <w:pPr>
              <w:pStyle w:val="23"/>
              <w:spacing w:line="480" w:lineRule="exact"/>
              <w:rPr>
                <w:rFonts w:hAnsi="宋体"/>
                <w:sz w:val="24"/>
                <w:szCs w:val="24"/>
              </w:rPr>
            </w:pPr>
            <w:r>
              <w:rPr>
                <w:rFonts w:hint="eastAsia" w:hAnsi="宋体"/>
                <w:sz w:val="24"/>
                <w:szCs w:val="24"/>
              </w:rPr>
              <w:t>单位名称</w:t>
            </w:r>
          </w:p>
        </w:tc>
        <w:tc>
          <w:tcPr>
            <w:tcW w:w="3385" w:type="dxa"/>
            <w:vAlign w:val="center"/>
          </w:tcPr>
          <w:p>
            <w:pPr>
              <w:widowControl/>
              <w:spacing w:line="480" w:lineRule="exact"/>
              <w:jc w:val="center"/>
              <w:rPr>
                <w:rFonts w:ascii="宋体"/>
                <w:sz w:val="24"/>
              </w:rPr>
            </w:pPr>
          </w:p>
        </w:tc>
        <w:tc>
          <w:tcPr>
            <w:tcW w:w="1418" w:type="dxa"/>
            <w:gridSpan w:val="2"/>
            <w:vAlign w:val="center"/>
          </w:tcPr>
          <w:p>
            <w:pPr>
              <w:pStyle w:val="23"/>
              <w:spacing w:line="480" w:lineRule="exact"/>
              <w:rPr>
                <w:rFonts w:hAnsi="宋体"/>
                <w:sz w:val="24"/>
                <w:szCs w:val="24"/>
              </w:rPr>
            </w:pPr>
            <w:r>
              <w:rPr>
                <w:rFonts w:hint="eastAsia" w:hAnsi="宋体"/>
                <w:sz w:val="24"/>
                <w:szCs w:val="24"/>
              </w:rPr>
              <w:t>电话</w:t>
            </w:r>
          </w:p>
        </w:tc>
        <w:tc>
          <w:tcPr>
            <w:tcW w:w="2627" w:type="dxa"/>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2146" w:type="dxa"/>
            <w:gridSpan w:val="2"/>
            <w:vAlign w:val="center"/>
          </w:tcPr>
          <w:p>
            <w:pPr>
              <w:pStyle w:val="23"/>
              <w:spacing w:line="480" w:lineRule="exact"/>
              <w:rPr>
                <w:rFonts w:hAnsi="宋体"/>
                <w:sz w:val="24"/>
                <w:szCs w:val="24"/>
              </w:rPr>
            </w:pPr>
            <w:r>
              <w:rPr>
                <w:rFonts w:hint="eastAsia" w:hAnsi="宋体"/>
                <w:sz w:val="24"/>
                <w:szCs w:val="24"/>
              </w:rPr>
              <w:t>地址</w:t>
            </w:r>
          </w:p>
        </w:tc>
        <w:tc>
          <w:tcPr>
            <w:tcW w:w="3385" w:type="dxa"/>
            <w:vAlign w:val="center"/>
          </w:tcPr>
          <w:p>
            <w:pPr>
              <w:pStyle w:val="23"/>
              <w:spacing w:line="480" w:lineRule="exact"/>
              <w:jc w:val="center"/>
              <w:rPr>
                <w:rFonts w:hAnsi="宋体"/>
                <w:sz w:val="24"/>
                <w:szCs w:val="24"/>
              </w:rPr>
            </w:pPr>
          </w:p>
        </w:tc>
        <w:tc>
          <w:tcPr>
            <w:tcW w:w="1418" w:type="dxa"/>
            <w:gridSpan w:val="2"/>
            <w:vAlign w:val="center"/>
          </w:tcPr>
          <w:p>
            <w:pPr>
              <w:pStyle w:val="23"/>
              <w:spacing w:line="480" w:lineRule="exact"/>
              <w:rPr>
                <w:rFonts w:hAnsi="宋体"/>
                <w:sz w:val="24"/>
                <w:szCs w:val="24"/>
              </w:rPr>
            </w:pPr>
            <w:r>
              <w:rPr>
                <w:rFonts w:hint="eastAsia" w:hAnsi="宋体"/>
                <w:sz w:val="24"/>
                <w:szCs w:val="24"/>
              </w:rPr>
              <w:t>传真</w:t>
            </w:r>
          </w:p>
        </w:tc>
        <w:tc>
          <w:tcPr>
            <w:tcW w:w="2627" w:type="dxa"/>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1" w:hRule="atLeast"/>
          <w:jc w:val="center"/>
        </w:trPr>
        <w:tc>
          <w:tcPr>
            <w:tcW w:w="2146" w:type="dxa"/>
            <w:gridSpan w:val="2"/>
            <w:vAlign w:val="center"/>
          </w:tcPr>
          <w:p>
            <w:pPr>
              <w:pStyle w:val="23"/>
              <w:spacing w:line="480" w:lineRule="exact"/>
              <w:rPr>
                <w:rFonts w:hAnsi="宋体"/>
                <w:sz w:val="24"/>
                <w:szCs w:val="24"/>
              </w:rPr>
            </w:pPr>
            <w:r>
              <w:rPr>
                <w:rFonts w:hint="eastAsia" w:hAnsi="宋体"/>
                <w:sz w:val="24"/>
                <w:szCs w:val="24"/>
              </w:rPr>
              <w:t>主管部门</w:t>
            </w:r>
          </w:p>
        </w:tc>
        <w:tc>
          <w:tcPr>
            <w:tcW w:w="3385" w:type="dxa"/>
            <w:vAlign w:val="center"/>
          </w:tcPr>
          <w:p>
            <w:pPr>
              <w:pStyle w:val="23"/>
              <w:spacing w:line="480" w:lineRule="exact"/>
              <w:jc w:val="center"/>
              <w:rPr>
                <w:rFonts w:hAnsi="宋体"/>
                <w:sz w:val="24"/>
                <w:szCs w:val="24"/>
              </w:rPr>
            </w:pPr>
          </w:p>
        </w:tc>
        <w:tc>
          <w:tcPr>
            <w:tcW w:w="1418" w:type="dxa"/>
            <w:gridSpan w:val="2"/>
            <w:vAlign w:val="center"/>
          </w:tcPr>
          <w:p>
            <w:pPr>
              <w:pStyle w:val="23"/>
              <w:spacing w:line="480" w:lineRule="exact"/>
              <w:rPr>
                <w:rFonts w:hAnsi="宋体"/>
                <w:sz w:val="24"/>
                <w:szCs w:val="24"/>
              </w:rPr>
            </w:pPr>
            <w:r>
              <w:rPr>
                <w:rFonts w:hint="eastAsia" w:hAnsi="宋体"/>
                <w:sz w:val="24"/>
                <w:szCs w:val="24"/>
              </w:rPr>
              <w:t>企业性质</w:t>
            </w:r>
          </w:p>
        </w:tc>
        <w:tc>
          <w:tcPr>
            <w:tcW w:w="2627" w:type="dxa"/>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2146" w:type="dxa"/>
            <w:gridSpan w:val="2"/>
            <w:vAlign w:val="center"/>
          </w:tcPr>
          <w:p>
            <w:pPr>
              <w:pStyle w:val="23"/>
              <w:spacing w:line="480" w:lineRule="exact"/>
              <w:rPr>
                <w:rFonts w:hAnsi="宋体"/>
                <w:sz w:val="24"/>
                <w:szCs w:val="24"/>
              </w:rPr>
            </w:pPr>
            <w:r>
              <w:rPr>
                <w:rFonts w:hint="eastAsia" w:hAnsi="宋体"/>
                <w:sz w:val="24"/>
                <w:szCs w:val="24"/>
              </w:rPr>
              <w:t>企业法人</w:t>
            </w:r>
          </w:p>
        </w:tc>
        <w:tc>
          <w:tcPr>
            <w:tcW w:w="3385" w:type="dxa"/>
            <w:vAlign w:val="center"/>
          </w:tcPr>
          <w:p>
            <w:pPr>
              <w:pStyle w:val="23"/>
              <w:spacing w:line="480" w:lineRule="exact"/>
              <w:jc w:val="center"/>
              <w:rPr>
                <w:rFonts w:hAnsi="宋体"/>
                <w:sz w:val="24"/>
                <w:szCs w:val="24"/>
              </w:rPr>
            </w:pPr>
          </w:p>
        </w:tc>
        <w:tc>
          <w:tcPr>
            <w:tcW w:w="1418" w:type="dxa"/>
            <w:gridSpan w:val="2"/>
            <w:vAlign w:val="center"/>
          </w:tcPr>
          <w:p>
            <w:pPr>
              <w:pStyle w:val="23"/>
              <w:spacing w:line="480" w:lineRule="exact"/>
              <w:rPr>
                <w:rFonts w:hAnsi="宋体"/>
                <w:sz w:val="24"/>
                <w:szCs w:val="24"/>
              </w:rPr>
            </w:pPr>
            <w:r>
              <w:rPr>
                <w:rFonts w:hint="eastAsia" w:hAnsi="宋体"/>
                <w:sz w:val="24"/>
                <w:szCs w:val="24"/>
              </w:rPr>
              <w:t>资质等级</w:t>
            </w:r>
          </w:p>
        </w:tc>
        <w:tc>
          <w:tcPr>
            <w:tcW w:w="2627" w:type="dxa"/>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2146" w:type="dxa"/>
            <w:gridSpan w:val="2"/>
            <w:vAlign w:val="center"/>
          </w:tcPr>
          <w:p>
            <w:pPr>
              <w:pStyle w:val="23"/>
              <w:spacing w:line="480" w:lineRule="exact"/>
              <w:rPr>
                <w:rFonts w:hAnsi="宋体"/>
                <w:sz w:val="24"/>
                <w:szCs w:val="24"/>
              </w:rPr>
            </w:pPr>
            <w:r>
              <w:rPr>
                <w:rFonts w:hint="eastAsia" w:hAnsi="宋体"/>
                <w:sz w:val="24"/>
                <w:szCs w:val="24"/>
              </w:rPr>
              <w:t>授权代表</w:t>
            </w:r>
          </w:p>
        </w:tc>
        <w:tc>
          <w:tcPr>
            <w:tcW w:w="3385" w:type="dxa"/>
            <w:vAlign w:val="center"/>
          </w:tcPr>
          <w:p>
            <w:pPr>
              <w:pStyle w:val="23"/>
              <w:spacing w:line="480" w:lineRule="exact"/>
              <w:jc w:val="center"/>
              <w:rPr>
                <w:rFonts w:hAnsi="宋体"/>
                <w:sz w:val="24"/>
                <w:szCs w:val="24"/>
              </w:rPr>
            </w:pPr>
          </w:p>
        </w:tc>
        <w:tc>
          <w:tcPr>
            <w:tcW w:w="1418" w:type="dxa"/>
            <w:gridSpan w:val="2"/>
            <w:vAlign w:val="center"/>
          </w:tcPr>
          <w:p>
            <w:pPr>
              <w:pStyle w:val="23"/>
              <w:spacing w:line="480" w:lineRule="exact"/>
              <w:rPr>
                <w:rFonts w:hAnsi="宋体"/>
                <w:sz w:val="24"/>
                <w:szCs w:val="24"/>
              </w:rPr>
            </w:pPr>
            <w:r>
              <w:rPr>
                <w:rFonts w:hint="eastAsia" w:hAnsi="宋体"/>
                <w:sz w:val="24"/>
                <w:szCs w:val="24"/>
              </w:rPr>
              <w:t>职务</w:t>
            </w:r>
          </w:p>
        </w:tc>
        <w:tc>
          <w:tcPr>
            <w:tcW w:w="2627" w:type="dxa"/>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atLeast"/>
          <w:jc w:val="center"/>
        </w:trPr>
        <w:tc>
          <w:tcPr>
            <w:tcW w:w="846" w:type="dxa"/>
            <w:vMerge w:val="restart"/>
            <w:vAlign w:val="center"/>
          </w:tcPr>
          <w:p>
            <w:pPr>
              <w:pStyle w:val="23"/>
              <w:spacing w:line="480" w:lineRule="exact"/>
              <w:ind w:firstLine="720" w:firstLineChars="300"/>
              <w:jc w:val="center"/>
              <w:rPr>
                <w:rFonts w:hAnsi="宋体"/>
                <w:sz w:val="24"/>
                <w:szCs w:val="24"/>
              </w:rPr>
            </w:pPr>
          </w:p>
          <w:p>
            <w:pPr>
              <w:pStyle w:val="23"/>
              <w:spacing w:line="480" w:lineRule="exact"/>
              <w:jc w:val="center"/>
              <w:rPr>
                <w:rFonts w:hAnsi="宋体"/>
                <w:sz w:val="24"/>
                <w:szCs w:val="24"/>
              </w:rPr>
            </w:pPr>
            <w:r>
              <w:rPr>
                <w:rFonts w:hint="eastAsia" w:hAnsi="宋体"/>
                <w:sz w:val="24"/>
                <w:szCs w:val="24"/>
              </w:rPr>
              <w:t>单位概况</w:t>
            </w:r>
          </w:p>
          <w:p>
            <w:pPr>
              <w:pStyle w:val="23"/>
              <w:spacing w:line="480" w:lineRule="exact"/>
              <w:ind w:firstLine="720" w:firstLineChars="300"/>
              <w:jc w:val="center"/>
              <w:rPr>
                <w:rFonts w:hAnsi="宋体"/>
                <w:sz w:val="24"/>
                <w:szCs w:val="24"/>
              </w:rPr>
            </w:pPr>
          </w:p>
          <w:p>
            <w:pPr>
              <w:pStyle w:val="23"/>
              <w:spacing w:line="480" w:lineRule="exact"/>
              <w:ind w:firstLine="720" w:firstLineChars="300"/>
              <w:jc w:val="center"/>
              <w:rPr>
                <w:rFonts w:hAnsi="宋体"/>
                <w:sz w:val="24"/>
                <w:szCs w:val="24"/>
              </w:rPr>
            </w:pPr>
          </w:p>
          <w:p>
            <w:pPr>
              <w:pStyle w:val="23"/>
              <w:spacing w:line="480" w:lineRule="exact"/>
              <w:ind w:firstLine="720" w:firstLineChars="300"/>
              <w:jc w:val="center"/>
              <w:rPr>
                <w:rFonts w:hAnsi="宋体"/>
                <w:sz w:val="24"/>
                <w:szCs w:val="24"/>
              </w:rPr>
            </w:pPr>
          </w:p>
          <w:p>
            <w:pPr>
              <w:pStyle w:val="23"/>
              <w:spacing w:line="480" w:lineRule="exact"/>
              <w:ind w:firstLine="720" w:firstLineChars="300"/>
              <w:jc w:val="center"/>
              <w:rPr>
                <w:rFonts w:hAnsi="宋体"/>
                <w:sz w:val="24"/>
                <w:szCs w:val="24"/>
              </w:rPr>
            </w:pPr>
          </w:p>
        </w:tc>
        <w:tc>
          <w:tcPr>
            <w:tcW w:w="1300" w:type="dxa"/>
            <w:vMerge w:val="restart"/>
            <w:vAlign w:val="center"/>
          </w:tcPr>
          <w:p>
            <w:pPr>
              <w:spacing w:line="480" w:lineRule="exact"/>
              <w:jc w:val="center"/>
              <w:rPr>
                <w:rFonts w:ascii="宋体"/>
                <w:sz w:val="24"/>
              </w:rPr>
            </w:pPr>
            <w:r>
              <w:rPr>
                <w:rFonts w:hint="eastAsia" w:ascii="宋体" w:hAnsi="宋体"/>
                <w:sz w:val="24"/>
              </w:rPr>
              <w:t>职工总数</w:t>
            </w:r>
          </w:p>
        </w:tc>
        <w:tc>
          <w:tcPr>
            <w:tcW w:w="3385" w:type="dxa"/>
            <w:vAlign w:val="center"/>
          </w:tcPr>
          <w:p>
            <w:pPr>
              <w:pStyle w:val="23"/>
              <w:spacing w:line="480" w:lineRule="exact"/>
              <w:rPr>
                <w:rFonts w:hAnsi="宋体"/>
                <w:sz w:val="24"/>
                <w:szCs w:val="24"/>
              </w:rPr>
            </w:pPr>
            <w:r>
              <w:rPr>
                <w:rFonts w:hint="eastAsia" w:hAnsi="宋体"/>
                <w:sz w:val="24"/>
                <w:szCs w:val="24"/>
              </w:rPr>
              <w:t>员工：人</w:t>
            </w:r>
          </w:p>
        </w:tc>
        <w:tc>
          <w:tcPr>
            <w:tcW w:w="4045" w:type="dxa"/>
            <w:gridSpan w:val="3"/>
            <w:vAlign w:val="center"/>
          </w:tcPr>
          <w:p>
            <w:pPr>
              <w:pStyle w:val="23"/>
              <w:spacing w:line="480" w:lineRule="exact"/>
              <w:rPr>
                <w:rFonts w:hAnsi="宋体"/>
                <w:sz w:val="24"/>
                <w:szCs w:val="24"/>
              </w:rPr>
            </w:pPr>
            <w:r>
              <w:rPr>
                <w:rFonts w:hint="eastAsia" w:hAnsi="宋体"/>
                <w:sz w:val="24"/>
                <w:szCs w:val="24"/>
              </w:rPr>
              <w:t>技术工人：人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1" w:hRule="atLeast"/>
          <w:jc w:val="center"/>
        </w:trPr>
        <w:tc>
          <w:tcPr>
            <w:tcW w:w="846" w:type="dxa"/>
            <w:vMerge w:val="continue"/>
            <w:vAlign w:val="center"/>
          </w:tcPr>
          <w:p>
            <w:pPr>
              <w:pStyle w:val="23"/>
              <w:spacing w:line="480" w:lineRule="exact"/>
              <w:ind w:firstLine="720" w:firstLineChars="300"/>
              <w:jc w:val="center"/>
              <w:rPr>
                <w:rFonts w:hAnsi="宋体"/>
                <w:sz w:val="24"/>
                <w:szCs w:val="24"/>
              </w:rPr>
            </w:pPr>
          </w:p>
        </w:tc>
        <w:tc>
          <w:tcPr>
            <w:tcW w:w="1300" w:type="dxa"/>
            <w:vMerge w:val="continue"/>
            <w:vAlign w:val="center"/>
          </w:tcPr>
          <w:p>
            <w:pPr>
              <w:widowControl/>
              <w:spacing w:line="480" w:lineRule="exact"/>
              <w:jc w:val="center"/>
              <w:rPr>
                <w:rFonts w:ascii="宋体"/>
                <w:sz w:val="24"/>
              </w:rPr>
            </w:pPr>
          </w:p>
        </w:tc>
        <w:tc>
          <w:tcPr>
            <w:tcW w:w="3385" w:type="dxa"/>
            <w:vAlign w:val="center"/>
          </w:tcPr>
          <w:p>
            <w:pPr>
              <w:pStyle w:val="23"/>
              <w:spacing w:line="480" w:lineRule="exact"/>
              <w:rPr>
                <w:rFonts w:hAnsi="宋体"/>
                <w:sz w:val="24"/>
                <w:szCs w:val="24"/>
              </w:rPr>
            </w:pPr>
            <w:r>
              <w:rPr>
                <w:rFonts w:hint="eastAsia" w:hAnsi="宋体"/>
                <w:sz w:val="24"/>
                <w:szCs w:val="24"/>
              </w:rPr>
              <w:t>高级技师：人</w:t>
            </w:r>
          </w:p>
        </w:tc>
        <w:tc>
          <w:tcPr>
            <w:tcW w:w="4045" w:type="dxa"/>
            <w:gridSpan w:val="3"/>
            <w:vAlign w:val="center"/>
          </w:tcPr>
          <w:p>
            <w:pPr>
              <w:pStyle w:val="23"/>
              <w:spacing w:line="480" w:lineRule="exact"/>
              <w:rPr>
                <w:rFonts w:hAnsi="宋体"/>
                <w:sz w:val="24"/>
                <w:szCs w:val="24"/>
              </w:rPr>
            </w:pPr>
            <w:r>
              <w:rPr>
                <w:rFonts w:hint="eastAsia" w:hAnsi="宋体"/>
                <w:sz w:val="24"/>
                <w:szCs w:val="24"/>
              </w:rPr>
              <w:t>工程师：人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88" w:hRule="atLeast"/>
          <w:jc w:val="center"/>
        </w:trPr>
        <w:tc>
          <w:tcPr>
            <w:tcW w:w="846" w:type="dxa"/>
            <w:vMerge w:val="continue"/>
            <w:vAlign w:val="center"/>
          </w:tcPr>
          <w:p>
            <w:pPr>
              <w:pStyle w:val="23"/>
              <w:spacing w:line="480" w:lineRule="exact"/>
              <w:ind w:firstLine="720" w:firstLineChars="300"/>
              <w:jc w:val="center"/>
              <w:rPr>
                <w:rFonts w:hAnsi="宋体"/>
                <w:sz w:val="24"/>
                <w:szCs w:val="24"/>
              </w:rPr>
            </w:pPr>
          </w:p>
        </w:tc>
        <w:tc>
          <w:tcPr>
            <w:tcW w:w="1300" w:type="dxa"/>
            <w:vAlign w:val="center"/>
          </w:tcPr>
          <w:p>
            <w:pPr>
              <w:pStyle w:val="23"/>
              <w:spacing w:line="480" w:lineRule="exact"/>
              <w:jc w:val="center"/>
              <w:rPr>
                <w:rFonts w:hAnsi="宋体"/>
                <w:sz w:val="24"/>
                <w:szCs w:val="24"/>
              </w:rPr>
            </w:pPr>
            <w:r>
              <w:rPr>
                <w:rFonts w:hint="eastAsia" w:hAnsi="宋体"/>
                <w:sz w:val="24"/>
                <w:szCs w:val="24"/>
              </w:rPr>
              <w:t>流动资金</w:t>
            </w:r>
          </w:p>
        </w:tc>
        <w:tc>
          <w:tcPr>
            <w:tcW w:w="3385" w:type="dxa"/>
            <w:vAlign w:val="center"/>
          </w:tcPr>
          <w:p>
            <w:pPr>
              <w:pStyle w:val="23"/>
              <w:spacing w:line="480" w:lineRule="exact"/>
              <w:jc w:val="center"/>
              <w:rPr>
                <w:rFonts w:hAnsi="宋体"/>
                <w:sz w:val="24"/>
                <w:szCs w:val="24"/>
              </w:rPr>
            </w:pPr>
          </w:p>
        </w:tc>
        <w:tc>
          <w:tcPr>
            <w:tcW w:w="1260" w:type="dxa"/>
            <w:vAlign w:val="center"/>
          </w:tcPr>
          <w:p>
            <w:pPr>
              <w:pStyle w:val="23"/>
              <w:spacing w:line="480" w:lineRule="exact"/>
              <w:jc w:val="center"/>
              <w:rPr>
                <w:rFonts w:hAnsi="宋体"/>
                <w:sz w:val="24"/>
                <w:szCs w:val="24"/>
              </w:rPr>
            </w:pPr>
            <w:r>
              <w:rPr>
                <w:rFonts w:hint="eastAsia" w:hAnsi="宋体"/>
                <w:sz w:val="24"/>
                <w:szCs w:val="24"/>
              </w:rPr>
              <w:t>营业面积</w:t>
            </w:r>
          </w:p>
        </w:tc>
        <w:tc>
          <w:tcPr>
            <w:tcW w:w="2785" w:type="dxa"/>
            <w:gridSpan w:val="2"/>
            <w:vAlign w:val="center"/>
          </w:tcPr>
          <w:p>
            <w:pPr>
              <w:pStyle w:val="23"/>
              <w:spacing w:line="480" w:lineRule="exact"/>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7" w:hRule="exact"/>
          <w:jc w:val="center"/>
        </w:trPr>
        <w:tc>
          <w:tcPr>
            <w:tcW w:w="846" w:type="dxa"/>
            <w:vMerge w:val="continue"/>
            <w:vAlign w:val="center"/>
          </w:tcPr>
          <w:p>
            <w:pPr>
              <w:pStyle w:val="23"/>
              <w:spacing w:line="480" w:lineRule="exact"/>
              <w:ind w:firstLine="720" w:firstLineChars="300"/>
              <w:jc w:val="center"/>
              <w:rPr>
                <w:rFonts w:hAnsi="宋体"/>
                <w:sz w:val="24"/>
                <w:szCs w:val="24"/>
              </w:rPr>
            </w:pPr>
          </w:p>
        </w:tc>
        <w:tc>
          <w:tcPr>
            <w:tcW w:w="1300" w:type="dxa"/>
            <w:vAlign w:val="center"/>
          </w:tcPr>
          <w:p>
            <w:pPr>
              <w:pStyle w:val="23"/>
              <w:spacing w:line="480" w:lineRule="exact"/>
              <w:jc w:val="center"/>
              <w:rPr>
                <w:rFonts w:hAnsi="宋体"/>
                <w:sz w:val="24"/>
                <w:szCs w:val="24"/>
              </w:rPr>
            </w:pPr>
            <w:r>
              <w:rPr>
                <w:rFonts w:hint="eastAsia" w:hAnsi="宋体"/>
                <w:sz w:val="24"/>
                <w:szCs w:val="24"/>
              </w:rPr>
              <w:t>固定资金</w:t>
            </w:r>
          </w:p>
        </w:tc>
        <w:tc>
          <w:tcPr>
            <w:tcW w:w="3385" w:type="dxa"/>
            <w:vAlign w:val="center"/>
          </w:tcPr>
          <w:p>
            <w:pPr>
              <w:widowControl/>
              <w:spacing w:line="480" w:lineRule="exact"/>
              <w:jc w:val="center"/>
              <w:rPr>
                <w:rFonts w:ascii="宋体"/>
                <w:sz w:val="24"/>
              </w:rPr>
            </w:pPr>
          </w:p>
        </w:tc>
        <w:tc>
          <w:tcPr>
            <w:tcW w:w="1260" w:type="dxa"/>
            <w:vAlign w:val="center"/>
          </w:tcPr>
          <w:p>
            <w:pPr>
              <w:pStyle w:val="23"/>
              <w:spacing w:line="480" w:lineRule="exact"/>
              <w:jc w:val="center"/>
              <w:rPr>
                <w:rFonts w:hAnsi="宋体"/>
                <w:sz w:val="24"/>
                <w:szCs w:val="24"/>
              </w:rPr>
            </w:pPr>
            <w:r>
              <w:rPr>
                <w:rFonts w:hint="eastAsia" w:hAnsi="宋体"/>
                <w:sz w:val="24"/>
                <w:szCs w:val="24"/>
              </w:rPr>
              <w:t>维修网点</w:t>
            </w:r>
          </w:p>
        </w:tc>
        <w:tc>
          <w:tcPr>
            <w:tcW w:w="2785" w:type="dxa"/>
            <w:gridSpan w:val="2"/>
            <w:vAlign w:val="center"/>
          </w:tcPr>
          <w:p>
            <w:pPr>
              <w:widowControl/>
              <w:spacing w:line="480" w:lineRule="exact"/>
              <w:jc w:val="center"/>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6" w:hRule="atLeast"/>
          <w:jc w:val="center"/>
        </w:trPr>
        <w:tc>
          <w:tcPr>
            <w:tcW w:w="846" w:type="dxa"/>
            <w:vAlign w:val="center"/>
          </w:tcPr>
          <w:p>
            <w:pPr>
              <w:pStyle w:val="23"/>
              <w:spacing w:line="480" w:lineRule="exact"/>
              <w:jc w:val="center"/>
              <w:rPr>
                <w:rFonts w:hAnsi="宋体"/>
                <w:sz w:val="24"/>
                <w:szCs w:val="24"/>
              </w:rPr>
            </w:pPr>
            <w:r>
              <w:rPr>
                <w:rFonts w:hint="eastAsia" w:hAnsi="宋体"/>
                <w:sz w:val="24"/>
                <w:szCs w:val="24"/>
              </w:rPr>
              <w:t>单位简历</w:t>
            </w:r>
          </w:p>
        </w:tc>
        <w:tc>
          <w:tcPr>
            <w:tcW w:w="8730" w:type="dxa"/>
            <w:gridSpan w:val="5"/>
          </w:tcPr>
          <w:p>
            <w:pPr>
              <w:spacing w:line="480" w:lineRule="exact"/>
              <w:jc w:val="left"/>
              <w:rPr>
                <w:rFonts w:ascii="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4" w:hRule="atLeast"/>
          <w:jc w:val="center"/>
        </w:trPr>
        <w:tc>
          <w:tcPr>
            <w:tcW w:w="846" w:type="dxa"/>
            <w:vAlign w:val="center"/>
          </w:tcPr>
          <w:p>
            <w:pPr>
              <w:pStyle w:val="23"/>
              <w:spacing w:line="480" w:lineRule="exact"/>
              <w:jc w:val="center"/>
              <w:rPr>
                <w:rFonts w:hAnsi="宋体"/>
                <w:sz w:val="24"/>
                <w:szCs w:val="24"/>
              </w:rPr>
            </w:pPr>
            <w:r>
              <w:rPr>
                <w:rFonts w:hint="eastAsia" w:hAnsi="宋体"/>
                <w:sz w:val="24"/>
                <w:szCs w:val="24"/>
              </w:rPr>
              <w:t>优势及特长</w:t>
            </w:r>
          </w:p>
        </w:tc>
        <w:tc>
          <w:tcPr>
            <w:tcW w:w="8730" w:type="dxa"/>
            <w:gridSpan w:val="5"/>
          </w:tcPr>
          <w:p>
            <w:pPr>
              <w:spacing w:line="480" w:lineRule="exact"/>
              <w:jc w:val="left"/>
              <w:rPr>
                <w:rFonts w:ascii="宋体"/>
                <w:sz w:val="24"/>
              </w:rPr>
            </w:pPr>
          </w:p>
        </w:tc>
      </w:tr>
    </w:tbl>
    <w:p>
      <w:pPr>
        <w:spacing w:line="480" w:lineRule="exact"/>
        <w:rPr>
          <w:rFonts w:ascii="宋体"/>
          <w:sz w:val="24"/>
        </w:rPr>
      </w:pPr>
      <w:r>
        <w:rPr>
          <w:rFonts w:hint="eastAsia" w:ascii="宋体" w:hAnsi="宋体"/>
          <w:sz w:val="24"/>
        </w:rPr>
        <w:t>磋商响应方全称（加盖公章）：</w:t>
      </w:r>
    </w:p>
    <w:p>
      <w:pPr>
        <w:spacing w:line="480" w:lineRule="exact"/>
        <w:rPr>
          <w:rFonts w:ascii="宋体"/>
          <w:sz w:val="24"/>
        </w:rPr>
      </w:pPr>
      <w:r>
        <w:rPr>
          <w:rFonts w:hint="eastAsia" w:ascii="宋体" w:hAnsi="宋体"/>
          <w:sz w:val="24"/>
        </w:rPr>
        <w:t>法定代表人或授权代表（签字或盖章）：</w:t>
      </w:r>
    </w:p>
    <w:p>
      <w:pPr>
        <w:widowControl/>
        <w:overflowPunct w:val="0"/>
        <w:autoSpaceDE w:val="0"/>
        <w:autoSpaceDN w:val="0"/>
        <w:adjustRightInd w:val="0"/>
        <w:spacing w:line="480" w:lineRule="exact"/>
        <w:jc w:val="left"/>
        <w:textAlignment w:val="baseline"/>
        <w:rPr>
          <w:rFonts w:ascii="宋体"/>
          <w:kern w:val="0"/>
          <w:sz w:val="24"/>
        </w:rPr>
      </w:pPr>
      <w:r>
        <w:rPr>
          <w:rFonts w:hint="eastAsia" w:ascii="宋体" w:hAnsi="宋体"/>
          <w:kern w:val="0"/>
          <w:sz w:val="24"/>
        </w:rPr>
        <w:t>日期：</w:t>
      </w:r>
    </w:p>
    <w:p>
      <w:pPr>
        <w:snapToGrid w:val="0"/>
        <w:spacing w:line="480" w:lineRule="exact"/>
        <w:rPr>
          <w:rFonts w:ascii="仿宋_GB2312" w:eastAsia="仿宋_GB2312"/>
          <w:sz w:val="24"/>
        </w:rPr>
      </w:pPr>
    </w:p>
    <w:p>
      <w:pPr>
        <w:widowControl/>
        <w:jc w:val="left"/>
        <w:rPr>
          <w:rFonts w:ascii="宋体" w:hAnsi="宋体"/>
          <w:b/>
        </w:rPr>
      </w:pPr>
      <w:r>
        <w:rPr>
          <w:rFonts w:ascii="宋体" w:hAnsi="宋体"/>
          <w:b/>
        </w:rPr>
        <w:br w:type="page"/>
      </w:r>
    </w:p>
    <w:p>
      <w:pPr>
        <w:snapToGrid w:val="0"/>
        <w:spacing w:before="157" w:beforeLines="50" w:after="50" w:line="360" w:lineRule="auto"/>
        <w:outlineLvl w:val="0"/>
        <w:rPr>
          <w:rFonts w:ascii="宋体" w:hAnsi="宋体"/>
          <w:b/>
        </w:rPr>
      </w:pPr>
      <w:bookmarkStart w:id="93" w:name="_Toc21381"/>
      <w:r>
        <w:rPr>
          <w:rFonts w:hint="eastAsia" w:ascii="宋体" w:hAnsi="宋体"/>
          <w:b/>
        </w:rPr>
        <w:t>附件5</w:t>
      </w:r>
      <w:bookmarkEnd w:id="93"/>
    </w:p>
    <w:p>
      <w:pPr>
        <w:snapToGrid w:val="0"/>
        <w:spacing w:before="157" w:beforeLines="50" w:after="50" w:line="360" w:lineRule="auto"/>
        <w:jc w:val="center"/>
        <w:outlineLvl w:val="3"/>
        <w:rPr>
          <w:rFonts w:ascii="Times New Roman" w:hAnsi="Times New Roman" w:eastAsia="仿宋_GB2312"/>
          <w:spacing w:val="8"/>
          <w:kern w:val="0"/>
          <w:sz w:val="32"/>
          <w:szCs w:val="32"/>
        </w:rPr>
      </w:pPr>
      <w:r>
        <w:rPr>
          <w:rFonts w:hint="eastAsia" w:ascii="宋体" w:hAnsi="宋体"/>
          <w:b/>
          <w:sz w:val="32"/>
          <w:szCs w:val="32"/>
        </w:rPr>
        <w:t>无围标串标等负面行为承诺书</w:t>
      </w:r>
    </w:p>
    <w:p>
      <w:pPr>
        <w:snapToGrid w:val="0"/>
        <w:spacing w:before="157" w:beforeLines="50" w:after="50" w:line="360" w:lineRule="auto"/>
        <w:ind w:firstLine="720" w:firstLineChars="300"/>
        <w:rPr>
          <w:sz w:val="24"/>
        </w:rPr>
      </w:pPr>
      <w:r>
        <w:rPr>
          <w:rFonts w:hint="eastAsia"/>
          <w:sz w:val="24"/>
        </w:rPr>
        <w:t>本人作为经授权的投标人（或供应商、竞拍人等，下同）代表，清楚知晓我单位参与本项目投标（交易，下同），现对以下事项作出郑重承诺并签名：</w:t>
      </w:r>
    </w:p>
    <w:p>
      <w:pPr>
        <w:snapToGrid w:val="0"/>
        <w:spacing w:before="157" w:beforeLines="50" w:after="50" w:line="360" w:lineRule="auto"/>
        <w:ind w:firstLine="720" w:firstLineChars="300"/>
        <w:rPr>
          <w:sz w:val="24"/>
        </w:rPr>
      </w:pPr>
      <w:r>
        <w:rPr>
          <w:rFonts w:hint="eastAsia"/>
          <w:sz w:val="24"/>
        </w:rPr>
        <w:t>一、我单位和本人遵循公开、公平、公正、诚实守信的原则，所提供的一切材料均真实、有效、合法，依法依规参与本项目投标。</w:t>
      </w:r>
    </w:p>
    <w:p>
      <w:pPr>
        <w:snapToGrid w:val="0"/>
        <w:spacing w:before="157" w:beforeLines="50" w:after="50" w:line="360" w:lineRule="auto"/>
        <w:ind w:firstLine="720" w:firstLineChars="300"/>
        <w:rPr>
          <w:sz w:val="24"/>
        </w:rPr>
      </w:pPr>
      <w:r>
        <w:rPr>
          <w:rFonts w:hint="eastAsia"/>
          <w:sz w:val="24"/>
        </w:rPr>
        <w:t>二、我单位和本人在本项目招标投标活动中，拒绝参与围标串标，决不损害其它投标人、招标人（或采购人、拍卖人等，下同）的合法权益。</w:t>
      </w:r>
    </w:p>
    <w:p>
      <w:pPr>
        <w:snapToGrid w:val="0"/>
        <w:spacing w:before="157" w:beforeLines="50" w:after="50" w:line="360" w:lineRule="auto"/>
        <w:ind w:firstLine="720" w:firstLineChars="300"/>
        <w:rPr>
          <w:sz w:val="24"/>
        </w:rPr>
      </w:pPr>
      <w:r>
        <w:rPr>
          <w:rFonts w:hint="eastAsia"/>
          <w:sz w:val="24"/>
        </w:rPr>
        <w:t>三、我单位如被查实在本项目公共资源交易活动中存在围标串标等行为，本人作为违法行为直接责任人员，将承担被执行失信惩戒并被依法追究相关责任的后果。</w:t>
      </w:r>
    </w:p>
    <w:p>
      <w:pPr>
        <w:snapToGrid w:val="0"/>
        <w:spacing w:before="157" w:beforeLines="50" w:after="50" w:line="360" w:lineRule="auto"/>
        <w:rPr>
          <w:rFonts w:ascii="Times New Roman" w:hAnsi="Times New Roman" w:eastAsia="仿宋_GB2312"/>
          <w:spacing w:val="8"/>
          <w:kern w:val="0"/>
          <w:sz w:val="24"/>
        </w:rPr>
      </w:pPr>
    </w:p>
    <w:p>
      <w:pPr>
        <w:snapToGrid w:val="0"/>
        <w:spacing w:before="157" w:beforeLines="50" w:after="50" w:line="360" w:lineRule="auto"/>
        <w:ind w:firstLine="120" w:firstLineChars="50"/>
        <w:rPr>
          <w:rFonts w:ascii="宋体" w:hAnsi="宋体"/>
          <w:sz w:val="24"/>
          <w:u w:val="single"/>
        </w:rPr>
      </w:pPr>
      <w:r>
        <w:rPr>
          <w:rFonts w:hint="eastAsia" w:ascii="宋体" w:hAnsi="宋体"/>
          <w:sz w:val="24"/>
        </w:rPr>
        <w:t>被授权人签名：                       法定代表人签名：</w:t>
      </w:r>
    </w:p>
    <w:p>
      <w:pPr>
        <w:snapToGrid w:val="0"/>
        <w:spacing w:before="157" w:beforeLines="50" w:after="50" w:line="360" w:lineRule="auto"/>
        <w:ind w:firstLine="1080" w:firstLineChars="450"/>
        <w:rPr>
          <w:rFonts w:ascii="宋体" w:hAnsi="宋体"/>
          <w:sz w:val="24"/>
        </w:rPr>
      </w:pPr>
      <w:r>
        <w:rPr>
          <w:rFonts w:hint="eastAsia" w:ascii="宋体" w:hAnsi="宋体"/>
          <w:sz w:val="24"/>
        </w:rPr>
        <w:t>职务：                                 职务：</w:t>
      </w:r>
    </w:p>
    <w:p>
      <w:pPr>
        <w:snapToGrid w:val="0"/>
        <w:spacing w:before="157" w:beforeLines="50" w:after="50" w:line="360" w:lineRule="auto"/>
        <w:rPr>
          <w:rFonts w:ascii="宋体" w:hAnsi="宋体"/>
          <w:sz w:val="24"/>
        </w:rPr>
      </w:pPr>
      <w:r>
        <w:rPr>
          <w:rFonts w:hint="eastAsia" w:ascii="宋体" w:hAnsi="宋体"/>
          <w:sz w:val="24"/>
        </w:rPr>
        <w:t>被授权人身份证复印件：</w:t>
      </w:r>
    </w:p>
    <w:p>
      <w:pPr>
        <w:widowControl/>
        <w:jc w:val="left"/>
        <w:rPr>
          <w:rFonts w:ascii="宋体" w:hAnsi="宋体"/>
          <w:b/>
        </w:rPr>
      </w:pPr>
      <w:r>
        <w:rPr>
          <w:rFonts w:ascii="宋体" w:hAnsi="宋体"/>
          <w:b/>
        </w:rPr>
        <w:br w:type="page"/>
      </w:r>
    </w:p>
    <w:p>
      <w:pPr>
        <w:snapToGrid w:val="0"/>
        <w:spacing w:before="157" w:beforeLines="50" w:after="50" w:line="360" w:lineRule="auto"/>
        <w:rPr>
          <w:rFonts w:ascii="宋体"/>
          <w:b/>
          <w:color w:val="0D0D0D"/>
          <w:sz w:val="24"/>
        </w:rPr>
      </w:pPr>
      <w:r>
        <w:rPr>
          <w:rFonts w:hint="eastAsia" w:ascii="宋体" w:hAnsi="宋体"/>
          <w:b/>
        </w:rPr>
        <w:t>附件6</w:t>
      </w:r>
    </w:p>
    <w:p>
      <w:pPr>
        <w:spacing w:line="480" w:lineRule="exact"/>
        <w:jc w:val="center"/>
        <w:outlineLvl w:val="1"/>
        <w:rPr>
          <w:rFonts w:ascii="宋体" w:hAnsi="宋体"/>
          <w:b/>
          <w:kern w:val="0"/>
          <w:sz w:val="30"/>
          <w:szCs w:val="30"/>
        </w:rPr>
      </w:pPr>
      <w:r>
        <w:rPr>
          <w:rFonts w:hint="eastAsia" w:ascii="宋体" w:hAnsi="宋体"/>
          <w:b/>
          <w:kern w:val="0"/>
          <w:sz w:val="30"/>
          <w:szCs w:val="30"/>
        </w:rPr>
        <w:t>供应商市场行为信誉情况承诺书（申明书）</w:t>
      </w:r>
    </w:p>
    <w:tbl>
      <w:tblPr>
        <w:tblStyle w:val="37"/>
        <w:tblW w:w="9576"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28"/>
        <w:gridCol w:w="1310"/>
        <w:gridCol w:w="199"/>
        <w:gridCol w:w="2451"/>
        <w:gridCol w:w="523"/>
        <w:gridCol w:w="1892"/>
        <w:gridCol w:w="2373"/>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2337" w:type="dxa"/>
            <w:gridSpan w:val="3"/>
            <w:tcBorders>
              <w:top w:val="single" w:color="auto" w:sz="4" w:space="0"/>
              <w:left w:val="single" w:color="auto" w:sz="4" w:space="0"/>
              <w:bottom w:val="dotted" w:color="auto" w:sz="4" w:space="0"/>
              <w:right w:val="dotted" w:color="auto" w:sz="4" w:space="0"/>
            </w:tcBorders>
            <w:vAlign w:val="center"/>
          </w:tcPr>
          <w:p>
            <w:pPr>
              <w:spacing w:before="100" w:beforeAutospacing="1" w:after="100" w:afterAutospacing="1" w:line="260" w:lineRule="exact"/>
              <w:jc w:val="center"/>
              <w:rPr>
                <w:rFonts w:ascii="宋体" w:hAnsi="宋体"/>
                <w:color w:val="000000"/>
                <w:sz w:val="24"/>
              </w:rPr>
            </w:pPr>
            <w:r>
              <w:rPr>
                <w:rFonts w:hint="eastAsia"/>
                <w:color w:val="000000"/>
              </w:rPr>
              <w:t>投（竞）标</w:t>
            </w:r>
            <w:r>
              <w:rPr>
                <w:rFonts w:hint="eastAsia"/>
                <w:b/>
                <w:bCs/>
                <w:color w:val="000000"/>
              </w:rPr>
              <w:t>供应商</w:t>
            </w:r>
            <w:r>
              <w:rPr>
                <w:rFonts w:hint="eastAsia"/>
                <w:color w:val="000000"/>
              </w:rPr>
              <w:t>名称</w:t>
            </w:r>
          </w:p>
        </w:tc>
        <w:tc>
          <w:tcPr>
            <w:tcW w:w="2974" w:type="dxa"/>
            <w:gridSpan w:val="2"/>
            <w:tcBorders>
              <w:top w:val="single" w:color="auto" w:sz="4" w:space="0"/>
              <w:left w:val="dotted" w:color="auto" w:sz="4" w:space="0"/>
              <w:bottom w:val="dotted" w:color="auto" w:sz="4" w:space="0"/>
              <w:right w:val="dotted" w:color="auto" w:sz="4" w:space="0"/>
            </w:tcBorders>
            <w:vAlign w:val="center"/>
          </w:tcPr>
          <w:p>
            <w:pPr>
              <w:spacing w:line="260" w:lineRule="exact"/>
              <w:rPr>
                <w:rFonts w:ascii="宋体" w:hAnsi="宋体"/>
                <w:color w:val="000000"/>
                <w:sz w:val="18"/>
                <w:szCs w:val="18"/>
              </w:rPr>
            </w:pPr>
          </w:p>
        </w:tc>
        <w:tc>
          <w:tcPr>
            <w:tcW w:w="1892" w:type="dxa"/>
            <w:tcBorders>
              <w:top w:val="single"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jc w:val="center"/>
              <w:rPr>
                <w:color w:val="000000"/>
              </w:rPr>
            </w:pPr>
            <w:r>
              <w:rPr>
                <w:rFonts w:hint="eastAsia"/>
                <w:color w:val="000000"/>
              </w:rPr>
              <w:t>企业资质等级</w:t>
            </w:r>
          </w:p>
          <w:p>
            <w:pPr>
              <w:spacing w:before="100" w:beforeAutospacing="1" w:after="100" w:afterAutospacing="1" w:line="260" w:lineRule="exact"/>
              <w:jc w:val="center"/>
              <w:rPr>
                <w:rFonts w:ascii="宋体" w:hAnsi="宋体"/>
                <w:color w:val="000000"/>
                <w:sz w:val="24"/>
              </w:rPr>
            </w:pPr>
            <w:r>
              <w:rPr>
                <w:rFonts w:hint="eastAsia"/>
                <w:color w:val="000000"/>
              </w:rPr>
              <w:t>（如有）</w:t>
            </w:r>
          </w:p>
        </w:tc>
        <w:tc>
          <w:tcPr>
            <w:tcW w:w="2373" w:type="dxa"/>
            <w:tcBorders>
              <w:top w:val="single" w:color="auto" w:sz="4" w:space="0"/>
              <w:left w:val="dotted" w:color="auto" w:sz="4" w:space="0"/>
              <w:bottom w:val="dotted" w:color="auto" w:sz="4" w:space="0"/>
              <w:right w:val="single" w:color="auto" w:sz="4" w:space="0"/>
            </w:tcBorders>
            <w:vAlign w:val="center"/>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trPr>
        <w:tc>
          <w:tcPr>
            <w:tcW w:w="2337" w:type="dxa"/>
            <w:gridSpan w:val="3"/>
            <w:tcBorders>
              <w:top w:val="dotted" w:color="auto" w:sz="4" w:space="0"/>
              <w:left w:val="single" w:color="auto" w:sz="4" w:space="0"/>
              <w:bottom w:val="dotted" w:color="auto" w:sz="4" w:space="0"/>
              <w:right w:val="dotted" w:color="auto" w:sz="4" w:space="0"/>
            </w:tcBorders>
            <w:vAlign w:val="center"/>
          </w:tcPr>
          <w:p>
            <w:pPr>
              <w:spacing w:before="100" w:beforeAutospacing="1" w:after="100" w:afterAutospacing="1" w:line="260" w:lineRule="exact"/>
              <w:jc w:val="center"/>
              <w:rPr>
                <w:rFonts w:ascii="宋体" w:hAnsi="宋体"/>
                <w:color w:val="000000"/>
                <w:sz w:val="24"/>
              </w:rPr>
            </w:pPr>
            <w:r>
              <w:rPr>
                <w:rFonts w:hint="eastAsia"/>
                <w:color w:val="000000"/>
              </w:rPr>
              <w:t>企业地址</w:t>
            </w:r>
          </w:p>
        </w:tc>
        <w:tc>
          <w:tcPr>
            <w:tcW w:w="2974" w:type="dxa"/>
            <w:gridSpan w:val="2"/>
            <w:tcBorders>
              <w:top w:val="dotted" w:color="auto" w:sz="4" w:space="0"/>
              <w:left w:val="dotted" w:color="auto" w:sz="4" w:space="0"/>
              <w:bottom w:val="dotted" w:color="auto" w:sz="4" w:space="0"/>
              <w:right w:val="dotted" w:color="auto" w:sz="4" w:space="0"/>
            </w:tcBorders>
            <w:vAlign w:val="center"/>
          </w:tcPr>
          <w:p>
            <w:pPr>
              <w:spacing w:line="260" w:lineRule="exact"/>
              <w:rPr>
                <w:rFonts w:ascii="宋体" w:hAnsi="宋体"/>
                <w:color w:val="000000"/>
                <w:sz w:val="18"/>
                <w:szCs w:val="18"/>
              </w:rPr>
            </w:pPr>
          </w:p>
        </w:tc>
        <w:tc>
          <w:tcPr>
            <w:tcW w:w="1892" w:type="dxa"/>
            <w:tcBorders>
              <w:top w:val="dotted"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jc w:val="center"/>
              <w:rPr>
                <w:rFonts w:ascii="宋体" w:hAnsi="宋体"/>
                <w:color w:val="000000"/>
                <w:sz w:val="24"/>
              </w:rPr>
            </w:pPr>
            <w:r>
              <w:rPr>
                <w:rFonts w:hint="eastAsia"/>
                <w:color w:val="000000"/>
              </w:rPr>
              <w:t>联系电话</w:t>
            </w:r>
          </w:p>
        </w:tc>
        <w:tc>
          <w:tcPr>
            <w:tcW w:w="2373" w:type="dxa"/>
            <w:tcBorders>
              <w:top w:val="dotted" w:color="auto" w:sz="4" w:space="0"/>
              <w:left w:val="dotted" w:color="auto" w:sz="4" w:space="0"/>
              <w:bottom w:val="dotted" w:color="auto" w:sz="4" w:space="0"/>
              <w:right w:val="single" w:color="auto" w:sz="4" w:space="0"/>
            </w:tcBorders>
            <w:vAlign w:val="center"/>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37" w:hRule="atLeast"/>
        </w:trPr>
        <w:tc>
          <w:tcPr>
            <w:tcW w:w="2337" w:type="dxa"/>
            <w:gridSpan w:val="3"/>
            <w:tcBorders>
              <w:top w:val="dotted" w:color="auto" w:sz="4" w:space="0"/>
              <w:left w:val="single" w:color="auto" w:sz="4" w:space="0"/>
              <w:bottom w:val="dotted" w:color="auto" w:sz="4" w:space="0"/>
              <w:right w:val="dotted" w:color="auto" w:sz="4" w:space="0"/>
            </w:tcBorders>
            <w:vAlign w:val="center"/>
          </w:tcPr>
          <w:p>
            <w:pPr>
              <w:spacing w:before="100" w:beforeAutospacing="1" w:after="100" w:afterAutospacing="1" w:line="260" w:lineRule="exact"/>
              <w:jc w:val="center"/>
              <w:rPr>
                <w:rFonts w:ascii="宋体" w:hAnsi="宋体"/>
                <w:color w:val="000000"/>
                <w:sz w:val="24"/>
              </w:rPr>
            </w:pPr>
            <w:r>
              <w:rPr>
                <w:rFonts w:hint="eastAsia"/>
                <w:color w:val="000000"/>
              </w:rPr>
              <w:t>拟投（竞）标项目名称</w:t>
            </w:r>
          </w:p>
        </w:tc>
        <w:tc>
          <w:tcPr>
            <w:tcW w:w="2974" w:type="dxa"/>
            <w:gridSpan w:val="2"/>
            <w:tcBorders>
              <w:top w:val="dotted" w:color="auto" w:sz="4" w:space="0"/>
              <w:left w:val="dotted" w:color="auto" w:sz="4" w:space="0"/>
              <w:bottom w:val="dotted" w:color="auto" w:sz="4" w:space="0"/>
              <w:right w:val="dotted" w:color="auto" w:sz="4" w:space="0"/>
            </w:tcBorders>
            <w:vAlign w:val="center"/>
          </w:tcPr>
          <w:p>
            <w:pPr>
              <w:spacing w:line="260" w:lineRule="exact"/>
              <w:rPr>
                <w:rFonts w:ascii="宋体" w:hAnsi="宋体"/>
                <w:color w:val="000000"/>
                <w:sz w:val="18"/>
                <w:szCs w:val="18"/>
              </w:rPr>
            </w:pPr>
          </w:p>
        </w:tc>
        <w:tc>
          <w:tcPr>
            <w:tcW w:w="1892" w:type="dxa"/>
            <w:tcBorders>
              <w:top w:val="dotted"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jc w:val="center"/>
              <w:rPr>
                <w:rFonts w:ascii="宋体" w:hAnsi="宋体"/>
                <w:color w:val="000000"/>
                <w:sz w:val="24"/>
              </w:rPr>
            </w:pPr>
            <w:r>
              <w:rPr>
                <w:rFonts w:hint="eastAsia"/>
                <w:color w:val="000000"/>
              </w:rPr>
              <w:t>拟投标项目负责人姓名及资质</w:t>
            </w:r>
          </w:p>
        </w:tc>
        <w:tc>
          <w:tcPr>
            <w:tcW w:w="2373" w:type="dxa"/>
            <w:tcBorders>
              <w:top w:val="dotted" w:color="auto" w:sz="4" w:space="0"/>
              <w:left w:val="dotted" w:color="auto" w:sz="4" w:space="0"/>
              <w:bottom w:val="dotted" w:color="auto" w:sz="4" w:space="0"/>
              <w:right w:val="single" w:color="auto" w:sz="4" w:space="0"/>
            </w:tcBorders>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3" w:hRule="atLeast"/>
        </w:trPr>
        <w:tc>
          <w:tcPr>
            <w:tcW w:w="828" w:type="dxa"/>
            <w:vMerge w:val="restart"/>
            <w:tcBorders>
              <w:top w:val="single" w:color="auto" w:sz="4" w:space="0"/>
              <w:left w:val="single" w:color="auto" w:sz="4" w:space="0"/>
              <w:bottom w:val="dotted" w:color="auto" w:sz="4" w:space="0"/>
              <w:right w:val="dotted" w:color="auto" w:sz="4" w:space="0"/>
            </w:tcBorders>
            <w:vAlign w:val="center"/>
          </w:tcPr>
          <w:p>
            <w:pPr>
              <w:spacing w:before="100" w:beforeAutospacing="1" w:after="100" w:afterAutospacing="1" w:line="260" w:lineRule="exact"/>
              <w:jc w:val="center"/>
              <w:rPr>
                <w:color w:val="000000"/>
                <w:sz w:val="24"/>
              </w:rPr>
            </w:pPr>
            <w:r>
              <w:rPr>
                <w:rFonts w:hint="eastAsia"/>
                <w:color w:val="000000"/>
              </w:rPr>
              <w:t>供应商</w:t>
            </w:r>
          </w:p>
          <w:p>
            <w:pPr>
              <w:spacing w:before="100" w:beforeAutospacing="1" w:after="100" w:afterAutospacing="1" w:line="260" w:lineRule="exact"/>
              <w:jc w:val="center"/>
              <w:rPr>
                <w:color w:val="000000"/>
                <w:sz w:val="24"/>
              </w:rPr>
            </w:pPr>
            <w:r>
              <w:rPr>
                <w:rFonts w:hint="eastAsia"/>
                <w:color w:val="000000"/>
              </w:rPr>
              <w:t>市场</w:t>
            </w:r>
          </w:p>
          <w:p>
            <w:pPr>
              <w:spacing w:before="100" w:beforeAutospacing="1" w:after="100" w:afterAutospacing="1" w:line="260" w:lineRule="exact"/>
              <w:jc w:val="center"/>
              <w:rPr>
                <w:color w:val="000000"/>
                <w:sz w:val="24"/>
              </w:rPr>
            </w:pPr>
            <w:r>
              <w:rPr>
                <w:rFonts w:hint="eastAsia"/>
                <w:color w:val="000000"/>
              </w:rPr>
              <w:t>行为</w:t>
            </w:r>
          </w:p>
          <w:p>
            <w:pPr>
              <w:spacing w:before="100" w:beforeAutospacing="1" w:after="100" w:afterAutospacing="1" w:line="260" w:lineRule="exact"/>
              <w:jc w:val="center"/>
              <w:rPr>
                <w:color w:val="000000"/>
                <w:sz w:val="24"/>
              </w:rPr>
            </w:pPr>
            <w:r>
              <w:rPr>
                <w:rFonts w:hint="eastAsia"/>
                <w:color w:val="000000"/>
              </w:rPr>
              <w:t>信用</w:t>
            </w:r>
          </w:p>
          <w:p>
            <w:pPr>
              <w:spacing w:before="100" w:beforeAutospacing="1" w:after="100" w:afterAutospacing="1" w:line="260" w:lineRule="exact"/>
              <w:jc w:val="center"/>
              <w:rPr>
                <w:color w:val="000000"/>
              </w:rPr>
            </w:pPr>
            <w:r>
              <w:rPr>
                <w:rFonts w:hint="eastAsia"/>
                <w:color w:val="000000"/>
              </w:rPr>
              <w:t>情况</w:t>
            </w:r>
          </w:p>
        </w:tc>
        <w:tc>
          <w:tcPr>
            <w:tcW w:w="3960" w:type="dxa"/>
            <w:gridSpan w:val="3"/>
            <w:tcBorders>
              <w:top w:val="single"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rPr>
                <w:color w:val="000000"/>
              </w:rPr>
            </w:pPr>
            <w:r>
              <w:rPr>
                <w:rFonts w:hint="eastAsia"/>
                <w:color w:val="000000"/>
              </w:rPr>
              <w:t>有无受到所在地检察机关行贿犯罪档案记录的。</w:t>
            </w:r>
          </w:p>
        </w:tc>
        <w:tc>
          <w:tcPr>
            <w:tcW w:w="4788" w:type="dxa"/>
            <w:gridSpan w:val="3"/>
            <w:tcBorders>
              <w:top w:val="single" w:color="auto" w:sz="4" w:space="0"/>
              <w:left w:val="dotted" w:color="auto" w:sz="4" w:space="0"/>
              <w:bottom w:val="dotted" w:color="auto" w:sz="4" w:space="0"/>
              <w:right w:val="single" w:color="auto" w:sz="4" w:space="0"/>
            </w:tcBorders>
            <w:vAlign w:val="center"/>
          </w:tcPr>
          <w:p>
            <w:pPr>
              <w:spacing w:line="260" w:lineRule="exact"/>
              <w:jc w:val="center"/>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pPr>
              <w:widowControl/>
              <w:jc w:val="left"/>
              <w:rPr>
                <w:color w:val="000000"/>
              </w:rPr>
            </w:pPr>
          </w:p>
        </w:tc>
        <w:tc>
          <w:tcPr>
            <w:tcW w:w="3960" w:type="dxa"/>
            <w:gridSpan w:val="3"/>
            <w:tcBorders>
              <w:top w:val="single"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rPr>
                <w:color w:val="000000"/>
              </w:rPr>
            </w:pPr>
            <w:r>
              <w:rPr>
                <w:rFonts w:hint="eastAsia"/>
                <w:color w:val="000000"/>
              </w:rPr>
              <w:t>供应商或其法定代表人、董事、监事、高级管理人员有无被区县级及以上人民法院列入失信被执行人名单状态的</w:t>
            </w:r>
          </w:p>
        </w:tc>
        <w:tc>
          <w:tcPr>
            <w:tcW w:w="4788" w:type="dxa"/>
            <w:gridSpan w:val="3"/>
            <w:tcBorders>
              <w:top w:val="single" w:color="auto" w:sz="4" w:space="0"/>
              <w:left w:val="dotted" w:color="auto" w:sz="4" w:space="0"/>
              <w:bottom w:val="dotted" w:color="auto" w:sz="4" w:space="0"/>
              <w:right w:val="single" w:color="auto" w:sz="4" w:space="0"/>
            </w:tcBorders>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99"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pPr>
              <w:widowControl/>
              <w:jc w:val="left"/>
              <w:rPr>
                <w:color w:val="000000"/>
              </w:rPr>
            </w:pPr>
          </w:p>
        </w:tc>
        <w:tc>
          <w:tcPr>
            <w:tcW w:w="3960" w:type="dxa"/>
            <w:gridSpan w:val="3"/>
            <w:tcBorders>
              <w:top w:val="single" w:color="auto" w:sz="4" w:space="0"/>
              <w:left w:val="dotted" w:color="auto" w:sz="4" w:space="0"/>
              <w:bottom w:val="dotted" w:color="auto" w:sz="4" w:space="0"/>
              <w:right w:val="dotted" w:color="auto" w:sz="4" w:space="0"/>
            </w:tcBorders>
          </w:tcPr>
          <w:p>
            <w:pPr>
              <w:spacing w:before="100" w:beforeAutospacing="1" w:after="100" w:afterAutospacing="1" w:line="260" w:lineRule="exact"/>
              <w:rPr>
                <w:color w:val="000000"/>
              </w:rPr>
            </w:pPr>
            <w:r>
              <w:rPr>
                <w:rFonts w:hint="eastAsia"/>
                <w:color w:val="000000"/>
              </w:rPr>
              <w:t>供应商或其法定代表人、董事、监事、高级管理人员有无被“信用浙江”网或“中国信用网”被列入不良行为记录的</w:t>
            </w:r>
          </w:p>
        </w:tc>
        <w:tc>
          <w:tcPr>
            <w:tcW w:w="4788" w:type="dxa"/>
            <w:gridSpan w:val="3"/>
            <w:tcBorders>
              <w:top w:val="single" w:color="auto" w:sz="4" w:space="0"/>
              <w:left w:val="dotted" w:color="auto" w:sz="4" w:space="0"/>
              <w:bottom w:val="dotted" w:color="auto" w:sz="4" w:space="0"/>
              <w:right w:val="single" w:color="auto" w:sz="4" w:space="0"/>
            </w:tcBorders>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16"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pPr>
              <w:widowControl/>
              <w:jc w:val="left"/>
              <w:rPr>
                <w:color w:val="000000"/>
              </w:rPr>
            </w:pPr>
          </w:p>
        </w:tc>
        <w:tc>
          <w:tcPr>
            <w:tcW w:w="3960" w:type="dxa"/>
            <w:gridSpan w:val="3"/>
            <w:tcBorders>
              <w:top w:val="dotted" w:color="auto" w:sz="4" w:space="0"/>
              <w:left w:val="dotted" w:color="auto" w:sz="4" w:space="0"/>
              <w:bottom w:val="nil"/>
              <w:right w:val="dotted" w:color="auto" w:sz="4" w:space="0"/>
            </w:tcBorders>
            <w:vAlign w:val="center"/>
          </w:tcPr>
          <w:p>
            <w:pPr>
              <w:spacing w:before="100" w:beforeAutospacing="1" w:after="100" w:afterAutospacing="1" w:line="260" w:lineRule="exact"/>
              <w:rPr>
                <w:rFonts w:ascii="宋体" w:hAnsi="宋体"/>
                <w:color w:val="000000"/>
                <w:sz w:val="24"/>
              </w:rPr>
            </w:pPr>
            <w:r>
              <w:rPr>
                <w:rFonts w:hint="eastAsia"/>
                <w:color w:val="000000"/>
              </w:rPr>
              <w:t>有无受到财政部门处理、公告的不良行为；有无受到司法机关、市场监管等部门不诚信公告（不在公告期但在三年内）</w:t>
            </w:r>
          </w:p>
        </w:tc>
        <w:tc>
          <w:tcPr>
            <w:tcW w:w="4788" w:type="dxa"/>
            <w:gridSpan w:val="3"/>
            <w:tcBorders>
              <w:top w:val="dotted" w:color="auto" w:sz="4" w:space="0"/>
              <w:left w:val="dotted" w:color="auto" w:sz="4" w:space="0"/>
              <w:bottom w:val="nil"/>
              <w:right w:val="single" w:color="auto" w:sz="4" w:space="0"/>
            </w:tcBorders>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03" w:hRule="atLeast"/>
        </w:trPr>
        <w:tc>
          <w:tcPr>
            <w:tcW w:w="828" w:type="dxa"/>
            <w:vMerge w:val="continue"/>
            <w:tcBorders>
              <w:top w:val="single" w:color="auto" w:sz="4" w:space="0"/>
              <w:left w:val="single" w:color="auto" w:sz="4" w:space="0"/>
              <w:bottom w:val="dotted" w:color="auto" w:sz="4" w:space="0"/>
              <w:right w:val="dotted" w:color="auto" w:sz="4" w:space="0"/>
            </w:tcBorders>
            <w:vAlign w:val="center"/>
          </w:tcPr>
          <w:p>
            <w:pPr>
              <w:widowControl/>
              <w:jc w:val="left"/>
              <w:rPr>
                <w:color w:val="000000"/>
              </w:rPr>
            </w:pPr>
          </w:p>
        </w:tc>
        <w:tc>
          <w:tcPr>
            <w:tcW w:w="3960" w:type="dxa"/>
            <w:gridSpan w:val="3"/>
            <w:tcBorders>
              <w:top w:val="dotted" w:color="auto" w:sz="4" w:space="0"/>
              <w:left w:val="dotted" w:color="auto" w:sz="4" w:space="0"/>
              <w:bottom w:val="dotted" w:color="auto" w:sz="4" w:space="0"/>
              <w:right w:val="dotted" w:color="auto" w:sz="4" w:space="0"/>
            </w:tcBorders>
            <w:vAlign w:val="center"/>
          </w:tcPr>
          <w:p>
            <w:pPr>
              <w:spacing w:before="100" w:beforeAutospacing="1" w:after="100" w:afterAutospacing="1" w:line="260" w:lineRule="exact"/>
              <w:rPr>
                <w:color w:val="000000"/>
              </w:rPr>
            </w:pPr>
            <w:r>
              <w:rPr>
                <w:rFonts w:hint="eastAsia"/>
                <w:color w:val="000000"/>
              </w:rPr>
              <w:t>申请报名前三年内，在经营活动中有无重大违法记录（重大违法记录包括：（一）县级以上行政机关对供应商或其法定代表人、董事、监事、高级管理人员在经营活动中的违法行为做出的行政处罚决定，但警告和罚款额在《浙江省实施行政处罚适用听证程序较大数额罚款标准》以下的除外。（二）各级司法机关对供应商或其法定代表人、董事、监事、高级管理人员在经营活动中的违法行为做出的刑事判决）</w:t>
            </w:r>
          </w:p>
        </w:tc>
        <w:tc>
          <w:tcPr>
            <w:tcW w:w="4788" w:type="dxa"/>
            <w:gridSpan w:val="3"/>
            <w:tcBorders>
              <w:top w:val="dotted" w:color="auto" w:sz="4" w:space="0"/>
              <w:left w:val="dotted" w:color="auto" w:sz="4" w:space="0"/>
              <w:bottom w:val="dotted" w:color="auto" w:sz="4" w:space="0"/>
              <w:right w:val="single" w:color="auto" w:sz="4" w:space="0"/>
            </w:tcBorders>
          </w:tcPr>
          <w:p>
            <w:pPr>
              <w:spacing w:line="260" w:lineRule="exact"/>
              <w:rPr>
                <w:rFonts w:ascii="宋体" w:hAnsi="宋体"/>
                <w:color w:val="000000"/>
                <w:sz w:val="18"/>
                <w:szCs w:val="18"/>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782" w:hRule="atLeast"/>
        </w:trPr>
        <w:tc>
          <w:tcPr>
            <w:tcW w:w="2138" w:type="dxa"/>
            <w:gridSpan w:val="2"/>
            <w:tcBorders>
              <w:top w:val="dotted" w:color="auto" w:sz="4" w:space="0"/>
              <w:left w:val="single" w:color="auto" w:sz="4" w:space="0"/>
              <w:bottom w:val="single" w:color="auto" w:sz="4" w:space="0"/>
              <w:right w:val="dotted" w:color="auto" w:sz="4" w:space="0"/>
            </w:tcBorders>
            <w:vAlign w:val="center"/>
          </w:tcPr>
          <w:p>
            <w:pPr>
              <w:spacing w:before="100" w:beforeAutospacing="1" w:after="100" w:afterAutospacing="1" w:line="260" w:lineRule="exact"/>
              <w:jc w:val="center"/>
              <w:rPr>
                <w:color w:val="000000"/>
              </w:rPr>
            </w:pPr>
            <w:r>
              <w:rPr>
                <w:rFonts w:hint="eastAsia"/>
                <w:color w:val="000000"/>
              </w:rPr>
              <w:t>投标供应商</w:t>
            </w:r>
          </w:p>
          <w:p>
            <w:pPr>
              <w:spacing w:before="100" w:beforeAutospacing="1" w:after="100" w:afterAutospacing="1" w:line="260" w:lineRule="exact"/>
              <w:jc w:val="center"/>
              <w:rPr>
                <w:rFonts w:ascii="宋体" w:hAnsi="宋体"/>
                <w:color w:val="000000"/>
                <w:sz w:val="24"/>
              </w:rPr>
            </w:pPr>
            <w:r>
              <w:rPr>
                <w:rFonts w:hint="eastAsia"/>
                <w:color w:val="000000"/>
              </w:rPr>
              <w:t>声明</w:t>
            </w:r>
          </w:p>
        </w:tc>
        <w:tc>
          <w:tcPr>
            <w:tcW w:w="7438" w:type="dxa"/>
            <w:gridSpan w:val="5"/>
            <w:tcBorders>
              <w:top w:val="dotted" w:color="auto" w:sz="4" w:space="0"/>
              <w:left w:val="dotted" w:color="auto" w:sz="4" w:space="0"/>
              <w:bottom w:val="single" w:color="auto" w:sz="4" w:space="0"/>
              <w:right w:val="single" w:color="auto" w:sz="4" w:space="0"/>
            </w:tcBorders>
          </w:tcPr>
          <w:p>
            <w:pPr>
              <w:pStyle w:val="14"/>
              <w:spacing w:line="260" w:lineRule="exact"/>
              <w:ind w:firstLine="411" w:firstLineChars="196"/>
              <w:rPr>
                <w:szCs w:val="18"/>
              </w:rPr>
            </w:pPr>
            <w:r>
              <w:rPr>
                <w:rFonts w:hint="eastAsia"/>
                <w:szCs w:val="18"/>
              </w:rPr>
              <w:t>以上内容是本企业市场行为信用的真实反映，如有不实，愿取消本项目投标资格。</w:t>
            </w:r>
          </w:p>
          <w:p>
            <w:pPr>
              <w:spacing w:before="100" w:beforeAutospacing="1" w:after="100" w:afterAutospacing="1" w:line="260" w:lineRule="exact"/>
              <w:jc w:val="center"/>
              <w:rPr>
                <w:color w:val="000000"/>
                <w:sz w:val="24"/>
              </w:rPr>
            </w:pPr>
            <w:r>
              <w:rPr>
                <w:rFonts w:hint="eastAsia"/>
                <w:color w:val="000000"/>
              </w:rPr>
              <w:t>法定代表人签名：</w:t>
            </w:r>
            <w:r>
              <w:rPr>
                <w:color w:val="000000"/>
              </w:rPr>
              <w:t xml:space="preserve"> (</w:t>
            </w:r>
            <w:r>
              <w:rPr>
                <w:rFonts w:hint="eastAsia"/>
                <w:color w:val="000000"/>
              </w:rPr>
              <w:t>单位公章</w:t>
            </w:r>
            <w:r>
              <w:rPr>
                <w:color w:val="000000"/>
              </w:rPr>
              <w:t xml:space="preserve">) </w:t>
            </w:r>
          </w:p>
          <w:p>
            <w:pPr>
              <w:spacing w:before="100" w:beforeAutospacing="1" w:after="100" w:afterAutospacing="1" w:line="260" w:lineRule="exact"/>
              <w:jc w:val="center"/>
              <w:rPr>
                <w:rFonts w:ascii="宋体" w:hAnsi="宋体"/>
                <w:color w:val="000000"/>
                <w:sz w:val="24"/>
              </w:rPr>
            </w:pPr>
            <w:r>
              <w:rPr>
                <w:rFonts w:hint="eastAsia"/>
                <w:color w:val="000000"/>
              </w:rPr>
              <w:t>日期：年月日</w:t>
            </w:r>
          </w:p>
        </w:tc>
      </w:tr>
    </w:tbl>
    <w:p>
      <w:pPr>
        <w:rPr>
          <w:color w:val="000000"/>
        </w:rPr>
      </w:pPr>
      <w:r>
        <w:rPr>
          <w:rFonts w:hint="eastAsia"/>
          <w:color w:val="000000"/>
        </w:rPr>
        <w:t>注：</w:t>
      </w:r>
      <w:r>
        <w:rPr>
          <w:color w:val="000000"/>
        </w:rPr>
        <w:t>1</w:t>
      </w:r>
      <w:r>
        <w:rPr>
          <w:rFonts w:hint="eastAsia"/>
          <w:color w:val="000000"/>
        </w:rPr>
        <w:t>、本表格内容须如实填写；</w:t>
      </w:r>
    </w:p>
    <w:p>
      <w:pPr>
        <w:ind w:firstLine="420" w:firstLineChars="200"/>
        <w:rPr>
          <w:color w:val="000000"/>
        </w:rPr>
      </w:pPr>
      <w:r>
        <w:rPr>
          <w:color w:val="000000"/>
        </w:rPr>
        <w:t>2</w:t>
      </w:r>
      <w:r>
        <w:rPr>
          <w:rFonts w:hint="eastAsia"/>
          <w:color w:val="000000"/>
        </w:rPr>
        <w:t>、本表格由供应商自己填写，若无表中所列情况，则在相应栏中写“无“，若有，须按具体次数分别说明（包括处罚时间、事由、处罚主体等）；</w:t>
      </w:r>
    </w:p>
    <w:p>
      <w:pPr>
        <w:widowControl/>
        <w:spacing w:line="360" w:lineRule="auto"/>
        <w:ind w:left="420" w:right="159"/>
        <w:rPr>
          <w:rFonts w:ascii="宋体" w:hAnsi="宋体"/>
          <w:kern w:val="0"/>
          <w:sz w:val="24"/>
        </w:rPr>
      </w:pPr>
    </w:p>
    <w:p>
      <w:pPr>
        <w:widowControl/>
        <w:jc w:val="left"/>
        <w:rPr>
          <w:rFonts w:ascii="宋体" w:hAnsi="宋体"/>
          <w:b/>
        </w:rPr>
      </w:pPr>
      <w:r>
        <w:rPr>
          <w:rFonts w:ascii="宋体" w:hAnsi="宋体"/>
          <w:b/>
        </w:rPr>
        <w:br w:type="page"/>
      </w:r>
    </w:p>
    <w:p>
      <w:pPr>
        <w:snapToGrid w:val="0"/>
        <w:spacing w:before="157" w:beforeLines="50" w:after="50" w:line="360" w:lineRule="auto"/>
        <w:rPr>
          <w:rFonts w:ascii="宋体" w:hAnsi="宋体"/>
          <w:b/>
        </w:rPr>
      </w:pPr>
      <w:bookmarkStart w:id="94" w:name="_Toc23154"/>
      <w:r>
        <w:rPr>
          <w:rFonts w:hint="eastAsia" w:ascii="宋体" w:hAnsi="宋体"/>
          <w:b/>
        </w:rPr>
        <w:t>附件</w:t>
      </w:r>
      <w:bookmarkEnd w:id="94"/>
      <w:r>
        <w:rPr>
          <w:rFonts w:hint="eastAsia" w:ascii="宋体" w:hAnsi="宋体"/>
          <w:b/>
        </w:rPr>
        <w:t>7</w:t>
      </w:r>
    </w:p>
    <w:p>
      <w:pPr>
        <w:spacing w:line="480" w:lineRule="exact"/>
        <w:jc w:val="center"/>
        <w:outlineLvl w:val="3"/>
        <w:rPr>
          <w:rFonts w:ascii="宋体" w:hAnsi="宋体" w:cs="宋体"/>
          <w:b/>
          <w:sz w:val="32"/>
          <w:szCs w:val="32"/>
          <w:lang w:val="en-GB"/>
        </w:rPr>
      </w:pPr>
      <w:r>
        <w:rPr>
          <w:rFonts w:hint="eastAsia" w:ascii="宋体" w:hAnsi="宋体" w:cs="宋体"/>
          <w:b/>
          <w:sz w:val="32"/>
          <w:szCs w:val="32"/>
          <w:lang w:val="en-GB"/>
        </w:rPr>
        <w:t>评分响应表</w:t>
      </w:r>
    </w:p>
    <w:p>
      <w:pPr>
        <w:snapToGrid w:val="0"/>
        <w:spacing w:line="360" w:lineRule="auto"/>
        <w:ind w:firstLine="241" w:firstLineChars="100"/>
        <w:rPr>
          <w:rFonts w:ascii="宋体" w:hAnsi="宋体"/>
          <w:b/>
          <w:sz w:val="24"/>
          <w:u w:val="single"/>
        </w:rPr>
      </w:pPr>
      <w:r>
        <w:rPr>
          <w:rFonts w:hint="eastAsia" w:ascii="宋体" w:hAnsi="宋体"/>
          <w:b/>
          <w:sz w:val="24"/>
        </w:rPr>
        <w:t>投标单位名称：</w:t>
      </w:r>
    </w:p>
    <w:tbl>
      <w:tblPr>
        <w:tblStyle w:val="37"/>
        <w:tblW w:w="9084"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86"/>
        <w:gridCol w:w="1318"/>
        <w:gridCol w:w="3124"/>
        <w:gridCol w:w="1156"/>
        <w:gridCol w:w="2700"/>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6"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pStyle w:val="31"/>
              <w:spacing w:after="0" w:line="360" w:lineRule="auto"/>
              <w:ind w:left="0" w:leftChars="0"/>
              <w:rPr>
                <w:b/>
                <w:bCs/>
                <w:sz w:val="24"/>
                <w:szCs w:val="24"/>
              </w:rPr>
            </w:pPr>
            <w:r>
              <w:rPr>
                <w:rFonts w:hint="eastAsia"/>
                <w:b/>
                <w:bCs/>
                <w:sz w:val="24"/>
                <w:szCs w:val="24"/>
              </w:rPr>
              <w:t>序号</w:t>
            </w:r>
          </w:p>
        </w:tc>
        <w:tc>
          <w:tcPr>
            <w:tcW w:w="1318" w:type="dxa"/>
            <w:tcBorders>
              <w:top w:val="single" w:color="auto" w:sz="4" w:space="0"/>
              <w:left w:val="single" w:color="auto" w:sz="4" w:space="0"/>
              <w:bottom w:val="single" w:color="auto" w:sz="4" w:space="0"/>
              <w:right w:val="single" w:color="auto" w:sz="4" w:space="0"/>
            </w:tcBorders>
            <w:vAlign w:val="center"/>
          </w:tcPr>
          <w:p>
            <w:pPr>
              <w:pStyle w:val="31"/>
              <w:spacing w:after="0" w:line="360" w:lineRule="auto"/>
              <w:ind w:left="0" w:leftChars="0"/>
              <w:rPr>
                <w:b/>
                <w:bCs/>
                <w:sz w:val="24"/>
                <w:szCs w:val="24"/>
              </w:rPr>
            </w:pPr>
            <w:r>
              <w:rPr>
                <w:rFonts w:hint="eastAsia"/>
                <w:b/>
                <w:bCs/>
                <w:sz w:val="24"/>
                <w:szCs w:val="24"/>
              </w:rPr>
              <w:t>评审内容</w:t>
            </w:r>
          </w:p>
        </w:tc>
        <w:tc>
          <w:tcPr>
            <w:tcW w:w="3124" w:type="dxa"/>
            <w:tcBorders>
              <w:top w:val="single" w:color="auto" w:sz="4" w:space="0"/>
              <w:left w:val="single" w:color="auto" w:sz="4" w:space="0"/>
              <w:bottom w:val="single" w:color="auto" w:sz="4" w:space="0"/>
              <w:right w:val="single" w:color="auto" w:sz="4" w:space="0"/>
            </w:tcBorders>
            <w:vAlign w:val="center"/>
          </w:tcPr>
          <w:p>
            <w:pPr>
              <w:pStyle w:val="31"/>
              <w:spacing w:after="0" w:line="360" w:lineRule="auto"/>
              <w:ind w:firstLine="482"/>
              <w:jc w:val="center"/>
              <w:rPr>
                <w:b/>
                <w:bCs/>
                <w:sz w:val="24"/>
                <w:szCs w:val="24"/>
              </w:rPr>
            </w:pPr>
            <w:r>
              <w:rPr>
                <w:rFonts w:hint="eastAsia"/>
                <w:b/>
                <w:bCs/>
                <w:sz w:val="24"/>
                <w:szCs w:val="24"/>
              </w:rPr>
              <w:t>评分标准</w:t>
            </w:r>
          </w:p>
        </w:tc>
        <w:tc>
          <w:tcPr>
            <w:tcW w:w="1156" w:type="dxa"/>
            <w:tcBorders>
              <w:top w:val="single" w:color="auto" w:sz="4" w:space="0"/>
              <w:left w:val="single" w:color="auto" w:sz="4" w:space="0"/>
              <w:bottom w:val="single" w:color="auto" w:sz="4" w:space="0"/>
              <w:right w:val="single" w:color="auto" w:sz="4" w:space="0"/>
            </w:tcBorders>
            <w:vAlign w:val="center"/>
          </w:tcPr>
          <w:p>
            <w:pPr>
              <w:pStyle w:val="31"/>
              <w:spacing w:after="0" w:line="360" w:lineRule="auto"/>
              <w:jc w:val="center"/>
              <w:rPr>
                <w:b/>
                <w:bCs/>
                <w:sz w:val="24"/>
                <w:szCs w:val="24"/>
              </w:rPr>
            </w:pPr>
            <w:r>
              <w:rPr>
                <w:rFonts w:hint="eastAsia"/>
                <w:b/>
                <w:bCs/>
                <w:sz w:val="24"/>
                <w:szCs w:val="24"/>
              </w:rPr>
              <w:t>分值</w:t>
            </w:r>
          </w:p>
        </w:tc>
        <w:tc>
          <w:tcPr>
            <w:tcW w:w="2700" w:type="dxa"/>
            <w:tcBorders>
              <w:top w:val="single" w:color="auto" w:sz="4" w:space="0"/>
              <w:left w:val="single" w:color="auto" w:sz="4" w:space="0"/>
              <w:bottom w:val="single" w:color="auto" w:sz="4" w:space="0"/>
              <w:right w:val="single" w:color="auto" w:sz="4" w:space="0"/>
            </w:tcBorders>
            <w:vAlign w:val="center"/>
          </w:tcPr>
          <w:p>
            <w:pPr>
              <w:pStyle w:val="31"/>
              <w:spacing w:after="0" w:line="360" w:lineRule="auto"/>
              <w:jc w:val="center"/>
              <w:rPr>
                <w:b/>
                <w:bCs/>
                <w:sz w:val="24"/>
                <w:szCs w:val="24"/>
              </w:rPr>
            </w:pPr>
            <w:r>
              <w:rPr>
                <w:rFonts w:hint="eastAsia"/>
                <w:b/>
                <w:bCs/>
                <w:sz w:val="24"/>
                <w:szCs w:val="24"/>
              </w:rPr>
              <w:t>页码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4"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spacing w:line="360" w:lineRule="auto"/>
              <w:jc w:val="center"/>
              <w:rPr>
                <w:rFonts w:ascii="宋体" w:hAnsi="宋体"/>
                <w:sz w:val="24"/>
              </w:rPr>
            </w:pPr>
            <w:r>
              <w:rPr>
                <w:rFonts w:hint="eastAsia" w:ascii="宋体" w:hAnsi="宋体"/>
                <w:sz w:val="24"/>
              </w:rPr>
              <w:t>1</w:t>
            </w:r>
          </w:p>
        </w:tc>
        <w:tc>
          <w:tcPr>
            <w:tcW w:w="1318"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sz w:val="24"/>
              </w:rPr>
            </w:pPr>
          </w:p>
        </w:tc>
        <w:tc>
          <w:tcPr>
            <w:tcW w:w="3124" w:type="dxa"/>
            <w:tcBorders>
              <w:top w:val="single" w:color="auto" w:sz="4" w:space="0"/>
              <w:left w:val="single" w:color="auto" w:sz="4" w:space="0"/>
              <w:right w:val="single" w:color="auto" w:sz="4" w:space="0"/>
            </w:tcBorders>
            <w:vAlign w:val="center"/>
          </w:tcPr>
          <w:p>
            <w:pPr>
              <w:spacing w:line="360" w:lineRule="auto"/>
              <w:jc w:val="center"/>
              <w:rPr>
                <w:rFonts w:ascii="宋体" w:hAnsi="宋体"/>
                <w:sz w:val="24"/>
              </w:rPr>
            </w:pPr>
          </w:p>
        </w:tc>
        <w:tc>
          <w:tcPr>
            <w:tcW w:w="1156" w:type="dxa"/>
            <w:tcBorders>
              <w:top w:val="single" w:color="auto" w:sz="4" w:space="0"/>
              <w:left w:val="single" w:color="auto" w:sz="4" w:space="0"/>
              <w:right w:val="single" w:color="auto" w:sz="4" w:space="0"/>
            </w:tcBorders>
            <w:vAlign w:val="center"/>
          </w:tcPr>
          <w:p>
            <w:pPr>
              <w:spacing w:line="360" w:lineRule="auto"/>
              <w:jc w:val="center"/>
              <w:rPr>
                <w:rFonts w:ascii="宋体" w:hAnsi="宋体"/>
                <w:bCs/>
                <w:sz w:val="24"/>
              </w:rPr>
            </w:pPr>
          </w:p>
        </w:tc>
        <w:tc>
          <w:tcPr>
            <w:tcW w:w="2700" w:type="dxa"/>
            <w:tcBorders>
              <w:top w:val="single" w:color="auto" w:sz="4" w:space="0"/>
              <w:left w:val="single" w:color="auto" w:sz="4" w:space="0"/>
              <w:right w:val="single" w:color="auto" w:sz="4" w:space="0"/>
            </w:tcBorders>
            <w:vAlign w:val="center"/>
          </w:tcPr>
          <w:p>
            <w:pPr>
              <w:spacing w:line="360" w:lineRule="auto"/>
              <w:jc w:val="center"/>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46" w:hRule="atLeast"/>
          <w:jc w:val="center"/>
        </w:trPr>
        <w:tc>
          <w:tcPr>
            <w:tcW w:w="786" w:type="dxa"/>
            <w:tcBorders>
              <w:top w:val="single" w:color="auto" w:sz="4" w:space="0"/>
              <w:left w:val="single" w:color="auto" w:sz="4" w:space="0"/>
              <w:bottom w:val="single" w:color="auto" w:sz="4" w:space="0"/>
              <w:right w:val="single" w:color="auto" w:sz="4" w:space="0"/>
            </w:tcBorders>
            <w:vAlign w:val="center"/>
          </w:tcPr>
          <w:p>
            <w:pPr>
              <w:widowControl/>
              <w:spacing w:line="480" w:lineRule="exact"/>
              <w:jc w:val="center"/>
              <w:rPr>
                <w:rFonts w:ascii="宋体" w:hAnsi="宋体"/>
                <w:sz w:val="24"/>
              </w:rPr>
            </w:pPr>
            <w:r>
              <w:rPr>
                <w:rFonts w:hint="eastAsia" w:ascii="宋体" w:hAnsi="宋体"/>
                <w:sz w:val="24"/>
              </w:rPr>
              <w:t>2</w:t>
            </w:r>
          </w:p>
        </w:tc>
        <w:tc>
          <w:tcPr>
            <w:tcW w:w="1318"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 w:val="24"/>
              </w:rPr>
            </w:pPr>
          </w:p>
        </w:tc>
        <w:tc>
          <w:tcPr>
            <w:tcW w:w="3124" w:type="dxa"/>
            <w:tcBorders>
              <w:top w:val="single" w:color="auto" w:sz="4" w:space="0"/>
              <w:left w:val="single" w:color="auto" w:sz="4" w:space="0"/>
              <w:right w:val="single" w:color="auto" w:sz="4" w:space="0"/>
            </w:tcBorders>
            <w:vAlign w:val="center"/>
          </w:tcPr>
          <w:p>
            <w:pPr>
              <w:widowControl/>
              <w:spacing w:line="480" w:lineRule="exact"/>
              <w:jc w:val="center"/>
              <w:rPr>
                <w:rFonts w:ascii="宋体" w:hAnsi="宋体" w:cs="宋体"/>
                <w:kern w:val="0"/>
                <w:sz w:val="24"/>
              </w:rPr>
            </w:pPr>
          </w:p>
        </w:tc>
        <w:tc>
          <w:tcPr>
            <w:tcW w:w="1156" w:type="dxa"/>
            <w:tcBorders>
              <w:top w:val="single" w:color="auto" w:sz="4" w:space="0"/>
              <w:left w:val="single" w:color="auto" w:sz="4" w:space="0"/>
              <w:right w:val="single" w:color="auto" w:sz="4" w:space="0"/>
            </w:tcBorders>
            <w:vAlign w:val="center"/>
          </w:tcPr>
          <w:p>
            <w:pPr>
              <w:spacing w:line="480" w:lineRule="exact"/>
              <w:jc w:val="center"/>
              <w:rPr>
                <w:rFonts w:ascii="宋体" w:hAnsi="宋体"/>
                <w:bCs/>
                <w:sz w:val="24"/>
              </w:rPr>
            </w:pPr>
          </w:p>
        </w:tc>
        <w:tc>
          <w:tcPr>
            <w:tcW w:w="2700" w:type="dxa"/>
            <w:tcBorders>
              <w:top w:val="single" w:color="auto" w:sz="4" w:space="0"/>
              <w:left w:val="single" w:color="auto" w:sz="4" w:space="0"/>
              <w:right w:val="single" w:color="auto" w:sz="4" w:space="0"/>
            </w:tcBorders>
            <w:vAlign w:val="center"/>
          </w:tcPr>
          <w:p>
            <w:pPr>
              <w:spacing w:line="480" w:lineRule="exact"/>
              <w:jc w:val="center"/>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786"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sz w:val="24"/>
              </w:rPr>
            </w:pPr>
          </w:p>
        </w:tc>
        <w:tc>
          <w:tcPr>
            <w:tcW w:w="1318"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kern w:val="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spacing w:line="480" w:lineRule="exact"/>
              <w:ind w:left="55" w:leftChars="26"/>
              <w:jc w:val="center"/>
              <w:rPr>
                <w:rFonts w:ascii="宋体" w:hAnsi="宋体" w:cs="宋体"/>
                <w:kern w:val="0"/>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786"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sz w:val="24"/>
              </w:rPr>
            </w:pPr>
          </w:p>
        </w:tc>
        <w:tc>
          <w:tcPr>
            <w:tcW w:w="1318"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kern w:val="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spacing w:line="480" w:lineRule="exact"/>
              <w:ind w:left="55" w:leftChars="26"/>
              <w:jc w:val="center"/>
              <w:rPr>
                <w:rFonts w:ascii="宋体" w:hAnsi="宋体" w:cs="宋体"/>
                <w:kern w:val="0"/>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62" w:hRule="atLeast"/>
          <w:jc w:val="center"/>
        </w:trPr>
        <w:tc>
          <w:tcPr>
            <w:tcW w:w="786"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sz w:val="24"/>
              </w:rPr>
            </w:pPr>
            <w:r>
              <w:rPr>
                <w:rFonts w:hint="eastAsia" w:ascii="宋体" w:hAnsi="宋体"/>
                <w:sz w:val="24"/>
              </w:rPr>
              <w:t>……</w:t>
            </w:r>
          </w:p>
        </w:tc>
        <w:tc>
          <w:tcPr>
            <w:tcW w:w="1318" w:type="dxa"/>
            <w:tcBorders>
              <w:left w:val="single" w:color="auto" w:sz="4" w:space="0"/>
              <w:bottom w:val="single" w:color="auto" w:sz="4" w:space="0"/>
              <w:right w:val="single" w:color="auto" w:sz="4" w:space="0"/>
            </w:tcBorders>
            <w:vAlign w:val="center"/>
          </w:tcPr>
          <w:p>
            <w:pPr>
              <w:widowControl/>
              <w:spacing w:line="480" w:lineRule="exact"/>
              <w:jc w:val="center"/>
              <w:rPr>
                <w:rFonts w:ascii="宋体" w:hAnsi="宋体" w:cs="宋体"/>
                <w:kern w:val="0"/>
                <w:sz w:val="24"/>
              </w:rPr>
            </w:pPr>
          </w:p>
        </w:tc>
        <w:tc>
          <w:tcPr>
            <w:tcW w:w="3124" w:type="dxa"/>
            <w:tcBorders>
              <w:top w:val="single" w:color="auto" w:sz="4" w:space="0"/>
              <w:left w:val="single" w:color="auto" w:sz="4" w:space="0"/>
              <w:bottom w:val="single" w:color="auto" w:sz="4" w:space="0"/>
              <w:right w:val="single" w:color="auto" w:sz="4" w:space="0"/>
            </w:tcBorders>
            <w:vAlign w:val="center"/>
          </w:tcPr>
          <w:p>
            <w:pPr>
              <w:spacing w:line="480" w:lineRule="exact"/>
              <w:ind w:left="55" w:leftChars="26"/>
              <w:jc w:val="center"/>
              <w:rPr>
                <w:rFonts w:ascii="宋体" w:hAnsi="宋体" w:cs="宋体"/>
                <w:kern w:val="0"/>
                <w:sz w:val="24"/>
              </w:rPr>
            </w:pPr>
          </w:p>
        </w:tc>
        <w:tc>
          <w:tcPr>
            <w:tcW w:w="1156"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c>
          <w:tcPr>
            <w:tcW w:w="2700"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bCs/>
                <w:sz w:val="24"/>
              </w:rPr>
            </w:pPr>
          </w:p>
        </w:tc>
      </w:tr>
    </w:tbl>
    <w:p>
      <w:pPr>
        <w:snapToGrid w:val="0"/>
        <w:spacing w:line="480" w:lineRule="exact"/>
        <w:rPr>
          <w:rFonts w:ascii="宋体" w:hAnsi="宋体"/>
          <w:b/>
          <w:bCs/>
          <w:sz w:val="24"/>
        </w:rPr>
      </w:pPr>
      <w:r>
        <w:rPr>
          <w:rFonts w:hint="eastAsia" w:ascii="宋体" w:hAnsi="宋体"/>
          <w:b/>
          <w:bCs/>
          <w:sz w:val="24"/>
        </w:rPr>
        <w:t>注：1、投标单位根据所投标项的评分表内容，按此格式提供评分响应表置于技术文件第1页。</w:t>
      </w:r>
    </w:p>
    <w:p>
      <w:pPr>
        <w:snapToGrid w:val="0"/>
        <w:spacing w:line="480" w:lineRule="exact"/>
        <w:ind w:firstLine="482" w:firstLineChars="200"/>
        <w:jc w:val="left"/>
        <w:rPr>
          <w:rFonts w:ascii="宋体" w:hAnsi="宋体"/>
          <w:b/>
          <w:bCs/>
          <w:sz w:val="24"/>
        </w:rPr>
      </w:pPr>
      <w:r>
        <w:rPr>
          <w:rFonts w:hint="eastAsia" w:ascii="宋体" w:hAnsi="宋体"/>
          <w:b/>
          <w:bCs/>
          <w:sz w:val="24"/>
        </w:rPr>
        <w:t>2、投标人在标注页码时，应如实准确地标注页码，因投标人页码标注错误，导致专家误评、漏评的风险由投标人承担。</w:t>
      </w:r>
    </w:p>
    <w:p>
      <w:pPr>
        <w:snapToGrid w:val="0"/>
        <w:spacing w:line="480" w:lineRule="exact"/>
        <w:jc w:val="left"/>
        <w:rPr>
          <w:rFonts w:ascii="宋体" w:hAnsi="宋体"/>
          <w:b/>
          <w:sz w:val="24"/>
        </w:rPr>
      </w:pPr>
    </w:p>
    <w:p>
      <w:pPr>
        <w:spacing w:line="480" w:lineRule="exact"/>
        <w:rPr>
          <w:rFonts w:ascii="宋体" w:hAnsi="宋体"/>
          <w:b/>
          <w:bCs/>
          <w:sz w:val="24"/>
        </w:rPr>
      </w:pPr>
    </w:p>
    <w:p>
      <w:pPr>
        <w:tabs>
          <w:tab w:val="left" w:pos="540"/>
        </w:tabs>
        <w:spacing w:line="480" w:lineRule="exact"/>
        <w:rPr>
          <w:rFonts w:ascii="宋体" w:hAnsi="宋体"/>
          <w:b/>
          <w:sz w:val="24"/>
          <w:lang w:val="en-GB"/>
        </w:rPr>
      </w:pPr>
    </w:p>
    <w:p>
      <w:pPr>
        <w:adjustRightInd w:val="0"/>
        <w:snapToGrid w:val="0"/>
        <w:spacing w:line="480" w:lineRule="exact"/>
        <w:rPr>
          <w:rFonts w:ascii="宋体" w:hAnsi="宋体"/>
          <w:sz w:val="24"/>
        </w:rPr>
      </w:pPr>
      <w:r>
        <w:rPr>
          <w:rFonts w:hint="eastAsia" w:ascii="宋体" w:hAnsi="宋体"/>
          <w:sz w:val="24"/>
        </w:rPr>
        <w:t>响应供应商法定代表人（或法定代表人授权代表）签字：</w:t>
      </w:r>
    </w:p>
    <w:p>
      <w:pPr>
        <w:adjustRightInd w:val="0"/>
        <w:snapToGrid w:val="0"/>
        <w:spacing w:line="480" w:lineRule="exact"/>
        <w:rPr>
          <w:rFonts w:ascii="宋体" w:hAnsi="宋体"/>
          <w:sz w:val="24"/>
          <w:u w:val="single"/>
        </w:rPr>
      </w:pPr>
      <w:r>
        <w:rPr>
          <w:rFonts w:hint="eastAsia" w:ascii="宋体" w:hAnsi="宋体"/>
          <w:sz w:val="24"/>
        </w:rPr>
        <w:t>响应供应商名称（签章）：</w:t>
      </w:r>
    </w:p>
    <w:p>
      <w:pPr>
        <w:spacing w:line="480" w:lineRule="exact"/>
        <w:rPr>
          <w:rFonts w:ascii="宋体" w:hAnsi="宋体"/>
          <w:sz w:val="24"/>
        </w:rPr>
      </w:pPr>
      <w:r>
        <w:rPr>
          <w:rFonts w:hint="eastAsia" w:ascii="宋体" w:hAnsi="宋体"/>
          <w:sz w:val="24"/>
        </w:rPr>
        <w:t>日期：年 月 日</w:t>
      </w:r>
    </w:p>
    <w:p>
      <w:pPr>
        <w:tabs>
          <w:tab w:val="left" w:pos="540"/>
        </w:tabs>
        <w:spacing w:line="480" w:lineRule="exact"/>
        <w:jc w:val="center"/>
        <w:rPr>
          <w:rFonts w:ascii="仿宋_GB2312" w:hAnsi="宋体" w:eastAsia="仿宋_GB2312"/>
          <w:b/>
          <w:sz w:val="28"/>
          <w:szCs w:val="28"/>
          <w:lang w:val="en-GB"/>
        </w:rPr>
      </w:pPr>
    </w:p>
    <w:p>
      <w:pPr>
        <w:tabs>
          <w:tab w:val="left" w:pos="540"/>
        </w:tabs>
        <w:spacing w:line="480" w:lineRule="exact"/>
        <w:jc w:val="center"/>
        <w:rPr>
          <w:rFonts w:ascii="仿宋_GB2312" w:hAnsi="宋体" w:eastAsia="仿宋_GB2312"/>
          <w:b/>
          <w:sz w:val="28"/>
          <w:szCs w:val="28"/>
          <w:lang w:val="en-GB"/>
        </w:rPr>
      </w:pPr>
    </w:p>
    <w:p>
      <w:pPr>
        <w:tabs>
          <w:tab w:val="left" w:pos="540"/>
        </w:tabs>
        <w:spacing w:line="480" w:lineRule="exact"/>
        <w:jc w:val="center"/>
        <w:rPr>
          <w:rFonts w:ascii="仿宋_GB2312" w:hAnsi="宋体" w:eastAsia="仿宋_GB2312"/>
          <w:b/>
          <w:sz w:val="28"/>
          <w:szCs w:val="28"/>
          <w:lang w:val="en-GB"/>
        </w:rPr>
      </w:pPr>
    </w:p>
    <w:p>
      <w:pPr>
        <w:rPr>
          <w:rFonts w:ascii="宋体" w:hAnsi="宋体" w:cs="宋体"/>
          <w:b/>
          <w:bCs/>
          <w:sz w:val="24"/>
        </w:rPr>
      </w:pPr>
      <w:r>
        <w:rPr>
          <w:rFonts w:hint="eastAsia" w:ascii="宋体" w:hAnsi="宋体" w:cs="宋体"/>
          <w:b/>
          <w:bCs/>
          <w:sz w:val="24"/>
        </w:rPr>
        <w:br w:type="page"/>
      </w:r>
    </w:p>
    <w:p>
      <w:pPr>
        <w:snapToGrid w:val="0"/>
        <w:spacing w:before="157" w:beforeLines="50" w:after="50" w:line="360" w:lineRule="auto"/>
        <w:rPr>
          <w:rFonts w:ascii="宋体" w:hAnsi="宋体" w:cs="宋体"/>
          <w:b/>
          <w:bCs/>
          <w:sz w:val="24"/>
        </w:rPr>
      </w:pPr>
      <w:r>
        <w:rPr>
          <w:rFonts w:hint="eastAsia" w:ascii="宋体" w:hAnsi="宋体"/>
          <w:b/>
        </w:rPr>
        <w:t>附件8</w:t>
      </w:r>
    </w:p>
    <w:p>
      <w:pPr>
        <w:pStyle w:val="23"/>
        <w:spacing w:line="480" w:lineRule="exact"/>
        <w:ind w:right="-48" w:rightChars="-23"/>
        <w:jc w:val="center"/>
        <w:rPr>
          <w:rFonts w:hAnsi="宋体" w:cs="宋体"/>
          <w:b/>
          <w:bCs/>
          <w:sz w:val="24"/>
        </w:rPr>
      </w:pPr>
      <w:r>
        <w:rPr>
          <w:rFonts w:hint="eastAsia" w:hAnsi="宋体" w:cs="宋体"/>
          <w:b/>
          <w:bCs/>
          <w:sz w:val="24"/>
        </w:rPr>
        <w:t>性能及技术指标偏离表</w:t>
      </w:r>
    </w:p>
    <w:p>
      <w:pPr>
        <w:jc w:val="center"/>
        <w:rPr>
          <w:rFonts w:ascii="宋体" w:hAnsi="宋体" w:cs="宋体"/>
          <w:b/>
          <w:bCs/>
          <w:sz w:val="24"/>
          <w:u w:val="single"/>
        </w:rPr>
      </w:pPr>
      <w:r>
        <w:rPr>
          <w:rFonts w:hint="eastAsia" w:ascii="宋体" w:hAnsi="宋体" w:cs="宋体"/>
          <w:b/>
          <w:bCs/>
          <w:sz w:val="24"/>
        </w:rPr>
        <w:t xml:space="preserve"> 　</w:t>
      </w:r>
    </w:p>
    <w:p>
      <w:pPr>
        <w:spacing w:line="360" w:lineRule="auto"/>
        <w:ind w:firstLine="480" w:firstLineChars="200"/>
        <w:rPr>
          <w:rFonts w:ascii="宋体" w:hAnsi="宋体" w:cs="宋体"/>
          <w:sz w:val="24"/>
        </w:rPr>
      </w:pPr>
      <w:r>
        <w:rPr>
          <w:rFonts w:hint="eastAsia" w:ascii="宋体" w:hAnsi="宋体" w:cs="宋体"/>
          <w:sz w:val="24"/>
        </w:rPr>
        <w:t>投标人名称（盖章）：                          采购编号：</w:t>
      </w:r>
    </w:p>
    <w:tbl>
      <w:tblPr>
        <w:tblStyle w:val="3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6"/>
        <w:gridCol w:w="1223"/>
        <w:gridCol w:w="2250"/>
        <w:gridCol w:w="2181"/>
        <w:gridCol w:w="1263"/>
        <w:gridCol w:w="750"/>
        <w:gridCol w:w="7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trPr>
        <w:tc>
          <w:tcPr>
            <w:tcW w:w="626" w:type="dxa"/>
            <w:vAlign w:val="center"/>
          </w:tcPr>
          <w:p>
            <w:pPr>
              <w:spacing w:line="360" w:lineRule="auto"/>
              <w:jc w:val="center"/>
              <w:rPr>
                <w:rFonts w:ascii="宋体" w:hAnsi="宋体" w:cs="宋体"/>
                <w:b/>
                <w:bCs/>
                <w:sz w:val="24"/>
              </w:rPr>
            </w:pPr>
            <w:r>
              <w:rPr>
                <w:rFonts w:hint="eastAsia" w:ascii="宋体" w:hAnsi="宋体" w:cs="宋体"/>
                <w:b/>
                <w:bCs/>
                <w:sz w:val="24"/>
              </w:rPr>
              <w:t>序号</w:t>
            </w:r>
          </w:p>
        </w:tc>
        <w:tc>
          <w:tcPr>
            <w:tcW w:w="1223" w:type="dxa"/>
            <w:vAlign w:val="center"/>
          </w:tcPr>
          <w:p>
            <w:pPr>
              <w:spacing w:line="360" w:lineRule="auto"/>
              <w:jc w:val="center"/>
              <w:rPr>
                <w:rFonts w:ascii="宋体" w:hAnsi="宋体" w:cs="宋体"/>
                <w:b/>
                <w:bCs/>
                <w:sz w:val="24"/>
              </w:rPr>
            </w:pPr>
            <w:r>
              <w:rPr>
                <w:rFonts w:hint="eastAsia" w:ascii="宋体" w:hAnsi="宋体" w:cs="宋体"/>
                <w:b/>
                <w:bCs/>
                <w:sz w:val="24"/>
              </w:rPr>
              <w:t>货物名称</w:t>
            </w:r>
          </w:p>
        </w:tc>
        <w:tc>
          <w:tcPr>
            <w:tcW w:w="2250" w:type="dxa"/>
            <w:vAlign w:val="center"/>
          </w:tcPr>
          <w:p>
            <w:pPr>
              <w:spacing w:line="360" w:lineRule="auto"/>
              <w:jc w:val="center"/>
              <w:rPr>
                <w:rFonts w:ascii="宋体" w:hAnsi="宋体" w:cs="宋体"/>
                <w:b/>
                <w:bCs/>
                <w:sz w:val="24"/>
              </w:rPr>
            </w:pPr>
            <w:r>
              <w:rPr>
                <w:rFonts w:hint="eastAsia" w:ascii="宋体" w:hAnsi="宋体" w:cs="宋体"/>
                <w:b/>
                <w:bCs/>
                <w:sz w:val="24"/>
              </w:rPr>
              <w:t>招标文件规范要求</w:t>
            </w:r>
          </w:p>
        </w:tc>
        <w:tc>
          <w:tcPr>
            <w:tcW w:w="2181" w:type="dxa"/>
            <w:vAlign w:val="center"/>
          </w:tcPr>
          <w:p>
            <w:pPr>
              <w:spacing w:line="360" w:lineRule="auto"/>
              <w:jc w:val="center"/>
              <w:rPr>
                <w:rFonts w:ascii="宋体" w:hAnsi="宋体" w:cs="宋体"/>
                <w:b/>
                <w:bCs/>
                <w:sz w:val="24"/>
              </w:rPr>
            </w:pPr>
            <w:r>
              <w:rPr>
                <w:rFonts w:hint="eastAsia" w:ascii="宋体" w:hAnsi="宋体" w:cs="宋体"/>
                <w:b/>
                <w:bCs/>
                <w:sz w:val="24"/>
              </w:rPr>
              <w:t>投标文件对应规范</w:t>
            </w:r>
          </w:p>
        </w:tc>
        <w:tc>
          <w:tcPr>
            <w:tcW w:w="1263" w:type="dxa"/>
            <w:vAlign w:val="center"/>
          </w:tcPr>
          <w:p>
            <w:pPr>
              <w:spacing w:line="360" w:lineRule="auto"/>
              <w:jc w:val="center"/>
              <w:rPr>
                <w:rFonts w:ascii="宋体" w:hAnsi="宋体" w:cs="宋体"/>
                <w:b/>
                <w:bCs/>
                <w:sz w:val="24"/>
              </w:rPr>
            </w:pPr>
            <w:r>
              <w:rPr>
                <w:rFonts w:hint="eastAsia" w:ascii="宋体" w:hAnsi="宋体" w:cs="宋体"/>
                <w:b/>
                <w:bCs/>
                <w:sz w:val="24"/>
              </w:rPr>
              <w:t>是否响应</w:t>
            </w:r>
          </w:p>
        </w:tc>
        <w:tc>
          <w:tcPr>
            <w:tcW w:w="750" w:type="dxa"/>
            <w:vAlign w:val="center"/>
          </w:tcPr>
          <w:p>
            <w:pPr>
              <w:spacing w:line="360" w:lineRule="auto"/>
              <w:jc w:val="center"/>
              <w:rPr>
                <w:rFonts w:ascii="宋体" w:hAnsi="宋体" w:cs="宋体"/>
                <w:b/>
                <w:bCs/>
                <w:sz w:val="24"/>
              </w:rPr>
            </w:pPr>
            <w:r>
              <w:rPr>
                <w:rFonts w:hint="eastAsia" w:ascii="宋体" w:hAnsi="宋体" w:cs="宋体"/>
                <w:b/>
                <w:bCs/>
                <w:sz w:val="24"/>
              </w:rPr>
              <w:t>偏离</w:t>
            </w:r>
          </w:p>
        </w:tc>
        <w:tc>
          <w:tcPr>
            <w:tcW w:w="710" w:type="dxa"/>
            <w:vAlign w:val="center"/>
          </w:tcPr>
          <w:p>
            <w:pPr>
              <w:spacing w:line="360" w:lineRule="auto"/>
              <w:jc w:val="center"/>
              <w:rPr>
                <w:rFonts w:ascii="宋体" w:hAnsi="宋体" w:cs="宋体"/>
                <w:b/>
                <w:bCs/>
                <w:sz w:val="24"/>
              </w:rPr>
            </w:pPr>
            <w:r>
              <w:rPr>
                <w:rFonts w:hint="eastAsia" w:ascii="宋体" w:hAnsi="宋体" w:cs="宋体"/>
                <w:b/>
                <w:bCs/>
                <w:sz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626" w:type="dxa"/>
          </w:tcPr>
          <w:p>
            <w:pPr>
              <w:spacing w:line="360" w:lineRule="auto"/>
              <w:ind w:firstLine="480" w:firstLineChars="200"/>
              <w:rPr>
                <w:rFonts w:ascii="宋体" w:hAnsi="宋体" w:cs="宋体"/>
                <w:sz w:val="24"/>
              </w:rPr>
            </w:pPr>
          </w:p>
        </w:tc>
        <w:tc>
          <w:tcPr>
            <w:tcW w:w="1223" w:type="dxa"/>
          </w:tcPr>
          <w:p>
            <w:pPr>
              <w:spacing w:line="360" w:lineRule="auto"/>
              <w:ind w:firstLine="480" w:firstLineChars="200"/>
              <w:rPr>
                <w:rFonts w:ascii="宋体" w:hAnsi="宋体" w:cs="宋体"/>
                <w:sz w:val="24"/>
              </w:rPr>
            </w:pPr>
          </w:p>
        </w:tc>
        <w:tc>
          <w:tcPr>
            <w:tcW w:w="2250" w:type="dxa"/>
          </w:tcPr>
          <w:p>
            <w:pPr>
              <w:spacing w:line="360" w:lineRule="auto"/>
              <w:ind w:firstLine="480" w:firstLineChars="200"/>
              <w:rPr>
                <w:rFonts w:ascii="宋体" w:hAnsi="宋体" w:cs="宋体"/>
                <w:sz w:val="24"/>
              </w:rPr>
            </w:pPr>
          </w:p>
        </w:tc>
        <w:tc>
          <w:tcPr>
            <w:tcW w:w="2181" w:type="dxa"/>
          </w:tcPr>
          <w:p>
            <w:pPr>
              <w:spacing w:line="360" w:lineRule="auto"/>
              <w:ind w:firstLine="480" w:firstLineChars="200"/>
              <w:rPr>
                <w:rFonts w:ascii="宋体" w:hAnsi="宋体" w:cs="宋体"/>
                <w:sz w:val="24"/>
              </w:rPr>
            </w:pPr>
          </w:p>
        </w:tc>
        <w:tc>
          <w:tcPr>
            <w:tcW w:w="1263" w:type="dxa"/>
          </w:tcPr>
          <w:p>
            <w:pPr>
              <w:spacing w:line="360" w:lineRule="auto"/>
              <w:ind w:firstLine="480" w:firstLineChars="200"/>
              <w:rPr>
                <w:rFonts w:ascii="宋体" w:hAnsi="宋体" w:cs="宋体"/>
                <w:sz w:val="24"/>
              </w:rPr>
            </w:pPr>
          </w:p>
        </w:tc>
        <w:tc>
          <w:tcPr>
            <w:tcW w:w="750" w:type="dxa"/>
          </w:tcPr>
          <w:p>
            <w:pPr>
              <w:spacing w:line="360" w:lineRule="auto"/>
              <w:ind w:firstLine="480" w:firstLineChars="200"/>
              <w:rPr>
                <w:rFonts w:ascii="宋体" w:hAnsi="宋体" w:cs="宋体"/>
                <w:sz w:val="24"/>
              </w:rPr>
            </w:pPr>
          </w:p>
        </w:tc>
        <w:tc>
          <w:tcPr>
            <w:tcW w:w="710" w:type="dxa"/>
          </w:tcPr>
          <w:p>
            <w:pPr>
              <w:spacing w:line="360" w:lineRule="auto"/>
              <w:ind w:firstLine="480" w:firstLineChars="200"/>
              <w:rPr>
                <w:rFonts w:ascii="宋体" w:hAnsi="宋体" w:cs="宋体"/>
                <w:sz w:val="24"/>
              </w:rPr>
            </w:pPr>
          </w:p>
        </w:tc>
      </w:tr>
    </w:tbl>
    <w:p>
      <w:pPr>
        <w:adjustRightInd w:val="0"/>
        <w:snapToGrid w:val="0"/>
        <w:rPr>
          <w:rFonts w:ascii="宋体" w:hAnsi="宋体" w:cs="宋体"/>
          <w:b/>
          <w:kern w:val="0"/>
          <w:sz w:val="24"/>
        </w:rPr>
      </w:pPr>
      <w:r>
        <w:rPr>
          <w:rFonts w:hint="eastAsia" w:ascii="宋体" w:hAnsi="宋体" w:cs="宋体"/>
          <w:b/>
          <w:kern w:val="0"/>
          <w:sz w:val="24"/>
        </w:rPr>
        <w:t>说明：1.招标人应根据招标文件技术要求自行填写表格。相应的内容应如实体现招标人要求及投标人响应；</w:t>
      </w:r>
    </w:p>
    <w:p>
      <w:pPr>
        <w:adjustRightInd w:val="0"/>
        <w:snapToGrid w:val="0"/>
        <w:ind w:left="718" w:leftChars="342"/>
        <w:rPr>
          <w:rFonts w:ascii="宋体" w:hAnsi="宋体" w:cs="宋体"/>
          <w:b/>
          <w:kern w:val="0"/>
          <w:sz w:val="24"/>
        </w:rPr>
      </w:pPr>
      <w:r>
        <w:rPr>
          <w:rFonts w:hint="eastAsia" w:ascii="宋体" w:hAnsi="宋体" w:cs="宋体"/>
          <w:b/>
          <w:kern w:val="0"/>
          <w:sz w:val="24"/>
        </w:rPr>
        <w:t>2.偏离值请根据投标响应如实填写（正/负）偏离；</w:t>
      </w:r>
    </w:p>
    <w:p>
      <w:pPr>
        <w:spacing w:line="360" w:lineRule="auto"/>
        <w:ind w:firstLine="723" w:firstLineChars="300"/>
        <w:rPr>
          <w:szCs w:val="21"/>
        </w:rPr>
      </w:pPr>
      <w:r>
        <w:rPr>
          <w:rFonts w:hint="eastAsia" w:ascii="宋体" w:hAnsi="宋体" w:cs="宋体"/>
          <w:b/>
          <w:kern w:val="0"/>
          <w:sz w:val="24"/>
        </w:rPr>
        <w:t>3.不提供此表格的投标文件将被视为未实质性响应招标文件。</w:t>
      </w:r>
    </w:p>
    <w:p>
      <w:pPr>
        <w:spacing w:line="400" w:lineRule="exact"/>
        <w:ind w:right="840"/>
        <w:jc w:val="center"/>
        <w:rPr>
          <w:rFonts w:ascii="宋体" w:hAnsi="宋体" w:cs="宋体"/>
          <w:sz w:val="24"/>
        </w:rPr>
      </w:pPr>
    </w:p>
    <w:p>
      <w:pPr>
        <w:spacing w:line="480" w:lineRule="exact"/>
        <w:rPr>
          <w:rFonts w:ascii="宋体" w:hAnsi="宋体"/>
          <w:sz w:val="24"/>
        </w:rPr>
      </w:pPr>
      <w:bookmarkStart w:id="95" w:name="_Toc30537"/>
      <w:bookmarkStart w:id="96" w:name="_Toc12583"/>
      <w:r>
        <w:rPr>
          <w:rFonts w:hint="eastAsia" w:ascii="宋体" w:hAnsi="宋体"/>
          <w:sz w:val="24"/>
        </w:rPr>
        <w:t>磋商响应方全称（加盖公章）：</w:t>
      </w:r>
    </w:p>
    <w:p>
      <w:pPr>
        <w:spacing w:line="480" w:lineRule="exact"/>
        <w:rPr>
          <w:rFonts w:ascii="宋体" w:hAnsi="宋体"/>
          <w:sz w:val="24"/>
        </w:rPr>
      </w:pPr>
      <w:r>
        <w:rPr>
          <w:rFonts w:hint="eastAsia" w:ascii="宋体" w:hAnsi="宋体"/>
          <w:sz w:val="24"/>
        </w:rPr>
        <w:t>法定代表人或授权代表（签字或盖章）：</w:t>
      </w:r>
    </w:p>
    <w:p>
      <w:pPr>
        <w:widowControl/>
        <w:overflowPunct w:val="0"/>
        <w:autoSpaceDE w:val="0"/>
        <w:autoSpaceDN w:val="0"/>
        <w:adjustRightInd w:val="0"/>
        <w:spacing w:line="480" w:lineRule="exact"/>
        <w:jc w:val="left"/>
        <w:textAlignment w:val="baseline"/>
        <w:rPr>
          <w:rFonts w:ascii="宋体" w:hAnsi="宋体"/>
          <w:kern w:val="0"/>
          <w:sz w:val="24"/>
        </w:rPr>
      </w:pPr>
      <w:r>
        <w:rPr>
          <w:rFonts w:hint="eastAsia" w:ascii="宋体" w:hAnsi="宋体"/>
          <w:kern w:val="0"/>
          <w:sz w:val="24"/>
        </w:rPr>
        <w:t>日期：</w:t>
      </w:r>
    </w:p>
    <w:p>
      <w:pPr>
        <w:rPr>
          <w:rFonts w:hAnsi="宋体"/>
          <w:b/>
          <w:sz w:val="24"/>
        </w:rPr>
      </w:pPr>
      <w:r>
        <w:rPr>
          <w:rFonts w:hint="eastAsia" w:hAnsi="宋体"/>
          <w:b/>
          <w:sz w:val="24"/>
        </w:rPr>
        <w:br w:type="page"/>
      </w:r>
    </w:p>
    <w:p>
      <w:pPr>
        <w:snapToGrid w:val="0"/>
        <w:spacing w:before="157" w:beforeLines="50" w:after="50" w:line="360" w:lineRule="auto"/>
        <w:rPr>
          <w:rFonts w:ascii="宋体" w:hAnsi="宋体"/>
          <w:b/>
        </w:rPr>
      </w:pPr>
      <w:r>
        <w:rPr>
          <w:rFonts w:hint="eastAsia" w:ascii="宋体" w:hAnsi="宋体"/>
          <w:b/>
        </w:rPr>
        <w:t>附件9</w:t>
      </w:r>
    </w:p>
    <w:p>
      <w:pPr>
        <w:spacing w:line="480" w:lineRule="exact"/>
        <w:jc w:val="center"/>
        <w:rPr>
          <w:rFonts w:ascii="宋体" w:hAnsi="宋体"/>
          <w:b/>
          <w:kern w:val="0"/>
          <w:sz w:val="32"/>
          <w:szCs w:val="32"/>
        </w:rPr>
      </w:pPr>
    </w:p>
    <w:p>
      <w:pPr>
        <w:spacing w:line="480" w:lineRule="exact"/>
        <w:jc w:val="center"/>
        <w:outlineLvl w:val="3"/>
        <w:rPr>
          <w:rFonts w:ascii="宋体" w:hAnsi="宋体"/>
          <w:b/>
          <w:bCs/>
          <w:sz w:val="32"/>
          <w:szCs w:val="32"/>
        </w:rPr>
      </w:pPr>
      <w:r>
        <w:rPr>
          <w:rFonts w:hint="eastAsia" w:ascii="宋体" w:hAnsi="宋体"/>
          <w:b/>
          <w:kern w:val="0"/>
          <w:sz w:val="32"/>
          <w:szCs w:val="32"/>
        </w:rPr>
        <w:t>类似业绩表</w:t>
      </w:r>
    </w:p>
    <w:p>
      <w:pPr>
        <w:spacing w:line="480" w:lineRule="exact"/>
        <w:rPr>
          <w:rFonts w:ascii="宋体" w:hAnsi="宋体"/>
          <w:b/>
          <w:bCs/>
          <w:sz w:val="24"/>
        </w:rPr>
      </w:pPr>
    </w:p>
    <w:p>
      <w:pPr>
        <w:spacing w:line="480" w:lineRule="exact"/>
        <w:rPr>
          <w:rFonts w:ascii="宋体" w:hAnsi="宋体"/>
          <w:b/>
          <w:bCs/>
          <w:sz w:val="24"/>
        </w:rPr>
      </w:pPr>
      <w:r>
        <w:rPr>
          <w:rFonts w:hint="eastAsia" w:ascii="宋体" w:hAnsi="宋体"/>
          <w:sz w:val="24"/>
        </w:rPr>
        <w:t>采购项目名称：                          采购编号：         标项：</w:t>
      </w:r>
    </w:p>
    <w:p>
      <w:pPr>
        <w:spacing w:line="480" w:lineRule="exact"/>
        <w:rPr>
          <w:rFonts w:ascii="宋体" w:hAnsi="宋体"/>
          <w:sz w:val="24"/>
        </w:rPr>
      </w:pPr>
    </w:p>
    <w:tbl>
      <w:tblPr>
        <w:tblStyle w:val="37"/>
        <w:tblW w:w="88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811"/>
        <w:gridCol w:w="48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jc w:val="center"/>
              <w:rPr>
                <w:rFonts w:ascii="宋体" w:hAnsi="宋体"/>
              </w:rPr>
            </w:pPr>
            <w:r>
              <w:rPr>
                <w:rFonts w:hint="eastAsia" w:ascii="宋体" w:hAnsi="宋体"/>
              </w:rPr>
              <w:t>序号</w:t>
            </w:r>
          </w:p>
        </w:tc>
        <w:tc>
          <w:tcPr>
            <w:tcW w:w="1811" w:type="dxa"/>
            <w:tcBorders>
              <w:top w:val="single" w:color="auto" w:sz="4" w:space="0"/>
              <w:left w:val="single" w:color="auto" w:sz="4" w:space="0"/>
              <w:bottom w:val="single" w:color="auto" w:sz="4" w:space="0"/>
              <w:right w:val="single" w:color="auto" w:sz="4" w:space="0"/>
            </w:tcBorders>
          </w:tcPr>
          <w:p>
            <w:pPr>
              <w:spacing w:line="480" w:lineRule="exact"/>
              <w:jc w:val="center"/>
              <w:rPr>
                <w:rFonts w:ascii="宋体" w:hAnsi="宋体"/>
              </w:rPr>
            </w:pPr>
            <w:r>
              <w:rPr>
                <w:rFonts w:hint="eastAsia" w:ascii="宋体" w:hAnsi="宋体"/>
              </w:rPr>
              <w:t>业主方</w:t>
            </w:r>
          </w:p>
        </w:tc>
        <w:tc>
          <w:tcPr>
            <w:tcW w:w="4851" w:type="dxa"/>
            <w:tcBorders>
              <w:top w:val="single" w:color="auto" w:sz="4" w:space="0"/>
              <w:left w:val="single" w:color="auto" w:sz="4" w:space="0"/>
              <w:bottom w:val="single" w:color="auto" w:sz="4" w:space="0"/>
              <w:right w:val="single" w:color="auto" w:sz="4" w:space="0"/>
            </w:tcBorders>
          </w:tcPr>
          <w:p>
            <w:pPr>
              <w:spacing w:line="480" w:lineRule="exact"/>
              <w:jc w:val="left"/>
              <w:rPr>
                <w:rFonts w:ascii="宋体" w:hAnsi="宋体"/>
                <w:bCs/>
                <w:sz w:val="24"/>
              </w:rPr>
            </w:pPr>
            <w:r>
              <w:rPr>
                <w:rFonts w:hint="eastAsia" w:ascii="宋体" w:hAnsi="宋体"/>
                <w:bCs/>
                <w:sz w:val="24"/>
              </w:rPr>
              <w:t>项目基本情况</w:t>
            </w:r>
          </w:p>
        </w:tc>
        <w:tc>
          <w:tcPr>
            <w:tcW w:w="1418" w:type="dxa"/>
            <w:tcBorders>
              <w:top w:val="single" w:color="auto" w:sz="4" w:space="0"/>
              <w:left w:val="single" w:color="auto" w:sz="4" w:space="0"/>
              <w:bottom w:val="single" w:color="auto" w:sz="4" w:space="0"/>
              <w:right w:val="single" w:color="auto" w:sz="4" w:space="0"/>
            </w:tcBorders>
          </w:tcPr>
          <w:p>
            <w:pPr>
              <w:spacing w:line="480" w:lineRule="exact"/>
              <w:jc w:val="center"/>
              <w:rPr>
                <w:rFonts w:ascii="宋体" w:hAnsi="宋体"/>
                <w:bCs/>
                <w:sz w:val="24"/>
              </w:rPr>
            </w:pPr>
            <w:r>
              <w:rPr>
                <w:rFonts w:hint="eastAsia" w:ascii="宋体" w:hAnsi="宋体"/>
                <w:bCs/>
                <w:sz w:val="24"/>
              </w:rPr>
              <w:t>完工时间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17"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81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4851"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c>
          <w:tcPr>
            <w:tcW w:w="1418" w:type="dxa"/>
            <w:tcBorders>
              <w:top w:val="single" w:color="auto" w:sz="4" w:space="0"/>
              <w:left w:val="single" w:color="auto" w:sz="4" w:space="0"/>
              <w:bottom w:val="single" w:color="auto" w:sz="4" w:space="0"/>
              <w:right w:val="single" w:color="auto" w:sz="4" w:space="0"/>
            </w:tcBorders>
          </w:tcPr>
          <w:p>
            <w:pPr>
              <w:spacing w:line="480" w:lineRule="exact"/>
              <w:rPr>
                <w:rFonts w:ascii="宋体" w:hAnsi="宋体"/>
                <w:bCs/>
                <w:sz w:val="24"/>
              </w:rPr>
            </w:pPr>
          </w:p>
        </w:tc>
      </w:tr>
    </w:tbl>
    <w:p>
      <w:pPr>
        <w:spacing w:line="480" w:lineRule="exact"/>
        <w:rPr>
          <w:rFonts w:ascii="宋体" w:hAnsi="宋体"/>
          <w:sz w:val="24"/>
        </w:rPr>
      </w:pPr>
    </w:p>
    <w:p>
      <w:pPr>
        <w:spacing w:line="480" w:lineRule="exact"/>
        <w:rPr>
          <w:rFonts w:ascii="宋体" w:hAnsi="宋体"/>
          <w:sz w:val="24"/>
        </w:rPr>
      </w:pPr>
      <w:r>
        <w:rPr>
          <w:rFonts w:hint="eastAsia" w:ascii="宋体" w:hAnsi="宋体"/>
          <w:sz w:val="24"/>
        </w:rPr>
        <w:t>磋商响应方全称（加盖公章）：</w:t>
      </w:r>
    </w:p>
    <w:p>
      <w:pPr>
        <w:spacing w:line="480" w:lineRule="exact"/>
        <w:rPr>
          <w:rFonts w:ascii="宋体" w:hAnsi="宋体"/>
          <w:sz w:val="24"/>
        </w:rPr>
      </w:pPr>
      <w:r>
        <w:rPr>
          <w:rFonts w:hint="eastAsia" w:ascii="宋体" w:hAnsi="宋体"/>
          <w:sz w:val="24"/>
        </w:rPr>
        <w:t>法定代表人或授权代表（签字或盖章）：</w:t>
      </w:r>
    </w:p>
    <w:p>
      <w:pPr>
        <w:widowControl/>
        <w:overflowPunct w:val="0"/>
        <w:autoSpaceDE w:val="0"/>
        <w:autoSpaceDN w:val="0"/>
        <w:adjustRightInd w:val="0"/>
        <w:spacing w:line="480" w:lineRule="exact"/>
        <w:jc w:val="left"/>
        <w:textAlignment w:val="baseline"/>
        <w:rPr>
          <w:rFonts w:ascii="宋体" w:hAnsi="宋体"/>
          <w:kern w:val="0"/>
          <w:sz w:val="24"/>
        </w:rPr>
      </w:pPr>
      <w:r>
        <w:rPr>
          <w:rFonts w:hint="eastAsia" w:ascii="宋体" w:hAnsi="宋体"/>
          <w:kern w:val="0"/>
          <w:sz w:val="24"/>
        </w:rPr>
        <w:t>日期：</w:t>
      </w:r>
    </w:p>
    <w:p>
      <w:pPr>
        <w:rPr>
          <w:rFonts w:ascii="Arial" w:hAnsi="Arial" w:eastAsia="幼圆" w:cs="Arial"/>
          <w:sz w:val="22"/>
          <w:szCs w:val="20"/>
        </w:rPr>
      </w:pPr>
      <w:r>
        <w:rPr>
          <w:rFonts w:hint="eastAsia" w:hAnsi="宋体"/>
          <w:b/>
          <w:sz w:val="24"/>
        </w:rPr>
        <w:br w:type="page"/>
      </w:r>
      <w:bookmarkEnd w:id="95"/>
    </w:p>
    <w:p>
      <w:pPr>
        <w:pStyle w:val="20"/>
      </w:pPr>
    </w:p>
    <w:p>
      <w:pPr>
        <w:tabs>
          <w:tab w:val="left" w:pos="540"/>
        </w:tabs>
        <w:outlineLvl w:val="0"/>
        <w:rPr>
          <w:rFonts w:ascii="宋体" w:hAnsi="宋体"/>
          <w:b/>
          <w:sz w:val="28"/>
          <w:szCs w:val="28"/>
        </w:rPr>
      </w:pPr>
      <w:r>
        <w:rPr>
          <w:rFonts w:hint="eastAsia" w:ascii="宋体" w:hAnsi="宋体"/>
          <w:b/>
        </w:rPr>
        <w:t>附件</w:t>
      </w:r>
      <w:bookmarkEnd w:id="96"/>
      <w:r>
        <w:rPr>
          <w:rFonts w:hint="eastAsia" w:ascii="宋体" w:hAnsi="宋体"/>
          <w:b/>
        </w:rPr>
        <w:t>10</w:t>
      </w:r>
    </w:p>
    <w:p>
      <w:pPr>
        <w:jc w:val="center"/>
        <w:rPr>
          <w:rFonts w:ascii="宋体" w:hAnsi="宋体"/>
          <w:b/>
          <w:kern w:val="0"/>
          <w:sz w:val="32"/>
          <w:szCs w:val="32"/>
        </w:rPr>
      </w:pPr>
      <w:r>
        <w:rPr>
          <w:rFonts w:hint="eastAsia" w:ascii="宋体" w:hAnsi="宋体"/>
          <w:b/>
          <w:kern w:val="0"/>
          <w:sz w:val="32"/>
          <w:szCs w:val="32"/>
        </w:rPr>
        <w:t>（初次）磋商报价明细表</w:t>
      </w:r>
    </w:p>
    <w:p>
      <w:pPr>
        <w:jc w:val="center"/>
        <w:rPr>
          <w:rFonts w:ascii="宋体" w:hAnsi="宋体" w:cs="宋体"/>
          <w:b/>
          <w:color w:val="000000"/>
          <w:sz w:val="28"/>
          <w:szCs w:val="28"/>
        </w:rPr>
      </w:pPr>
      <w:r>
        <w:rPr>
          <w:rFonts w:hint="eastAsia" w:ascii="宋体" w:hAnsi="宋体" w:cs="宋体"/>
          <w:b/>
          <w:color w:val="000000"/>
          <w:sz w:val="28"/>
          <w:szCs w:val="28"/>
        </w:rPr>
        <w:t>报价明细表</w:t>
      </w:r>
    </w:p>
    <w:tbl>
      <w:tblPr>
        <w:tblStyle w:val="37"/>
        <w:tblW w:w="104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8"/>
        <w:gridCol w:w="675"/>
        <w:gridCol w:w="3526"/>
        <w:gridCol w:w="684"/>
        <w:gridCol w:w="2157"/>
        <w:gridCol w:w="9"/>
        <w:gridCol w:w="560"/>
        <w:gridCol w:w="829"/>
        <w:gridCol w:w="143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 w:hRule="atLeast"/>
          <w:tblHeader/>
        </w:trPr>
        <w:tc>
          <w:tcPr>
            <w:tcW w:w="10466" w:type="dxa"/>
            <w:gridSpan w:val="9"/>
            <w:noWrap/>
            <w:vAlign w:val="center"/>
          </w:tcPr>
          <w:p>
            <w:pPr>
              <w:widowControl/>
              <w:jc w:val="center"/>
              <w:textAlignment w:val="center"/>
              <w:rPr>
                <w:rFonts w:ascii="宋体" w:hAnsi="宋体" w:cs="宋体"/>
                <w:kern w:val="0"/>
                <w:sz w:val="18"/>
                <w:szCs w:val="18"/>
                <w:lang w:bidi="ar"/>
              </w:rPr>
            </w:pPr>
            <w:r>
              <w:rPr>
                <w:rFonts w:hint="eastAsia" w:ascii="宋体" w:hAnsi="宋体" w:cs="宋体"/>
                <w:sz w:val="24"/>
                <w:lang w:eastAsia="zh-CN"/>
              </w:rPr>
              <w:t>磐安县仁川镇共富风貌驿产品采购项目（第二次）</w:t>
            </w:r>
            <w:r>
              <w:rPr>
                <w:rFonts w:hint="eastAsia" w:ascii="宋体" w:hAnsi="宋体" w:cs="宋体"/>
                <w:color w:val="000000"/>
                <w:kern w:val="0"/>
                <w:sz w:val="24"/>
                <w:lang w:bidi="ar"/>
              </w:rPr>
              <w:t>配置清单及报价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 w:hRule="atLeast"/>
        </w:trPr>
        <w:tc>
          <w:tcPr>
            <w:tcW w:w="588" w:type="dxa"/>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序号</w:t>
            </w:r>
          </w:p>
        </w:tc>
        <w:tc>
          <w:tcPr>
            <w:tcW w:w="675" w:type="dxa"/>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名称</w:t>
            </w:r>
          </w:p>
        </w:tc>
        <w:tc>
          <w:tcPr>
            <w:tcW w:w="6367" w:type="dxa"/>
            <w:gridSpan w:val="3"/>
            <w:noWrap/>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性能指标</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单位</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数量</w:t>
            </w:r>
          </w:p>
        </w:tc>
        <w:tc>
          <w:tcPr>
            <w:tcW w:w="1438"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模块单价（元)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1</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结构体系模块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分层式结构钢体系</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1.125*250mm H型主框架梁</w:t>
            </w:r>
          </w:p>
        </w:tc>
        <w:tc>
          <w:tcPr>
            <w:tcW w:w="2841" w:type="dxa"/>
            <w:gridSpan w:val="2"/>
            <w:vMerge w:val="restart"/>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2.80*120mm方通次框架梁</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3.框架K型柱</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4.定制60*120mmC型檩立柱构件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5.定制方管立柱120*120mm构件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 xml:space="preserve">分层式结构钢体系连接构件  </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1.L型连接件</w:t>
            </w:r>
          </w:p>
        </w:tc>
        <w:tc>
          <w:tcPr>
            <w:tcW w:w="2841" w:type="dxa"/>
            <w:gridSpan w:val="2"/>
            <w:vMerge w:val="restart"/>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r>
              <w:rPr>
                <w:rStyle w:val="122"/>
                <w:rFonts w:hint="default"/>
                <w:sz w:val="18"/>
                <w:szCs w:val="18"/>
                <w:lang w:bidi="ar"/>
              </w:rPr>
              <w:t>高强螺栓材质</w:t>
            </w:r>
          </w:p>
          <w:p>
            <w:pPr>
              <w:widowControl/>
              <w:jc w:val="left"/>
              <w:textAlignment w:val="center"/>
              <w:rPr>
                <w:rStyle w:val="122"/>
                <w:rFonts w:hint="default"/>
                <w:sz w:val="18"/>
                <w:szCs w:val="18"/>
                <w:lang w:bidi="ar"/>
              </w:rPr>
            </w:pPr>
            <w:r>
              <w:rPr>
                <w:rStyle w:val="122"/>
                <w:rFonts w:hint="default"/>
                <w:sz w:val="18"/>
                <w:szCs w:val="18"/>
                <w:lang w:bidi="ar"/>
              </w:rPr>
              <w:t>表面处理：氧化发黑</w:t>
            </w:r>
          </w:p>
          <w:p>
            <w:pPr>
              <w:widowControl/>
              <w:jc w:val="left"/>
              <w:textAlignment w:val="center"/>
              <w:rPr>
                <w:rStyle w:val="122"/>
                <w:rFonts w:hint="default"/>
                <w:sz w:val="18"/>
                <w:szCs w:val="18"/>
                <w:lang w:bidi="ar"/>
              </w:rPr>
            </w:pPr>
            <w:r>
              <w:rPr>
                <w:rStyle w:val="122"/>
                <w:rFonts w:hint="default"/>
                <w:sz w:val="18"/>
                <w:szCs w:val="18"/>
                <w:lang w:bidi="ar"/>
              </w:rPr>
              <w:t>强度等级：10.9级</w:t>
            </w: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43</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2.T型连接件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162</w:t>
            </w:r>
          </w:p>
        </w:tc>
        <w:tc>
          <w:tcPr>
            <w:tcW w:w="1438" w:type="dxa"/>
            <w:vMerge w:val="continue"/>
            <w:vAlign w:val="center"/>
          </w:tcPr>
          <w:p>
            <w:pPr>
              <w:jc w:val="center"/>
              <w:rPr>
                <w:rFonts w:ascii="宋体" w:hAnsi="宋体" w:cs="宋体"/>
                <w:kern w:val="0"/>
                <w:sz w:val="18"/>
                <w:szCs w:val="18"/>
                <w:lang w:bidi="ar"/>
              </w:rPr>
            </w:pPr>
          </w:p>
        </w:tc>
      </w:tr>
      <w:tr>
        <w:tblPrEx>
          <w:tblCellMar>
            <w:top w:w="0" w:type="dxa"/>
            <w:left w:w="108" w:type="dxa"/>
            <w:bottom w:w="0" w:type="dxa"/>
            <w:right w:w="108" w:type="dxa"/>
          </w:tblCellMar>
        </w:tblPrEx>
        <w:trPr>
          <w:trHeight w:val="3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3.M16*40*4高强螺栓</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416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 xml:space="preserve">模块化房屋基础 </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 xml:space="preserve">1.条形基础 </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C25现浇混凝土</w:t>
            </w:r>
          </w:p>
          <w:p>
            <w:pPr>
              <w:widowControl/>
              <w:jc w:val="left"/>
              <w:textAlignment w:val="center"/>
              <w:rPr>
                <w:rStyle w:val="122"/>
                <w:rFonts w:hint="default"/>
                <w:sz w:val="18"/>
                <w:szCs w:val="18"/>
                <w:lang w:bidi="ar"/>
              </w:rPr>
            </w:pPr>
            <w:r>
              <w:rPr>
                <w:rStyle w:val="122"/>
                <w:rFonts w:hint="default"/>
                <w:sz w:val="18"/>
                <w:szCs w:val="18"/>
                <w:lang w:bidi="ar"/>
              </w:rPr>
              <w:t>应采用HRB400E型抗震钢筋</w:t>
            </w:r>
          </w:p>
        </w:tc>
        <w:tc>
          <w:tcPr>
            <w:tcW w:w="569" w:type="dxa"/>
            <w:gridSpan w:val="2"/>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CellMar>
            <w:top w:w="0" w:type="dxa"/>
            <w:left w:w="108" w:type="dxa"/>
            <w:bottom w:w="0" w:type="dxa"/>
            <w:right w:w="108" w:type="dxa"/>
          </w:tblCellMar>
        </w:tblPrEx>
        <w:trPr>
          <w:trHeight w:val="44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2.台阶坡道 基础砌筑 过井 化粪池</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ind w:firstLine="180" w:firstLineChars="100"/>
              <w:rPr>
                <w:rFonts w:ascii="宋体" w:hAnsi="宋体" w:cs="宋体"/>
                <w:kern w:val="0"/>
                <w:sz w:val="18"/>
                <w:szCs w:val="18"/>
                <w:lang w:bidi="ar"/>
              </w:rPr>
            </w:pPr>
            <w:r>
              <w:rPr>
                <w:rFonts w:hint="eastAsia" w:ascii="宋体" w:hAnsi="宋体" w:cs="宋体"/>
                <w:kern w:val="0"/>
                <w:sz w:val="18"/>
                <w:szCs w:val="18"/>
                <w:lang w:bidi="ar"/>
              </w:rPr>
              <w:t>项</w:t>
            </w:r>
          </w:p>
        </w:tc>
        <w:tc>
          <w:tcPr>
            <w:tcW w:w="829" w:type="dxa"/>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2</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围护体系模块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SuperWall-复合墙体-（内外墙）</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1.外墙饰面板</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外墙饰面：装饰纤维水泥板16×455×1820mm（日吉华）自清洁涂层处理工艺，铺设透气膜干挂连接</w:t>
            </w:r>
          </w:p>
          <w:p>
            <w:pPr>
              <w:widowControl/>
              <w:jc w:val="left"/>
              <w:textAlignment w:val="center"/>
              <w:rPr>
                <w:rStyle w:val="122"/>
                <w:rFonts w:hint="default"/>
                <w:sz w:val="18"/>
                <w:szCs w:val="18"/>
                <w:lang w:bidi="ar"/>
              </w:rPr>
            </w:pPr>
            <w:r>
              <w:rPr>
                <w:rStyle w:val="122"/>
                <w:rFonts w:hint="default"/>
                <w:sz w:val="18"/>
                <w:szCs w:val="18"/>
                <w:lang w:bidi="ar"/>
              </w:rPr>
              <w:t>内墙饰面：1200*2900*18mm实心竹炭纤维板B1级防火、防水、防潮、高强度、高品木纹覆膜</w:t>
            </w:r>
          </w:p>
          <w:p>
            <w:pPr>
              <w:widowControl/>
              <w:jc w:val="left"/>
              <w:textAlignment w:val="center"/>
              <w:rPr>
                <w:rStyle w:val="122"/>
                <w:rFonts w:hint="default"/>
                <w:sz w:val="18"/>
                <w:szCs w:val="18"/>
                <w:lang w:bidi="ar"/>
              </w:rPr>
            </w:pPr>
            <w:r>
              <w:rPr>
                <w:rStyle w:val="122"/>
                <w:rFonts w:hint="default"/>
                <w:sz w:val="18"/>
                <w:szCs w:val="18"/>
                <w:lang w:bidi="ar"/>
              </w:rPr>
              <w:t>保温层:导热系数0.050W/（㎡·K）隔音系数50db</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328.6</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2.内置管线预埋一体成型</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3.内墙饰面板（仿木纹）</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4.保温层</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5.女儿墙装配钢板安装</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成品通高厕隔系统</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widowControl/>
              <w:jc w:val="center"/>
              <w:textAlignment w:val="center"/>
            </w:pPr>
          </w:p>
        </w:tc>
      </w:tr>
      <w:tr>
        <w:tblPrEx>
          <w:tblCellMar>
            <w:top w:w="0" w:type="dxa"/>
            <w:left w:w="108" w:type="dxa"/>
            <w:bottom w:w="0" w:type="dxa"/>
            <w:right w:w="108" w:type="dxa"/>
          </w:tblCellMar>
        </w:tblPrEx>
        <w:trPr>
          <w:trHeight w:val="852"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1.U型成品通高厕隔</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厕隔间规格1200*1600mm</w:t>
            </w:r>
          </w:p>
          <w:p>
            <w:pPr>
              <w:widowControl/>
              <w:jc w:val="left"/>
              <w:textAlignment w:val="center"/>
              <w:rPr>
                <w:rStyle w:val="122"/>
                <w:rFonts w:hint="default"/>
                <w:sz w:val="18"/>
                <w:szCs w:val="18"/>
                <w:lang w:bidi="ar"/>
              </w:rPr>
            </w:pPr>
            <w:r>
              <w:rPr>
                <w:rStyle w:val="122"/>
                <w:rFonts w:hint="default"/>
                <w:sz w:val="18"/>
                <w:szCs w:val="18"/>
                <w:lang w:bidi="ar"/>
              </w:rPr>
              <w:t>（含定制铝型材框架、收边条、限位、铝蜂窝板隔板）</w:t>
            </w:r>
          </w:p>
          <w:p>
            <w:pPr>
              <w:widowControl/>
              <w:jc w:val="left"/>
              <w:textAlignment w:val="center"/>
              <w:rPr>
                <w:rStyle w:val="122"/>
                <w:rFonts w:hint="default"/>
                <w:sz w:val="18"/>
                <w:szCs w:val="18"/>
                <w:lang w:bidi="ar"/>
              </w:rPr>
            </w:pPr>
            <w:r>
              <w:rPr>
                <w:rStyle w:val="122"/>
                <w:rFonts w:hint="default"/>
                <w:sz w:val="18"/>
                <w:szCs w:val="18"/>
                <w:lang w:bidi="ar"/>
              </w:rPr>
              <w:t>厕隔门规格：600*3000*54 mm</w:t>
            </w:r>
          </w:p>
          <w:p>
            <w:pPr>
              <w:widowControl/>
              <w:jc w:val="left"/>
              <w:textAlignment w:val="center"/>
              <w:rPr>
                <w:rStyle w:val="122"/>
                <w:rFonts w:hint="default"/>
                <w:sz w:val="18"/>
                <w:szCs w:val="18"/>
                <w:lang w:bidi="ar"/>
              </w:rPr>
            </w:pPr>
            <w:r>
              <w:rPr>
                <w:rStyle w:val="122"/>
                <w:rFonts w:hint="default"/>
                <w:sz w:val="18"/>
                <w:szCs w:val="18"/>
                <w:lang w:bidi="ar"/>
              </w:rPr>
              <w:t>隐形、铝蜂窝板静音门（含五金、门锁）、</w:t>
            </w: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8</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2.通高成品厕隔间门</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3</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屋面吊顶模块</w:t>
            </w: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屋面框架模块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1.40*80mm屋架梁、40*80mm屋脊梁</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Q235B优质碳素钢材</w:t>
            </w:r>
          </w:p>
          <w:p>
            <w:pPr>
              <w:widowControl/>
              <w:jc w:val="left"/>
              <w:textAlignment w:val="center"/>
              <w:rPr>
                <w:rStyle w:val="122"/>
                <w:rFonts w:hint="default"/>
                <w:sz w:val="18"/>
                <w:szCs w:val="18"/>
                <w:lang w:bidi="ar"/>
              </w:rPr>
            </w:pPr>
            <w:r>
              <w:rPr>
                <w:rStyle w:val="122"/>
                <w:rFonts w:hint="default"/>
                <w:sz w:val="18"/>
                <w:szCs w:val="18"/>
                <w:lang w:bidi="ar"/>
              </w:rPr>
              <w:t>钢材表面热镀锌处理</w:t>
            </w:r>
          </w:p>
          <w:p>
            <w:pPr>
              <w:widowControl/>
              <w:jc w:val="left"/>
              <w:textAlignment w:val="center"/>
              <w:rPr>
                <w:rStyle w:val="122"/>
                <w:rFonts w:hint="default"/>
                <w:sz w:val="18"/>
                <w:szCs w:val="18"/>
                <w:lang w:bidi="ar"/>
              </w:rPr>
            </w:pPr>
          </w:p>
        </w:tc>
        <w:tc>
          <w:tcPr>
            <w:tcW w:w="569" w:type="dxa"/>
            <w:gridSpan w:val="2"/>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2.50*100mm屋脊相交处短柱、50*100mm屋谷梁柱</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3.定制栋檩40*80mm、直边椽子40*80mm+钢托板、屋檐钢梁直边支架</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pStyle w:val="48"/>
              <w:ind w:firstLine="360"/>
              <w:rPr>
                <w:rFonts w:ascii="宋体" w:hAnsi="宋体" w:cs="宋体"/>
                <w:sz w:val="18"/>
                <w:szCs w:val="18"/>
                <w:lang w:bidi="ar"/>
              </w:rPr>
            </w:pPr>
            <w:r>
              <w:rPr>
                <w:rFonts w:hint="eastAsia" w:ascii="宋体" w:hAnsi="宋体" w:cs="宋体"/>
                <w:sz w:val="18"/>
                <w:szCs w:val="18"/>
                <w:lang w:bidi="ar"/>
              </w:rPr>
              <w:t>4.屋架小柱底座、屋架小柱底板</w:t>
            </w:r>
          </w:p>
        </w:tc>
        <w:tc>
          <w:tcPr>
            <w:tcW w:w="2841" w:type="dxa"/>
            <w:gridSpan w:val="2"/>
            <w:vMerge w:val="continue"/>
            <w:vAlign w:val="center"/>
          </w:tcPr>
          <w:p>
            <w:pPr>
              <w:pStyle w:val="48"/>
              <w:ind w:firstLine="360"/>
              <w:rPr>
                <w:rFonts w:ascii="宋体" w:hAnsi="宋体" w:cs="宋体"/>
                <w:sz w:val="18"/>
                <w:szCs w:val="18"/>
                <w:lang w:bidi="ar"/>
              </w:rPr>
            </w:pPr>
          </w:p>
        </w:tc>
        <w:tc>
          <w:tcPr>
            <w:tcW w:w="569" w:type="dxa"/>
            <w:gridSpan w:val="2"/>
            <w:vMerge w:val="continue"/>
            <w:vAlign w:val="center"/>
          </w:tcPr>
          <w:p>
            <w:pPr>
              <w:jc w:val="center"/>
              <w:rPr>
                <w:rFonts w:ascii="宋体" w:hAnsi="宋体" w:cs="宋体"/>
                <w:kern w:val="0"/>
                <w:sz w:val="18"/>
                <w:szCs w:val="18"/>
                <w:lang w:bidi="ar"/>
              </w:rPr>
            </w:pPr>
          </w:p>
        </w:tc>
        <w:tc>
          <w:tcPr>
            <w:tcW w:w="829" w:type="dxa"/>
            <w:vMerge w:val="continue"/>
            <w:vAlign w:val="center"/>
          </w:tcPr>
          <w:p>
            <w:pPr>
              <w:jc w:val="center"/>
              <w:rPr>
                <w:rFonts w:ascii="宋体" w:hAnsi="宋体" w:cs="宋体"/>
                <w:kern w:val="0"/>
                <w:sz w:val="18"/>
                <w:szCs w:val="18"/>
                <w:lang w:bidi="ar"/>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屋面饰面模块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1.坡屋面铝制金属瓦</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430*65mm铝镁锰板金属屋面系统（含防水透气层、保温层、防潮层、铝合金支座、檩条配件）</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trPr>
        <w:tc>
          <w:tcPr>
            <w:tcW w:w="588" w:type="dxa"/>
            <w:vMerge w:val="continue"/>
            <w:noWrap/>
            <w:vAlign w:val="center"/>
          </w:tcPr>
          <w:p>
            <w:pPr>
              <w:widowControl/>
              <w:jc w:val="left"/>
              <w:textAlignment w:val="center"/>
            </w:pPr>
          </w:p>
        </w:tc>
        <w:tc>
          <w:tcPr>
            <w:tcW w:w="675" w:type="dxa"/>
            <w:vMerge w:val="continue"/>
            <w:noWrap/>
            <w:vAlign w:val="center"/>
          </w:tcPr>
          <w:p>
            <w:pPr>
              <w:widowControl/>
              <w:jc w:val="left"/>
              <w:textAlignment w:val="cente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2.定制屋面型材收边条</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left"/>
              <w:textAlignment w:val="center"/>
              <w:rPr>
                <w:rFonts w:ascii="宋体" w:hAnsi="宋体" w:cs="宋体"/>
                <w:kern w:val="0"/>
                <w:sz w:val="18"/>
                <w:szCs w:val="18"/>
                <w:lang w:bidi="ar"/>
              </w:rPr>
            </w:pPr>
          </w:p>
        </w:tc>
        <w:tc>
          <w:tcPr>
            <w:tcW w:w="829" w:type="dxa"/>
            <w:vMerge w:val="continue"/>
            <w:vAlign w:val="center"/>
          </w:tcPr>
          <w:p>
            <w:pPr>
              <w:widowControl/>
              <w:jc w:val="left"/>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continue"/>
            <w:noWrap/>
            <w:vAlign w:val="center"/>
          </w:tcPr>
          <w:p>
            <w:pPr>
              <w:widowControl/>
              <w:jc w:val="left"/>
              <w:textAlignment w:val="center"/>
              <w:rPr>
                <w:rFonts w:ascii="宋体" w:hAnsi="宋体" w:cs="宋体"/>
                <w:kern w:val="0"/>
                <w:sz w:val="18"/>
                <w:szCs w:val="18"/>
                <w:lang w:bidi="ar"/>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3.屋檐金属板（配构件）</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left"/>
              <w:textAlignment w:val="center"/>
              <w:rPr>
                <w:rFonts w:ascii="宋体" w:hAnsi="宋体" w:cs="宋体"/>
                <w:kern w:val="0"/>
                <w:sz w:val="18"/>
                <w:szCs w:val="18"/>
                <w:lang w:bidi="ar"/>
              </w:rPr>
            </w:pPr>
          </w:p>
        </w:tc>
        <w:tc>
          <w:tcPr>
            <w:tcW w:w="829" w:type="dxa"/>
            <w:vMerge w:val="continue"/>
            <w:vAlign w:val="center"/>
          </w:tcPr>
          <w:p>
            <w:pPr>
              <w:widowControl/>
              <w:jc w:val="left"/>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widowControl/>
              <w:jc w:val="left"/>
              <w:textAlignment w:val="center"/>
              <w:rPr>
                <w:rFonts w:ascii="宋体" w:hAnsi="宋体" w:cs="宋体"/>
                <w:kern w:val="0"/>
                <w:sz w:val="18"/>
                <w:szCs w:val="18"/>
                <w:lang w:bidi="ar"/>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4.600*3000*120mm复合保温楼面板</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widowControl/>
              <w:jc w:val="center"/>
              <w:textAlignment w:val="center"/>
              <w:rPr>
                <w:rFonts w:ascii="宋体" w:hAnsi="宋体" w:cs="宋体"/>
                <w:kern w:val="0"/>
                <w:sz w:val="18"/>
                <w:szCs w:val="18"/>
                <w:lang w:bidi="ar"/>
              </w:rPr>
            </w:pPr>
          </w:p>
        </w:tc>
        <w:tc>
          <w:tcPr>
            <w:tcW w:w="829" w:type="dxa"/>
            <w:vMerge w:val="continue"/>
            <w:vAlign w:val="center"/>
          </w:tcPr>
          <w:p>
            <w:pPr>
              <w:widowControl/>
              <w:jc w:val="center"/>
              <w:textAlignment w:val="center"/>
              <w:rPr>
                <w:rFonts w:ascii="宋体" w:hAnsi="宋体" w:cs="宋体"/>
                <w:kern w:val="0"/>
                <w:sz w:val="18"/>
                <w:szCs w:val="18"/>
                <w:lang w:bidi="ar"/>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Fonts w:ascii="宋体" w:hAnsi="宋体" w:cs="宋体"/>
                <w:kern w:val="0"/>
                <w:sz w:val="18"/>
                <w:szCs w:val="18"/>
                <w:lang w:bidi="ar"/>
              </w:rPr>
            </w:pPr>
            <w:r>
              <w:rPr>
                <w:rFonts w:hint="eastAsia" w:ascii="宋体" w:hAnsi="宋体" w:cs="宋体"/>
                <w:b/>
                <w:bCs/>
                <w:kern w:val="0"/>
                <w:sz w:val="18"/>
                <w:szCs w:val="18"/>
                <w:lang w:bidi="ar"/>
              </w:rPr>
              <w:t>吊顶天花模块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w:t>
            </w:r>
            <w:r>
              <w:rPr>
                <w:rStyle w:val="122"/>
                <w:rFonts w:hint="default"/>
                <w:sz w:val="18"/>
                <w:szCs w:val="18"/>
                <w:lang w:bidi="ar"/>
              </w:rPr>
              <w:t>天花系统</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设备集成卡扣式铝蜂窝板规格1200*3000*9mm（含T\Z型铝型材收边条、吊筋三角龙骨及配件）</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2.吊顶侧边定制型材收边系统；含铝型材风口</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4</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地面快装模块</w:t>
            </w:r>
          </w:p>
        </w:tc>
        <w:tc>
          <w:tcPr>
            <w:tcW w:w="3526" w:type="dxa"/>
            <w:vAlign w:val="center"/>
          </w:tcPr>
          <w:p>
            <w:pPr>
              <w:jc w:val="left"/>
              <w:rPr>
                <w:rFonts w:ascii="宋体" w:hAnsi="宋体" w:cs="宋体"/>
                <w:kern w:val="0"/>
                <w:sz w:val="18"/>
                <w:szCs w:val="18"/>
                <w:lang w:bidi="ar"/>
              </w:rPr>
            </w:pPr>
            <w:r>
              <w:rPr>
                <w:rStyle w:val="122"/>
                <w:rFonts w:hint="default"/>
                <w:b/>
                <w:bCs/>
                <w:sz w:val="18"/>
                <w:szCs w:val="18"/>
                <w:lang w:bidi="ar"/>
              </w:rPr>
              <w:t>地面模块</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材质工艺</w:t>
            </w:r>
          </w:p>
        </w:tc>
        <w:tc>
          <w:tcPr>
            <w:tcW w:w="1398" w:type="dxa"/>
            <w:gridSpan w:val="3"/>
            <w:vAlign w:val="center"/>
          </w:tcPr>
          <w:p>
            <w:pPr>
              <w:jc w:val="left"/>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1.干法装配集成地面楼面板</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抗冲击耐化学腐蚀防滑600*600*9.8mm</w:t>
            </w:r>
          </w:p>
        </w:tc>
        <w:tc>
          <w:tcPr>
            <w:tcW w:w="569" w:type="dxa"/>
            <w:gridSpan w:val="2"/>
            <w:vMerge w:val="restart"/>
            <w:vAlign w:val="center"/>
          </w:tcPr>
          <w:p>
            <w:pPr>
              <w:jc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Merge w:val="restart"/>
            <w:vAlign w:val="center"/>
          </w:tcPr>
          <w:p>
            <w:pPr>
              <w:jc w:val="center"/>
              <w:rPr>
                <w:rFonts w:ascii="宋体" w:hAnsi="宋体" w:cs="宋体"/>
                <w:kern w:val="0"/>
                <w:sz w:val="18"/>
                <w:szCs w:val="18"/>
                <w:lang w:bidi="ar"/>
              </w:rPr>
            </w:pPr>
            <w:r>
              <w:rPr>
                <w:rFonts w:hint="eastAsia" w:ascii="宋体" w:hAnsi="宋体" w:cs="宋体"/>
                <w:kern w:val="0"/>
                <w:sz w:val="18"/>
                <w:szCs w:val="18"/>
                <w:lang w:bidi="ar"/>
              </w:rPr>
              <w:t>161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地砖</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5</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机电系统模块</w:t>
            </w:r>
          </w:p>
        </w:tc>
        <w:tc>
          <w:tcPr>
            <w:tcW w:w="3526" w:type="dxa"/>
            <w:vAlign w:val="center"/>
          </w:tcPr>
          <w:p>
            <w:pPr>
              <w:widowControl/>
              <w:jc w:val="left"/>
              <w:textAlignment w:val="center"/>
              <w:rPr>
                <w:rFonts w:ascii="宋体" w:hAnsi="宋体" w:cs="宋体"/>
                <w:sz w:val="18"/>
                <w:szCs w:val="18"/>
              </w:rPr>
            </w:pPr>
            <w:r>
              <w:rPr>
                <w:rStyle w:val="122"/>
                <w:rFonts w:hint="default"/>
                <w:b/>
                <w:bCs/>
                <w:sz w:val="18"/>
                <w:szCs w:val="18"/>
                <w:lang w:bidi="ar"/>
              </w:rPr>
              <w:t>节能灯具（西顿）</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设备工艺</w:t>
            </w:r>
          </w:p>
        </w:tc>
        <w:tc>
          <w:tcPr>
            <w:tcW w:w="1398" w:type="dxa"/>
            <w:gridSpan w:val="3"/>
            <w:vAlign w:val="center"/>
          </w:tcPr>
          <w:p>
            <w:pPr>
              <w:widowControl/>
              <w:jc w:val="left"/>
              <w:textAlignment w:val="center"/>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宋体" w:hAnsi="宋体" w:cs="宋体"/>
                <w:kern w:val="0"/>
                <w:sz w:val="18"/>
                <w:szCs w:val="18"/>
                <w:lang w:bidi="ar"/>
              </w:rPr>
            </w:pPr>
            <w:r>
              <w:rPr>
                <w:rStyle w:val="122"/>
                <w:rFonts w:hint="default"/>
                <w:sz w:val="18"/>
                <w:szCs w:val="18"/>
                <w:lang w:bidi="ar"/>
              </w:rPr>
              <w:t>1.LED嵌入式线条灯</w:t>
            </w:r>
          </w:p>
        </w:tc>
        <w:tc>
          <w:tcPr>
            <w:tcW w:w="2841" w:type="dxa"/>
            <w:gridSpan w:val="2"/>
            <w:vMerge w:val="restart"/>
            <w:vAlign w:val="center"/>
          </w:tcPr>
          <w:p>
            <w:pPr>
              <w:widowControl/>
              <w:jc w:val="left"/>
              <w:textAlignment w:val="center"/>
              <w:rPr>
                <w:rStyle w:val="122"/>
                <w:rFonts w:hint="default"/>
                <w:sz w:val="18"/>
                <w:szCs w:val="18"/>
                <w:lang w:bidi="ar"/>
              </w:rPr>
            </w:pPr>
            <w:r>
              <w:rPr>
                <w:rStyle w:val="122"/>
                <w:rFonts w:hint="default"/>
                <w:sz w:val="18"/>
                <w:szCs w:val="18"/>
                <w:lang w:bidi="ar"/>
              </w:rPr>
              <w:t>LD-AX01色温4500K照度150lx照射角为12°色斑直径600mm显色指数90(Ra)</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15</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Fonts w:ascii="仿宋" w:hAnsi="仿宋" w:eastAsia="仿宋" w:cs="仿宋"/>
                <w:kern w:val="0"/>
                <w:szCs w:val="21"/>
                <w:lang w:bidi="ar"/>
              </w:rPr>
            </w:pPr>
            <w:r>
              <w:rPr>
                <w:rStyle w:val="122"/>
                <w:rFonts w:hint="default"/>
                <w:sz w:val="18"/>
                <w:szCs w:val="18"/>
                <w:lang w:bidi="ar"/>
              </w:rPr>
              <w:t>2.LED嵌入式可调节射灯</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12</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kern w:val="0"/>
                <w:sz w:val="18"/>
                <w:szCs w:val="18"/>
                <w:lang w:bidi="ar"/>
              </w:rPr>
            </w:pPr>
          </w:p>
        </w:tc>
        <w:tc>
          <w:tcPr>
            <w:tcW w:w="3526" w:type="dxa"/>
            <w:vAlign w:val="center"/>
          </w:tcPr>
          <w:p>
            <w:pPr>
              <w:widowControl/>
              <w:jc w:val="left"/>
              <w:textAlignment w:val="center"/>
              <w:rPr>
                <w:rStyle w:val="122"/>
                <w:rFonts w:hint="default"/>
                <w:sz w:val="18"/>
                <w:szCs w:val="18"/>
                <w:lang w:bidi="ar"/>
              </w:rPr>
            </w:pPr>
            <w:r>
              <w:rPr>
                <w:rStyle w:val="122"/>
                <w:rFonts w:hint="default"/>
                <w:sz w:val="18"/>
                <w:szCs w:val="18"/>
                <w:lang w:bidi="ar"/>
              </w:rPr>
              <w:t xml:space="preserve">3.LED嵌入式可调节防水筒灯 </w:t>
            </w:r>
          </w:p>
        </w:tc>
        <w:tc>
          <w:tcPr>
            <w:tcW w:w="2841" w:type="dxa"/>
            <w:gridSpan w:val="2"/>
            <w:vMerge w:val="continue"/>
            <w:vAlign w:val="center"/>
          </w:tcPr>
          <w:p>
            <w:pPr>
              <w:widowControl/>
              <w:jc w:val="left"/>
              <w:textAlignment w:val="center"/>
              <w:rPr>
                <w:rStyle w:val="122"/>
                <w:rFonts w:hint="default"/>
                <w:sz w:val="18"/>
                <w:szCs w:val="18"/>
                <w:lang w:bidi="ar"/>
              </w:rPr>
            </w:pP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25</w:t>
            </w: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jc w:val="left"/>
              <w:rPr>
                <w:rStyle w:val="122"/>
                <w:rFonts w:hint="default"/>
                <w:b/>
                <w:bCs/>
                <w:sz w:val="18"/>
                <w:szCs w:val="18"/>
                <w:lang w:bidi="ar"/>
              </w:rPr>
            </w:pPr>
            <w:r>
              <w:rPr>
                <w:rStyle w:val="122"/>
                <w:rFonts w:hint="default"/>
                <w:b/>
                <w:bCs/>
                <w:sz w:val="18"/>
                <w:szCs w:val="18"/>
                <w:lang w:bidi="ar"/>
              </w:rPr>
              <w:t>空调系统</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设备工艺</w:t>
            </w:r>
          </w:p>
        </w:tc>
        <w:tc>
          <w:tcPr>
            <w:tcW w:w="1398" w:type="dxa"/>
            <w:gridSpan w:val="3"/>
            <w:vAlign w:val="center"/>
          </w:tcPr>
          <w:p>
            <w:pPr>
              <w:jc w:val="left"/>
              <w:rPr>
                <w:rStyle w:val="122"/>
                <w:rFonts w:hint="default"/>
                <w:b/>
                <w:bCs/>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88" w:type="dxa"/>
            <w:vMerge w:val="continue"/>
            <w:noWrap/>
            <w:vAlign w:val="center"/>
          </w:tcPr>
          <w:p>
            <w:pPr>
              <w:widowControl/>
              <w:jc w:val="left"/>
              <w:textAlignment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3526"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1.VRV</w:t>
            </w:r>
            <w:r>
              <w:rPr>
                <w:rStyle w:val="122"/>
                <w:rFonts w:hint="default"/>
                <w:sz w:val="18"/>
                <w:szCs w:val="18"/>
                <w:lang w:bidi="ar"/>
              </w:rPr>
              <w:t>空调多联式空调机组风管式室内机（主机+风机盘管+配件）</w:t>
            </w:r>
          </w:p>
        </w:tc>
        <w:tc>
          <w:tcPr>
            <w:tcW w:w="2841" w:type="dxa"/>
            <w:gridSpan w:val="2"/>
            <w:vAlign w:val="center"/>
          </w:tcPr>
          <w:p>
            <w:pPr>
              <w:widowControl/>
              <w:jc w:val="left"/>
              <w:textAlignment w:val="center"/>
              <w:rPr>
                <w:rStyle w:val="122"/>
                <w:rFonts w:hint="default"/>
                <w:sz w:val="18"/>
                <w:szCs w:val="18"/>
                <w:lang w:bidi="ar"/>
              </w:rPr>
            </w:pPr>
            <w:r>
              <w:rPr>
                <w:rStyle w:val="122"/>
                <w:rFonts w:hint="default"/>
                <w:sz w:val="18"/>
                <w:szCs w:val="18"/>
                <w:lang w:bidi="ar"/>
              </w:rPr>
              <w:t>直流变频、电压/频率</w:t>
            </w:r>
          </w:p>
          <w:p>
            <w:pPr>
              <w:widowControl/>
              <w:jc w:val="left"/>
              <w:textAlignment w:val="center"/>
              <w:rPr>
                <w:rStyle w:val="122"/>
                <w:rFonts w:hint="default"/>
                <w:sz w:val="18"/>
                <w:szCs w:val="18"/>
                <w:lang w:bidi="ar"/>
              </w:rPr>
            </w:pPr>
            <w:r>
              <w:rPr>
                <w:rStyle w:val="122"/>
                <w:rFonts w:hint="default"/>
                <w:sz w:val="18"/>
                <w:szCs w:val="18"/>
                <w:lang w:bidi="ar"/>
              </w:rPr>
              <w:t>220V/50Hz、内外机自动清洁、支持独立除湿、制冷剂R410a</w:t>
            </w:r>
          </w:p>
          <w:p>
            <w:pPr>
              <w:widowControl/>
              <w:jc w:val="left"/>
              <w:textAlignment w:val="center"/>
            </w:pPr>
            <w:r>
              <w:rPr>
                <w:rStyle w:val="122"/>
                <w:rFonts w:hint="default"/>
                <w:sz w:val="18"/>
                <w:szCs w:val="18"/>
                <w:lang w:bidi="ar"/>
              </w:rPr>
              <w:t>支持除甲醛</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jc w:val="left"/>
              <w:rPr>
                <w:rStyle w:val="122"/>
                <w:rFonts w:hint="default"/>
                <w:b/>
                <w:bCs/>
                <w:sz w:val="18"/>
                <w:szCs w:val="18"/>
                <w:lang w:bidi="ar"/>
              </w:rPr>
            </w:pPr>
            <w:r>
              <w:rPr>
                <w:rStyle w:val="122"/>
                <w:rFonts w:hint="default"/>
                <w:b/>
                <w:bCs/>
                <w:sz w:val="18"/>
                <w:szCs w:val="18"/>
                <w:lang w:bidi="ar"/>
              </w:rPr>
              <w:t xml:space="preserve">电气给排水 </w:t>
            </w:r>
          </w:p>
        </w:tc>
        <w:tc>
          <w:tcPr>
            <w:tcW w:w="1438" w:type="dxa"/>
            <w:vMerge w:val="restart"/>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Style w:val="122"/>
                <w:rFonts w:hint="default"/>
                <w:sz w:val="18"/>
                <w:szCs w:val="18"/>
                <w:lang w:bidi="ar"/>
              </w:rPr>
            </w:pPr>
            <w:r>
              <w:rPr>
                <w:rStyle w:val="122"/>
                <w:rFonts w:hint="default"/>
                <w:sz w:val="18"/>
                <w:szCs w:val="18"/>
                <w:lang w:bidi="ar"/>
              </w:rPr>
              <w:t>1.排水波纹管、</w:t>
            </w:r>
            <w:r>
              <w:rPr>
                <w:rStyle w:val="123"/>
                <w:rFonts w:hint="eastAsia" w:ascii="宋体" w:hAnsi="宋体" w:cs="宋体"/>
                <w:sz w:val="18"/>
                <w:szCs w:val="18"/>
                <w:lang w:bidi="ar"/>
              </w:rPr>
              <w:t>PVC</w:t>
            </w:r>
            <w:r>
              <w:rPr>
                <w:rStyle w:val="122"/>
                <w:rFonts w:hint="default"/>
                <w:sz w:val="18"/>
                <w:szCs w:val="18"/>
                <w:lang w:bidi="ar"/>
              </w:rPr>
              <w:t>给水排水管</w:t>
            </w:r>
            <w:r>
              <w:rPr>
                <w:rStyle w:val="123"/>
                <w:rFonts w:hint="eastAsia" w:ascii="宋体" w:hAnsi="宋体" w:cs="宋体"/>
                <w:sz w:val="18"/>
                <w:szCs w:val="18"/>
                <w:lang w:bidi="ar"/>
              </w:rPr>
              <w:t>DE20 35 50 110 160 (1.0MPa)含装配件</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项</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2.WDZB_BYJ</w:t>
            </w:r>
            <w:r>
              <w:rPr>
                <w:rStyle w:val="122"/>
                <w:rFonts w:hint="default"/>
                <w:sz w:val="18"/>
                <w:szCs w:val="18"/>
                <w:lang w:bidi="ar"/>
              </w:rPr>
              <w:t>低烟无卤绝缘电线</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3.20mmKBG</w:t>
            </w:r>
            <w:r>
              <w:rPr>
                <w:rStyle w:val="122"/>
                <w:rFonts w:hint="default"/>
                <w:sz w:val="18"/>
                <w:szCs w:val="18"/>
                <w:lang w:bidi="ar"/>
              </w:rPr>
              <w:t>镀锌电管</w:t>
            </w:r>
            <w:r>
              <w:rPr>
                <w:rStyle w:val="123"/>
                <w:rFonts w:hint="eastAsia" w:ascii="宋体" w:hAnsi="宋体" w:cs="宋体"/>
                <w:sz w:val="18"/>
                <w:szCs w:val="18"/>
                <w:lang w:bidi="ar"/>
              </w:rPr>
              <w:t xml:space="preserve"> </w:t>
            </w:r>
            <w:r>
              <w:rPr>
                <w:rStyle w:val="122"/>
                <w:rFonts w:hint="default"/>
                <w:sz w:val="18"/>
                <w:szCs w:val="18"/>
                <w:lang w:bidi="ar"/>
              </w:rPr>
              <w:t>强电配电箱</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 xml:space="preserve">4.100*50mm </w:t>
            </w:r>
            <w:r>
              <w:rPr>
                <w:rStyle w:val="122"/>
                <w:rFonts w:hint="default"/>
                <w:sz w:val="18"/>
                <w:szCs w:val="18"/>
                <w:lang w:bidi="ar"/>
              </w:rPr>
              <w:t>钢板喷涂桥架</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6</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门窗系统模块</w:t>
            </w:r>
          </w:p>
        </w:tc>
        <w:tc>
          <w:tcPr>
            <w:tcW w:w="7765" w:type="dxa"/>
            <w:gridSpan w:val="6"/>
            <w:vAlign w:val="center"/>
          </w:tcPr>
          <w:p>
            <w:pPr>
              <w:widowControl/>
              <w:jc w:val="left"/>
              <w:textAlignment w:val="center"/>
              <w:rPr>
                <w:rStyle w:val="122"/>
                <w:rFonts w:hint="default"/>
                <w:b/>
                <w:bCs/>
                <w:sz w:val="18"/>
                <w:szCs w:val="18"/>
                <w:lang w:bidi="ar"/>
              </w:rPr>
            </w:pPr>
            <w:r>
              <w:rPr>
                <w:rStyle w:val="122"/>
                <w:rFonts w:hint="default"/>
                <w:b/>
                <w:bCs/>
                <w:sz w:val="18"/>
                <w:szCs w:val="18"/>
                <w:lang w:bidi="ar"/>
              </w:rPr>
              <w:t>门窗模块</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1.6+12+6 LOW-E</w:t>
            </w:r>
            <w:r>
              <w:rPr>
                <w:rStyle w:val="122"/>
                <w:rFonts w:hint="default"/>
                <w:sz w:val="18"/>
                <w:szCs w:val="18"/>
                <w:lang w:bidi="ar"/>
              </w:rPr>
              <w:t>中空高透夹膜玻璃幕墙；</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仿宋" w:hAnsi="仿宋" w:eastAsia="仿宋" w:cs="仿宋"/>
                <w:kern w:val="0"/>
                <w:szCs w:val="21"/>
                <w:lang w:bidi="ar"/>
              </w:rPr>
              <w:t>m2</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sz w:val="18"/>
                <w:szCs w:val="18"/>
              </w:rPr>
              <w:t>56.16</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2.1600*3200mm</w:t>
            </w:r>
            <w:r>
              <w:rPr>
                <w:rStyle w:val="122"/>
                <w:rFonts w:hint="default"/>
                <w:sz w:val="18"/>
                <w:szCs w:val="18"/>
                <w:lang w:bidi="ar"/>
              </w:rPr>
              <w:t>通高断桥铝型材双开玻璃门；</w:t>
            </w:r>
            <w:r>
              <w:rPr>
                <w:rStyle w:val="123"/>
                <w:rFonts w:hint="eastAsia" w:ascii="宋体" w:hAnsi="宋体" w:cs="宋体"/>
                <w:sz w:val="18"/>
                <w:szCs w:val="18"/>
                <w:lang w:bidi="ar"/>
              </w:rPr>
              <w:t xml:space="preserve"> </w:t>
            </w:r>
            <w:r>
              <w:rPr>
                <w:rStyle w:val="122"/>
                <w:rFonts w:hint="default"/>
                <w:sz w:val="18"/>
                <w:szCs w:val="18"/>
                <w:lang w:bidi="ar"/>
              </w:rPr>
              <w:t>含自动闭合器、五金、门锁</w:t>
            </w:r>
            <w:r>
              <w:rPr>
                <w:rFonts w:hint="eastAsia" w:ascii="宋体" w:hAnsi="宋体" w:cs="宋体"/>
                <w:kern w:val="0"/>
                <w:sz w:val="18"/>
                <w:szCs w:val="18"/>
                <w:lang w:bidi="ar"/>
              </w:rPr>
              <w:t>；</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3.1000*3200mm</w:t>
            </w:r>
            <w:r>
              <w:rPr>
                <w:rStyle w:val="122"/>
                <w:rFonts w:hint="default"/>
                <w:sz w:val="18"/>
                <w:szCs w:val="18"/>
                <w:lang w:bidi="ar"/>
              </w:rPr>
              <w:t>隐形、静音铝制单开复合门，门厚</w:t>
            </w:r>
            <w:r>
              <w:rPr>
                <w:rStyle w:val="123"/>
                <w:rFonts w:hint="eastAsia" w:ascii="宋体" w:hAnsi="宋体" w:cs="宋体"/>
                <w:sz w:val="18"/>
                <w:szCs w:val="18"/>
                <w:lang w:bidi="ar"/>
              </w:rPr>
              <w:t>56mm</w:t>
            </w:r>
            <w:r>
              <w:rPr>
                <w:rStyle w:val="122"/>
                <w:rFonts w:hint="default"/>
                <w:sz w:val="18"/>
                <w:szCs w:val="18"/>
                <w:lang w:bidi="ar"/>
              </w:rPr>
              <w:t>；含五金、门锁</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2</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4.1000*3200mm</w:t>
            </w:r>
            <w:r>
              <w:rPr>
                <w:rStyle w:val="122"/>
                <w:rFonts w:hint="default"/>
                <w:sz w:val="18"/>
                <w:szCs w:val="18"/>
                <w:lang w:bidi="ar"/>
              </w:rPr>
              <w:t>通高断桥铝型材单开玻璃门；</w:t>
            </w:r>
            <w:r>
              <w:rPr>
                <w:rStyle w:val="123"/>
                <w:rFonts w:hint="eastAsia" w:ascii="宋体" w:hAnsi="宋体" w:cs="宋体"/>
                <w:sz w:val="18"/>
                <w:szCs w:val="18"/>
                <w:lang w:bidi="ar"/>
              </w:rPr>
              <w:t xml:space="preserve"> </w:t>
            </w:r>
            <w:r>
              <w:rPr>
                <w:rStyle w:val="122"/>
                <w:rFonts w:hint="default"/>
                <w:sz w:val="18"/>
                <w:szCs w:val="18"/>
                <w:lang w:bidi="ar"/>
              </w:rPr>
              <w:t>含自动闭合器、五金、门锁</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5"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5.600*2400mm</w:t>
            </w:r>
            <w:r>
              <w:rPr>
                <w:rStyle w:val="122"/>
                <w:rFonts w:hint="default"/>
                <w:sz w:val="18"/>
                <w:szCs w:val="18"/>
                <w:lang w:bidi="ar"/>
              </w:rPr>
              <w:t>下悬式断桥铝合金</w:t>
            </w:r>
            <w:r>
              <w:rPr>
                <w:rStyle w:val="123"/>
                <w:rFonts w:hint="eastAsia" w:ascii="宋体" w:hAnsi="宋体" w:cs="宋体"/>
                <w:sz w:val="18"/>
                <w:szCs w:val="18"/>
                <w:lang w:bidi="ar"/>
              </w:rPr>
              <w:t>LOW-E</w:t>
            </w:r>
            <w:r>
              <w:rPr>
                <w:rStyle w:val="122"/>
                <w:rFonts w:hint="default"/>
                <w:sz w:val="18"/>
                <w:szCs w:val="18"/>
                <w:lang w:bidi="ar"/>
              </w:rPr>
              <w:t>中空钢化玻璃窗；含纱窗</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樘</w:t>
            </w:r>
          </w:p>
        </w:tc>
        <w:tc>
          <w:tcPr>
            <w:tcW w:w="829" w:type="dxa"/>
            <w:vAlign w:val="center"/>
          </w:tcPr>
          <w:p>
            <w:pPr>
              <w:jc w:val="center"/>
              <w:rPr>
                <w:rFonts w:ascii="宋体" w:hAnsi="宋体" w:cs="宋体"/>
                <w:sz w:val="18"/>
                <w:szCs w:val="18"/>
              </w:rPr>
            </w:pPr>
            <w:r>
              <w:rPr>
                <w:rFonts w:hint="eastAsia" w:ascii="宋体" w:hAnsi="宋体" w:cs="宋体"/>
                <w:sz w:val="18"/>
                <w:szCs w:val="18"/>
              </w:rPr>
              <w:t>6</w:t>
            </w:r>
          </w:p>
        </w:tc>
        <w:tc>
          <w:tcPr>
            <w:tcW w:w="1438" w:type="dxa"/>
            <w:vMerge w:val="continue"/>
            <w:vAlign w:val="center"/>
          </w:tcPr>
          <w:p>
            <w:pPr>
              <w:jc w:val="center"/>
              <w:rPr>
                <w:rFonts w:ascii="宋体" w:hAnsi="宋体" w:cs="宋体"/>
                <w:kern w:val="0"/>
                <w:sz w:val="18"/>
                <w:szCs w:val="18"/>
                <w:lang w:bidi="ar"/>
              </w:rPr>
            </w:pPr>
          </w:p>
        </w:tc>
      </w:tr>
      <w:tr>
        <w:tblPrEx>
          <w:tblCellMar>
            <w:top w:w="0" w:type="dxa"/>
            <w:left w:w="108" w:type="dxa"/>
            <w:bottom w:w="0" w:type="dxa"/>
            <w:right w:w="108" w:type="dxa"/>
          </w:tblCellMar>
        </w:tblPrEx>
        <w:trPr>
          <w:trHeight w:val="401"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7</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洁具节水模块</w:t>
            </w:r>
          </w:p>
        </w:tc>
        <w:tc>
          <w:tcPr>
            <w:tcW w:w="7765" w:type="dxa"/>
            <w:gridSpan w:val="6"/>
            <w:vAlign w:val="center"/>
          </w:tcPr>
          <w:p>
            <w:pPr>
              <w:widowControl/>
              <w:jc w:val="left"/>
              <w:textAlignment w:val="center"/>
              <w:rPr>
                <w:rFonts w:ascii="宋体" w:hAnsi="宋体" w:cs="宋体"/>
                <w:sz w:val="18"/>
                <w:szCs w:val="18"/>
              </w:rPr>
            </w:pPr>
            <w:r>
              <w:rPr>
                <w:rFonts w:hint="eastAsia" w:ascii="宋体" w:hAnsi="宋体" w:cs="宋体"/>
                <w:b/>
                <w:bCs/>
                <w:kern w:val="0"/>
                <w:sz w:val="18"/>
                <w:szCs w:val="18"/>
                <w:lang w:bidi="ar"/>
              </w:rPr>
              <w:t>全自动节能蹲便装置（含装配件）</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1.单次冲厕用水量小于2.5-3.5升；</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套</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7</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2.采用陶瓷存水弯蹲便器；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3.在低水压低水流环境下也可正常使用；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4.</w:t>
            </w:r>
            <w:r>
              <w:rPr>
                <w:rStyle w:val="124"/>
                <w:rFonts w:hint="default"/>
                <w:sz w:val="18"/>
                <w:szCs w:val="18"/>
                <w:lang w:bidi="ar"/>
              </w:rPr>
              <w:t>节能强力冲洗脚踏阀；</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5.采用地面管道脚踏冲洗阀门；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b/>
                <w:bCs/>
                <w:kern w:val="0"/>
                <w:sz w:val="18"/>
                <w:szCs w:val="18"/>
                <w:lang w:bidi="ar"/>
              </w:rPr>
              <w:t xml:space="preserve">节能洗手盆 </w:t>
            </w:r>
            <w:r>
              <w:rPr>
                <w:rFonts w:hint="eastAsia" w:ascii="宋体" w:hAnsi="宋体" w:cs="宋体"/>
                <w:kern w:val="0"/>
                <w:sz w:val="18"/>
                <w:szCs w:val="18"/>
                <w:lang w:bidi="ar"/>
              </w:rPr>
              <w:t xml:space="preserve">规格495*400mm 台下盆  </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3</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widowControl/>
              <w:textAlignment w:val="center"/>
              <w:rPr>
                <w:rFonts w:ascii="宋体" w:hAnsi="宋体" w:cs="宋体"/>
                <w:sz w:val="18"/>
                <w:szCs w:val="18"/>
              </w:rPr>
            </w:pPr>
            <w:r>
              <w:rPr>
                <w:rFonts w:hint="eastAsia" w:ascii="宋体" w:hAnsi="宋体" w:cs="宋体"/>
                <w:b/>
                <w:bCs/>
                <w:kern w:val="0"/>
                <w:sz w:val="18"/>
                <w:szCs w:val="18"/>
                <w:lang w:bidi="ar"/>
              </w:rPr>
              <w:t>感应一体式小便装置（含装配件）</w:t>
            </w:r>
            <w:r>
              <w:rPr>
                <w:rFonts w:hint="eastAsia" w:ascii="宋体" w:hAnsi="宋体" w:cs="宋体"/>
                <w:kern w:val="0"/>
                <w:sz w:val="18"/>
                <w:szCs w:val="18"/>
                <w:lang w:bidi="ar"/>
              </w:rPr>
              <w:t>壁挂型</w:t>
            </w:r>
          </w:p>
        </w:tc>
        <w:tc>
          <w:tcPr>
            <w:tcW w:w="1438" w:type="dxa"/>
            <w:vMerge w:val="continue"/>
            <w:vAlign w:val="center"/>
          </w:tcPr>
          <w:p>
            <w:pPr>
              <w:jc w:val="center"/>
              <w:rPr>
                <w:rFonts w:ascii="宋体" w:hAnsi="宋体" w:cs="宋体"/>
                <w:sz w:val="18"/>
                <w:szCs w:val="18"/>
              </w:rPr>
            </w:pPr>
          </w:p>
        </w:tc>
      </w:tr>
      <w:tr>
        <w:tblPrEx>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1.单次冲厕用水量小于1.2升；</w:t>
            </w:r>
          </w:p>
        </w:tc>
        <w:tc>
          <w:tcPr>
            <w:tcW w:w="569" w:type="dxa"/>
            <w:gridSpan w:val="2"/>
            <w:vMerge w:val="restart"/>
            <w:vAlign w:val="center"/>
          </w:tcPr>
          <w:p>
            <w:pPr>
              <w:jc w:val="center"/>
              <w:rPr>
                <w:rFonts w:ascii="宋体" w:hAnsi="宋体" w:cs="宋体"/>
                <w:sz w:val="18"/>
                <w:szCs w:val="18"/>
              </w:rPr>
            </w:pPr>
            <w:r>
              <w:rPr>
                <w:rFonts w:hint="eastAsia" w:ascii="宋体" w:hAnsi="宋体" w:cs="宋体"/>
                <w:sz w:val="18"/>
                <w:szCs w:val="18"/>
              </w:rPr>
              <w:t>套</w:t>
            </w:r>
          </w:p>
        </w:tc>
        <w:tc>
          <w:tcPr>
            <w:tcW w:w="829" w:type="dxa"/>
            <w:vMerge w:val="restart"/>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2.采用陶瓷带水封小便器；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3.污水置换稀释率&gt;100；</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4.采用感应式冲洗阀门；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5.</w:t>
            </w:r>
            <w:r>
              <w:rPr>
                <w:rStyle w:val="124"/>
                <w:rFonts w:hint="default"/>
                <w:sz w:val="18"/>
                <w:szCs w:val="18"/>
                <w:lang w:bidi="ar"/>
              </w:rPr>
              <w:t>感应节能小便斗、节水喷管、双浮下水配件等；</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潜水艇隔臭地漏</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1.重力磁力双重密封式设计；</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个</w:t>
            </w:r>
          </w:p>
        </w:tc>
        <w:tc>
          <w:tcPr>
            <w:tcW w:w="829" w:type="dxa"/>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6</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2.保证水流大时下水通畅，不易堵塞；</w:t>
            </w:r>
          </w:p>
        </w:tc>
        <w:tc>
          <w:tcPr>
            <w:tcW w:w="569" w:type="dxa"/>
            <w:gridSpan w:val="2"/>
            <w:vMerge w:val="continue"/>
            <w:vAlign w:val="center"/>
          </w:tcPr>
          <w:p>
            <w:pPr>
              <w:widowControl/>
              <w:jc w:val="center"/>
              <w:textAlignment w:val="center"/>
              <w:rPr>
                <w:rFonts w:ascii="宋体" w:hAnsi="宋体" w:cs="宋体"/>
                <w:kern w:val="0"/>
                <w:sz w:val="18"/>
                <w:szCs w:val="18"/>
                <w:lang w:bidi="ar"/>
              </w:rPr>
            </w:pPr>
          </w:p>
        </w:tc>
        <w:tc>
          <w:tcPr>
            <w:tcW w:w="829" w:type="dxa"/>
            <w:vMerge w:val="continue"/>
            <w:vAlign w:val="center"/>
          </w:tcPr>
          <w:p>
            <w:pPr>
              <w:widowControl/>
              <w:jc w:val="center"/>
              <w:textAlignment w:val="center"/>
              <w:rPr>
                <w:rFonts w:ascii="宋体" w:hAnsi="宋体" w:cs="宋体"/>
                <w:kern w:val="0"/>
                <w:sz w:val="18"/>
                <w:szCs w:val="18"/>
                <w:lang w:bidi="ar"/>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3.表面镀镍拉丝处理、ABS内芯材质；</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4.地漏主体、地漏芯、浮盒、导水圈；</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jc w:val="center"/>
              <w:rPr>
                <w:rFonts w:ascii="宋体" w:hAnsi="宋体" w:cs="宋体"/>
                <w:sz w:val="18"/>
                <w:szCs w:val="18"/>
              </w:rPr>
            </w:pPr>
          </w:p>
        </w:tc>
      </w:tr>
      <w:tr>
        <w:tblPrEx>
          <w:tblCellMar>
            <w:top w:w="0" w:type="dxa"/>
            <w:left w:w="108" w:type="dxa"/>
            <w:bottom w:w="0" w:type="dxa"/>
            <w:right w:w="108" w:type="dxa"/>
          </w:tblCellMar>
        </w:tblPrEx>
        <w:trPr>
          <w:trHeight w:val="438" w:hRule="atLeast"/>
        </w:trPr>
        <w:tc>
          <w:tcPr>
            <w:tcW w:w="588" w:type="dxa"/>
            <w:vMerge w:val="restart"/>
            <w:noWrap/>
            <w:vAlign w:val="center"/>
          </w:tcPr>
          <w:p>
            <w:pPr>
              <w:widowControl/>
              <w:tabs>
                <w:tab w:val="left" w:pos="332"/>
              </w:tabs>
              <w:jc w:val="center"/>
              <w:textAlignment w:val="center"/>
              <w:rPr>
                <w:rFonts w:ascii="宋体" w:hAnsi="宋体" w:cs="宋体"/>
                <w:sz w:val="18"/>
                <w:szCs w:val="18"/>
              </w:rPr>
            </w:pPr>
            <w:r>
              <w:rPr>
                <w:rFonts w:hint="eastAsia" w:ascii="宋体" w:hAnsi="宋体" w:cs="宋体"/>
                <w:sz w:val="18"/>
                <w:szCs w:val="18"/>
              </w:rPr>
              <w:t>8</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除臭通风模块</w:t>
            </w:r>
          </w:p>
        </w:tc>
        <w:tc>
          <w:tcPr>
            <w:tcW w:w="4210" w:type="dxa"/>
            <w:gridSpan w:val="2"/>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 xml:space="preserve">除臭模块 </w:t>
            </w:r>
          </w:p>
        </w:tc>
        <w:tc>
          <w:tcPr>
            <w:tcW w:w="2157" w:type="dxa"/>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设备工艺</w:t>
            </w:r>
          </w:p>
        </w:tc>
        <w:tc>
          <w:tcPr>
            <w:tcW w:w="1398" w:type="dxa"/>
            <w:gridSpan w:val="3"/>
            <w:vAlign w:val="center"/>
          </w:tcPr>
          <w:p>
            <w:pPr>
              <w:widowControl/>
              <w:jc w:val="left"/>
              <w:textAlignment w:val="center"/>
              <w:rPr>
                <w:rFonts w:ascii="宋体" w:hAnsi="宋体" w:cs="宋体"/>
                <w:b/>
                <w:bCs/>
                <w:kern w:val="0"/>
                <w:sz w:val="18"/>
                <w:szCs w:val="18"/>
                <w:lang w:bidi="ar"/>
              </w:rPr>
            </w:pP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8" w:hRule="atLeast"/>
        </w:trPr>
        <w:tc>
          <w:tcPr>
            <w:tcW w:w="588" w:type="dxa"/>
            <w:vMerge w:val="continue"/>
            <w:noWrap/>
            <w:vAlign w:val="center"/>
          </w:tcPr>
          <w:p>
            <w:pPr>
              <w:widowControl/>
              <w:tabs>
                <w:tab w:val="left" w:pos="332"/>
              </w:tabs>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4210" w:type="dxa"/>
            <w:gridSpan w:val="2"/>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w:t>
            </w:r>
            <w:r>
              <w:rPr>
                <w:rStyle w:val="122"/>
                <w:rFonts w:hint="default"/>
                <w:sz w:val="18"/>
                <w:szCs w:val="18"/>
                <w:lang w:bidi="ar"/>
              </w:rPr>
              <w:t>自强排空气置换杀菌消毒除臭主机</w:t>
            </w:r>
          </w:p>
        </w:tc>
        <w:tc>
          <w:tcPr>
            <w:tcW w:w="2157" w:type="dxa"/>
            <w:vMerge w:val="restart"/>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主机规格 ：710*280*240mm等离子发生器、电离器、处理风量17000（m3/h）双极高能离子净化主机，</w:t>
            </w:r>
            <w:r>
              <w:rPr>
                <w:rStyle w:val="122"/>
                <w:rFonts w:hint="default"/>
                <w:sz w:val="18"/>
                <w:szCs w:val="18"/>
                <w:lang w:bidi="ar"/>
              </w:rPr>
              <w:t>羟基氧化</w:t>
            </w:r>
            <w:r>
              <w:rPr>
                <w:rFonts w:hint="eastAsia" w:ascii="宋体" w:hAnsi="宋体" w:cs="宋体"/>
                <w:kern w:val="0"/>
                <w:sz w:val="18"/>
                <w:szCs w:val="18"/>
                <w:lang w:bidi="ar"/>
              </w:rPr>
              <w:t>空气消毒除臭系统，实现多区换气集中控制，纤维层滤网</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Merge w:val="restart"/>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3</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4210" w:type="dxa"/>
            <w:gridSpan w:val="2"/>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自排、强排相结合，多点分散式排放风口</w:t>
            </w:r>
          </w:p>
        </w:tc>
        <w:tc>
          <w:tcPr>
            <w:tcW w:w="2157" w:type="dxa"/>
            <w:vMerge w:val="continue"/>
            <w:vAlign w:val="center"/>
          </w:tcPr>
          <w:p>
            <w:pPr>
              <w:jc w:val="left"/>
              <w:rPr>
                <w:rFonts w:ascii="宋体" w:hAnsi="宋体" w:cs="宋体"/>
                <w:kern w:val="0"/>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CellMar>
            <w:top w:w="0" w:type="dxa"/>
            <w:left w:w="108" w:type="dxa"/>
            <w:bottom w:w="0" w:type="dxa"/>
            <w:right w:w="108" w:type="dxa"/>
          </w:tblCellMar>
        </w:tblPrEx>
        <w:trPr>
          <w:trHeight w:val="359"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4210" w:type="dxa"/>
            <w:gridSpan w:val="2"/>
            <w:vAlign w:val="center"/>
          </w:tcPr>
          <w:p>
            <w:pPr>
              <w:jc w:val="left"/>
              <w:rPr>
                <w:rFonts w:ascii="宋体" w:hAnsi="宋体" w:cs="宋体"/>
                <w:sz w:val="18"/>
                <w:szCs w:val="18"/>
              </w:rPr>
            </w:pPr>
            <w:r>
              <w:rPr>
                <w:rFonts w:hint="eastAsia" w:ascii="宋体" w:hAnsi="宋体" w:cs="宋体"/>
                <w:kern w:val="0"/>
                <w:sz w:val="18"/>
                <w:szCs w:val="18"/>
                <w:lang w:bidi="ar"/>
              </w:rPr>
              <w:t>3.</w:t>
            </w:r>
            <w:r>
              <w:rPr>
                <w:rStyle w:val="122"/>
                <w:rFonts w:hint="default"/>
                <w:sz w:val="18"/>
                <w:szCs w:val="18"/>
                <w:lang w:bidi="ar"/>
              </w:rPr>
              <w:t>定时开放，羟基氧化的方式进行杀菌</w:t>
            </w:r>
          </w:p>
        </w:tc>
        <w:tc>
          <w:tcPr>
            <w:tcW w:w="2157" w:type="dxa"/>
            <w:vMerge w:val="continue"/>
            <w:vAlign w:val="center"/>
          </w:tcPr>
          <w:p>
            <w:pPr>
              <w:jc w:val="left"/>
              <w:rPr>
                <w:rFonts w:ascii="宋体" w:hAnsi="宋体" w:cs="宋体"/>
                <w:kern w:val="0"/>
                <w:sz w:val="18"/>
                <w:szCs w:val="18"/>
                <w:lang w:bidi="ar"/>
              </w:rPr>
            </w:pP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left"/>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9</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智能化模块</w:t>
            </w:r>
          </w:p>
        </w:tc>
        <w:tc>
          <w:tcPr>
            <w:tcW w:w="7765" w:type="dxa"/>
            <w:gridSpan w:val="6"/>
            <w:vAlign w:val="center"/>
          </w:tcPr>
          <w:p>
            <w:pPr>
              <w:widowControl/>
              <w:textAlignment w:val="center"/>
              <w:rPr>
                <w:rFonts w:ascii="宋体" w:hAnsi="宋体" w:cs="宋体"/>
                <w:sz w:val="18"/>
                <w:szCs w:val="18"/>
              </w:rPr>
            </w:pPr>
            <w:r>
              <w:rPr>
                <w:rFonts w:hint="eastAsia" w:ascii="宋体" w:hAnsi="宋体" w:cs="宋体"/>
                <w:b/>
                <w:bCs/>
                <w:kern w:val="0"/>
                <w:sz w:val="18"/>
                <w:szCs w:val="18"/>
                <w:lang w:bidi="ar"/>
              </w:rPr>
              <w:t xml:space="preserve">智能环境监测系统  </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1.实现公厕空气质量在线自动监控及处理、人流计数、厕位有无人显示；</w:t>
            </w:r>
          </w:p>
        </w:tc>
        <w:tc>
          <w:tcPr>
            <w:tcW w:w="569" w:type="dxa"/>
            <w:gridSpan w:val="2"/>
            <w:vMerge w:val="restart"/>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项</w:t>
            </w:r>
          </w:p>
        </w:tc>
        <w:tc>
          <w:tcPr>
            <w:tcW w:w="829" w:type="dxa"/>
            <w:vMerge w:val="restart"/>
            <w:vAlign w:val="center"/>
          </w:tcPr>
          <w:p>
            <w:pPr>
              <w:widowControl/>
              <w:jc w:val="center"/>
              <w:textAlignment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公厕空气质量特征指标（氨气、硫化氢）就地通过有线传送到电子显示屏进行实时显示</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3.32</w:t>
            </w:r>
            <w:r>
              <w:rPr>
                <w:rStyle w:val="122"/>
                <w:rFonts w:hint="default"/>
                <w:sz w:val="18"/>
                <w:szCs w:val="18"/>
                <w:lang w:bidi="ar"/>
              </w:rPr>
              <w:t>寸显示器（含智能化操作系统软件）</w:t>
            </w:r>
          </w:p>
        </w:tc>
        <w:tc>
          <w:tcPr>
            <w:tcW w:w="569" w:type="dxa"/>
            <w:gridSpan w:val="2"/>
            <w:vMerge w:val="continue"/>
            <w:vAlign w:val="center"/>
          </w:tcPr>
          <w:p>
            <w:pPr>
              <w:widowControl/>
              <w:jc w:val="center"/>
              <w:textAlignment w:val="center"/>
              <w:rPr>
                <w:rFonts w:ascii="宋体" w:hAnsi="宋体" w:cs="宋体"/>
                <w:sz w:val="18"/>
                <w:szCs w:val="18"/>
              </w:rPr>
            </w:pPr>
          </w:p>
        </w:tc>
        <w:tc>
          <w:tcPr>
            <w:tcW w:w="829" w:type="dxa"/>
            <w:vMerge w:val="continue"/>
            <w:vAlign w:val="center"/>
          </w:tcPr>
          <w:p>
            <w:pPr>
              <w:widowControl/>
              <w:jc w:val="center"/>
              <w:textAlignment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7"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4.</w:t>
            </w:r>
            <w:r>
              <w:rPr>
                <w:rStyle w:val="122"/>
                <w:rFonts w:hint="default"/>
                <w:sz w:val="18"/>
                <w:szCs w:val="18"/>
                <w:lang w:bidi="ar"/>
              </w:rPr>
              <w:t>包含主机和监测探头（红外+雷达）</w:t>
            </w:r>
          </w:p>
        </w:tc>
        <w:tc>
          <w:tcPr>
            <w:tcW w:w="569" w:type="dxa"/>
            <w:gridSpan w:val="2"/>
            <w:vMerge w:val="continue"/>
            <w:vAlign w:val="center"/>
          </w:tcPr>
          <w:p>
            <w:pPr>
              <w:jc w:val="center"/>
              <w:rPr>
                <w:rFonts w:ascii="宋体" w:hAnsi="宋体" w:cs="宋体"/>
                <w:sz w:val="18"/>
                <w:szCs w:val="18"/>
              </w:rPr>
            </w:pPr>
          </w:p>
        </w:tc>
        <w:tc>
          <w:tcPr>
            <w:tcW w:w="829" w:type="dxa"/>
            <w:vMerge w:val="continue"/>
            <w:vAlign w:val="center"/>
          </w:tcPr>
          <w:p>
            <w:pPr>
              <w:jc w:val="center"/>
              <w:rPr>
                <w:rFonts w:ascii="宋体" w:hAnsi="宋体" w:cs="宋体"/>
                <w:sz w:val="18"/>
                <w:szCs w:val="18"/>
              </w:rPr>
            </w:pP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7765" w:type="dxa"/>
            <w:gridSpan w:val="6"/>
            <w:vAlign w:val="center"/>
          </w:tcPr>
          <w:p>
            <w:pPr>
              <w:jc w:val="left"/>
              <w:rPr>
                <w:rFonts w:ascii="宋体" w:hAnsi="宋体" w:cs="宋体"/>
                <w:sz w:val="18"/>
                <w:szCs w:val="18"/>
              </w:rPr>
            </w:pPr>
            <w:r>
              <w:rPr>
                <w:rFonts w:hint="eastAsia" w:ascii="宋体" w:hAnsi="宋体" w:cs="宋体"/>
                <w:b/>
                <w:bCs/>
                <w:kern w:val="0"/>
                <w:sz w:val="18"/>
                <w:szCs w:val="18"/>
                <w:lang w:bidi="ar"/>
              </w:rPr>
              <w:t xml:space="preserve">智能管控系统   </w:t>
            </w:r>
            <w:r>
              <w:rPr>
                <w:rFonts w:hint="eastAsia" w:ascii="宋体" w:hAnsi="宋体" w:cs="宋体"/>
                <w:kern w:val="0"/>
                <w:sz w:val="18"/>
                <w:szCs w:val="18"/>
                <w:lang w:bidi="ar"/>
              </w:rPr>
              <w:t xml:space="preserve"> </w:t>
            </w:r>
          </w:p>
        </w:tc>
        <w:tc>
          <w:tcPr>
            <w:tcW w:w="1438" w:type="dxa"/>
            <w:vMerge w:val="restart"/>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88" w:type="dxa"/>
            <w:vMerge w:val="continue"/>
            <w:noWrap/>
            <w:vAlign w:val="center"/>
          </w:tcPr>
          <w:p>
            <w:pPr>
              <w:jc w:val="center"/>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1.智能水表、智能人流监控系统、智能电表、网关模块、</w:t>
            </w:r>
            <w:r>
              <w:rPr>
                <w:rStyle w:val="123"/>
                <w:rFonts w:hint="eastAsia" w:ascii="宋体" w:hAnsi="宋体" w:cs="宋体"/>
                <w:sz w:val="18"/>
                <w:szCs w:val="18"/>
                <w:lang w:bidi="ar"/>
              </w:rPr>
              <w:t>IO</w:t>
            </w:r>
            <w:r>
              <w:rPr>
                <w:rStyle w:val="122"/>
                <w:rFonts w:hint="default"/>
                <w:sz w:val="18"/>
                <w:szCs w:val="18"/>
                <w:lang w:bidi="ar"/>
              </w:rPr>
              <w:t>模块、灯光控制模块、排风控制模块、电源控制模块、弱电控制、智能开关等</w:t>
            </w:r>
          </w:p>
        </w:tc>
        <w:tc>
          <w:tcPr>
            <w:tcW w:w="569" w:type="dxa"/>
            <w:gridSpan w:val="2"/>
            <w:vAlign w:val="center"/>
          </w:tcPr>
          <w:p>
            <w:pPr>
              <w:jc w:val="center"/>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trPr>
        <w:tc>
          <w:tcPr>
            <w:tcW w:w="588" w:type="dxa"/>
            <w:vMerge w:val="restart"/>
            <w:noWrap/>
            <w:vAlign w:val="center"/>
          </w:tcPr>
          <w:p>
            <w:pPr>
              <w:widowControl/>
              <w:jc w:val="center"/>
              <w:textAlignment w:val="center"/>
              <w:rPr>
                <w:rFonts w:ascii="宋体" w:hAnsi="宋体" w:cs="宋体"/>
                <w:sz w:val="18"/>
                <w:szCs w:val="18"/>
              </w:rPr>
            </w:pPr>
            <w:r>
              <w:rPr>
                <w:rFonts w:hint="eastAsia" w:ascii="宋体" w:hAnsi="宋体" w:cs="宋体"/>
                <w:sz w:val="18"/>
                <w:szCs w:val="18"/>
              </w:rPr>
              <w:t>10</w:t>
            </w:r>
          </w:p>
        </w:tc>
        <w:tc>
          <w:tcPr>
            <w:tcW w:w="675" w:type="dxa"/>
            <w:vMerge w:val="restart"/>
            <w:noWrap/>
            <w:vAlign w:val="center"/>
          </w:tcPr>
          <w:p>
            <w:pPr>
              <w:widowControl/>
              <w:jc w:val="left"/>
              <w:textAlignment w:val="center"/>
              <w:rPr>
                <w:rFonts w:ascii="宋体" w:hAnsi="宋体" w:cs="宋体"/>
                <w:sz w:val="18"/>
                <w:szCs w:val="18"/>
              </w:rPr>
            </w:pPr>
            <w:r>
              <w:rPr>
                <w:rFonts w:hint="eastAsia" w:ascii="宋体" w:hAnsi="宋体" w:cs="宋体"/>
                <w:kern w:val="0"/>
                <w:sz w:val="18"/>
                <w:szCs w:val="18"/>
                <w:lang w:bidi="ar"/>
              </w:rPr>
              <w:t>其它部品模块</w:t>
            </w:r>
          </w:p>
        </w:tc>
        <w:tc>
          <w:tcPr>
            <w:tcW w:w="7765" w:type="dxa"/>
            <w:gridSpan w:val="6"/>
            <w:vAlign w:val="center"/>
          </w:tcPr>
          <w:p>
            <w:pPr>
              <w:widowControl/>
              <w:jc w:val="left"/>
              <w:textAlignment w:val="center"/>
              <w:rPr>
                <w:rFonts w:ascii="宋体" w:hAnsi="宋体" w:cs="宋体"/>
                <w:kern w:val="0"/>
                <w:sz w:val="18"/>
                <w:szCs w:val="18"/>
                <w:lang w:bidi="ar"/>
              </w:rPr>
            </w:pPr>
            <w:r>
              <w:rPr>
                <w:rFonts w:hint="eastAsia" w:ascii="宋体" w:hAnsi="宋体" w:cs="宋体"/>
                <w:b/>
                <w:bCs/>
                <w:kern w:val="0"/>
                <w:sz w:val="18"/>
                <w:szCs w:val="18"/>
                <w:lang w:bidi="ar"/>
              </w:rPr>
              <w:t>部品模块</w:t>
            </w:r>
          </w:p>
        </w:tc>
        <w:tc>
          <w:tcPr>
            <w:tcW w:w="1438" w:type="dxa"/>
            <w:vMerge w:val="restart"/>
            <w:vAlign w:val="center"/>
          </w:tcPr>
          <w:p>
            <w:pPr>
              <w:widowControl/>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3" w:hRule="atLeast"/>
        </w:trPr>
        <w:tc>
          <w:tcPr>
            <w:tcW w:w="588" w:type="dxa"/>
            <w:vMerge w:val="continue"/>
            <w:noWrap/>
            <w:vAlign w:val="center"/>
          </w:tcPr>
          <w:p>
            <w:pPr>
              <w:widowControl/>
              <w:jc w:val="center"/>
              <w:textAlignment w:val="center"/>
              <w:rPr>
                <w:rFonts w:ascii="宋体" w:hAnsi="宋体" w:cs="宋体"/>
                <w:sz w:val="18"/>
                <w:szCs w:val="18"/>
              </w:rPr>
            </w:pPr>
          </w:p>
        </w:tc>
        <w:tc>
          <w:tcPr>
            <w:tcW w:w="675" w:type="dxa"/>
            <w:vMerge w:val="continue"/>
            <w:noWrap/>
            <w:vAlign w:val="center"/>
          </w:tcPr>
          <w:p>
            <w:pPr>
              <w:widowControl/>
              <w:jc w:val="left"/>
              <w:textAlignment w:val="center"/>
              <w:rPr>
                <w:rFonts w:ascii="宋体" w:hAnsi="宋体" w:cs="宋体"/>
                <w:sz w:val="18"/>
                <w:szCs w:val="18"/>
              </w:rPr>
            </w:pPr>
          </w:p>
        </w:tc>
        <w:tc>
          <w:tcPr>
            <w:tcW w:w="6367" w:type="dxa"/>
            <w:gridSpan w:val="3"/>
            <w:vAlign w:val="center"/>
          </w:tcPr>
          <w:p>
            <w:pPr>
              <w:widowControl/>
              <w:jc w:val="left"/>
              <w:textAlignment w:val="center"/>
              <w:rPr>
                <w:rFonts w:ascii="宋体" w:hAnsi="宋体" w:cs="宋体"/>
                <w:kern w:val="0"/>
                <w:sz w:val="18"/>
                <w:szCs w:val="18"/>
                <w:lang w:bidi="ar"/>
              </w:rPr>
            </w:pPr>
            <w:r>
              <w:rPr>
                <w:rFonts w:hint="eastAsia" w:ascii="宋体" w:hAnsi="宋体" w:cs="宋体"/>
                <w:kern w:val="0"/>
                <w:sz w:val="18"/>
                <w:szCs w:val="18"/>
                <w:lang w:bidi="ar"/>
              </w:rPr>
              <w:t>1.</w:t>
            </w:r>
            <w:r>
              <w:rPr>
                <w:rStyle w:val="122"/>
                <w:rFonts w:hint="default"/>
                <w:sz w:val="18"/>
                <w:szCs w:val="18"/>
                <w:lang w:bidi="ar"/>
              </w:rPr>
              <w:t>第三卫生间洁具套件（马桶、小便器、洗手盆、龙头、无障碍扶手）</w:t>
            </w:r>
            <w:r>
              <w:rPr>
                <w:rStyle w:val="123"/>
                <w:rFonts w:hint="eastAsia" w:ascii="宋体" w:hAnsi="宋体" w:cs="宋体"/>
                <w:sz w:val="18"/>
                <w:szCs w:val="18"/>
                <w:lang w:bidi="ar"/>
              </w:rPr>
              <w:t xml:space="preserve"> </w:t>
            </w:r>
          </w:p>
        </w:tc>
        <w:tc>
          <w:tcPr>
            <w:tcW w:w="569" w:type="dxa"/>
            <w:gridSpan w:val="2"/>
            <w:vAlign w:val="center"/>
          </w:tcPr>
          <w:p>
            <w:pPr>
              <w:widowControl/>
              <w:jc w:val="center"/>
              <w:textAlignment w:val="center"/>
              <w:rPr>
                <w:rFonts w:ascii="宋体" w:hAnsi="宋体" w:cs="宋体"/>
                <w:kern w:val="0"/>
                <w:sz w:val="18"/>
                <w:szCs w:val="18"/>
                <w:lang w:bidi="ar"/>
              </w:rPr>
            </w:pPr>
            <w:r>
              <w:rPr>
                <w:rFonts w:hint="eastAsia" w:ascii="宋体" w:hAnsi="宋体" w:cs="宋体"/>
                <w:kern w:val="0"/>
                <w:sz w:val="18"/>
                <w:szCs w:val="18"/>
                <w:lang w:bidi="ar"/>
              </w:rPr>
              <w:t>套</w:t>
            </w:r>
          </w:p>
        </w:tc>
        <w:tc>
          <w:tcPr>
            <w:tcW w:w="829" w:type="dxa"/>
            <w:vAlign w:val="center"/>
          </w:tcPr>
          <w:p>
            <w:pPr>
              <w:widowControl/>
              <w:jc w:val="center"/>
              <w:textAlignment w:val="center"/>
              <w:rPr>
                <w:rFonts w:ascii="宋体" w:hAnsi="宋体" w:cs="宋体"/>
                <w:sz w:val="18"/>
                <w:szCs w:val="18"/>
              </w:rPr>
            </w:pPr>
            <w:r>
              <w:rPr>
                <w:rFonts w:hint="eastAsia" w:ascii="宋体" w:hAnsi="宋体" w:cs="宋体"/>
                <w:kern w:val="0"/>
                <w:sz w:val="18"/>
                <w:szCs w:val="18"/>
                <w:lang w:bidi="ar"/>
              </w:rPr>
              <w:t>1</w:t>
            </w:r>
          </w:p>
        </w:tc>
        <w:tc>
          <w:tcPr>
            <w:tcW w:w="1438" w:type="dxa"/>
            <w:vMerge w:val="continue"/>
            <w:vAlign w:val="center"/>
          </w:tcPr>
          <w:p>
            <w:pPr>
              <w:widowControl/>
              <w:jc w:val="center"/>
              <w:textAlignment w:val="center"/>
              <w:rPr>
                <w:rFonts w:ascii="宋体" w:hAnsi="宋体" w:cs="宋体"/>
                <w:kern w:val="0"/>
                <w:sz w:val="18"/>
                <w:szCs w:val="18"/>
                <w:lang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67" w:type="dxa"/>
            <w:gridSpan w:val="3"/>
            <w:vAlign w:val="center"/>
          </w:tcPr>
          <w:p>
            <w:pPr>
              <w:jc w:val="left"/>
              <w:rPr>
                <w:rFonts w:ascii="宋体" w:hAnsi="宋体" w:cs="宋体"/>
                <w:sz w:val="18"/>
                <w:szCs w:val="18"/>
              </w:rPr>
            </w:pPr>
            <w:r>
              <w:rPr>
                <w:rFonts w:hint="eastAsia" w:ascii="宋体" w:hAnsi="宋体" w:cs="宋体"/>
                <w:kern w:val="0"/>
                <w:sz w:val="18"/>
                <w:szCs w:val="18"/>
                <w:lang w:bidi="ar"/>
              </w:rPr>
              <w:t>2.</w:t>
            </w:r>
            <w:r>
              <w:rPr>
                <w:rStyle w:val="122"/>
                <w:rFonts w:hint="default"/>
                <w:sz w:val="18"/>
                <w:szCs w:val="18"/>
                <w:lang w:bidi="ar"/>
              </w:rPr>
              <w:t>婴儿护理台、婴儿保护椅、儿童马桶、儿童小便器</w:t>
            </w:r>
          </w:p>
        </w:tc>
        <w:tc>
          <w:tcPr>
            <w:tcW w:w="569" w:type="dxa"/>
            <w:gridSpan w:val="2"/>
            <w:vAlign w:val="center"/>
          </w:tcPr>
          <w:p>
            <w:pPr>
              <w:jc w:val="center"/>
              <w:rPr>
                <w:rFonts w:ascii="宋体" w:hAnsi="宋体" w:cs="宋体"/>
                <w:sz w:val="18"/>
                <w:szCs w:val="18"/>
              </w:rPr>
            </w:pPr>
            <w:r>
              <w:rPr>
                <w:rFonts w:hint="eastAsia" w:ascii="宋体" w:hAnsi="宋体" w:cs="宋体"/>
                <w:kern w:val="0"/>
                <w:sz w:val="18"/>
                <w:szCs w:val="18"/>
                <w:lang w:bidi="ar"/>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3.</w:t>
            </w:r>
            <w:r>
              <w:rPr>
                <w:rStyle w:val="122"/>
                <w:rFonts w:hint="default"/>
                <w:sz w:val="18"/>
                <w:szCs w:val="18"/>
                <w:lang w:bidi="ar"/>
              </w:rPr>
              <w:t>镜面广告显示设备（智能魔镜）</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4.LOGO</w:t>
            </w:r>
            <w:r>
              <w:rPr>
                <w:rStyle w:val="122"/>
                <w:rFonts w:hint="default"/>
                <w:sz w:val="18"/>
                <w:szCs w:val="18"/>
                <w:lang w:bidi="ar"/>
              </w:rPr>
              <w:t>广告字设计制作安装（室外门头主LOGO室外小标识 第三卫生间、管理间房间标识 男女卫卫生间标识 厕隔间标识）</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6"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5.</w:t>
            </w:r>
            <w:r>
              <w:rPr>
                <w:rStyle w:val="122"/>
                <w:rFonts w:hint="default"/>
                <w:sz w:val="18"/>
                <w:szCs w:val="18"/>
                <w:lang w:bidi="ar"/>
              </w:rPr>
              <w:t>衣帽钩（≥</w:t>
            </w:r>
            <w:r>
              <w:rPr>
                <w:rStyle w:val="123"/>
                <w:rFonts w:hint="eastAsia" w:ascii="宋体" w:hAnsi="宋体" w:cs="宋体"/>
                <w:sz w:val="18"/>
                <w:szCs w:val="18"/>
                <w:lang w:bidi="ar"/>
              </w:rPr>
              <w:t>5kg</w:t>
            </w:r>
            <w:r>
              <w:rPr>
                <w:rStyle w:val="122"/>
                <w:rFonts w:hint="default"/>
                <w:sz w:val="18"/>
                <w:szCs w:val="18"/>
                <w:lang w:bidi="ar"/>
              </w:rPr>
              <w:t>）、安全扶手、及残疾扶手、安全标牌、防撞条</w:t>
            </w:r>
          </w:p>
        </w:tc>
        <w:tc>
          <w:tcPr>
            <w:tcW w:w="560" w:type="dxa"/>
            <w:vAlign w:val="center"/>
          </w:tcPr>
          <w:p>
            <w:pPr>
              <w:jc w:val="left"/>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6.</w:t>
            </w:r>
            <w:r>
              <w:rPr>
                <w:rStyle w:val="122"/>
                <w:rFonts w:hint="default"/>
                <w:sz w:val="18"/>
                <w:szCs w:val="18"/>
                <w:lang w:bidi="ar"/>
              </w:rPr>
              <w:t>成品洗手台、成品防雾镜、烘手器、厕纸机、感应洗手液器、制热装置、小便器玻璃隔断安装</w:t>
            </w:r>
          </w:p>
        </w:tc>
        <w:tc>
          <w:tcPr>
            <w:tcW w:w="560" w:type="dxa"/>
            <w:vAlign w:val="center"/>
          </w:tcPr>
          <w:p>
            <w:pPr>
              <w:jc w:val="left"/>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Merge w:val="continue"/>
            <w:vAlign w:val="center"/>
          </w:tcPr>
          <w:p>
            <w:pPr>
              <w:jc w:val="center"/>
              <w:rPr>
                <w:rFonts w:ascii="宋体" w:hAnsi="宋体" w:cs="宋体"/>
                <w:sz w:val="18"/>
                <w:szCs w:val="18"/>
              </w:rPr>
            </w:pPr>
          </w:p>
        </w:tc>
      </w:tr>
      <w:tr>
        <w:tblPrEx>
          <w:tblCellMar>
            <w:top w:w="0" w:type="dxa"/>
            <w:left w:w="108" w:type="dxa"/>
            <w:bottom w:w="0" w:type="dxa"/>
            <w:right w:w="108" w:type="dxa"/>
          </w:tblCellMar>
        </w:tblPrEx>
        <w:trPr>
          <w:trHeight w:val="422" w:hRule="atLeast"/>
        </w:trPr>
        <w:tc>
          <w:tcPr>
            <w:tcW w:w="588" w:type="dxa"/>
            <w:vMerge w:val="restart"/>
            <w:noWrap/>
            <w:vAlign w:val="center"/>
          </w:tcPr>
          <w:p>
            <w:pPr>
              <w:jc w:val="left"/>
              <w:rPr>
                <w:rFonts w:ascii="宋体" w:hAnsi="宋体" w:cs="宋体"/>
                <w:sz w:val="18"/>
                <w:szCs w:val="18"/>
              </w:rPr>
            </w:pPr>
            <w:r>
              <w:rPr>
                <w:rFonts w:hint="eastAsia" w:ascii="宋体" w:hAnsi="宋体" w:cs="宋体"/>
                <w:sz w:val="18"/>
                <w:szCs w:val="18"/>
              </w:rPr>
              <w:t>11</w:t>
            </w:r>
          </w:p>
        </w:tc>
        <w:tc>
          <w:tcPr>
            <w:tcW w:w="675" w:type="dxa"/>
            <w:vMerge w:val="restart"/>
            <w:noWrap/>
            <w:vAlign w:val="center"/>
          </w:tcPr>
          <w:p>
            <w:pPr>
              <w:jc w:val="left"/>
              <w:rPr>
                <w:rFonts w:ascii="宋体" w:hAnsi="宋体" w:cs="宋体"/>
                <w:sz w:val="18"/>
                <w:szCs w:val="18"/>
              </w:rPr>
            </w:pPr>
            <w:r>
              <w:rPr>
                <w:rFonts w:hint="eastAsia" w:ascii="宋体" w:hAnsi="宋体" w:cs="宋体"/>
                <w:sz w:val="18"/>
                <w:szCs w:val="18"/>
              </w:rPr>
              <w:t>家具模块</w:t>
            </w:r>
          </w:p>
        </w:tc>
        <w:tc>
          <w:tcPr>
            <w:tcW w:w="7765" w:type="dxa"/>
            <w:gridSpan w:val="6"/>
            <w:vAlign w:val="center"/>
          </w:tcPr>
          <w:p>
            <w:pPr>
              <w:jc w:val="left"/>
              <w:rPr>
                <w:rFonts w:ascii="宋体" w:hAnsi="宋体" w:cs="宋体"/>
                <w:sz w:val="18"/>
                <w:szCs w:val="18"/>
              </w:rPr>
            </w:pPr>
            <w:r>
              <w:rPr>
                <w:rFonts w:hint="eastAsia" w:ascii="宋体" w:hAnsi="宋体" w:cs="宋体"/>
                <w:b/>
                <w:bCs/>
                <w:kern w:val="0"/>
                <w:sz w:val="18"/>
                <w:szCs w:val="18"/>
                <w:lang w:bidi="ar"/>
              </w:rPr>
              <w:t>家具模块</w:t>
            </w:r>
          </w:p>
        </w:tc>
        <w:tc>
          <w:tcPr>
            <w:tcW w:w="1438" w:type="dxa"/>
            <w:vMerge w:val="restart"/>
            <w:vAlign w:val="center"/>
          </w:tcPr>
          <w:p>
            <w:pP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1.成品休闲等候区座椅套装（1000圆桌+4把休闲椅）</w:t>
            </w:r>
          </w:p>
        </w:tc>
        <w:tc>
          <w:tcPr>
            <w:tcW w:w="560" w:type="dxa"/>
            <w:vAlign w:val="center"/>
          </w:tcPr>
          <w:p>
            <w:pPr>
              <w:jc w:val="center"/>
              <w:rPr>
                <w:rFonts w:ascii="宋体" w:hAnsi="宋体" w:cs="宋体"/>
                <w:sz w:val="18"/>
                <w:szCs w:val="18"/>
              </w:rPr>
            </w:pPr>
            <w:r>
              <w:rPr>
                <w:rFonts w:hint="eastAsia" w:ascii="宋体" w:hAnsi="宋体" w:cs="宋体"/>
                <w:sz w:val="18"/>
                <w:szCs w:val="18"/>
              </w:rPr>
              <w:t>套</w:t>
            </w:r>
          </w:p>
        </w:tc>
        <w:tc>
          <w:tcPr>
            <w:tcW w:w="829" w:type="dxa"/>
            <w:vAlign w:val="center"/>
          </w:tcPr>
          <w:p>
            <w:pPr>
              <w:jc w:val="center"/>
              <w:rPr>
                <w:rFonts w:ascii="宋体" w:hAnsi="宋体" w:cs="宋体"/>
                <w:sz w:val="18"/>
                <w:szCs w:val="18"/>
              </w:rPr>
            </w:pPr>
            <w:r>
              <w:rPr>
                <w:rFonts w:hint="eastAsia" w:ascii="宋体" w:hAnsi="宋体" w:cs="宋体"/>
                <w:sz w:val="18"/>
                <w:szCs w:val="18"/>
              </w:rPr>
              <w:t>4</w:t>
            </w:r>
          </w:p>
        </w:tc>
        <w:tc>
          <w:tcPr>
            <w:tcW w:w="1438" w:type="dxa"/>
            <w:vMerge w:val="continue"/>
            <w:vAlign w:val="center"/>
          </w:tcPr>
          <w:p>
            <w:pPr>
              <w:jc w:val="center"/>
              <w:rPr>
                <w:rFonts w:ascii="宋体" w:hAnsi="宋体" w:cs="宋体"/>
                <w:sz w:val="18"/>
                <w:szCs w:val="18"/>
              </w:rPr>
            </w:pPr>
          </w:p>
        </w:tc>
      </w:tr>
      <w:tr>
        <w:tblPrEx>
          <w:tblCellMar>
            <w:top w:w="0" w:type="dxa"/>
            <w:left w:w="108" w:type="dxa"/>
            <w:bottom w:w="0" w:type="dxa"/>
            <w:right w:w="108" w:type="dxa"/>
          </w:tblCellMar>
        </w:tblPrEx>
        <w:trPr>
          <w:trHeight w:val="545" w:hRule="atLeast"/>
        </w:trPr>
        <w:tc>
          <w:tcPr>
            <w:tcW w:w="588" w:type="dxa"/>
            <w:vMerge w:val="continue"/>
            <w:noWrap/>
            <w:vAlign w:val="center"/>
          </w:tcPr>
          <w:p>
            <w:pPr>
              <w:jc w:val="left"/>
              <w:rPr>
                <w:rFonts w:ascii="宋体" w:hAnsi="宋体" w:cs="宋体"/>
                <w:sz w:val="18"/>
                <w:szCs w:val="18"/>
              </w:rPr>
            </w:pPr>
          </w:p>
        </w:tc>
        <w:tc>
          <w:tcPr>
            <w:tcW w:w="675" w:type="dxa"/>
            <w:vMerge w:val="continue"/>
            <w:noWrap/>
            <w:vAlign w:val="center"/>
          </w:tcPr>
          <w:p>
            <w:pPr>
              <w:jc w:val="left"/>
              <w:rPr>
                <w:rFonts w:ascii="宋体" w:hAnsi="宋体" w:cs="宋体"/>
                <w:sz w:val="18"/>
                <w:szCs w:val="18"/>
              </w:rPr>
            </w:pP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2.600*1200*3000mm书架/礼品架</w:t>
            </w:r>
          </w:p>
        </w:tc>
        <w:tc>
          <w:tcPr>
            <w:tcW w:w="560" w:type="dxa"/>
            <w:vAlign w:val="center"/>
          </w:tcPr>
          <w:p>
            <w:pPr>
              <w:jc w:val="center"/>
              <w:rPr>
                <w:rFonts w:ascii="宋体" w:hAnsi="宋体" w:cs="宋体"/>
                <w:sz w:val="18"/>
                <w:szCs w:val="18"/>
              </w:rPr>
            </w:pPr>
            <w:r>
              <w:rPr>
                <w:rFonts w:hint="eastAsia" w:ascii="宋体" w:hAnsi="宋体" w:cs="宋体"/>
                <w:sz w:val="18"/>
                <w:szCs w:val="18"/>
              </w:rPr>
              <w:t>组</w:t>
            </w:r>
          </w:p>
        </w:tc>
        <w:tc>
          <w:tcPr>
            <w:tcW w:w="829" w:type="dxa"/>
            <w:vAlign w:val="center"/>
          </w:tcPr>
          <w:p>
            <w:pPr>
              <w:jc w:val="center"/>
              <w:rPr>
                <w:rFonts w:ascii="宋体" w:hAnsi="宋体" w:cs="宋体"/>
                <w:sz w:val="18"/>
                <w:szCs w:val="18"/>
              </w:rPr>
            </w:pPr>
            <w:r>
              <w:rPr>
                <w:rFonts w:hint="eastAsia" w:ascii="宋体" w:hAnsi="宋体" w:cs="宋体"/>
                <w:sz w:val="18"/>
                <w:szCs w:val="18"/>
              </w:rPr>
              <w:t>9</w:t>
            </w:r>
          </w:p>
        </w:tc>
        <w:tc>
          <w:tcPr>
            <w:tcW w:w="1438" w:type="dxa"/>
            <w:vMerge w:val="continue"/>
            <w:vAlign w:val="center"/>
          </w:tcPr>
          <w:p>
            <w:pPr>
              <w:jc w:val="center"/>
              <w:rPr>
                <w:rFonts w:ascii="宋体" w:hAnsi="宋体" w:cs="宋体"/>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588" w:type="dxa"/>
            <w:noWrap/>
            <w:vAlign w:val="center"/>
          </w:tcPr>
          <w:p>
            <w:pPr>
              <w:jc w:val="left"/>
              <w:rPr>
                <w:rFonts w:ascii="宋体" w:hAnsi="宋体" w:cs="宋体"/>
                <w:sz w:val="18"/>
                <w:szCs w:val="18"/>
              </w:rPr>
            </w:pPr>
            <w:r>
              <w:rPr>
                <w:rFonts w:hint="eastAsia" w:ascii="宋体" w:hAnsi="宋体" w:cs="宋体"/>
                <w:sz w:val="18"/>
                <w:szCs w:val="18"/>
              </w:rPr>
              <w:t>12</w:t>
            </w:r>
          </w:p>
        </w:tc>
        <w:tc>
          <w:tcPr>
            <w:tcW w:w="675" w:type="dxa"/>
            <w:noWrap/>
            <w:vAlign w:val="center"/>
          </w:tcPr>
          <w:p>
            <w:pPr>
              <w:jc w:val="left"/>
              <w:rPr>
                <w:rFonts w:ascii="宋体" w:hAnsi="宋体" w:cs="宋体"/>
                <w:sz w:val="18"/>
                <w:szCs w:val="18"/>
              </w:rPr>
            </w:pPr>
            <w:r>
              <w:rPr>
                <w:rFonts w:hint="eastAsia" w:ascii="宋体" w:hAnsi="宋体" w:cs="宋体"/>
                <w:sz w:val="18"/>
                <w:szCs w:val="18"/>
              </w:rPr>
              <w:t>绿化</w:t>
            </w:r>
          </w:p>
        </w:tc>
        <w:tc>
          <w:tcPr>
            <w:tcW w:w="6376" w:type="dxa"/>
            <w:gridSpan w:val="4"/>
            <w:vAlign w:val="center"/>
          </w:tcPr>
          <w:p>
            <w:pPr>
              <w:jc w:val="left"/>
              <w:rPr>
                <w:rFonts w:ascii="宋体" w:hAnsi="宋体" w:cs="宋体"/>
                <w:sz w:val="18"/>
                <w:szCs w:val="18"/>
              </w:rPr>
            </w:pPr>
            <w:r>
              <w:rPr>
                <w:rFonts w:hint="eastAsia" w:ascii="宋体" w:hAnsi="宋体" w:cs="宋体"/>
                <w:kern w:val="0"/>
                <w:sz w:val="18"/>
                <w:szCs w:val="18"/>
                <w:lang w:bidi="ar"/>
              </w:rPr>
              <w:t>草坪铺设、灌木、花卉、常绿乔木(树种按甲方需求配置)</w:t>
            </w:r>
          </w:p>
        </w:tc>
        <w:tc>
          <w:tcPr>
            <w:tcW w:w="560" w:type="dxa"/>
            <w:vAlign w:val="center"/>
          </w:tcPr>
          <w:p>
            <w:pPr>
              <w:jc w:val="center"/>
              <w:rPr>
                <w:rFonts w:ascii="宋体" w:hAnsi="宋体" w:cs="宋体"/>
                <w:sz w:val="18"/>
                <w:szCs w:val="18"/>
              </w:rPr>
            </w:pPr>
            <w:r>
              <w:rPr>
                <w:rFonts w:hint="eastAsia" w:ascii="宋体" w:hAnsi="宋体" w:cs="宋体"/>
                <w:sz w:val="18"/>
                <w:szCs w:val="18"/>
              </w:rPr>
              <w:t>项</w:t>
            </w:r>
          </w:p>
        </w:tc>
        <w:tc>
          <w:tcPr>
            <w:tcW w:w="829" w:type="dxa"/>
            <w:vAlign w:val="center"/>
          </w:tcPr>
          <w:p>
            <w:pPr>
              <w:jc w:val="center"/>
              <w:rPr>
                <w:rFonts w:ascii="宋体" w:hAnsi="宋体" w:cs="宋体"/>
                <w:sz w:val="18"/>
                <w:szCs w:val="18"/>
              </w:rPr>
            </w:pPr>
            <w:r>
              <w:rPr>
                <w:rFonts w:hint="eastAsia" w:ascii="宋体" w:hAnsi="宋体" w:cs="宋体"/>
                <w:sz w:val="18"/>
                <w:szCs w:val="18"/>
              </w:rPr>
              <w:t>1</w:t>
            </w:r>
          </w:p>
        </w:tc>
        <w:tc>
          <w:tcPr>
            <w:tcW w:w="1438" w:type="dxa"/>
            <w:vAlign w:val="center"/>
          </w:tcPr>
          <w:p>
            <w:pPr>
              <w:rPr>
                <w:rFonts w:ascii="宋体" w:hAnsi="宋体" w:cs="宋体"/>
                <w:sz w:val="18"/>
                <w:szCs w:val="18"/>
              </w:rPr>
            </w:pPr>
          </w:p>
        </w:tc>
      </w:tr>
      <w:tr>
        <w:tblPrEx>
          <w:tblCellMar>
            <w:top w:w="0" w:type="dxa"/>
            <w:left w:w="108" w:type="dxa"/>
            <w:bottom w:w="0" w:type="dxa"/>
            <w:right w:w="108" w:type="dxa"/>
          </w:tblCellMar>
        </w:tblPrEx>
        <w:trPr>
          <w:trHeight w:val="486" w:hRule="atLeast"/>
        </w:trPr>
        <w:tc>
          <w:tcPr>
            <w:tcW w:w="1263" w:type="dxa"/>
            <w:gridSpan w:val="2"/>
            <w:noWrap/>
            <w:vAlign w:val="center"/>
          </w:tcPr>
          <w:p>
            <w:pPr>
              <w:jc w:val="left"/>
              <w:rPr>
                <w:rFonts w:ascii="宋体" w:hAnsi="宋体" w:cs="宋体"/>
                <w:sz w:val="18"/>
                <w:szCs w:val="18"/>
              </w:rPr>
            </w:pPr>
            <w:r>
              <w:rPr>
                <w:rFonts w:hint="eastAsia" w:ascii="宋体" w:hAnsi="宋体" w:cs="宋体"/>
                <w:sz w:val="18"/>
                <w:szCs w:val="18"/>
              </w:rPr>
              <w:t>总价（元）</w:t>
            </w:r>
          </w:p>
        </w:tc>
        <w:tc>
          <w:tcPr>
            <w:tcW w:w="9203" w:type="dxa"/>
            <w:gridSpan w:val="7"/>
            <w:vAlign w:val="center"/>
          </w:tcPr>
          <w:p>
            <w:pPr>
              <w:jc w:val="left"/>
              <w:rPr>
                <w:rFonts w:ascii="宋体" w:hAnsi="宋体" w:cs="宋体"/>
                <w:sz w:val="18"/>
                <w:szCs w:val="18"/>
              </w:rPr>
            </w:pPr>
            <w:r>
              <w:rPr>
                <w:rFonts w:hint="eastAsia" w:ascii="宋体" w:hAnsi="宋体" w:cs="宋体"/>
                <w:sz w:val="18"/>
                <w:szCs w:val="18"/>
              </w:rPr>
              <w:t>小写：</w:t>
            </w:r>
            <w:r>
              <w:rPr>
                <w:rFonts w:hint="eastAsia" w:ascii="宋体" w:hAnsi="宋体" w:cs="宋体"/>
                <w:sz w:val="18"/>
                <w:szCs w:val="18"/>
                <w:u w:val="single"/>
              </w:rPr>
              <w:t xml:space="preserve">                        </w:t>
            </w:r>
            <w:r>
              <w:rPr>
                <w:rFonts w:hint="eastAsia" w:ascii="宋体" w:hAnsi="宋体" w:cs="宋体"/>
                <w:sz w:val="18"/>
                <w:szCs w:val="18"/>
              </w:rPr>
              <w:t xml:space="preserve"> 大写：</w:t>
            </w:r>
            <w:r>
              <w:rPr>
                <w:rFonts w:hint="eastAsia" w:ascii="宋体" w:hAnsi="宋体" w:cs="宋体"/>
                <w:sz w:val="18"/>
                <w:szCs w:val="18"/>
                <w:u w:val="single"/>
              </w:rPr>
              <w:t xml:space="preserve">                                 </w:t>
            </w:r>
            <w:r>
              <w:rPr>
                <w:rFonts w:hint="eastAsia" w:ascii="宋体" w:hAnsi="宋体" w:cs="宋体"/>
                <w:sz w:val="18"/>
                <w:szCs w:val="18"/>
              </w:rPr>
              <w:t>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10466" w:type="dxa"/>
            <w:gridSpan w:val="9"/>
            <w:noWrap/>
            <w:vAlign w:val="center"/>
          </w:tcPr>
          <w:p>
            <w:pPr>
              <w:jc w:val="left"/>
              <w:rPr>
                <w:rFonts w:ascii="宋体" w:hAnsi="宋体" w:cs="宋体"/>
                <w:sz w:val="18"/>
                <w:szCs w:val="18"/>
              </w:rPr>
            </w:pPr>
            <w:r>
              <w:rPr>
                <w:rFonts w:hint="eastAsia" w:ascii="宋体" w:hAnsi="宋体" w:cs="宋体"/>
                <w:sz w:val="18"/>
                <w:szCs w:val="18"/>
              </w:rPr>
              <w:t>注：1.电、给水、排污、通讯、临时水电由甲方接至房屋轮廓线1米内指定位置；</w:t>
            </w:r>
          </w:p>
          <w:p>
            <w:pPr>
              <w:ind w:firstLine="360" w:firstLineChars="200"/>
              <w:jc w:val="left"/>
              <w:rPr>
                <w:rFonts w:ascii="宋体" w:hAnsi="宋体" w:cs="宋体"/>
                <w:sz w:val="18"/>
                <w:szCs w:val="18"/>
              </w:rPr>
            </w:pPr>
            <w:r>
              <w:rPr>
                <w:rFonts w:hint="eastAsia" w:ascii="宋体" w:hAnsi="宋体" w:cs="宋体"/>
                <w:sz w:val="18"/>
                <w:szCs w:val="18"/>
              </w:rPr>
              <w:t>2.本产品价格含税费、深化设计、运输、吊装、安装、调试、局部绿化、硬化等，售后服务2年</w:t>
            </w:r>
          </w:p>
        </w:tc>
      </w:tr>
    </w:tbl>
    <w:p>
      <w:pPr>
        <w:snapToGrid w:val="0"/>
        <w:spacing w:before="50" w:after="50" w:line="360" w:lineRule="auto"/>
      </w:pPr>
      <w:r>
        <w:rPr>
          <w:rFonts w:hint="eastAsia" w:ascii="宋体" w:hAnsi="宋体"/>
          <w:sz w:val="24"/>
        </w:rPr>
        <w:t xml:space="preserve">            </w:t>
      </w:r>
    </w:p>
    <w:p>
      <w:pPr>
        <w:snapToGrid w:val="0"/>
        <w:spacing w:before="50" w:after="50" w:line="360" w:lineRule="auto"/>
        <w:jc w:val="left"/>
        <w:rPr>
          <w:rFonts w:ascii="宋体" w:hAnsi="宋体"/>
          <w:sz w:val="24"/>
          <w:szCs w:val="20"/>
        </w:rPr>
      </w:pPr>
      <w:r>
        <w:rPr>
          <w:rFonts w:hint="eastAsia" w:ascii="宋体" w:hAnsi="宋体"/>
          <w:sz w:val="24"/>
        </w:rPr>
        <w:t>注</w:t>
      </w:r>
      <w:r>
        <w:rPr>
          <w:rFonts w:ascii="宋体" w:hAnsi="宋体"/>
          <w:sz w:val="24"/>
        </w:rPr>
        <w:t>:1</w:t>
      </w:r>
      <w:r>
        <w:rPr>
          <w:rFonts w:hint="eastAsia" w:ascii="宋体" w:hAnsi="宋体"/>
          <w:sz w:val="24"/>
        </w:rPr>
        <w:t>、报价一经涂改，应在涂改处加盖单位公章或者由法定代表人或授权委托人签字或盖章，否则其投标作无效标处理。</w:t>
      </w:r>
    </w:p>
    <w:p>
      <w:pPr>
        <w:snapToGrid w:val="0"/>
        <w:spacing w:before="50" w:after="50" w:line="360" w:lineRule="auto"/>
        <w:ind w:firstLine="240" w:firstLineChars="100"/>
        <w:jc w:val="left"/>
        <w:rPr>
          <w:rFonts w:ascii="宋体" w:hAnsi="宋体"/>
          <w:sz w:val="24"/>
        </w:rPr>
      </w:pPr>
      <w:r>
        <w:rPr>
          <w:rFonts w:hint="eastAsia" w:ascii="宋体" w:hAnsi="宋体"/>
          <w:sz w:val="24"/>
        </w:rPr>
        <w:t>2、投标报价包括：报价包括方案设计费、设备费（包括必备的附件）、安装费（包括电子定时器、开关、配电箱等材料及基础费用）、运输装卸费、安装调试费、招标代理费、验收费、售后服务、劳务费、管理费和税费等所有费用，投标报价为投标方所能承受的最低、最终一次性报价，其市场风险由投标人承担，结算时，不得以任何理由调整价格。</w:t>
      </w:r>
    </w:p>
    <w:p>
      <w:pPr>
        <w:snapToGrid w:val="0"/>
        <w:spacing w:before="50" w:after="50" w:line="360" w:lineRule="auto"/>
        <w:ind w:firstLine="360" w:firstLineChars="150"/>
        <w:jc w:val="left"/>
      </w:pPr>
      <w:r>
        <w:rPr>
          <w:rFonts w:hint="eastAsia" w:ascii="宋体" w:hAnsi="宋体"/>
          <w:sz w:val="24"/>
        </w:rPr>
        <w:t>3、本表格式不允许修改，否则作无效标处理。</w:t>
      </w:r>
    </w:p>
    <w:p>
      <w:pPr>
        <w:spacing w:line="440" w:lineRule="exact"/>
        <w:ind w:firstLine="480" w:firstLineChars="200"/>
        <w:rPr>
          <w:rFonts w:ascii="宋体" w:hAnsi="宋体"/>
          <w:sz w:val="24"/>
        </w:rPr>
      </w:pPr>
      <w:r>
        <w:rPr>
          <w:rFonts w:hint="eastAsia" w:ascii="宋体" w:hAnsi="宋体"/>
          <w:sz w:val="24"/>
        </w:rPr>
        <w:t>投标人（盖章）：</w:t>
      </w:r>
    </w:p>
    <w:p>
      <w:pPr>
        <w:spacing w:line="440" w:lineRule="exact"/>
        <w:ind w:firstLine="480" w:firstLineChars="200"/>
        <w:rPr>
          <w:rFonts w:ascii="宋体" w:hAnsi="宋体"/>
          <w:sz w:val="24"/>
        </w:rPr>
      </w:pPr>
      <w:r>
        <w:rPr>
          <w:rFonts w:hint="eastAsia" w:ascii="宋体" w:hAnsi="宋体"/>
          <w:sz w:val="24"/>
        </w:rPr>
        <w:t>法定代表人／负责人或授权代表（签字）：</w:t>
      </w:r>
    </w:p>
    <w:p>
      <w:pPr>
        <w:spacing w:line="440" w:lineRule="exact"/>
        <w:ind w:firstLine="480" w:firstLineChars="200"/>
        <w:rPr>
          <w:rFonts w:ascii="宋体" w:hAnsi="宋体"/>
          <w:sz w:val="24"/>
        </w:rPr>
      </w:pPr>
      <w:r>
        <w:rPr>
          <w:rFonts w:hint="eastAsia" w:ascii="宋体" w:hAnsi="宋体"/>
          <w:sz w:val="24"/>
        </w:rPr>
        <w:t>日期：</w:t>
      </w:r>
    </w:p>
    <w:p>
      <w:pPr>
        <w:widowControl/>
        <w:jc w:val="left"/>
        <w:rPr>
          <w:rFonts w:ascii="宋体" w:hAnsi="宋体"/>
          <w:b/>
          <w:bCs/>
        </w:rPr>
      </w:pPr>
      <w:bookmarkStart w:id="97" w:name="_Toc24000"/>
    </w:p>
    <w:p>
      <w:pPr>
        <w:widowControl/>
        <w:jc w:val="left"/>
        <w:rPr>
          <w:rFonts w:ascii="宋体" w:hAnsi="宋体"/>
          <w:b/>
          <w:bCs/>
        </w:rPr>
      </w:pPr>
    </w:p>
    <w:p>
      <w:pPr>
        <w:widowControl/>
        <w:jc w:val="left"/>
        <w:rPr>
          <w:rFonts w:ascii="宋体" w:hAnsi="宋体"/>
          <w:b/>
          <w:bCs/>
        </w:rPr>
      </w:pPr>
    </w:p>
    <w:p>
      <w:pPr>
        <w:tabs>
          <w:tab w:val="left" w:pos="540"/>
        </w:tabs>
        <w:outlineLvl w:val="0"/>
        <w:rPr>
          <w:rFonts w:ascii="宋体" w:hAnsi="宋体"/>
          <w:b/>
          <w:sz w:val="28"/>
          <w:szCs w:val="28"/>
        </w:rPr>
      </w:pPr>
      <w:r>
        <w:rPr>
          <w:rFonts w:hint="eastAsia" w:ascii="宋体" w:hAnsi="宋体"/>
          <w:b/>
        </w:rPr>
        <w:t>附件11</w:t>
      </w:r>
    </w:p>
    <w:p>
      <w:pPr>
        <w:widowControl/>
        <w:jc w:val="left"/>
        <w:rPr>
          <w:rFonts w:ascii="宋体" w:hAnsi="宋体"/>
          <w:b/>
          <w:bCs/>
        </w:rPr>
      </w:pPr>
    </w:p>
    <w:p>
      <w:pPr>
        <w:widowControl/>
        <w:jc w:val="center"/>
        <w:rPr>
          <w:rFonts w:ascii="宋体" w:hAnsi="宋体"/>
          <w:b/>
          <w:bCs/>
          <w:sz w:val="30"/>
          <w:szCs w:val="30"/>
        </w:rPr>
      </w:pPr>
    </w:p>
    <w:p>
      <w:pPr>
        <w:widowControl/>
        <w:jc w:val="center"/>
        <w:rPr>
          <w:rFonts w:ascii="宋体" w:hAnsi="宋体"/>
          <w:b/>
          <w:bCs/>
          <w:sz w:val="30"/>
          <w:szCs w:val="30"/>
        </w:rPr>
      </w:pPr>
    </w:p>
    <w:p>
      <w:pPr>
        <w:widowControl/>
        <w:jc w:val="center"/>
        <w:rPr>
          <w:rFonts w:ascii="宋体" w:hAnsi="宋体"/>
          <w:b/>
          <w:bCs/>
          <w:sz w:val="30"/>
          <w:szCs w:val="30"/>
        </w:rPr>
      </w:pPr>
    </w:p>
    <w:p>
      <w:pPr>
        <w:widowControl/>
        <w:jc w:val="center"/>
        <w:rPr>
          <w:rFonts w:ascii="宋体" w:hAnsi="宋体"/>
          <w:b/>
          <w:bCs/>
        </w:rPr>
      </w:pPr>
      <w:r>
        <w:rPr>
          <w:rFonts w:hint="eastAsia" w:ascii="宋体" w:hAnsi="宋体"/>
          <w:b/>
          <w:bCs/>
          <w:sz w:val="30"/>
          <w:szCs w:val="30"/>
        </w:rPr>
        <w:t>二次报价格式自拟</w:t>
      </w:r>
      <w:r>
        <w:rPr>
          <w:rFonts w:ascii="宋体" w:hAnsi="宋体"/>
          <w:b/>
          <w:bCs/>
        </w:rPr>
        <w:br w:type="page"/>
      </w:r>
    </w:p>
    <w:p>
      <w:pPr>
        <w:outlineLvl w:val="0"/>
        <w:rPr>
          <w:rFonts w:ascii="宋体" w:hAnsi="宋体"/>
          <w:b/>
        </w:rPr>
      </w:pPr>
      <w:r>
        <w:rPr>
          <w:rFonts w:hint="eastAsia" w:ascii="宋体" w:hAnsi="宋体"/>
          <w:b/>
        </w:rPr>
        <w:t>附件</w:t>
      </w:r>
      <w:bookmarkEnd w:id="97"/>
      <w:r>
        <w:rPr>
          <w:rFonts w:hint="eastAsia" w:ascii="宋体" w:hAnsi="宋体"/>
          <w:b/>
        </w:rPr>
        <w:t>11</w:t>
      </w:r>
    </w:p>
    <w:p>
      <w:pPr>
        <w:pStyle w:val="2"/>
        <w:keepNext w:val="0"/>
        <w:autoSpaceDE w:val="0"/>
        <w:autoSpaceDN w:val="0"/>
        <w:spacing w:line="480" w:lineRule="exact"/>
        <w:jc w:val="center"/>
        <w:rPr>
          <w:rFonts w:ascii="宋体" w:hAnsi="宋体" w:eastAsia="宋体" w:cs="Times New Roman"/>
          <w:b/>
          <w:spacing w:val="6"/>
          <w:sz w:val="36"/>
          <w:szCs w:val="36"/>
        </w:rPr>
      </w:pPr>
      <w:bookmarkStart w:id="98" w:name="_Toc1773"/>
      <w:r>
        <w:rPr>
          <w:rFonts w:hint="eastAsia" w:ascii="宋体" w:hAnsi="宋体" w:eastAsia="宋体" w:cs="Times New Roman"/>
          <w:b/>
          <w:spacing w:val="6"/>
          <w:sz w:val="36"/>
          <w:szCs w:val="36"/>
        </w:rPr>
        <w:t>中小企业声明函（货物）</w:t>
      </w:r>
    </w:p>
    <w:p>
      <w:pPr>
        <w:pStyle w:val="18"/>
        <w:autoSpaceDE w:val="0"/>
        <w:autoSpaceDN w:val="0"/>
        <w:spacing w:line="480" w:lineRule="exact"/>
        <w:ind w:right="415" w:firstLine="472" w:firstLineChars="200"/>
        <w:rPr>
          <w:rFonts w:cs="宋体"/>
          <w:spacing w:val="-2"/>
          <w:sz w:val="24"/>
        </w:rPr>
      </w:pPr>
    </w:p>
    <w:p>
      <w:pPr>
        <w:pStyle w:val="18"/>
        <w:autoSpaceDE w:val="0"/>
        <w:autoSpaceDN w:val="0"/>
        <w:spacing w:line="480" w:lineRule="exact"/>
        <w:ind w:right="415" w:firstLine="472" w:firstLineChars="200"/>
        <w:rPr>
          <w:rFonts w:cs="宋体"/>
          <w:spacing w:val="-2"/>
          <w:sz w:val="24"/>
        </w:rPr>
      </w:pPr>
      <w:r>
        <w:rPr>
          <w:rFonts w:hint="eastAsia" w:cs="宋体"/>
          <w:spacing w:val="-2"/>
          <w:sz w:val="24"/>
        </w:rPr>
        <w:t>公司郑重声明，根据《政府采购促进中小企业发展管理办法》（财库﹝2020﹞46 号）的规定，本公司参加  （单位名称）的（项目名称）采购活动，工程的施工单位全部为符合政策要求的中小企业（或者：服务全部由符合政策要求的中小企业承接）。相关企业（中小企业、签订分包意向协议的中小企业）的具体情况如下：</w:t>
      </w:r>
    </w:p>
    <w:p>
      <w:pPr>
        <w:pStyle w:val="18"/>
        <w:autoSpaceDE w:val="0"/>
        <w:autoSpaceDN w:val="0"/>
        <w:spacing w:line="480" w:lineRule="exact"/>
        <w:ind w:right="415" w:firstLine="472" w:firstLineChars="200"/>
        <w:rPr>
          <w:rFonts w:cs="宋体"/>
          <w:spacing w:val="-2"/>
          <w:sz w:val="24"/>
        </w:rPr>
      </w:pPr>
      <w:r>
        <w:rPr>
          <w:rFonts w:hint="eastAsia" w:cs="宋体"/>
          <w:spacing w:val="-2"/>
          <w:sz w:val="24"/>
        </w:rPr>
        <w:t xml:space="preserve">1. </w:t>
      </w:r>
      <w:r>
        <w:rPr>
          <w:rFonts w:hint="eastAsia" w:cs="宋体"/>
          <w:spacing w:val="-2"/>
          <w:sz w:val="24"/>
          <w:u w:val="single"/>
        </w:rPr>
        <w:t>（标的名称）</w:t>
      </w:r>
      <w:r>
        <w:rPr>
          <w:rFonts w:hint="eastAsia" w:cs="宋体"/>
          <w:spacing w:val="-2"/>
          <w:sz w:val="24"/>
        </w:rPr>
        <w:t>属于</w:t>
      </w:r>
      <w:r>
        <w:rPr>
          <w:rFonts w:hint="eastAsia" w:cs="宋体"/>
          <w:spacing w:val="-2"/>
          <w:sz w:val="24"/>
          <w:u w:val="single"/>
        </w:rPr>
        <w:t xml:space="preserve">（采购文件中明确的所属行业）  </w:t>
      </w:r>
      <w:r>
        <w:rPr>
          <w:rFonts w:hint="eastAsia" w:cs="宋体"/>
          <w:spacing w:val="-2"/>
          <w:sz w:val="24"/>
        </w:rPr>
        <w:t>，承建（承接）企业为</w:t>
      </w:r>
      <w:r>
        <w:rPr>
          <w:rFonts w:hint="eastAsia" w:cs="宋体"/>
          <w:spacing w:val="-2"/>
          <w:sz w:val="24"/>
          <w:u w:val="single"/>
        </w:rPr>
        <w:t>（企业名称）</w:t>
      </w:r>
      <w:r>
        <w:rPr>
          <w:rFonts w:hint="eastAsia" w:cs="宋体"/>
          <w:spacing w:val="-2"/>
          <w:sz w:val="24"/>
        </w:rPr>
        <w:t>，从业人员</w:t>
      </w:r>
      <w:r>
        <w:rPr>
          <w:rFonts w:hint="eastAsia" w:cs="宋体"/>
          <w:spacing w:val="-2"/>
          <w:sz w:val="24"/>
          <w:u w:val="single"/>
        </w:rPr>
        <w:tab/>
      </w:r>
      <w:r>
        <w:rPr>
          <w:rFonts w:hint="eastAsia" w:cs="宋体"/>
          <w:spacing w:val="-2"/>
          <w:sz w:val="24"/>
        </w:rPr>
        <w:t>人，营业收入为</w:t>
      </w:r>
      <w:r>
        <w:rPr>
          <w:rFonts w:hint="eastAsia" w:cs="宋体"/>
          <w:spacing w:val="-2"/>
          <w:sz w:val="24"/>
          <w:u w:val="single"/>
        </w:rPr>
        <w:tab/>
      </w:r>
      <w:r>
        <w:rPr>
          <w:rFonts w:hint="eastAsia" w:cs="宋体"/>
          <w:spacing w:val="-2"/>
          <w:sz w:val="24"/>
        </w:rPr>
        <w:t>万元，资产总额为万元，属于（中型、小型、微型企业）；</w:t>
      </w:r>
    </w:p>
    <w:p>
      <w:pPr>
        <w:pStyle w:val="18"/>
        <w:autoSpaceDE w:val="0"/>
        <w:autoSpaceDN w:val="0"/>
        <w:spacing w:line="480" w:lineRule="exact"/>
        <w:ind w:right="415" w:firstLine="472" w:firstLineChars="200"/>
        <w:rPr>
          <w:rFonts w:cs="宋体"/>
          <w:spacing w:val="-2"/>
          <w:sz w:val="24"/>
        </w:rPr>
      </w:pPr>
      <w:r>
        <w:rPr>
          <w:rFonts w:hint="eastAsia" w:cs="宋体"/>
          <w:spacing w:val="-2"/>
          <w:sz w:val="24"/>
        </w:rPr>
        <w:t>2.</w:t>
      </w:r>
      <w:r>
        <w:rPr>
          <w:rFonts w:hint="eastAsia" w:cs="宋体"/>
          <w:spacing w:val="-2"/>
          <w:sz w:val="24"/>
          <w:u w:val="single"/>
        </w:rPr>
        <w:t xml:space="preserve"> （标的名称）</w:t>
      </w:r>
      <w:r>
        <w:rPr>
          <w:rFonts w:hint="eastAsia" w:cs="宋体"/>
          <w:spacing w:val="-2"/>
          <w:sz w:val="24"/>
        </w:rPr>
        <w:t>属于</w:t>
      </w:r>
      <w:r>
        <w:rPr>
          <w:rFonts w:hint="eastAsia" w:cs="宋体"/>
          <w:spacing w:val="-2"/>
          <w:sz w:val="24"/>
          <w:u w:val="single"/>
        </w:rPr>
        <w:t xml:space="preserve">  （采购文件中明确的所属行业）</w:t>
      </w:r>
      <w:r>
        <w:rPr>
          <w:rFonts w:hint="eastAsia" w:cs="宋体"/>
          <w:spacing w:val="-2"/>
          <w:sz w:val="24"/>
        </w:rPr>
        <w:t>，承建（承接）企业为</w:t>
      </w:r>
      <w:r>
        <w:rPr>
          <w:rFonts w:hint="eastAsia" w:cs="宋体"/>
          <w:spacing w:val="-2"/>
          <w:sz w:val="24"/>
          <w:u w:val="single"/>
        </w:rPr>
        <w:t xml:space="preserve">                （企业名称）</w:t>
      </w:r>
      <w:r>
        <w:rPr>
          <w:rFonts w:hint="eastAsia" w:cs="宋体"/>
          <w:spacing w:val="-2"/>
          <w:sz w:val="24"/>
        </w:rPr>
        <w:t>，从业人员人，营业收入为万元，资产总额为</w:t>
      </w:r>
      <w:r>
        <w:rPr>
          <w:rFonts w:hint="eastAsia" w:cs="宋体"/>
          <w:spacing w:val="-2"/>
          <w:sz w:val="24"/>
          <w:u w:val="single"/>
        </w:rPr>
        <w:tab/>
      </w:r>
      <w:r>
        <w:rPr>
          <w:rFonts w:hint="eastAsia" w:cs="宋体"/>
          <w:spacing w:val="-2"/>
          <w:sz w:val="24"/>
        </w:rPr>
        <w:t>万元，属于（中型、小型、微型企业）；</w:t>
      </w:r>
    </w:p>
    <w:p>
      <w:pPr>
        <w:pStyle w:val="18"/>
        <w:autoSpaceDE w:val="0"/>
        <w:autoSpaceDN w:val="0"/>
        <w:spacing w:line="480" w:lineRule="exact"/>
        <w:ind w:right="415" w:firstLine="472" w:firstLineChars="200"/>
        <w:rPr>
          <w:rFonts w:cs="宋体"/>
          <w:spacing w:val="-2"/>
          <w:sz w:val="24"/>
        </w:rPr>
      </w:pPr>
      <w:r>
        <w:rPr>
          <w:rFonts w:hint="eastAsia" w:cs="宋体"/>
          <w:spacing w:val="-2"/>
          <w:sz w:val="24"/>
        </w:rPr>
        <w:t>……</w:t>
      </w:r>
    </w:p>
    <w:p>
      <w:pPr>
        <w:pStyle w:val="18"/>
        <w:autoSpaceDE w:val="0"/>
        <w:autoSpaceDN w:val="0"/>
        <w:spacing w:line="480" w:lineRule="exact"/>
        <w:ind w:right="415" w:firstLine="472" w:firstLineChars="200"/>
        <w:rPr>
          <w:rFonts w:cs="宋体"/>
          <w:spacing w:val="-2"/>
          <w:sz w:val="24"/>
        </w:rPr>
      </w:pPr>
      <w:r>
        <w:rPr>
          <w:rFonts w:hint="eastAsia" w:cs="宋体"/>
          <w:spacing w:val="-2"/>
          <w:sz w:val="24"/>
        </w:rPr>
        <w:t>以上企业，不属于大企业的分支机构，不存在控股股东为大企业的情形，也不存在与大企业的负责人为同一人的情形。</w:t>
      </w:r>
    </w:p>
    <w:p>
      <w:pPr>
        <w:pStyle w:val="18"/>
        <w:autoSpaceDE w:val="0"/>
        <w:autoSpaceDN w:val="0"/>
        <w:spacing w:line="480" w:lineRule="exact"/>
        <w:ind w:right="415" w:firstLine="472" w:firstLineChars="200"/>
        <w:rPr>
          <w:rFonts w:cs="宋体"/>
          <w:spacing w:val="-2"/>
          <w:sz w:val="24"/>
        </w:rPr>
      </w:pPr>
      <w:r>
        <w:rPr>
          <w:rFonts w:hint="eastAsia" w:cs="宋体"/>
          <w:spacing w:val="-2"/>
          <w:sz w:val="24"/>
        </w:rPr>
        <w:t>本企业对上述声明内容的真实性负责。如有虚假，将依法承担相应责任。</w:t>
      </w:r>
    </w:p>
    <w:p>
      <w:pPr>
        <w:pStyle w:val="18"/>
        <w:autoSpaceDE w:val="0"/>
        <w:autoSpaceDN w:val="0"/>
        <w:spacing w:line="480" w:lineRule="exact"/>
        <w:ind w:right="415" w:firstLine="4720" w:firstLineChars="2000"/>
        <w:rPr>
          <w:rFonts w:cs="宋体"/>
          <w:spacing w:val="-2"/>
          <w:sz w:val="24"/>
        </w:rPr>
      </w:pPr>
      <w:r>
        <w:rPr>
          <w:rFonts w:hint="eastAsia" w:cs="宋体"/>
          <w:spacing w:val="-2"/>
          <w:sz w:val="24"/>
        </w:rPr>
        <w:t>企业名称（盖章）：</w:t>
      </w:r>
    </w:p>
    <w:p>
      <w:pPr>
        <w:pStyle w:val="18"/>
        <w:autoSpaceDE w:val="0"/>
        <w:autoSpaceDN w:val="0"/>
        <w:spacing w:line="480" w:lineRule="exact"/>
        <w:ind w:right="415" w:firstLine="4720" w:firstLineChars="2000"/>
        <w:rPr>
          <w:rFonts w:cs="宋体"/>
          <w:spacing w:val="-2"/>
          <w:sz w:val="24"/>
        </w:rPr>
      </w:pPr>
      <w:r>
        <w:rPr>
          <w:rFonts w:hint="eastAsia" w:cs="宋体"/>
          <w:spacing w:val="-2"/>
          <w:sz w:val="24"/>
        </w:rPr>
        <w:t>日期：</w:t>
      </w:r>
    </w:p>
    <w:p>
      <w:pPr>
        <w:spacing w:line="400" w:lineRule="exact"/>
        <w:jc w:val="left"/>
        <w:rPr>
          <w:rFonts w:ascii="宋体" w:hAnsi="宋体" w:cs="宋体"/>
          <w:sz w:val="24"/>
        </w:rPr>
      </w:pPr>
    </w:p>
    <w:p>
      <w:pPr>
        <w:snapToGrid w:val="0"/>
        <w:spacing w:line="360" w:lineRule="auto"/>
        <w:rPr>
          <w:rFonts w:ascii="新宋体" w:hAnsi="新宋体" w:eastAsia="新宋体"/>
          <w:b/>
          <w:sz w:val="24"/>
        </w:rPr>
      </w:pPr>
      <w:r>
        <w:rPr>
          <w:rFonts w:hint="eastAsia" w:ascii="新宋体" w:hAnsi="新宋体" w:eastAsia="新宋体"/>
          <w:b/>
        </w:rPr>
        <w:t>备注说明：</w:t>
      </w:r>
    </w:p>
    <w:p>
      <w:pPr>
        <w:snapToGrid w:val="0"/>
        <w:spacing w:line="360" w:lineRule="auto"/>
        <w:ind w:firstLine="420" w:firstLineChars="200"/>
        <w:rPr>
          <w:rFonts w:ascii="新宋体" w:hAnsi="新宋体" w:eastAsia="新宋体"/>
        </w:rPr>
      </w:pPr>
      <w:r>
        <w:rPr>
          <w:rFonts w:hint="eastAsia" w:ascii="新宋体" w:hAnsi="新宋体" w:eastAsia="新宋体"/>
        </w:rPr>
        <w:t>1.从业人员、营业收入、资产总额填报上一年度数据，无上一年度数据的新成立企业可不填报。</w:t>
      </w:r>
    </w:p>
    <w:p>
      <w:pPr>
        <w:rPr>
          <w:rFonts w:ascii="宋体" w:hAnsi="宋体"/>
          <w:b/>
        </w:rPr>
      </w:pPr>
      <w:r>
        <w:rPr>
          <w:rFonts w:hint="eastAsia" w:ascii="宋体" w:hAnsi="宋体"/>
          <w:b/>
        </w:rPr>
        <w:br w:type="page"/>
      </w:r>
    </w:p>
    <w:p>
      <w:pPr>
        <w:snapToGrid w:val="0"/>
        <w:spacing w:line="400" w:lineRule="exact"/>
        <w:jc w:val="left"/>
        <w:rPr>
          <w:rFonts w:ascii="宋体" w:hAnsi="宋体"/>
          <w:sz w:val="24"/>
        </w:rPr>
      </w:pPr>
      <w:r>
        <w:rPr>
          <w:rFonts w:hint="eastAsia" w:ascii="宋体" w:hAnsi="宋体"/>
          <w:b/>
        </w:rPr>
        <w:t>附件12</w:t>
      </w:r>
    </w:p>
    <w:p>
      <w:pPr>
        <w:rPr>
          <w:rFonts w:ascii="宋体" w:hAnsi="宋体"/>
          <w:sz w:val="24"/>
        </w:rPr>
      </w:pPr>
    </w:p>
    <w:p>
      <w:pPr>
        <w:spacing w:line="588" w:lineRule="exact"/>
        <w:jc w:val="center"/>
        <w:rPr>
          <w:rFonts w:ascii="宋体" w:hAnsi="宋体"/>
          <w:b/>
          <w:spacing w:val="6"/>
          <w:sz w:val="36"/>
          <w:szCs w:val="36"/>
        </w:rPr>
      </w:pPr>
      <w:r>
        <w:rPr>
          <w:rFonts w:hint="eastAsia" w:ascii="宋体" w:hAnsi="宋体"/>
          <w:b/>
          <w:spacing w:val="6"/>
          <w:sz w:val="36"/>
          <w:szCs w:val="36"/>
        </w:rPr>
        <w:t>残疾人福利性单位声明函</w:t>
      </w:r>
    </w:p>
    <w:p>
      <w:pPr>
        <w:spacing w:line="588" w:lineRule="exact"/>
        <w:rPr>
          <w:rFonts w:ascii="宋体" w:hAnsi="宋体"/>
          <w:b/>
          <w:spacing w:val="6"/>
          <w:sz w:val="24"/>
        </w:rPr>
      </w:pPr>
    </w:p>
    <w:p>
      <w:pPr>
        <w:snapToGrid w:val="0"/>
        <w:spacing w:line="360" w:lineRule="auto"/>
        <w:ind w:firstLine="480" w:firstLineChars="200"/>
        <w:rPr>
          <w:rFonts w:ascii="宋体" w:hAnsi="宋体"/>
          <w:sz w:val="24"/>
        </w:rPr>
      </w:pPr>
      <w:r>
        <w:rPr>
          <w:rFonts w:hint="eastAsia" w:ascii="宋体" w:hAnsi="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360" w:lineRule="auto"/>
        <w:ind w:firstLine="480" w:firstLineChars="200"/>
        <w:rPr>
          <w:rFonts w:ascii="宋体" w:hAnsi="宋体"/>
          <w:sz w:val="24"/>
        </w:rPr>
      </w:pPr>
      <w:r>
        <w:rPr>
          <w:rFonts w:hint="eastAsia" w:ascii="宋体" w:hAnsi="宋体"/>
          <w:sz w:val="24"/>
        </w:rPr>
        <w:t>本单位对上述声明的真实性负责。如有虚假，将依法承担相应责任。</w:t>
      </w:r>
    </w:p>
    <w:p>
      <w:pPr>
        <w:snapToGrid w:val="0"/>
        <w:spacing w:line="360" w:lineRule="auto"/>
        <w:ind w:firstLine="480" w:firstLineChars="200"/>
        <w:rPr>
          <w:rFonts w:ascii="宋体" w:hAnsi="宋体"/>
          <w:sz w:val="24"/>
        </w:rPr>
      </w:pPr>
    </w:p>
    <w:p>
      <w:pPr>
        <w:spacing w:line="588" w:lineRule="exact"/>
        <w:ind w:firstLine="504" w:firstLineChars="200"/>
        <w:rPr>
          <w:rFonts w:ascii="宋体" w:hAnsi="宋体"/>
          <w:spacing w:val="6"/>
          <w:sz w:val="24"/>
        </w:rPr>
      </w:pPr>
    </w:p>
    <w:p>
      <w:pPr>
        <w:snapToGrid w:val="0"/>
        <w:spacing w:line="360" w:lineRule="auto"/>
        <w:ind w:firstLine="480" w:firstLineChars="200"/>
        <w:jc w:val="right"/>
        <w:rPr>
          <w:rFonts w:ascii="宋体" w:hAnsi="宋体"/>
          <w:sz w:val="24"/>
        </w:rPr>
      </w:pPr>
      <w:r>
        <w:rPr>
          <w:rFonts w:hint="eastAsia" w:ascii="宋体" w:hAnsi="宋体"/>
          <w:sz w:val="24"/>
        </w:rPr>
        <w:t xml:space="preserve">      单位名称（电子签章）：</w:t>
      </w:r>
    </w:p>
    <w:p>
      <w:pPr>
        <w:spacing w:line="360" w:lineRule="auto"/>
        <w:ind w:firstLine="240" w:firstLineChars="100"/>
        <w:jc w:val="center"/>
        <w:rPr>
          <w:rFonts w:ascii="宋体" w:hAnsi="宋体"/>
          <w:sz w:val="24"/>
        </w:rPr>
      </w:pPr>
      <w:r>
        <w:rPr>
          <w:rFonts w:hint="eastAsia" w:ascii="宋体" w:hAnsi="宋体"/>
          <w:sz w:val="24"/>
        </w:rPr>
        <w:t xml:space="preserve">                                          日  期：</w:t>
      </w: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snapToGrid w:val="0"/>
        <w:spacing w:line="400" w:lineRule="exact"/>
        <w:jc w:val="left"/>
        <w:rPr>
          <w:rFonts w:ascii="宋体" w:hAnsi="宋体"/>
          <w:szCs w:val="21"/>
        </w:rPr>
      </w:pPr>
    </w:p>
    <w:p>
      <w:pPr>
        <w:pStyle w:val="20"/>
        <w:rPr>
          <w:rFonts w:ascii="宋体" w:hAnsi="宋体"/>
          <w:szCs w:val="21"/>
        </w:rPr>
      </w:pPr>
    </w:p>
    <w:p>
      <w:pPr>
        <w:pStyle w:val="20"/>
        <w:rPr>
          <w:rFonts w:ascii="宋体" w:hAnsi="宋体"/>
          <w:szCs w:val="21"/>
        </w:rPr>
      </w:pPr>
    </w:p>
    <w:p>
      <w:pPr>
        <w:pStyle w:val="20"/>
        <w:rPr>
          <w:rFonts w:ascii="宋体" w:hAnsi="宋体"/>
          <w:szCs w:val="21"/>
        </w:rPr>
      </w:pPr>
    </w:p>
    <w:p>
      <w:pPr>
        <w:pStyle w:val="20"/>
        <w:rPr>
          <w:rFonts w:ascii="宋体" w:hAnsi="宋体"/>
          <w:szCs w:val="21"/>
        </w:rPr>
      </w:pPr>
    </w:p>
    <w:p>
      <w:pPr>
        <w:pStyle w:val="20"/>
        <w:rPr>
          <w:rFonts w:ascii="宋体" w:hAnsi="宋体"/>
          <w:szCs w:val="21"/>
        </w:rPr>
      </w:pPr>
    </w:p>
    <w:p>
      <w:pPr>
        <w:pStyle w:val="20"/>
        <w:rPr>
          <w:rFonts w:ascii="宋体" w:hAnsi="宋体"/>
          <w:szCs w:val="21"/>
        </w:rPr>
      </w:pPr>
    </w:p>
    <w:bookmarkEnd w:id="98"/>
    <w:p>
      <w:pPr>
        <w:snapToGrid w:val="0"/>
        <w:spacing w:before="157" w:beforeLines="50" w:after="50"/>
        <w:rPr>
          <w:rFonts w:ascii="宋体" w:hAnsi="宋体"/>
          <w:szCs w:val="21"/>
        </w:rPr>
      </w:pPr>
    </w:p>
    <w:p>
      <w:pPr>
        <w:snapToGrid w:val="0"/>
        <w:spacing w:line="400" w:lineRule="exact"/>
        <w:jc w:val="center"/>
        <w:rPr>
          <w:rFonts w:ascii="宋体" w:hAnsi="宋体"/>
          <w:sz w:val="24"/>
        </w:rPr>
      </w:pPr>
    </w:p>
    <w:p>
      <w:pPr>
        <w:snapToGrid w:val="0"/>
        <w:spacing w:line="400" w:lineRule="exact"/>
        <w:jc w:val="center"/>
        <w:rPr>
          <w:rFonts w:ascii="宋体" w:hAnsi="宋体"/>
          <w:sz w:val="24"/>
        </w:rPr>
      </w:pPr>
    </w:p>
    <w:p>
      <w:pPr>
        <w:snapToGrid w:val="0"/>
        <w:spacing w:line="400" w:lineRule="exact"/>
        <w:jc w:val="center"/>
        <w:rPr>
          <w:rFonts w:ascii="宋体" w:hAnsi="宋体"/>
          <w:sz w:val="24"/>
        </w:rPr>
      </w:pPr>
    </w:p>
    <w:p>
      <w:pPr>
        <w:snapToGrid w:val="0"/>
        <w:spacing w:line="400" w:lineRule="exact"/>
        <w:jc w:val="center"/>
        <w:outlineLvl w:val="1"/>
        <w:rPr>
          <w:rFonts w:ascii="宋体" w:hAnsi="宋体"/>
          <w:sz w:val="24"/>
        </w:rPr>
      </w:pPr>
      <w:r>
        <w:rPr>
          <w:rFonts w:hint="eastAsia" w:ascii="宋体" w:hAnsi="宋体"/>
          <w:sz w:val="24"/>
        </w:rPr>
        <w:t>电子备份投标</w:t>
      </w:r>
      <w:r>
        <w:rPr>
          <w:rFonts w:hint="eastAsia" w:ascii="宋体" w:hAnsi="宋体"/>
          <w:bCs/>
          <w:sz w:val="24"/>
        </w:rPr>
        <w:t>文件格式</w:t>
      </w:r>
    </w:p>
    <w:p>
      <w:pPr>
        <w:snapToGrid w:val="0"/>
        <w:spacing w:line="400" w:lineRule="exact"/>
        <w:ind w:firstLine="480" w:firstLineChars="200"/>
        <w:rPr>
          <w:rFonts w:ascii="宋体" w:hAnsi="宋体"/>
          <w:bCs/>
          <w:sz w:val="24"/>
        </w:rPr>
      </w:pPr>
    </w:p>
    <w:p>
      <w:pPr>
        <w:pStyle w:val="13"/>
        <w:spacing w:line="400" w:lineRule="exact"/>
        <w:ind w:firstLine="480" w:firstLineChars="200"/>
        <w:rPr>
          <w:bCs/>
          <w:sz w:val="24"/>
          <w:szCs w:val="24"/>
        </w:rPr>
      </w:pPr>
    </w:p>
    <w:p>
      <w:pPr>
        <w:pStyle w:val="13"/>
        <w:spacing w:line="400" w:lineRule="exact"/>
        <w:ind w:firstLine="480" w:firstLineChars="200"/>
        <w:rPr>
          <w:bCs/>
          <w:sz w:val="24"/>
          <w:szCs w:val="24"/>
        </w:rPr>
      </w:pPr>
    </w:p>
    <w:p>
      <w:pPr>
        <w:pStyle w:val="13"/>
        <w:spacing w:line="400" w:lineRule="exact"/>
        <w:ind w:firstLine="480" w:firstLineChars="200"/>
        <w:rPr>
          <w:bCs/>
          <w:sz w:val="24"/>
          <w:szCs w:val="24"/>
        </w:rPr>
      </w:pPr>
    </w:p>
    <w:p>
      <w:pPr>
        <w:snapToGrid w:val="0"/>
        <w:spacing w:line="400" w:lineRule="exact"/>
        <w:ind w:firstLine="480" w:firstLineChars="200"/>
        <w:rPr>
          <w:rFonts w:ascii="宋体" w:hAnsi="宋体"/>
          <w:bCs/>
          <w:sz w:val="24"/>
        </w:rPr>
      </w:pPr>
      <w:r>
        <w:rPr>
          <w:rFonts w:hint="eastAsia" w:ascii="宋体" w:hAnsi="宋体"/>
          <w:sz w:val="24"/>
        </w:rPr>
        <w:t>电子备份投标</w:t>
      </w:r>
      <w:r>
        <w:rPr>
          <w:rFonts w:hint="eastAsia" w:ascii="宋体" w:hAnsi="宋体"/>
          <w:bCs/>
          <w:sz w:val="24"/>
        </w:rPr>
        <w:t>文件的外包装封面格式：</w:t>
      </w:r>
    </w:p>
    <w:p>
      <w:pPr>
        <w:snapToGrid w:val="0"/>
        <w:spacing w:line="400" w:lineRule="exact"/>
        <w:ind w:firstLine="480" w:firstLineChars="200"/>
        <w:jc w:val="center"/>
        <w:rPr>
          <w:rFonts w:ascii="宋体" w:hAnsi="宋体"/>
          <w:sz w:val="24"/>
        </w:rPr>
      </w:pPr>
    </w:p>
    <w:p>
      <w:pPr>
        <w:snapToGrid w:val="0"/>
        <w:spacing w:line="400" w:lineRule="exact"/>
        <w:ind w:firstLine="480" w:firstLineChars="200"/>
        <w:jc w:val="center"/>
        <w:rPr>
          <w:rFonts w:ascii="宋体" w:hAnsi="宋体"/>
          <w:bCs/>
          <w:sz w:val="24"/>
        </w:rPr>
      </w:pPr>
      <w:r>
        <w:rPr>
          <w:rFonts w:hint="eastAsia" w:ascii="宋体" w:hAnsi="宋体"/>
          <w:sz w:val="24"/>
        </w:rPr>
        <w:t>电子备份投标</w:t>
      </w:r>
      <w:r>
        <w:rPr>
          <w:rFonts w:hint="eastAsia" w:ascii="宋体" w:hAnsi="宋体"/>
          <w:bCs/>
          <w:sz w:val="24"/>
        </w:rPr>
        <w:t>文件</w:t>
      </w:r>
    </w:p>
    <w:p>
      <w:pPr>
        <w:snapToGrid w:val="0"/>
        <w:spacing w:line="400" w:lineRule="exact"/>
        <w:ind w:firstLine="480" w:firstLineChars="200"/>
        <w:jc w:val="center"/>
        <w:rPr>
          <w:rFonts w:ascii="宋体" w:hAnsi="宋体"/>
          <w:bCs/>
          <w:sz w:val="24"/>
        </w:rPr>
      </w:pPr>
    </w:p>
    <w:p>
      <w:pPr>
        <w:snapToGrid w:val="0"/>
        <w:spacing w:line="400" w:lineRule="exact"/>
        <w:ind w:firstLine="480" w:firstLineChars="200"/>
        <w:rPr>
          <w:rFonts w:ascii="宋体" w:hAnsi="宋体"/>
          <w:bCs/>
          <w:sz w:val="24"/>
        </w:rPr>
      </w:pPr>
      <w:r>
        <w:rPr>
          <w:rFonts w:hint="eastAsia" w:ascii="宋体" w:hAnsi="宋体"/>
          <w:bCs/>
          <w:sz w:val="24"/>
        </w:rPr>
        <w:t>项目名称：</w:t>
      </w:r>
    </w:p>
    <w:p>
      <w:pPr>
        <w:snapToGrid w:val="0"/>
        <w:spacing w:line="400" w:lineRule="exact"/>
        <w:ind w:firstLine="480" w:firstLineChars="200"/>
        <w:rPr>
          <w:rFonts w:ascii="宋体" w:hAnsi="宋体"/>
          <w:bCs/>
          <w:sz w:val="24"/>
        </w:rPr>
      </w:pPr>
      <w:r>
        <w:rPr>
          <w:rFonts w:hint="eastAsia" w:ascii="宋体" w:hAnsi="宋体"/>
          <w:bCs/>
          <w:sz w:val="24"/>
        </w:rPr>
        <w:t>项目编号：</w:t>
      </w:r>
    </w:p>
    <w:p>
      <w:pPr>
        <w:snapToGrid w:val="0"/>
        <w:spacing w:line="400" w:lineRule="exact"/>
        <w:ind w:firstLine="480" w:firstLineChars="200"/>
        <w:rPr>
          <w:rFonts w:ascii="宋体" w:hAnsi="宋体"/>
          <w:bCs/>
          <w:sz w:val="24"/>
        </w:rPr>
      </w:pPr>
      <w:r>
        <w:rPr>
          <w:rFonts w:hint="eastAsia" w:ascii="宋体" w:hAnsi="宋体"/>
          <w:bCs/>
          <w:sz w:val="24"/>
        </w:rPr>
        <w:t>标   项：（如有，请填写）</w:t>
      </w:r>
    </w:p>
    <w:p>
      <w:pPr>
        <w:pStyle w:val="13"/>
        <w:spacing w:line="400" w:lineRule="exact"/>
        <w:ind w:firstLine="480" w:firstLineChars="200"/>
        <w:rPr>
          <w:bCs/>
          <w:sz w:val="24"/>
          <w:szCs w:val="24"/>
        </w:rPr>
      </w:pPr>
      <w:r>
        <w:rPr>
          <w:rFonts w:hint="eastAsia"/>
          <w:bCs/>
          <w:sz w:val="24"/>
          <w:szCs w:val="24"/>
        </w:rPr>
        <w:t>投标人名称：</w:t>
      </w:r>
    </w:p>
    <w:p>
      <w:pPr>
        <w:snapToGrid w:val="0"/>
        <w:spacing w:line="360" w:lineRule="auto"/>
        <w:ind w:firstLine="480" w:firstLineChars="200"/>
        <w:rPr>
          <w:rFonts w:ascii="宋体" w:hAnsi="宋体"/>
          <w:sz w:val="24"/>
        </w:rPr>
      </w:pPr>
    </w:p>
    <w:p>
      <w:pPr>
        <w:pStyle w:val="50"/>
      </w:pPr>
    </w:p>
    <w:p>
      <w:pPr>
        <w:snapToGrid w:val="0"/>
        <w:spacing w:before="157" w:beforeLines="50" w:after="50"/>
        <w:rPr>
          <w:rFonts w:ascii="宋体" w:hAnsi="宋体"/>
          <w:szCs w:val="21"/>
        </w:rPr>
      </w:pPr>
    </w:p>
    <w:sectPr>
      <w:headerReference r:id="rId4" w:type="default"/>
      <w:footerReference r:id="rId5" w:type="default"/>
      <w:pgSz w:w="11906" w:h="16838"/>
      <w:pgMar w:top="1440" w:right="1083" w:bottom="1440" w:left="1276" w:header="851" w:footer="992" w:gutter="0"/>
      <w:cols w:space="0" w:num="1"/>
      <w:docGrid w:type="lines" w:linePitch="314"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华文宋体">
    <w:altName w:val="宋体"/>
    <w:panose1 w:val="02010600040101010101"/>
    <w:charset w:val="86"/>
    <w:family w:val="auto"/>
    <w:pitch w:val="default"/>
    <w:sig w:usb0="00000000" w:usb1="00000000" w:usb2="00000010" w:usb3="00000000" w:csb0="0004009F"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10" w:usb3="00000000" w:csb0="00040000" w:csb1="00000000"/>
  </w:font>
  <w:font w:name="Futura Bk">
    <w:altName w:val="Segoe Print"/>
    <w:panose1 w:val="00000000000000000000"/>
    <w:charset w:val="00"/>
    <w:family w:val="auto"/>
    <w:pitch w:val="default"/>
    <w:sig w:usb0="00000000" w:usb1="00000000" w:usb2="00000000" w:usb3="00000000" w:csb0="000001FB" w:csb1="0000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仿宋_GB2312">
    <w:altName w:val="仿宋"/>
    <w:panose1 w:val="00000000000000000000"/>
    <w:charset w:val="86"/>
    <w:family w:val="modern"/>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Verdana">
    <w:panose1 w:val="020B0604030504040204"/>
    <w:charset w:val="00"/>
    <w:family w:val="swiss"/>
    <w:pitch w:val="default"/>
    <w:sig w:usb0="A00006FF" w:usb1="4000205B" w:usb2="00000010" w:usb3="00000000" w:csb0="2000019F" w:csb1="00000000"/>
  </w:font>
  <w:font w:name="DGOFMF+ËÎÌå">
    <w:altName w:val="新宋体"/>
    <w:panose1 w:val="00000000000000000000"/>
    <w:charset w:val="01"/>
    <w:family w:val="auto"/>
    <w:pitch w:val="default"/>
    <w:sig w:usb0="00000000" w:usb1="00000000" w:usb2="00000006" w:usb3="00000000" w:csb0="00040001" w:csb1="00000000"/>
  </w:font>
  <w:font w:name="䅂䍄䕅⯋컌">
    <w:altName w:val="Segoe Print"/>
    <w:panose1 w:val="00000000000000000000"/>
    <w:charset w:val="00"/>
    <w:family w:val="auto"/>
    <w:pitch w:val="default"/>
    <w:sig w:usb0="00000000" w:usb1="00000000" w:usb2="00000000" w:usb3="00000000" w:csb0="00040001" w:csb1="00000000"/>
  </w:font>
  <w:font w:name="方正仿宋_GBK">
    <w:altName w:val="微软雅黑"/>
    <w:panose1 w:val="00000000000000000000"/>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pPr>
                          <w:r>
                            <w:fldChar w:fldCharType="begin"/>
                          </w:r>
                          <w:r>
                            <w:instrText xml:space="preserve"> PAGE  \* MERGEFORMAT </w:instrText>
                          </w:r>
                          <w:r>
                            <w:fldChar w:fldCharType="separate"/>
                          </w:r>
                          <w:r>
                            <w:t>8</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pPr>
                      <w:pStyle w:val="27"/>
                    </w:pPr>
                    <w:r>
                      <w:fldChar w:fldCharType="begin"/>
                    </w:r>
                    <w:r>
                      <w:instrText xml:space="preserve"> PAGE  \* MERGEFORMAT </w:instrText>
                    </w:r>
                    <w:r>
                      <w:fldChar w:fldCharType="separate"/>
                    </w:r>
                    <w:r>
                      <w:t>8</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7"/>
      <w:jc w:val="both"/>
      <w:rPr>
        <w:rStyle w:val="41"/>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7"/>
                          </w:pPr>
                          <w:r>
                            <w:fldChar w:fldCharType="begin"/>
                          </w:r>
                          <w:r>
                            <w:instrText xml:space="preserve"> PAGE  \* MERGEFORMAT </w:instrText>
                          </w:r>
                          <w:r>
                            <w:fldChar w:fldCharType="separate"/>
                          </w:r>
                          <w:r>
                            <w:t>61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27"/>
                    </w:pPr>
                    <w:r>
                      <w:fldChar w:fldCharType="begin"/>
                    </w:r>
                    <w:r>
                      <w:instrText xml:space="preserve"> PAGE  \* MERGEFORMAT </w:instrText>
                    </w:r>
                    <w:r>
                      <w:fldChar w:fldCharType="separate"/>
                    </w:r>
                    <w:r>
                      <w:t>61</w:t>
                    </w:r>
                    <w:r>
                      <w:fldChar w:fldCharType="end"/>
                    </w:r>
                  </w:p>
                </w:txbxContent>
              </v:textbox>
            </v:shape>
          </w:pict>
        </mc:Fallback>
      </mc:AlternateContent>
    </w:r>
  </w:p>
  <w:p>
    <w:pPr>
      <w:pStyle w:val="27"/>
      <w:ind w:right="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D93D43B"/>
    <w:multiLevelType w:val="singleLevel"/>
    <w:tmpl w:val="8D93D43B"/>
    <w:lvl w:ilvl="0" w:tentative="0">
      <w:start w:val="1"/>
      <w:numFmt w:val="bullet"/>
      <w:pStyle w:val="21"/>
      <w:lvlText w:val=""/>
      <w:lvlJc w:val="left"/>
      <w:pPr>
        <w:tabs>
          <w:tab w:val="left" w:pos="780"/>
        </w:tabs>
        <w:ind w:left="780" w:hanging="360"/>
      </w:pPr>
      <w:rPr>
        <w:rFonts w:hint="default" w:ascii="Wingdings" w:hAnsi="Wingdings"/>
      </w:rPr>
    </w:lvl>
  </w:abstractNum>
  <w:abstractNum w:abstractNumId="1">
    <w:nsid w:val="AA0D9FD3"/>
    <w:multiLevelType w:val="singleLevel"/>
    <w:tmpl w:val="AA0D9FD3"/>
    <w:lvl w:ilvl="0" w:tentative="0">
      <w:start w:val="2"/>
      <w:numFmt w:val="chineseCounting"/>
      <w:suff w:val="nothing"/>
      <w:lvlText w:val="%1、"/>
      <w:lvlJc w:val="left"/>
      <w:rPr>
        <w:rFonts w:hint="eastAsia"/>
      </w:rPr>
    </w:lvl>
  </w:abstractNum>
  <w:abstractNum w:abstractNumId="2">
    <w:nsid w:val="B31CDF6D"/>
    <w:multiLevelType w:val="singleLevel"/>
    <w:tmpl w:val="B31CDF6D"/>
    <w:lvl w:ilvl="0" w:tentative="0">
      <w:start w:val="2"/>
      <w:numFmt w:val="chineseCounting"/>
      <w:suff w:val="space"/>
      <w:lvlText w:val="第%1章"/>
      <w:lvlJc w:val="left"/>
      <w:rPr>
        <w:rFonts w:hint="eastAsia"/>
      </w:rPr>
    </w:lvl>
  </w:abstractNum>
  <w:abstractNum w:abstractNumId="3">
    <w:nsid w:val="074054F6"/>
    <w:multiLevelType w:val="multilevel"/>
    <w:tmpl w:val="074054F6"/>
    <w:lvl w:ilvl="0" w:tentative="0">
      <w:start w:val="1"/>
      <w:numFmt w:val="decimal"/>
      <w:pStyle w:val="112"/>
      <w:lvlText w:val="第%1章"/>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4">
    <w:nsid w:val="16240AB4"/>
    <w:multiLevelType w:val="multilevel"/>
    <w:tmpl w:val="16240AB4"/>
    <w:lvl w:ilvl="0" w:tentative="0">
      <w:start w:val="1"/>
      <w:numFmt w:val="bullet"/>
      <w:pStyle w:val="114"/>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5">
    <w:nsid w:val="30EB06E2"/>
    <w:multiLevelType w:val="singleLevel"/>
    <w:tmpl w:val="30EB06E2"/>
    <w:lvl w:ilvl="0" w:tentative="0">
      <w:start w:val="4"/>
      <w:numFmt w:val="chineseCounting"/>
      <w:suff w:val="nothing"/>
      <w:lvlText w:val="%1、"/>
      <w:lvlJc w:val="left"/>
      <w:rPr>
        <w:rFonts w:hint="eastAsia"/>
      </w:rPr>
    </w:lvl>
  </w:abstractNum>
  <w:abstractNum w:abstractNumId="6">
    <w:nsid w:val="31BB23A6"/>
    <w:multiLevelType w:val="singleLevel"/>
    <w:tmpl w:val="31BB23A6"/>
    <w:lvl w:ilvl="0" w:tentative="0">
      <w:start w:val="1"/>
      <w:numFmt w:val="decimal"/>
      <w:suff w:val="nothing"/>
      <w:lvlText w:val="%1、"/>
      <w:lvlJc w:val="left"/>
    </w:lvl>
  </w:abstractNum>
  <w:abstractNum w:abstractNumId="7">
    <w:nsid w:val="40EB8DBB"/>
    <w:multiLevelType w:val="singleLevel"/>
    <w:tmpl w:val="40EB8DBB"/>
    <w:lvl w:ilvl="0" w:tentative="0">
      <w:start w:val="3"/>
      <w:numFmt w:val="decimal"/>
      <w:lvlText w:val="%1."/>
      <w:lvlJc w:val="left"/>
      <w:pPr>
        <w:tabs>
          <w:tab w:val="left" w:pos="312"/>
        </w:tabs>
      </w:pPr>
    </w:lvl>
  </w:abstractNum>
  <w:abstractNum w:abstractNumId="8">
    <w:nsid w:val="53B11841"/>
    <w:multiLevelType w:val="singleLevel"/>
    <w:tmpl w:val="53B11841"/>
    <w:lvl w:ilvl="0" w:tentative="0">
      <w:start w:val="3"/>
      <w:numFmt w:val="chineseCounting"/>
      <w:suff w:val="nothing"/>
      <w:lvlText w:val="%1、"/>
      <w:lvlJc w:val="left"/>
      <w:rPr>
        <w:rFonts w:hint="eastAsia"/>
      </w:rPr>
    </w:lvl>
  </w:abstractNum>
  <w:abstractNum w:abstractNumId="9">
    <w:nsid w:val="61225730"/>
    <w:multiLevelType w:val="multilevel"/>
    <w:tmpl w:val="61225730"/>
    <w:lvl w:ilvl="0" w:tentative="0">
      <w:start w:val="1"/>
      <w:numFmt w:val="japaneseCounting"/>
      <w:lvlText w:val="第%1章"/>
      <w:lvlJc w:val="left"/>
      <w:pPr>
        <w:tabs>
          <w:tab w:val="left" w:pos="1440"/>
        </w:tabs>
        <w:ind w:left="1440" w:hanging="144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0">
    <w:nsid w:val="61225746"/>
    <w:multiLevelType w:val="multilevel"/>
    <w:tmpl w:val="61225746"/>
    <w:lvl w:ilvl="0" w:tentative="0">
      <w:start w:val="1"/>
      <w:numFmt w:val="decimal"/>
      <w:lvlText w:val="%1．"/>
      <w:lvlJc w:val="left"/>
      <w:pPr>
        <w:tabs>
          <w:tab w:val="left" w:pos="780"/>
        </w:tabs>
        <w:ind w:left="780" w:hanging="360"/>
      </w:p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11">
    <w:nsid w:val="73321B9E"/>
    <w:multiLevelType w:val="singleLevel"/>
    <w:tmpl w:val="73321B9E"/>
    <w:lvl w:ilvl="0" w:tentative="0">
      <w:start w:val="1"/>
      <w:numFmt w:val="decimal"/>
      <w:pStyle w:val="12"/>
      <w:lvlText w:val="%1."/>
      <w:lvlJc w:val="left"/>
      <w:pPr>
        <w:tabs>
          <w:tab w:val="left" w:pos="360"/>
        </w:tabs>
        <w:ind w:left="360" w:hanging="360"/>
      </w:pPr>
    </w:lvl>
  </w:abstractNum>
  <w:num w:numId="1">
    <w:abstractNumId w:val="11"/>
  </w:num>
  <w:num w:numId="2">
    <w:abstractNumId w:val="0"/>
  </w:num>
  <w:num w:numId="3">
    <w:abstractNumId w:val="3"/>
  </w:num>
  <w:num w:numId="4">
    <w:abstractNumId w:val="4"/>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7"/>
  </w:num>
  <w:num w:numId="8">
    <w:abstractNumId w:val="8"/>
  </w:num>
  <w:num w:numId="9">
    <w:abstractNumId w:val="6"/>
  </w:num>
  <w:num w:numId="10">
    <w:abstractNumId w:val="2"/>
  </w:num>
  <w:num w:numId="11">
    <w:abstractNumId w:val="1"/>
  </w:num>
  <w:num w:numId="1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bordersDoNotSurroundHeader w:val="1"/>
  <w:bordersDoNotSurroundFooter w:val="1"/>
  <w:hideSpellingErrors/>
  <w:documentProtection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ZkMjM1NTkzNzc5OWZmNjdhOWUwY2UyMDI4ODhkZDkifQ=="/>
  </w:docVars>
  <w:rsids>
    <w:rsidRoot w:val="00AD1221"/>
    <w:rsid w:val="000252C7"/>
    <w:rsid w:val="00040884"/>
    <w:rsid w:val="00044610"/>
    <w:rsid w:val="000C2C85"/>
    <w:rsid w:val="000D031B"/>
    <w:rsid w:val="000E01BD"/>
    <w:rsid w:val="000E0814"/>
    <w:rsid w:val="000E1555"/>
    <w:rsid w:val="0010438D"/>
    <w:rsid w:val="001402E5"/>
    <w:rsid w:val="00220051"/>
    <w:rsid w:val="00226309"/>
    <w:rsid w:val="0025188B"/>
    <w:rsid w:val="00266309"/>
    <w:rsid w:val="00280185"/>
    <w:rsid w:val="00281A17"/>
    <w:rsid w:val="00287A1B"/>
    <w:rsid w:val="00290C9A"/>
    <w:rsid w:val="002A5C1C"/>
    <w:rsid w:val="002C0D5A"/>
    <w:rsid w:val="002C267E"/>
    <w:rsid w:val="002C3A5B"/>
    <w:rsid w:val="002D5133"/>
    <w:rsid w:val="003003BD"/>
    <w:rsid w:val="003009F5"/>
    <w:rsid w:val="00342550"/>
    <w:rsid w:val="0034772A"/>
    <w:rsid w:val="00367AFB"/>
    <w:rsid w:val="003753C7"/>
    <w:rsid w:val="003A4290"/>
    <w:rsid w:val="003A4CC6"/>
    <w:rsid w:val="003C0B90"/>
    <w:rsid w:val="003D5711"/>
    <w:rsid w:val="003E59F3"/>
    <w:rsid w:val="00421237"/>
    <w:rsid w:val="00443681"/>
    <w:rsid w:val="00461777"/>
    <w:rsid w:val="004902BD"/>
    <w:rsid w:val="00497D3A"/>
    <w:rsid w:val="004A6C5C"/>
    <w:rsid w:val="004B10C2"/>
    <w:rsid w:val="004D1231"/>
    <w:rsid w:val="004D31A5"/>
    <w:rsid w:val="004F1DD4"/>
    <w:rsid w:val="00517647"/>
    <w:rsid w:val="00520B9F"/>
    <w:rsid w:val="0056163F"/>
    <w:rsid w:val="00590EA8"/>
    <w:rsid w:val="005C2956"/>
    <w:rsid w:val="005E55BC"/>
    <w:rsid w:val="0060439B"/>
    <w:rsid w:val="0062387E"/>
    <w:rsid w:val="00625963"/>
    <w:rsid w:val="00636CEF"/>
    <w:rsid w:val="00663E1A"/>
    <w:rsid w:val="006866BC"/>
    <w:rsid w:val="00694676"/>
    <w:rsid w:val="006C5EF5"/>
    <w:rsid w:val="00721058"/>
    <w:rsid w:val="00735727"/>
    <w:rsid w:val="00772340"/>
    <w:rsid w:val="007737FA"/>
    <w:rsid w:val="0077577E"/>
    <w:rsid w:val="0079133E"/>
    <w:rsid w:val="007A0511"/>
    <w:rsid w:val="007C2BF0"/>
    <w:rsid w:val="007C353D"/>
    <w:rsid w:val="008758D8"/>
    <w:rsid w:val="0088548F"/>
    <w:rsid w:val="008923F9"/>
    <w:rsid w:val="008B2702"/>
    <w:rsid w:val="00904295"/>
    <w:rsid w:val="009165F3"/>
    <w:rsid w:val="00927674"/>
    <w:rsid w:val="00945254"/>
    <w:rsid w:val="00950AB0"/>
    <w:rsid w:val="00970610"/>
    <w:rsid w:val="0099032F"/>
    <w:rsid w:val="009C1199"/>
    <w:rsid w:val="009E2E29"/>
    <w:rsid w:val="009F3D68"/>
    <w:rsid w:val="00A06B9F"/>
    <w:rsid w:val="00A54CF3"/>
    <w:rsid w:val="00A943EA"/>
    <w:rsid w:val="00AD1221"/>
    <w:rsid w:val="00AD29C6"/>
    <w:rsid w:val="00AD4EFD"/>
    <w:rsid w:val="00AF1F7B"/>
    <w:rsid w:val="00B03953"/>
    <w:rsid w:val="00B27A4B"/>
    <w:rsid w:val="00B533CC"/>
    <w:rsid w:val="00B53508"/>
    <w:rsid w:val="00B53820"/>
    <w:rsid w:val="00B65106"/>
    <w:rsid w:val="00B662C3"/>
    <w:rsid w:val="00B712A4"/>
    <w:rsid w:val="00B87C84"/>
    <w:rsid w:val="00B91643"/>
    <w:rsid w:val="00BD5AEF"/>
    <w:rsid w:val="00BD7DBD"/>
    <w:rsid w:val="00BE1FB5"/>
    <w:rsid w:val="00C134C4"/>
    <w:rsid w:val="00C239DA"/>
    <w:rsid w:val="00C4104D"/>
    <w:rsid w:val="00C41310"/>
    <w:rsid w:val="00C528C1"/>
    <w:rsid w:val="00C55BDE"/>
    <w:rsid w:val="00C77D78"/>
    <w:rsid w:val="00C814DB"/>
    <w:rsid w:val="00C924C3"/>
    <w:rsid w:val="00C95CDD"/>
    <w:rsid w:val="00CB2174"/>
    <w:rsid w:val="00CB4B19"/>
    <w:rsid w:val="00D15D55"/>
    <w:rsid w:val="00D16763"/>
    <w:rsid w:val="00D16C53"/>
    <w:rsid w:val="00D3029A"/>
    <w:rsid w:val="00D327AA"/>
    <w:rsid w:val="00D377AF"/>
    <w:rsid w:val="00D43612"/>
    <w:rsid w:val="00D85698"/>
    <w:rsid w:val="00DA7803"/>
    <w:rsid w:val="00DC7154"/>
    <w:rsid w:val="00E2087E"/>
    <w:rsid w:val="00E4289C"/>
    <w:rsid w:val="00E47A0B"/>
    <w:rsid w:val="00E52B3C"/>
    <w:rsid w:val="00E6260A"/>
    <w:rsid w:val="00E648CD"/>
    <w:rsid w:val="00E923E0"/>
    <w:rsid w:val="00EA7A49"/>
    <w:rsid w:val="00ED212A"/>
    <w:rsid w:val="00EE2DB6"/>
    <w:rsid w:val="00F0002D"/>
    <w:rsid w:val="00F0539A"/>
    <w:rsid w:val="00F066B5"/>
    <w:rsid w:val="00F51F53"/>
    <w:rsid w:val="00F76AEE"/>
    <w:rsid w:val="00F9493A"/>
    <w:rsid w:val="00FA3517"/>
    <w:rsid w:val="00FB131F"/>
    <w:rsid w:val="00FB4364"/>
    <w:rsid w:val="00FC3BBF"/>
    <w:rsid w:val="00FE5412"/>
    <w:rsid w:val="00FF2D7D"/>
    <w:rsid w:val="014252EF"/>
    <w:rsid w:val="01A5240D"/>
    <w:rsid w:val="03DA7351"/>
    <w:rsid w:val="04472BBA"/>
    <w:rsid w:val="044E2BE0"/>
    <w:rsid w:val="047B4490"/>
    <w:rsid w:val="05433C9C"/>
    <w:rsid w:val="05633F82"/>
    <w:rsid w:val="05836E53"/>
    <w:rsid w:val="05CF30B8"/>
    <w:rsid w:val="062B7653"/>
    <w:rsid w:val="064D5CF9"/>
    <w:rsid w:val="06983311"/>
    <w:rsid w:val="073C0C64"/>
    <w:rsid w:val="08263E43"/>
    <w:rsid w:val="09127654"/>
    <w:rsid w:val="0974587D"/>
    <w:rsid w:val="09951D6C"/>
    <w:rsid w:val="0B5775EB"/>
    <w:rsid w:val="0BA2615E"/>
    <w:rsid w:val="0BD726FC"/>
    <w:rsid w:val="0C3B2CFB"/>
    <w:rsid w:val="0C4030CB"/>
    <w:rsid w:val="0C780026"/>
    <w:rsid w:val="0CE11166"/>
    <w:rsid w:val="0E2A721D"/>
    <w:rsid w:val="0EC80E09"/>
    <w:rsid w:val="0FC47519"/>
    <w:rsid w:val="0FCB47B5"/>
    <w:rsid w:val="0FDF1E7B"/>
    <w:rsid w:val="100248CD"/>
    <w:rsid w:val="109A22AE"/>
    <w:rsid w:val="118E09D2"/>
    <w:rsid w:val="118E30DD"/>
    <w:rsid w:val="11933A6F"/>
    <w:rsid w:val="11A17669"/>
    <w:rsid w:val="11E071C7"/>
    <w:rsid w:val="1212341C"/>
    <w:rsid w:val="12E84C6C"/>
    <w:rsid w:val="13FE336F"/>
    <w:rsid w:val="142855AF"/>
    <w:rsid w:val="147D4E32"/>
    <w:rsid w:val="14B525B2"/>
    <w:rsid w:val="156C01B0"/>
    <w:rsid w:val="15F9469D"/>
    <w:rsid w:val="16805E3C"/>
    <w:rsid w:val="16EC2EF9"/>
    <w:rsid w:val="172243CA"/>
    <w:rsid w:val="1749223C"/>
    <w:rsid w:val="17510618"/>
    <w:rsid w:val="17A2390E"/>
    <w:rsid w:val="17B71DFD"/>
    <w:rsid w:val="17DB0461"/>
    <w:rsid w:val="18744266"/>
    <w:rsid w:val="18B75CD3"/>
    <w:rsid w:val="18EE3424"/>
    <w:rsid w:val="1A4D794D"/>
    <w:rsid w:val="1A911621"/>
    <w:rsid w:val="1ACA4B1E"/>
    <w:rsid w:val="1B13609D"/>
    <w:rsid w:val="1BC61759"/>
    <w:rsid w:val="1BFB5A30"/>
    <w:rsid w:val="1C1E760F"/>
    <w:rsid w:val="1C8174CA"/>
    <w:rsid w:val="1CD85A48"/>
    <w:rsid w:val="1D94745E"/>
    <w:rsid w:val="1D9D423C"/>
    <w:rsid w:val="1DA67CBF"/>
    <w:rsid w:val="1EA4005E"/>
    <w:rsid w:val="1EFE3894"/>
    <w:rsid w:val="1F1941AC"/>
    <w:rsid w:val="1F4A5774"/>
    <w:rsid w:val="1F796748"/>
    <w:rsid w:val="1FCF6E82"/>
    <w:rsid w:val="200554A5"/>
    <w:rsid w:val="20112716"/>
    <w:rsid w:val="208A4D0A"/>
    <w:rsid w:val="20F914C0"/>
    <w:rsid w:val="210F71FF"/>
    <w:rsid w:val="234E27A4"/>
    <w:rsid w:val="23AA0645"/>
    <w:rsid w:val="24077DC1"/>
    <w:rsid w:val="24257307"/>
    <w:rsid w:val="25D80984"/>
    <w:rsid w:val="26B64551"/>
    <w:rsid w:val="27154141"/>
    <w:rsid w:val="27FD378C"/>
    <w:rsid w:val="284249A6"/>
    <w:rsid w:val="2888490F"/>
    <w:rsid w:val="29077BDA"/>
    <w:rsid w:val="2AE548A4"/>
    <w:rsid w:val="2B593A95"/>
    <w:rsid w:val="2B7277D3"/>
    <w:rsid w:val="2BE45D5F"/>
    <w:rsid w:val="2BE912BD"/>
    <w:rsid w:val="2C0F2B82"/>
    <w:rsid w:val="2C3F5D11"/>
    <w:rsid w:val="2C665D16"/>
    <w:rsid w:val="2CFB424F"/>
    <w:rsid w:val="2E2B2442"/>
    <w:rsid w:val="2E352D61"/>
    <w:rsid w:val="2E9E4E94"/>
    <w:rsid w:val="2F430E3F"/>
    <w:rsid w:val="305B3E0B"/>
    <w:rsid w:val="30C0088E"/>
    <w:rsid w:val="324741F8"/>
    <w:rsid w:val="329D2E82"/>
    <w:rsid w:val="335C6818"/>
    <w:rsid w:val="339578BA"/>
    <w:rsid w:val="33FD728F"/>
    <w:rsid w:val="347F2B27"/>
    <w:rsid w:val="35292570"/>
    <w:rsid w:val="356F17F9"/>
    <w:rsid w:val="35983EA1"/>
    <w:rsid w:val="3707456E"/>
    <w:rsid w:val="377AA684"/>
    <w:rsid w:val="38FF1561"/>
    <w:rsid w:val="396626A2"/>
    <w:rsid w:val="39C94AAD"/>
    <w:rsid w:val="3A855F82"/>
    <w:rsid w:val="3AC21656"/>
    <w:rsid w:val="3B685EE9"/>
    <w:rsid w:val="3C67C587"/>
    <w:rsid w:val="3CE56E11"/>
    <w:rsid w:val="3D3D3216"/>
    <w:rsid w:val="3D624AF9"/>
    <w:rsid w:val="3D8726E3"/>
    <w:rsid w:val="3E97A79D"/>
    <w:rsid w:val="3EA55255"/>
    <w:rsid w:val="3EAD2CF3"/>
    <w:rsid w:val="3F1A56EA"/>
    <w:rsid w:val="3F606510"/>
    <w:rsid w:val="3FC217B1"/>
    <w:rsid w:val="404859DF"/>
    <w:rsid w:val="40926DE9"/>
    <w:rsid w:val="413C7DC6"/>
    <w:rsid w:val="4205007B"/>
    <w:rsid w:val="42232B9E"/>
    <w:rsid w:val="431004A4"/>
    <w:rsid w:val="443A225E"/>
    <w:rsid w:val="44EE08A5"/>
    <w:rsid w:val="45795008"/>
    <w:rsid w:val="45A33E32"/>
    <w:rsid w:val="46AB3D71"/>
    <w:rsid w:val="46E46A17"/>
    <w:rsid w:val="46EC2B28"/>
    <w:rsid w:val="47CB7D36"/>
    <w:rsid w:val="47EF906D"/>
    <w:rsid w:val="481507EB"/>
    <w:rsid w:val="48C85D61"/>
    <w:rsid w:val="48E96BAE"/>
    <w:rsid w:val="4989773A"/>
    <w:rsid w:val="4A1E5A72"/>
    <w:rsid w:val="4A572D9B"/>
    <w:rsid w:val="4B6635D6"/>
    <w:rsid w:val="4BF70DD1"/>
    <w:rsid w:val="4CBC51C9"/>
    <w:rsid w:val="4DD35DB3"/>
    <w:rsid w:val="4DFC49E7"/>
    <w:rsid w:val="4E2E7342"/>
    <w:rsid w:val="4E4D0DDF"/>
    <w:rsid w:val="4FFBFB89"/>
    <w:rsid w:val="5021077B"/>
    <w:rsid w:val="50C15F3C"/>
    <w:rsid w:val="514A7344"/>
    <w:rsid w:val="51D40C75"/>
    <w:rsid w:val="5283564E"/>
    <w:rsid w:val="52FD1F3A"/>
    <w:rsid w:val="532310E0"/>
    <w:rsid w:val="53784971"/>
    <w:rsid w:val="539C7427"/>
    <w:rsid w:val="53EC6BF8"/>
    <w:rsid w:val="54B239E6"/>
    <w:rsid w:val="5519632F"/>
    <w:rsid w:val="56B94AB9"/>
    <w:rsid w:val="571B4E62"/>
    <w:rsid w:val="5771490C"/>
    <w:rsid w:val="57714A91"/>
    <w:rsid w:val="577C21D1"/>
    <w:rsid w:val="577F6971"/>
    <w:rsid w:val="58AB264A"/>
    <w:rsid w:val="58CE41A6"/>
    <w:rsid w:val="59124578"/>
    <w:rsid w:val="5973475B"/>
    <w:rsid w:val="5AD040DC"/>
    <w:rsid w:val="5B165F73"/>
    <w:rsid w:val="5B5044F7"/>
    <w:rsid w:val="5BFC7F69"/>
    <w:rsid w:val="5C2B34CD"/>
    <w:rsid w:val="5CA40C8F"/>
    <w:rsid w:val="5CB673FE"/>
    <w:rsid w:val="5D5A6886"/>
    <w:rsid w:val="5E6F049D"/>
    <w:rsid w:val="5F1F2D60"/>
    <w:rsid w:val="5FD135BC"/>
    <w:rsid w:val="5FDBF123"/>
    <w:rsid w:val="5FEFA5DD"/>
    <w:rsid w:val="5FF677CC"/>
    <w:rsid w:val="6031230F"/>
    <w:rsid w:val="6039063C"/>
    <w:rsid w:val="61D47A54"/>
    <w:rsid w:val="634130DD"/>
    <w:rsid w:val="635C6C5A"/>
    <w:rsid w:val="63696577"/>
    <w:rsid w:val="63B3467C"/>
    <w:rsid w:val="63F66C68"/>
    <w:rsid w:val="64425B37"/>
    <w:rsid w:val="65447153"/>
    <w:rsid w:val="676F498F"/>
    <w:rsid w:val="67EF9F34"/>
    <w:rsid w:val="68407553"/>
    <w:rsid w:val="68C9096D"/>
    <w:rsid w:val="68E13237"/>
    <w:rsid w:val="69135EE3"/>
    <w:rsid w:val="69380208"/>
    <w:rsid w:val="6960063B"/>
    <w:rsid w:val="6A287784"/>
    <w:rsid w:val="6ADC37BF"/>
    <w:rsid w:val="6B336309"/>
    <w:rsid w:val="6B5E7E1C"/>
    <w:rsid w:val="6B73096E"/>
    <w:rsid w:val="6B983BF6"/>
    <w:rsid w:val="6C092D12"/>
    <w:rsid w:val="6C5B0BEB"/>
    <w:rsid w:val="6D4B3D86"/>
    <w:rsid w:val="6D8A0825"/>
    <w:rsid w:val="6DB415AC"/>
    <w:rsid w:val="6DCC3677"/>
    <w:rsid w:val="6DE0452A"/>
    <w:rsid w:val="6E0456A5"/>
    <w:rsid w:val="6FA303D7"/>
    <w:rsid w:val="706968CE"/>
    <w:rsid w:val="729D1EF1"/>
    <w:rsid w:val="743A6686"/>
    <w:rsid w:val="74420EB4"/>
    <w:rsid w:val="757A1C0A"/>
    <w:rsid w:val="75B35E65"/>
    <w:rsid w:val="75FE59A3"/>
    <w:rsid w:val="76D269B1"/>
    <w:rsid w:val="77286957"/>
    <w:rsid w:val="778D269B"/>
    <w:rsid w:val="77E3376C"/>
    <w:rsid w:val="77F21DE9"/>
    <w:rsid w:val="77F98A5F"/>
    <w:rsid w:val="77FF9778"/>
    <w:rsid w:val="785131B4"/>
    <w:rsid w:val="796817B0"/>
    <w:rsid w:val="79F85BC2"/>
    <w:rsid w:val="7A1B2021"/>
    <w:rsid w:val="7A5E7D4D"/>
    <w:rsid w:val="7A894484"/>
    <w:rsid w:val="7B4F0279"/>
    <w:rsid w:val="7B7149F7"/>
    <w:rsid w:val="7B7430F1"/>
    <w:rsid w:val="7DADF09D"/>
    <w:rsid w:val="7E205D3F"/>
    <w:rsid w:val="7E33728D"/>
    <w:rsid w:val="7E926FC3"/>
    <w:rsid w:val="7F8523ED"/>
    <w:rsid w:val="7F9F71EA"/>
    <w:rsid w:val="7FE76885"/>
    <w:rsid w:val="7FEDD90A"/>
    <w:rsid w:val="7FFD31DE"/>
    <w:rsid w:val="7FFF37BD"/>
    <w:rsid w:val="92BFEE57"/>
    <w:rsid w:val="B3B71E46"/>
    <w:rsid w:val="BB7B4023"/>
    <w:rsid w:val="C6ED3DE2"/>
    <w:rsid w:val="CD6748B9"/>
    <w:rsid w:val="CFEBB7EE"/>
    <w:rsid w:val="D7A3C783"/>
    <w:rsid w:val="D7FF0E06"/>
    <w:rsid w:val="DE66391A"/>
    <w:rsid w:val="DFE6EB56"/>
    <w:rsid w:val="E8EBCE0D"/>
    <w:rsid w:val="EA9A2CAA"/>
    <w:rsid w:val="EB9D9D89"/>
    <w:rsid w:val="EEB45227"/>
    <w:rsid w:val="EEFFA115"/>
    <w:rsid w:val="F3A61D86"/>
    <w:rsid w:val="F3EE1445"/>
    <w:rsid w:val="F7EF1DDA"/>
    <w:rsid w:val="FADD6385"/>
    <w:rsid w:val="FDB76D60"/>
    <w:rsid w:val="FEDF9159"/>
    <w:rsid w:val="FF5A7B6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semiHidden="0" w:name="heading 7"/>
    <w:lsdException w:qFormat="1" w:uiPriority="0" w:semiHidden="0" w:name="heading 8"/>
    <w:lsdException w:qFormat="1" w:uiPriority="9" w:semiHidden="0" w:name="heading 9"/>
    <w:lsdException w:uiPriority="0" w:name="index 1"/>
    <w:lsdException w:uiPriority="0" w:name="index 2"/>
    <w:lsdException w:uiPriority="0" w:name="index 3"/>
    <w:lsdException w:qFormat="1" w:uiPriority="99" w:semiHidden="0" w:name="index 4"/>
    <w:lsdException w:uiPriority="0" w:name="index 5"/>
    <w:lsdException w:uiPriority="0" w:name="index 6"/>
    <w:lsdException w:uiPriority="0" w:name="index 7"/>
    <w:lsdException w:uiPriority="0" w:name="index 8"/>
    <w:lsdException w:uiPriority="0" w:name="index 9"/>
    <w:lsdException w:qFormat="1" w:unhideWhenUsed="0" w:uiPriority="39" w:semiHidden="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qFormat="1" w:unhideWhenUsed="0" w:uiPriority="0" w:semiHidden="0" w:name="Normal Indent"/>
    <w:lsdException w:uiPriority="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qFormat="1"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uiPriority="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qFormat="1"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qFormat/>
    <w:uiPriority w:val="0"/>
    <w:pPr>
      <w:keepNext/>
      <w:tabs>
        <w:tab w:val="left" w:pos="985"/>
      </w:tabs>
      <w:ind w:left="985" w:hanging="425"/>
      <w:outlineLvl w:val="0"/>
    </w:pPr>
    <w:rPr>
      <w:rFonts w:ascii="楷体_GB2312" w:eastAsia="楷体_GB2312" w:cs="宋体"/>
      <w:sz w:val="28"/>
      <w:szCs w:val="20"/>
    </w:rPr>
  </w:style>
  <w:style w:type="paragraph" w:styleId="3">
    <w:name w:val="heading 2"/>
    <w:basedOn w:val="1"/>
    <w:next w:val="1"/>
    <w:link w:val="60"/>
    <w:qFormat/>
    <w:uiPriority w:val="0"/>
    <w:pPr>
      <w:keepNext/>
      <w:tabs>
        <w:tab w:val="left" w:pos="985"/>
      </w:tabs>
      <w:adjustRightInd w:val="0"/>
      <w:snapToGrid w:val="0"/>
      <w:spacing w:before="120" w:afterLines="100" w:line="480" w:lineRule="exact"/>
      <w:jc w:val="center"/>
      <w:outlineLvl w:val="1"/>
    </w:pPr>
    <w:rPr>
      <w:rFonts w:ascii="宋体" w:hAnsi="宋体"/>
      <w:b/>
      <w:bCs/>
      <w:kern w:val="0"/>
      <w:sz w:val="36"/>
      <w:szCs w:val="44"/>
    </w:rPr>
  </w:style>
  <w:style w:type="paragraph" w:styleId="4">
    <w:name w:val="heading 3"/>
    <w:basedOn w:val="1"/>
    <w:next w:val="1"/>
    <w:link w:val="59"/>
    <w:unhideWhenUsed/>
    <w:qFormat/>
    <w:uiPriority w:val="0"/>
    <w:pPr>
      <w:keepLines/>
      <w:tabs>
        <w:tab w:val="left" w:pos="985"/>
      </w:tabs>
      <w:spacing w:beforeLines="100" w:afterLines="50" w:line="480" w:lineRule="auto"/>
      <w:jc w:val="left"/>
      <w:outlineLvl w:val="2"/>
    </w:pPr>
    <w:rPr>
      <w:rFonts w:hint="eastAsia" w:ascii="黑体" w:hAnsi="黑体" w:eastAsia="黑体" w:cs="Calibri"/>
      <w:sz w:val="28"/>
      <w:szCs w:val="20"/>
    </w:rPr>
  </w:style>
  <w:style w:type="paragraph" w:styleId="5">
    <w:name w:val="heading 4"/>
    <w:basedOn w:val="1"/>
    <w:next w:val="1"/>
    <w:link w:val="77"/>
    <w:unhideWhenUsed/>
    <w:qFormat/>
    <w:uiPriority w:val="0"/>
    <w:pPr>
      <w:tabs>
        <w:tab w:val="left" w:pos="985"/>
      </w:tabs>
      <w:spacing w:beforeLines="50" w:line="360" w:lineRule="auto"/>
      <w:outlineLvl w:val="3"/>
    </w:pPr>
    <w:rPr>
      <w:rFonts w:ascii="Arial" w:hAnsi="Arial" w:cs="宋体"/>
      <w:sz w:val="30"/>
      <w:szCs w:val="28"/>
      <w:lang w:val="zh-CN"/>
    </w:rPr>
  </w:style>
  <w:style w:type="paragraph" w:styleId="6">
    <w:name w:val="heading 5"/>
    <w:basedOn w:val="1"/>
    <w:next w:val="1"/>
    <w:link w:val="78"/>
    <w:unhideWhenUsed/>
    <w:qFormat/>
    <w:uiPriority w:val="0"/>
    <w:pPr>
      <w:keepNext/>
      <w:keepLines/>
      <w:snapToGrid w:val="0"/>
      <w:spacing w:beforeLines="50" w:line="360" w:lineRule="auto"/>
      <w:jc w:val="left"/>
      <w:outlineLvl w:val="4"/>
    </w:pPr>
    <w:rPr>
      <w:rFonts w:ascii="Arial" w:hAnsi="Arial" w:eastAsia="黑体" w:cs="宋体"/>
      <w:bCs/>
      <w:sz w:val="28"/>
      <w:szCs w:val="28"/>
    </w:rPr>
  </w:style>
  <w:style w:type="paragraph" w:styleId="7">
    <w:name w:val="heading 6"/>
    <w:basedOn w:val="1"/>
    <w:next w:val="1"/>
    <w:link w:val="79"/>
    <w:unhideWhenUsed/>
    <w:qFormat/>
    <w:uiPriority w:val="0"/>
    <w:pPr>
      <w:keepNext/>
      <w:keepLines/>
      <w:spacing w:before="240" w:after="64" w:line="319" w:lineRule="auto"/>
      <w:outlineLvl w:val="5"/>
    </w:pPr>
    <w:rPr>
      <w:rFonts w:ascii="Arial" w:hAnsi="Arial" w:eastAsia="黑体" w:cs="宋体"/>
      <w:sz w:val="24"/>
      <w:szCs w:val="20"/>
    </w:rPr>
  </w:style>
  <w:style w:type="paragraph" w:styleId="8">
    <w:name w:val="heading 7"/>
    <w:basedOn w:val="1"/>
    <w:next w:val="1"/>
    <w:link w:val="80"/>
    <w:unhideWhenUsed/>
    <w:qFormat/>
    <w:uiPriority w:val="0"/>
    <w:pPr>
      <w:keepNext/>
      <w:keepLines/>
      <w:spacing w:before="120" w:after="64" w:line="360" w:lineRule="auto"/>
      <w:jc w:val="left"/>
      <w:outlineLvl w:val="6"/>
    </w:pPr>
    <w:rPr>
      <w:rFonts w:ascii="Arial" w:hAnsi="Arial" w:cs="宋体"/>
      <w:bCs/>
      <w:sz w:val="24"/>
      <w:lang w:eastAsia="en-US"/>
    </w:rPr>
  </w:style>
  <w:style w:type="paragraph" w:styleId="9">
    <w:name w:val="heading 8"/>
    <w:basedOn w:val="1"/>
    <w:next w:val="1"/>
    <w:link w:val="81"/>
    <w:unhideWhenUsed/>
    <w:qFormat/>
    <w:uiPriority w:val="0"/>
    <w:pPr>
      <w:keepNext/>
      <w:keepLines/>
      <w:spacing w:before="240" w:after="64" w:line="316" w:lineRule="auto"/>
      <w:jc w:val="left"/>
      <w:outlineLvl w:val="7"/>
    </w:pPr>
    <w:rPr>
      <w:rFonts w:ascii="Cambria" w:hAnsi="Cambria"/>
      <w:sz w:val="24"/>
      <w:lang w:eastAsia="en-US"/>
    </w:rPr>
  </w:style>
  <w:style w:type="paragraph" w:styleId="10">
    <w:name w:val="heading 9"/>
    <w:basedOn w:val="1"/>
    <w:next w:val="1"/>
    <w:link w:val="82"/>
    <w:unhideWhenUsed/>
    <w:qFormat/>
    <w:uiPriority w:val="9"/>
    <w:pPr>
      <w:keepNext/>
      <w:keepLines/>
      <w:spacing w:before="240" w:after="64" w:line="319" w:lineRule="auto"/>
      <w:outlineLvl w:val="8"/>
    </w:pPr>
    <w:rPr>
      <w:rFonts w:ascii="Cambria" w:hAnsi="Cambria"/>
      <w:szCs w:val="21"/>
      <w:lang w:eastAsia="en-US"/>
    </w:rPr>
  </w:style>
  <w:style w:type="character" w:default="1" w:styleId="39">
    <w:name w:val="Default Paragraph Font"/>
    <w:semiHidden/>
    <w:unhideWhenUsed/>
    <w:qFormat/>
    <w:uiPriority w:val="1"/>
  </w:style>
  <w:style w:type="table" w:default="1" w:styleId="37">
    <w:name w:val="Normal Table"/>
    <w:semiHidden/>
    <w:unhideWhenUsed/>
    <w:qFormat/>
    <w:uiPriority w:val="99"/>
    <w:tblPr>
      <w:tblCellMar>
        <w:top w:w="0" w:type="dxa"/>
        <w:left w:w="108" w:type="dxa"/>
        <w:bottom w:w="0" w:type="dxa"/>
        <w:right w:w="108" w:type="dxa"/>
      </w:tblCellMar>
    </w:tblPr>
  </w:style>
  <w:style w:type="paragraph" w:styleId="11">
    <w:name w:val="Note Heading"/>
    <w:basedOn w:val="1"/>
    <w:next w:val="1"/>
    <w:qFormat/>
    <w:uiPriority w:val="0"/>
    <w:pPr>
      <w:adjustRightInd w:val="0"/>
      <w:spacing w:line="312" w:lineRule="atLeast"/>
      <w:jc w:val="center"/>
      <w:textAlignment w:val="baseline"/>
    </w:pPr>
    <w:rPr>
      <w:rFonts w:cs="等线"/>
      <w:szCs w:val="21"/>
    </w:rPr>
  </w:style>
  <w:style w:type="paragraph" w:styleId="12">
    <w:name w:val="List Number"/>
    <w:basedOn w:val="1"/>
    <w:qFormat/>
    <w:uiPriority w:val="0"/>
    <w:pPr>
      <w:numPr>
        <w:ilvl w:val="0"/>
        <w:numId w:val="1"/>
      </w:numPr>
    </w:pPr>
  </w:style>
  <w:style w:type="paragraph" w:styleId="13">
    <w:name w:val="Normal Indent"/>
    <w:basedOn w:val="1"/>
    <w:next w:val="14"/>
    <w:link w:val="52"/>
    <w:qFormat/>
    <w:uiPriority w:val="0"/>
    <w:pPr>
      <w:ind w:firstLine="420"/>
    </w:pPr>
    <w:rPr>
      <w:rFonts w:ascii="宋体" w:hAnsi="宋体"/>
      <w:szCs w:val="20"/>
    </w:rPr>
  </w:style>
  <w:style w:type="paragraph" w:styleId="14">
    <w:name w:val="Body Text Indent"/>
    <w:basedOn w:val="1"/>
    <w:next w:val="13"/>
    <w:link w:val="58"/>
    <w:qFormat/>
    <w:uiPriority w:val="0"/>
    <w:pPr>
      <w:spacing w:after="120"/>
      <w:ind w:left="420" w:leftChars="200"/>
    </w:pPr>
    <w:rPr>
      <w:rFonts w:ascii="宋体" w:hAnsi="宋体"/>
    </w:rPr>
  </w:style>
  <w:style w:type="paragraph" w:styleId="15">
    <w:name w:val="caption"/>
    <w:basedOn w:val="1"/>
    <w:next w:val="1"/>
    <w:qFormat/>
    <w:uiPriority w:val="0"/>
    <w:pPr>
      <w:spacing w:before="152" w:after="160"/>
    </w:pPr>
    <w:rPr>
      <w:rFonts w:ascii="Arial" w:hAnsi="Arial" w:eastAsia="黑体" w:cs="Arial"/>
      <w:sz w:val="20"/>
      <w:szCs w:val="20"/>
    </w:rPr>
  </w:style>
  <w:style w:type="paragraph" w:styleId="16">
    <w:name w:val="annotation text"/>
    <w:basedOn w:val="1"/>
    <w:link w:val="63"/>
    <w:qFormat/>
    <w:uiPriority w:val="0"/>
    <w:pPr>
      <w:jc w:val="left"/>
    </w:pPr>
    <w:rPr>
      <w:rFonts w:ascii="宋体" w:hAnsi="宋体"/>
    </w:rPr>
  </w:style>
  <w:style w:type="paragraph" w:styleId="17">
    <w:name w:val="Salutation"/>
    <w:basedOn w:val="1"/>
    <w:next w:val="1"/>
    <w:link w:val="89"/>
    <w:qFormat/>
    <w:uiPriority w:val="0"/>
    <w:pPr>
      <w:spacing w:line="520" w:lineRule="exact"/>
    </w:pPr>
    <w:rPr>
      <w:rFonts w:ascii="华文宋体" w:hAnsi="Arial Unicode MS" w:eastAsia="华文宋体"/>
      <w:sz w:val="24"/>
      <w:szCs w:val="20"/>
    </w:rPr>
  </w:style>
  <w:style w:type="paragraph" w:styleId="18">
    <w:name w:val="Body Text"/>
    <w:basedOn w:val="1"/>
    <w:next w:val="19"/>
    <w:link w:val="68"/>
    <w:qFormat/>
    <w:uiPriority w:val="0"/>
    <w:pPr>
      <w:spacing w:after="120"/>
    </w:pPr>
    <w:rPr>
      <w:rFonts w:ascii="宋体" w:hAnsi="宋体"/>
    </w:rPr>
  </w:style>
  <w:style w:type="paragraph" w:styleId="19">
    <w:name w:val="Body Text First Indent"/>
    <w:basedOn w:val="18"/>
    <w:next w:val="1"/>
    <w:qFormat/>
    <w:uiPriority w:val="0"/>
    <w:pPr>
      <w:ind w:firstLine="420" w:firstLineChars="100"/>
    </w:pPr>
  </w:style>
  <w:style w:type="paragraph" w:styleId="20">
    <w:name w:val="Block Text"/>
    <w:basedOn w:val="1"/>
    <w:qFormat/>
    <w:uiPriority w:val="0"/>
    <w:pPr>
      <w:ind w:left="1200" w:right="-72" w:hanging="30"/>
    </w:pPr>
    <w:rPr>
      <w:rFonts w:ascii="Arial" w:hAnsi="Arial" w:eastAsia="幼圆" w:cs="Arial"/>
      <w:sz w:val="22"/>
      <w:szCs w:val="20"/>
    </w:rPr>
  </w:style>
  <w:style w:type="paragraph" w:styleId="21">
    <w:name w:val="List Bullet 2"/>
    <w:basedOn w:val="1"/>
    <w:semiHidden/>
    <w:unhideWhenUsed/>
    <w:qFormat/>
    <w:uiPriority w:val="0"/>
    <w:pPr>
      <w:numPr>
        <w:ilvl w:val="0"/>
        <w:numId w:val="2"/>
      </w:numPr>
    </w:pPr>
  </w:style>
  <w:style w:type="paragraph" w:styleId="22">
    <w:name w:val="index 4"/>
    <w:basedOn w:val="1"/>
    <w:next w:val="1"/>
    <w:unhideWhenUsed/>
    <w:qFormat/>
    <w:uiPriority w:val="99"/>
    <w:pPr>
      <w:ind w:left="600" w:leftChars="600"/>
    </w:pPr>
    <w:rPr>
      <w:rFonts w:ascii="Times New Roman" w:hAnsi="Times New Roman"/>
      <w:kern w:val="0"/>
      <w:sz w:val="22"/>
      <w:szCs w:val="22"/>
    </w:rPr>
  </w:style>
  <w:style w:type="paragraph" w:styleId="23">
    <w:name w:val="Plain Text"/>
    <w:basedOn w:val="1"/>
    <w:next w:val="1"/>
    <w:link w:val="69"/>
    <w:qFormat/>
    <w:uiPriority w:val="0"/>
    <w:rPr>
      <w:rFonts w:ascii="宋体" w:hAnsi="Courier New"/>
      <w:szCs w:val="20"/>
    </w:rPr>
  </w:style>
  <w:style w:type="paragraph" w:styleId="24">
    <w:name w:val="Date"/>
    <w:basedOn w:val="1"/>
    <w:next w:val="1"/>
    <w:qFormat/>
    <w:uiPriority w:val="0"/>
    <w:rPr>
      <w:rFonts w:ascii="黑体"/>
      <w:kern w:val="44"/>
      <w:position w:val="6"/>
      <w:szCs w:val="20"/>
    </w:rPr>
  </w:style>
  <w:style w:type="paragraph" w:styleId="25">
    <w:name w:val="Body Text Indent 2"/>
    <w:basedOn w:val="1"/>
    <w:qFormat/>
    <w:uiPriority w:val="0"/>
    <w:pPr>
      <w:tabs>
        <w:tab w:val="left" w:pos="0"/>
        <w:tab w:val="left" w:pos="720"/>
        <w:tab w:val="left" w:pos="2160"/>
        <w:tab w:val="left" w:pos="2880"/>
        <w:tab w:val="left" w:pos="3600"/>
        <w:tab w:val="left" w:pos="4320"/>
        <w:tab w:val="left" w:pos="5040"/>
        <w:tab w:val="left" w:pos="5760"/>
      </w:tabs>
      <w:autoSpaceDE w:val="0"/>
      <w:autoSpaceDN w:val="0"/>
      <w:adjustRightInd w:val="0"/>
      <w:spacing w:line="360" w:lineRule="auto"/>
      <w:ind w:right="71" w:rightChars="34" w:firstLine="480" w:firstLineChars="200"/>
      <w:jc w:val="left"/>
    </w:pPr>
    <w:rPr>
      <w:rFonts w:ascii="宋体"/>
      <w:color w:val="000000"/>
      <w:kern w:val="0"/>
      <w:sz w:val="24"/>
      <w:szCs w:val="20"/>
    </w:rPr>
  </w:style>
  <w:style w:type="paragraph" w:styleId="26">
    <w:name w:val="Balloon Text"/>
    <w:basedOn w:val="1"/>
    <w:qFormat/>
    <w:uiPriority w:val="0"/>
    <w:rPr>
      <w:sz w:val="18"/>
      <w:szCs w:val="18"/>
    </w:rPr>
  </w:style>
  <w:style w:type="paragraph" w:styleId="27">
    <w:name w:val="footer"/>
    <w:basedOn w:val="1"/>
    <w:link w:val="70"/>
    <w:qFormat/>
    <w:uiPriority w:val="99"/>
    <w:pPr>
      <w:tabs>
        <w:tab w:val="center" w:pos="4153"/>
        <w:tab w:val="right" w:pos="8306"/>
      </w:tabs>
      <w:snapToGrid w:val="0"/>
      <w:jc w:val="left"/>
    </w:pPr>
    <w:rPr>
      <w:rFonts w:ascii="宋体" w:hAnsi="宋体"/>
      <w:sz w:val="18"/>
      <w:szCs w:val="18"/>
    </w:rPr>
  </w:style>
  <w:style w:type="paragraph" w:styleId="28">
    <w:name w:val="header"/>
    <w:basedOn w:val="1"/>
    <w:link w:val="53"/>
    <w:qFormat/>
    <w:uiPriority w:val="0"/>
    <w:pPr>
      <w:pBdr>
        <w:bottom w:val="single" w:color="auto" w:sz="6" w:space="1"/>
      </w:pBdr>
      <w:tabs>
        <w:tab w:val="center" w:pos="4153"/>
        <w:tab w:val="right" w:pos="8306"/>
      </w:tabs>
      <w:snapToGrid w:val="0"/>
      <w:jc w:val="center"/>
    </w:pPr>
    <w:rPr>
      <w:rFonts w:ascii="宋体" w:hAnsi="宋体"/>
      <w:sz w:val="18"/>
      <w:szCs w:val="18"/>
    </w:rPr>
  </w:style>
  <w:style w:type="paragraph" w:styleId="29">
    <w:name w:val="toc 1"/>
    <w:basedOn w:val="1"/>
    <w:next w:val="1"/>
    <w:qFormat/>
    <w:uiPriority w:val="39"/>
  </w:style>
  <w:style w:type="paragraph" w:styleId="30">
    <w:name w:val="List"/>
    <w:basedOn w:val="1"/>
    <w:qFormat/>
    <w:uiPriority w:val="0"/>
    <w:pPr>
      <w:ind w:left="200" w:hanging="200" w:hangingChars="200"/>
      <w:contextualSpacing/>
    </w:pPr>
  </w:style>
  <w:style w:type="paragraph" w:styleId="31">
    <w:name w:val="Body Text Indent 3"/>
    <w:basedOn w:val="1"/>
    <w:link w:val="51"/>
    <w:qFormat/>
    <w:uiPriority w:val="0"/>
    <w:pPr>
      <w:spacing w:after="120"/>
      <w:ind w:left="420" w:leftChars="200"/>
    </w:pPr>
    <w:rPr>
      <w:rFonts w:ascii="宋体" w:hAnsi="宋体"/>
      <w:sz w:val="16"/>
      <w:szCs w:val="16"/>
    </w:rPr>
  </w:style>
  <w:style w:type="paragraph" w:styleId="32">
    <w:name w:val="Body Text 2"/>
    <w:basedOn w:val="1"/>
    <w:qFormat/>
    <w:uiPriority w:val="0"/>
    <w:pPr>
      <w:spacing w:after="120" w:line="480" w:lineRule="auto"/>
    </w:pPr>
  </w:style>
  <w:style w:type="paragraph" w:styleId="33">
    <w:name w:val="Normal (Web)"/>
    <w:basedOn w:val="1"/>
    <w:qFormat/>
    <w:uiPriority w:val="0"/>
    <w:pPr>
      <w:spacing w:before="100" w:beforeAutospacing="1" w:after="100" w:afterAutospacing="1"/>
    </w:pPr>
    <w:rPr>
      <w:rFonts w:ascii="宋体" w:hAnsi="宋体"/>
    </w:rPr>
  </w:style>
  <w:style w:type="paragraph" w:styleId="34">
    <w:name w:val="Title"/>
    <w:basedOn w:val="1"/>
    <w:next w:val="1"/>
    <w:link w:val="116"/>
    <w:qFormat/>
    <w:uiPriority w:val="0"/>
    <w:pPr>
      <w:spacing w:before="240" w:after="60"/>
      <w:jc w:val="center"/>
      <w:outlineLvl w:val="0"/>
    </w:pPr>
    <w:rPr>
      <w:rFonts w:ascii="Cambria" w:hAnsi="Cambria"/>
      <w:b/>
      <w:bCs/>
      <w:sz w:val="32"/>
      <w:szCs w:val="32"/>
    </w:rPr>
  </w:style>
  <w:style w:type="paragraph" w:styleId="35">
    <w:name w:val="annotation subject"/>
    <w:basedOn w:val="16"/>
    <w:next w:val="16"/>
    <w:link w:val="108"/>
    <w:unhideWhenUsed/>
    <w:qFormat/>
    <w:uiPriority w:val="0"/>
    <w:rPr>
      <w:rFonts w:ascii="Calibri" w:hAnsi="Calibri"/>
      <w:b/>
      <w:bCs/>
    </w:rPr>
  </w:style>
  <w:style w:type="paragraph" w:styleId="36">
    <w:name w:val="Body Text First Indent 2"/>
    <w:basedOn w:val="14"/>
    <w:next w:val="1"/>
    <w:link w:val="64"/>
    <w:qFormat/>
    <w:uiPriority w:val="0"/>
    <w:pPr>
      <w:ind w:firstLine="420" w:firstLineChars="200"/>
    </w:pPr>
  </w:style>
  <w:style w:type="table" w:styleId="38">
    <w:name w:val="Table Grid"/>
    <w:basedOn w:val="3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0">
    <w:name w:val="Strong"/>
    <w:qFormat/>
    <w:uiPriority w:val="0"/>
    <w:rPr>
      <w:b/>
      <w:bCs/>
    </w:rPr>
  </w:style>
  <w:style w:type="character" w:styleId="41">
    <w:name w:val="page number"/>
    <w:basedOn w:val="39"/>
    <w:qFormat/>
    <w:uiPriority w:val="0"/>
  </w:style>
  <w:style w:type="character" w:styleId="42">
    <w:name w:val="FollowedHyperlink"/>
    <w:qFormat/>
    <w:uiPriority w:val="0"/>
    <w:rPr>
      <w:color w:val="800080"/>
      <w:u w:val="single"/>
    </w:rPr>
  </w:style>
  <w:style w:type="character" w:styleId="43">
    <w:name w:val="Hyperlink"/>
    <w:qFormat/>
    <w:uiPriority w:val="0"/>
    <w:rPr>
      <w:color w:val="0000FF"/>
      <w:u w:val="single"/>
    </w:rPr>
  </w:style>
  <w:style w:type="character" w:styleId="44">
    <w:name w:val="annotation reference"/>
    <w:basedOn w:val="39"/>
    <w:qFormat/>
    <w:uiPriority w:val="0"/>
    <w:rPr>
      <w:sz w:val="21"/>
      <w:szCs w:val="21"/>
    </w:rPr>
  </w:style>
  <w:style w:type="paragraph" w:customStyle="1" w:styleId="45">
    <w:name w:val="标准正文"/>
    <w:basedOn w:val="1"/>
    <w:qFormat/>
    <w:uiPriority w:val="0"/>
    <w:pPr>
      <w:spacing w:line="360" w:lineRule="auto"/>
      <w:ind w:firstLine="200" w:firstLineChars="200"/>
    </w:pPr>
    <w:rPr>
      <w:rFonts w:ascii="Times New Roman" w:hAnsi="Times New Roman"/>
      <w:szCs w:val="20"/>
    </w:rPr>
  </w:style>
  <w:style w:type="paragraph" w:customStyle="1" w:styleId="46">
    <w:name w:val="xl53"/>
    <w:basedOn w:val="1"/>
    <w:next w:val="1"/>
    <w:qFormat/>
    <w:uiPriority w:val="99"/>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47">
    <w:name w:val="正文（首行不缩进）"/>
    <w:basedOn w:val="1"/>
    <w:qFormat/>
    <w:uiPriority w:val="0"/>
    <w:pPr>
      <w:spacing w:afterLines="50"/>
    </w:pPr>
    <w:rPr>
      <w:rFonts w:ascii="Times New Roman" w:hAnsi="Times New Roman"/>
      <w:color w:val="000000"/>
    </w:rPr>
  </w:style>
  <w:style w:type="paragraph" w:customStyle="1" w:styleId="48">
    <w:name w:val="表格文字"/>
    <w:basedOn w:val="23"/>
    <w:next w:val="18"/>
    <w:qFormat/>
    <w:uiPriority w:val="0"/>
    <w:pPr>
      <w:adjustRightInd w:val="0"/>
      <w:spacing w:line="420" w:lineRule="atLeast"/>
      <w:jc w:val="left"/>
      <w:textAlignment w:val="baseline"/>
    </w:pPr>
    <w:rPr>
      <w:rFonts w:ascii="Times New Roman" w:hAnsi="Times New Roman"/>
      <w:kern w:val="0"/>
    </w:rPr>
  </w:style>
  <w:style w:type="paragraph" w:customStyle="1" w:styleId="49">
    <w:name w:val="正文（缩进）"/>
    <w:basedOn w:val="1"/>
    <w:qFormat/>
    <w:uiPriority w:val="0"/>
    <w:pPr>
      <w:ind w:firstLine="480"/>
    </w:pPr>
    <w:rPr>
      <w:kern w:val="0"/>
      <w:lang w:val="zh-CN"/>
    </w:rPr>
  </w:style>
  <w:style w:type="paragraph" w:customStyle="1" w:styleId="50">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51">
    <w:name w:val="正文文本缩进 3 Char"/>
    <w:link w:val="31"/>
    <w:qFormat/>
    <w:locked/>
    <w:uiPriority w:val="0"/>
    <w:rPr>
      <w:rFonts w:ascii="宋体" w:hAnsi="宋体" w:eastAsia="宋体"/>
      <w:kern w:val="2"/>
      <w:sz w:val="16"/>
      <w:szCs w:val="16"/>
      <w:lang w:val="en-US" w:eastAsia="zh-CN" w:bidi="ar-SA"/>
    </w:rPr>
  </w:style>
  <w:style w:type="character" w:customStyle="1" w:styleId="52">
    <w:name w:val="正文缩进 Char"/>
    <w:link w:val="13"/>
    <w:qFormat/>
    <w:locked/>
    <w:uiPriority w:val="0"/>
    <w:rPr>
      <w:rFonts w:ascii="宋体" w:hAnsi="宋体" w:eastAsia="宋体"/>
      <w:kern w:val="2"/>
      <w:sz w:val="21"/>
      <w:lang w:val="en-US" w:eastAsia="zh-CN" w:bidi="ar-SA"/>
    </w:rPr>
  </w:style>
  <w:style w:type="character" w:customStyle="1" w:styleId="53">
    <w:name w:val="页眉 Char"/>
    <w:link w:val="28"/>
    <w:qFormat/>
    <w:locked/>
    <w:uiPriority w:val="0"/>
    <w:rPr>
      <w:rFonts w:ascii="宋体" w:hAnsi="宋体" w:eastAsia="宋体"/>
      <w:kern w:val="2"/>
      <w:sz w:val="18"/>
      <w:szCs w:val="18"/>
      <w:lang w:val="en-US" w:eastAsia="zh-CN" w:bidi="ar-SA"/>
    </w:rPr>
  </w:style>
  <w:style w:type="character" w:customStyle="1" w:styleId="54">
    <w:name w:val="表格非标题文字 Char"/>
    <w:link w:val="55"/>
    <w:qFormat/>
    <w:locked/>
    <w:uiPriority w:val="0"/>
    <w:rPr>
      <w:rFonts w:ascii="Futura Bk" w:hAnsi="Futura Bk"/>
      <w:kern w:val="2"/>
      <w:sz w:val="18"/>
      <w:szCs w:val="21"/>
      <w:lang w:val="en-US" w:eastAsia="zh-CN" w:bidi="ar-SA"/>
    </w:rPr>
  </w:style>
  <w:style w:type="paragraph" w:customStyle="1" w:styleId="55">
    <w:name w:val="表格非标题文字"/>
    <w:link w:val="54"/>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56">
    <w:name w:val="!我的正文 Ctr+Q Char"/>
    <w:link w:val="57"/>
    <w:qFormat/>
    <w:locked/>
    <w:uiPriority w:val="0"/>
    <w:rPr>
      <w:rFonts w:ascii="Arial" w:hAnsi="Arial" w:eastAsia="宋体" w:cs="Arial"/>
      <w:kern w:val="2"/>
      <w:sz w:val="24"/>
      <w:szCs w:val="21"/>
      <w:lang w:val="en-US" w:eastAsia="zh-CN" w:bidi="ar-SA"/>
    </w:rPr>
  </w:style>
  <w:style w:type="paragraph" w:customStyle="1" w:styleId="57">
    <w:name w:val="!我的正文 Ctr+Q"/>
    <w:basedOn w:val="1"/>
    <w:link w:val="56"/>
    <w:qFormat/>
    <w:uiPriority w:val="0"/>
    <w:pPr>
      <w:adjustRightInd w:val="0"/>
      <w:snapToGrid w:val="0"/>
      <w:spacing w:line="360" w:lineRule="auto"/>
      <w:ind w:firstLine="480" w:firstLineChars="200"/>
    </w:pPr>
    <w:rPr>
      <w:rFonts w:ascii="Arial" w:hAnsi="Arial" w:cs="Arial"/>
      <w:sz w:val="24"/>
      <w:szCs w:val="21"/>
    </w:rPr>
  </w:style>
  <w:style w:type="character" w:customStyle="1" w:styleId="58">
    <w:name w:val="正文文本缩进 Char"/>
    <w:link w:val="14"/>
    <w:qFormat/>
    <w:locked/>
    <w:uiPriority w:val="0"/>
    <w:rPr>
      <w:rFonts w:ascii="宋体" w:hAnsi="宋体" w:eastAsia="宋体"/>
      <w:kern w:val="2"/>
      <w:sz w:val="21"/>
      <w:szCs w:val="24"/>
      <w:lang w:val="en-US" w:eastAsia="zh-CN" w:bidi="ar-SA"/>
    </w:rPr>
  </w:style>
  <w:style w:type="character" w:customStyle="1" w:styleId="59">
    <w:name w:val="标题 3 Char"/>
    <w:link w:val="4"/>
    <w:semiHidden/>
    <w:qFormat/>
    <w:uiPriority w:val="0"/>
    <w:rPr>
      <w:rFonts w:ascii="黑体" w:hAnsi="黑体" w:eastAsia="黑体"/>
      <w:b/>
      <w:sz w:val="28"/>
    </w:rPr>
  </w:style>
  <w:style w:type="character" w:customStyle="1" w:styleId="60">
    <w:name w:val="标题 2 Char"/>
    <w:link w:val="3"/>
    <w:qFormat/>
    <w:uiPriority w:val="0"/>
    <w:rPr>
      <w:rFonts w:ascii="宋体" w:hAnsi="宋体" w:cs="宋体"/>
      <w:b/>
      <w:bCs/>
      <w:kern w:val="0"/>
      <w:sz w:val="36"/>
      <w:szCs w:val="44"/>
    </w:rPr>
  </w:style>
  <w:style w:type="character" w:customStyle="1" w:styleId="61">
    <w:name w:val="CM-正文 Char"/>
    <w:link w:val="62"/>
    <w:qFormat/>
    <w:locked/>
    <w:uiPriority w:val="0"/>
    <w:rPr>
      <w:rFonts w:ascii="宋体" w:hAnsi="宋体"/>
      <w:kern w:val="2"/>
      <w:sz w:val="24"/>
      <w:szCs w:val="24"/>
      <w:lang w:val="en-US" w:eastAsia="zh-CN" w:bidi="ar-SA"/>
    </w:rPr>
  </w:style>
  <w:style w:type="paragraph" w:customStyle="1" w:styleId="62">
    <w:name w:val="CM-正文"/>
    <w:link w:val="61"/>
    <w:qFormat/>
    <w:uiPriority w:val="0"/>
    <w:pPr>
      <w:spacing w:line="400" w:lineRule="atLeast"/>
      <w:ind w:firstLine="200" w:firstLineChars="200"/>
    </w:pPr>
    <w:rPr>
      <w:rFonts w:ascii="宋体" w:hAnsi="宋体" w:eastAsia="宋体" w:cs="Times New Roman"/>
      <w:kern w:val="2"/>
      <w:sz w:val="24"/>
      <w:szCs w:val="24"/>
      <w:lang w:val="en-US" w:eastAsia="zh-CN" w:bidi="ar-SA"/>
    </w:rPr>
  </w:style>
  <w:style w:type="character" w:customStyle="1" w:styleId="63">
    <w:name w:val="批注文字 Char"/>
    <w:link w:val="16"/>
    <w:qFormat/>
    <w:locked/>
    <w:uiPriority w:val="0"/>
    <w:rPr>
      <w:rFonts w:ascii="宋体" w:hAnsi="宋体" w:eastAsia="宋体"/>
      <w:kern w:val="2"/>
      <w:sz w:val="21"/>
      <w:szCs w:val="24"/>
      <w:lang w:val="en-US" w:eastAsia="zh-CN" w:bidi="ar-SA"/>
    </w:rPr>
  </w:style>
  <w:style w:type="character" w:customStyle="1" w:styleId="64">
    <w:name w:val="正文首行缩进 2 Char"/>
    <w:link w:val="36"/>
    <w:qFormat/>
    <w:locked/>
    <w:uiPriority w:val="0"/>
    <w:rPr>
      <w:rFonts w:ascii="宋体" w:hAnsi="宋体" w:eastAsia="宋体"/>
      <w:kern w:val="2"/>
      <w:sz w:val="21"/>
      <w:szCs w:val="24"/>
      <w:lang w:val="en-US" w:eastAsia="zh-CN" w:bidi="ar-SA"/>
    </w:rPr>
  </w:style>
  <w:style w:type="character" w:customStyle="1" w:styleId="65">
    <w:name w:val="标题 2 Char2"/>
    <w:qFormat/>
    <w:uiPriority w:val="0"/>
    <w:rPr>
      <w:rFonts w:ascii="Arial" w:hAnsi="Arial" w:eastAsia="宋体"/>
      <w:b/>
      <w:bCs/>
      <w:kern w:val="2"/>
      <w:sz w:val="28"/>
      <w:szCs w:val="32"/>
      <w:lang w:val="en-US" w:eastAsia="zh-CN" w:bidi="ar-SA"/>
    </w:rPr>
  </w:style>
  <w:style w:type="character" w:customStyle="1" w:styleId="66">
    <w:name w:val="No Spacing Char Char"/>
    <w:link w:val="67"/>
    <w:qFormat/>
    <w:locked/>
    <w:uiPriority w:val="0"/>
    <w:rPr>
      <w:sz w:val="22"/>
      <w:lang w:eastAsia="en-US" w:bidi="ar-SA"/>
    </w:rPr>
  </w:style>
  <w:style w:type="paragraph" w:customStyle="1" w:styleId="67">
    <w:name w:val="无间隔1"/>
    <w:basedOn w:val="1"/>
    <w:link w:val="66"/>
    <w:qFormat/>
    <w:uiPriority w:val="0"/>
    <w:pPr>
      <w:widowControl/>
      <w:jc w:val="left"/>
    </w:pPr>
    <w:rPr>
      <w:kern w:val="0"/>
      <w:sz w:val="22"/>
      <w:szCs w:val="20"/>
      <w:lang w:eastAsia="en-US"/>
    </w:rPr>
  </w:style>
  <w:style w:type="character" w:customStyle="1" w:styleId="68">
    <w:name w:val="正文文本 Char"/>
    <w:link w:val="18"/>
    <w:qFormat/>
    <w:locked/>
    <w:uiPriority w:val="0"/>
    <w:rPr>
      <w:rFonts w:ascii="宋体" w:hAnsi="宋体" w:eastAsia="宋体"/>
      <w:kern w:val="2"/>
      <w:sz w:val="21"/>
      <w:szCs w:val="24"/>
      <w:lang w:val="en-US" w:eastAsia="zh-CN" w:bidi="ar-SA"/>
    </w:rPr>
  </w:style>
  <w:style w:type="character" w:customStyle="1" w:styleId="69">
    <w:name w:val="纯文本 Char"/>
    <w:link w:val="23"/>
    <w:qFormat/>
    <w:locked/>
    <w:uiPriority w:val="0"/>
    <w:rPr>
      <w:rFonts w:ascii="宋体" w:hAnsi="Courier New" w:eastAsia="宋体"/>
      <w:kern w:val="2"/>
      <w:sz w:val="21"/>
      <w:lang w:val="en-US" w:eastAsia="zh-CN" w:bidi="ar-SA"/>
    </w:rPr>
  </w:style>
  <w:style w:type="character" w:customStyle="1" w:styleId="70">
    <w:name w:val="页脚 Char"/>
    <w:link w:val="27"/>
    <w:qFormat/>
    <w:locked/>
    <w:uiPriority w:val="99"/>
    <w:rPr>
      <w:rFonts w:ascii="宋体" w:hAnsi="宋体" w:eastAsia="宋体"/>
      <w:kern w:val="2"/>
      <w:sz w:val="18"/>
      <w:szCs w:val="18"/>
      <w:lang w:val="en-US" w:eastAsia="zh-CN" w:bidi="ar-SA"/>
    </w:rPr>
  </w:style>
  <w:style w:type="paragraph" w:customStyle="1" w:styleId="71">
    <w:name w:val="Char1"/>
    <w:basedOn w:val="1"/>
    <w:qFormat/>
    <w:uiPriority w:val="0"/>
    <w:pPr>
      <w:tabs>
        <w:tab w:val="left" w:pos="432"/>
      </w:tabs>
      <w:spacing w:beforeLines="50" w:afterLines="50"/>
      <w:ind w:left="432" w:hanging="432"/>
    </w:pPr>
    <w:rPr>
      <w:sz w:val="24"/>
    </w:rPr>
  </w:style>
  <w:style w:type="paragraph" w:customStyle="1" w:styleId="72">
    <w:name w:val="正文内容"/>
    <w:basedOn w:val="1"/>
    <w:qFormat/>
    <w:uiPriority w:val="0"/>
    <w:pPr>
      <w:ind w:firstLine="420" w:firstLineChars="200"/>
    </w:pPr>
    <w:rPr>
      <w:rFonts w:ascii="宋体"/>
      <w:sz w:val="28"/>
      <w:szCs w:val="21"/>
    </w:rPr>
  </w:style>
  <w:style w:type="paragraph" w:customStyle="1" w:styleId="73">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74">
    <w:name w:val="正文_13"/>
    <w:qFormat/>
    <w:uiPriority w:val="0"/>
    <w:pPr>
      <w:widowControl w:val="0"/>
      <w:jc w:val="both"/>
    </w:pPr>
    <w:rPr>
      <w:rFonts w:ascii="Calibri" w:hAnsi="Calibri" w:eastAsia="宋体" w:cs="Times New Roman"/>
      <w:kern w:val="2"/>
      <w:sz w:val="21"/>
      <w:szCs w:val="24"/>
      <w:lang w:val="en-US" w:eastAsia="zh-CN" w:bidi="ar-SA"/>
    </w:rPr>
  </w:style>
  <w:style w:type="paragraph" w:customStyle="1" w:styleId="75">
    <w:name w:val="列出段落1"/>
    <w:basedOn w:val="1"/>
    <w:qFormat/>
    <w:uiPriority w:val="34"/>
    <w:pPr>
      <w:ind w:firstLine="420" w:firstLineChars="200"/>
    </w:pPr>
  </w:style>
  <w:style w:type="character" w:customStyle="1" w:styleId="76">
    <w:name w:val="标题 3 Char1"/>
    <w:basedOn w:val="39"/>
    <w:semiHidden/>
    <w:qFormat/>
    <w:uiPriority w:val="0"/>
    <w:rPr>
      <w:rFonts w:cs="Times New Roman"/>
      <w:b/>
      <w:bCs/>
      <w:kern w:val="2"/>
      <w:sz w:val="32"/>
      <w:szCs w:val="32"/>
    </w:rPr>
  </w:style>
  <w:style w:type="character" w:customStyle="1" w:styleId="77">
    <w:name w:val="标题 4 Char"/>
    <w:basedOn w:val="39"/>
    <w:link w:val="5"/>
    <w:semiHidden/>
    <w:qFormat/>
    <w:uiPriority w:val="0"/>
    <w:rPr>
      <w:rFonts w:ascii="Arial" w:hAnsi="Arial" w:eastAsia="黑体" w:cs="宋体"/>
      <w:bCs/>
      <w:kern w:val="2"/>
      <w:sz w:val="30"/>
      <w:szCs w:val="28"/>
      <w:lang w:val="zh-CN" w:eastAsia="zh-CN"/>
    </w:rPr>
  </w:style>
  <w:style w:type="character" w:customStyle="1" w:styleId="78">
    <w:name w:val="标题 5 Char"/>
    <w:basedOn w:val="39"/>
    <w:link w:val="6"/>
    <w:semiHidden/>
    <w:qFormat/>
    <w:uiPriority w:val="0"/>
    <w:rPr>
      <w:rFonts w:ascii="Arial" w:hAnsi="Arial" w:eastAsia="黑体" w:cs="宋体"/>
      <w:bCs/>
      <w:kern w:val="2"/>
      <w:sz w:val="28"/>
      <w:szCs w:val="28"/>
    </w:rPr>
  </w:style>
  <w:style w:type="character" w:customStyle="1" w:styleId="79">
    <w:name w:val="标题 6 Char"/>
    <w:basedOn w:val="39"/>
    <w:link w:val="7"/>
    <w:semiHidden/>
    <w:qFormat/>
    <w:uiPriority w:val="0"/>
    <w:rPr>
      <w:rFonts w:ascii="Arial" w:hAnsi="Arial" w:eastAsia="黑体" w:cs="宋体"/>
      <w:kern w:val="2"/>
      <w:sz w:val="24"/>
    </w:rPr>
  </w:style>
  <w:style w:type="character" w:customStyle="1" w:styleId="80">
    <w:name w:val="标题 7 Char"/>
    <w:basedOn w:val="39"/>
    <w:link w:val="8"/>
    <w:semiHidden/>
    <w:qFormat/>
    <w:uiPriority w:val="0"/>
    <w:rPr>
      <w:rFonts w:ascii="Arial" w:hAnsi="Arial" w:cs="宋体"/>
      <w:bCs/>
      <w:kern w:val="2"/>
      <w:sz w:val="24"/>
      <w:szCs w:val="24"/>
      <w:lang w:eastAsia="en-US"/>
    </w:rPr>
  </w:style>
  <w:style w:type="character" w:customStyle="1" w:styleId="81">
    <w:name w:val="标题 8 Char"/>
    <w:basedOn w:val="39"/>
    <w:link w:val="9"/>
    <w:semiHidden/>
    <w:qFormat/>
    <w:uiPriority w:val="0"/>
    <w:rPr>
      <w:rFonts w:ascii="Cambria" w:hAnsi="Cambria" w:cs="Times New Roman"/>
      <w:kern w:val="2"/>
      <w:sz w:val="24"/>
      <w:szCs w:val="24"/>
      <w:lang w:eastAsia="en-US"/>
    </w:rPr>
  </w:style>
  <w:style w:type="character" w:customStyle="1" w:styleId="82">
    <w:name w:val="标题 9 Char"/>
    <w:basedOn w:val="39"/>
    <w:link w:val="10"/>
    <w:semiHidden/>
    <w:qFormat/>
    <w:uiPriority w:val="9"/>
    <w:rPr>
      <w:rFonts w:ascii="Cambria" w:hAnsi="Cambria" w:cs="Times New Roman"/>
      <w:kern w:val="2"/>
      <w:sz w:val="21"/>
      <w:szCs w:val="21"/>
      <w:lang w:eastAsia="en-US"/>
    </w:rPr>
  </w:style>
  <w:style w:type="character" w:customStyle="1" w:styleId="83">
    <w:name w:val="large1"/>
    <w:qFormat/>
    <w:uiPriority w:val="0"/>
    <w:rPr>
      <w:rFonts w:hint="eastAsia" w:ascii="宋体" w:hAnsi="宋体" w:eastAsia="宋体"/>
      <w:sz w:val="21"/>
      <w:szCs w:val="21"/>
    </w:rPr>
  </w:style>
  <w:style w:type="character" w:customStyle="1" w:styleId="84">
    <w:name w:val="font21"/>
    <w:basedOn w:val="39"/>
    <w:qFormat/>
    <w:uiPriority w:val="0"/>
    <w:rPr>
      <w:rFonts w:hint="eastAsia" w:ascii="宋体" w:hAnsi="宋体" w:eastAsia="宋体" w:cs="宋体"/>
      <w:color w:val="000000"/>
      <w:sz w:val="21"/>
      <w:szCs w:val="21"/>
      <w:u w:val="none"/>
    </w:rPr>
  </w:style>
  <w:style w:type="character" w:customStyle="1" w:styleId="85">
    <w:name w:val="font01"/>
    <w:basedOn w:val="39"/>
    <w:qFormat/>
    <w:uiPriority w:val="0"/>
    <w:rPr>
      <w:rFonts w:hint="default" w:ascii="Calibri" w:hAnsi="Calibri" w:cs="Calibri"/>
      <w:color w:val="000000"/>
      <w:sz w:val="21"/>
      <w:szCs w:val="21"/>
      <w:u w:val="none"/>
    </w:rPr>
  </w:style>
  <w:style w:type="character" w:customStyle="1" w:styleId="86">
    <w:name w:val="纯文本 Char1"/>
    <w:qFormat/>
    <w:uiPriority w:val="99"/>
    <w:rPr>
      <w:rFonts w:ascii="宋体" w:hAnsi="宋体" w:eastAsia="宋体"/>
      <w:kern w:val="2"/>
      <w:sz w:val="21"/>
      <w:szCs w:val="21"/>
      <w:lang w:bidi="ar-SA"/>
    </w:rPr>
  </w:style>
  <w:style w:type="character" w:customStyle="1" w:styleId="87">
    <w:name w:val="标题 1 Char Char"/>
    <w:qFormat/>
    <w:uiPriority w:val="0"/>
    <w:rPr>
      <w:rFonts w:eastAsia="宋体"/>
      <w:b/>
      <w:spacing w:val="-2"/>
      <w:sz w:val="24"/>
      <w:lang w:val="en-US" w:eastAsia="zh-CN" w:bidi="ar-SA"/>
    </w:rPr>
  </w:style>
  <w:style w:type="character" w:customStyle="1" w:styleId="88">
    <w:name w:val="称呼 Char"/>
    <w:qFormat/>
    <w:uiPriority w:val="0"/>
    <w:rPr>
      <w:rFonts w:ascii="华文宋体" w:hAnsi="Arial Unicode MS" w:eastAsia="华文宋体"/>
      <w:kern w:val="2"/>
      <w:sz w:val="24"/>
    </w:rPr>
  </w:style>
  <w:style w:type="character" w:customStyle="1" w:styleId="89">
    <w:name w:val="称呼 Char1"/>
    <w:basedOn w:val="39"/>
    <w:link w:val="17"/>
    <w:qFormat/>
    <w:uiPriority w:val="0"/>
    <w:rPr>
      <w:kern w:val="2"/>
      <w:sz w:val="21"/>
      <w:szCs w:val="24"/>
    </w:rPr>
  </w:style>
  <w:style w:type="paragraph" w:customStyle="1" w:styleId="90">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91">
    <w:name w:val="Table Paragraph"/>
    <w:basedOn w:val="1"/>
    <w:qFormat/>
    <w:uiPriority w:val="1"/>
    <w:pPr>
      <w:jc w:val="left"/>
    </w:pPr>
    <w:rPr>
      <w:kern w:val="0"/>
      <w:sz w:val="22"/>
      <w:szCs w:val="22"/>
      <w:lang w:eastAsia="en-US"/>
    </w:rPr>
  </w:style>
  <w:style w:type="character" w:customStyle="1" w:styleId="92">
    <w:name w:val="font31"/>
    <w:basedOn w:val="39"/>
    <w:qFormat/>
    <w:uiPriority w:val="0"/>
    <w:rPr>
      <w:rFonts w:hint="eastAsia" w:ascii="微软雅黑" w:hAnsi="微软雅黑" w:eastAsia="微软雅黑" w:cs="微软雅黑"/>
      <w:color w:val="000000"/>
      <w:sz w:val="20"/>
      <w:szCs w:val="20"/>
      <w:u w:val="none"/>
    </w:rPr>
  </w:style>
  <w:style w:type="paragraph" w:customStyle="1" w:styleId="93">
    <w:name w:val="WPSOffice手动目录 1"/>
    <w:qFormat/>
    <w:uiPriority w:val="0"/>
    <w:rPr>
      <w:rFonts w:ascii="Times New Roman" w:hAnsi="Times New Roman" w:eastAsia="宋体" w:cs="Times New Roman"/>
      <w:lang w:val="en-US" w:eastAsia="zh-CN" w:bidi="ar-SA"/>
    </w:rPr>
  </w:style>
  <w:style w:type="paragraph" w:customStyle="1" w:styleId="94">
    <w:name w:val="WPSOffice手动目录 2"/>
    <w:qFormat/>
    <w:uiPriority w:val="0"/>
    <w:pPr>
      <w:ind w:left="200" w:leftChars="200"/>
    </w:pPr>
    <w:rPr>
      <w:rFonts w:ascii="Times New Roman" w:hAnsi="Times New Roman" w:eastAsia="宋体" w:cs="Times New Roman"/>
      <w:lang w:val="en-US" w:eastAsia="zh-CN" w:bidi="ar-SA"/>
    </w:rPr>
  </w:style>
  <w:style w:type="character" w:customStyle="1" w:styleId="95">
    <w:name w:val="font81"/>
    <w:basedOn w:val="39"/>
    <w:qFormat/>
    <w:uiPriority w:val="0"/>
    <w:rPr>
      <w:rFonts w:hint="eastAsia" w:ascii="微软雅黑" w:hAnsi="微软雅黑" w:eastAsia="微软雅黑" w:cs="微软雅黑"/>
      <w:color w:val="000000"/>
      <w:sz w:val="16"/>
      <w:szCs w:val="16"/>
      <w:u w:val="none"/>
    </w:rPr>
  </w:style>
  <w:style w:type="character" w:customStyle="1" w:styleId="96">
    <w:name w:val="font11"/>
    <w:basedOn w:val="39"/>
    <w:qFormat/>
    <w:uiPriority w:val="0"/>
    <w:rPr>
      <w:rFonts w:hint="eastAsia" w:ascii="宋体" w:hAnsi="宋体" w:eastAsia="宋体" w:cs="宋体"/>
      <w:color w:val="000000"/>
      <w:sz w:val="21"/>
      <w:szCs w:val="21"/>
      <w:u w:val="none"/>
    </w:rPr>
  </w:style>
  <w:style w:type="character" w:customStyle="1" w:styleId="97">
    <w:name w:val="font71"/>
    <w:basedOn w:val="39"/>
    <w:qFormat/>
    <w:uiPriority w:val="0"/>
    <w:rPr>
      <w:rFonts w:hint="eastAsia" w:ascii="宋体" w:hAnsi="宋体" w:eastAsia="宋体" w:cs="宋体"/>
      <w:color w:val="000000"/>
      <w:sz w:val="22"/>
      <w:szCs w:val="22"/>
      <w:u w:val="none"/>
    </w:rPr>
  </w:style>
  <w:style w:type="character" w:customStyle="1" w:styleId="98">
    <w:name w:val="font132"/>
    <w:basedOn w:val="39"/>
    <w:qFormat/>
    <w:uiPriority w:val="0"/>
    <w:rPr>
      <w:rFonts w:hint="eastAsia" w:ascii="宋体" w:hAnsi="宋体" w:eastAsia="宋体" w:cs="宋体"/>
      <w:color w:val="000000"/>
      <w:sz w:val="24"/>
      <w:szCs w:val="24"/>
      <w:u w:val="none"/>
    </w:rPr>
  </w:style>
  <w:style w:type="character" w:customStyle="1" w:styleId="99">
    <w:name w:val="font112"/>
    <w:basedOn w:val="39"/>
    <w:qFormat/>
    <w:uiPriority w:val="0"/>
    <w:rPr>
      <w:rFonts w:hint="eastAsia" w:ascii="宋体" w:hAnsi="宋体" w:eastAsia="宋体" w:cs="宋体"/>
      <w:color w:val="000000"/>
      <w:sz w:val="24"/>
      <w:szCs w:val="24"/>
      <w:u w:val="none"/>
    </w:rPr>
  </w:style>
  <w:style w:type="character" w:customStyle="1" w:styleId="100">
    <w:name w:val="font41"/>
    <w:basedOn w:val="39"/>
    <w:qFormat/>
    <w:uiPriority w:val="0"/>
    <w:rPr>
      <w:rFonts w:hint="eastAsia" w:ascii="宋体" w:hAnsi="宋体" w:eastAsia="宋体" w:cs="宋体"/>
      <w:color w:val="000000"/>
      <w:sz w:val="20"/>
      <w:szCs w:val="20"/>
      <w:u w:val="none"/>
    </w:rPr>
  </w:style>
  <w:style w:type="paragraph" w:customStyle="1" w:styleId="101">
    <w:name w:val="_Style 115"/>
    <w:basedOn w:val="18"/>
    <w:next w:val="19"/>
    <w:qFormat/>
    <w:uiPriority w:val="0"/>
    <w:pPr>
      <w:ind w:firstLine="420" w:firstLineChars="100"/>
    </w:pPr>
  </w:style>
  <w:style w:type="character" w:customStyle="1" w:styleId="102">
    <w:name w:val="正文缩进 字符"/>
    <w:qFormat/>
    <w:uiPriority w:val="0"/>
    <w:rPr>
      <w:rFonts w:ascii="Times New Roman" w:hAnsi="Times New Roman" w:eastAsia="宋体" w:cs="Times New Roman"/>
      <w:kern w:val="0"/>
      <w:sz w:val="24"/>
      <w:szCs w:val="20"/>
    </w:rPr>
  </w:style>
  <w:style w:type="paragraph" w:customStyle="1" w:styleId="103">
    <w:name w:val="_Style 9"/>
    <w:basedOn w:val="1"/>
    <w:next w:val="75"/>
    <w:qFormat/>
    <w:uiPriority w:val="0"/>
    <w:pPr>
      <w:ind w:firstLine="420" w:firstLineChars="200"/>
    </w:pPr>
    <w:rPr>
      <w:szCs w:val="22"/>
    </w:rPr>
  </w:style>
  <w:style w:type="character" w:customStyle="1" w:styleId="104">
    <w:name w:val="wordstyle1"/>
    <w:basedOn w:val="39"/>
    <w:qFormat/>
    <w:uiPriority w:val="0"/>
    <w:rPr>
      <w:sz w:val="20"/>
      <w:szCs w:val="20"/>
    </w:rPr>
  </w:style>
  <w:style w:type="paragraph" w:styleId="105">
    <w:name w:val="List Paragraph"/>
    <w:basedOn w:val="1"/>
    <w:qFormat/>
    <w:uiPriority w:val="34"/>
    <w:pPr>
      <w:ind w:firstLine="420" w:firstLineChars="200"/>
    </w:pPr>
  </w:style>
  <w:style w:type="character" w:customStyle="1" w:styleId="106">
    <w:name w:val="纯文本 Char3"/>
    <w:qFormat/>
    <w:uiPriority w:val="0"/>
    <w:rPr>
      <w:rFonts w:ascii="宋体" w:hAnsi="Courier New" w:eastAsia="宋体"/>
      <w:kern w:val="2"/>
      <w:sz w:val="24"/>
      <w:szCs w:val="24"/>
      <w:lang w:val="en-US" w:eastAsia="zh-CN" w:bidi="ar-SA"/>
    </w:rPr>
  </w:style>
  <w:style w:type="paragraph" w:customStyle="1" w:styleId="107">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character" w:customStyle="1" w:styleId="108">
    <w:name w:val="批注主题 Char"/>
    <w:basedOn w:val="63"/>
    <w:link w:val="35"/>
    <w:qFormat/>
    <w:uiPriority w:val="0"/>
    <w:rPr>
      <w:rFonts w:ascii="Calibri" w:hAnsi="Calibri" w:eastAsia="宋体"/>
      <w:b/>
      <w:bCs/>
      <w:kern w:val="2"/>
      <w:sz w:val="21"/>
      <w:szCs w:val="24"/>
      <w:lang w:val="en-US" w:eastAsia="zh-CN" w:bidi="ar-SA"/>
    </w:rPr>
  </w:style>
  <w:style w:type="paragraph" w:customStyle="1" w:styleId="109">
    <w:name w:val="列表段落1"/>
    <w:basedOn w:val="1"/>
    <w:qFormat/>
    <w:uiPriority w:val="99"/>
    <w:pPr>
      <w:spacing w:line="360" w:lineRule="auto"/>
      <w:ind w:firstLine="420" w:firstLineChars="200"/>
    </w:pPr>
    <w:rPr>
      <w:sz w:val="24"/>
    </w:rPr>
  </w:style>
  <w:style w:type="paragraph" w:customStyle="1" w:styleId="110">
    <w:name w:val="纯文本1"/>
    <w:basedOn w:val="1"/>
    <w:qFormat/>
    <w:uiPriority w:val="0"/>
    <w:rPr>
      <w:rFonts w:ascii="宋体" w:hAnsi="Courier New"/>
    </w:rPr>
  </w:style>
  <w:style w:type="character" w:customStyle="1" w:styleId="111">
    <w:name w:val="font51"/>
    <w:basedOn w:val="39"/>
    <w:qFormat/>
    <w:uiPriority w:val="0"/>
    <w:rPr>
      <w:rFonts w:hint="eastAsia" w:ascii="宋体" w:hAnsi="宋体" w:eastAsia="宋体" w:cs="宋体"/>
      <w:color w:val="000000"/>
      <w:sz w:val="24"/>
      <w:szCs w:val="24"/>
      <w:u w:val="none"/>
    </w:rPr>
  </w:style>
  <w:style w:type="paragraph" w:customStyle="1" w:styleId="112">
    <w:name w:val="Style1"/>
    <w:next w:val="113"/>
    <w:qFormat/>
    <w:uiPriority w:val="0"/>
    <w:pPr>
      <w:numPr>
        <w:ilvl w:val="0"/>
        <w:numId w:val="3"/>
      </w:numPr>
      <w:tabs>
        <w:tab w:val="left" w:pos="720"/>
        <w:tab w:val="left" w:pos="1616"/>
        <w:tab w:val="left" w:pos="1914"/>
        <w:tab w:val="left" w:pos="2162"/>
        <w:tab w:val="left" w:pos="2411"/>
        <w:tab w:val="left" w:pos="2880"/>
        <w:tab w:val="left" w:pos="3600"/>
        <w:tab w:val="left" w:pos="3685"/>
        <w:tab w:val="left" w:pos="4320"/>
        <w:tab w:val="right" w:pos="4536"/>
        <w:tab w:val="left" w:pos="4819"/>
        <w:tab w:val="left" w:pos="5040"/>
        <w:tab w:val="left" w:pos="5760"/>
        <w:tab w:val="left" w:pos="5952"/>
        <w:tab w:val="left" w:pos="6480"/>
        <w:tab w:val="left" w:pos="7177"/>
        <w:tab w:val="left" w:pos="7920"/>
        <w:tab w:val="left" w:pos="8220"/>
        <w:tab w:val="left" w:pos="864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line="360" w:lineRule="auto"/>
      <w:jc w:val="center"/>
    </w:pPr>
    <w:rPr>
      <w:rFonts w:ascii="Calibri" w:hAnsi="Calibri" w:eastAsia="宋体" w:cs="宋体"/>
      <w:b/>
      <w:kern w:val="24"/>
      <w:sz w:val="24"/>
      <w:lang w:val="en-GB" w:eastAsia="zh-CN" w:bidi="ar-SA"/>
    </w:rPr>
  </w:style>
  <w:style w:type="paragraph" w:customStyle="1" w:styleId="113">
    <w:name w:val="*正文"/>
    <w:basedOn w:val="1"/>
    <w:qFormat/>
    <w:uiPriority w:val="0"/>
    <w:pPr>
      <w:ind w:firstLine="200" w:firstLineChars="200"/>
    </w:pPr>
    <w:rPr>
      <w:rFonts w:ascii="宋体"/>
      <w:szCs w:val="22"/>
    </w:rPr>
  </w:style>
  <w:style w:type="paragraph" w:customStyle="1" w:styleId="114">
    <w:name w:val="Text 1"/>
    <w:basedOn w:val="23"/>
    <w:qFormat/>
    <w:uiPriority w:val="0"/>
    <w:pPr>
      <w:numPr>
        <w:ilvl w:val="0"/>
        <w:numId w:val="4"/>
      </w:numPr>
      <w:ind w:left="839" w:hanging="357"/>
      <w:jc w:val="left"/>
    </w:pPr>
  </w:style>
  <w:style w:type="character" w:customStyle="1" w:styleId="115">
    <w:name w:val="不明显参考1"/>
    <w:qFormat/>
    <w:uiPriority w:val="31"/>
    <w:rPr>
      <w:smallCaps/>
      <w:color w:val="585858"/>
    </w:rPr>
  </w:style>
  <w:style w:type="character" w:customStyle="1" w:styleId="116">
    <w:name w:val="标题 Char"/>
    <w:basedOn w:val="39"/>
    <w:link w:val="34"/>
    <w:qFormat/>
    <w:uiPriority w:val="0"/>
    <w:rPr>
      <w:rFonts w:ascii="Cambria" w:hAnsi="Cambria"/>
      <w:b/>
      <w:bCs/>
      <w:kern w:val="2"/>
      <w:sz w:val="32"/>
      <w:szCs w:val="32"/>
    </w:rPr>
  </w:style>
  <w:style w:type="character" w:customStyle="1" w:styleId="117">
    <w:name w:val="列出段落 Char2"/>
    <w:link w:val="118"/>
    <w:qFormat/>
    <w:uiPriority w:val="0"/>
    <w:rPr>
      <w:kern w:val="2"/>
      <w:sz w:val="21"/>
    </w:rPr>
  </w:style>
  <w:style w:type="paragraph" w:customStyle="1" w:styleId="118">
    <w:name w:val="列出段落3"/>
    <w:basedOn w:val="1"/>
    <w:link w:val="117"/>
    <w:qFormat/>
    <w:uiPriority w:val="0"/>
    <w:pPr>
      <w:ind w:firstLine="420" w:firstLineChars="200"/>
    </w:pPr>
    <w:rPr>
      <w:rFonts w:ascii="Times New Roman" w:hAnsi="Times New Roman"/>
      <w:szCs w:val="20"/>
    </w:rPr>
  </w:style>
  <w:style w:type="paragraph" w:customStyle="1" w:styleId="119">
    <w:name w:val="采购正文"/>
    <w:qFormat/>
    <w:uiPriority w:val="0"/>
    <w:pPr>
      <w:widowControl w:val="0"/>
      <w:snapToGrid w:val="0"/>
      <w:spacing w:line="560" w:lineRule="exact"/>
      <w:ind w:firstLine="200" w:firstLineChars="200"/>
      <w:jc w:val="both"/>
    </w:pPr>
    <w:rPr>
      <w:rFonts w:ascii="仿宋" w:hAnsi="仿宋" w:eastAsia="仿宋" w:cs="Times New Roman"/>
      <w:sz w:val="24"/>
      <w:szCs w:val="24"/>
      <w:lang w:val="en-US" w:eastAsia="zh-CN" w:bidi="ar-SA"/>
    </w:rPr>
  </w:style>
  <w:style w:type="paragraph" w:customStyle="1" w:styleId="120">
    <w:name w:val="章正文"/>
    <w:basedOn w:val="1"/>
    <w:qFormat/>
    <w:uiPriority w:val="0"/>
    <w:pPr>
      <w:spacing w:beforeLines="50" w:after="120" w:line="300" w:lineRule="auto"/>
      <w:ind w:firstLine="480"/>
    </w:pPr>
    <w:rPr>
      <w:rFonts w:ascii="Helvetica" w:hAnsi="Helvetica"/>
      <w:kern w:val="0"/>
      <w:sz w:val="24"/>
    </w:rPr>
  </w:style>
  <w:style w:type="paragraph" w:customStyle="1" w:styleId="121">
    <w:name w:val="列表段落2"/>
    <w:basedOn w:val="1"/>
    <w:qFormat/>
    <w:uiPriority w:val="99"/>
    <w:pPr>
      <w:ind w:firstLine="420" w:firstLineChars="200"/>
    </w:pPr>
    <w:rPr>
      <w:szCs w:val="20"/>
    </w:rPr>
  </w:style>
  <w:style w:type="character" w:customStyle="1" w:styleId="122">
    <w:name w:val="font91"/>
    <w:basedOn w:val="39"/>
    <w:qFormat/>
    <w:uiPriority w:val="0"/>
    <w:rPr>
      <w:rFonts w:hint="eastAsia" w:ascii="宋体" w:hAnsi="宋体" w:eastAsia="宋体" w:cs="宋体"/>
      <w:color w:val="000000"/>
      <w:sz w:val="21"/>
      <w:szCs w:val="21"/>
      <w:u w:val="none"/>
    </w:rPr>
  </w:style>
  <w:style w:type="character" w:customStyle="1" w:styleId="123">
    <w:name w:val="font61"/>
    <w:basedOn w:val="39"/>
    <w:uiPriority w:val="0"/>
    <w:rPr>
      <w:rFonts w:hint="default" w:ascii="Calibri" w:hAnsi="Calibri" w:cs="Calibri"/>
      <w:color w:val="000000"/>
      <w:sz w:val="21"/>
      <w:szCs w:val="21"/>
      <w:u w:val="none"/>
    </w:rPr>
  </w:style>
  <w:style w:type="character" w:customStyle="1" w:styleId="124">
    <w:name w:val="font101"/>
    <w:basedOn w:val="39"/>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2.png"/><Relationship Id="rId7" Type="http://schemas.openxmlformats.org/officeDocument/2006/relationships/image" Target="media/image1.png"/><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1</Pages>
  <Words>5986</Words>
  <Characters>34124</Characters>
  <Lines>284</Lines>
  <Paragraphs>80</Paragraphs>
  <TotalTime>51</TotalTime>
  <ScaleCrop>false</ScaleCrop>
  <LinksUpToDate>false</LinksUpToDate>
  <CharactersWithSpaces>40030</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2022-01-28T09:00:00Z</dcterms:created>
  <dc:creator>机关事务管理局办公室</dc:creator>
  <cp:lastModifiedBy>Administrator</cp:lastModifiedBy>
  <cp:lastPrinted>2022-08-12T03:32:00Z</cp:lastPrinted>
  <dcterms:modified xsi:type="dcterms:W3CDTF">2024-06-24T07:49:01Z</dcterms:modified>
  <dc:title>政府采购招标文件确认表</dc:title>
  <cp:revision>39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A5538C429E494C63A6CF27792BA01F68</vt:lpwstr>
  </property>
  <property fmtid="{D5CDD505-2E9C-101B-9397-08002B2CF9AE}" pid="4" name="GSEDS_HWMT_d46a6755">
    <vt:lpwstr>f245e9db_mFV3wD84Iyk0O8pOlHv8r/VsY2A=_8QYrr0VBXCkrPNpNkXH5rOPj24cOdelHkDhmQ0PToNuuvgiTwIuQkS9rce5xtzvcqS64ndOH15B8HBsz4xsUbz1ybIFiTw==_0974e7a6</vt:lpwstr>
  </property>
</Properties>
</file>