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b/>
          <w:sz w:val="44"/>
          <w:szCs w:val="44"/>
          <w:highlight w:val="none"/>
        </w:rPr>
      </w:pPr>
    </w:p>
    <w:p>
      <w:pPr>
        <w:spacing w:line="360" w:lineRule="auto"/>
        <w:jc w:val="center"/>
        <w:outlineLvl w:val="0"/>
        <w:rPr>
          <w:rFonts w:ascii="Times New Roman" w:hAnsi="Times New Roman" w:eastAsia="宋体" w:cs="Times New Roman"/>
          <w:b/>
          <w:sz w:val="44"/>
          <w:szCs w:val="44"/>
          <w:highlight w:val="none"/>
        </w:rPr>
      </w:pPr>
      <w:r>
        <w:rPr>
          <w:rFonts w:hint="eastAsia" w:ascii="Times New Roman" w:hAnsi="Times New Roman" w:eastAsia="宋体" w:cs="Times New Roman"/>
          <w:b/>
          <w:sz w:val="44"/>
          <w:szCs w:val="44"/>
          <w:highlight w:val="none"/>
        </w:rPr>
        <w:t>义乌市儿童福利院（义乌市未成年人救助保护中心）优育服务</w:t>
      </w:r>
      <w:r>
        <w:rPr>
          <w:rFonts w:ascii="Times New Roman" w:hAnsi="Times New Roman" w:eastAsia="宋体" w:cs="Times New Roman"/>
          <w:b/>
          <w:sz w:val="44"/>
          <w:szCs w:val="44"/>
          <w:highlight w:val="none"/>
        </w:rPr>
        <w:t>采购</w:t>
      </w:r>
    </w:p>
    <w:p>
      <w:pPr>
        <w:jc w:val="center"/>
        <w:rPr>
          <w:rFonts w:ascii="Times New Roman" w:hAnsi="Times New Roman" w:eastAsia="宋体" w:cs="Times New Roman"/>
          <w:b/>
          <w:sz w:val="44"/>
          <w:szCs w:val="44"/>
          <w:highlight w:val="none"/>
        </w:rPr>
      </w:pPr>
    </w:p>
    <w:p>
      <w:pPr>
        <w:jc w:val="center"/>
        <w:rPr>
          <w:rFonts w:ascii="Times New Roman" w:hAnsi="Times New Roman" w:eastAsia="宋体" w:cs="Times New Roman"/>
          <w:highlight w:val="none"/>
        </w:rPr>
      </w:pPr>
    </w:p>
    <w:p>
      <w:pPr>
        <w:tabs>
          <w:tab w:val="center" w:pos="4677"/>
          <w:tab w:val="left" w:pos="7365"/>
        </w:tabs>
        <w:jc w:val="center"/>
        <w:rPr>
          <w:rFonts w:ascii="Times New Roman" w:hAnsi="Times New Roman" w:eastAsia="宋体" w:cs="Times New Roman"/>
          <w:b/>
          <w:bCs/>
          <w:sz w:val="36"/>
          <w:szCs w:val="36"/>
          <w:highlight w:val="none"/>
        </w:rPr>
      </w:pPr>
    </w:p>
    <w:p>
      <w:pPr>
        <w:tabs>
          <w:tab w:val="center" w:pos="4677"/>
          <w:tab w:val="left" w:pos="7365"/>
        </w:tabs>
        <w:jc w:val="center"/>
        <w:rPr>
          <w:rFonts w:ascii="Times New Roman" w:hAnsi="Times New Roman" w:eastAsia="宋体" w:cs="Times New Roman"/>
          <w:b/>
          <w:bCs/>
          <w:sz w:val="36"/>
          <w:szCs w:val="36"/>
          <w:highlight w:val="none"/>
        </w:rPr>
      </w:pPr>
    </w:p>
    <w:p>
      <w:pPr>
        <w:tabs>
          <w:tab w:val="center" w:pos="4677"/>
          <w:tab w:val="left" w:pos="7365"/>
        </w:tabs>
        <w:jc w:val="center"/>
        <w:rPr>
          <w:rFonts w:ascii="Times New Roman" w:hAnsi="Times New Roman" w:eastAsia="宋体" w:cs="Times New Roman"/>
          <w:sz w:val="52"/>
          <w:highlight w:val="none"/>
        </w:rPr>
      </w:pPr>
      <w:r>
        <w:rPr>
          <w:rFonts w:ascii="Times New Roman" w:hAnsi="Times New Roman" w:eastAsia="宋体" w:cs="Times New Roman"/>
          <w:b/>
          <w:bCs/>
          <w:sz w:val="72"/>
          <w:highlight w:val="none"/>
        </w:rPr>
        <w:t>招标文件</w:t>
      </w:r>
    </w:p>
    <w:p>
      <w:pPr>
        <w:jc w:val="center"/>
        <w:rPr>
          <w:rFonts w:ascii="Times New Roman" w:hAnsi="Times New Roman" w:eastAsia="宋体" w:cs="Times New Roman"/>
          <w:b/>
          <w:bCs/>
          <w:sz w:val="32"/>
          <w:highlight w:val="none"/>
        </w:rPr>
      </w:pPr>
    </w:p>
    <w:p>
      <w:pPr>
        <w:jc w:val="center"/>
        <w:rPr>
          <w:rFonts w:hint="eastAsia" w:ascii="Times New Roman" w:hAnsi="Times New Roman" w:eastAsia="宋体" w:cs="Times New Roman"/>
          <w:b/>
          <w:bCs/>
          <w:sz w:val="32"/>
          <w:highlight w:val="none"/>
          <w:u w:val="single"/>
          <w:lang w:eastAsia="zh-CN"/>
        </w:rPr>
      </w:pPr>
      <w:r>
        <w:rPr>
          <w:rFonts w:ascii="Times New Roman" w:hAnsi="Times New Roman" w:eastAsia="宋体" w:cs="Times New Roman"/>
          <w:b/>
          <w:bCs/>
          <w:sz w:val="32"/>
          <w:highlight w:val="none"/>
        </w:rPr>
        <w:t>采购编号：</w:t>
      </w:r>
      <w:r>
        <w:rPr>
          <w:rFonts w:hint="eastAsia" w:ascii="Times New Roman" w:hAnsi="Times New Roman" w:eastAsia="宋体" w:cs="Times New Roman"/>
          <w:b/>
          <w:bCs/>
          <w:sz w:val="32"/>
          <w:highlight w:val="none"/>
          <w:lang w:eastAsia="zh-CN"/>
        </w:rPr>
        <w:t>ZJKP2025YW014G</w:t>
      </w:r>
    </w:p>
    <w:p>
      <w:pPr>
        <w:jc w:val="center"/>
        <w:rPr>
          <w:rFonts w:ascii="Times New Roman" w:hAnsi="Times New Roman" w:eastAsia="宋体" w:cs="Times New Roman"/>
          <w:b/>
          <w:bCs/>
          <w:sz w:val="32"/>
          <w:highlight w:val="none"/>
        </w:rPr>
      </w:pPr>
    </w:p>
    <w:p>
      <w:pPr>
        <w:jc w:val="center"/>
        <w:rPr>
          <w:rFonts w:ascii="Times New Roman" w:hAnsi="Times New Roman" w:eastAsia="宋体" w:cs="Times New Roman"/>
          <w:b/>
          <w:bCs/>
          <w:sz w:val="36"/>
          <w:highlight w:val="none"/>
        </w:rPr>
      </w:pPr>
    </w:p>
    <w:p>
      <w:pPr>
        <w:jc w:val="center"/>
        <w:rPr>
          <w:rFonts w:ascii="Times New Roman" w:hAnsi="Times New Roman" w:eastAsia="宋体" w:cs="Times New Roman"/>
          <w:b/>
          <w:bCs/>
          <w:sz w:val="36"/>
          <w:highlight w:val="none"/>
        </w:rPr>
      </w:pPr>
    </w:p>
    <w:p>
      <w:pPr>
        <w:jc w:val="center"/>
        <w:rPr>
          <w:rFonts w:ascii="Times New Roman" w:hAnsi="Times New Roman" w:eastAsia="宋体" w:cs="Times New Roman"/>
          <w:b/>
          <w:bCs/>
          <w:sz w:val="36"/>
          <w:highlight w:val="none"/>
        </w:rPr>
      </w:pPr>
    </w:p>
    <w:p>
      <w:pPr>
        <w:jc w:val="center"/>
        <w:rPr>
          <w:rFonts w:ascii="Times New Roman" w:hAnsi="Times New Roman" w:eastAsia="宋体" w:cs="Times New Roman"/>
          <w:b/>
          <w:bCs/>
          <w:sz w:val="36"/>
          <w:highlight w:val="none"/>
        </w:rPr>
      </w:pPr>
    </w:p>
    <w:p>
      <w:pPr>
        <w:pStyle w:val="11"/>
        <w:rPr>
          <w:rFonts w:ascii="Times New Roman" w:hAnsi="Times New Roman" w:cs="Times New Roman"/>
          <w:highlight w:val="none"/>
        </w:rPr>
      </w:pPr>
    </w:p>
    <w:p>
      <w:pPr>
        <w:rPr>
          <w:rFonts w:ascii="Times New Roman" w:hAnsi="Times New Roman" w:eastAsia="宋体" w:cs="Times New Roman"/>
          <w:b/>
          <w:bCs/>
          <w:sz w:val="36"/>
          <w:highlight w:val="none"/>
        </w:rPr>
      </w:pPr>
    </w:p>
    <w:p>
      <w:pPr>
        <w:jc w:val="center"/>
        <w:rPr>
          <w:rFonts w:hint="eastAsia" w:ascii="Times New Roman" w:hAnsi="Times New Roman" w:eastAsia="宋体" w:cs="Times New Roman"/>
          <w:b/>
          <w:bCs/>
          <w:sz w:val="36"/>
          <w:highlight w:val="none"/>
          <w:lang w:eastAsia="zh-CN"/>
        </w:rPr>
      </w:pPr>
      <w:bookmarkStart w:id="0" w:name="OLE_LINK2"/>
      <w:bookmarkStart w:id="1" w:name="OLE_LINK1"/>
      <w:r>
        <w:rPr>
          <w:rFonts w:hint="eastAsia" w:ascii="Times New Roman" w:hAnsi="Times New Roman" w:eastAsia="宋体" w:cs="Times New Roman"/>
          <w:b/>
          <w:bCs/>
          <w:sz w:val="36"/>
          <w:highlight w:val="none"/>
          <w:lang w:eastAsia="zh-CN"/>
        </w:rPr>
        <w:t>义乌市民政局</w:t>
      </w:r>
    </w:p>
    <w:p>
      <w:pPr>
        <w:jc w:val="center"/>
        <w:rPr>
          <w:rFonts w:ascii="Times New Roman" w:hAnsi="Times New Roman" w:eastAsia="宋体" w:cs="Times New Roman"/>
          <w:b/>
          <w:bCs/>
          <w:sz w:val="36"/>
          <w:highlight w:val="none"/>
        </w:rPr>
      </w:pPr>
      <w:r>
        <w:rPr>
          <w:rFonts w:ascii="Times New Roman" w:hAnsi="Times New Roman" w:eastAsia="宋体" w:cs="Times New Roman"/>
          <w:b/>
          <w:bCs/>
          <w:sz w:val="36"/>
          <w:highlight w:val="none"/>
        </w:rPr>
        <w:t>浙江开平企业管理咨询有限公司</w:t>
      </w:r>
      <w:bookmarkEnd w:id="0"/>
      <w:bookmarkEnd w:id="1"/>
    </w:p>
    <w:p>
      <w:pPr>
        <w:jc w:val="center"/>
        <w:rPr>
          <w:rFonts w:ascii="Times New Roman" w:hAnsi="Times New Roman" w:eastAsia="宋体" w:cs="Times New Roman"/>
          <w:b/>
          <w:bCs/>
          <w:sz w:val="36"/>
          <w:highlight w:val="none"/>
        </w:rPr>
      </w:pPr>
      <w:r>
        <w:rPr>
          <w:rFonts w:ascii="Times New Roman" w:hAnsi="Times New Roman" w:eastAsia="宋体" w:cs="Times New Roman"/>
          <w:b/>
          <w:bCs/>
          <w:sz w:val="36"/>
          <w:highlight w:val="none"/>
        </w:rPr>
        <w:t>二〇二</w:t>
      </w:r>
      <w:r>
        <w:rPr>
          <w:rFonts w:hint="eastAsia" w:ascii="Times New Roman" w:hAnsi="Times New Roman" w:eastAsia="宋体" w:cs="Times New Roman"/>
          <w:b/>
          <w:bCs/>
          <w:sz w:val="36"/>
          <w:highlight w:val="none"/>
          <w:lang w:eastAsia="zh-CN"/>
        </w:rPr>
        <w:t>五</w:t>
      </w:r>
      <w:r>
        <w:rPr>
          <w:rFonts w:ascii="Times New Roman" w:hAnsi="Times New Roman" w:eastAsia="宋体" w:cs="Times New Roman"/>
          <w:b/>
          <w:bCs/>
          <w:sz w:val="36"/>
          <w:highlight w:val="none"/>
        </w:rPr>
        <w:t>年</w:t>
      </w:r>
      <w:r>
        <w:rPr>
          <w:rFonts w:hint="eastAsia" w:ascii="Times New Roman" w:hAnsi="Times New Roman" w:eastAsia="宋体" w:cs="Times New Roman"/>
          <w:b/>
          <w:bCs/>
          <w:sz w:val="36"/>
          <w:highlight w:val="none"/>
          <w:lang w:eastAsia="zh-CN"/>
        </w:rPr>
        <w:t>一</w:t>
      </w:r>
      <w:r>
        <w:rPr>
          <w:rFonts w:ascii="Times New Roman" w:hAnsi="Times New Roman" w:eastAsia="宋体" w:cs="Times New Roman"/>
          <w:b/>
          <w:bCs/>
          <w:sz w:val="36"/>
          <w:highlight w:val="none"/>
        </w:rPr>
        <w:t>月</w:t>
      </w:r>
    </w:p>
    <w:p>
      <w:pPr>
        <w:widowControl/>
        <w:jc w:val="left"/>
        <w:rPr>
          <w:rFonts w:ascii="Times New Roman" w:hAnsi="Times New Roman" w:eastAsia="宋体" w:cs="Times New Roman"/>
          <w:b/>
          <w:bCs/>
          <w:sz w:val="36"/>
          <w:highlight w:val="none"/>
        </w:rPr>
      </w:pPr>
      <w:r>
        <w:rPr>
          <w:rFonts w:ascii="Times New Roman" w:hAnsi="Times New Roman" w:eastAsia="宋体" w:cs="Times New Roman"/>
          <w:b/>
          <w:bCs/>
          <w:sz w:val="36"/>
          <w:highlight w:val="none"/>
        </w:rPr>
        <w:br w:type="page"/>
      </w:r>
    </w:p>
    <w:p>
      <w:pPr>
        <w:pStyle w:val="12"/>
        <w:spacing w:before="120" w:after="120" w:line="360" w:lineRule="auto"/>
        <w:ind w:firstLine="883" w:firstLineChars="200"/>
        <w:jc w:val="center"/>
        <w:outlineLvl w:val="9"/>
        <w:rPr>
          <w:rFonts w:ascii="Times New Roman" w:hAnsi="Times New Roman" w:cs="Times New Roman"/>
          <w:b/>
          <w:sz w:val="44"/>
          <w:szCs w:val="44"/>
          <w:highlight w:val="none"/>
        </w:rPr>
      </w:pPr>
    </w:p>
    <w:p>
      <w:pPr>
        <w:pStyle w:val="12"/>
        <w:spacing w:before="120" w:after="120" w:line="360" w:lineRule="auto"/>
        <w:ind w:firstLine="883" w:firstLineChars="200"/>
        <w:jc w:val="center"/>
        <w:outlineLvl w:val="0"/>
        <w:rPr>
          <w:rFonts w:ascii="Times New Roman" w:hAnsi="Times New Roman" w:cs="Times New Roman"/>
          <w:b/>
          <w:sz w:val="44"/>
          <w:szCs w:val="44"/>
          <w:highlight w:val="none"/>
        </w:rPr>
      </w:pPr>
      <w:r>
        <w:rPr>
          <w:rFonts w:ascii="Times New Roman" w:hAnsi="Times New Roman" w:cs="Times New Roman"/>
          <w:b/>
          <w:sz w:val="44"/>
          <w:szCs w:val="44"/>
          <w:highlight w:val="none"/>
        </w:rPr>
        <w:t>招标文件目录</w:t>
      </w:r>
    </w:p>
    <w:p>
      <w:pPr>
        <w:pStyle w:val="16"/>
        <w:rPr>
          <w:b/>
          <w:highlight w:val="none"/>
        </w:rPr>
      </w:pPr>
    </w:p>
    <w:p>
      <w:pPr>
        <w:pStyle w:val="16"/>
        <w:rPr>
          <w:b/>
          <w:bCs/>
          <w:sz w:val="21"/>
          <w:highlight w:val="none"/>
        </w:rPr>
      </w:pPr>
      <w:r>
        <w:rPr>
          <w:b/>
          <w:highlight w:val="none"/>
        </w:rPr>
        <w:fldChar w:fldCharType="begin"/>
      </w:r>
      <w:r>
        <w:rPr>
          <w:b/>
          <w:highlight w:val="none"/>
        </w:rPr>
        <w:instrText xml:space="preserve"> TOC \o "1-3" \h \z \u </w:instrText>
      </w:r>
      <w:r>
        <w:rPr>
          <w:b/>
          <w:highlight w:val="none"/>
        </w:rPr>
        <w:fldChar w:fldCharType="separate"/>
      </w:r>
      <w:r>
        <w:rPr>
          <w:highlight w:val="none"/>
        </w:rPr>
        <w:fldChar w:fldCharType="begin"/>
      </w:r>
      <w:r>
        <w:rPr>
          <w:highlight w:val="none"/>
        </w:rPr>
        <w:instrText xml:space="preserve"> HYPERLINK "../../../Documents%20and%20Settings/Administrator/Application%20Data/Foxmail/FoxmailTemp(26)/动植物招标文件（新版）.doc" \l "_Toc362250684#_Toc362250684" </w:instrText>
      </w:r>
      <w:r>
        <w:rPr>
          <w:highlight w:val="none"/>
        </w:rPr>
        <w:fldChar w:fldCharType="separate"/>
      </w:r>
      <w:r>
        <w:rPr>
          <w:rStyle w:val="26"/>
          <w:color w:val="auto"/>
          <w:highlight w:val="none"/>
        </w:rPr>
        <w:t>第一章　采购公告</w:t>
      </w:r>
      <w:r>
        <w:rPr>
          <w:rStyle w:val="26"/>
          <w:color w:val="auto"/>
          <w:highlight w:val="none"/>
        </w:rPr>
        <w:fldChar w:fldCharType="end"/>
      </w:r>
    </w:p>
    <w:p>
      <w:pPr>
        <w:pStyle w:val="16"/>
        <w:rPr>
          <w:rStyle w:val="26"/>
          <w:color w:val="auto"/>
          <w:highlight w:val="none"/>
        </w:rPr>
      </w:pPr>
    </w:p>
    <w:p>
      <w:pPr>
        <w:pStyle w:val="16"/>
        <w:rPr>
          <w:b/>
          <w:bCs/>
          <w:sz w:val="21"/>
          <w:highlight w:val="none"/>
        </w:rPr>
      </w:pPr>
      <w:r>
        <w:rPr>
          <w:highlight w:val="none"/>
        </w:rPr>
        <w:fldChar w:fldCharType="begin"/>
      </w:r>
      <w:r>
        <w:rPr>
          <w:highlight w:val="none"/>
        </w:rPr>
        <w:instrText xml:space="preserve"> HYPERLINK "../../../Documents%20and%20Settings/Administrator/Application%20Data/Foxmail/FoxmailTemp(26)/动植物招标文件（新版）.doc" \l "_Toc362250685#_Toc362250685" </w:instrText>
      </w:r>
      <w:r>
        <w:rPr>
          <w:highlight w:val="none"/>
        </w:rPr>
        <w:fldChar w:fldCharType="separate"/>
      </w:r>
      <w:r>
        <w:rPr>
          <w:rStyle w:val="26"/>
          <w:color w:val="auto"/>
          <w:highlight w:val="none"/>
        </w:rPr>
        <w:t>第二章　投标须知和投标须知前附表</w:t>
      </w:r>
      <w:r>
        <w:rPr>
          <w:rStyle w:val="26"/>
          <w:color w:val="auto"/>
          <w:highlight w:val="none"/>
        </w:rPr>
        <w:fldChar w:fldCharType="end"/>
      </w:r>
    </w:p>
    <w:p>
      <w:pPr>
        <w:pStyle w:val="16"/>
        <w:rPr>
          <w:rStyle w:val="26"/>
          <w:color w:val="auto"/>
          <w:highlight w:val="none"/>
        </w:rPr>
      </w:pPr>
    </w:p>
    <w:p>
      <w:pPr>
        <w:pStyle w:val="16"/>
        <w:rPr>
          <w:b/>
          <w:bCs/>
          <w:sz w:val="21"/>
          <w:highlight w:val="none"/>
        </w:rPr>
      </w:pPr>
      <w:r>
        <w:rPr>
          <w:highlight w:val="none"/>
        </w:rPr>
        <w:fldChar w:fldCharType="begin"/>
      </w:r>
      <w:r>
        <w:rPr>
          <w:highlight w:val="none"/>
        </w:rPr>
        <w:instrText xml:space="preserve"> HYPERLINK "../../../Documents%20and%20Settings/Administrator/Application%20Data/Foxmail/FoxmailTemp(26)/动植物招标文件（新版）.doc" \l "_Toc362250692#_Toc362250692" </w:instrText>
      </w:r>
      <w:r>
        <w:rPr>
          <w:highlight w:val="none"/>
        </w:rPr>
        <w:fldChar w:fldCharType="separate"/>
      </w:r>
      <w:r>
        <w:rPr>
          <w:rStyle w:val="26"/>
          <w:color w:val="auto"/>
          <w:highlight w:val="none"/>
        </w:rPr>
        <w:t>第三章  招标项目内容及技术要求</w:t>
      </w:r>
      <w:r>
        <w:rPr>
          <w:rStyle w:val="26"/>
          <w:color w:val="auto"/>
          <w:highlight w:val="none"/>
        </w:rPr>
        <w:fldChar w:fldCharType="end"/>
      </w:r>
    </w:p>
    <w:p>
      <w:pPr>
        <w:pStyle w:val="16"/>
        <w:tabs>
          <w:tab w:val="left" w:pos="1260"/>
        </w:tabs>
        <w:rPr>
          <w:rStyle w:val="26"/>
          <w:color w:val="auto"/>
          <w:highlight w:val="none"/>
        </w:rPr>
      </w:pPr>
    </w:p>
    <w:p>
      <w:pPr>
        <w:pStyle w:val="16"/>
        <w:tabs>
          <w:tab w:val="left" w:pos="1020"/>
        </w:tabs>
        <w:rPr>
          <w:b/>
          <w:bCs/>
          <w:sz w:val="21"/>
          <w:highlight w:val="none"/>
        </w:rPr>
      </w:pPr>
      <w:r>
        <w:rPr>
          <w:highlight w:val="none"/>
        </w:rPr>
        <w:fldChar w:fldCharType="begin"/>
      </w:r>
      <w:r>
        <w:rPr>
          <w:highlight w:val="none"/>
        </w:rPr>
        <w:instrText xml:space="preserve"> HYPERLINK "../../../Documents%20and%20Settings/Administrator/Application%20Data/Foxmail/FoxmailTemp(26)/动植物招标文件（新版）.doc" \l "_Toc362250703#_Toc362250703" </w:instrText>
      </w:r>
      <w:r>
        <w:rPr>
          <w:highlight w:val="none"/>
        </w:rPr>
        <w:fldChar w:fldCharType="separate"/>
      </w:r>
      <w:r>
        <w:rPr>
          <w:rStyle w:val="26"/>
          <w:color w:val="auto"/>
          <w:highlight w:val="none"/>
        </w:rPr>
        <w:t>第四章</w:t>
      </w:r>
      <w:r>
        <w:rPr>
          <w:rStyle w:val="26"/>
          <w:b/>
          <w:bCs/>
          <w:color w:val="auto"/>
          <w:sz w:val="21"/>
          <w:highlight w:val="none"/>
          <w:u w:val="none"/>
        </w:rPr>
        <w:tab/>
      </w:r>
      <w:r>
        <w:rPr>
          <w:rStyle w:val="26"/>
          <w:color w:val="auto"/>
          <w:highlight w:val="none"/>
        </w:rPr>
        <w:t>开标、评标和定标须知</w:t>
      </w:r>
      <w:r>
        <w:rPr>
          <w:rStyle w:val="26"/>
          <w:color w:val="auto"/>
          <w:highlight w:val="none"/>
        </w:rPr>
        <w:fldChar w:fldCharType="end"/>
      </w:r>
    </w:p>
    <w:p>
      <w:pPr>
        <w:pStyle w:val="16"/>
        <w:rPr>
          <w:rStyle w:val="26"/>
          <w:color w:val="auto"/>
          <w:highlight w:val="none"/>
        </w:rPr>
      </w:pPr>
    </w:p>
    <w:p>
      <w:pPr>
        <w:pStyle w:val="16"/>
        <w:rPr>
          <w:b/>
          <w:bCs/>
          <w:sz w:val="21"/>
          <w:highlight w:val="none"/>
        </w:rPr>
      </w:pPr>
      <w:r>
        <w:rPr>
          <w:highlight w:val="none"/>
        </w:rPr>
        <w:fldChar w:fldCharType="begin"/>
      </w:r>
      <w:r>
        <w:rPr>
          <w:highlight w:val="none"/>
        </w:rPr>
        <w:instrText xml:space="preserve"> HYPERLINK "../../../Documents%20and%20Settings/Administrator/Application%20Data/Foxmail/FoxmailTemp(26)/动植物招标文件（新版）.doc" \l "_Toc362250707#_Toc362250707" </w:instrText>
      </w:r>
      <w:r>
        <w:rPr>
          <w:highlight w:val="none"/>
        </w:rPr>
        <w:fldChar w:fldCharType="separate"/>
      </w:r>
      <w:r>
        <w:rPr>
          <w:rStyle w:val="26"/>
          <w:color w:val="auto"/>
          <w:highlight w:val="none"/>
        </w:rPr>
        <w:t>第五章  投标文件的有效性</w:t>
      </w:r>
      <w:r>
        <w:rPr>
          <w:rStyle w:val="26"/>
          <w:color w:val="auto"/>
          <w:highlight w:val="none"/>
        </w:rPr>
        <w:fldChar w:fldCharType="end"/>
      </w:r>
    </w:p>
    <w:p>
      <w:pPr>
        <w:pStyle w:val="16"/>
        <w:rPr>
          <w:rStyle w:val="26"/>
          <w:color w:val="auto"/>
          <w:highlight w:val="none"/>
        </w:rPr>
      </w:pPr>
    </w:p>
    <w:p>
      <w:pPr>
        <w:pStyle w:val="16"/>
        <w:rPr>
          <w:b/>
          <w:bCs/>
          <w:sz w:val="21"/>
          <w:highlight w:val="none"/>
        </w:rPr>
      </w:pPr>
      <w:r>
        <w:rPr>
          <w:highlight w:val="none"/>
        </w:rPr>
        <w:fldChar w:fldCharType="begin"/>
      </w:r>
      <w:r>
        <w:rPr>
          <w:highlight w:val="none"/>
        </w:rPr>
        <w:instrText xml:space="preserve"> HYPERLINK "../../../Documents%20and%20Settings/Administrator/Application%20Data/Foxmail/FoxmailTemp(26)/动植物招标文件（新版）.doc" \l "_Toc362250708#_Toc362250708" </w:instrText>
      </w:r>
      <w:r>
        <w:rPr>
          <w:highlight w:val="none"/>
        </w:rPr>
        <w:fldChar w:fldCharType="separate"/>
      </w:r>
      <w:r>
        <w:rPr>
          <w:rStyle w:val="26"/>
          <w:color w:val="auto"/>
          <w:highlight w:val="none"/>
        </w:rPr>
        <w:t>第六章  评标办法</w:t>
      </w:r>
      <w:r>
        <w:rPr>
          <w:rStyle w:val="26"/>
          <w:color w:val="auto"/>
          <w:highlight w:val="none"/>
        </w:rPr>
        <w:fldChar w:fldCharType="end"/>
      </w:r>
    </w:p>
    <w:p>
      <w:pPr>
        <w:pStyle w:val="16"/>
        <w:rPr>
          <w:rStyle w:val="26"/>
          <w:color w:val="auto"/>
          <w:highlight w:val="none"/>
        </w:rPr>
      </w:pPr>
    </w:p>
    <w:p>
      <w:pPr>
        <w:pStyle w:val="16"/>
        <w:rPr>
          <w:b/>
          <w:bCs/>
          <w:sz w:val="21"/>
          <w:highlight w:val="none"/>
        </w:rPr>
      </w:pPr>
      <w:r>
        <w:rPr>
          <w:highlight w:val="none"/>
        </w:rPr>
        <w:fldChar w:fldCharType="begin"/>
      </w:r>
      <w:r>
        <w:rPr>
          <w:highlight w:val="none"/>
        </w:rPr>
        <w:instrText xml:space="preserve"> HYPERLINK "../../../Documents%20and%20Settings/Administrator/Application%20Data/Foxmail/FoxmailTemp(26)/动植物招标文件（新版）.doc" \l "_Toc362250711#_Toc362250711" </w:instrText>
      </w:r>
      <w:r>
        <w:rPr>
          <w:highlight w:val="none"/>
        </w:rPr>
        <w:fldChar w:fldCharType="separate"/>
      </w:r>
      <w:r>
        <w:rPr>
          <w:rStyle w:val="26"/>
          <w:color w:val="auto"/>
          <w:highlight w:val="none"/>
        </w:rPr>
        <w:t>第七章  合同主要条款</w:t>
      </w:r>
      <w:r>
        <w:rPr>
          <w:rStyle w:val="26"/>
          <w:color w:val="auto"/>
          <w:highlight w:val="none"/>
        </w:rPr>
        <w:fldChar w:fldCharType="end"/>
      </w:r>
    </w:p>
    <w:p>
      <w:pPr>
        <w:pStyle w:val="16"/>
        <w:rPr>
          <w:rStyle w:val="26"/>
          <w:color w:val="auto"/>
          <w:highlight w:val="none"/>
        </w:rPr>
      </w:pPr>
    </w:p>
    <w:p>
      <w:pPr>
        <w:pStyle w:val="16"/>
        <w:rPr>
          <w:b/>
          <w:bCs/>
          <w:sz w:val="21"/>
          <w:highlight w:val="none"/>
        </w:rPr>
      </w:pPr>
      <w:r>
        <w:rPr>
          <w:highlight w:val="none"/>
        </w:rPr>
        <w:fldChar w:fldCharType="begin"/>
      </w:r>
      <w:r>
        <w:rPr>
          <w:highlight w:val="none"/>
        </w:rPr>
        <w:instrText xml:space="preserve"> HYPERLINK "../../../Documents%20and%20Settings/Administrator/Application%20Data/Foxmail/FoxmailTemp(26)/动植物招标文件（新版）.doc" \l "_Toc362250712#_Toc362250712" </w:instrText>
      </w:r>
      <w:r>
        <w:rPr>
          <w:highlight w:val="none"/>
        </w:rPr>
        <w:fldChar w:fldCharType="separate"/>
      </w:r>
      <w:r>
        <w:rPr>
          <w:rStyle w:val="26"/>
          <w:color w:val="auto"/>
          <w:highlight w:val="none"/>
        </w:rPr>
        <w:t>第八章  投标文件部分格式</w:t>
      </w:r>
      <w:r>
        <w:rPr>
          <w:rStyle w:val="26"/>
          <w:color w:val="auto"/>
          <w:highlight w:val="none"/>
        </w:rPr>
        <w:fldChar w:fldCharType="end"/>
      </w:r>
    </w:p>
    <w:p>
      <w:pPr>
        <w:rPr>
          <w:rFonts w:ascii="Times New Roman" w:hAnsi="Times New Roman" w:cs="Times New Roman"/>
          <w:highlight w:val="none"/>
        </w:rPr>
      </w:pPr>
      <w:r>
        <w:rPr>
          <w:rFonts w:ascii="Times New Roman" w:hAnsi="Times New Roman" w:cs="Times New Roman"/>
          <w:b/>
          <w:szCs w:val="30"/>
          <w:highlight w:val="none"/>
        </w:rPr>
        <w:fldChar w:fldCharType="end"/>
      </w:r>
    </w:p>
    <w:p>
      <w:pPr>
        <w:pStyle w:val="16"/>
        <w:rPr>
          <w:b/>
          <w:szCs w:val="30"/>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sectPr>
          <w:headerReference r:id="rId3" w:type="default"/>
          <w:pgSz w:w="11906" w:h="16838"/>
          <w:pgMar w:top="1440" w:right="1800" w:bottom="1440" w:left="1800" w:header="851" w:footer="992" w:gutter="0"/>
          <w:pgNumType w:start="1"/>
          <w:cols w:space="425" w:num="1"/>
          <w:docGrid w:type="lines" w:linePitch="312" w:charSpace="0"/>
        </w:sectPr>
      </w:pPr>
    </w:p>
    <w:p>
      <w:pPr>
        <w:spacing w:line="360" w:lineRule="auto"/>
        <w:ind w:firstLine="723" w:firstLineChars="200"/>
        <w:jc w:val="center"/>
        <w:outlineLvl w:val="0"/>
        <w:rPr>
          <w:rFonts w:ascii="Times New Roman" w:hAnsi="Times New Roman" w:eastAsia="宋体" w:cs="Times New Roman"/>
          <w:sz w:val="36"/>
          <w:szCs w:val="36"/>
          <w:highlight w:val="none"/>
        </w:rPr>
      </w:pPr>
      <w:r>
        <w:rPr>
          <w:rFonts w:ascii="Times New Roman" w:hAnsi="Times New Roman" w:eastAsia="宋体" w:cs="Times New Roman"/>
          <w:b/>
          <w:bCs/>
          <w:sz w:val="36"/>
          <w:highlight w:val="none"/>
        </w:rPr>
        <w:t>第一章　</w:t>
      </w:r>
      <w:r>
        <w:rPr>
          <w:rFonts w:ascii="Times New Roman" w:hAnsi="Times New Roman" w:eastAsia="宋体" w:cs="Times New Roman"/>
          <w:b/>
          <w:bCs/>
          <w:sz w:val="36"/>
          <w:szCs w:val="36"/>
          <w:highlight w:val="none"/>
        </w:rPr>
        <w:t>采购公告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4"/>
          <w:highlight w:val="none"/>
        </w:rPr>
      </w:pPr>
      <w:r>
        <w:rPr>
          <w:rFonts w:hint="eastAsia" w:ascii="宋体" w:hAnsi="宋体" w:eastAsia="宋体" w:cs="宋体"/>
          <w:sz w:val="24"/>
          <w:highlight w:val="none"/>
        </w:rPr>
        <w:t>根据《中华人民共和国政府采购法》等有关规定，浙江开平企业管理咨询有限公司受</w:t>
      </w:r>
      <w:r>
        <w:rPr>
          <w:rFonts w:hint="eastAsia" w:ascii="宋体" w:hAnsi="宋体" w:eastAsia="宋体" w:cs="宋体"/>
          <w:kern w:val="0"/>
          <w:sz w:val="24"/>
          <w:highlight w:val="none"/>
        </w:rPr>
        <w:t>义乌市</w:t>
      </w:r>
      <w:r>
        <w:rPr>
          <w:rFonts w:hint="eastAsia" w:ascii="宋体" w:hAnsi="宋体" w:eastAsia="宋体" w:cs="宋体"/>
          <w:kern w:val="0"/>
          <w:sz w:val="24"/>
          <w:highlight w:val="none"/>
          <w:lang w:eastAsia="zh-CN"/>
        </w:rPr>
        <w:t>民政局</w:t>
      </w:r>
      <w:r>
        <w:rPr>
          <w:rFonts w:hint="eastAsia" w:ascii="宋体" w:hAnsi="宋体" w:eastAsia="宋体" w:cs="宋体"/>
          <w:sz w:val="24"/>
          <w:highlight w:val="none"/>
        </w:rPr>
        <w:t>的委托，</w:t>
      </w:r>
      <w:r>
        <w:rPr>
          <w:rFonts w:hint="eastAsia" w:ascii="宋体" w:hAnsi="宋体" w:eastAsia="宋体" w:cs="宋体"/>
          <w:kern w:val="0"/>
          <w:sz w:val="24"/>
          <w:highlight w:val="none"/>
        </w:rPr>
        <w:t>就义乌市儿童</w:t>
      </w:r>
      <w:r>
        <w:rPr>
          <w:rFonts w:hint="eastAsia" w:ascii="宋体" w:hAnsi="宋体" w:eastAsia="宋体" w:cs="宋体"/>
          <w:sz w:val="24"/>
          <w:highlight w:val="none"/>
        </w:rPr>
        <w:t>福利院（义乌市未成年人救助保护中心）优育服务进行公开招标采购，欢迎国内合格的投标人参加投标。</w:t>
      </w:r>
    </w:p>
    <w:p>
      <w:pPr>
        <w:pStyle w:val="1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一、项目基本情况</w:t>
      </w:r>
    </w:p>
    <w:p>
      <w:pPr>
        <w:pStyle w:val="1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rPr>
        <w:t>1、采购项目编号：</w:t>
      </w:r>
      <w:r>
        <w:rPr>
          <w:rFonts w:hint="eastAsia" w:hAnsi="宋体" w:cs="宋体"/>
          <w:b/>
          <w:bCs/>
          <w:sz w:val="24"/>
          <w:szCs w:val="24"/>
          <w:highlight w:val="none"/>
          <w:lang w:eastAsia="zh-CN"/>
        </w:rPr>
        <w:t>ZJKP2025YW014G</w:t>
      </w:r>
    </w:p>
    <w:p>
      <w:pPr>
        <w:keepNext w:val="0"/>
        <w:keepLines w:val="0"/>
        <w:pageBreakBefore w:val="0"/>
        <w:widowControl w:val="0"/>
        <w:tabs>
          <w:tab w:val="left" w:pos="284"/>
          <w:tab w:val="left" w:pos="720"/>
          <w:tab w:val="left" w:pos="851"/>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2、项目名称：义乌市儿童福利院</w:t>
      </w:r>
      <w:r>
        <w:rPr>
          <w:rFonts w:hint="eastAsia" w:ascii="宋体" w:hAnsi="宋体" w:eastAsia="宋体" w:cs="宋体"/>
          <w:b/>
          <w:bCs/>
          <w:sz w:val="24"/>
          <w:highlight w:val="none"/>
        </w:rPr>
        <w:t>（义乌市未成年人救助保护中心）</w:t>
      </w:r>
      <w:r>
        <w:rPr>
          <w:rFonts w:hint="eastAsia" w:ascii="宋体" w:hAnsi="宋体" w:eastAsia="宋体" w:cs="宋体"/>
          <w:b/>
          <w:sz w:val="24"/>
          <w:szCs w:val="24"/>
          <w:highlight w:val="none"/>
        </w:rPr>
        <w:t>优育服务采购</w:t>
      </w:r>
    </w:p>
    <w:p>
      <w:pPr>
        <w:keepNext w:val="0"/>
        <w:keepLines w:val="0"/>
        <w:pageBreakBefore w:val="0"/>
        <w:widowControl w:val="0"/>
        <w:tabs>
          <w:tab w:val="left" w:pos="284"/>
          <w:tab w:val="left" w:pos="720"/>
          <w:tab w:val="left" w:pos="851"/>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3、项目预算：</w:t>
      </w:r>
      <w:r>
        <w:rPr>
          <w:rFonts w:hint="eastAsia" w:ascii="宋体" w:hAnsi="宋体" w:eastAsia="宋体" w:cs="宋体"/>
          <w:b/>
          <w:sz w:val="24"/>
          <w:szCs w:val="24"/>
          <w:highlight w:val="none"/>
          <w:lang w:eastAsia="zh-CN"/>
        </w:rPr>
        <w:t>188.68万元</w:t>
      </w:r>
      <w:r>
        <w:rPr>
          <w:rFonts w:hint="eastAsia" w:ascii="宋体" w:hAnsi="宋体" w:eastAsia="宋体" w:cs="宋体"/>
          <w:b/>
          <w:sz w:val="24"/>
          <w:szCs w:val="24"/>
          <w:highlight w:val="none"/>
        </w:rPr>
        <w:t>，最高限价：</w:t>
      </w:r>
      <w:r>
        <w:rPr>
          <w:rFonts w:hint="eastAsia" w:ascii="宋体" w:hAnsi="宋体" w:eastAsia="宋体" w:cs="宋体"/>
          <w:b/>
          <w:sz w:val="24"/>
          <w:szCs w:val="24"/>
          <w:highlight w:val="none"/>
          <w:lang w:eastAsia="zh-CN"/>
        </w:rPr>
        <w:t>188.68万元</w:t>
      </w:r>
    </w:p>
    <w:p>
      <w:pPr>
        <w:keepNext w:val="0"/>
        <w:keepLines w:val="0"/>
        <w:pageBreakBefore w:val="0"/>
        <w:widowControl w:val="0"/>
        <w:tabs>
          <w:tab w:val="left" w:pos="284"/>
          <w:tab w:val="left" w:pos="720"/>
          <w:tab w:val="left" w:pos="851"/>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4、采购需求：</w:t>
      </w:r>
    </w:p>
    <w:tbl>
      <w:tblPr>
        <w:tblStyle w:val="22"/>
        <w:tblW w:w="50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608"/>
        <w:gridCol w:w="775"/>
        <w:gridCol w:w="727"/>
        <w:gridCol w:w="1329"/>
        <w:gridCol w:w="1391"/>
        <w:gridCol w:w="3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01"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832"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标项内容</w:t>
            </w:r>
          </w:p>
        </w:tc>
        <w:tc>
          <w:tcPr>
            <w:tcW w:w="401"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376"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688"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预算</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金额</w:t>
            </w:r>
          </w:p>
        </w:tc>
        <w:tc>
          <w:tcPr>
            <w:tcW w:w="720"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最高</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限价</w:t>
            </w:r>
          </w:p>
        </w:tc>
        <w:tc>
          <w:tcPr>
            <w:tcW w:w="1579"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401"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32"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优育服务</w:t>
            </w:r>
          </w:p>
        </w:tc>
        <w:tc>
          <w:tcPr>
            <w:tcW w:w="401"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76"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688"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lang w:eastAsia="zh-CN"/>
              </w:rPr>
            </w:pPr>
            <w:r>
              <w:rPr>
                <w:rFonts w:hint="eastAsia" w:hAnsi="宋体" w:cs="宋体"/>
                <w:sz w:val="24"/>
                <w:szCs w:val="24"/>
                <w:highlight w:val="none"/>
                <w:lang w:eastAsia="zh-CN"/>
              </w:rPr>
              <w:t>188.68万元</w:t>
            </w:r>
          </w:p>
        </w:tc>
        <w:tc>
          <w:tcPr>
            <w:tcW w:w="720"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lang w:eastAsia="zh-CN"/>
              </w:rPr>
            </w:pPr>
            <w:r>
              <w:rPr>
                <w:rFonts w:hint="eastAsia" w:hAnsi="宋体" w:cs="宋体"/>
                <w:sz w:val="24"/>
                <w:szCs w:val="24"/>
                <w:highlight w:val="none"/>
                <w:lang w:eastAsia="zh-CN"/>
              </w:rPr>
              <w:t>188.68万元</w:t>
            </w:r>
          </w:p>
        </w:tc>
        <w:tc>
          <w:tcPr>
            <w:tcW w:w="1579"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详见《第三章招标项目内容及技术要求》</w:t>
            </w:r>
          </w:p>
        </w:tc>
      </w:tr>
    </w:tbl>
    <w:p>
      <w:pPr>
        <w:keepNext w:val="0"/>
        <w:keepLines w:val="0"/>
        <w:pageBreakBefore w:val="0"/>
        <w:widowControl w:val="0"/>
        <w:tabs>
          <w:tab w:val="left" w:pos="284"/>
          <w:tab w:val="left" w:pos="720"/>
          <w:tab w:val="left" w:pos="851"/>
        </w:tabs>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二、投标人的资格要求：</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1、符合《中华人民共和国政府采购法》第二十二条供应商应当具备的条件</w:t>
      </w:r>
      <w:r>
        <w:rPr>
          <w:rFonts w:hint="eastAsia" w:ascii="宋体" w:hAnsi="宋体" w:eastAsia="宋体" w:cs="宋体"/>
          <w:sz w:val="24"/>
          <w:highlight w:val="none"/>
        </w:rPr>
        <w:t>；</w:t>
      </w:r>
    </w:p>
    <w:p>
      <w:pPr>
        <w:pStyle w:val="7"/>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szCs w:val="24"/>
          <w:highlight w:val="none"/>
        </w:rPr>
        <w:t>投标人自202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年01月01日起到中标公告期结束前无行贿犯罪记录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查询结果以中国裁判文书网网站页面显示内容为准</w:t>
      </w:r>
      <w:r>
        <w:rPr>
          <w:rFonts w:hint="eastAsia" w:ascii="宋体" w:hAnsi="宋体" w:eastAsia="宋体" w:cs="宋体"/>
          <w:sz w:val="24"/>
          <w:szCs w:val="24"/>
          <w:highlight w:val="none"/>
          <w:lang w:eastAsia="zh-CN"/>
        </w:rPr>
        <w:t>）</w:t>
      </w:r>
      <w:r>
        <w:rPr>
          <w:rFonts w:hint="eastAsia" w:ascii="宋体" w:hAnsi="宋体" w:eastAsia="宋体" w:cs="宋体"/>
          <w:sz w:val="24"/>
          <w:highlight w:val="none"/>
        </w:rPr>
        <w:t>；</w:t>
      </w:r>
    </w:p>
    <w:p>
      <w:pPr>
        <w:pStyle w:val="7"/>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参加政府采购活动前三年内，在经营活动中没有重大违法记录。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失信主体、政府采购严重违法失信行为记录名单的。</w:t>
      </w:r>
    </w:p>
    <w:p>
      <w:pPr>
        <w:pStyle w:val="7"/>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color w:val="auto"/>
          <w:sz w:val="24"/>
          <w:szCs w:val="24"/>
          <w:highlight w:val="none"/>
        </w:rPr>
        <w:t>根据《浙江省公共信用信息管理条例》第二十六条的规定，未列入严重失信名单的（查询结果以开标当日网站页面显示为准）</w:t>
      </w:r>
      <w:r>
        <w:rPr>
          <w:rFonts w:hint="eastAsia" w:ascii="宋体" w:hAnsi="宋体" w:eastAsia="宋体" w:cs="宋体"/>
          <w:sz w:val="24"/>
          <w:highlight w:val="none"/>
        </w:rPr>
        <w:t>。</w:t>
      </w:r>
    </w:p>
    <w:p>
      <w:pPr>
        <w:pStyle w:val="7"/>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5、公益一类事业单位不属于政府购买服务的承接主体，不得参与承接购买服务。</w:t>
      </w:r>
    </w:p>
    <w:p>
      <w:pPr>
        <w:pStyle w:val="7"/>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highlight w:val="none"/>
        </w:rPr>
        <w:t>6、</w:t>
      </w:r>
      <w:r>
        <w:rPr>
          <w:rFonts w:hint="eastAsia" w:ascii="宋体" w:hAnsi="宋体" w:eastAsia="宋体" w:cs="宋体"/>
          <w:color w:val="auto"/>
          <w:sz w:val="24"/>
          <w:szCs w:val="24"/>
          <w:highlight w:val="none"/>
        </w:rPr>
        <w:t>落实政府采购政策需满足的资格要求：本项目专门面向</w:t>
      </w:r>
      <w:r>
        <w:rPr>
          <w:rFonts w:hint="eastAsia" w:ascii="宋体" w:hAnsi="宋体" w:eastAsia="宋体" w:cs="宋体"/>
          <w:color w:val="auto"/>
          <w:sz w:val="24"/>
          <w:szCs w:val="24"/>
          <w:highlight w:val="none"/>
          <w:lang w:eastAsia="zh-CN"/>
        </w:rPr>
        <w:t>中小</w:t>
      </w:r>
      <w:r>
        <w:rPr>
          <w:rFonts w:hint="eastAsia" w:ascii="宋体" w:hAnsi="宋体" w:eastAsia="宋体" w:cs="宋体"/>
          <w:color w:val="auto"/>
          <w:sz w:val="24"/>
          <w:szCs w:val="24"/>
          <w:highlight w:val="none"/>
        </w:rPr>
        <w:t>企业采购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投标人属于依据国务院批准的中小企业划分标准确定的</w:t>
      </w:r>
      <w:r>
        <w:rPr>
          <w:rFonts w:hint="eastAsia" w:ascii="宋体" w:hAnsi="宋体" w:eastAsia="宋体" w:cs="宋体"/>
          <w:color w:val="auto"/>
          <w:sz w:val="24"/>
          <w:szCs w:val="24"/>
          <w:highlight w:val="none"/>
          <w:lang w:eastAsia="zh-CN"/>
        </w:rPr>
        <w:t>中型、</w:t>
      </w:r>
      <w:r>
        <w:rPr>
          <w:rFonts w:hint="eastAsia" w:ascii="宋体" w:hAnsi="宋体" w:eastAsia="宋体" w:cs="宋体"/>
          <w:color w:val="auto"/>
          <w:sz w:val="24"/>
          <w:szCs w:val="24"/>
          <w:highlight w:val="none"/>
        </w:rPr>
        <w:t>小型企业和微型企业，但与大企业的负责人为同一人，或者与大企业存在直接控股、管理关系的除外</w:t>
      </w:r>
      <w:r>
        <w:rPr>
          <w:rFonts w:hint="eastAsia" w:ascii="宋体" w:hAnsi="宋体" w:eastAsia="宋体" w:cs="宋体"/>
          <w:color w:val="auto"/>
          <w:sz w:val="24"/>
          <w:szCs w:val="24"/>
          <w:highlight w:val="none"/>
          <w:lang w:eastAsia="zh-CN"/>
        </w:rPr>
        <w:t>）。</w:t>
      </w:r>
    </w:p>
    <w:p>
      <w:pPr>
        <w:pStyle w:val="7"/>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sz w:val="24"/>
          <w:highlight w:val="none"/>
        </w:rPr>
        <w:t>本项目不允许联合体投标。</w:t>
      </w:r>
    </w:p>
    <w:p>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三、招标文件获取时间和方式：</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1、时间：投标方可在采购文件公告期内获取采购文件，采购文件获取截止时间之后至投标截止前潜在供应商仍可获取招标文件，如对招标文件有疑问的，答疑时间按招标文件规定执行。获取招标文件：免费）。</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2、地点：浙江政府采购网（http://zfcg.czt.zj.gov.cn/）</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3、方式：投标方请在浙江政府采购网上登录并依照要求免费获取招标文件。</w:t>
      </w:r>
    </w:p>
    <w:p>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四、投标截止时间及地点：</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1、提交投标文件截止时间：</w:t>
      </w:r>
      <w:r>
        <w:rPr>
          <w:rFonts w:hint="eastAsia" w:ascii="宋体" w:hAnsi="宋体" w:eastAsia="宋体" w:cs="宋体"/>
          <w:sz w:val="24"/>
          <w:szCs w:val="24"/>
          <w:highlight w:val="none"/>
          <w:lang w:eastAsia="zh-CN"/>
        </w:rPr>
        <w:t>2025年2月17日</w:t>
      </w:r>
      <w:r>
        <w:rPr>
          <w:rFonts w:hint="eastAsia" w:ascii="宋体" w:hAnsi="宋体" w:eastAsia="宋体" w:cs="宋体"/>
          <w:sz w:val="24"/>
          <w:szCs w:val="24"/>
          <w:highlight w:val="none"/>
        </w:rPr>
        <w:t>9:30（北京时间）</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2、投标地点：登录政采云账号，并上传电子加密标书至“政采云”平台，</w:t>
      </w:r>
      <w:r>
        <w:rPr>
          <w:rFonts w:hint="eastAsia" w:ascii="宋体" w:hAnsi="宋体" w:eastAsia="宋体" w:cs="宋体"/>
          <w:b/>
          <w:sz w:val="24"/>
          <w:szCs w:val="24"/>
          <w:highlight w:val="none"/>
        </w:rPr>
        <w:t>逾期或未上传成功的将导致无法投标或投标无效</w:t>
      </w:r>
      <w:r>
        <w:rPr>
          <w:rFonts w:hint="eastAsia" w:ascii="宋体" w:hAnsi="宋体" w:eastAsia="宋体" w:cs="宋体"/>
          <w:sz w:val="24"/>
          <w:szCs w:val="24"/>
          <w:highlight w:val="none"/>
        </w:rPr>
        <w:t>。</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b/>
          <w:sz w:val="24"/>
          <w:szCs w:val="24"/>
          <w:highlight w:val="none"/>
        </w:rPr>
        <w:t>开标时间</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2025年2月17日</w:t>
      </w:r>
      <w:r>
        <w:rPr>
          <w:rFonts w:hint="eastAsia" w:ascii="宋体" w:hAnsi="宋体" w:eastAsia="宋体" w:cs="宋体"/>
          <w:sz w:val="24"/>
          <w:szCs w:val="24"/>
          <w:highlight w:val="none"/>
        </w:rPr>
        <w:t>9:30</w:t>
      </w:r>
      <w:bookmarkStart w:id="29" w:name="_GoBack"/>
      <w:bookmarkEnd w:id="29"/>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b/>
          <w:sz w:val="24"/>
          <w:szCs w:val="24"/>
          <w:highlight w:val="none"/>
        </w:rPr>
        <w:t>开标地点</w:t>
      </w:r>
      <w:r>
        <w:rPr>
          <w:rFonts w:hint="eastAsia" w:ascii="宋体" w:hAnsi="宋体" w:eastAsia="宋体" w:cs="宋体"/>
          <w:sz w:val="24"/>
          <w:szCs w:val="24"/>
          <w:highlight w:val="none"/>
        </w:rPr>
        <w:t>：义乌市望道路300号行政服务中心四楼电子开标室。</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b/>
          <w:sz w:val="24"/>
          <w:szCs w:val="24"/>
          <w:highlight w:val="none"/>
        </w:rPr>
        <w:t>开标时间后1小时内（</w:t>
      </w:r>
      <w:r>
        <w:rPr>
          <w:rFonts w:hint="eastAsia" w:ascii="宋体" w:hAnsi="宋体" w:eastAsia="宋体" w:cs="宋体"/>
          <w:b/>
          <w:sz w:val="24"/>
          <w:szCs w:val="24"/>
          <w:highlight w:val="none"/>
          <w:lang w:eastAsia="zh-CN"/>
        </w:rPr>
        <w:t>2025年2月17日</w:t>
      </w:r>
      <w:r>
        <w:rPr>
          <w:rFonts w:hint="eastAsia" w:ascii="宋体" w:hAnsi="宋体" w:eastAsia="宋体" w:cs="宋体"/>
          <w:b/>
          <w:sz w:val="24"/>
          <w:szCs w:val="24"/>
          <w:highlight w:val="none"/>
        </w:rPr>
        <w:t>10:30前）供应商可以登录“政采云”平台，用“项目采购－开标评标”功能进行解密投标文件</w:t>
      </w:r>
      <w:r>
        <w:rPr>
          <w:rFonts w:hint="eastAsia" w:ascii="宋体" w:hAnsi="宋体" w:eastAsia="宋体" w:cs="宋体"/>
          <w:sz w:val="24"/>
          <w:szCs w:val="24"/>
          <w:highlight w:val="none"/>
        </w:rPr>
        <w:t>。</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备注：为确保采购项目顺利实施，避免因政采云上电子投标文件解密失败导致投标方投标无效，投标方可在</w:t>
      </w:r>
      <w:r>
        <w:rPr>
          <w:rFonts w:hint="eastAsia" w:hAnsi="宋体" w:cs="宋体"/>
          <w:sz w:val="24"/>
          <w:szCs w:val="24"/>
          <w:highlight w:val="none"/>
          <w:lang w:eastAsia="zh-CN"/>
        </w:rPr>
        <w:t>2025年2月17日</w:t>
      </w:r>
      <w:r>
        <w:rPr>
          <w:rFonts w:hint="eastAsia" w:ascii="宋体" w:hAnsi="宋体" w:eastAsia="宋体" w:cs="宋体"/>
          <w:sz w:val="24"/>
          <w:szCs w:val="24"/>
          <w:highlight w:val="none"/>
        </w:rPr>
        <w:t>9:30前将在政采云平台上最后生成的具备电子签章的备份加密投标文件（文件名后缀为备份文件四字的首字母）以电子邮件方式传送至浙江开平企业管理咨询有限公司邮箱（zjkpemc@vip.163.com），传送的备份电子投标文件需打包压缩并加密，加密密码由投标方自行保管，如政采云上电子投标文件出现解密失败情况（开标当日9:30-10:30期间进行解密），投标方可按照自身意愿确认是否同意提供加密密码解密传送至浙江开平企业管理咨询有限公司邮箱（zjkpemc@vip.163.com）的备份文件，并以备份文件作为替代电子投标文件，如投标方未按照规定时间（</w:t>
      </w:r>
      <w:r>
        <w:rPr>
          <w:rFonts w:hint="eastAsia" w:hAnsi="宋体" w:cs="宋体"/>
          <w:sz w:val="24"/>
          <w:szCs w:val="24"/>
          <w:highlight w:val="none"/>
          <w:lang w:eastAsia="zh-CN"/>
        </w:rPr>
        <w:t>2025年2月17日</w:t>
      </w:r>
      <w:r>
        <w:rPr>
          <w:rFonts w:hint="eastAsia" w:ascii="宋体" w:hAnsi="宋体" w:eastAsia="宋体" w:cs="宋体"/>
          <w:sz w:val="24"/>
          <w:szCs w:val="24"/>
          <w:highlight w:val="none"/>
        </w:rPr>
        <w:t>9:30前）及要求提供有效备份文件，同时政采云上投标文件解密失败的，将导致投标无效。</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投标方无需在开标当天，到达开标现场对电子投标文件进行解密。</w:t>
      </w:r>
    </w:p>
    <w:p>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五、公告期限：</w:t>
      </w:r>
      <w:r>
        <w:rPr>
          <w:rFonts w:hint="eastAsia" w:ascii="宋体" w:hAnsi="宋体" w:eastAsia="宋体" w:cs="宋体"/>
          <w:sz w:val="24"/>
          <w:szCs w:val="24"/>
          <w:highlight w:val="none"/>
        </w:rPr>
        <w:t>自本公告发布之日起至第6个工作日24时。</w:t>
      </w:r>
    </w:p>
    <w:p>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六、其他补充事宜</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投标方</w:t>
      </w:r>
      <w:r>
        <w:rPr>
          <w:rFonts w:hint="eastAsia" w:ascii="宋体" w:hAnsi="宋体" w:eastAsia="宋体" w:cs="宋体"/>
          <w:sz w:val="24"/>
          <w:szCs w:val="24"/>
          <w:highlight w:val="none"/>
        </w:rPr>
        <w:t>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w:t>
      </w:r>
      <w:r>
        <w:rPr>
          <w:rFonts w:hint="eastAsia" w:ascii="宋体" w:hAnsi="宋体" w:eastAsia="宋体" w:cs="宋体"/>
          <w:sz w:val="24"/>
          <w:szCs w:val="24"/>
          <w:highlight w:val="none"/>
          <w:lang w:eastAsia="zh-CN"/>
        </w:rPr>
        <w:t>投标方</w:t>
      </w:r>
      <w:r>
        <w:rPr>
          <w:rFonts w:hint="eastAsia" w:ascii="宋体" w:hAnsi="宋体" w:eastAsia="宋体" w:cs="宋体"/>
          <w:sz w:val="24"/>
          <w:szCs w:val="24"/>
          <w:highlight w:val="none"/>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2、投标保证金：无</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3、投标与开标注意事项：</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①本项目实行网上投标，获取文件后供应商即可参投，投标方在投标截止时间之前上传电子投标文件。供应商参与投标，需自行承担投标一切费用。</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标前准备：各供应商应在开标前确保成为浙江省政府采购网正式注册入库供应商，并完成CA数字证书办理。【办理流程详见电子投标工具链接，（目前“政采云”平台仅支持浙江汇信或天谷CA锁，个体工商户投标仅支持浙江汇信CA锁），申领操作流程】。因未注册入库、未办理CA数字证书等原因造成无法投标或投标失败等后果由供应商自行承担。</w:t>
      </w:r>
    </w:p>
    <w:p>
      <w:pPr>
        <w:pStyle w:val="12"/>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投标文件制作：投标人通过“政采云”平台电子投标工具制作投标文件，电子投标工具请供应商自行前往浙江省政府采购网下载并安装，投标文件制作具体流程详见“政采云供应商项目采购－电子招投标操作指南”（请投标供应商登录政采云平台政府采购电子卖场后，点击链接https://service.zcygov.cn/#/knowledges/CW1EtGwBFdiHxlNd6I3m/6IMVAG0BFdiHxlNdQ8Na）以获取最新操作指南。</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4、资格审查：本项目无需报名，供应商可直接参投。供应商资格采用资格后审方式由评标小组进行审查。</w:t>
      </w:r>
    </w:p>
    <w:p>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七、对本次招标提出询问、质疑、投诉，请按以下方式联系：</w:t>
      </w:r>
    </w:p>
    <w:p>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1、采购人信息</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sz w:val="24"/>
          <w:szCs w:val="24"/>
          <w:highlight w:val="none"/>
        </w:rPr>
        <w:t>名    称</w:t>
      </w:r>
      <w:r>
        <w:rPr>
          <w:rFonts w:hint="eastAsia" w:ascii="宋体" w:hAnsi="宋体" w:eastAsia="宋体" w:cs="宋体"/>
          <w:sz w:val="24"/>
          <w:highlight w:val="none"/>
        </w:rPr>
        <w:t>：</w:t>
      </w:r>
      <w:r>
        <w:rPr>
          <w:rFonts w:hint="eastAsia" w:hAnsi="宋体" w:cs="宋体"/>
          <w:kern w:val="0"/>
          <w:sz w:val="24"/>
          <w:highlight w:val="none"/>
          <w:lang w:eastAsia="zh-CN"/>
        </w:rPr>
        <w:t>义乌市民政局</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highlight w:val="none"/>
        </w:rPr>
        <w:t>：义乌市江东街道江东中路2号政府行政4号楼5楼</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项目联系人：</w:t>
      </w:r>
      <w:r>
        <w:rPr>
          <w:rFonts w:hint="eastAsia" w:hAnsi="宋体" w:cs="宋体"/>
          <w:sz w:val="24"/>
          <w:szCs w:val="24"/>
          <w:highlight w:val="none"/>
          <w:lang w:eastAsia="zh-CN"/>
        </w:rPr>
        <w:t>骆先生</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项目联系方式：</w:t>
      </w:r>
      <w:r>
        <w:rPr>
          <w:rFonts w:hint="eastAsia" w:hAnsi="宋体" w:cs="宋体"/>
          <w:sz w:val="24"/>
          <w:szCs w:val="24"/>
          <w:highlight w:val="none"/>
          <w:lang w:val="en-US" w:eastAsia="zh-CN"/>
        </w:rPr>
        <w:t>0579-85435087</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质疑联系人：</w:t>
      </w:r>
      <w:r>
        <w:rPr>
          <w:rFonts w:hint="eastAsia" w:hAnsi="宋体" w:cs="宋体"/>
          <w:sz w:val="24"/>
          <w:szCs w:val="24"/>
          <w:highlight w:val="none"/>
          <w:lang w:eastAsia="zh-CN"/>
        </w:rPr>
        <w:t>傅春</w:t>
      </w:r>
      <w:r>
        <w:rPr>
          <w:rFonts w:hint="eastAsia" w:hAnsi="宋体" w:cs="宋体"/>
          <w:sz w:val="24"/>
          <w:szCs w:val="24"/>
          <w:highlight w:val="none"/>
          <w:lang w:val="en-US" w:eastAsia="zh-CN"/>
        </w:rPr>
        <w:t>莉</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highlight w:val="none"/>
          <w:u w:val="single"/>
          <w:lang w:val="en-US" w:eastAsia="zh-CN"/>
        </w:rPr>
      </w:pPr>
      <w:r>
        <w:rPr>
          <w:rFonts w:hint="eastAsia" w:ascii="宋体" w:hAnsi="宋体" w:eastAsia="宋体" w:cs="宋体"/>
          <w:sz w:val="24"/>
          <w:szCs w:val="24"/>
          <w:highlight w:val="none"/>
        </w:rPr>
        <w:t>质疑联系方式：</w:t>
      </w:r>
      <w:r>
        <w:rPr>
          <w:rFonts w:hint="eastAsia" w:hAnsi="宋体" w:cs="宋体"/>
          <w:sz w:val="24"/>
          <w:szCs w:val="24"/>
          <w:highlight w:val="none"/>
          <w:lang w:val="en-US" w:eastAsia="zh-CN"/>
        </w:rPr>
        <w:t>0579-85316527</w:t>
      </w:r>
    </w:p>
    <w:p>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2、采购代理机构信息</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    称：浙江开平企业管理咨询有限公司 　　　　　　　　　　　</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址：义乌市雪峰西路968号科创园科技大楼B区4楼 　   </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    真：0579-85321521  　</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项目联系人（询问）：徐玲英   　　　　　　　　　　　</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项目联系方式（询问）：0579-85328516</w:t>
      </w:r>
      <w:r>
        <w:rPr>
          <w:rFonts w:hint="eastAsia" w:hAnsi="宋体" w:cs="宋体"/>
          <w:sz w:val="24"/>
          <w:szCs w:val="24"/>
          <w:highlight w:val="none"/>
          <w:lang w:eastAsia="zh-CN"/>
        </w:rPr>
        <w:t>、85317081</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质疑联系人：赵棋明</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质疑联系方式：0579-85317081</w:t>
      </w:r>
    </w:p>
    <w:p>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3、同级政府采购监督管理部门</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  称：义乌市财政局</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址：义乌市望道路300号5楼</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 ：王女士</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监督投诉电话：0579-89915066</w:t>
      </w:r>
    </w:p>
    <w:p>
      <w:pPr>
        <w:rPr>
          <w:rFonts w:ascii="Times New Roman" w:hAnsi="Times New Roman" w:eastAsia="宋体" w:cs="Times New Roman"/>
          <w:highlight w:val="none"/>
        </w:rPr>
      </w:pPr>
      <w:r>
        <w:rPr>
          <w:rFonts w:ascii="Times New Roman" w:hAnsi="Times New Roman" w:eastAsia="宋体" w:cs="Times New Roman"/>
          <w:highlight w:val="none"/>
        </w:rPr>
        <w:br w:type="page"/>
      </w:r>
    </w:p>
    <w:p>
      <w:pPr>
        <w:pStyle w:val="12"/>
        <w:adjustRightInd w:val="0"/>
        <w:snapToGrid w:val="0"/>
        <w:spacing w:line="460" w:lineRule="exact"/>
        <w:ind w:firstLine="1807" w:firstLineChars="500"/>
        <w:outlineLvl w:val="0"/>
        <w:rPr>
          <w:rFonts w:ascii="Times New Roman" w:hAnsi="Times New Roman" w:cs="Times New Roman"/>
          <w:b/>
          <w:sz w:val="24"/>
          <w:highlight w:val="none"/>
        </w:rPr>
      </w:pPr>
      <w:r>
        <w:rPr>
          <w:rFonts w:ascii="Times New Roman" w:hAnsi="Times New Roman" w:cs="Times New Roman"/>
          <w:b/>
          <w:sz w:val="36"/>
          <w:highlight w:val="none"/>
        </w:rPr>
        <w:t>第二章　</w:t>
      </w:r>
      <w:r>
        <w:rPr>
          <w:rFonts w:ascii="Times New Roman" w:hAnsi="Times New Roman" w:cs="Times New Roman"/>
          <w:b/>
          <w:sz w:val="36"/>
          <w:szCs w:val="36"/>
          <w:highlight w:val="none"/>
        </w:rPr>
        <w:t>投标须知和投标须知前附表</w:t>
      </w:r>
    </w:p>
    <w:p>
      <w:pPr>
        <w:tabs>
          <w:tab w:val="center" w:pos="4513"/>
          <w:tab w:val="right" w:pos="7704"/>
        </w:tabs>
        <w:spacing w:line="360" w:lineRule="auto"/>
        <w:ind w:firstLine="602" w:firstLineChars="200"/>
        <w:jc w:val="left"/>
        <w:outlineLvl w:val="1"/>
        <w:rPr>
          <w:rFonts w:ascii="Times New Roman" w:hAnsi="Times New Roman" w:eastAsia="宋体" w:cs="Times New Roman"/>
          <w:b/>
          <w:sz w:val="30"/>
          <w:szCs w:val="30"/>
          <w:highlight w:val="none"/>
        </w:rPr>
      </w:pPr>
      <w:r>
        <w:rPr>
          <w:rFonts w:ascii="Times New Roman" w:hAnsi="Times New Roman" w:eastAsia="宋体" w:cs="Times New Roman"/>
          <w:b/>
          <w:sz w:val="30"/>
          <w:szCs w:val="30"/>
          <w:highlight w:val="none"/>
        </w:rPr>
        <w:tab/>
      </w:r>
      <w:r>
        <w:rPr>
          <w:rFonts w:ascii="Times New Roman" w:hAnsi="Times New Roman" w:eastAsia="宋体" w:cs="Times New Roman"/>
          <w:b/>
          <w:sz w:val="30"/>
          <w:szCs w:val="30"/>
          <w:highlight w:val="none"/>
        </w:rPr>
        <w:t>投标须知前附表</w:t>
      </w:r>
      <w:r>
        <w:rPr>
          <w:rFonts w:ascii="Times New Roman" w:hAnsi="Times New Roman" w:eastAsia="宋体" w:cs="Times New Roman"/>
          <w:b/>
          <w:sz w:val="30"/>
          <w:szCs w:val="30"/>
          <w:highlight w:val="none"/>
        </w:rPr>
        <w:tab/>
      </w:r>
    </w:p>
    <w:tbl>
      <w:tblPr>
        <w:tblStyle w:val="22"/>
        <w:tblW w:w="9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441"/>
        <w:gridCol w:w="7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886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义乌市儿童福利院（义乌市未成年人救助保护中心）</w:t>
            </w:r>
            <w:r>
              <w:rPr>
                <w:rFonts w:hint="eastAsia" w:ascii="宋体" w:hAnsi="宋体" w:eastAsia="宋体" w:cs="宋体"/>
                <w:kern w:val="0"/>
                <w:sz w:val="24"/>
                <w:szCs w:val="24"/>
                <w:highlight w:val="none"/>
              </w:rPr>
              <w:t>优育服务</w:t>
            </w:r>
            <w:r>
              <w:rPr>
                <w:rFonts w:hint="eastAsia" w:ascii="宋体" w:hAnsi="宋体" w:eastAsia="宋体" w:cs="宋体"/>
                <w:sz w:val="24"/>
                <w:szCs w:val="24"/>
                <w:highlight w:val="none"/>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招标方式</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投标单位</w:t>
            </w:r>
          </w:p>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资格要求</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服务期限</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招标文件发售时间和地点</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详见</w:t>
            </w:r>
            <w:r>
              <w:rPr>
                <w:rFonts w:hint="eastAsia" w:ascii="宋体" w:hAnsi="宋体" w:eastAsia="宋体" w:cs="宋体"/>
                <w:kern w:val="0"/>
                <w:sz w:val="24"/>
                <w:szCs w:val="24"/>
                <w:highlight w:val="none"/>
              </w:rPr>
              <w:t>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现场踏勘时间</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方不统一组织投标方前往项目实施场地踏勘，根据项目实际投标需求，投标方可自行前往项目实施场地进行现场探勘，以获取编制投标文件所需资料，如投标方因未现场踏勘原因导致投标文件出现错误或遗漏的，由投标方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招标答疑</w:t>
            </w:r>
          </w:p>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截止时间</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color w:val="auto"/>
                <w:sz w:val="24"/>
                <w:highlight w:val="none"/>
              </w:rPr>
              <w:t>答疑与澄清：投标人如认为招标文件表述不清晰、存在歧视性、排他性或者其他违法内容的，可以自获取采购文件之日或者采购公告期限届满之日（公告期限届满后获取采购文件的，以公告期限届满之日为准）起7个工作日内，以书面递交或传真形式要求招标方作出书面解释、澄清或者向招标方提出书面质疑；本项目不组织答疑会；招标方的答疑内容和书面澄清（更正）文件是招标文件的组成部分，无论是招标方根据需要主动对招标文件进行必要澄清（更正），或是根据投标人的要求对招标文件做出澄清（更正），招标方的答疑内容（招标文件内容如有需修改的）和澄清（更正）文件均会在浙江省政府采购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http://zfcg.czt.zj.gov.cn/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上统一以公告的形式发布，</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在投标截止时间前应充分关注该网上发布的信息，如因</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未及时关注网上发布的信息而导致的一切投标后果由</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自开标之日起60天（日历天）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上传电子投标文件时间</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供应商应于</w:t>
            </w:r>
            <w:r>
              <w:rPr>
                <w:rFonts w:hint="eastAsia" w:ascii="宋体" w:hAnsi="宋体" w:eastAsia="宋体" w:cs="宋体"/>
                <w:b/>
                <w:sz w:val="24"/>
                <w:szCs w:val="24"/>
                <w:highlight w:val="none"/>
                <w:lang w:eastAsia="zh-CN"/>
              </w:rPr>
              <w:t>2025年2月17日</w:t>
            </w:r>
            <w:r>
              <w:rPr>
                <w:rFonts w:hint="eastAsia" w:ascii="宋体" w:hAnsi="宋体" w:eastAsia="宋体" w:cs="宋体"/>
                <w:b/>
                <w:sz w:val="24"/>
                <w:szCs w:val="24"/>
                <w:highlight w:val="none"/>
              </w:rPr>
              <w:t>09</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30前在“政采云”平台上自行加密上传电子投标文件，逾期上传或未按要求上传的投标文件将予以拒收。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开标时间和地点</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开标时间：</w:t>
            </w:r>
            <w:r>
              <w:rPr>
                <w:rFonts w:hint="eastAsia" w:ascii="宋体" w:hAnsi="宋体" w:eastAsia="宋体" w:cs="宋体"/>
                <w:sz w:val="24"/>
                <w:szCs w:val="24"/>
                <w:highlight w:val="none"/>
                <w:lang w:eastAsia="zh-CN"/>
              </w:rPr>
              <w:t>2025年2月17日</w:t>
            </w:r>
            <w:r>
              <w:rPr>
                <w:rFonts w:hint="eastAsia" w:ascii="宋体" w:hAnsi="宋体" w:eastAsia="宋体" w:cs="宋体"/>
                <w:sz w:val="24"/>
                <w:szCs w:val="24"/>
                <w:highlight w:val="none"/>
              </w:rPr>
              <w:t>09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30</w:t>
            </w:r>
          </w:p>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开标地点：义乌市望道路300号义乌市行政服务中心大楼4楼电子开标室</w:t>
            </w:r>
          </w:p>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开标时间后1小时内（</w:t>
            </w:r>
            <w:r>
              <w:rPr>
                <w:rFonts w:hint="eastAsia" w:ascii="宋体" w:hAnsi="宋体" w:eastAsia="宋体" w:cs="宋体"/>
                <w:b/>
                <w:sz w:val="24"/>
                <w:szCs w:val="24"/>
                <w:highlight w:val="none"/>
                <w:lang w:eastAsia="zh-CN"/>
              </w:rPr>
              <w:t>2025年2月17日</w:t>
            </w:r>
            <w:r>
              <w:rPr>
                <w:rFonts w:hint="eastAsia" w:ascii="宋体" w:hAnsi="宋体" w:eastAsia="宋体" w:cs="宋体"/>
                <w:b/>
                <w:sz w:val="24"/>
                <w:szCs w:val="24"/>
                <w:highlight w:val="none"/>
              </w:rPr>
              <w:t>10:30前）供应商可以登录“政采云”平台，用“项目采购－开标评标”功能进行解密投标文件。若供应商在规定时间内无法解密或解密失败，将导致投标无效或失败。</w:t>
            </w:r>
          </w:p>
          <w:p>
            <w:pPr>
              <w:pStyle w:val="12"/>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备注：为确保采购项目顺利实施，避免因政采云上电子投标文件解密失败导致投标方投标无效，投标方可在</w:t>
            </w:r>
            <w:r>
              <w:rPr>
                <w:rFonts w:hint="eastAsia" w:hAnsi="宋体" w:cs="宋体"/>
                <w:kern w:val="0"/>
                <w:sz w:val="24"/>
                <w:szCs w:val="24"/>
                <w:highlight w:val="none"/>
                <w:u w:val="single"/>
                <w:lang w:eastAsia="zh-CN"/>
              </w:rPr>
              <w:t>2025年2月17日</w:t>
            </w:r>
            <w:r>
              <w:rPr>
                <w:rFonts w:hint="eastAsia" w:ascii="宋体" w:hAnsi="宋体" w:eastAsia="宋体" w:cs="宋体"/>
                <w:kern w:val="0"/>
                <w:sz w:val="24"/>
                <w:szCs w:val="24"/>
                <w:highlight w:val="none"/>
                <w:u w:val="single"/>
              </w:rPr>
              <w:t>09:30前将在政采云平台上最后生成的具备电子签章的备份加密投标文件（文件名后缀为备份文件四字的首字母）以电子邮件方式传送至浙江开平企业管理咨询有限公司邮箱（zjkpemc@vip.163.com），传送的备份电子投标文件需打包压缩并加密，加密密码由投标方自行保管，如政采云上电子投标文件出现解密失败情况（开标当日09:30-10:30期间进行解密），投标方可按照自身意愿确认是否同意提供加密密码解密传送至浙江开平企业管理咨询有限公司邮箱（zjkpemc@vip.163.com）的备份文件，并以备份文件作为替代电子投标文件，如投标方未按照规定时间（</w:t>
            </w:r>
            <w:r>
              <w:rPr>
                <w:rFonts w:hint="eastAsia" w:hAnsi="宋体" w:cs="宋体"/>
                <w:kern w:val="0"/>
                <w:sz w:val="24"/>
                <w:szCs w:val="24"/>
                <w:highlight w:val="none"/>
                <w:u w:val="single"/>
                <w:lang w:eastAsia="zh-CN"/>
              </w:rPr>
              <w:t>2025年2月17日</w:t>
            </w:r>
            <w:r>
              <w:rPr>
                <w:rFonts w:hint="eastAsia" w:ascii="宋体" w:hAnsi="宋体" w:eastAsia="宋体" w:cs="宋体"/>
                <w:kern w:val="0"/>
                <w:sz w:val="24"/>
                <w:szCs w:val="24"/>
                <w:highlight w:val="none"/>
                <w:u w:val="single"/>
              </w:rPr>
              <w:t>09</w:t>
            </w:r>
            <w:r>
              <w:rPr>
                <w:rFonts w:hint="eastAsia" w:hAnsi="宋体" w:cs="宋体"/>
                <w:kern w:val="0"/>
                <w:sz w:val="24"/>
                <w:szCs w:val="24"/>
                <w:highlight w:val="none"/>
                <w:u w:val="single"/>
                <w:lang w:eastAsia="zh-CN"/>
              </w:rPr>
              <w:t>:</w:t>
            </w:r>
            <w:r>
              <w:rPr>
                <w:rFonts w:hint="eastAsia" w:ascii="宋体" w:hAnsi="宋体" w:eastAsia="宋体" w:cs="宋体"/>
                <w:kern w:val="0"/>
                <w:sz w:val="24"/>
                <w:szCs w:val="24"/>
                <w:highlight w:val="none"/>
                <w:u w:val="single"/>
              </w:rPr>
              <w:t>30前）及要求提供有效备份文件，同时政采云上投标文件解密失败的，将导致投标无效。</w:t>
            </w:r>
          </w:p>
          <w:p>
            <w:pPr>
              <w:pStyle w:val="12"/>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b/>
                <w:kern w:val="0"/>
                <w:sz w:val="24"/>
                <w:szCs w:val="24"/>
                <w:highlight w:val="none"/>
                <w:u w:val="single"/>
              </w:rPr>
            </w:pPr>
            <w:r>
              <w:rPr>
                <w:rFonts w:hint="eastAsia" w:ascii="宋体" w:hAnsi="宋体" w:eastAsia="宋体" w:cs="宋体"/>
                <w:b/>
                <w:kern w:val="0"/>
                <w:sz w:val="24"/>
                <w:szCs w:val="24"/>
                <w:highlight w:val="none"/>
                <w:u w:val="single"/>
              </w:rPr>
              <w:t>投标方无需在开标当天到达开标现场对电子投标进行解密，可在公司办公场地在规定时间内对电子投标文件进行解密。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评标办法</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1、合同生效且具备实施条件后7个工作日内，采购人向中标人支付合同金额的40%作为预付款。</w:t>
            </w:r>
          </w:p>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2、此项目分4次验收，合同款分4次支付，从预付款中抵扣，直到抵扣完为止，每次验收通过中标方提供发票后7个工作日内支付合同款的25%（实际支付金额以履约验收报告确认最终支付金额为准）。</w:t>
            </w:r>
          </w:p>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在签订合同时，中标方明确表示无需预付款或者主动要求降低预付款比例的，采购单位可不支付或减少预付款支付比例。中标人须在采购人支付预付款前，向采购人提交由银行出具的预付款保函（保函的金额、有效期等在签订合同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1、本项目预算价即为最高限价，投标报价超过最高限价，其投标为无效标。</w:t>
            </w:r>
          </w:p>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2、招标文件中要求投标人在制作投标文件时，提供的复印件必须根据评审细则对评审的内容复印完整、清晰可辨，否则在评审时以最不利于投标人原则评审。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信用记录</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加政府采购活动前三年内，在经营活动中没有重大违法记录。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www.creditchina.gov.cn）、中国政府采购网（www.ccgp.gov.cn）列入失信被执行人、重大税收违法案件当事人名单、政府采购严重违法失信行为记录名单的。</w:t>
            </w:r>
          </w:p>
          <w:p>
            <w:pPr>
              <w:pStyle w:val="29"/>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根据《浙江省公共信用信息管理条例》第二十六条的规定，未列入严重失信名单的（查询结果以开标当日网站页面显示为准）</w:t>
            </w:r>
            <w:r>
              <w:rPr>
                <w:rFonts w:hint="eastAsia" w:ascii="宋体" w:hAnsi="宋体" w:eastAsia="宋体" w:cs="宋体"/>
                <w:sz w:val="24"/>
                <w:szCs w:val="24"/>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政府采购节能环保产品</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val="0"/>
              <w:overflowPunct/>
              <w:topLinePunct w:val="0"/>
              <w:bidi w:val="0"/>
              <w:adjustRightInd/>
              <w:snapToGrid/>
              <w:spacing w:line="240" w:lineRule="auto"/>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1、根据财政部 发展改革委 生态环境部 市场监管总局关于调整优化节能产品、环境标志产品政府采购执行机制的通知财库〔2019〕9号文件要求，投标方所投产品如属于节能产品政府采购品目清单或环境标志产品政府采购品目清单内的，投标人所投的相应产品须在中国政府采购网节能清单查询目录（http://www.ccgp.gov.cn/search/jnqdchaxun.htm）或环保清单查询目录（http://www.ccgp.gov.cn/search/hbqdchaxun.htm）中可查询到。</w:t>
            </w:r>
          </w:p>
          <w:p>
            <w:pPr>
              <w:keepNext w:val="0"/>
              <w:keepLines w:val="0"/>
              <w:pageBreakBefore w:val="0"/>
              <w:kinsoku/>
              <w:overflowPunct/>
              <w:topLinePunct w:val="0"/>
              <w:bidi w:val="0"/>
              <w:adjustRightInd/>
              <w:snapToGrid/>
              <w:spacing w:line="240" w:lineRule="auto"/>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★2、招标需求中要求提供的产品属于节能产品政府采购品目清单中强制采购的，投标人须提供该清单内产品，否则其投标将作为无效标处理。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中小企业优惠措施</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（1）本项目所属行业：</w:t>
            </w:r>
            <w:r>
              <w:rPr>
                <w:rFonts w:hint="eastAsia" w:ascii="宋体" w:hAnsi="宋体" w:eastAsia="宋体" w:cs="宋体"/>
                <w:kern w:val="0"/>
                <w:sz w:val="24"/>
                <w:szCs w:val="24"/>
                <w:highlight w:val="none"/>
                <w:u w:val="single"/>
              </w:rPr>
              <w:t>其他未列明行业</w:t>
            </w:r>
            <w:r>
              <w:rPr>
                <w:rFonts w:hint="eastAsia" w:ascii="宋体" w:hAnsi="宋体" w:eastAsia="宋体" w:cs="宋体"/>
                <w:kern w:val="0"/>
                <w:sz w:val="24"/>
                <w:szCs w:val="24"/>
                <w:highlight w:val="none"/>
                <w:u w:val="single"/>
                <w:lang w:eastAsia="zh-CN"/>
              </w:rPr>
              <w:t>（从业人员300人以下的为中小微型企业。其中,从业人员100人及以上的为中型企业从业人员10人及以上的为小型企业;从业人员10人以下的为微型企业）</w:t>
            </w:r>
            <w:r>
              <w:rPr>
                <w:rFonts w:hint="eastAsia" w:ascii="宋体" w:hAnsi="宋体" w:eastAsia="宋体" w:cs="宋体"/>
                <w:kern w:val="0"/>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kinsoku/>
              <w:overflowPunct/>
              <w:topLinePunct w:val="0"/>
              <w:bidi w:val="0"/>
              <w:adjustRightInd/>
              <w:snapToGrid/>
              <w:spacing w:line="240" w:lineRule="auto"/>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（2）本项目属于预留份额专门面向中小企业采购的项目。</w:t>
            </w:r>
          </w:p>
          <w:p>
            <w:pPr>
              <w:keepNext w:val="0"/>
              <w:keepLines w:val="0"/>
              <w:pageBreakBefore w:val="0"/>
              <w:kinsoku/>
              <w:overflowPunct/>
              <w:topLinePunct w:val="0"/>
              <w:bidi w:val="0"/>
              <w:adjustRightInd/>
              <w:snapToGrid/>
              <w:spacing w:line="240" w:lineRule="auto"/>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（3）根据财库</w:t>
            </w:r>
            <w:r>
              <w:rPr>
                <w:rFonts w:hint="eastAsia" w:ascii="宋体" w:hAnsi="宋体" w:eastAsia="宋体" w:cs="宋体"/>
                <w:sz w:val="24"/>
                <w:szCs w:val="24"/>
                <w:highlight w:val="none"/>
                <w:lang w:eastAsia="zh-CN"/>
              </w:rPr>
              <w:t>〔2020〕46号</w:t>
            </w:r>
            <w:r>
              <w:rPr>
                <w:rFonts w:hint="eastAsia" w:ascii="宋体" w:hAnsi="宋体" w:eastAsia="宋体" w:cs="宋体"/>
                <w:sz w:val="24"/>
                <w:szCs w:val="24"/>
                <w:highlight w:val="none"/>
              </w:rPr>
              <w:t>《政府采购促进中小企业发展管理办法》和财库</w:t>
            </w:r>
            <w:r>
              <w:rPr>
                <w:rFonts w:hint="eastAsia" w:ascii="宋体" w:hAnsi="宋体" w:eastAsia="宋体" w:cs="宋体"/>
                <w:sz w:val="24"/>
                <w:szCs w:val="24"/>
                <w:highlight w:val="none"/>
                <w:lang w:eastAsia="zh-CN"/>
              </w:rPr>
              <w:t>〔2022〕19号</w:t>
            </w:r>
            <w:r>
              <w:rPr>
                <w:rFonts w:hint="eastAsia" w:ascii="宋体" w:hAnsi="宋体" w:eastAsia="宋体" w:cs="宋体"/>
                <w:sz w:val="24"/>
                <w:szCs w:val="24"/>
                <w:highlight w:val="none"/>
              </w:rPr>
              <w:t>《关于进一步加大政府采购支持中小企业力度的通知》的相关规定，预留份额专门面向</w:t>
            </w:r>
            <w:r>
              <w:rPr>
                <w:rFonts w:hint="eastAsia" w:ascii="宋体" w:hAnsi="宋体" w:eastAsia="宋体" w:cs="宋体"/>
                <w:sz w:val="24"/>
                <w:szCs w:val="24"/>
                <w:highlight w:val="none"/>
                <w:lang w:eastAsia="zh-CN"/>
              </w:rPr>
              <w:t>中型、</w:t>
            </w:r>
            <w:r>
              <w:rPr>
                <w:rFonts w:hint="eastAsia" w:ascii="宋体" w:hAnsi="宋体" w:eastAsia="宋体" w:cs="宋体"/>
                <w:sz w:val="24"/>
                <w:szCs w:val="24"/>
                <w:highlight w:val="none"/>
              </w:rPr>
              <w:t>小</w:t>
            </w:r>
            <w:r>
              <w:rPr>
                <w:rFonts w:hint="eastAsia" w:ascii="宋体" w:hAnsi="宋体" w:eastAsia="宋体" w:cs="宋体"/>
                <w:sz w:val="24"/>
                <w:szCs w:val="24"/>
                <w:highlight w:val="none"/>
                <w:lang w:eastAsia="zh-CN"/>
              </w:rPr>
              <w:t>型和</w:t>
            </w:r>
            <w:r>
              <w:rPr>
                <w:rFonts w:hint="eastAsia" w:ascii="宋体" w:hAnsi="宋体" w:eastAsia="宋体" w:cs="宋体"/>
                <w:sz w:val="24"/>
                <w:szCs w:val="24"/>
                <w:highlight w:val="none"/>
              </w:rPr>
              <w:t>微</w:t>
            </w:r>
            <w:r>
              <w:rPr>
                <w:rFonts w:hint="eastAsia" w:ascii="宋体" w:hAnsi="宋体" w:eastAsia="宋体" w:cs="宋体"/>
                <w:sz w:val="24"/>
                <w:szCs w:val="24"/>
                <w:highlight w:val="none"/>
                <w:lang w:eastAsia="zh-CN"/>
              </w:rPr>
              <w:t>型</w:t>
            </w:r>
            <w:r>
              <w:rPr>
                <w:rFonts w:hint="eastAsia" w:ascii="宋体" w:hAnsi="宋体" w:eastAsia="宋体" w:cs="宋体"/>
                <w:sz w:val="24"/>
                <w:szCs w:val="24"/>
                <w:highlight w:val="none"/>
              </w:rPr>
              <w:t>企业采购的采购项目或采购标段，享受</w:t>
            </w:r>
            <w:r>
              <w:rPr>
                <w:rFonts w:hint="eastAsia" w:ascii="宋体" w:hAnsi="宋体" w:eastAsia="宋体" w:cs="宋体"/>
                <w:sz w:val="24"/>
                <w:szCs w:val="24"/>
                <w:highlight w:val="none"/>
                <w:lang w:eastAsia="zh-CN"/>
              </w:rPr>
              <w:t>中</w:t>
            </w:r>
            <w:r>
              <w:rPr>
                <w:rFonts w:hint="eastAsia" w:ascii="宋体" w:hAnsi="宋体" w:eastAsia="宋体" w:cs="宋体"/>
                <w:sz w:val="24"/>
                <w:szCs w:val="24"/>
                <w:highlight w:val="none"/>
              </w:rPr>
              <w:t>小企业扶持政策的投标人应当在投标文件中提供《中小企业声明函》；</w:t>
            </w:r>
          </w:p>
          <w:p>
            <w:pPr>
              <w:keepNext w:val="0"/>
              <w:keepLines w:val="0"/>
              <w:pageBreakBefore w:val="0"/>
              <w:kinsoku/>
              <w:overflowPunct/>
              <w:topLinePunct w:val="0"/>
              <w:bidi w:val="0"/>
              <w:adjustRightInd/>
              <w:snapToGrid/>
              <w:spacing w:line="240" w:lineRule="auto"/>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（4）根据财库</w:t>
            </w:r>
            <w:r>
              <w:rPr>
                <w:rFonts w:hint="eastAsia" w:ascii="宋体" w:hAnsi="宋体" w:eastAsia="宋体" w:cs="宋体"/>
                <w:sz w:val="24"/>
                <w:szCs w:val="24"/>
                <w:highlight w:val="none"/>
                <w:lang w:eastAsia="zh-CN"/>
              </w:rPr>
              <w:t>〔2017〕141号</w:t>
            </w:r>
            <w:r>
              <w:rPr>
                <w:rFonts w:hint="eastAsia" w:ascii="宋体" w:hAnsi="宋体" w:eastAsia="宋体" w:cs="宋体"/>
                <w:sz w:val="24"/>
                <w:szCs w:val="24"/>
                <w:highlight w:val="none"/>
              </w:rPr>
              <w:t>的相关规定，在政府采购活动中，残疾人福利性单位视同小型、微型企业。属于享受政府采购支持政策的残疾人福利性单位，应满足财库</w:t>
            </w:r>
            <w:r>
              <w:rPr>
                <w:rFonts w:hint="eastAsia" w:ascii="宋体" w:hAnsi="宋体" w:eastAsia="宋体" w:cs="宋体"/>
                <w:sz w:val="24"/>
                <w:szCs w:val="24"/>
                <w:highlight w:val="none"/>
                <w:lang w:eastAsia="zh-CN"/>
              </w:rPr>
              <w:t>〔2017〕141号</w:t>
            </w:r>
            <w:r>
              <w:rPr>
                <w:rFonts w:hint="eastAsia" w:ascii="宋体" w:hAnsi="宋体" w:eastAsia="宋体" w:cs="宋体"/>
                <w:sz w:val="24"/>
                <w:szCs w:val="24"/>
                <w:highlight w:val="none"/>
              </w:rPr>
              <w:t>文件第一条的规定，并在投标文件中提供残疾人福利性单位声明函（见附件）。</w:t>
            </w:r>
          </w:p>
          <w:p>
            <w:pPr>
              <w:keepNext w:val="0"/>
              <w:keepLines w:val="0"/>
              <w:pageBreakBefore w:val="0"/>
              <w:kinsoku/>
              <w:overflowPunct/>
              <w:topLinePunct w:val="0"/>
              <w:bidi w:val="0"/>
              <w:adjustRightInd/>
              <w:snapToGrid/>
              <w:spacing w:line="240" w:lineRule="auto"/>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（5）根据财库</w:t>
            </w:r>
            <w:r>
              <w:rPr>
                <w:rFonts w:hint="eastAsia" w:ascii="宋体" w:hAnsi="宋体" w:eastAsia="宋体" w:cs="宋体"/>
                <w:sz w:val="24"/>
                <w:szCs w:val="24"/>
                <w:highlight w:val="none"/>
                <w:lang w:eastAsia="zh-CN"/>
              </w:rPr>
              <w:t>〔2014〕68号</w:t>
            </w:r>
            <w:r>
              <w:rPr>
                <w:rFonts w:hint="eastAsia" w:ascii="宋体" w:hAnsi="宋体" w:eastAsia="宋体" w:cs="宋体"/>
                <w:sz w:val="24"/>
                <w:szCs w:val="24"/>
                <w:highlight w:val="none"/>
              </w:rPr>
              <w:t>的相关规定，在政府采购活动中，监狱企业视同小型、微型企业，并在投标文件中提供由省级以上监狱管理局、戒毒管理局（含新疆生产建设兵团）出具的属于监狱企业的证明文件（格式自拟）。</w:t>
            </w:r>
          </w:p>
          <w:p>
            <w:pPr>
              <w:pStyle w:val="11"/>
              <w:keepNext w:val="0"/>
              <w:keepLines w:val="0"/>
              <w:pageBreakBefore w:val="0"/>
              <w:kinsoku/>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19</w:t>
            </w:r>
          </w:p>
        </w:tc>
        <w:tc>
          <w:tcPr>
            <w:tcW w:w="144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4"/>
                <w:highlight w:val="none"/>
              </w:rPr>
            </w:pPr>
            <w:r>
              <w:rPr>
                <w:rFonts w:hint="eastAsia" w:ascii="宋体" w:hAnsi="宋体" w:eastAsia="宋体" w:cs="宋体"/>
                <w:color w:val="auto"/>
                <w:sz w:val="24"/>
                <w:highlight w:val="none"/>
              </w:rPr>
              <w:t>信用融资</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highlight w:val="none"/>
              </w:rPr>
              <w:t>为支持和促进中小企业发展，进一步发挥政府采购政策功能，根据《浙江省财政厅关于进一步发挥政府采购政策 功能全力推动经济稳进提质的通知》（浙财采监〔2022〕3号），供应商若有融资意向，登录政府采购云平台“金融支撑”栏目进行查询，查看各相关银行服务方案。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失信行为处理</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投标人发生下列情况之一时，除严格依法依规进行处理外，还将通报市信用管理部门，列入严重失信名单：</w:t>
            </w:r>
          </w:p>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（1）投标人在规定的投标有效期内撤回投标或放弃中标的；</w:t>
            </w:r>
          </w:p>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（2）有意串标或提供虚假材料者的；</w:t>
            </w:r>
          </w:p>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（3）中标人在收到中标通知书后，因自身原因不能在投标有效期内和采购人签订合同。</w:t>
            </w:r>
          </w:p>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（4）中标人未在规定时间缴纳招标代理费的。</w:t>
            </w:r>
          </w:p>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（5）中标供应商在标后履约过程中未按合同约定的期限和要求履约的。</w:t>
            </w:r>
          </w:p>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（6）因中标供应商原因在标后履约过程中擅自终止合同的。</w:t>
            </w:r>
          </w:p>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（7）不符合招标文件要求的其他失信行为。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其他采购政策</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投标产品为省级以上主管部门认定的首台套产品（装备）、首批次新材料、首版次软件，自纳入《省推广应用指导目录》起三年内参加政府采购活动，视同已具备相应销售业绩，业绩分为满分。提供相关的材料。</w:t>
            </w:r>
          </w:p>
        </w:tc>
      </w:tr>
    </w:tbl>
    <w:p>
      <w:pPr>
        <w:spacing w:line="360" w:lineRule="auto"/>
        <w:rPr>
          <w:rFonts w:ascii="Times New Roman" w:hAnsi="Times New Roman" w:eastAsia="宋体" w:cs="Times New Roman"/>
          <w:sz w:val="24"/>
          <w:highlight w:val="none"/>
        </w:rPr>
      </w:pPr>
      <w:r>
        <w:rPr>
          <w:rFonts w:ascii="Times New Roman" w:hAnsi="Times New Roman" w:eastAsia="宋体" w:cs="Times New Roman"/>
          <w:sz w:val="24"/>
          <w:highlight w:val="none"/>
        </w:rPr>
        <w:t>注：投标人须知前附表内容与本招标文件后述内容不一致的，以投标须知前附表为准。</w:t>
      </w:r>
    </w:p>
    <w:p>
      <w:pPr>
        <w:jc w:val="center"/>
        <w:rPr>
          <w:rFonts w:ascii="Times New Roman" w:hAnsi="Times New Roman" w:eastAsia="宋体" w:cs="Times New Roman"/>
          <w:b/>
          <w:sz w:val="36"/>
          <w:szCs w:val="36"/>
          <w:highlight w:val="none"/>
        </w:rPr>
      </w:pPr>
      <w:r>
        <w:rPr>
          <w:rFonts w:ascii="Times New Roman" w:hAnsi="Times New Roman" w:eastAsia="宋体" w:cs="Times New Roman"/>
          <w:b/>
          <w:sz w:val="36"/>
          <w:szCs w:val="36"/>
          <w:highlight w:val="none"/>
        </w:rPr>
        <w:t>投标须知</w:t>
      </w:r>
    </w:p>
    <w:p>
      <w:pPr>
        <w:pStyle w:val="5"/>
        <w:rPr>
          <w:rFonts w:ascii="Times New Roman" w:hAnsi="Times New Roman" w:eastAsia="宋体" w:cs="Times New Roman"/>
          <w:sz w:val="24"/>
          <w:szCs w:val="24"/>
          <w:highlight w:val="none"/>
        </w:rPr>
      </w:pPr>
      <w:bookmarkStart w:id="2" w:name="_Toc362250687"/>
      <w:bookmarkStart w:id="3" w:name="_Toc274303229"/>
      <w:r>
        <w:rPr>
          <w:rFonts w:ascii="Times New Roman" w:hAnsi="Times New Roman" w:eastAsia="宋体" w:cs="Times New Roman"/>
          <w:sz w:val="24"/>
          <w:szCs w:val="24"/>
          <w:highlight w:val="none"/>
        </w:rPr>
        <w:t>一、说明</w:t>
      </w:r>
      <w:bookmarkEnd w:id="2"/>
      <w:bookmarkEnd w:id="3"/>
    </w:p>
    <w:p>
      <w:pPr>
        <w:pStyle w:val="10"/>
        <w:spacing w:line="360" w:lineRule="auto"/>
        <w:ind w:firstLine="480" w:firstLineChars="200"/>
        <w:rPr>
          <w:rFonts w:ascii="Times New Roman" w:hAnsi="Times New Roman" w:eastAsia="宋体" w:cs="Times New Roman"/>
          <w:highlight w:val="none"/>
        </w:rPr>
      </w:pPr>
      <w:r>
        <w:rPr>
          <w:rFonts w:ascii="Times New Roman" w:hAnsi="Times New Roman" w:eastAsia="宋体" w:cs="Times New Roman"/>
          <w:highlight w:val="none"/>
        </w:rPr>
        <w:t>1、适用范围</w:t>
      </w:r>
    </w:p>
    <w:p>
      <w:pPr>
        <w:pStyle w:val="10"/>
        <w:spacing w:line="360" w:lineRule="auto"/>
        <w:ind w:firstLine="482" w:firstLineChars="200"/>
        <w:rPr>
          <w:rFonts w:ascii="Times New Roman" w:hAnsi="Times New Roman" w:eastAsia="宋体" w:cs="Times New Roman"/>
          <w:b/>
          <w:bCs/>
          <w:highlight w:val="none"/>
        </w:rPr>
      </w:pPr>
      <w:r>
        <w:rPr>
          <w:rFonts w:ascii="Times New Roman" w:hAnsi="Times New Roman" w:eastAsia="宋体" w:cs="Times New Roman"/>
          <w:b/>
          <w:bCs/>
          <w:highlight w:val="none"/>
        </w:rPr>
        <w:t>1.1 本招标文件仅适用于本次招标采购所叙述的服务项目。</w:t>
      </w:r>
    </w:p>
    <w:p>
      <w:pPr>
        <w:pStyle w:val="10"/>
        <w:spacing w:line="360" w:lineRule="auto"/>
        <w:ind w:firstLine="480" w:firstLineChars="200"/>
        <w:rPr>
          <w:rFonts w:ascii="Times New Roman" w:hAnsi="Times New Roman" w:eastAsia="宋体" w:cs="Times New Roman"/>
          <w:highlight w:val="none"/>
        </w:rPr>
      </w:pPr>
      <w:r>
        <w:rPr>
          <w:rFonts w:ascii="Times New Roman" w:hAnsi="Times New Roman" w:eastAsia="宋体" w:cs="Times New Roman"/>
          <w:highlight w:val="none"/>
        </w:rPr>
        <w:t>2、定义</w:t>
      </w:r>
    </w:p>
    <w:p>
      <w:pPr>
        <w:pStyle w:val="12"/>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2.1采购人：系指</w:t>
      </w:r>
      <w:r>
        <w:rPr>
          <w:rFonts w:hint="eastAsia" w:ascii="Times New Roman" w:hAnsi="Times New Roman" w:cs="Times New Roman"/>
          <w:sz w:val="24"/>
          <w:highlight w:val="none"/>
        </w:rPr>
        <w:t>义乌市</w:t>
      </w:r>
      <w:r>
        <w:rPr>
          <w:rFonts w:hint="eastAsia" w:ascii="Times New Roman" w:hAnsi="Times New Roman" w:cs="Times New Roman"/>
          <w:sz w:val="24"/>
          <w:highlight w:val="none"/>
          <w:lang w:eastAsia="zh-CN"/>
        </w:rPr>
        <w:t>民政局</w:t>
      </w:r>
      <w:r>
        <w:rPr>
          <w:rFonts w:ascii="Times New Roman" w:hAnsi="Times New Roman" w:cs="Times New Roman"/>
          <w:sz w:val="24"/>
          <w:highlight w:val="none"/>
        </w:rPr>
        <w:t>。</w:t>
      </w:r>
    </w:p>
    <w:p>
      <w:pPr>
        <w:pStyle w:val="12"/>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2.2招标代理机构：系指浙江开平企业管理咨询有限公司。</w:t>
      </w:r>
    </w:p>
    <w:p>
      <w:pPr>
        <w:pStyle w:val="12"/>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2.3投标人：系指符合采购公告要求的投标供应商。</w:t>
      </w:r>
    </w:p>
    <w:p>
      <w:pPr>
        <w:pStyle w:val="10"/>
        <w:spacing w:line="360" w:lineRule="auto"/>
        <w:ind w:firstLine="482" w:firstLineChars="200"/>
        <w:rPr>
          <w:rFonts w:ascii="Times New Roman" w:hAnsi="Times New Roman" w:eastAsia="宋体" w:cs="Times New Roman"/>
          <w:b/>
          <w:bCs/>
          <w:highlight w:val="none"/>
        </w:rPr>
      </w:pPr>
      <w:r>
        <w:rPr>
          <w:rFonts w:ascii="Times New Roman" w:hAnsi="Times New Roman" w:eastAsia="宋体" w:cs="Times New Roman"/>
          <w:b/>
          <w:bCs/>
          <w:highlight w:val="none"/>
        </w:rPr>
        <w:t>2.4服务：</w:t>
      </w:r>
      <w:r>
        <w:rPr>
          <w:rFonts w:ascii="Times New Roman" w:hAnsi="Times New Roman" w:eastAsia="宋体" w:cs="Times New Roman"/>
          <w:b/>
          <w:bCs/>
          <w:kern w:val="0"/>
          <w:highlight w:val="none"/>
        </w:rPr>
        <w:t>系指</w:t>
      </w:r>
      <w:r>
        <w:rPr>
          <w:rFonts w:ascii="Times New Roman" w:hAnsi="Times New Roman" w:eastAsia="宋体" w:cs="Times New Roman"/>
          <w:b/>
          <w:highlight w:val="none"/>
        </w:rPr>
        <w:t>招标文件规定投标人须承担的劳务</w:t>
      </w:r>
      <w:r>
        <w:rPr>
          <w:rFonts w:hint="eastAsia" w:ascii="Times New Roman" w:hAnsi="Times New Roman" w:eastAsia="宋体" w:cs="Times New Roman"/>
          <w:b/>
          <w:highlight w:val="none"/>
        </w:rPr>
        <w:t>及其他</w:t>
      </w:r>
      <w:r>
        <w:rPr>
          <w:rFonts w:ascii="Times New Roman" w:hAnsi="Times New Roman" w:eastAsia="宋体" w:cs="Times New Roman"/>
          <w:b/>
          <w:highlight w:val="none"/>
        </w:rPr>
        <w:t>类似的服务</w:t>
      </w:r>
      <w:r>
        <w:rPr>
          <w:rFonts w:ascii="Times New Roman" w:hAnsi="Times New Roman" w:eastAsia="宋体" w:cs="Times New Roman"/>
          <w:b/>
          <w:bCs/>
          <w:highlight w:val="none"/>
        </w:rPr>
        <w:t>。</w:t>
      </w:r>
    </w:p>
    <w:p>
      <w:pPr>
        <w:pStyle w:val="13"/>
        <w:spacing w:after="0" w:line="360" w:lineRule="auto"/>
        <w:ind w:left="0" w:leftChars="0"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2.5货物：系指按招标文件规定投标人须向采购人提供的一切材料、货物、机械、仪器仪表、工具</w:t>
      </w:r>
      <w:r>
        <w:rPr>
          <w:rFonts w:hint="eastAsia" w:ascii="Times New Roman" w:hAnsi="Times New Roman" w:eastAsia="宋体" w:cs="Times New Roman"/>
          <w:sz w:val="24"/>
          <w:highlight w:val="none"/>
        </w:rPr>
        <w:t>及其他有关</w:t>
      </w:r>
      <w:r>
        <w:rPr>
          <w:rFonts w:ascii="Times New Roman" w:hAnsi="Times New Roman" w:eastAsia="宋体" w:cs="Times New Roman"/>
          <w:sz w:val="24"/>
          <w:highlight w:val="none"/>
        </w:rPr>
        <w:t>技术资料和文字材料。</w:t>
      </w:r>
    </w:p>
    <w:p>
      <w:pPr>
        <w:pStyle w:val="10"/>
        <w:spacing w:line="360" w:lineRule="auto"/>
        <w:ind w:firstLine="482" w:firstLineChars="200"/>
        <w:rPr>
          <w:rFonts w:ascii="Times New Roman" w:hAnsi="Times New Roman" w:eastAsia="宋体" w:cs="Times New Roman"/>
          <w:b/>
          <w:highlight w:val="none"/>
        </w:rPr>
      </w:pPr>
      <w:r>
        <w:rPr>
          <w:rFonts w:ascii="Times New Roman" w:hAnsi="Times New Roman" w:eastAsia="宋体" w:cs="Times New Roman"/>
          <w:b/>
          <w:highlight w:val="none"/>
        </w:rPr>
        <w:t>2.6甲方：即采购人，在招投标阶段称为采购人，在签订和执行合同阶段称为甲方。</w:t>
      </w:r>
    </w:p>
    <w:p>
      <w:pPr>
        <w:pStyle w:val="10"/>
        <w:spacing w:line="360" w:lineRule="auto"/>
        <w:ind w:firstLine="482" w:firstLineChars="200"/>
        <w:rPr>
          <w:rFonts w:ascii="Times New Roman" w:hAnsi="Times New Roman" w:eastAsia="宋体" w:cs="Times New Roman"/>
          <w:highlight w:val="none"/>
        </w:rPr>
      </w:pPr>
      <w:r>
        <w:rPr>
          <w:rFonts w:ascii="Times New Roman" w:hAnsi="Times New Roman" w:eastAsia="宋体" w:cs="Times New Roman"/>
          <w:b/>
          <w:highlight w:val="none"/>
        </w:rPr>
        <w:t>2.7乙方：在招投标阶段称为投标人，中标后在签订和执行合同阶段称为乙方。</w:t>
      </w:r>
    </w:p>
    <w:p>
      <w:pPr>
        <w:pStyle w:val="13"/>
        <w:spacing w:after="0" w:line="360" w:lineRule="auto"/>
        <w:ind w:left="0" w:leftChars="0"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2.8“原产地”是指货物开采、生长或生产</w:t>
      </w:r>
      <w:r>
        <w:rPr>
          <w:rFonts w:hint="eastAsia" w:ascii="Times New Roman" w:hAnsi="Times New Roman" w:eastAsia="宋体" w:cs="Times New Roman"/>
          <w:sz w:val="24"/>
          <w:highlight w:val="none"/>
        </w:rPr>
        <w:t>或</w:t>
      </w:r>
      <w:r>
        <w:rPr>
          <w:rFonts w:ascii="Times New Roman" w:hAnsi="Times New Roman" w:eastAsia="宋体" w:cs="Times New Roman"/>
          <w:sz w:val="24"/>
          <w:highlight w:val="none"/>
        </w:rPr>
        <w:t>提供有关服务的来源地。</w:t>
      </w:r>
    </w:p>
    <w:p>
      <w:pPr>
        <w:pStyle w:val="12"/>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2.9中小企业（含中型、小型、微型）：符合中小企业划分标准（工信部联企业</w:t>
      </w:r>
      <w:r>
        <w:rPr>
          <w:rFonts w:hint="eastAsia" w:ascii="Times New Roman" w:hAnsi="Times New Roman" w:cs="Times New Roman"/>
          <w:sz w:val="24"/>
          <w:highlight w:val="none"/>
          <w:lang w:eastAsia="zh-CN"/>
        </w:rPr>
        <w:t>〔2011〕300号</w:t>
      </w:r>
      <w:r>
        <w:rPr>
          <w:rFonts w:ascii="Times New Roman" w:hAnsi="Times New Roman" w:cs="Times New Roman"/>
          <w:sz w:val="24"/>
          <w:highlight w:val="none"/>
        </w:rPr>
        <w:t>）的企业。</w:t>
      </w:r>
    </w:p>
    <w:p>
      <w:pPr>
        <w:pStyle w:val="12"/>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12"/>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2.11残疾人福利性单位：符合《财政部、民政部、中国残疾人联合会关于促进残疾人就业政府采购政策的通知》（财库</w:t>
      </w:r>
      <w:r>
        <w:rPr>
          <w:rFonts w:hint="eastAsia" w:ascii="Times New Roman" w:hAnsi="Times New Roman" w:cs="Times New Roman"/>
          <w:sz w:val="24"/>
          <w:highlight w:val="none"/>
          <w:lang w:eastAsia="zh-CN"/>
        </w:rPr>
        <w:t>〔2017〕141号</w:t>
      </w:r>
      <w:r>
        <w:rPr>
          <w:rFonts w:ascii="Times New Roman" w:hAnsi="Times New Roman" w:cs="Times New Roman"/>
          <w:sz w:val="24"/>
          <w:highlight w:val="none"/>
        </w:rPr>
        <w:t>）的规定单位。</w:t>
      </w:r>
    </w:p>
    <w:p>
      <w:pPr>
        <w:pStyle w:val="12"/>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2.12“★”标记系指必须满足不能负偏离或必须应答的条款。</w:t>
      </w:r>
    </w:p>
    <w:p>
      <w:pPr>
        <w:pStyle w:val="10"/>
        <w:spacing w:line="360" w:lineRule="auto"/>
        <w:ind w:firstLine="480" w:firstLineChars="200"/>
        <w:rPr>
          <w:rFonts w:ascii="Times New Roman" w:hAnsi="Times New Roman" w:eastAsia="宋体" w:cs="Times New Roman"/>
          <w:highlight w:val="none"/>
        </w:rPr>
      </w:pPr>
      <w:r>
        <w:rPr>
          <w:rFonts w:ascii="Times New Roman" w:hAnsi="Times New Roman" w:eastAsia="宋体" w:cs="Times New Roman"/>
          <w:highlight w:val="none"/>
        </w:rPr>
        <w:t>3、合格的投标人</w:t>
      </w:r>
    </w:p>
    <w:p>
      <w:pPr>
        <w:widowControl/>
        <w:tabs>
          <w:tab w:val="left" w:pos="284"/>
          <w:tab w:val="left" w:pos="851"/>
        </w:tabs>
        <w:spacing w:line="360" w:lineRule="auto"/>
        <w:ind w:firstLine="480" w:firstLineChars="200"/>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3.1符合采购公告中要求的条件。</w:t>
      </w:r>
    </w:p>
    <w:p>
      <w:pPr>
        <w:pStyle w:val="12"/>
        <w:spacing w:line="360" w:lineRule="auto"/>
        <w:ind w:firstLine="482" w:firstLineChars="200"/>
        <w:rPr>
          <w:rFonts w:ascii="Times New Roman" w:hAnsi="Times New Roman" w:cs="Times New Roman"/>
          <w:sz w:val="24"/>
          <w:highlight w:val="none"/>
        </w:rPr>
      </w:pPr>
      <w:r>
        <w:rPr>
          <w:rFonts w:ascii="Times New Roman" w:hAnsi="Times New Roman" w:cs="Times New Roman"/>
          <w:b/>
          <w:sz w:val="24"/>
          <w:highlight w:val="none"/>
        </w:rPr>
        <w:t>4、保证</w:t>
      </w:r>
    </w:p>
    <w:p>
      <w:pPr>
        <w:pStyle w:val="12"/>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4.1投标单位应保证所提交给招标机构和采购人的资料和数据是真实的。</w:t>
      </w:r>
    </w:p>
    <w:p>
      <w:pPr>
        <w:pStyle w:val="12"/>
        <w:spacing w:line="360" w:lineRule="auto"/>
        <w:ind w:firstLine="482" w:firstLineChars="200"/>
        <w:rPr>
          <w:rFonts w:ascii="Times New Roman" w:hAnsi="Times New Roman" w:cs="Times New Roman"/>
          <w:b/>
          <w:sz w:val="24"/>
          <w:highlight w:val="none"/>
        </w:rPr>
      </w:pPr>
      <w:r>
        <w:rPr>
          <w:rFonts w:ascii="Times New Roman" w:hAnsi="Times New Roman" w:cs="Times New Roman"/>
          <w:b/>
          <w:sz w:val="24"/>
          <w:highlight w:val="none"/>
        </w:rPr>
        <w:t>5、招标投标费用</w:t>
      </w:r>
    </w:p>
    <w:p>
      <w:pPr>
        <w:pStyle w:val="12"/>
        <w:spacing w:line="360" w:lineRule="auto"/>
        <w:ind w:firstLine="480" w:firstLineChars="200"/>
        <w:rPr>
          <w:rFonts w:ascii="Times New Roman" w:hAnsi="Times New Roman" w:cs="Times New Roman"/>
          <w:b/>
          <w:sz w:val="24"/>
          <w:highlight w:val="none"/>
        </w:rPr>
      </w:pPr>
      <w:r>
        <w:rPr>
          <w:rFonts w:ascii="Times New Roman" w:hAnsi="Times New Roman" w:cs="Times New Roman"/>
          <w:sz w:val="24"/>
          <w:highlight w:val="none"/>
        </w:rPr>
        <w:t>5.1不论投标过程中的做法和结果如何，投标人应承担所有与投标有关的全部费用。采购人和采购代理机构在任何情况下均无义务和责任承担上述这些费用。</w:t>
      </w:r>
    </w:p>
    <w:p>
      <w:pPr>
        <w:pStyle w:val="12"/>
        <w:spacing w:line="360" w:lineRule="auto"/>
        <w:ind w:firstLine="482" w:firstLineChars="200"/>
        <w:rPr>
          <w:rFonts w:ascii="Times New Roman" w:hAnsi="Times New Roman" w:cs="Times New Roman"/>
          <w:b/>
          <w:sz w:val="24"/>
          <w:highlight w:val="none"/>
        </w:rPr>
      </w:pPr>
      <w:r>
        <w:rPr>
          <w:rFonts w:ascii="Times New Roman" w:hAnsi="Times New Roman" w:cs="Times New Roman"/>
          <w:b/>
          <w:sz w:val="24"/>
          <w:highlight w:val="none"/>
        </w:rPr>
        <w:t>6、</w:t>
      </w:r>
      <w:r>
        <w:rPr>
          <w:rFonts w:hint="eastAsia" w:ascii="Times New Roman" w:hAnsi="Times New Roman" w:cs="Times New Roman"/>
          <w:b/>
          <w:sz w:val="24"/>
          <w:highlight w:val="none"/>
        </w:rPr>
        <w:t>现场勘查</w:t>
      </w:r>
    </w:p>
    <w:p>
      <w:pPr>
        <w:pStyle w:val="12"/>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6.1采购方不统一组织投标方前往项目实施场地踏勘，根据项目实际投标需求，投标方可自行前往项目实施场地进行现场探勘，以获取编制投标文件所需资料，如投标方因未现场踏勘原因导致投标文件出现错误或遗漏的，由投标方自行承担责任。</w:t>
      </w:r>
    </w:p>
    <w:p>
      <w:pPr>
        <w:pStyle w:val="12"/>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6.2投标人在考察过程中发生的各类事件及所发生的各项费用，均由投标人自行承担。采购人和代理机构概不负责。</w:t>
      </w:r>
    </w:p>
    <w:p>
      <w:pPr>
        <w:pStyle w:val="12"/>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6.3采购人向投标人提供的有关现场的数据和资料，是采购人现有的能被投标人利用的资料，采购人对投标人据此做出的任何推论、理解和结论不负责任。</w:t>
      </w:r>
    </w:p>
    <w:p>
      <w:pPr>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6.4现场踏勘完毕，将认为投标人</w:t>
      </w:r>
      <w:r>
        <w:rPr>
          <w:rFonts w:hint="eastAsia" w:ascii="Times New Roman" w:hAnsi="Times New Roman" w:eastAsia="宋体" w:cs="Times New Roman"/>
          <w:sz w:val="24"/>
          <w:highlight w:val="none"/>
        </w:rPr>
        <w:t>已了解</w:t>
      </w:r>
      <w:r>
        <w:rPr>
          <w:rFonts w:ascii="Times New Roman" w:hAnsi="Times New Roman" w:eastAsia="宋体" w:cs="Times New Roman"/>
          <w:sz w:val="24"/>
          <w:highlight w:val="none"/>
        </w:rPr>
        <w:t>现场情况，并充分理解了为之所承担的风险、义务和责任。</w:t>
      </w:r>
    </w:p>
    <w:p>
      <w:pPr>
        <w:spacing w:line="360" w:lineRule="auto"/>
        <w:ind w:firstLine="482" w:firstLineChars="200"/>
        <w:rPr>
          <w:rFonts w:ascii="Times New Roman" w:hAnsi="Times New Roman" w:eastAsia="宋体" w:cs="Times New Roman"/>
          <w:b/>
          <w:sz w:val="24"/>
          <w:highlight w:val="none"/>
        </w:rPr>
      </w:pPr>
      <w:r>
        <w:rPr>
          <w:rFonts w:ascii="Times New Roman" w:hAnsi="Times New Roman" w:eastAsia="宋体" w:cs="Times New Roman"/>
          <w:b/>
          <w:sz w:val="24"/>
          <w:highlight w:val="none"/>
        </w:rPr>
        <w:t>7、联合体投标</w:t>
      </w:r>
    </w:p>
    <w:p>
      <w:pPr>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7.1本项目不允许转包分包。</w:t>
      </w:r>
    </w:p>
    <w:p>
      <w:pPr>
        <w:pStyle w:val="29"/>
        <w:outlineLvl w:val="9"/>
        <w:rPr>
          <w:rFonts w:ascii="宋体" w:hAnsi="宋体" w:eastAsia="宋体" w:cs="宋体"/>
          <w:bCs/>
          <w:szCs w:val="24"/>
          <w:highlight w:val="none"/>
        </w:rPr>
      </w:pPr>
      <w:r>
        <w:rPr>
          <w:rFonts w:hint="eastAsia" w:ascii="宋体" w:hAnsi="宋体" w:eastAsia="宋体" w:cs="宋体"/>
          <w:bCs/>
          <w:szCs w:val="24"/>
          <w:highlight w:val="none"/>
          <w:lang w:val="en-US"/>
        </w:rPr>
        <w:t>7.2</w:t>
      </w:r>
      <w:r>
        <w:rPr>
          <w:rFonts w:hint="eastAsia" w:ascii="宋体" w:hAnsi="宋体" w:eastAsia="宋体" w:cs="宋体"/>
          <w:bCs/>
          <w:szCs w:val="24"/>
          <w:highlight w:val="none"/>
        </w:rPr>
        <w:t>本项目不允许联合体投标。</w:t>
      </w:r>
    </w:p>
    <w:p>
      <w:pPr>
        <w:pStyle w:val="29"/>
        <w:ind w:firstLine="0" w:firstLineChars="0"/>
        <w:outlineLvl w:val="2"/>
        <w:rPr>
          <w:rFonts w:ascii="Times New Roman" w:hAnsi="Times New Roman" w:eastAsia="宋体" w:cs="Times New Roman"/>
          <w:b/>
          <w:highlight w:val="none"/>
          <w:lang w:val="en-US"/>
        </w:rPr>
      </w:pPr>
      <w:r>
        <w:rPr>
          <w:rFonts w:ascii="Times New Roman" w:hAnsi="Times New Roman" w:eastAsia="宋体" w:cs="Times New Roman"/>
          <w:b/>
          <w:highlight w:val="none"/>
          <w:lang w:val="en-US"/>
        </w:rPr>
        <w:t>二、招标文件</w:t>
      </w:r>
    </w:p>
    <w:p>
      <w:pPr>
        <w:spacing w:line="360" w:lineRule="auto"/>
        <w:ind w:firstLine="482" w:firstLineChars="200"/>
        <w:rPr>
          <w:rFonts w:ascii="Times New Roman" w:hAnsi="Times New Roman" w:eastAsia="宋体" w:cs="Times New Roman"/>
          <w:b/>
          <w:bCs/>
          <w:sz w:val="24"/>
          <w:highlight w:val="none"/>
        </w:rPr>
      </w:pPr>
      <w:r>
        <w:rPr>
          <w:rFonts w:ascii="Times New Roman" w:hAnsi="Times New Roman" w:eastAsia="宋体" w:cs="Times New Roman"/>
          <w:b/>
          <w:bCs/>
          <w:sz w:val="24"/>
          <w:highlight w:val="none"/>
        </w:rPr>
        <w:t>8、招标文件的组成</w:t>
      </w:r>
    </w:p>
    <w:p>
      <w:pPr>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8.1招标文件包括下列内容：</w:t>
      </w:r>
    </w:p>
    <w:p>
      <w:pPr>
        <w:adjustRightInd w:val="0"/>
        <w:snapToGrid w:val="0"/>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第一章  采购公告</w:t>
      </w:r>
    </w:p>
    <w:p>
      <w:pPr>
        <w:adjustRightInd w:val="0"/>
        <w:snapToGrid w:val="0"/>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第二章  投标须知和投标须知前附表</w:t>
      </w:r>
    </w:p>
    <w:p>
      <w:pPr>
        <w:adjustRightInd w:val="0"/>
        <w:snapToGrid w:val="0"/>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第三章  招标项目内容及技术要求</w:t>
      </w:r>
    </w:p>
    <w:p>
      <w:pPr>
        <w:adjustRightInd w:val="0"/>
        <w:snapToGrid w:val="0"/>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第四章  开标、评标和定标</w:t>
      </w:r>
    </w:p>
    <w:p>
      <w:pPr>
        <w:adjustRightInd w:val="0"/>
        <w:snapToGrid w:val="0"/>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第五章  投标文件的有效性</w:t>
      </w:r>
    </w:p>
    <w:p>
      <w:pPr>
        <w:adjustRightInd w:val="0"/>
        <w:snapToGrid w:val="0"/>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第六章  评标办法</w:t>
      </w:r>
    </w:p>
    <w:p>
      <w:pPr>
        <w:adjustRightInd w:val="0"/>
        <w:snapToGrid w:val="0"/>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第七章  合同主要条款</w:t>
      </w:r>
    </w:p>
    <w:p>
      <w:pPr>
        <w:adjustRightInd w:val="0"/>
        <w:snapToGrid w:val="0"/>
        <w:spacing w:line="360" w:lineRule="auto"/>
        <w:ind w:left="480"/>
        <w:rPr>
          <w:rFonts w:ascii="Times New Roman" w:hAnsi="Times New Roman" w:eastAsia="宋体" w:cs="Times New Roman"/>
          <w:sz w:val="24"/>
          <w:highlight w:val="none"/>
        </w:rPr>
      </w:pPr>
      <w:r>
        <w:rPr>
          <w:rFonts w:ascii="Times New Roman" w:hAnsi="Times New Roman" w:eastAsia="宋体" w:cs="Times New Roman"/>
          <w:sz w:val="24"/>
          <w:highlight w:val="none"/>
        </w:rPr>
        <w:t>第八章  投标文件部分格式</w:t>
      </w:r>
    </w:p>
    <w:p>
      <w:pPr>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8.2除8.1内容外，采购人在提交投标文件截止时间前，以公告形式发出的对招标文件的澄清或修改内容，均为招标文件的组成部分，对采购人和投标人起约束作用。</w:t>
      </w:r>
    </w:p>
    <w:p>
      <w:pPr>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8.3上述所列8.1及8.2条内容均以公告文件为准，采购人（招标代理机构）的任何工作人员对投标人所作的任何口头解释、介绍、答复，对采购人和投标人无任何约束力。</w:t>
      </w:r>
    </w:p>
    <w:p>
      <w:pPr>
        <w:spacing w:line="360" w:lineRule="auto"/>
        <w:ind w:firstLine="480" w:firstLineChars="200"/>
        <w:rPr>
          <w:rFonts w:ascii="Times New Roman" w:hAnsi="Times New Roman" w:eastAsia="宋体" w:cs="Times New Roman"/>
          <w:bCs/>
          <w:sz w:val="24"/>
          <w:highlight w:val="none"/>
        </w:rPr>
      </w:pPr>
      <w:r>
        <w:rPr>
          <w:rFonts w:ascii="Times New Roman" w:hAnsi="Times New Roman" w:eastAsia="宋体" w:cs="Times New Roman"/>
          <w:sz w:val="24"/>
          <w:highlight w:val="none"/>
        </w:rPr>
        <w:t>8.4</w:t>
      </w:r>
      <w:r>
        <w:rPr>
          <w:rFonts w:ascii="Times New Roman" w:hAnsi="Times New Roman" w:eastAsia="宋体" w:cs="Times New Roman"/>
          <w:bCs/>
          <w:sz w:val="24"/>
          <w:highlight w:val="none"/>
        </w:rPr>
        <w:t>投标人应认真阅读投标须知、合同条件、规定格式、项目要求、报价要求等招标文件所有的内容。如果投标人的投标文件不能符合招标文件的要求，责任由投标人自负。实质上不响应招标文件要求的投标文件将被拒绝。</w:t>
      </w:r>
    </w:p>
    <w:p>
      <w:pPr>
        <w:pStyle w:val="21"/>
        <w:spacing w:line="360" w:lineRule="auto"/>
        <w:ind w:left="0" w:leftChars="0"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8.5招标方在政采云系统上设定的内容与招标文件的内容不一致的，以招标文件的内容为准。</w:t>
      </w:r>
    </w:p>
    <w:p>
      <w:pPr>
        <w:spacing w:line="360" w:lineRule="auto"/>
        <w:ind w:firstLine="482" w:firstLineChars="200"/>
        <w:rPr>
          <w:rFonts w:ascii="Times New Roman" w:hAnsi="Times New Roman" w:eastAsia="宋体" w:cs="Times New Roman"/>
          <w:b/>
          <w:bCs/>
          <w:sz w:val="24"/>
          <w:highlight w:val="none"/>
        </w:rPr>
      </w:pPr>
      <w:r>
        <w:rPr>
          <w:rFonts w:ascii="Times New Roman" w:hAnsi="Times New Roman" w:eastAsia="宋体" w:cs="Times New Roman"/>
          <w:b/>
          <w:bCs/>
          <w:sz w:val="24"/>
          <w:highlight w:val="none"/>
        </w:rPr>
        <w:t>9、招标文件的澄清</w:t>
      </w:r>
    </w:p>
    <w:p>
      <w:pPr>
        <w:pStyle w:val="12"/>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9.1投标人若对招标文件有任何疑问，应于前附表规定的时间以书面形式送（传真）至浙江开平企业管理咨询有限公司（义乌市雪峰西路968号科创园科技大楼B区4楼）向采购人和代理机构提出。</w:t>
      </w:r>
    </w:p>
    <w:p>
      <w:pPr>
        <w:pStyle w:val="12"/>
        <w:spacing w:line="360" w:lineRule="auto"/>
        <w:ind w:firstLine="480" w:firstLineChars="200"/>
        <w:rPr>
          <w:rFonts w:ascii="Times New Roman" w:hAnsi="Times New Roman" w:cs="Times New Roman"/>
          <w:sz w:val="24"/>
          <w:szCs w:val="24"/>
          <w:highlight w:val="none"/>
        </w:rPr>
      </w:pPr>
      <w:r>
        <w:rPr>
          <w:rFonts w:ascii="Times New Roman" w:hAnsi="Times New Roman" w:cs="Times New Roman"/>
          <w:sz w:val="24"/>
          <w:highlight w:val="none"/>
        </w:rPr>
        <w:t>9.2无论是采购方根据需要主动对招标文件进行必要澄清，或是根据投标人的要求对招标文件做出澄清，采购方的澄清文件会在浙江省政府采购网</w:t>
      </w:r>
      <w:r>
        <w:rPr>
          <w:rFonts w:hint="eastAsia" w:ascii="Times New Roman" w:hAnsi="Times New Roman" w:cs="Times New Roman"/>
          <w:sz w:val="24"/>
          <w:highlight w:val="none"/>
        </w:rPr>
        <w:t>（</w:t>
      </w:r>
      <w:r>
        <w:rPr>
          <w:rFonts w:ascii="Times New Roman" w:hAnsi="Times New Roman" w:cs="Times New Roman"/>
          <w:sz w:val="24"/>
          <w:highlight w:val="none"/>
        </w:rPr>
        <w:fldChar w:fldCharType="begin"/>
      </w:r>
      <w:r>
        <w:rPr>
          <w:rFonts w:ascii="Times New Roman" w:hAnsi="Times New Roman" w:cs="Times New Roman"/>
          <w:sz w:val="24"/>
          <w:highlight w:val="none"/>
        </w:rPr>
        <w:instrText xml:space="preserve">INCLUDEPICTURE \d "C:\\Users\\admin\\AppData\\Local\\Temp\\%W@GJ$ACOF(TYDYECOKVDYB.png" \* MERGEFORMATINET </w:instrText>
      </w:r>
      <w:r>
        <w:rPr>
          <w:rFonts w:ascii="Times New Roman" w:hAnsi="Times New Roman" w:cs="Times New Roman"/>
          <w:sz w:val="24"/>
          <w:highlight w:val="none"/>
        </w:rPr>
        <w:fldChar w:fldCharType="separate"/>
      </w:r>
      <w:r>
        <w:rPr>
          <w:rFonts w:ascii="Times New Roman" w:hAnsi="Times New Roman" w:cs="Times New Roman"/>
          <w:sz w:val="24"/>
          <w:highlight w:val="none"/>
        </w:rPr>
        <w:drawing>
          <wp:inline distT="0" distB="0" distL="114300" distR="114300">
            <wp:extent cx="190500" cy="142875"/>
            <wp:effectExtent l="0" t="0" r="0" b="9525"/>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7"/>
                    <a:stretch>
                      <a:fillRect/>
                    </a:stretch>
                  </pic:blipFill>
                  <pic:spPr>
                    <a:xfrm>
                      <a:off x="0" y="0"/>
                      <a:ext cx="190500" cy="142875"/>
                    </a:xfrm>
                    <a:prstGeom prst="rect">
                      <a:avLst/>
                    </a:prstGeom>
                    <a:noFill/>
                    <a:ln>
                      <a:noFill/>
                    </a:ln>
                  </pic:spPr>
                </pic:pic>
              </a:graphicData>
            </a:graphic>
          </wp:inline>
        </w:drawing>
      </w:r>
      <w:r>
        <w:rPr>
          <w:rFonts w:ascii="Times New Roman" w:hAnsi="Times New Roman" w:cs="Times New Roman"/>
          <w:sz w:val="24"/>
          <w:highlight w:val="none"/>
        </w:rPr>
        <w:fldChar w:fldCharType="end"/>
      </w:r>
      <w:r>
        <w:rPr>
          <w:rFonts w:ascii="Times New Roman" w:hAnsi="Times New Roman" w:cs="Times New Roman"/>
          <w:sz w:val="24"/>
          <w:highlight w:val="none"/>
        </w:rPr>
        <w:t>http://zfcg.czt.zj.gov.cn/ </w:t>
      </w:r>
      <w:r>
        <w:rPr>
          <w:rFonts w:hint="eastAsia" w:ascii="Times New Roman" w:hAnsi="Times New Roman" w:cs="Times New Roman"/>
          <w:sz w:val="24"/>
          <w:highlight w:val="none"/>
        </w:rPr>
        <w:t>）</w:t>
      </w:r>
      <w:r>
        <w:rPr>
          <w:rFonts w:ascii="Times New Roman" w:hAnsi="Times New Roman" w:cs="Times New Roman"/>
          <w:sz w:val="24"/>
          <w:highlight w:val="none"/>
        </w:rPr>
        <w:t>上统一以公告的形式发布，同时政采云系统会向所有已按招标文件规定方式获取招标文件的潜在供应商发送更正提醒信息，潜在供应商请自行到浙江省政府采网上下载澄清（更正）文件，如因供应商未及时关注网上发布的信息而导致的一切投标后果由供应商自行承担。</w:t>
      </w:r>
    </w:p>
    <w:p>
      <w:pPr>
        <w:pStyle w:val="12"/>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9.3投标人在前附表规定时间未提交疑问的，视作默认对本次招标过程中招标文件无异议，采购人对其提出的问题可以不作解释。</w:t>
      </w:r>
    </w:p>
    <w:p>
      <w:pPr>
        <w:spacing w:line="360" w:lineRule="auto"/>
        <w:ind w:firstLine="480" w:firstLineChars="200"/>
        <w:textAlignment w:val="baseline"/>
        <w:rPr>
          <w:rFonts w:ascii="Times New Roman" w:hAnsi="Times New Roman" w:eastAsia="宋体" w:cs="Times New Roman"/>
          <w:spacing w:val="-4"/>
          <w:sz w:val="24"/>
          <w:highlight w:val="none"/>
        </w:rPr>
      </w:pPr>
      <w:r>
        <w:rPr>
          <w:rFonts w:ascii="Times New Roman" w:hAnsi="Times New Roman" w:eastAsia="宋体" w:cs="Times New Roman"/>
          <w:sz w:val="24"/>
          <w:highlight w:val="none"/>
        </w:rPr>
        <w:t>9.4</w:t>
      </w:r>
      <w:r>
        <w:rPr>
          <w:rFonts w:ascii="Times New Roman" w:hAnsi="Times New Roman" w:eastAsia="宋体" w:cs="Times New Roman"/>
          <w:spacing w:val="-4"/>
          <w:sz w:val="24"/>
          <w:highlight w:val="none"/>
        </w:rPr>
        <w:t>招标文件澄清、修改、补充等内容均以公告形式明确的内容为准。当招标文件、招标文件的澄清、修改、补充等在同一内容的表述上不一致时，以最后发出的公告文件为准。</w:t>
      </w:r>
    </w:p>
    <w:p>
      <w:pPr>
        <w:spacing w:line="360" w:lineRule="auto"/>
        <w:ind w:firstLine="464" w:firstLineChars="200"/>
        <w:rPr>
          <w:rFonts w:ascii="Times New Roman" w:hAnsi="Times New Roman" w:eastAsia="宋体" w:cs="Times New Roman"/>
          <w:spacing w:val="-6"/>
          <w:sz w:val="24"/>
          <w:highlight w:val="none"/>
        </w:rPr>
      </w:pPr>
      <w:r>
        <w:rPr>
          <w:rFonts w:ascii="Times New Roman" w:hAnsi="Times New Roman" w:eastAsia="宋体" w:cs="Times New Roman"/>
          <w:bCs/>
          <w:spacing w:val="-4"/>
          <w:sz w:val="24"/>
          <w:highlight w:val="none"/>
        </w:rPr>
        <w:t>9.5</w:t>
      </w:r>
      <w:r>
        <w:rPr>
          <w:rFonts w:ascii="Times New Roman" w:hAnsi="Times New Roman" w:eastAsia="宋体" w:cs="Times New Roman"/>
          <w:spacing w:val="-6"/>
          <w:sz w:val="24"/>
          <w:highlight w:val="none"/>
        </w:rPr>
        <w:t>采购人及招标代理机构工作人员向投标人所作的任何口头答复或电话通知一律无效。</w:t>
      </w:r>
    </w:p>
    <w:p>
      <w:pPr>
        <w:spacing w:line="360" w:lineRule="auto"/>
        <w:ind w:firstLine="464" w:firstLineChars="200"/>
        <w:textAlignment w:val="baseline"/>
        <w:rPr>
          <w:rFonts w:ascii="Times New Roman" w:hAnsi="Times New Roman" w:eastAsia="宋体" w:cs="Times New Roman"/>
          <w:spacing w:val="-4"/>
          <w:sz w:val="24"/>
          <w:highlight w:val="none"/>
        </w:rPr>
      </w:pPr>
      <w:r>
        <w:rPr>
          <w:rFonts w:ascii="Times New Roman" w:hAnsi="Times New Roman" w:eastAsia="宋体" w:cs="Times New Roman"/>
          <w:spacing w:val="-4"/>
          <w:sz w:val="24"/>
          <w:highlight w:val="none"/>
        </w:rPr>
        <w:t>9.6投标人应仔细阅读和检查招标文件的全部内容。如发现缺页或附件不全，应及时向采购人提出，以便补齐。如有疑问，应在投标人须知前附表规定的方式及时间前以书面或传真形式要求澄清问题的文件，要求采购人对招标文件予以澄清。否则，由此引起的损失由投标人自己承担。</w:t>
      </w:r>
    </w:p>
    <w:p>
      <w:pPr>
        <w:pStyle w:val="29"/>
        <w:ind w:firstLine="0" w:firstLineChars="0"/>
        <w:outlineLvl w:val="2"/>
        <w:rPr>
          <w:rFonts w:ascii="Times New Roman" w:hAnsi="Times New Roman" w:eastAsia="宋体" w:cs="Times New Roman"/>
          <w:b/>
          <w:highlight w:val="none"/>
          <w:lang w:val="en-US"/>
        </w:rPr>
      </w:pPr>
      <w:r>
        <w:rPr>
          <w:rFonts w:ascii="Times New Roman" w:hAnsi="Times New Roman" w:eastAsia="宋体" w:cs="Times New Roman"/>
          <w:b/>
          <w:highlight w:val="none"/>
          <w:lang w:val="en-US"/>
        </w:rPr>
        <w:t>三、投标文件</w:t>
      </w:r>
    </w:p>
    <w:p>
      <w:pPr>
        <w:spacing w:line="360" w:lineRule="auto"/>
        <w:ind w:firstLine="482" w:firstLineChars="200"/>
        <w:rPr>
          <w:rFonts w:ascii="Times New Roman" w:hAnsi="Times New Roman" w:eastAsia="宋体" w:cs="Times New Roman"/>
          <w:sz w:val="24"/>
          <w:highlight w:val="none"/>
        </w:rPr>
      </w:pPr>
      <w:r>
        <w:rPr>
          <w:rFonts w:ascii="Times New Roman" w:hAnsi="Times New Roman" w:eastAsia="宋体" w:cs="Times New Roman"/>
          <w:b/>
          <w:sz w:val="24"/>
          <w:highlight w:val="none"/>
        </w:rPr>
        <w:t>10、</w:t>
      </w:r>
      <w:r>
        <w:rPr>
          <w:rFonts w:ascii="Times New Roman" w:hAnsi="Times New Roman" w:eastAsia="宋体" w:cs="Times New Roman"/>
          <w:b/>
          <w:bCs/>
          <w:sz w:val="24"/>
          <w:highlight w:val="none"/>
        </w:rPr>
        <w:t>投标文件的语言及度量衡单位</w:t>
      </w:r>
    </w:p>
    <w:p>
      <w:pPr>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10.1投标文件和与投标有关的所有文件均应使用汉语。</w:t>
      </w:r>
    </w:p>
    <w:p>
      <w:pPr>
        <w:pStyle w:val="12"/>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10.2除工程规范另有规定外，投标文件使用的度量衡单位，均采用中华人民共和国法定计量单位。</w:t>
      </w:r>
    </w:p>
    <w:p>
      <w:pPr>
        <w:spacing w:line="360" w:lineRule="auto"/>
        <w:ind w:firstLine="482" w:firstLineChars="200"/>
        <w:rPr>
          <w:rFonts w:ascii="Times New Roman" w:hAnsi="Times New Roman" w:eastAsia="宋体" w:cs="Times New Roman"/>
          <w:kern w:val="0"/>
          <w:sz w:val="24"/>
          <w:highlight w:val="none"/>
        </w:rPr>
      </w:pPr>
      <w:r>
        <w:rPr>
          <w:rFonts w:ascii="Times New Roman" w:hAnsi="Times New Roman" w:eastAsia="宋体" w:cs="Times New Roman"/>
          <w:b/>
          <w:bCs/>
          <w:sz w:val="24"/>
          <w:highlight w:val="none"/>
        </w:rPr>
        <w:t>11、对投标文件的要求</w:t>
      </w:r>
    </w:p>
    <w:p>
      <w:pPr>
        <w:pStyle w:val="19"/>
        <w:spacing w:after="0" w:line="360" w:lineRule="auto"/>
        <w:ind w:firstLine="480" w:firstLineChars="200"/>
        <w:jc w:val="left"/>
        <w:textAlignment w:val="baseline"/>
        <w:rPr>
          <w:rFonts w:ascii="Times New Roman" w:hAnsi="Times New Roman" w:eastAsia="宋体" w:cs="Times New Roman"/>
          <w:kern w:val="0"/>
          <w:sz w:val="24"/>
          <w:highlight w:val="none"/>
        </w:rPr>
      </w:pPr>
      <w:r>
        <w:rPr>
          <w:rFonts w:ascii="Times New Roman" w:hAnsi="Times New Roman" w:eastAsia="宋体" w:cs="Times New Roman"/>
          <w:kern w:val="0"/>
          <w:sz w:val="24"/>
          <w:highlight w:val="none"/>
        </w:rPr>
        <w:t>11.1投标人应仔细阅读招标文件，了解招标文件的要求，在完全了解招标项目的要求后，编制投标文件。</w:t>
      </w:r>
    </w:p>
    <w:p>
      <w:pPr>
        <w:pStyle w:val="10"/>
        <w:spacing w:line="360" w:lineRule="auto"/>
        <w:ind w:firstLine="480" w:firstLineChars="200"/>
        <w:jc w:val="left"/>
        <w:rPr>
          <w:rFonts w:ascii="Times New Roman" w:hAnsi="Times New Roman" w:eastAsia="宋体" w:cs="Times New Roman"/>
          <w:kern w:val="0"/>
          <w:highlight w:val="none"/>
        </w:rPr>
      </w:pPr>
      <w:r>
        <w:rPr>
          <w:rFonts w:ascii="Times New Roman" w:hAnsi="Times New Roman" w:eastAsia="宋体" w:cs="Times New Roman"/>
          <w:kern w:val="0"/>
          <w:highlight w:val="none"/>
        </w:rPr>
        <w:t>11.2编制投标文件时，投标人对招标文件中的各个要求须逐项逐条作出实质性回答，</w:t>
      </w:r>
      <w:r>
        <w:rPr>
          <w:rFonts w:ascii="Times New Roman" w:hAnsi="Times New Roman" w:eastAsia="宋体" w:cs="Times New Roman"/>
          <w:highlight w:val="none"/>
        </w:rPr>
        <w:t>若有偏离的均应在规范偏离表中提出。</w:t>
      </w:r>
      <w:r>
        <w:rPr>
          <w:rFonts w:ascii="Times New Roman" w:hAnsi="Times New Roman" w:eastAsia="宋体" w:cs="Times New Roman"/>
          <w:kern w:val="0"/>
          <w:highlight w:val="none"/>
        </w:rPr>
        <w:t>顺序编号清楚，可用描述性文字及说明材料（说明材料必须加盖公章或授权代表签章）。</w:t>
      </w:r>
    </w:p>
    <w:p>
      <w:pPr>
        <w:spacing w:line="360" w:lineRule="auto"/>
        <w:ind w:firstLine="480"/>
        <w:rPr>
          <w:rFonts w:ascii="Times New Roman" w:hAnsi="Times New Roman" w:eastAsia="宋体" w:cs="Times New Roman"/>
          <w:sz w:val="24"/>
          <w:highlight w:val="none"/>
        </w:rPr>
      </w:pPr>
      <w:r>
        <w:rPr>
          <w:rFonts w:ascii="Times New Roman" w:hAnsi="Times New Roman" w:eastAsia="宋体" w:cs="Times New Roman"/>
          <w:sz w:val="24"/>
          <w:highlight w:val="none"/>
        </w:rPr>
        <w:t>11.3 在招标文件对商务技术要求中，投标人必须充分应答和满足用户的强制性的需求，如“★”等，否则将导致投标（响应）无效。</w:t>
      </w:r>
    </w:p>
    <w:p>
      <w:pPr>
        <w:spacing w:line="360" w:lineRule="auto"/>
        <w:ind w:firstLine="480"/>
        <w:rPr>
          <w:rFonts w:ascii="Times New Roman" w:hAnsi="Times New Roman" w:eastAsia="宋体" w:cs="Times New Roman"/>
          <w:bCs/>
          <w:sz w:val="24"/>
          <w:highlight w:val="none"/>
        </w:rPr>
      </w:pPr>
      <w:r>
        <w:rPr>
          <w:rFonts w:ascii="Times New Roman" w:hAnsi="Times New Roman" w:eastAsia="宋体" w:cs="Times New Roman"/>
          <w:sz w:val="24"/>
          <w:highlight w:val="none"/>
        </w:rPr>
        <w:t>11.4</w:t>
      </w:r>
      <w:r>
        <w:rPr>
          <w:rFonts w:ascii="Times New Roman" w:hAnsi="Times New Roman" w:eastAsia="宋体" w:cs="Times New Roman"/>
          <w:bCs/>
          <w:sz w:val="24"/>
          <w:highlight w:val="none"/>
        </w:rPr>
        <w:t>投标人应提供说明其拟提供的合格性及符合招标文件规定的文件，作为其投标文件的一部分。</w:t>
      </w:r>
    </w:p>
    <w:p>
      <w:pPr>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bCs/>
          <w:sz w:val="24"/>
          <w:highlight w:val="none"/>
        </w:rPr>
        <w:t>11.5</w:t>
      </w:r>
      <w:r>
        <w:rPr>
          <w:rFonts w:ascii="Times New Roman" w:hAnsi="Times New Roman" w:eastAsia="宋体" w:cs="Times New Roman"/>
          <w:sz w:val="24"/>
          <w:highlight w:val="none"/>
        </w:rPr>
        <w:t>编制的投标文件对招标文件中有关条款未提出异议的，均被视为接受和同意。</w:t>
      </w:r>
    </w:p>
    <w:p>
      <w:pPr>
        <w:spacing w:line="360" w:lineRule="auto"/>
        <w:ind w:firstLine="480"/>
        <w:rPr>
          <w:rFonts w:ascii="Times New Roman" w:hAnsi="Times New Roman" w:eastAsia="宋体" w:cs="Times New Roman"/>
          <w:b/>
          <w:bCs/>
          <w:sz w:val="24"/>
          <w:highlight w:val="none"/>
        </w:rPr>
      </w:pPr>
      <w:r>
        <w:rPr>
          <w:rFonts w:ascii="Times New Roman" w:hAnsi="Times New Roman" w:eastAsia="宋体" w:cs="Times New Roman"/>
          <w:b/>
          <w:bCs/>
          <w:sz w:val="24"/>
          <w:highlight w:val="none"/>
        </w:rPr>
        <w:t>12、投标文件的组成</w:t>
      </w:r>
    </w:p>
    <w:p>
      <w:pPr>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 xml:space="preserve">12.1 </w:t>
      </w:r>
      <w:r>
        <w:rPr>
          <w:rFonts w:ascii="Times New Roman" w:hAnsi="Times New Roman" w:eastAsia="宋体" w:cs="Times New Roman"/>
          <w:color w:val="000000"/>
          <w:sz w:val="24"/>
          <w:highlight w:val="none"/>
        </w:rPr>
        <w:t>招标文件中“投标文件部分格式”所列的内容、格式及其投标人认为有必要提供的其他文件</w:t>
      </w:r>
      <w:r>
        <w:rPr>
          <w:rFonts w:ascii="Times New Roman" w:hAnsi="Times New Roman" w:eastAsia="宋体" w:cs="Times New Roman"/>
          <w:sz w:val="24"/>
          <w:highlight w:val="none"/>
        </w:rPr>
        <w:t>。</w:t>
      </w:r>
    </w:p>
    <w:p>
      <w:pPr>
        <w:spacing w:line="360" w:lineRule="auto"/>
        <w:ind w:firstLine="482" w:firstLineChars="200"/>
        <w:rPr>
          <w:rFonts w:ascii="Times New Roman" w:hAnsi="Times New Roman" w:eastAsia="宋体" w:cs="Times New Roman"/>
          <w:b/>
          <w:sz w:val="24"/>
          <w:highlight w:val="none"/>
        </w:rPr>
      </w:pPr>
      <w:r>
        <w:rPr>
          <w:rFonts w:ascii="Times New Roman" w:hAnsi="Times New Roman" w:eastAsia="宋体" w:cs="Times New Roman"/>
          <w:b/>
          <w:sz w:val="24"/>
          <w:highlight w:val="none"/>
        </w:rPr>
        <w:t>★12.2 递交的投标文件应分为资格响应文件、商务技术响应文件和报价响应文件，</w:t>
      </w:r>
      <w:r>
        <w:rPr>
          <w:rFonts w:ascii="Times New Roman" w:hAnsi="Times New Roman" w:eastAsia="宋体" w:cs="Times New Roman"/>
          <w:b/>
          <w:color w:val="000000"/>
          <w:sz w:val="24"/>
          <w:highlight w:val="none"/>
        </w:rPr>
        <w:t>资格响应文件、商务技术响应文件</w:t>
      </w:r>
      <w:r>
        <w:rPr>
          <w:rFonts w:ascii="Times New Roman" w:hAnsi="Times New Roman" w:eastAsia="宋体" w:cs="Times New Roman"/>
          <w:b/>
          <w:sz w:val="24"/>
          <w:highlight w:val="none"/>
        </w:rPr>
        <w:t>为除报价响应文件外的所有内容，电子投标文件中所有加盖公章均采用CA签章。</w:t>
      </w:r>
      <w:r>
        <w:rPr>
          <w:rFonts w:ascii="Times New Roman" w:hAnsi="Times New Roman" w:eastAsia="宋体" w:cs="Times New Roman"/>
          <w:b/>
          <w:sz w:val="24"/>
          <w:highlight w:val="none"/>
          <w:u w:val="single"/>
        </w:rPr>
        <w:t>资格响应文件、商务技术响应文件不得含投标报价，否则作无效标处理</w:t>
      </w:r>
      <w:r>
        <w:rPr>
          <w:rFonts w:ascii="Times New Roman" w:hAnsi="Times New Roman" w:eastAsia="宋体" w:cs="Times New Roman"/>
          <w:sz w:val="24"/>
          <w:highlight w:val="none"/>
        </w:rPr>
        <w:t>。</w:t>
      </w:r>
    </w:p>
    <w:p>
      <w:pPr>
        <w:pStyle w:val="12"/>
        <w:spacing w:line="360" w:lineRule="auto"/>
        <w:ind w:firstLine="482" w:firstLineChars="200"/>
        <w:rPr>
          <w:rFonts w:ascii="Times New Roman" w:hAnsi="Times New Roman" w:cs="Times New Roman"/>
          <w:b/>
          <w:bCs/>
          <w:sz w:val="24"/>
          <w:highlight w:val="none"/>
        </w:rPr>
      </w:pPr>
      <w:r>
        <w:rPr>
          <w:rFonts w:ascii="Times New Roman" w:hAnsi="Times New Roman" w:cs="Times New Roman"/>
          <w:b/>
          <w:bCs/>
          <w:sz w:val="24"/>
          <w:szCs w:val="24"/>
          <w:highlight w:val="none"/>
        </w:rPr>
        <w:t>12.3</w:t>
      </w:r>
      <w:r>
        <w:rPr>
          <w:rFonts w:ascii="Times New Roman" w:hAnsi="Times New Roman" w:cs="Times New Roman"/>
          <w:b/>
          <w:bCs/>
          <w:color w:val="000000"/>
          <w:sz w:val="24"/>
          <w:szCs w:val="24"/>
          <w:highlight w:val="none"/>
        </w:rPr>
        <w:t>资格响应文件：</w:t>
      </w:r>
      <w:r>
        <w:rPr>
          <w:rFonts w:ascii="Times New Roman" w:hAnsi="Times New Roman" w:cs="Times New Roman"/>
          <w:b/>
          <w:bCs/>
          <w:color w:val="000000"/>
          <w:sz w:val="24"/>
          <w:highlight w:val="none"/>
        </w:rPr>
        <w:t>应包括下列内容（并不仅限于以下）：</w:t>
      </w:r>
      <w:r>
        <w:rPr>
          <w:rFonts w:hint="eastAsia" w:ascii="Times New Roman" w:hAnsi="Times New Roman" w:cs="Times New Roman"/>
          <w:b/>
          <w:bCs/>
          <w:color w:val="000000"/>
          <w:sz w:val="24"/>
          <w:highlight w:val="none"/>
        </w:rPr>
        <w:t>（</w:t>
      </w:r>
      <w:r>
        <w:rPr>
          <w:rFonts w:ascii="Times New Roman" w:hAnsi="Times New Roman" w:cs="Times New Roman"/>
          <w:b/>
          <w:bCs/>
          <w:color w:val="000000"/>
          <w:sz w:val="24"/>
          <w:highlight w:val="none"/>
        </w:rPr>
        <w:t>复印件需加盖单位公章，提供的所有证书应在有效期内，逾期的无效</w:t>
      </w:r>
      <w:r>
        <w:rPr>
          <w:rFonts w:hint="eastAsia" w:ascii="Times New Roman" w:hAnsi="Times New Roman" w:cs="Times New Roman"/>
          <w:b/>
          <w:bCs/>
          <w:color w:val="000000"/>
          <w:sz w:val="24"/>
          <w:highlight w:val="none"/>
        </w:rPr>
        <w:t>）</w:t>
      </w:r>
    </w:p>
    <w:p>
      <w:pPr>
        <w:pStyle w:val="12"/>
        <w:wordWrap w:val="0"/>
        <w:spacing w:line="360" w:lineRule="auto"/>
        <w:ind w:firstLine="475" w:firstLineChars="198"/>
        <w:rPr>
          <w:rFonts w:hAnsi="宋体" w:cs="宋体"/>
          <w:sz w:val="24"/>
          <w:szCs w:val="24"/>
          <w:highlight w:val="none"/>
        </w:rPr>
      </w:pPr>
      <w:r>
        <w:rPr>
          <w:rFonts w:hint="eastAsia" w:hAnsi="宋体" w:cs="宋体"/>
          <w:sz w:val="24"/>
          <w:szCs w:val="24"/>
          <w:highlight w:val="none"/>
        </w:rPr>
        <w:t>（1）有效的营业执照复印件；</w:t>
      </w:r>
    </w:p>
    <w:p>
      <w:pPr>
        <w:pStyle w:val="12"/>
        <w:wordWrap w:val="0"/>
        <w:spacing w:line="360" w:lineRule="auto"/>
        <w:ind w:firstLine="475" w:firstLineChars="198"/>
        <w:rPr>
          <w:rFonts w:hAnsi="宋体" w:cs="宋体"/>
          <w:sz w:val="24"/>
          <w:szCs w:val="24"/>
          <w:highlight w:val="none"/>
        </w:rPr>
      </w:pPr>
      <w:r>
        <w:rPr>
          <w:rFonts w:hint="eastAsia" w:hAnsi="宋体" w:cs="宋体"/>
          <w:sz w:val="24"/>
          <w:szCs w:val="24"/>
          <w:highlight w:val="none"/>
        </w:rPr>
        <w:t>（2）法定代表人资格申明书、法定代表人身份证复印件；</w:t>
      </w:r>
    </w:p>
    <w:p>
      <w:pPr>
        <w:pStyle w:val="12"/>
        <w:wordWrap w:val="0"/>
        <w:spacing w:line="360" w:lineRule="auto"/>
        <w:ind w:firstLine="475" w:firstLineChars="198"/>
        <w:rPr>
          <w:rFonts w:hAnsi="宋体" w:cs="宋体"/>
          <w:sz w:val="24"/>
          <w:szCs w:val="24"/>
          <w:highlight w:val="none"/>
        </w:rPr>
      </w:pPr>
      <w:r>
        <w:rPr>
          <w:rFonts w:hint="eastAsia" w:hAnsi="宋体" w:cs="宋体"/>
          <w:sz w:val="24"/>
          <w:szCs w:val="24"/>
          <w:highlight w:val="none"/>
        </w:rPr>
        <w:t>（3）授权委托书、授权代表身份证复印件；（适用于授权代表参与投标会）</w:t>
      </w:r>
    </w:p>
    <w:p>
      <w:pPr>
        <w:pStyle w:val="12"/>
        <w:wordWrap w:val="0"/>
        <w:spacing w:line="360" w:lineRule="auto"/>
        <w:ind w:firstLine="475" w:firstLineChars="198"/>
        <w:rPr>
          <w:rFonts w:hAnsi="宋体" w:cs="宋体"/>
          <w:sz w:val="24"/>
          <w:szCs w:val="24"/>
          <w:highlight w:val="none"/>
        </w:rPr>
      </w:pPr>
      <w:r>
        <w:rPr>
          <w:rFonts w:hint="eastAsia" w:hAnsi="宋体" w:cs="宋体"/>
          <w:sz w:val="24"/>
          <w:szCs w:val="24"/>
          <w:highlight w:val="none"/>
        </w:rPr>
        <w:t>★（4）中小企业声明函｛符合中小微企业有关政策的投标人需提供本项材料。投标人应根据《工业和信息化部、国家统计局、国家发展和改革委员会、财政部关于印发中小企业划型标准规定的通知》（工信部联企业〔2011〕300号）规定的划分标准，填报企业规模类型。投标人也可在国务院客户端或工业和信息化部网站上，使用中小企业规模类型自测小程序识别企业规模类型</w:t>
      </w:r>
      <w:r>
        <w:rPr>
          <w:rFonts w:hint="eastAsia" w:hAnsi="宋体" w:cs="宋体"/>
          <w:sz w:val="24"/>
          <w:szCs w:val="24"/>
          <w:highlight w:val="none"/>
          <w:lang w:eastAsia="zh-CN"/>
        </w:rPr>
        <w:t>｝</w:t>
      </w:r>
    </w:p>
    <w:p>
      <w:pPr>
        <w:pStyle w:val="12"/>
        <w:wordWrap w:val="0"/>
        <w:spacing w:line="360" w:lineRule="auto"/>
        <w:ind w:firstLine="475" w:firstLineChars="198"/>
        <w:rPr>
          <w:rFonts w:hAnsi="宋体" w:cs="宋体"/>
          <w:sz w:val="24"/>
          <w:szCs w:val="24"/>
          <w:highlight w:val="none"/>
        </w:rPr>
      </w:pPr>
      <w:r>
        <w:rPr>
          <w:rFonts w:hint="eastAsia" w:hAnsi="宋体" w:cs="宋体"/>
          <w:sz w:val="24"/>
          <w:szCs w:val="24"/>
          <w:highlight w:val="none"/>
        </w:rPr>
        <w:t>（5）省级及以上监狱管理局、戒毒管理局（含新疆生产建设兵团）出具的属于监狱企业的文件扫描件加盖电子签章（符合监狱企业有关政策的投标人需提供本项材料）；</w:t>
      </w:r>
    </w:p>
    <w:p>
      <w:pPr>
        <w:pStyle w:val="12"/>
        <w:wordWrap w:val="0"/>
        <w:spacing w:line="360" w:lineRule="auto"/>
        <w:ind w:firstLine="475" w:firstLineChars="198"/>
        <w:rPr>
          <w:rFonts w:hAnsi="宋体" w:cs="宋体"/>
          <w:sz w:val="24"/>
          <w:szCs w:val="24"/>
          <w:highlight w:val="none"/>
        </w:rPr>
      </w:pPr>
      <w:r>
        <w:rPr>
          <w:rFonts w:hint="eastAsia" w:hAnsi="宋体" w:cs="宋体"/>
          <w:sz w:val="24"/>
          <w:szCs w:val="24"/>
          <w:highlight w:val="none"/>
        </w:rPr>
        <w:t>（6）残疾人福利性单位声明函（如有）（符合残疾人福利性单位有关政策的投标人需提供本项材料）；</w:t>
      </w:r>
    </w:p>
    <w:p>
      <w:pPr>
        <w:pStyle w:val="12"/>
        <w:wordWrap w:val="0"/>
        <w:spacing w:line="360" w:lineRule="auto"/>
        <w:ind w:firstLine="475" w:firstLineChars="198"/>
        <w:rPr>
          <w:rFonts w:hAnsi="宋体" w:cs="宋体"/>
          <w:sz w:val="24"/>
          <w:szCs w:val="24"/>
          <w:highlight w:val="none"/>
        </w:rPr>
      </w:pPr>
      <w:r>
        <w:rPr>
          <w:rFonts w:hint="eastAsia" w:hAnsi="宋体" w:cs="宋体"/>
          <w:sz w:val="24"/>
          <w:szCs w:val="24"/>
          <w:highlight w:val="none"/>
        </w:rPr>
        <w:t>（7）提供采购公告中符合投标人特定条件要求的有效的其他资质复印件并加盖公司公章及需要说明的资料。</w:t>
      </w:r>
    </w:p>
    <w:p>
      <w:pPr>
        <w:spacing w:line="360" w:lineRule="auto"/>
        <w:ind w:firstLine="482" w:firstLineChars="200"/>
        <w:rPr>
          <w:rFonts w:ascii="Times New Roman" w:hAnsi="Times New Roman" w:eastAsia="宋体" w:cs="Times New Roman"/>
          <w:sz w:val="24"/>
          <w:highlight w:val="none"/>
        </w:rPr>
      </w:pPr>
      <w:r>
        <w:rPr>
          <w:rFonts w:ascii="Times New Roman" w:hAnsi="Times New Roman" w:eastAsia="宋体" w:cs="Times New Roman"/>
          <w:b/>
          <w:bCs/>
          <w:sz w:val="24"/>
          <w:highlight w:val="none"/>
        </w:rPr>
        <w:t>12.4商务技术响应文件：应包括下列内容（并不仅限于以下）：</w:t>
      </w:r>
      <w:r>
        <w:rPr>
          <w:rFonts w:hint="eastAsia" w:ascii="Times New Roman" w:hAnsi="Times New Roman" w:eastAsia="宋体" w:cs="Times New Roman"/>
          <w:b/>
          <w:bCs/>
          <w:sz w:val="24"/>
          <w:highlight w:val="none"/>
        </w:rPr>
        <w:t>（</w:t>
      </w:r>
      <w:r>
        <w:rPr>
          <w:rFonts w:ascii="Times New Roman" w:hAnsi="Times New Roman" w:eastAsia="宋体" w:cs="Times New Roman"/>
          <w:b/>
          <w:bCs/>
          <w:sz w:val="24"/>
          <w:highlight w:val="none"/>
        </w:rPr>
        <w:t>复印件需加盖单位公章，提供的所有证书应在有效期内，逾期的无效</w:t>
      </w:r>
      <w:r>
        <w:rPr>
          <w:rFonts w:hint="eastAsia" w:ascii="Times New Roman" w:hAnsi="Times New Roman" w:eastAsia="宋体" w:cs="Times New Roman"/>
          <w:b/>
          <w:bCs/>
          <w:sz w:val="24"/>
          <w:highlight w:val="none"/>
        </w:rPr>
        <w:t>）</w:t>
      </w:r>
    </w:p>
    <w:p>
      <w:pPr>
        <w:pStyle w:val="12"/>
        <w:numPr>
          <w:ilvl w:val="0"/>
          <w:numId w:val="0"/>
        </w:numPr>
        <w:wordWrap w:val="0"/>
        <w:spacing w:line="360" w:lineRule="auto"/>
        <w:ind w:left="0" w:leftChars="0" w:firstLine="420" w:firstLineChars="0"/>
        <w:rPr>
          <w:rFonts w:hAnsi="宋体" w:cs="宋体"/>
          <w:sz w:val="24"/>
          <w:szCs w:val="24"/>
          <w:highlight w:val="none"/>
        </w:rPr>
      </w:pPr>
      <w:r>
        <w:rPr>
          <w:rFonts w:hint="default" w:ascii="宋体" w:hAnsi="宋体" w:eastAsia="宋体" w:cs="宋体"/>
          <w:kern w:val="2"/>
          <w:sz w:val="24"/>
          <w:szCs w:val="24"/>
          <w:highlight w:val="none"/>
          <w:lang w:val="en-US" w:eastAsia="zh-CN" w:bidi="ar-SA"/>
        </w:rPr>
        <w:t>（1）</w:t>
      </w:r>
      <w:r>
        <w:rPr>
          <w:rFonts w:hint="eastAsia" w:hAnsi="宋体" w:cs="宋体"/>
          <w:sz w:val="24"/>
          <w:szCs w:val="24"/>
          <w:highlight w:val="none"/>
        </w:rPr>
        <w:t>项目总体实施方案；</w:t>
      </w:r>
    </w:p>
    <w:p>
      <w:pPr>
        <w:pStyle w:val="12"/>
        <w:numPr>
          <w:ilvl w:val="0"/>
          <w:numId w:val="0"/>
        </w:numPr>
        <w:wordWrap w:val="0"/>
        <w:spacing w:line="360" w:lineRule="auto"/>
        <w:ind w:left="0" w:leftChars="0" w:firstLine="420" w:firstLineChars="0"/>
        <w:rPr>
          <w:rFonts w:hAnsi="宋体" w:cs="宋体"/>
          <w:sz w:val="24"/>
          <w:szCs w:val="24"/>
          <w:highlight w:val="none"/>
        </w:rPr>
      </w:pPr>
      <w:r>
        <w:rPr>
          <w:rFonts w:hint="default" w:ascii="宋体" w:hAnsi="宋体" w:eastAsia="宋体" w:cs="宋体"/>
          <w:kern w:val="2"/>
          <w:sz w:val="24"/>
          <w:szCs w:val="24"/>
          <w:highlight w:val="none"/>
          <w:lang w:val="en-US" w:eastAsia="zh-CN" w:bidi="ar-SA"/>
        </w:rPr>
        <w:t>（2）</w:t>
      </w:r>
      <w:r>
        <w:rPr>
          <w:rFonts w:hint="eastAsia" w:hAnsi="宋体" w:cs="宋体"/>
          <w:sz w:val="24"/>
          <w:szCs w:val="24"/>
          <w:highlight w:val="none"/>
        </w:rPr>
        <w:t>拟投入本项目人员一览表；</w:t>
      </w:r>
    </w:p>
    <w:p>
      <w:pPr>
        <w:pStyle w:val="12"/>
        <w:numPr>
          <w:ilvl w:val="0"/>
          <w:numId w:val="0"/>
        </w:numPr>
        <w:wordWrap w:val="0"/>
        <w:spacing w:line="360" w:lineRule="auto"/>
        <w:ind w:left="0" w:leftChars="0" w:firstLine="420" w:firstLineChars="0"/>
        <w:rPr>
          <w:rFonts w:hAnsi="宋体" w:cs="宋体"/>
          <w:sz w:val="24"/>
          <w:szCs w:val="24"/>
          <w:highlight w:val="none"/>
        </w:rPr>
      </w:pPr>
      <w:r>
        <w:rPr>
          <w:rFonts w:hint="default" w:ascii="宋体" w:hAnsi="宋体" w:eastAsia="宋体" w:cs="宋体"/>
          <w:kern w:val="2"/>
          <w:sz w:val="24"/>
          <w:szCs w:val="24"/>
          <w:highlight w:val="none"/>
          <w:lang w:val="en-US" w:eastAsia="zh-CN" w:bidi="ar-SA"/>
        </w:rPr>
        <w:t>（3）</w:t>
      </w:r>
      <w:r>
        <w:rPr>
          <w:rFonts w:hint="eastAsia" w:hAnsi="宋体" w:cs="宋体"/>
          <w:sz w:val="24"/>
          <w:szCs w:val="24"/>
          <w:highlight w:val="none"/>
        </w:rPr>
        <w:t>培训计划；</w:t>
      </w:r>
    </w:p>
    <w:p>
      <w:pPr>
        <w:pStyle w:val="12"/>
        <w:numPr>
          <w:ilvl w:val="0"/>
          <w:numId w:val="0"/>
        </w:numPr>
        <w:wordWrap w:val="0"/>
        <w:spacing w:line="360" w:lineRule="auto"/>
        <w:ind w:left="0" w:leftChars="0" w:firstLine="420" w:firstLineChars="0"/>
        <w:rPr>
          <w:rFonts w:hAnsi="宋体" w:cs="宋体"/>
          <w:sz w:val="24"/>
          <w:szCs w:val="24"/>
          <w:highlight w:val="none"/>
        </w:rPr>
      </w:pPr>
      <w:r>
        <w:rPr>
          <w:rFonts w:hint="default" w:ascii="宋体" w:hAnsi="宋体" w:eastAsia="宋体" w:cs="宋体"/>
          <w:kern w:val="2"/>
          <w:sz w:val="24"/>
          <w:szCs w:val="24"/>
          <w:highlight w:val="none"/>
          <w:lang w:val="en-US" w:eastAsia="zh-CN" w:bidi="ar-SA"/>
        </w:rPr>
        <w:t>（4）</w:t>
      </w:r>
      <w:r>
        <w:rPr>
          <w:rFonts w:hint="eastAsia" w:hAnsi="宋体" w:cs="宋体"/>
          <w:sz w:val="24"/>
          <w:szCs w:val="24"/>
          <w:highlight w:val="none"/>
        </w:rPr>
        <w:t>服务方案（包含服务方案、工作安排、合理化建议、进度保证措施、技术能力、硬件设备、解决方案等）；</w:t>
      </w:r>
    </w:p>
    <w:p>
      <w:pPr>
        <w:pStyle w:val="12"/>
        <w:numPr>
          <w:ilvl w:val="0"/>
          <w:numId w:val="0"/>
        </w:numPr>
        <w:wordWrap w:val="0"/>
        <w:spacing w:line="360" w:lineRule="auto"/>
        <w:ind w:left="0" w:leftChars="0" w:firstLine="420" w:firstLineChars="0"/>
        <w:rPr>
          <w:rFonts w:hAnsi="宋体" w:cs="宋体"/>
          <w:sz w:val="24"/>
          <w:szCs w:val="24"/>
          <w:highlight w:val="none"/>
        </w:rPr>
      </w:pPr>
      <w:r>
        <w:rPr>
          <w:rFonts w:hint="default" w:ascii="宋体" w:hAnsi="宋体" w:eastAsia="宋体" w:cs="宋体"/>
          <w:kern w:val="2"/>
          <w:sz w:val="24"/>
          <w:szCs w:val="24"/>
          <w:highlight w:val="none"/>
          <w:lang w:val="en-US" w:eastAsia="zh-CN" w:bidi="ar-SA"/>
        </w:rPr>
        <w:t>（5）</w:t>
      </w:r>
      <w:r>
        <w:rPr>
          <w:rFonts w:hint="eastAsia" w:hAnsi="宋体" w:cs="宋体"/>
          <w:sz w:val="24"/>
          <w:szCs w:val="24"/>
          <w:highlight w:val="none"/>
        </w:rPr>
        <w:t>售后服务承诺书；</w:t>
      </w:r>
    </w:p>
    <w:p>
      <w:pPr>
        <w:pStyle w:val="12"/>
        <w:numPr>
          <w:ilvl w:val="0"/>
          <w:numId w:val="0"/>
        </w:numPr>
        <w:wordWrap w:val="0"/>
        <w:spacing w:line="360" w:lineRule="auto"/>
        <w:ind w:left="0" w:leftChars="0" w:firstLine="420" w:firstLineChars="0"/>
        <w:rPr>
          <w:rFonts w:hAnsi="宋体" w:cs="宋体"/>
          <w:sz w:val="24"/>
          <w:szCs w:val="24"/>
          <w:highlight w:val="none"/>
        </w:rPr>
      </w:pPr>
      <w:r>
        <w:rPr>
          <w:rFonts w:hint="default" w:ascii="宋体" w:hAnsi="宋体" w:eastAsia="宋体" w:cs="宋体"/>
          <w:kern w:val="2"/>
          <w:sz w:val="24"/>
          <w:szCs w:val="24"/>
          <w:highlight w:val="none"/>
          <w:lang w:val="en-US" w:eastAsia="zh-CN" w:bidi="ar-SA"/>
        </w:rPr>
        <w:t>（6）</w:t>
      </w:r>
      <w:r>
        <w:rPr>
          <w:rFonts w:hint="eastAsia" w:hAnsi="宋体" w:cs="宋体"/>
          <w:sz w:val="24"/>
          <w:szCs w:val="24"/>
          <w:highlight w:val="none"/>
        </w:rPr>
        <w:t>2021年1月1日以来类似服务项目业绩；</w:t>
      </w:r>
    </w:p>
    <w:p>
      <w:pPr>
        <w:pStyle w:val="12"/>
        <w:numPr>
          <w:ilvl w:val="0"/>
          <w:numId w:val="0"/>
        </w:numPr>
        <w:wordWrap w:val="0"/>
        <w:spacing w:line="360" w:lineRule="auto"/>
        <w:ind w:left="0" w:leftChars="0" w:firstLine="420" w:firstLineChars="0"/>
        <w:rPr>
          <w:rFonts w:hAnsi="宋体" w:cs="宋体"/>
          <w:sz w:val="24"/>
          <w:szCs w:val="24"/>
          <w:highlight w:val="none"/>
        </w:rPr>
      </w:pPr>
      <w:r>
        <w:rPr>
          <w:rFonts w:hint="default" w:ascii="宋体" w:hAnsi="宋体" w:eastAsia="宋体" w:cs="宋体"/>
          <w:kern w:val="2"/>
          <w:sz w:val="24"/>
          <w:szCs w:val="24"/>
          <w:highlight w:val="none"/>
          <w:lang w:val="en-US" w:eastAsia="zh-CN" w:bidi="ar-SA"/>
        </w:rPr>
        <w:t>（7）</w:t>
      </w:r>
      <w:r>
        <w:rPr>
          <w:rFonts w:hint="eastAsia" w:hAnsi="宋体" w:cs="宋体"/>
          <w:sz w:val="24"/>
          <w:szCs w:val="24"/>
          <w:highlight w:val="none"/>
        </w:rPr>
        <w:t>招标文件第三章“招标项目内容及技术要求”中规定需要投标人作出说明或描述的；</w:t>
      </w:r>
    </w:p>
    <w:p>
      <w:pPr>
        <w:pStyle w:val="12"/>
        <w:numPr>
          <w:ilvl w:val="0"/>
          <w:numId w:val="0"/>
        </w:numPr>
        <w:wordWrap w:val="0"/>
        <w:spacing w:line="360" w:lineRule="auto"/>
        <w:ind w:left="0" w:leftChars="0" w:firstLine="420" w:firstLineChars="0"/>
        <w:rPr>
          <w:rFonts w:hAnsi="宋体" w:cs="宋体"/>
          <w:sz w:val="24"/>
          <w:szCs w:val="24"/>
          <w:highlight w:val="none"/>
        </w:rPr>
      </w:pPr>
      <w:r>
        <w:rPr>
          <w:rFonts w:hint="default" w:ascii="宋体" w:hAnsi="宋体" w:eastAsia="宋体" w:cs="宋体"/>
          <w:kern w:val="2"/>
          <w:sz w:val="24"/>
          <w:szCs w:val="24"/>
          <w:highlight w:val="none"/>
          <w:lang w:val="en-US" w:eastAsia="zh-CN" w:bidi="ar-SA"/>
        </w:rPr>
        <w:t>（8）</w:t>
      </w:r>
      <w:r>
        <w:rPr>
          <w:rFonts w:hint="eastAsia" w:hAnsi="宋体" w:cs="宋体"/>
          <w:sz w:val="24"/>
          <w:szCs w:val="24"/>
          <w:highlight w:val="none"/>
        </w:rPr>
        <w:t>★义乌市政府采购项目投标承诺书；</w:t>
      </w:r>
    </w:p>
    <w:p>
      <w:pPr>
        <w:pStyle w:val="12"/>
        <w:numPr>
          <w:ilvl w:val="0"/>
          <w:numId w:val="0"/>
        </w:numPr>
        <w:wordWrap w:val="0"/>
        <w:spacing w:line="360" w:lineRule="auto"/>
        <w:ind w:left="0" w:leftChars="0" w:firstLine="420" w:firstLineChars="0"/>
        <w:rPr>
          <w:rFonts w:hAnsi="宋体" w:cs="宋体"/>
          <w:sz w:val="24"/>
          <w:szCs w:val="24"/>
          <w:highlight w:val="none"/>
        </w:rPr>
      </w:pPr>
      <w:r>
        <w:rPr>
          <w:rFonts w:hint="default" w:ascii="宋体" w:hAnsi="宋体" w:eastAsia="宋体" w:cs="宋体"/>
          <w:kern w:val="2"/>
          <w:sz w:val="24"/>
          <w:szCs w:val="24"/>
          <w:highlight w:val="none"/>
          <w:lang w:val="en-US" w:eastAsia="zh-CN" w:bidi="ar-SA"/>
        </w:rPr>
        <w:t>（9）</w:t>
      </w:r>
      <w:r>
        <w:rPr>
          <w:rFonts w:hint="eastAsia" w:hAnsi="宋体" w:cs="宋体"/>
          <w:sz w:val="24"/>
          <w:szCs w:val="24"/>
          <w:highlight w:val="none"/>
        </w:rPr>
        <w:t>投标人认为须提供的其他资料。</w:t>
      </w:r>
    </w:p>
    <w:p>
      <w:pPr>
        <w:pStyle w:val="12"/>
        <w:spacing w:line="360" w:lineRule="auto"/>
        <w:rPr>
          <w:rFonts w:ascii="Times New Roman" w:hAnsi="Times New Roman" w:cs="Times New Roman"/>
          <w:b/>
          <w:bCs/>
          <w:sz w:val="24"/>
          <w:highlight w:val="none"/>
        </w:rPr>
      </w:pPr>
      <w:r>
        <w:rPr>
          <w:rFonts w:ascii="Times New Roman" w:hAnsi="Times New Roman" w:cs="Times New Roman"/>
          <w:b/>
          <w:bCs/>
          <w:sz w:val="24"/>
          <w:highlight w:val="none"/>
        </w:rPr>
        <w:t>12.5报价响应文件：应包括下列内容（并不仅限于以下）：</w:t>
      </w:r>
    </w:p>
    <w:p>
      <w:pPr>
        <w:pStyle w:val="12"/>
        <w:wordWrap w:val="0"/>
        <w:spacing w:line="360" w:lineRule="auto"/>
        <w:ind w:firstLine="475" w:firstLineChars="198"/>
        <w:rPr>
          <w:rFonts w:hAnsi="宋体" w:cs="宋体"/>
          <w:sz w:val="24"/>
          <w:szCs w:val="24"/>
          <w:highlight w:val="none"/>
        </w:rPr>
      </w:pPr>
      <w:r>
        <w:rPr>
          <w:rFonts w:hint="eastAsia" w:hAnsi="宋体" w:cs="宋体"/>
          <w:sz w:val="24"/>
          <w:szCs w:val="24"/>
          <w:highlight w:val="none"/>
        </w:rPr>
        <w:t>（1）开标一览表；</w:t>
      </w:r>
    </w:p>
    <w:p>
      <w:pPr>
        <w:pStyle w:val="12"/>
        <w:wordWrap w:val="0"/>
        <w:spacing w:line="360" w:lineRule="auto"/>
        <w:ind w:firstLine="480" w:firstLineChars="200"/>
        <w:rPr>
          <w:rFonts w:hAnsi="宋体" w:cs="宋体"/>
          <w:sz w:val="24"/>
          <w:szCs w:val="24"/>
          <w:highlight w:val="none"/>
        </w:rPr>
      </w:pPr>
      <w:r>
        <w:rPr>
          <w:rFonts w:hint="eastAsia" w:hAnsi="宋体" w:cs="宋体"/>
          <w:sz w:val="24"/>
          <w:szCs w:val="24"/>
          <w:highlight w:val="none"/>
        </w:rPr>
        <w:t>（</w:t>
      </w:r>
      <w:r>
        <w:rPr>
          <w:rFonts w:hint="eastAsia" w:hAnsi="宋体" w:cs="宋体"/>
          <w:sz w:val="24"/>
          <w:szCs w:val="24"/>
          <w:highlight w:val="none"/>
          <w:lang w:val="en-US" w:eastAsia="zh-CN"/>
        </w:rPr>
        <w:t>2</w:t>
      </w:r>
      <w:r>
        <w:rPr>
          <w:rFonts w:hint="eastAsia" w:hAnsi="宋体" w:cs="宋体"/>
          <w:sz w:val="24"/>
          <w:szCs w:val="24"/>
          <w:highlight w:val="none"/>
        </w:rPr>
        <w:t>）其他投标人认为须提供的资料。</w:t>
      </w:r>
    </w:p>
    <w:p>
      <w:pPr>
        <w:pStyle w:val="10"/>
        <w:spacing w:line="360" w:lineRule="auto"/>
        <w:ind w:firstLine="480" w:firstLineChars="200"/>
        <w:rPr>
          <w:rFonts w:ascii="Times New Roman" w:hAnsi="Times New Roman" w:eastAsia="宋体" w:cs="Times New Roman"/>
          <w:b/>
          <w:bCs/>
          <w:highlight w:val="none"/>
        </w:rPr>
      </w:pPr>
      <w:r>
        <w:rPr>
          <w:rFonts w:ascii="Times New Roman" w:hAnsi="Times New Roman" w:eastAsia="宋体" w:cs="Times New Roman"/>
          <w:highlight w:val="none"/>
        </w:rPr>
        <w:t>13、投标人资格的有关说明资料</w:t>
      </w:r>
    </w:p>
    <w:p>
      <w:pPr>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13.1投标人应提交说明其有资格参加投标和中标后有能力履行合同的文件，并作为其投标文件的一部分。</w:t>
      </w:r>
    </w:p>
    <w:p>
      <w:pPr>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13.2 投标人提交的合格性的说明文件应使采购人满意，投标人在投标时应是符合条件的投标人。</w:t>
      </w:r>
    </w:p>
    <w:p>
      <w:pPr>
        <w:pStyle w:val="12"/>
        <w:spacing w:line="360" w:lineRule="auto"/>
        <w:ind w:firstLine="482" w:firstLineChars="200"/>
        <w:rPr>
          <w:rFonts w:ascii="Times New Roman" w:hAnsi="Times New Roman" w:cs="Times New Roman"/>
          <w:b/>
          <w:bCs/>
          <w:sz w:val="24"/>
          <w:highlight w:val="none"/>
        </w:rPr>
      </w:pPr>
      <w:r>
        <w:rPr>
          <w:rFonts w:ascii="Times New Roman" w:hAnsi="Times New Roman" w:cs="Times New Roman"/>
          <w:b/>
          <w:bCs/>
          <w:sz w:val="24"/>
          <w:highlight w:val="none"/>
        </w:rPr>
        <w:t>14、报价要求</w:t>
      </w:r>
    </w:p>
    <w:p>
      <w:pPr>
        <w:pStyle w:val="12"/>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14.1投标人应根据国家的有关规定和招标文件要求并结合企业的实际情况进行报价。报价以人民币为结算货币，投标报价包括职工工资、福利、社会保险费用（包括养老、工伤、失业、医疗、生育等）等费用，利润、税金、完成本项目</w:t>
      </w:r>
      <w:r>
        <w:rPr>
          <w:rFonts w:hint="eastAsia" w:ascii="Times New Roman" w:hAnsi="Times New Roman" w:cs="Times New Roman"/>
          <w:sz w:val="24"/>
          <w:highlight w:val="none"/>
        </w:rPr>
        <w:t>的其他</w:t>
      </w:r>
      <w:r>
        <w:rPr>
          <w:rFonts w:ascii="Times New Roman" w:hAnsi="Times New Roman" w:cs="Times New Roman"/>
          <w:sz w:val="24"/>
          <w:highlight w:val="none"/>
        </w:rPr>
        <w:t>费用和政策性文件规定及合同包含的所有风险、责任等各项应有费用，如有漏项，视同已包含在其总项目中，合同总价不予调整。</w:t>
      </w:r>
    </w:p>
    <w:p>
      <w:pPr>
        <w:pStyle w:val="12"/>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14.2投标文件报价出现前后不一致的，按照下列规定修正：</w:t>
      </w:r>
    </w:p>
    <w:p>
      <w:pPr>
        <w:pStyle w:val="12"/>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（1）投标文件中开标一览表（报价表）内容与投标文件中相应内容不一致的，以开标一览表（报价表）为准；</w:t>
      </w:r>
    </w:p>
    <w:p>
      <w:pPr>
        <w:pStyle w:val="12"/>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（2）大写金额和小写金额不一致的，以大写金额为准；</w:t>
      </w:r>
    </w:p>
    <w:p>
      <w:pPr>
        <w:pStyle w:val="12"/>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（3）单价金额小数点或者百分比有明显错位的，以开标一览表的总价为准，并修改单价；</w:t>
      </w:r>
    </w:p>
    <w:p>
      <w:pPr>
        <w:pStyle w:val="12"/>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（4）总价金额与按单价汇总金额不一致的，以单价金额计算结果为准。</w:t>
      </w:r>
    </w:p>
    <w:p>
      <w:pPr>
        <w:pStyle w:val="12"/>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（5）同时出现两种以上不一致的，按照前款规定的顺序修正。修正后的报价由投标人法定代表人或其授权代表确认后产生约束力，投标人不确认的，其投标无效。</w:t>
      </w:r>
    </w:p>
    <w:p>
      <w:pPr>
        <w:pStyle w:val="12"/>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14.3中标后，中标人所填写的单价在合同实施期间不因市场变化因素而变动；投标人在计算报价时应考虑一定的风险系数。</w:t>
      </w:r>
    </w:p>
    <w:p>
      <w:pPr>
        <w:pStyle w:val="12"/>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14.4投标人应按招标文件规定的报价格式进行投标报价。投标人对每项服务只允许有一个报价，采购人不接受任何有选择性的报价。</w:t>
      </w:r>
    </w:p>
    <w:p>
      <w:pPr>
        <w:pStyle w:val="12"/>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14.5</w:t>
      </w:r>
      <w:r>
        <w:rPr>
          <w:rFonts w:ascii="Times New Roman" w:hAnsi="Times New Roman" w:cs="Times New Roman"/>
          <w:spacing w:val="-8"/>
          <w:sz w:val="24"/>
          <w:highlight w:val="none"/>
        </w:rPr>
        <w:t>采购人不接受低于成本的投标报价，也不接受招标项目范围内的捐赠。</w:t>
      </w:r>
    </w:p>
    <w:p>
      <w:pPr>
        <w:pStyle w:val="12"/>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14.6投标人按照上述要求编制投标报价。一旦确认某一投标人中标，除合同规定的可调整内容外，中标人不得要求追加任何费用。</w:t>
      </w:r>
    </w:p>
    <w:p>
      <w:pPr>
        <w:pStyle w:val="12"/>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14.7须由中标单位开具正式发票。</w:t>
      </w:r>
    </w:p>
    <w:p>
      <w:pPr>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14.8招标文件中规定由投标人承担并支付的相关费用在投标报价时应一并考虑。</w:t>
      </w:r>
    </w:p>
    <w:p>
      <w:pPr>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14.9投标人应按招标文件</w:t>
      </w:r>
      <w:r>
        <w:rPr>
          <w:rFonts w:hint="eastAsia" w:ascii="Times New Roman" w:hAnsi="Times New Roman" w:eastAsia="宋体" w:cs="Times New Roman"/>
          <w:sz w:val="24"/>
          <w:highlight w:val="none"/>
        </w:rPr>
        <w:t>及</w:t>
      </w:r>
      <w:r>
        <w:rPr>
          <w:rFonts w:ascii="Times New Roman" w:hAnsi="Times New Roman" w:eastAsia="宋体" w:cs="Times New Roman"/>
          <w:sz w:val="24"/>
          <w:highlight w:val="none"/>
        </w:rPr>
        <w:t>规定的格式及内容填写报价等相关表格。对没有填报的费用，招标人将不予支付，并认为此项费用已包含在投标总价中。</w:t>
      </w:r>
    </w:p>
    <w:p>
      <w:pPr>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14.10在施工中出现任何安全事故由投标人负全责。</w:t>
      </w:r>
    </w:p>
    <w:p>
      <w:pPr>
        <w:spacing w:line="360" w:lineRule="auto"/>
        <w:ind w:firstLine="482" w:firstLineChars="200"/>
        <w:rPr>
          <w:rFonts w:ascii="Times New Roman" w:hAnsi="Times New Roman" w:eastAsia="宋体" w:cs="Times New Roman"/>
          <w:b/>
          <w:bCs/>
          <w:sz w:val="24"/>
          <w:highlight w:val="none"/>
        </w:rPr>
      </w:pPr>
      <w:r>
        <w:rPr>
          <w:rFonts w:ascii="Times New Roman" w:hAnsi="Times New Roman" w:eastAsia="宋体" w:cs="Times New Roman"/>
          <w:b/>
          <w:bCs/>
          <w:sz w:val="24"/>
          <w:highlight w:val="none"/>
        </w:rPr>
        <w:t>15、投标文件格式</w:t>
      </w:r>
    </w:p>
    <w:p>
      <w:pPr>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投标人提交的投标文件应当使用招标文件所提供的投标文件格式，表格格式在不改变格式内容的情况下可自行制作。在所提供表格格式之外，投标人可以增加自行设计的表格及内容，以便更细致全面地说明其能力。</w:t>
      </w:r>
    </w:p>
    <w:p>
      <w:pPr>
        <w:pStyle w:val="12"/>
        <w:spacing w:line="360" w:lineRule="auto"/>
        <w:ind w:firstLine="482" w:firstLineChars="200"/>
        <w:rPr>
          <w:rFonts w:ascii="Times New Roman" w:hAnsi="Times New Roman" w:cs="Times New Roman"/>
          <w:b/>
          <w:bCs/>
          <w:sz w:val="24"/>
          <w:highlight w:val="none"/>
        </w:rPr>
      </w:pPr>
      <w:r>
        <w:rPr>
          <w:rFonts w:ascii="Times New Roman" w:hAnsi="Times New Roman" w:cs="Times New Roman"/>
          <w:b/>
          <w:bCs/>
          <w:sz w:val="24"/>
          <w:highlight w:val="none"/>
        </w:rPr>
        <w:t>16、投标文件编制要求</w:t>
      </w:r>
    </w:p>
    <w:p>
      <w:pPr>
        <w:pStyle w:val="12"/>
        <w:spacing w:line="460" w:lineRule="exact"/>
        <w:ind w:firstLine="480" w:firstLineChars="200"/>
        <w:rPr>
          <w:rFonts w:ascii="Times New Roman" w:hAnsi="Times New Roman" w:cs="Times New Roman"/>
          <w:sz w:val="24"/>
          <w:szCs w:val="24"/>
          <w:highlight w:val="none"/>
        </w:rPr>
      </w:pPr>
      <w:r>
        <w:rPr>
          <w:rFonts w:ascii="Times New Roman" w:hAnsi="Times New Roman" w:cs="Times New Roman"/>
          <w:sz w:val="24"/>
          <w:szCs w:val="24"/>
          <w:highlight w:val="none"/>
        </w:rPr>
        <w:t>16.1</w:t>
      </w:r>
      <w:r>
        <w:rPr>
          <w:rFonts w:ascii="Times New Roman" w:hAnsi="Times New Roman" w:cs="Times New Roman"/>
          <w:sz w:val="24"/>
          <w:highlight w:val="none"/>
        </w:rPr>
        <w:t>投标人应根据电子投标操作指南按本招标文件规定的格式和顺序编制电子投标文件并进行关联定位</w:t>
      </w:r>
      <w:r>
        <w:rPr>
          <w:rFonts w:ascii="Times New Roman" w:hAnsi="Times New Roman" w:cs="Times New Roman"/>
          <w:sz w:val="24"/>
          <w:szCs w:val="24"/>
          <w:highlight w:val="none"/>
        </w:rPr>
        <w:t>。</w:t>
      </w:r>
    </w:p>
    <w:p>
      <w:pPr>
        <w:pStyle w:val="12"/>
        <w:spacing w:line="360" w:lineRule="auto"/>
        <w:ind w:firstLine="480" w:firstLineChars="200"/>
        <w:rPr>
          <w:rFonts w:ascii="Times New Roman" w:hAnsi="Times New Roman" w:cs="Times New Roman"/>
          <w:spacing w:val="-4"/>
          <w:sz w:val="24"/>
          <w:highlight w:val="none"/>
        </w:rPr>
      </w:pPr>
      <w:r>
        <w:rPr>
          <w:rFonts w:ascii="Times New Roman" w:hAnsi="Times New Roman" w:cs="Times New Roman"/>
          <w:sz w:val="24"/>
          <w:szCs w:val="24"/>
          <w:highlight w:val="none"/>
        </w:rPr>
        <w:t>16.2</w:t>
      </w:r>
      <w:r>
        <w:rPr>
          <w:rFonts w:ascii="Times New Roman" w:hAnsi="Times New Roman" w:cs="Times New Roman"/>
          <w:sz w:val="24"/>
          <w:highlight w:val="none"/>
        </w:rPr>
        <w:t>由于未按招标文件的规定要求编制投标文件，导致评审小组作出的对投标方的误判，责任由投标方自己承担</w:t>
      </w:r>
      <w:r>
        <w:rPr>
          <w:rFonts w:ascii="Times New Roman" w:hAnsi="Times New Roman" w:cs="Times New Roman"/>
          <w:spacing w:val="-4"/>
          <w:sz w:val="24"/>
          <w:highlight w:val="none"/>
        </w:rPr>
        <w:t>。</w:t>
      </w:r>
    </w:p>
    <w:p>
      <w:pPr>
        <w:pStyle w:val="12"/>
        <w:spacing w:line="360" w:lineRule="auto"/>
        <w:ind w:firstLine="482" w:firstLineChars="200"/>
        <w:rPr>
          <w:rFonts w:ascii="Times New Roman" w:hAnsi="Times New Roman" w:cs="Times New Roman"/>
          <w:b/>
          <w:spacing w:val="-4"/>
          <w:sz w:val="24"/>
          <w:highlight w:val="none"/>
        </w:rPr>
      </w:pPr>
      <w:r>
        <w:rPr>
          <w:rFonts w:ascii="Times New Roman" w:hAnsi="Times New Roman" w:cs="Times New Roman"/>
          <w:b/>
          <w:bCs/>
          <w:sz w:val="24"/>
          <w:highlight w:val="none"/>
        </w:rPr>
        <w:t>17、</w:t>
      </w:r>
      <w:r>
        <w:rPr>
          <w:rFonts w:ascii="Times New Roman" w:hAnsi="Times New Roman" w:cs="Times New Roman"/>
          <w:b/>
          <w:spacing w:val="-4"/>
          <w:sz w:val="24"/>
          <w:highlight w:val="none"/>
        </w:rPr>
        <w:t>投标人发生下列情况之一时，将按失信行为上报义乌市信用管理部门：</w:t>
      </w:r>
    </w:p>
    <w:p>
      <w:pPr>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（1）投标人在规定的投标有效期内撤回投标或放弃中标的；</w:t>
      </w:r>
    </w:p>
    <w:p>
      <w:pPr>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（2）有意串标或提供虚假材料者的；</w:t>
      </w:r>
    </w:p>
    <w:p>
      <w:pPr>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（3）中标人在收到中标通知书后，因自身原因不能在投标有效期内和采购人签订合同。</w:t>
      </w:r>
    </w:p>
    <w:p>
      <w:pPr>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（4）中标人未在规定时间缴纳招标代理费的。</w:t>
      </w:r>
    </w:p>
    <w:p>
      <w:pPr>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（5）中标供应商在标后履约过程中未按合同约定的期限和要求履约的。</w:t>
      </w:r>
    </w:p>
    <w:p>
      <w:pPr>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（6）因中标供应商原因在标后履约过程中擅自终止合同的。</w:t>
      </w:r>
    </w:p>
    <w:p>
      <w:pPr>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（7）不符合招标文件要求的其他失信行为。</w:t>
      </w:r>
    </w:p>
    <w:p>
      <w:pPr>
        <w:pStyle w:val="12"/>
        <w:spacing w:line="360" w:lineRule="auto"/>
        <w:ind w:firstLine="482" w:firstLineChars="200"/>
        <w:rPr>
          <w:rFonts w:ascii="Times New Roman" w:hAnsi="Times New Roman" w:cs="Times New Roman"/>
          <w:b/>
          <w:bCs/>
          <w:sz w:val="24"/>
          <w:highlight w:val="none"/>
        </w:rPr>
      </w:pPr>
      <w:r>
        <w:rPr>
          <w:rFonts w:ascii="Times New Roman" w:hAnsi="Times New Roman" w:cs="Times New Roman"/>
          <w:b/>
          <w:bCs/>
          <w:sz w:val="24"/>
          <w:highlight w:val="none"/>
        </w:rPr>
        <w:t>18、履约保证金：无</w:t>
      </w:r>
    </w:p>
    <w:p>
      <w:pPr>
        <w:pStyle w:val="12"/>
        <w:spacing w:line="360" w:lineRule="auto"/>
        <w:ind w:firstLine="482" w:firstLineChars="200"/>
        <w:rPr>
          <w:rFonts w:ascii="Times New Roman" w:hAnsi="Times New Roman" w:cs="Times New Roman"/>
          <w:b/>
          <w:bCs/>
          <w:kern w:val="0"/>
          <w:sz w:val="24"/>
          <w:highlight w:val="none"/>
        </w:rPr>
      </w:pPr>
      <w:r>
        <w:rPr>
          <w:rFonts w:ascii="Times New Roman" w:hAnsi="Times New Roman" w:cs="Times New Roman"/>
          <w:b/>
          <w:bCs/>
          <w:kern w:val="0"/>
          <w:sz w:val="24"/>
          <w:highlight w:val="none"/>
        </w:rPr>
        <w:t>19、采购代理服务费</w:t>
      </w:r>
    </w:p>
    <w:p>
      <w:pPr>
        <w:snapToGrid w:val="0"/>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kern w:val="0"/>
          <w:sz w:val="24"/>
          <w:highlight w:val="none"/>
        </w:rPr>
        <w:t>19.1采购代理服务费：</w:t>
      </w:r>
      <w:r>
        <w:rPr>
          <w:rFonts w:ascii="Times New Roman" w:hAnsi="Times New Roman" w:eastAsia="宋体" w:cs="Times New Roman"/>
          <w:sz w:val="24"/>
          <w:highlight w:val="none"/>
        </w:rPr>
        <w:t>具体详见下表。</w:t>
      </w:r>
    </w:p>
    <w:tbl>
      <w:tblPr>
        <w:tblStyle w:val="22"/>
        <w:tblW w:w="0" w:type="auto"/>
        <w:jc w:val="center"/>
        <w:tblLayout w:type="fixed"/>
        <w:tblCellMar>
          <w:top w:w="0" w:type="dxa"/>
          <w:left w:w="108" w:type="dxa"/>
          <w:bottom w:w="0" w:type="dxa"/>
          <w:right w:w="108" w:type="dxa"/>
        </w:tblCellMar>
      </w:tblPr>
      <w:tblGrid>
        <w:gridCol w:w="1974"/>
        <w:gridCol w:w="1203"/>
        <w:gridCol w:w="4980"/>
      </w:tblGrid>
      <w:tr>
        <w:tblPrEx>
          <w:tblCellMar>
            <w:top w:w="0" w:type="dxa"/>
            <w:left w:w="108" w:type="dxa"/>
            <w:bottom w:w="0" w:type="dxa"/>
            <w:right w:w="108" w:type="dxa"/>
          </w:tblCellMar>
        </w:tblPrEx>
        <w:trPr>
          <w:trHeight w:val="447" w:hRule="atLeast"/>
          <w:jc w:val="center"/>
        </w:trPr>
        <w:tc>
          <w:tcPr>
            <w:tcW w:w="197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ind w:left="480" w:hanging="480"/>
              <w:rPr>
                <w:rFonts w:ascii="Times New Roman" w:hAnsi="Times New Roman" w:eastAsia="宋体" w:cs="Times New Roman"/>
                <w:sz w:val="24"/>
                <w:highlight w:val="none"/>
              </w:rPr>
            </w:pPr>
            <w:r>
              <w:rPr>
                <w:rFonts w:ascii="Times New Roman" w:hAnsi="Times New Roman" w:eastAsia="宋体" w:cs="Times New Roman"/>
                <w:sz w:val="24"/>
                <w:highlight w:val="none"/>
              </w:rPr>
              <w:t>中标金额（万元）</w:t>
            </w:r>
          </w:p>
        </w:tc>
        <w:tc>
          <w:tcPr>
            <w:tcW w:w="120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ind w:left="480" w:hanging="480"/>
              <w:rPr>
                <w:rFonts w:ascii="Times New Roman" w:hAnsi="Times New Roman" w:eastAsia="宋体" w:cs="Times New Roman"/>
                <w:sz w:val="24"/>
                <w:highlight w:val="none"/>
              </w:rPr>
            </w:pPr>
            <w:r>
              <w:rPr>
                <w:rFonts w:ascii="Times New Roman" w:hAnsi="Times New Roman" w:eastAsia="宋体" w:cs="Times New Roman"/>
                <w:sz w:val="24"/>
                <w:highlight w:val="none"/>
              </w:rPr>
              <w:t>收费标准</w:t>
            </w:r>
          </w:p>
        </w:tc>
        <w:tc>
          <w:tcPr>
            <w:tcW w:w="498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ind w:firstLine="2400"/>
              <w:rPr>
                <w:rFonts w:ascii="Times New Roman" w:hAnsi="Times New Roman" w:eastAsia="宋体" w:cs="Times New Roman"/>
                <w:sz w:val="24"/>
                <w:highlight w:val="none"/>
              </w:rPr>
            </w:pPr>
            <w:r>
              <w:rPr>
                <w:rFonts w:ascii="Times New Roman" w:hAnsi="Times New Roman" w:eastAsia="宋体" w:cs="Times New Roman"/>
                <w:sz w:val="24"/>
                <w:highlight w:val="none"/>
              </w:rPr>
              <w:t>备注</w:t>
            </w:r>
          </w:p>
        </w:tc>
      </w:tr>
      <w:tr>
        <w:tblPrEx>
          <w:tblCellMar>
            <w:top w:w="0" w:type="dxa"/>
            <w:left w:w="108" w:type="dxa"/>
            <w:bottom w:w="0" w:type="dxa"/>
            <w:right w:w="108" w:type="dxa"/>
          </w:tblCellMar>
        </w:tblPrEx>
        <w:trPr>
          <w:trHeight w:val="492" w:hRule="atLeast"/>
          <w:jc w:val="center"/>
        </w:trPr>
        <w:tc>
          <w:tcPr>
            <w:tcW w:w="197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ind w:firstLine="480"/>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100以下</w:t>
            </w:r>
          </w:p>
        </w:tc>
        <w:tc>
          <w:tcPr>
            <w:tcW w:w="120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ind w:left="480" w:hanging="480"/>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1.</w:t>
            </w:r>
            <w:r>
              <w:rPr>
                <w:rFonts w:hint="eastAsia" w:ascii="Times New Roman" w:hAnsi="Times New Roman" w:eastAsia="宋体" w:cs="Times New Roman"/>
                <w:sz w:val="24"/>
                <w:highlight w:val="none"/>
              </w:rPr>
              <w:t>5</w:t>
            </w:r>
            <w:r>
              <w:rPr>
                <w:rFonts w:ascii="Times New Roman" w:hAnsi="Times New Roman" w:eastAsia="宋体" w:cs="Times New Roman"/>
                <w:sz w:val="24"/>
                <w:highlight w:val="none"/>
              </w:rPr>
              <w:t>%</w:t>
            </w:r>
          </w:p>
        </w:tc>
        <w:tc>
          <w:tcPr>
            <w:tcW w:w="4980" w:type="dxa"/>
            <w:vMerge w:val="restar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ind w:firstLine="480"/>
              <w:rPr>
                <w:rFonts w:ascii="Times New Roman" w:hAnsi="Times New Roman" w:eastAsia="宋体" w:cs="Times New Roman"/>
                <w:sz w:val="24"/>
                <w:highlight w:val="none"/>
              </w:rPr>
            </w:pPr>
            <w:r>
              <w:rPr>
                <w:rFonts w:ascii="Times New Roman" w:hAnsi="Times New Roman" w:eastAsia="宋体" w:cs="Times New Roman"/>
                <w:sz w:val="24"/>
                <w:highlight w:val="none"/>
              </w:rPr>
              <w:t>招标服务采用差额定率累进法计算，向中标人单向收取。</w:t>
            </w:r>
          </w:p>
          <w:p>
            <w:pPr>
              <w:ind w:firstLine="480"/>
              <w:rPr>
                <w:rFonts w:ascii="Times New Roman" w:hAnsi="Times New Roman" w:eastAsia="宋体" w:cs="Times New Roman"/>
                <w:sz w:val="24"/>
                <w:highlight w:val="none"/>
              </w:rPr>
            </w:pPr>
            <w:r>
              <w:rPr>
                <w:rFonts w:ascii="Times New Roman" w:hAnsi="Times New Roman" w:eastAsia="宋体" w:cs="Times New Roman"/>
                <w:sz w:val="24"/>
                <w:highlight w:val="none"/>
              </w:rPr>
              <w:t>例：中标金额为1000万。服务费=100万×1.</w:t>
            </w:r>
            <w:r>
              <w:rPr>
                <w:rFonts w:hint="eastAsia" w:ascii="Times New Roman" w:hAnsi="Times New Roman" w:eastAsia="宋体" w:cs="Times New Roman"/>
                <w:sz w:val="24"/>
                <w:highlight w:val="none"/>
              </w:rPr>
              <w:t>5</w:t>
            </w:r>
            <w:r>
              <w:rPr>
                <w:rFonts w:ascii="Times New Roman" w:hAnsi="Times New Roman" w:eastAsia="宋体" w:cs="Times New Roman"/>
                <w:sz w:val="24"/>
                <w:highlight w:val="none"/>
              </w:rPr>
              <w:t>%+400万×0.8%+500万×0.</w:t>
            </w:r>
            <w:r>
              <w:rPr>
                <w:rFonts w:hint="eastAsia" w:ascii="Times New Roman" w:hAnsi="Times New Roman" w:eastAsia="宋体" w:cs="Times New Roman"/>
                <w:sz w:val="24"/>
                <w:highlight w:val="none"/>
              </w:rPr>
              <w:t>45</w:t>
            </w:r>
            <w:r>
              <w:rPr>
                <w:rFonts w:ascii="Times New Roman" w:hAnsi="Times New Roman" w:eastAsia="宋体" w:cs="Times New Roman"/>
                <w:sz w:val="24"/>
                <w:highlight w:val="none"/>
              </w:rPr>
              <w:t>%=</w:t>
            </w:r>
            <w:r>
              <w:rPr>
                <w:rFonts w:hint="eastAsia" w:ascii="Times New Roman" w:hAnsi="Times New Roman" w:eastAsia="宋体" w:cs="Times New Roman"/>
                <w:sz w:val="24"/>
                <w:highlight w:val="none"/>
              </w:rPr>
              <w:t>6.95</w:t>
            </w:r>
            <w:r>
              <w:rPr>
                <w:rFonts w:ascii="Times New Roman" w:hAnsi="Times New Roman" w:eastAsia="宋体" w:cs="Times New Roman"/>
                <w:sz w:val="24"/>
                <w:highlight w:val="none"/>
              </w:rPr>
              <w:t>万</w:t>
            </w:r>
          </w:p>
        </w:tc>
      </w:tr>
      <w:tr>
        <w:tblPrEx>
          <w:tblCellMar>
            <w:top w:w="0" w:type="dxa"/>
            <w:left w:w="108" w:type="dxa"/>
            <w:bottom w:w="0" w:type="dxa"/>
            <w:right w:w="108" w:type="dxa"/>
          </w:tblCellMar>
        </w:tblPrEx>
        <w:trPr>
          <w:trHeight w:val="564" w:hRule="atLeast"/>
          <w:jc w:val="center"/>
        </w:trPr>
        <w:tc>
          <w:tcPr>
            <w:tcW w:w="197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ind w:firstLine="480"/>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100-500</w:t>
            </w:r>
          </w:p>
        </w:tc>
        <w:tc>
          <w:tcPr>
            <w:tcW w:w="120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ind w:left="480" w:hanging="480"/>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0.8%</w:t>
            </w:r>
          </w:p>
        </w:tc>
        <w:tc>
          <w:tcPr>
            <w:tcW w:w="4980" w:type="dxa"/>
            <w:vMerge w:val="continue"/>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ind w:left="480" w:hanging="480"/>
              <w:jc w:val="center"/>
              <w:rPr>
                <w:rFonts w:ascii="Times New Roman" w:hAnsi="Times New Roman" w:eastAsia="宋体" w:cs="Times New Roman"/>
                <w:sz w:val="24"/>
                <w:highlight w:val="none"/>
              </w:rPr>
            </w:pPr>
          </w:p>
        </w:tc>
      </w:tr>
      <w:tr>
        <w:tblPrEx>
          <w:tblCellMar>
            <w:top w:w="0" w:type="dxa"/>
            <w:left w:w="108" w:type="dxa"/>
            <w:bottom w:w="0" w:type="dxa"/>
            <w:right w:w="108" w:type="dxa"/>
          </w:tblCellMar>
        </w:tblPrEx>
        <w:trPr>
          <w:trHeight w:val="422" w:hRule="atLeast"/>
          <w:jc w:val="center"/>
        </w:trPr>
        <w:tc>
          <w:tcPr>
            <w:tcW w:w="197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ind w:firstLine="480"/>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500-1000</w:t>
            </w:r>
          </w:p>
        </w:tc>
        <w:tc>
          <w:tcPr>
            <w:tcW w:w="120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ind w:left="480" w:hanging="480"/>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0.</w:t>
            </w:r>
            <w:r>
              <w:rPr>
                <w:rFonts w:hint="eastAsia" w:ascii="Times New Roman" w:hAnsi="Times New Roman" w:eastAsia="宋体" w:cs="Times New Roman"/>
                <w:sz w:val="24"/>
                <w:highlight w:val="none"/>
              </w:rPr>
              <w:t>45</w:t>
            </w:r>
            <w:r>
              <w:rPr>
                <w:rFonts w:ascii="Times New Roman" w:hAnsi="Times New Roman" w:eastAsia="宋体" w:cs="Times New Roman"/>
                <w:sz w:val="24"/>
                <w:highlight w:val="none"/>
              </w:rPr>
              <w:t>%</w:t>
            </w:r>
          </w:p>
        </w:tc>
        <w:tc>
          <w:tcPr>
            <w:tcW w:w="4980" w:type="dxa"/>
            <w:vMerge w:val="continue"/>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ind w:left="480" w:hanging="480"/>
              <w:jc w:val="center"/>
              <w:rPr>
                <w:rFonts w:ascii="Times New Roman" w:hAnsi="Times New Roman" w:eastAsia="宋体" w:cs="Times New Roman"/>
                <w:sz w:val="24"/>
                <w:highlight w:val="none"/>
              </w:rPr>
            </w:pPr>
          </w:p>
        </w:tc>
      </w:tr>
    </w:tbl>
    <w:p>
      <w:pPr>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kern w:val="0"/>
          <w:sz w:val="24"/>
          <w:highlight w:val="none"/>
        </w:rPr>
        <w:t>19.2采购代理服务费在</w:t>
      </w:r>
      <w:r>
        <w:rPr>
          <w:rFonts w:ascii="Times New Roman" w:hAnsi="Times New Roman" w:eastAsia="宋体" w:cs="Times New Roman"/>
          <w:b/>
          <w:bCs/>
          <w:sz w:val="24"/>
          <w:highlight w:val="none"/>
        </w:rPr>
        <w:t>领取中标通知书</w:t>
      </w:r>
      <w:r>
        <w:rPr>
          <w:rFonts w:ascii="Times New Roman" w:hAnsi="Times New Roman" w:eastAsia="宋体" w:cs="Times New Roman"/>
          <w:sz w:val="24"/>
          <w:highlight w:val="none"/>
        </w:rPr>
        <w:t>时</w:t>
      </w:r>
      <w:r>
        <w:rPr>
          <w:rFonts w:ascii="Times New Roman" w:hAnsi="Times New Roman" w:eastAsia="宋体" w:cs="Times New Roman"/>
          <w:kern w:val="0"/>
          <w:sz w:val="24"/>
          <w:highlight w:val="none"/>
        </w:rPr>
        <w:t>向</w:t>
      </w:r>
      <w:r>
        <w:rPr>
          <w:rFonts w:ascii="Times New Roman" w:hAnsi="Times New Roman" w:eastAsia="宋体" w:cs="Times New Roman"/>
          <w:sz w:val="24"/>
          <w:highlight w:val="none"/>
          <w:u w:val="single"/>
        </w:rPr>
        <w:t>中标人</w:t>
      </w:r>
      <w:r>
        <w:rPr>
          <w:rFonts w:ascii="Times New Roman" w:hAnsi="Times New Roman" w:eastAsia="宋体" w:cs="Times New Roman"/>
          <w:kern w:val="0"/>
          <w:sz w:val="24"/>
          <w:highlight w:val="none"/>
        </w:rPr>
        <w:t>收取，可用银行汇票、电汇、银行本票、现金等方式支付。</w:t>
      </w:r>
      <w:r>
        <w:rPr>
          <w:rFonts w:ascii="Times New Roman" w:hAnsi="Times New Roman" w:eastAsia="宋体" w:cs="Times New Roman"/>
          <w:sz w:val="24"/>
          <w:highlight w:val="none"/>
        </w:rPr>
        <w:t>未按规定时间缴纳代理服务费的，将按失信行为上报义乌市信用管理部门。</w:t>
      </w:r>
    </w:p>
    <w:p>
      <w:pPr>
        <w:spacing w:line="360" w:lineRule="auto"/>
        <w:ind w:firstLine="218" w:firstLineChars="91"/>
        <w:rPr>
          <w:rFonts w:ascii="Times New Roman" w:hAnsi="Times New Roman" w:eastAsia="宋体" w:cs="Times New Roman"/>
          <w:sz w:val="24"/>
          <w:highlight w:val="none"/>
        </w:rPr>
      </w:pPr>
      <w:r>
        <w:rPr>
          <w:rFonts w:ascii="Times New Roman" w:hAnsi="Times New Roman" w:eastAsia="宋体" w:cs="Times New Roman"/>
          <w:sz w:val="24"/>
          <w:highlight w:val="none"/>
        </w:rPr>
        <w:t>采购代理服务费收款人：浙江开平企业管理咨询有限公司</w:t>
      </w:r>
    </w:p>
    <w:p>
      <w:pPr>
        <w:spacing w:line="360" w:lineRule="auto"/>
        <w:ind w:firstLine="218" w:firstLineChars="91"/>
        <w:rPr>
          <w:rFonts w:ascii="Times New Roman" w:hAnsi="Times New Roman" w:eastAsia="宋体" w:cs="Times New Roman"/>
          <w:sz w:val="24"/>
          <w:highlight w:val="none"/>
        </w:rPr>
      </w:pPr>
      <w:r>
        <w:rPr>
          <w:rFonts w:ascii="Times New Roman" w:hAnsi="Times New Roman" w:eastAsia="宋体" w:cs="Times New Roman"/>
          <w:sz w:val="24"/>
          <w:highlight w:val="none"/>
        </w:rPr>
        <w:t>账    号：33001676248059000088</w:t>
      </w:r>
    </w:p>
    <w:p>
      <w:pPr>
        <w:spacing w:line="360" w:lineRule="auto"/>
        <w:ind w:firstLine="218" w:firstLineChars="91"/>
        <w:rPr>
          <w:rFonts w:ascii="Times New Roman" w:hAnsi="Times New Roman" w:eastAsia="宋体" w:cs="Times New Roman"/>
          <w:sz w:val="24"/>
          <w:highlight w:val="none"/>
        </w:rPr>
      </w:pPr>
      <w:r>
        <w:rPr>
          <w:rFonts w:ascii="Times New Roman" w:hAnsi="Times New Roman" w:eastAsia="宋体" w:cs="Times New Roman"/>
          <w:sz w:val="24"/>
          <w:highlight w:val="none"/>
        </w:rPr>
        <w:t>开户银行：义乌市建行乐园分理处</w:t>
      </w:r>
    </w:p>
    <w:p>
      <w:pPr>
        <w:spacing w:line="360" w:lineRule="auto"/>
        <w:ind w:firstLine="218" w:firstLineChars="91"/>
        <w:rPr>
          <w:rFonts w:ascii="Times New Roman" w:hAnsi="Times New Roman" w:eastAsia="宋体" w:cs="Times New Roman"/>
          <w:sz w:val="24"/>
          <w:highlight w:val="none"/>
        </w:rPr>
      </w:pPr>
      <w:r>
        <w:rPr>
          <w:rFonts w:ascii="Times New Roman" w:hAnsi="Times New Roman" w:eastAsia="宋体" w:cs="Times New Roman"/>
          <w:sz w:val="24"/>
          <w:highlight w:val="none"/>
        </w:rPr>
        <w:t>注：缴纳凭证应注明“采购代理服务费”字样。</w:t>
      </w:r>
    </w:p>
    <w:p>
      <w:pPr>
        <w:tabs>
          <w:tab w:val="left" w:pos="3440"/>
        </w:tabs>
        <w:spacing w:line="360" w:lineRule="auto"/>
        <w:ind w:firstLine="482" w:firstLineChars="200"/>
        <w:rPr>
          <w:rFonts w:ascii="Times New Roman" w:hAnsi="Times New Roman" w:eastAsia="宋体" w:cs="Times New Roman"/>
          <w:b/>
          <w:bCs/>
          <w:sz w:val="24"/>
          <w:highlight w:val="none"/>
        </w:rPr>
      </w:pPr>
      <w:r>
        <w:rPr>
          <w:rFonts w:ascii="Times New Roman" w:hAnsi="Times New Roman" w:eastAsia="宋体" w:cs="Times New Roman"/>
          <w:b/>
          <w:bCs/>
          <w:sz w:val="24"/>
          <w:highlight w:val="none"/>
        </w:rPr>
        <w:t>20、投标有效期</w:t>
      </w:r>
      <w:r>
        <w:rPr>
          <w:rFonts w:ascii="Times New Roman" w:hAnsi="Times New Roman" w:eastAsia="宋体" w:cs="Times New Roman"/>
          <w:b/>
          <w:bCs/>
          <w:sz w:val="24"/>
          <w:highlight w:val="none"/>
        </w:rPr>
        <w:tab/>
      </w:r>
    </w:p>
    <w:p>
      <w:pPr>
        <w:spacing w:line="360" w:lineRule="auto"/>
        <w:ind w:firstLine="480" w:firstLineChars="200"/>
        <w:rPr>
          <w:rFonts w:ascii="Times New Roman" w:hAnsi="Times New Roman" w:eastAsia="宋体" w:cs="Times New Roman"/>
          <w:b/>
          <w:bCs/>
          <w:sz w:val="24"/>
          <w:highlight w:val="none"/>
        </w:rPr>
      </w:pPr>
      <w:r>
        <w:rPr>
          <w:rFonts w:ascii="Times New Roman" w:hAnsi="Times New Roman" w:eastAsia="宋体" w:cs="Times New Roman"/>
          <w:sz w:val="24"/>
          <w:highlight w:val="none"/>
        </w:rPr>
        <w:t>20.1 投标文件从开标之日起，投标有效期为60天。</w:t>
      </w:r>
    </w:p>
    <w:p>
      <w:pPr>
        <w:pStyle w:val="12"/>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20.2 特殊情况下，在原投标有效期截止之前，采购人可要求投标人同意延长有效期，这种要求与答复均应以书面形式提交。</w:t>
      </w:r>
    </w:p>
    <w:p>
      <w:pPr>
        <w:outlineLvl w:val="2"/>
        <w:rPr>
          <w:rFonts w:ascii="Times New Roman" w:hAnsi="Times New Roman" w:eastAsia="宋体" w:cs="Times New Roman"/>
          <w:b/>
          <w:highlight w:val="none"/>
        </w:rPr>
      </w:pPr>
      <w:r>
        <w:rPr>
          <w:rFonts w:ascii="Times New Roman" w:hAnsi="Times New Roman" w:eastAsia="宋体" w:cs="Times New Roman"/>
          <w:b/>
          <w:sz w:val="24"/>
          <w:szCs w:val="24"/>
          <w:highlight w:val="none"/>
        </w:rPr>
        <w:t>四、投标文件的递交</w:t>
      </w:r>
    </w:p>
    <w:p>
      <w:pPr>
        <w:tabs>
          <w:tab w:val="left" w:pos="315"/>
        </w:tabs>
        <w:spacing w:line="360" w:lineRule="auto"/>
        <w:ind w:firstLine="482" w:firstLineChars="200"/>
        <w:rPr>
          <w:rFonts w:ascii="Times New Roman" w:hAnsi="Times New Roman" w:eastAsia="宋体" w:cs="Times New Roman"/>
          <w:b/>
          <w:sz w:val="24"/>
          <w:highlight w:val="none"/>
        </w:rPr>
      </w:pPr>
      <w:r>
        <w:rPr>
          <w:rFonts w:ascii="Times New Roman" w:hAnsi="Times New Roman" w:eastAsia="宋体" w:cs="Times New Roman"/>
          <w:b/>
          <w:sz w:val="24"/>
          <w:highlight w:val="none"/>
        </w:rPr>
        <w:t>21、电子投标文件上传的地点和截止时间</w:t>
      </w:r>
    </w:p>
    <w:p>
      <w:pPr>
        <w:tabs>
          <w:tab w:val="left" w:pos="315"/>
        </w:tabs>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供应商应于</w:t>
      </w:r>
      <w:r>
        <w:rPr>
          <w:rFonts w:hint="eastAsia" w:ascii="Times New Roman" w:hAnsi="Times New Roman" w:eastAsia="宋体" w:cs="Times New Roman"/>
          <w:sz w:val="24"/>
          <w:highlight w:val="none"/>
          <w:lang w:eastAsia="zh-CN"/>
        </w:rPr>
        <w:t>2025年2月17日</w:t>
      </w:r>
      <w:r>
        <w:rPr>
          <w:rFonts w:ascii="Times New Roman" w:hAnsi="Times New Roman" w:eastAsia="宋体" w:cs="Times New Roman"/>
          <w:sz w:val="24"/>
          <w:highlight w:val="none"/>
        </w:rPr>
        <w:t>09</w:t>
      </w:r>
      <w:r>
        <w:rPr>
          <w:rFonts w:hint="eastAsia" w:ascii="Times New Roman" w:hAnsi="Times New Roman" w:eastAsia="宋体" w:cs="Times New Roman"/>
          <w:sz w:val="24"/>
          <w:highlight w:val="none"/>
          <w:lang w:eastAsia="zh-CN"/>
        </w:rPr>
        <w:t>:</w:t>
      </w:r>
      <w:r>
        <w:rPr>
          <w:rFonts w:ascii="Times New Roman" w:hAnsi="Times New Roman" w:eastAsia="宋体" w:cs="Times New Roman"/>
          <w:sz w:val="24"/>
          <w:highlight w:val="none"/>
        </w:rPr>
        <w:t>30前在“政采云”平台上自行加密上传电子投标文件，逾期上传或未按要求上传的投标文件将予以拒收。</w:t>
      </w:r>
    </w:p>
    <w:p>
      <w:pPr>
        <w:tabs>
          <w:tab w:val="left" w:pos="315"/>
        </w:tabs>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22、迟交的投标文件</w:t>
      </w:r>
    </w:p>
    <w:p>
      <w:pPr>
        <w:tabs>
          <w:tab w:val="left" w:pos="315"/>
        </w:tabs>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招标方在规定的投标截止时间以后“政采云”平台将不接收投标文件。</w:t>
      </w:r>
    </w:p>
    <w:p>
      <w:pPr>
        <w:tabs>
          <w:tab w:val="left" w:pos="315"/>
        </w:tabs>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23、投标文件解密</w:t>
      </w:r>
    </w:p>
    <w:p>
      <w:pPr>
        <w:tabs>
          <w:tab w:val="left" w:pos="315"/>
        </w:tabs>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开标时间后1小时内（</w:t>
      </w:r>
      <w:r>
        <w:rPr>
          <w:rFonts w:hint="eastAsia" w:ascii="Times New Roman" w:hAnsi="Times New Roman" w:eastAsia="宋体" w:cs="Times New Roman"/>
          <w:sz w:val="24"/>
          <w:highlight w:val="none"/>
          <w:lang w:eastAsia="zh-CN"/>
        </w:rPr>
        <w:t>2025年2月17日</w:t>
      </w:r>
      <w:r>
        <w:rPr>
          <w:rFonts w:ascii="Times New Roman" w:hAnsi="Times New Roman" w:eastAsia="宋体" w:cs="Times New Roman"/>
          <w:sz w:val="24"/>
          <w:highlight w:val="none"/>
        </w:rPr>
        <w:t>10:30前）供应商可以登录“政采云”平台，用“项目采购</w:t>
      </w:r>
      <w:r>
        <w:rPr>
          <w:rFonts w:hint="eastAsia" w:ascii="Times New Roman" w:hAnsi="Times New Roman" w:eastAsia="宋体" w:cs="Times New Roman"/>
          <w:sz w:val="24"/>
          <w:highlight w:val="none"/>
        </w:rPr>
        <w:t>－</w:t>
      </w:r>
      <w:r>
        <w:rPr>
          <w:rFonts w:ascii="Times New Roman" w:hAnsi="Times New Roman" w:eastAsia="宋体" w:cs="Times New Roman"/>
          <w:sz w:val="24"/>
          <w:highlight w:val="none"/>
        </w:rPr>
        <w:t>开标评标”功能进行解密投标文件。若供应商在规定时间内（</w:t>
      </w:r>
      <w:r>
        <w:rPr>
          <w:rFonts w:hint="eastAsia" w:ascii="Times New Roman" w:hAnsi="Times New Roman" w:eastAsia="宋体" w:cs="Times New Roman"/>
          <w:sz w:val="24"/>
          <w:highlight w:val="none"/>
          <w:lang w:eastAsia="zh-CN"/>
        </w:rPr>
        <w:t>2025年2月17日</w:t>
      </w:r>
      <w:r>
        <w:rPr>
          <w:rFonts w:ascii="Times New Roman" w:hAnsi="Times New Roman" w:eastAsia="宋体" w:cs="Times New Roman"/>
          <w:sz w:val="24"/>
          <w:highlight w:val="none"/>
        </w:rPr>
        <w:t>10:30前）无法解密或解密失败，将导致投标无效或失败。</w:t>
      </w:r>
    </w:p>
    <w:p>
      <w:pPr>
        <w:tabs>
          <w:tab w:val="left" w:pos="315"/>
        </w:tabs>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备注：为确保采购项目顺利实施，避免因政采云上电子投标文件解密失败导致投标方投标无效，投标方可在</w:t>
      </w:r>
      <w:r>
        <w:rPr>
          <w:rFonts w:hint="eastAsia" w:ascii="Times New Roman" w:hAnsi="Times New Roman" w:eastAsia="宋体" w:cs="Times New Roman"/>
          <w:sz w:val="24"/>
          <w:highlight w:val="none"/>
          <w:lang w:eastAsia="zh-CN"/>
        </w:rPr>
        <w:t>2025年2月17日</w:t>
      </w:r>
      <w:r>
        <w:rPr>
          <w:rFonts w:ascii="Times New Roman" w:hAnsi="Times New Roman" w:eastAsia="宋体" w:cs="Times New Roman"/>
          <w:sz w:val="24"/>
          <w:highlight w:val="none"/>
        </w:rPr>
        <w:t>09:30前将在政采云平台上最后生成的具备电子签章的备份加密投标文件（文件名后缀为备份文件四字的首字母）以电子邮件方式传送至浙江开平企业管理咨询有限公司邮箱（zjkpemc@vip.163.com），传送的备份电子投标文件需打包压缩并加密，加密密码由投标方自行保管，如政采云上电子投标文件出现解密失败情况（开标当日09:30-10:30期间进行解密），投标方可按照自身意愿确认是否同意提供加密密码解密传送至浙江开平企业管理咨询有限公司邮箱（zjkpemc@vip.163.com）的备份文件，并以备份文件作为替代电子投标文件，如投标方未按照规定时间（</w:t>
      </w:r>
      <w:r>
        <w:rPr>
          <w:rFonts w:hint="eastAsia" w:ascii="Times New Roman" w:hAnsi="Times New Roman" w:eastAsia="宋体" w:cs="Times New Roman"/>
          <w:sz w:val="24"/>
          <w:highlight w:val="none"/>
          <w:lang w:eastAsia="zh-CN"/>
        </w:rPr>
        <w:t>2025年2月17日</w:t>
      </w:r>
      <w:r>
        <w:rPr>
          <w:rFonts w:ascii="Times New Roman" w:hAnsi="Times New Roman" w:eastAsia="宋体" w:cs="Times New Roman"/>
          <w:sz w:val="24"/>
          <w:highlight w:val="none"/>
        </w:rPr>
        <w:t>09</w:t>
      </w:r>
      <w:r>
        <w:rPr>
          <w:rFonts w:hint="eastAsia" w:ascii="Times New Roman" w:hAnsi="Times New Roman" w:eastAsia="宋体" w:cs="Times New Roman"/>
          <w:sz w:val="24"/>
          <w:highlight w:val="none"/>
          <w:lang w:eastAsia="zh-CN"/>
        </w:rPr>
        <w:t>:</w:t>
      </w:r>
      <w:r>
        <w:rPr>
          <w:rFonts w:ascii="Times New Roman" w:hAnsi="Times New Roman" w:eastAsia="宋体" w:cs="Times New Roman"/>
          <w:sz w:val="24"/>
          <w:highlight w:val="none"/>
        </w:rPr>
        <w:t>30前）及要求提供有效备份文件，同时政采云上投标文件解密失败的，将导致投标无效。</w:t>
      </w:r>
    </w:p>
    <w:p>
      <w:pPr>
        <w:tabs>
          <w:tab w:val="left" w:pos="315"/>
        </w:tabs>
        <w:spacing w:line="360" w:lineRule="auto"/>
        <w:ind w:firstLine="482" w:firstLineChars="200"/>
        <w:rPr>
          <w:rFonts w:ascii="Times New Roman" w:hAnsi="Times New Roman" w:eastAsia="宋体" w:cs="Times New Roman"/>
          <w:b/>
          <w:bCs/>
          <w:sz w:val="24"/>
          <w:highlight w:val="none"/>
        </w:rPr>
      </w:pPr>
      <w:r>
        <w:rPr>
          <w:rFonts w:ascii="Times New Roman" w:hAnsi="Times New Roman" w:eastAsia="宋体" w:cs="Times New Roman"/>
          <w:b/>
          <w:sz w:val="24"/>
          <w:highlight w:val="none"/>
        </w:rPr>
        <w:t>24、</w:t>
      </w:r>
      <w:r>
        <w:rPr>
          <w:rFonts w:ascii="Times New Roman" w:hAnsi="Times New Roman" w:eastAsia="宋体" w:cs="Times New Roman"/>
          <w:b/>
          <w:bCs/>
          <w:sz w:val="24"/>
          <w:highlight w:val="none"/>
        </w:rPr>
        <w:t>投标文件的补充、修改与撤回</w:t>
      </w:r>
    </w:p>
    <w:p>
      <w:pPr>
        <w:pStyle w:val="12"/>
        <w:spacing w:line="360" w:lineRule="auto"/>
        <w:ind w:firstLine="480"/>
        <w:rPr>
          <w:rFonts w:ascii="Times New Roman" w:hAnsi="Times New Roman" w:cs="Times New Roman"/>
          <w:sz w:val="24"/>
          <w:szCs w:val="24"/>
          <w:highlight w:val="none"/>
        </w:rPr>
      </w:pPr>
      <w:r>
        <w:rPr>
          <w:rFonts w:ascii="Times New Roman" w:hAnsi="Times New Roman" w:cs="Times New Roman"/>
          <w:sz w:val="24"/>
          <w:szCs w:val="24"/>
          <w:highlight w:val="none"/>
        </w:rPr>
        <w:t>24.1投标人在提交投标文件以后，在规定的投标截止时间之前，可以重新补充修改或撤回已上传的投标文件，补充、修改的内容为投标文件的组成部分。</w:t>
      </w:r>
    </w:p>
    <w:p>
      <w:pPr>
        <w:pStyle w:val="12"/>
        <w:spacing w:line="360" w:lineRule="auto"/>
        <w:ind w:firstLine="480"/>
        <w:rPr>
          <w:rFonts w:ascii="Times New Roman" w:hAnsi="Times New Roman" w:cs="Times New Roman"/>
          <w:sz w:val="24"/>
          <w:szCs w:val="24"/>
          <w:highlight w:val="none"/>
        </w:rPr>
      </w:pPr>
      <w:r>
        <w:rPr>
          <w:rFonts w:ascii="Times New Roman" w:hAnsi="Times New Roman" w:cs="Times New Roman"/>
          <w:sz w:val="24"/>
          <w:szCs w:val="24"/>
          <w:highlight w:val="none"/>
        </w:rPr>
        <w:t>24.2在投标截止时间之后，投标人不得对其投标做任何修改。</w:t>
      </w:r>
    </w:p>
    <w:p>
      <w:pPr>
        <w:pStyle w:val="12"/>
        <w:spacing w:line="360" w:lineRule="auto"/>
        <w:ind w:firstLine="480" w:firstLineChars="200"/>
        <w:rPr>
          <w:rFonts w:ascii="Times New Roman" w:hAnsi="Times New Roman" w:cs="Times New Roman"/>
          <w:sz w:val="24"/>
          <w:szCs w:val="24"/>
          <w:highlight w:val="none"/>
        </w:rPr>
      </w:pPr>
      <w:r>
        <w:rPr>
          <w:rFonts w:ascii="Times New Roman" w:hAnsi="Times New Roman" w:cs="Times New Roman"/>
          <w:sz w:val="24"/>
          <w:szCs w:val="24"/>
          <w:highlight w:val="none"/>
        </w:rPr>
        <w:t>24.3从投标截止时间至投标人在投标书格式中确定的投标有效期期满这段时间内，投标人不得撤回其投标。</w:t>
      </w:r>
    </w:p>
    <w:p>
      <w:pPr>
        <w:spacing w:line="360" w:lineRule="auto"/>
        <w:outlineLvl w:val="2"/>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五、</w:t>
      </w:r>
      <w:r>
        <w:rPr>
          <w:rFonts w:hint="eastAsia" w:ascii="Times New Roman" w:hAnsi="Times New Roman" w:eastAsia="宋体" w:cs="Times New Roman"/>
          <w:b/>
          <w:sz w:val="24"/>
          <w:szCs w:val="24"/>
          <w:highlight w:val="none"/>
          <w:lang w:eastAsia="zh-CN"/>
        </w:rPr>
        <w:t>其他</w:t>
      </w:r>
    </w:p>
    <w:p>
      <w:pPr>
        <w:pStyle w:val="30"/>
        <w:spacing w:line="360" w:lineRule="auto"/>
        <w:ind w:firstLine="48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本招标文件解释权归采购人。</w:t>
      </w:r>
      <w:r>
        <w:rPr>
          <w:rFonts w:ascii="Times New Roman" w:hAnsi="Times New Roman" w:eastAsia="宋体" w:cs="Times New Roman"/>
          <w:sz w:val="24"/>
          <w:szCs w:val="24"/>
          <w:highlight w:val="none"/>
        </w:rPr>
        <w:br w:type="page"/>
      </w:r>
    </w:p>
    <w:p>
      <w:pPr>
        <w:jc w:val="center"/>
        <w:outlineLvl w:val="0"/>
        <w:rPr>
          <w:rFonts w:ascii="Times New Roman" w:hAnsi="Times New Roman" w:eastAsia="宋体" w:cs="Times New Roman"/>
          <w:b/>
          <w:bCs/>
          <w:sz w:val="36"/>
          <w:szCs w:val="36"/>
          <w:highlight w:val="none"/>
        </w:rPr>
      </w:pPr>
      <w:r>
        <w:rPr>
          <w:rFonts w:ascii="Times New Roman" w:hAnsi="Times New Roman" w:eastAsia="宋体" w:cs="Times New Roman"/>
          <w:b/>
          <w:bCs/>
          <w:sz w:val="36"/>
          <w:szCs w:val="36"/>
          <w:highlight w:val="none"/>
        </w:rPr>
        <w:t>第三章</w:t>
      </w:r>
      <w:r>
        <w:rPr>
          <w:rFonts w:ascii="Times New Roman" w:hAnsi="Times New Roman" w:eastAsia="宋体" w:cs="Times New Roman"/>
          <w:b/>
          <w:sz w:val="36"/>
          <w:szCs w:val="36"/>
          <w:highlight w:val="none"/>
        </w:rPr>
        <w:t xml:space="preserve"> 招标项目内容及技术要求</w:t>
      </w:r>
    </w:p>
    <w:p>
      <w:pPr>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sz w:val="24"/>
          <w:szCs w:val="24"/>
          <w:highlight w:val="none"/>
        </w:rPr>
      </w:pPr>
      <w:r>
        <w:rPr>
          <w:rFonts w:hint="eastAsia" w:ascii="宋体" w:hAnsi="宋体" w:eastAsia="宋体" w:cs="宋体"/>
          <w:b/>
          <w:bCs/>
          <w:kern w:val="2"/>
          <w:sz w:val="24"/>
          <w:szCs w:val="24"/>
          <w:highlight w:val="none"/>
          <w:lang w:val="en-US" w:eastAsia="zh-CN" w:bidi="ar-SA"/>
        </w:rPr>
        <w:t>一、</w:t>
      </w:r>
      <w:r>
        <w:rPr>
          <w:rFonts w:hint="eastAsia" w:ascii="宋体" w:hAnsi="宋体" w:eastAsia="宋体" w:cs="宋体"/>
          <w:b/>
          <w:bCs/>
          <w:sz w:val="24"/>
          <w:szCs w:val="24"/>
          <w:highlight w:val="none"/>
        </w:rPr>
        <w:t>项目概况</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主要为义乌市儿童福利院（义乌市未成年人救助保护中心）孤困儿童提供日常生活照料和护理，并协助专业人员进行康复、教育、身心保健等服务。服务儿童人数预计年均33人左右（呈动态变化）。中标人应按法律法规、行业标准、儿童福利院要求和儿童身心发展需求，在招标人组织指导下保质保量地实施各项服务工作。</w:t>
      </w:r>
    </w:p>
    <w:p>
      <w:pPr>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sz w:val="24"/>
          <w:szCs w:val="24"/>
          <w:highlight w:val="none"/>
        </w:rPr>
      </w:pPr>
      <w:r>
        <w:rPr>
          <w:rFonts w:hint="eastAsia" w:ascii="宋体" w:hAnsi="宋体" w:eastAsia="宋体" w:cs="宋体"/>
          <w:b/>
          <w:bCs/>
          <w:kern w:val="2"/>
          <w:sz w:val="24"/>
          <w:szCs w:val="24"/>
          <w:highlight w:val="none"/>
          <w:lang w:val="en-US" w:eastAsia="zh-CN" w:bidi="ar-SA"/>
        </w:rPr>
        <w:t>二、</w:t>
      </w:r>
      <w:r>
        <w:rPr>
          <w:rFonts w:hint="eastAsia" w:ascii="宋体" w:hAnsi="宋体" w:eastAsia="宋体" w:cs="宋体"/>
          <w:b/>
          <w:bCs/>
          <w:sz w:val="24"/>
          <w:szCs w:val="24"/>
          <w:highlight w:val="none"/>
        </w:rPr>
        <w:t>工作人员配备</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遵循因事设岗，按岗配人，分层分类，结构合理的原则，要求项目在册人数总数与服务对象配比不低于1:2，即项目在册服务人数平均不低于17人。</w:t>
      </w:r>
    </w:p>
    <w:p>
      <w:pPr>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工勤技能岗位：负责为不同年龄和不同残疾类型的孤残儿童24小时生活照料和护理，包括儿童护理、配奶和儿童区清洁及上下学接送岗位。建议配备17人，其中儿童护理一线岗位不少于17人。根据工作需要，实行全天24小时轮班制。</w:t>
      </w:r>
    </w:p>
    <w:p>
      <w:pPr>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（1）标准班次：按照护理特点和护理难度分区分级护理，按照工作任务和工作量分时分类配岗。儿童活动期间，当班护理人员与儿童比例不低于1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4；儿童睡眠时间，当班护理人员与儿童比例不低于1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8。</w:t>
      </w:r>
    </w:p>
    <w:p>
      <w:pPr>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（2）弹性班次：对于儿童患病、隔离、送医、住院等特殊需要的，按需配备护理人员。</w:t>
      </w:r>
    </w:p>
    <w:p>
      <w:pPr>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sz w:val="24"/>
          <w:szCs w:val="24"/>
          <w:highlight w:val="none"/>
        </w:rPr>
      </w:pPr>
      <w:r>
        <w:rPr>
          <w:rFonts w:hint="eastAsia" w:ascii="宋体" w:hAnsi="宋体" w:eastAsia="宋体" w:cs="宋体"/>
          <w:b/>
          <w:bCs/>
          <w:kern w:val="2"/>
          <w:sz w:val="24"/>
          <w:szCs w:val="24"/>
          <w:highlight w:val="none"/>
          <w:lang w:val="en-US" w:eastAsia="zh-CN" w:bidi="ar-SA"/>
        </w:rPr>
        <w:t>三、</w:t>
      </w:r>
      <w:r>
        <w:rPr>
          <w:rFonts w:hint="eastAsia" w:ascii="宋体" w:hAnsi="宋体" w:eastAsia="宋体" w:cs="宋体"/>
          <w:b/>
          <w:bCs/>
          <w:sz w:val="24"/>
          <w:szCs w:val="24"/>
          <w:highlight w:val="none"/>
        </w:rPr>
        <w:t>工作人员管理要求</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1、项目单位应保证所录用人员身体健康、无传染性疾病，无刑事违法或处分犯罪记录，符合岗位要求。如项目单位配备的人员不符合本合同约定的要求，视为项目单位未配置，项目单位应承担相应的违约责任。</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2、建立项目内部管理体系，项目主管负责本项目的实施和管理，其他服务人员按所在班组、岗位建立管理层级，层层压实责任，确保工作落细落实。</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3、所有项目人员须持证上岗，按岗位统一工作服，思想素质好、爱岗敬业、身体健康、无不良行为记录。</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4、所有项目人员必须执行报备制度。</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5、所有项目人员的住宿及用餐等均由项目单位自行解决。</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6、项目单位提供的所有人员均须按投标文件要求提供相应的</w:t>
      </w:r>
      <w:r>
        <w:rPr>
          <w:rFonts w:hint="eastAsia" w:ascii="宋体" w:hAnsi="宋体" w:eastAsia="宋体" w:cs="宋体"/>
          <w:sz w:val="24"/>
          <w:szCs w:val="24"/>
          <w:highlight w:val="none"/>
          <w:lang w:eastAsia="zh-CN"/>
        </w:rPr>
        <w:t>佐证</w:t>
      </w:r>
      <w:r>
        <w:rPr>
          <w:rFonts w:hint="eastAsia" w:ascii="宋体" w:hAnsi="宋体" w:eastAsia="宋体" w:cs="宋体"/>
          <w:sz w:val="24"/>
          <w:szCs w:val="24"/>
          <w:highlight w:val="none"/>
        </w:rPr>
        <w:t>材料（学历、资格证书、职称证书、经验与业绩</w:t>
      </w:r>
      <w:r>
        <w:rPr>
          <w:rFonts w:hint="eastAsia" w:ascii="宋体" w:hAnsi="宋体" w:eastAsia="宋体" w:cs="宋体"/>
          <w:sz w:val="24"/>
          <w:szCs w:val="24"/>
          <w:highlight w:val="none"/>
          <w:lang w:eastAsia="zh-CN"/>
        </w:rPr>
        <w:t>材料</w:t>
      </w:r>
      <w:r>
        <w:rPr>
          <w:rFonts w:hint="eastAsia" w:ascii="宋体" w:hAnsi="宋体" w:eastAsia="宋体" w:cs="宋体"/>
          <w:sz w:val="24"/>
          <w:szCs w:val="24"/>
          <w:highlight w:val="none"/>
        </w:rPr>
        <w:t>、健康</w:t>
      </w:r>
      <w:r>
        <w:rPr>
          <w:rFonts w:hint="eastAsia" w:ascii="宋体" w:hAnsi="宋体" w:eastAsia="宋体" w:cs="宋体"/>
          <w:sz w:val="24"/>
          <w:szCs w:val="24"/>
          <w:highlight w:val="none"/>
          <w:lang w:eastAsia="zh-CN"/>
        </w:rPr>
        <w:t>佐证材料</w:t>
      </w:r>
      <w:r>
        <w:rPr>
          <w:rFonts w:hint="eastAsia" w:ascii="宋体" w:hAnsi="宋体" w:eastAsia="宋体" w:cs="宋体"/>
          <w:sz w:val="24"/>
          <w:szCs w:val="24"/>
          <w:highlight w:val="none"/>
        </w:rPr>
        <w:t>、无犯罪记录等），签订合同前提供不低于50%人员的全部</w:t>
      </w:r>
      <w:r>
        <w:rPr>
          <w:rFonts w:hint="eastAsia" w:ascii="宋体" w:hAnsi="宋体" w:eastAsia="宋体" w:cs="宋体"/>
          <w:sz w:val="24"/>
          <w:szCs w:val="24"/>
          <w:highlight w:val="none"/>
          <w:lang w:eastAsia="zh-CN"/>
        </w:rPr>
        <w:t>佐证</w:t>
      </w:r>
      <w:r>
        <w:rPr>
          <w:rFonts w:hint="eastAsia" w:ascii="宋体" w:hAnsi="宋体" w:eastAsia="宋体" w:cs="宋体"/>
          <w:sz w:val="24"/>
          <w:szCs w:val="24"/>
          <w:highlight w:val="none"/>
        </w:rPr>
        <w:t>材料，签订合同后人员到岗前提供全部人员的相关</w:t>
      </w:r>
      <w:r>
        <w:rPr>
          <w:rFonts w:hint="eastAsia" w:ascii="宋体" w:hAnsi="宋体" w:eastAsia="宋体" w:cs="宋体"/>
          <w:sz w:val="24"/>
          <w:szCs w:val="24"/>
          <w:highlight w:val="none"/>
          <w:lang w:eastAsia="zh-CN"/>
        </w:rPr>
        <w:t>佐证</w:t>
      </w:r>
      <w:r>
        <w:rPr>
          <w:rFonts w:hint="eastAsia" w:ascii="宋体" w:hAnsi="宋体" w:eastAsia="宋体" w:cs="宋体"/>
          <w:sz w:val="24"/>
          <w:szCs w:val="24"/>
          <w:highlight w:val="none"/>
        </w:rPr>
        <w:t>材料。</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7、项目人员结构合理，按照人员配备比例，落实服务团队人数。不</w:t>
      </w:r>
      <w:r>
        <w:rPr>
          <w:rFonts w:hint="eastAsia" w:ascii="宋体" w:hAnsi="宋体" w:eastAsia="宋体" w:cs="宋体"/>
          <w:sz w:val="24"/>
          <w:szCs w:val="24"/>
          <w:highlight w:val="none"/>
          <w:lang w:eastAsia="zh-CN"/>
        </w:rPr>
        <w:t>超过60周岁</w:t>
      </w:r>
      <w:r>
        <w:rPr>
          <w:rFonts w:hint="eastAsia" w:ascii="宋体" w:hAnsi="宋体" w:eastAsia="宋体" w:cs="宋体"/>
          <w:sz w:val="24"/>
          <w:szCs w:val="24"/>
          <w:highlight w:val="none"/>
        </w:rPr>
        <w:t>，55周岁以上不超过50%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初中及以上文化。                  </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8、员工必须在到岗前按以上标准提供相应的</w:t>
      </w:r>
      <w:r>
        <w:rPr>
          <w:rFonts w:hint="eastAsia" w:ascii="宋体" w:hAnsi="宋体" w:eastAsia="宋体" w:cs="宋体"/>
          <w:sz w:val="24"/>
          <w:szCs w:val="24"/>
          <w:highlight w:val="none"/>
          <w:lang w:eastAsia="zh-CN"/>
        </w:rPr>
        <w:t>佐证</w:t>
      </w:r>
      <w:r>
        <w:rPr>
          <w:rFonts w:hint="eastAsia" w:ascii="宋体" w:hAnsi="宋体" w:eastAsia="宋体" w:cs="宋体"/>
          <w:sz w:val="24"/>
          <w:szCs w:val="24"/>
          <w:highlight w:val="none"/>
        </w:rPr>
        <w:t>材料。所有人员必须专职为义乌市儿童福利院服务，不得兼职，有项目组成员如需要更换，须提前3天上报采购单位，经采购单位书面同意认可后更换。</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9、为提高服务方护理服务水平，所有服务人员需进行孤残儿童护理知识培训。除项目单位对服务人员的培训外，还需接受采购单位对服务人员的相关业务培训。</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中标单位应严格遵守采购单位的各项规定和管理要求，保证不泄漏或以任何方式向第三方予以暗示、披露或擅自使用在服务管理中获得的任何儿童信息、单位信息；未经采购单位书面同意，中标单位不得利用与采购单位有关的音像资料、数据进行对外宣传。此条款长期有效，不因本合同的终止而失效。否则，中标单位应承担10000元到50000元的违约金，具体金额视情节而定，并赔偿采购单位由此造成的一切损失。</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11、项目单位应利用电脑对儿童个案实行信息化管理。各类记录、报表应真实、准确、及时，符合采购单位要求。</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12、项目单位应有风险管理措施和应急预案，认真做好各类事故的预防工作，确保安全无事故。</w:t>
      </w:r>
    </w:p>
    <w:p>
      <w:pPr>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color w:val="FF0000"/>
          <w:sz w:val="24"/>
          <w:szCs w:val="24"/>
          <w:highlight w:val="none"/>
        </w:rPr>
      </w:pPr>
      <w:r>
        <w:rPr>
          <w:rFonts w:hint="eastAsia" w:ascii="宋体" w:hAnsi="宋体" w:eastAsia="宋体" w:cs="宋体"/>
          <w:b/>
          <w:bCs/>
          <w:color w:val="auto"/>
          <w:kern w:val="2"/>
          <w:sz w:val="24"/>
          <w:szCs w:val="24"/>
          <w:highlight w:val="none"/>
          <w:lang w:val="en-US" w:eastAsia="zh-CN" w:bidi="ar-SA"/>
        </w:rPr>
        <w:t>四、</w:t>
      </w:r>
      <w:r>
        <w:rPr>
          <w:rFonts w:hint="eastAsia" w:ascii="宋体" w:hAnsi="宋体" w:eastAsia="宋体" w:cs="宋体"/>
          <w:b/>
          <w:bCs/>
          <w:sz w:val="24"/>
          <w:szCs w:val="24"/>
          <w:highlight w:val="none"/>
        </w:rPr>
        <w:t>护理岗位</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年龄60周岁以下，具有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育婴员/护理员等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照护类证书，一年以上儿童护理工作经验者年龄可适当放宽；热爱儿童事业，身体健康，无犯罪记录，能吃苦耐劳，经培训合格后能独立上岗，独立完成护理记录。</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1、在项目单位的领导和采购方的指导下，为儿童提供24小时全天候照护服务。</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2、严格遵守各项规章制度，认真执行护理操作规程，按照护理等级为不同年龄、不同能力的儿童实施分级护理，做好台账记录。</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3、负责儿童日常生活照料，根据儿童身心特点实施针对性护理，包括亲情关爱、饮食起居照料、个人清洁卫生和睡眠照料等。</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4、采取安全防护措施，预防儿童意外伤害，配合处理儿童突发状况，杜绝差错事故。</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5、负责儿童区域清洁卫生，做好内务整理、清扫保洁和日常消毒等，保持儿童生活环境整洁有序。</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6、负责儿童衣物、被褥随脏随换，玩具、用具、辅具定期消毒清洗。</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7、负责儿童配奶配餐服务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严格按照儿童饮食表调制配方奶、制作水果泥，保障食品安全卫生。</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8、负责生病儿童陪护照料（包括住院），护送儿童外出体检、就医就学等，给予情感支持，促进儿童健康。</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9、协助早教康复，按照康复计划实施生活康复训练，组织儿童闲暇活动，支持儿童参与各类活动，提供现场护理。</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10、根据甲方需求，服从工作安排，完成交办</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其他工作任务。</w:t>
      </w:r>
    </w:p>
    <w:p>
      <w:pPr>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sz w:val="24"/>
          <w:szCs w:val="24"/>
          <w:highlight w:val="none"/>
        </w:rPr>
      </w:pPr>
      <w:r>
        <w:rPr>
          <w:rFonts w:hint="eastAsia" w:ascii="宋体" w:hAnsi="宋体" w:eastAsia="宋体" w:cs="宋体"/>
          <w:b/>
          <w:bCs/>
          <w:kern w:val="2"/>
          <w:sz w:val="24"/>
          <w:szCs w:val="24"/>
          <w:highlight w:val="none"/>
          <w:lang w:val="en-US" w:eastAsia="zh-CN" w:bidi="ar-SA"/>
        </w:rPr>
        <w:t>五、</w:t>
      </w:r>
      <w:r>
        <w:rPr>
          <w:rFonts w:hint="eastAsia" w:ascii="宋体" w:hAnsi="宋体" w:eastAsia="宋体" w:cs="宋体"/>
          <w:b/>
          <w:bCs/>
          <w:sz w:val="24"/>
          <w:szCs w:val="24"/>
          <w:highlight w:val="none"/>
        </w:rPr>
        <w:t>护理服务应达到的各项指标</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1、落实护理措施100%；</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2、护理安全率100%；</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3、护理质量合格率达≥95%；</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4、护理记录合格率≥90%；</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5、护理服务满意率≥90%以上；</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6、消毒隔离率100%；</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7、项目人员配比到岗率100%。</w:t>
      </w:r>
    </w:p>
    <w:p>
      <w:pPr>
        <w:pageBreakBefore w:val="0"/>
        <w:kinsoku/>
        <w:wordWrap/>
        <w:overflowPunct/>
        <w:topLinePunct w:val="0"/>
        <w:autoSpaceDE/>
        <w:autoSpaceDN/>
        <w:bidi w:val="0"/>
        <w:adjustRightInd/>
        <w:snapToGrid/>
        <w:spacing w:line="360" w:lineRule="auto"/>
        <w:ind w:left="0" w:firstLine="482" w:firstLineChars="200"/>
        <w:textAlignment w:val="auto"/>
        <w:outlineLvl w:val="1"/>
        <w:rPr>
          <w:rFonts w:hint="eastAsia" w:ascii="宋体" w:hAnsi="宋体" w:eastAsia="宋体" w:cs="宋体"/>
          <w:snapToGrid w:val="0"/>
          <w:kern w:val="0"/>
          <w:sz w:val="24"/>
          <w:szCs w:val="24"/>
          <w:highlight w:val="none"/>
        </w:rPr>
      </w:pPr>
      <w:r>
        <w:rPr>
          <w:rFonts w:hint="eastAsia" w:ascii="宋体" w:hAnsi="宋体" w:eastAsia="宋体" w:cs="宋体"/>
          <w:b/>
          <w:snapToGrid w:val="0"/>
          <w:kern w:val="0"/>
          <w:sz w:val="24"/>
          <w:szCs w:val="24"/>
          <w:highlight w:val="none"/>
        </w:rPr>
        <w:t>六、服务质量要求</w:t>
      </w:r>
    </w:p>
    <w:p>
      <w:pPr>
        <w:pageBreakBefore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1、项目服务要求：</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树立服务意识，从维护儿童权益出发，要尊重、关心、爱护儿童，严禁虐待、歧视、体罚、变相体罚、偏爱、侮辱幼儿人格等一切损害他们身心健康的行为。以良好的职业道德，较强的工作责任感，保证各项护理工作的顺利完成。</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（2）自觉遵守福利院的各项规章制度，遵守相关法律法规的有关要求，语言文明礼貌，举止端庄大方，服务耐心细致，与各部门间团结协作，努力创造文明、健康、乐观、祥和的工作氛围。</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sz w:val="24"/>
          <w:szCs w:val="24"/>
          <w:highlight w:val="none"/>
        </w:rPr>
        <w:t>严格遵照</w:t>
      </w:r>
      <w:r>
        <w:rPr>
          <w:rFonts w:hint="eastAsia" w:ascii="宋体" w:hAnsi="宋体" w:eastAsia="宋体" w:cs="宋体"/>
          <w:bCs/>
          <w:sz w:val="24"/>
          <w:szCs w:val="24"/>
          <w:highlight w:val="none"/>
        </w:rPr>
        <w:t>招标人的护理操作规程及要求</w:t>
      </w:r>
      <w:r>
        <w:rPr>
          <w:rFonts w:hint="eastAsia" w:ascii="宋体" w:hAnsi="宋体" w:eastAsia="宋体" w:cs="宋体"/>
          <w:sz w:val="24"/>
          <w:szCs w:val="24"/>
          <w:highlight w:val="none"/>
        </w:rPr>
        <w:t>，全方位做好儿童日常生活照护（儿童清洁、喂养、睡眠、日常保健、心理护理等），并</w:t>
      </w:r>
      <w:r>
        <w:rPr>
          <w:rFonts w:hint="eastAsia" w:ascii="宋体" w:hAnsi="宋体" w:eastAsia="宋体" w:cs="宋体"/>
          <w:bCs/>
          <w:sz w:val="24"/>
          <w:szCs w:val="24"/>
          <w:highlight w:val="none"/>
        </w:rPr>
        <w:t>做好各项护理记录。</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（4）严格遵照</w:t>
      </w:r>
      <w:r>
        <w:rPr>
          <w:rFonts w:hint="eastAsia" w:ascii="宋体" w:hAnsi="宋体" w:eastAsia="宋体" w:cs="宋体"/>
          <w:bCs/>
          <w:sz w:val="24"/>
          <w:szCs w:val="24"/>
          <w:highlight w:val="none"/>
        </w:rPr>
        <w:t>招标人儿童陪护要求</w:t>
      </w:r>
      <w:r>
        <w:rPr>
          <w:rFonts w:hint="eastAsia" w:ascii="宋体" w:hAnsi="宋体" w:eastAsia="宋体" w:cs="宋体"/>
          <w:sz w:val="24"/>
          <w:szCs w:val="24"/>
          <w:highlight w:val="none"/>
        </w:rPr>
        <w:t>做好儿童就医、住院等陪护工作，了解患儿的病情、护理要求及其他注意事项，并保质保量地按陪护要求和注意事项对患儿实行全天</w:t>
      </w:r>
      <w:r>
        <w:rPr>
          <w:rFonts w:hint="eastAsia" w:ascii="宋体" w:hAnsi="宋体" w:eastAsia="宋体" w:cs="宋体"/>
          <w:sz w:val="24"/>
          <w:szCs w:val="24"/>
          <w:highlight w:val="none"/>
          <w:lang w:eastAsia="zh-CN"/>
        </w:rPr>
        <w:t>候</w:t>
      </w:r>
      <w:r>
        <w:rPr>
          <w:rFonts w:hint="eastAsia" w:ascii="宋体" w:hAnsi="宋体" w:eastAsia="宋体" w:cs="宋体"/>
          <w:sz w:val="24"/>
          <w:szCs w:val="24"/>
          <w:highlight w:val="none"/>
        </w:rPr>
        <w:t>的生活照料和安全看护，做好相关护理记录；做好其他一切相关儿童所需的陪护/陪同工作，全权负责孩子的安全。</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w:t>
      </w:r>
      <w:r>
        <w:rPr>
          <w:rFonts w:hint="eastAsia" w:ascii="宋体" w:hAnsi="宋体" w:eastAsia="宋体" w:cs="宋体"/>
          <w:bCs/>
          <w:sz w:val="24"/>
          <w:szCs w:val="24"/>
          <w:highlight w:val="none"/>
        </w:rPr>
        <w:t>严格按照规范操作，确保护理儿童安全。</w:t>
      </w:r>
      <w:r>
        <w:rPr>
          <w:rFonts w:hint="eastAsia" w:ascii="宋体" w:hAnsi="宋体" w:eastAsia="宋体" w:cs="宋体"/>
          <w:sz w:val="24"/>
          <w:szCs w:val="24"/>
          <w:highlight w:val="none"/>
        </w:rPr>
        <w:t>根据</w:t>
      </w:r>
      <w:r>
        <w:rPr>
          <w:rFonts w:hint="eastAsia" w:ascii="宋体" w:hAnsi="宋体" w:eastAsia="宋体" w:cs="宋体"/>
          <w:bCs/>
          <w:sz w:val="24"/>
          <w:szCs w:val="24"/>
          <w:highlight w:val="none"/>
        </w:rPr>
        <w:t>招标人</w:t>
      </w:r>
      <w:r>
        <w:rPr>
          <w:rFonts w:hint="eastAsia" w:ascii="宋体" w:hAnsi="宋体" w:eastAsia="宋体" w:cs="宋体"/>
          <w:sz w:val="24"/>
          <w:szCs w:val="24"/>
          <w:highlight w:val="none"/>
        </w:rPr>
        <w:t>消防安全标准要求，做好承担区域内的日常安全巡查，遇突发状况及时报告，严防安全事故的发生。</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（6）根据</w:t>
      </w:r>
      <w:r>
        <w:rPr>
          <w:rFonts w:hint="eastAsia" w:ascii="宋体" w:hAnsi="宋体" w:eastAsia="宋体" w:cs="宋体"/>
          <w:bCs/>
          <w:sz w:val="24"/>
          <w:szCs w:val="24"/>
          <w:highlight w:val="none"/>
        </w:rPr>
        <w:t>招标人</w:t>
      </w:r>
      <w:r>
        <w:rPr>
          <w:rFonts w:hint="eastAsia" w:ascii="宋体" w:hAnsi="宋体" w:eastAsia="宋体" w:cs="宋体"/>
          <w:sz w:val="24"/>
          <w:szCs w:val="24"/>
          <w:highlight w:val="none"/>
        </w:rPr>
        <w:t>工作规范要求，将教育康复融入日常生活，</w:t>
      </w:r>
      <w:r>
        <w:rPr>
          <w:rFonts w:hint="eastAsia" w:ascii="宋体" w:hAnsi="宋体" w:eastAsia="宋体" w:cs="宋体"/>
          <w:bCs/>
          <w:sz w:val="24"/>
          <w:szCs w:val="24"/>
          <w:highlight w:val="none"/>
        </w:rPr>
        <w:t>渗透到护理操作环节中</w:t>
      </w:r>
      <w:r>
        <w:rPr>
          <w:rFonts w:hint="eastAsia" w:ascii="宋体" w:hAnsi="宋体" w:eastAsia="宋体" w:cs="宋体"/>
          <w:sz w:val="24"/>
          <w:szCs w:val="24"/>
          <w:highlight w:val="none"/>
        </w:rPr>
        <w:t>提升儿童能力</w:t>
      </w:r>
      <w:r>
        <w:rPr>
          <w:rFonts w:hint="eastAsia" w:ascii="宋体" w:hAnsi="宋体" w:eastAsia="宋体" w:cs="宋体"/>
          <w:bCs/>
          <w:sz w:val="24"/>
          <w:szCs w:val="24"/>
          <w:highlight w:val="none"/>
        </w:rPr>
        <w:t>（如运动能力、言语能力、社交能力、认知能力等），</w:t>
      </w:r>
      <w:r>
        <w:rPr>
          <w:rFonts w:hint="eastAsia" w:ascii="宋体" w:hAnsi="宋体" w:eastAsia="宋体" w:cs="宋体"/>
          <w:sz w:val="24"/>
          <w:szCs w:val="24"/>
          <w:highlight w:val="none"/>
        </w:rPr>
        <w:t>帮助儿童提高生活质量。</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（7）定期组织员工开展培训，加强人员队伍建设，提升思想素质和业务水平。</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（8）实施分级护理，根据儿童年龄、能力和残疾情况等，提供针对性护理服务，计划和组织</w:t>
      </w:r>
      <w:r>
        <w:rPr>
          <w:rFonts w:hint="eastAsia" w:ascii="宋体" w:hAnsi="宋体" w:eastAsia="宋体" w:cs="宋体"/>
          <w:bCs/>
          <w:sz w:val="24"/>
          <w:szCs w:val="24"/>
          <w:highlight w:val="none"/>
        </w:rPr>
        <w:t>儿童在闲暇时光</w:t>
      </w:r>
      <w:r>
        <w:rPr>
          <w:rFonts w:hint="eastAsia" w:ascii="宋体" w:hAnsi="宋体" w:eastAsia="宋体" w:cs="宋体"/>
          <w:sz w:val="24"/>
          <w:szCs w:val="24"/>
          <w:highlight w:val="none"/>
        </w:rPr>
        <w:t>开展合适的文娱活动，丰富儿童生活，促进儿童身心发展；</w:t>
      </w:r>
      <w:r>
        <w:rPr>
          <w:rFonts w:hint="eastAsia" w:ascii="宋体" w:hAnsi="宋体" w:eastAsia="宋体" w:cs="宋体"/>
          <w:bCs/>
          <w:sz w:val="24"/>
          <w:szCs w:val="24"/>
          <w:highlight w:val="none"/>
        </w:rPr>
        <w:t>同时根据招标人的要求保质保量地配合完成院部各项大型活动。</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（9）在日常护理中，对婴幼儿要有语言和肢体的交流，对大龄儿童除关心儿童生活之余，要与儿童定期谈心交流，及时掌握儿童的情绪状况，帮助及时疏导。</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（10）</w:t>
      </w:r>
      <w:r>
        <w:rPr>
          <w:rFonts w:hint="eastAsia" w:ascii="宋体" w:hAnsi="宋体" w:eastAsia="宋体" w:cs="宋体"/>
          <w:sz w:val="24"/>
          <w:szCs w:val="24"/>
          <w:highlight w:val="none"/>
        </w:rPr>
        <w:t>自觉遵守</w:t>
      </w:r>
      <w:r>
        <w:rPr>
          <w:rFonts w:hint="eastAsia" w:ascii="宋体" w:hAnsi="宋体" w:eastAsia="宋体" w:cs="宋体"/>
          <w:bCs/>
          <w:sz w:val="24"/>
          <w:szCs w:val="24"/>
          <w:highlight w:val="none"/>
        </w:rPr>
        <w:t>招标人</w:t>
      </w:r>
      <w:r>
        <w:rPr>
          <w:rFonts w:hint="eastAsia" w:ascii="宋体" w:hAnsi="宋体" w:eastAsia="宋体" w:cs="宋体"/>
          <w:sz w:val="24"/>
          <w:szCs w:val="24"/>
          <w:highlight w:val="none"/>
        </w:rPr>
        <w:t>的一切规章制度以及招标人的其他要求。</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（11）遵守投标文件规定的其他内容。</w:t>
      </w:r>
    </w:p>
    <w:p>
      <w:pPr>
        <w:pageBreakBefore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2、日常护理服务要求</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按照《民政部儿童福利院护理工作标准》，做好儿童清洁照料、饮食照料、排泄照料、睡眠照料、安全保护、保健护理，做好护理记录、环境卫生等服务。</w:t>
      </w:r>
    </w:p>
    <w:p>
      <w:pPr>
        <w:pageBreakBefore w:val="0"/>
        <w:kinsoku/>
        <w:wordWrap/>
        <w:overflowPunct/>
        <w:topLinePunct w:val="0"/>
        <w:autoSpaceDE/>
        <w:autoSpaceDN/>
        <w:bidi w:val="0"/>
        <w:adjustRightInd/>
        <w:snapToGrid/>
        <w:spacing w:line="360" w:lineRule="auto"/>
        <w:ind w:left="0" w:firstLine="482" w:firstLineChars="200"/>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七、管理服务费用及财务管理要求</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1、用于服务对象护理服务所需易耗品、清洁用品、用具由采购单位承担；</w:t>
      </w:r>
      <w:r>
        <w:rPr>
          <w:rFonts w:hint="eastAsia" w:ascii="宋体" w:hAnsi="宋体" w:eastAsia="宋体" w:cs="宋体"/>
          <w:bCs/>
          <w:sz w:val="24"/>
          <w:szCs w:val="24"/>
          <w:highlight w:val="none"/>
        </w:rPr>
        <w:t>所用水电费用由采购单位承担，但项目单位不得浪费。</w:t>
      </w:r>
      <w:r>
        <w:rPr>
          <w:rFonts w:hint="eastAsia" w:ascii="宋体" w:hAnsi="宋体" w:eastAsia="宋体" w:cs="宋体"/>
          <w:snapToGrid w:val="0"/>
          <w:kern w:val="0"/>
          <w:sz w:val="24"/>
          <w:szCs w:val="24"/>
          <w:highlight w:val="none"/>
        </w:rPr>
        <w:t>其他一切</w:t>
      </w:r>
      <w:r>
        <w:rPr>
          <w:rFonts w:hint="eastAsia" w:ascii="宋体" w:hAnsi="宋体" w:eastAsia="宋体" w:cs="宋体"/>
          <w:bCs/>
          <w:sz w:val="24"/>
          <w:szCs w:val="24"/>
          <w:highlight w:val="none"/>
        </w:rPr>
        <w:t>办公等费用和服务中</w:t>
      </w:r>
      <w:r>
        <w:rPr>
          <w:rFonts w:hint="eastAsia" w:ascii="宋体" w:hAnsi="宋体" w:eastAsia="宋体" w:cs="宋体"/>
          <w:sz w:val="24"/>
          <w:szCs w:val="24"/>
          <w:highlight w:val="none"/>
        </w:rPr>
        <w:t>护理服务不到位而造成</w:t>
      </w:r>
      <w:r>
        <w:rPr>
          <w:rFonts w:hint="eastAsia" w:ascii="宋体" w:hAnsi="宋体" w:eastAsia="宋体" w:cs="宋体"/>
          <w:bCs/>
          <w:sz w:val="24"/>
          <w:szCs w:val="24"/>
          <w:highlight w:val="none"/>
        </w:rPr>
        <w:t>采购单位</w:t>
      </w:r>
      <w:r>
        <w:rPr>
          <w:rFonts w:hint="eastAsia" w:ascii="宋体" w:hAnsi="宋体" w:eastAsia="宋体" w:cs="宋体"/>
          <w:sz w:val="24"/>
          <w:szCs w:val="24"/>
          <w:highlight w:val="none"/>
        </w:rPr>
        <w:t>器材、设备、设施等物品非正常损毁的由</w:t>
      </w:r>
      <w:r>
        <w:rPr>
          <w:rFonts w:hint="eastAsia" w:ascii="宋体" w:hAnsi="宋体" w:eastAsia="宋体" w:cs="宋体"/>
          <w:bCs/>
          <w:sz w:val="24"/>
          <w:szCs w:val="24"/>
          <w:highlight w:val="none"/>
        </w:rPr>
        <w:t>中标方</w:t>
      </w:r>
      <w:r>
        <w:rPr>
          <w:rFonts w:hint="eastAsia" w:ascii="宋体" w:hAnsi="宋体" w:eastAsia="宋体" w:cs="宋体"/>
          <w:sz w:val="24"/>
          <w:szCs w:val="24"/>
          <w:highlight w:val="none"/>
        </w:rPr>
        <w:t>负责赔偿</w:t>
      </w:r>
      <w:r>
        <w:rPr>
          <w:rFonts w:hint="eastAsia" w:ascii="宋体" w:hAnsi="宋体" w:eastAsia="宋体" w:cs="宋体"/>
          <w:bCs/>
          <w:sz w:val="24"/>
          <w:szCs w:val="24"/>
          <w:highlight w:val="none"/>
        </w:rPr>
        <w:t>。</w:t>
      </w:r>
    </w:p>
    <w:p>
      <w:pPr>
        <w:pStyle w:val="38"/>
        <w:pageBreakBefore w:val="0"/>
        <w:kinsoku/>
        <w:wordWrap/>
        <w:overflowPunct/>
        <w:topLinePunct w:val="0"/>
        <w:autoSpaceDE/>
        <w:autoSpaceDN/>
        <w:bidi w:val="0"/>
        <w:adjustRightInd/>
        <w:snapToGrid/>
        <w:spacing w:before="0"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2、由</w:t>
      </w:r>
      <w:r>
        <w:rPr>
          <w:rFonts w:hint="eastAsia" w:ascii="宋体" w:hAnsi="宋体" w:eastAsia="宋体" w:cs="宋体"/>
          <w:bCs/>
          <w:sz w:val="24"/>
          <w:szCs w:val="24"/>
          <w:highlight w:val="none"/>
        </w:rPr>
        <w:t>采购单位</w:t>
      </w:r>
      <w:r>
        <w:rPr>
          <w:rFonts w:hint="eastAsia" w:ascii="宋体" w:hAnsi="宋体" w:eastAsia="宋体" w:cs="宋体"/>
          <w:sz w:val="24"/>
          <w:szCs w:val="24"/>
          <w:highlight w:val="none"/>
        </w:rPr>
        <w:t>提供的用品根据服务对象实际需要进行登记、领用，遵照</w:t>
      </w:r>
      <w:r>
        <w:rPr>
          <w:rFonts w:hint="eastAsia" w:ascii="宋体" w:hAnsi="宋体" w:eastAsia="宋体" w:cs="宋体"/>
          <w:bCs/>
          <w:sz w:val="24"/>
          <w:szCs w:val="24"/>
          <w:highlight w:val="none"/>
        </w:rPr>
        <w:t>采购单位</w:t>
      </w:r>
      <w:r>
        <w:rPr>
          <w:rFonts w:hint="eastAsia" w:ascii="宋体" w:hAnsi="宋体" w:eastAsia="宋体" w:cs="宋体"/>
          <w:sz w:val="24"/>
          <w:szCs w:val="24"/>
          <w:highlight w:val="none"/>
        </w:rPr>
        <w:t>领用制度执行，</w:t>
      </w:r>
      <w:r>
        <w:rPr>
          <w:rFonts w:hint="eastAsia" w:ascii="宋体" w:hAnsi="宋体" w:eastAsia="宋体" w:cs="宋体"/>
          <w:bCs/>
          <w:sz w:val="24"/>
          <w:szCs w:val="24"/>
          <w:highlight w:val="none"/>
        </w:rPr>
        <w:t>采购单位</w:t>
      </w:r>
      <w:r>
        <w:rPr>
          <w:rFonts w:hint="eastAsia" w:ascii="宋体" w:hAnsi="宋体" w:eastAsia="宋体" w:cs="宋体"/>
          <w:sz w:val="24"/>
          <w:szCs w:val="24"/>
          <w:highlight w:val="none"/>
        </w:rPr>
        <w:t>将定期或不定期进行检查或抽查。若发现项目人员将服务对象用品擅自挪作私用，查明属实的，不论大小、价值高低，项目单位一律需向采购单位支付1000元/次的违约金，在当月合同款中扣除。</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3、中标服务人员不足人员配比要求的，</w:t>
      </w:r>
      <w:r>
        <w:rPr>
          <w:rFonts w:hint="eastAsia" w:ascii="宋体" w:hAnsi="宋体" w:eastAsia="宋体" w:cs="宋体"/>
          <w:sz w:val="24"/>
          <w:szCs w:val="24"/>
          <w:highlight w:val="none"/>
        </w:rPr>
        <w:t>按其岗位平均每月人员开支的标准扣除服务费。</w:t>
      </w:r>
      <w:r>
        <w:rPr>
          <w:rFonts w:hint="eastAsia" w:ascii="宋体" w:hAnsi="宋体" w:eastAsia="宋体" w:cs="宋体"/>
          <w:bCs/>
          <w:sz w:val="24"/>
          <w:szCs w:val="24"/>
          <w:highlight w:val="none"/>
        </w:rPr>
        <w:t>抚育工作质量不达要求的按采购单位质量考核标准扣除相应的服务费用。由于抚育操作不当等项目单位原因而发</w:t>
      </w:r>
      <w:r>
        <w:rPr>
          <w:rFonts w:hint="eastAsia" w:ascii="宋体" w:hAnsi="宋体" w:eastAsia="宋体" w:cs="宋体"/>
          <w:bCs/>
          <w:sz w:val="24"/>
          <w:szCs w:val="24"/>
          <w:highlight w:val="none"/>
          <w:lang w:eastAsia="zh-CN"/>
        </w:rPr>
        <w:t>生的</w:t>
      </w:r>
      <w:r>
        <w:rPr>
          <w:rFonts w:hint="eastAsia" w:ascii="宋体" w:hAnsi="宋体" w:eastAsia="宋体" w:cs="宋体"/>
          <w:bCs/>
          <w:sz w:val="24"/>
          <w:szCs w:val="24"/>
          <w:highlight w:val="none"/>
        </w:rPr>
        <w:t>儿童事故由中标单位承担相应的责任和相关费用。</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napToGrid w:val="0"/>
          <w:kern w:val="0"/>
          <w:sz w:val="24"/>
          <w:szCs w:val="24"/>
          <w:highlight w:val="none"/>
        </w:rPr>
        <w:t>4、中标单位每月须以书面形式向</w:t>
      </w:r>
      <w:r>
        <w:rPr>
          <w:rFonts w:hint="eastAsia" w:ascii="宋体" w:hAnsi="宋体" w:eastAsia="宋体" w:cs="宋体"/>
          <w:bCs/>
          <w:sz w:val="24"/>
          <w:szCs w:val="24"/>
          <w:highlight w:val="none"/>
        </w:rPr>
        <w:t>采购单位</w:t>
      </w:r>
      <w:r>
        <w:rPr>
          <w:rFonts w:hint="eastAsia" w:ascii="宋体" w:hAnsi="宋体" w:eastAsia="宋体" w:cs="宋体"/>
          <w:snapToGrid w:val="0"/>
          <w:kern w:val="0"/>
          <w:sz w:val="24"/>
          <w:szCs w:val="24"/>
          <w:highlight w:val="none"/>
        </w:rPr>
        <w:t>报告当月抚育儿童、到岗人员等服务情况的统计报表，供</w:t>
      </w:r>
      <w:r>
        <w:rPr>
          <w:rFonts w:hint="eastAsia" w:ascii="宋体" w:hAnsi="宋体" w:eastAsia="宋体" w:cs="宋体"/>
          <w:bCs/>
          <w:sz w:val="24"/>
          <w:szCs w:val="24"/>
          <w:highlight w:val="none"/>
        </w:rPr>
        <w:t>采购单位</w:t>
      </w:r>
      <w:r>
        <w:rPr>
          <w:rFonts w:hint="eastAsia" w:ascii="宋体" w:hAnsi="宋体" w:eastAsia="宋体" w:cs="宋体"/>
          <w:snapToGrid w:val="0"/>
          <w:kern w:val="0"/>
          <w:sz w:val="24"/>
          <w:szCs w:val="24"/>
          <w:highlight w:val="none"/>
        </w:rPr>
        <w:t>审核。</w:t>
      </w:r>
      <w:r>
        <w:rPr>
          <w:rFonts w:hint="eastAsia" w:ascii="宋体" w:hAnsi="宋体" w:eastAsia="宋体" w:cs="宋体"/>
          <w:sz w:val="24"/>
          <w:szCs w:val="24"/>
          <w:highlight w:val="none"/>
        </w:rPr>
        <w:t>服务费用每月按护理儿童人数和考核扣分情况核算。</w:t>
      </w:r>
    </w:p>
    <w:p>
      <w:pPr>
        <w:pageBreakBefore w:val="0"/>
        <w:kinsoku/>
        <w:wordWrap/>
        <w:overflowPunct/>
        <w:topLinePunct w:val="0"/>
        <w:autoSpaceDE/>
        <w:autoSpaceDN/>
        <w:bidi w:val="0"/>
        <w:adjustRightInd/>
        <w:snapToGrid/>
        <w:spacing w:line="360" w:lineRule="auto"/>
        <w:ind w:left="0" w:firstLine="482" w:firstLineChars="200"/>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八、相关场地提供</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1、采购单位提供服务场地。</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2、采购单位为项目单位提供</w:t>
      </w:r>
      <w:r>
        <w:rPr>
          <w:rFonts w:hint="eastAsia" w:ascii="宋体" w:hAnsi="宋体" w:eastAsia="宋体" w:cs="宋体"/>
          <w:snapToGrid w:val="0"/>
          <w:kern w:val="0"/>
          <w:sz w:val="24"/>
          <w:szCs w:val="24"/>
          <w:highlight w:val="none"/>
        </w:rPr>
        <w:t>项目管理人员办公场地及</w:t>
      </w:r>
      <w:r>
        <w:rPr>
          <w:rFonts w:hint="eastAsia" w:ascii="宋体" w:hAnsi="宋体" w:eastAsia="宋体" w:cs="宋体"/>
          <w:sz w:val="24"/>
          <w:szCs w:val="24"/>
          <w:highlight w:val="none"/>
        </w:rPr>
        <w:t>更衣柜。</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3、中标单位管理、护理及其他工作人员的住宿、用餐、交通、办公设备等由其自行解决，采购单位无需负责。</w:t>
      </w:r>
    </w:p>
    <w:p>
      <w:pPr>
        <w:pageBreakBefore w:val="0"/>
        <w:kinsoku/>
        <w:wordWrap/>
        <w:overflowPunct/>
        <w:topLinePunct w:val="0"/>
        <w:autoSpaceDE/>
        <w:autoSpaceDN/>
        <w:bidi w:val="0"/>
        <w:adjustRightInd/>
        <w:snapToGrid/>
        <w:spacing w:line="360" w:lineRule="auto"/>
        <w:ind w:left="0" w:firstLine="482" w:firstLineChars="200"/>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九、分项列出</w:t>
      </w:r>
      <w:r>
        <w:rPr>
          <w:rFonts w:hint="eastAsia" w:ascii="宋体" w:hAnsi="宋体" w:eastAsia="宋体" w:cs="宋体"/>
          <w:b/>
          <w:bCs/>
          <w:sz w:val="24"/>
          <w:szCs w:val="24"/>
          <w:highlight w:val="none"/>
          <w:lang w:eastAsia="zh-CN"/>
        </w:rPr>
        <w:t>年度</w:t>
      </w:r>
      <w:r>
        <w:rPr>
          <w:rFonts w:hint="eastAsia" w:ascii="宋体" w:hAnsi="宋体" w:eastAsia="宋体" w:cs="宋体"/>
          <w:b/>
          <w:bCs/>
          <w:sz w:val="24"/>
          <w:szCs w:val="24"/>
          <w:highlight w:val="none"/>
        </w:rPr>
        <w:t>支出费用</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中标单位应负责财务管理和项目涉及的档案管理，</w:t>
      </w:r>
      <w:r>
        <w:rPr>
          <w:rFonts w:hint="eastAsia" w:ascii="宋体" w:hAnsi="宋体" w:eastAsia="宋体" w:cs="宋体"/>
          <w:snapToGrid w:val="0"/>
          <w:kern w:val="0"/>
          <w:sz w:val="24"/>
          <w:szCs w:val="24"/>
          <w:highlight w:val="none"/>
        </w:rPr>
        <w:t>分</w:t>
      </w:r>
      <w:r>
        <w:rPr>
          <w:rFonts w:hint="eastAsia" w:ascii="宋体" w:hAnsi="宋体" w:eastAsia="宋体" w:cs="宋体"/>
          <w:bCs/>
          <w:sz w:val="24"/>
          <w:szCs w:val="24"/>
          <w:highlight w:val="none"/>
        </w:rPr>
        <w:t>项列出</w:t>
      </w:r>
      <w:r>
        <w:rPr>
          <w:rFonts w:hint="eastAsia" w:ascii="宋体" w:hAnsi="宋体" w:eastAsia="宋体" w:cs="宋体"/>
          <w:bCs/>
          <w:sz w:val="24"/>
          <w:szCs w:val="24"/>
          <w:highlight w:val="none"/>
          <w:lang w:eastAsia="zh-CN"/>
        </w:rPr>
        <w:t>年度</w:t>
      </w:r>
      <w:r>
        <w:rPr>
          <w:rFonts w:hint="eastAsia" w:ascii="宋体" w:hAnsi="宋体" w:eastAsia="宋体" w:cs="宋体"/>
          <w:bCs/>
          <w:sz w:val="24"/>
          <w:szCs w:val="24"/>
          <w:highlight w:val="none"/>
        </w:rPr>
        <w:t>支出费用。项目单位建账需符合国家有关规定以及采购单位的要求。</w:t>
      </w:r>
    </w:p>
    <w:p>
      <w:pPr>
        <w:pageBreakBefore w:val="0"/>
        <w:kinsoku/>
        <w:wordWrap/>
        <w:overflowPunct/>
        <w:topLinePunct w:val="0"/>
        <w:autoSpaceDE/>
        <w:autoSpaceDN/>
        <w:bidi w:val="0"/>
        <w:adjustRightInd/>
        <w:snapToGrid/>
        <w:spacing w:line="360" w:lineRule="auto"/>
        <w:ind w:left="0" w:firstLine="482" w:firstLineChars="200"/>
        <w:textAlignment w:val="auto"/>
        <w:outlineLvl w:val="1"/>
        <w:rPr>
          <w:rFonts w:hint="eastAsia" w:ascii="宋体" w:hAnsi="宋体" w:eastAsia="宋体" w:cs="宋体"/>
          <w:b/>
          <w:bCs/>
          <w:sz w:val="24"/>
          <w:szCs w:val="24"/>
          <w:highlight w:val="none"/>
        </w:rPr>
      </w:pPr>
      <w:bookmarkStart w:id="4" w:name="_Toc180298997"/>
      <w:r>
        <w:rPr>
          <w:rFonts w:hint="eastAsia" w:ascii="宋体" w:hAnsi="宋体" w:eastAsia="宋体" w:cs="宋体"/>
          <w:b/>
          <w:bCs/>
          <w:sz w:val="24"/>
          <w:szCs w:val="24"/>
          <w:highlight w:val="none"/>
        </w:rPr>
        <w:t>十、</w:t>
      </w:r>
      <w:bookmarkEnd w:id="4"/>
      <w:r>
        <w:rPr>
          <w:rFonts w:hint="eastAsia" w:ascii="宋体" w:hAnsi="宋体" w:eastAsia="宋体" w:cs="宋体"/>
          <w:b/>
          <w:bCs/>
          <w:sz w:val="24"/>
          <w:szCs w:val="24"/>
          <w:highlight w:val="none"/>
        </w:rPr>
        <w:t>验收</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根据中华人民共和国现行技术标准，按采购文件以及合同规定的验收评定标准等规范，由采购人根据《政府采购合同履约和验收管理办法（暂行）》（义招管办〔2008〕32号）文件要求和《义乌市关于规范政府采购管理的若干意见》（义政办发〔2017〕102号）要求，组织验收。</w:t>
      </w:r>
    </w:p>
    <w:p>
      <w:pPr>
        <w:pageBreakBefore w:val="0"/>
        <w:kinsoku/>
        <w:wordWrap/>
        <w:overflowPunct/>
        <w:topLinePunct w:val="0"/>
        <w:autoSpaceDE/>
        <w:autoSpaceDN/>
        <w:bidi w:val="0"/>
        <w:adjustRightInd/>
        <w:snapToGrid/>
        <w:spacing w:line="360" w:lineRule="auto"/>
        <w:ind w:left="0" w:firstLine="482" w:firstLineChars="200"/>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十一、意外情况处理：</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以下情况由中标单位承担责任：</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1、由于项目人员工作不到位而引起的班组儿童走失、跌倒、坠床、烫伤、噎食、皮肤压疮、火灾等意外，以及其他由于护理人员工作不到位而引起的儿童伤害及可能引发的不良后果。</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2、若发生其他事故，采购单位应及时给予应急帮助，事后分清责任，由责任方承担。</w:t>
      </w:r>
    </w:p>
    <w:p>
      <w:pPr>
        <w:pageBreakBefore w:val="0"/>
        <w:kinsoku/>
        <w:wordWrap/>
        <w:overflowPunct/>
        <w:topLinePunct w:val="0"/>
        <w:autoSpaceDE/>
        <w:autoSpaceDN/>
        <w:bidi w:val="0"/>
        <w:adjustRightInd/>
        <w:snapToGrid/>
        <w:spacing w:line="360" w:lineRule="auto"/>
        <w:ind w:left="0" w:firstLine="482" w:firstLineChars="200"/>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十二、其他：</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1、在服务期间，中标单位的任何股份配置变动应及时书面通知采购单位。</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2、中标单位应允许采购单位或其授权的人员对服务项目内各项服务质量控制进行检查，有关费用由中标单位承担。</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3、在服务项目的各项服务，其工作时间必须满足采购单位的工作要求，包括星期天及公众假期。如遇特殊情况，采购单位可要求项目单位调整工作时间。中标单位应无条件配合。</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napToGrid w:val="0"/>
          <w:kern w:val="0"/>
          <w:sz w:val="24"/>
          <w:szCs w:val="24"/>
          <w:highlight w:val="none"/>
          <w:u w:val="single"/>
        </w:rPr>
      </w:pPr>
      <w:r>
        <w:rPr>
          <w:rFonts w:hint="eastAsia" w:ascii="宋体" w:hAnsi="宋体" w:eastAsia="宋体" w:cs="宋体"/>
          <w:snapToGrid w:val="0"/>
          <w:kern w:val="0"/>
          <w:sz w:val="24"/>
          <w:szCs w:val="24"/>
          <w:highlight w:val="none"/>
        </w:rPr>
        <w:t>4、中标单位必须聘请</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或指定</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一位经理</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负责人</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全权代表项目单位与采购单位保持密切联系并保证承包区域服务工作。根据综合考评或工作情况，采购单位有权要求项目单位在一个星期内更换经理（负责人）、相关骨干人员直至符合采购单位要求。中标单位应无条件配合。</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5、中标单位聘用保育员福利工资</w:t>
      </w:r>
      <w:r>
        <w:rPr>
          <w:rFonts w:hint="eastAsia" w:ascii="宋体" w:hAnsi="宋体" w:eastAsia="宋体" w:cs="宋体"/>
          <w:sz w:val="24"/>
          <w:szCs w:val="24"/>
          <w:highlight w:val="none"/>
          <w:lang w:val="en-US" w:eastAsia="zh-CN"/>
        </w:rPr>
        <w:t>参考</w:t>
      </w:r>
      <w:r>
        <w:rPr>
          <w:rFonts w:hint="eastAsia" w:ascii="宋体" w:hAnsi="宋体" w:eastAsia="宋体" w:cs="宋体"/>
          <w:sz w:val="24"/>
          <w:szCs w:val="24"/>
          <w:highlight w:val="none"/>
        </w:rPr>
        <w:t>义乌市编外用人人员的标准。</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z w:val="24"/>
          <w:szCs w:val="24"/>
          <w:highlight w:val="none"/>
        </w:rPr>
        <w:t>6、本项目配置工作人员以满足儿童实际服务需求为准，</w:t>
      </w:r>
      <w:r>
        <w:rPr>
          <w:rFonts w:hint="eastAsia" w:ascii="宋体" w:hAnsi="宋体" w:eastAsia="宋体" w:cs="宋体"/>
          <w:snapToGrid w:val="0"/>
          <w:kern w:val="0"/>
          <w:sz w:val="24"/>
          <w:szCs w:val="24"/>
          <w:highlight w:val="none"/>
        </w:rPr>
        <w:t>如果发现中标单位投入的</w:t>
      </w:r>
      <w:r>
        <w:rPr>
          <w:rFonts w:hint="eastAsia" w:ascii="宋体" w:hAnsi="宋体" w:eastAsia="宋体" w:cs="宋体"/>
          <w:sz w:val="24"/>
          <w:szCs w:val="24"/>
          <w:highlight w:val="none"/>
        </w:rPr>
        <w:t>直接服务该抚育项目人员</w:t>
      </w:r>
      <w:r>
        <w:rPr>
          <w:rFonts w:hint="eastAsia" w:ascii="宋体" w:hAnsi="宋体" w:eastAsia="宋体" w:cs="宋体"/>
          <w:snapToGrid w:val="0"/>
          <w:kern w:val="0"/>
          <w:sz w:val="24"/>
          <w:szCs w:val="24"/>
          <w:highlight w:val="none"/>
        </w:rPr>
        <w:t>数量少于合同约定的数量或低于人员配比（含人员离职等原因），中标单位应在2周内补齐人员，否则采购单位按考核标准扣除当月合同款。中标单位聘用的工作人员必须符合劳动部门有关用工规定，并经中标单位相关专业考核合格后持证上岗，采购单位有权进行审核，该类费用开支由中标单位负担。</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7、在服务期间，中标单位所有人员仅与中标单位建立劳动合同关系，且所有人员使用须符合《</w:t>
      </w:r>
      <w:r>
        <w:rPr>
          <w:rFonts w:hint="eastAsia" w:ascii="宋体" w:hAnsi="宋体" w:eastAsia="宋体" w:cs="宋体"/>
          <w:snapToGrid w:val="0"/>
          <w:kern w:val="0"/>
          <w:sz w:val="24"/>
          <w:szCs w:val="24"/>
          <w:highlight w:val="none"/>
          <w:lang w:eastAsia="zh-CN"/>
        </w:rPr>
        <w:t>中华人民共和国劳动合同法</w:t>
      </w:r>
      <w:r>
        <w:rPr>
          <w:rFonts w:hint="eastAsia" w:ascii="宋体" w:hAnsi="宋体" w:eastAsia="宋体" w:cs="宋体"/>
          <w:snapToGrid w:val="0"/>
          <w:kern w:val="0"/>
          <w:sz w:val="24"/>
          <w:szCs w:val="24"/>
          <w:highlight w:val="none"/>
        </w:rPr>
        <w:t>》的有关规定。中标单位所有人员与采购单位不存在劳动合同关系。中标单位人员发生任何事故或与中标单位发生劳动争议等均由中标单位自行全权负责，相关费用中标单位自行承担，中标单位保证采购单位在中标单位人员索赔时不受任何责任的约束。否则由此给采购单位造成的一切损失均由中标单位承担。</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8、要求中标单位提供人员培训计划，具有完整性、规范性、可操作性。</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9、中标单位工作人员上岗穿着由采购单位确认的制服及采购单位许可的装饰物品，费用和制作均由中标单位负担。</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10、中标单位必须出具或办妥法律及采购单位规定的与服务项目经营业务有关的执照和许可证，方可从事经营并在经营中遵守一切有关条例和规定。自行缴纳有关税、费。</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11、中标单位必须确保为采购单位提供优质、高效的专业服务，并根据采购单位要求整改不满意的服务状况。接受有关部门监督与检查。同时，中标单位自觉积极参加采购单位认为有</w:t>
      </w:r>
      <w:r>
        <w:rPr>
          <w:rFonts w:hint="eastAsia" w:ascii="宋体" w:hAnsi="宋体" w:eastAsia="宋体" w:cs="宋体"/>
          <w:snapToGrid w:val="0"/>
          <w:kern w:val="0"/>
          <w:sz w:val="24"/>
          <w:szCs w:val="24"/>
          <w:highlight w:val="none"/>
          <w:lang w:eastAsia="zh-CN"/>
        </w:rPr>
        <w:t>助于</w:t>
      </w:r>
      <w:r>
        <w:rPr>
          <w:rFonts w:hint="eastAsia" w:ascii="宋体" w:hAnsi="宋体" w:eastAsia="宋体" w:cs="宋体"/>
          <w:snapToGrid w:val="0"/>
          <w:kern w:val="0"/>
          <w:sz w:val="24"/>
          <w:szCs w:val="24"/>
          <w:highlight w:val="none"/>
        </w:rPr>
        <w:t>提高采购单位形象的宣传活动。</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12、在服务期内中标单位应保证承包区域内的设施、设备良好的运营状况和环境状况，并接受采购单位或其授权人员的检查，对由中标单位引起或造</w:t>
      </w:r>
      <w:r>
        <w:rPr>
          <w:rFonts w:hint="eastAsia" w:ascii="宋体" w:hAnsi="宋体" w:eastAsia="宋体" w:cs="宋体"/>
          <w:snapToGrid w:val="0"/>
          <w:kern w:val="0"/>
          <w:sz w:val="24"/>
          <w:szCs w:val="24"/>
          <w:highlight w:val="none"/>
          <w:lang w:eastAsia="zh-CN"/>
        </w:rPr>
        <w:t>成的</w:t>
      </w:r>
      <w:r>
        <w:rPr>
          <w:rFonts w:hint="eastAsia" w:ascii="宋体" w:hAnsi="宋体" w:eastAsia="宋体" w:cs="宋体"/>
          <w:snapToGrid w:val="0"/>
          <w:kern w:val="0"/>
          <w:sz w:val="24"/>
          <w:szCs w:val="24"/>
          <w:highlight w:val="none"/>
        </w:rPr>
        <w:t>设施、设备的损坏状况，采购单位将书面通知项目单位修复或整改，在书面通知下达一周后，仍未按要求修复或整改完毕，采购单位将负责完成这一工作，所需费用全部由中标单位承担。采购单位有权自行在应支付给中标单位的款项中扣除。</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13、在服务期内中标单位须做好投入人员的监管工作和责任承担风险（包括人员的人身健康责任、人身意外险），项目团队人员安排遵循《中华人民共和国劳动法》。</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14、</w:t>
      </w:r>
      <w:r>
        <w:rPr>
          <w:rFonts w:hint="eastAsia" w:ascii="宋体" w:hAnsi="宋体" w:eastAsia="宋体" w:cs="宋体"/>
          <w:color w:val="auto"/>
          <w:sz w:val="24"/>
          <w:szCs w:val="24"/>
          <w:highlight w:val="none"/>
        </w:rPr>
        <w:t>中标单位拟派服务人员须严格遵守义乌市疾控中心和采购单位的关于传染性疾病防控的所有要求（包括封闭管理），如有特殊情况另行规定。</w:t>
      </w:r>
    </w:p>
    <w:p>
      <w:pPr>
        <w:pageBreakBefore w:val="0"/>
        <w:kinsoku/>
        <w:wordWrap/>
        <w:overflowPunct/>
        <w:topLinePunct w:val="0"/>
        <w:autoSpaceDE/>
        <w:autoSpaceDN/>
        <w:bidi w:val="0"/>
        <w:adjustRightInd/>
        <w:snapToGrid/>
        <w:spacing w:line="360" w:lineRule="auto"/>
        <w:ind w:left="0" w:firstLine="482" w:firstLineChars="200"/>
        <w:textAlignment w:val="auto"/>
        <w:outlineLvl w:val="1"/>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十三、禁止事项</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1、中标单位不得以任何理由向采购单位工作人员支付小费或赠送实物，违者将终止合同。中标单位人员也不得以任何形式向采购单位相关人员索取小费或钱物等。</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napToGrid w:val="0"/>
          <w:kern w:val="0"/>
          <w:sz w:val="24"/>
          <w:szCs w:val="24"/>
          <w:highlight w:val="none"/>
        </w:rPr>
        <w:t>2、不得在服务项目</w:t>
      </w:r>
      <w:r>
        <w:rPr>
          <w:rFonts w:hint="eastAsia" w:ascii="宋体" w:hAnsi="宋体" w:eastAsia="宋体" w:cs="宋体"/>
          <w:snapToGrid w:val="0"/>
          <w:kern w:val="0"/>
          <w:sz w:val="24"/>
          <w:szCs w:val="24"/>
          <w:highlight w:val="none"/>
          <w:lang w:eastAsia="zh-CN"/>
        </w:rPr>
        <w:t>期</w:t>
      </w:r>
      <w:r>
        <w:rPr>
          <w:rFonts w:hint="eastAsia" w:ascii="宋体" w:hAnsi="宋体" w:eastAsia="宋体" w:cs="宋体"/>
          <w:snapToGrid w:val="0"/>
          <w:kern w:val="0"/>
          <w:sz w:val="24"/>
          <w:szCs w:val="24"/>
          <w:highlight w:val="none"/>
        </w:rPr>
        <w:t>间从事非法活动，也不得从事有损采购单位利益的活动，同时不允许在服务项目期间对采购单位经营活动进行滋扰性的行为，以及其他采购单位不允许的行为。</w:t>
      </w:r>
    </w:p>
    <w:p>
      <w:pPr>
        <w:pStyle w:val="4"/>
        <w:pageBreakBefore w:val="0"/>
        <w:tabs>
          <w:tab w:val="left" w:pos="432"/>
        </w:tabs>
        <w:kinsoku/>
        <w:wordWrap/>
        <w:overflowPunct/>
        <w:topLinePunct w:val="0"/>
        <w:autoSpaceDE/>
        <w:autoSpaceDN/>
        <w:bidi w:val="0"/>
        <w:adjustRightInd/>
        <w:snapToGrid/>
        <w:spacing w:before="0" w:after="0" w:line="360" w:lineRule="auto"/>
        <w:ind w:left="0"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十四、服务标准</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本项目执行行业国家相关标准、行业标准、地方标准。</w:t>
      </w:r>
    </w:p>
    <w:p>
      <w:pPr>
        <w:spacing w:line="360" w:lineRule="auto"/>
        <w:rPr>
          <w:rFonts w:ascii="Times New Roman" w:hAnsi="Times New Roman" w:eastAsia="宋体" w:cs="Times New Roman"/>
          <w:b/>
          <w:bCs/>
          <w:sz w:val="36"/>
          <w:highlight w:val="none"/>
        </w:rPr>
      </w:pPr>
      <w:r>
        <w:rPr>
          <w:rFonts w:ascii="Times New Roman" w:hAnsi="Times New Roman" w:eastAsia="宋体" w:cs="Times New Roman"/>
          <w:b/>
          <w:bCs/>
          <w:sz w:val="36"/>
          <w:highlight w:val="none"/>
        </w:rPr>
        <w:br w:type="page"/>
      </w:r>
    </w:p>
    <w:p>
      <w:pPr>
        <w:spacing w:line="360" w:lineRule="auto"/>
        <w:jc w:val="center"/>
        <w:outlineLvl w:val="0"/>
        <w:rPr>
          <w:rFonts w:ascii="Times New Roman" w:hAnsi="Times New Roman" w:eastAsia="宋体" w:cs="Times New Roman"/>
          <w:sz w:val="24"/>
          <w:highlight w:val="none"/>
        </w:rPr>
      </w:pPr>
      <w:r>
        <w:rPr>
          <w:rFonts w:ascii="Times New Roman" w:hAnsi="Times New Roman" w:eastAsia="宋体" w:cs="Times New Roman"/>
          <w:b/>
          <w:bCs/>
          <w:sz w:val="36"/>
          <w:highlight w:val="none"/>
        </w:rPr>
        <w:t xml:space="preserve">第四章  </w:t>
      </w:r>
      <w:r>
        <w:rPr>
          <w:rFonts w:ascii="Times New Roman" w:hAnsi="Times New Roman" w:eastAsia="宋体" w:cs="Times New Roman"/>
          <w:b/>
          <w:bCs/>
          <w:kern w:val="36"/>
          <w:sz w:val="36"/>
          <w:szCs w:val="36"/>
          <w:highlight w:val="none"/>
        </w:rPr>
        <w:t>开标、评标和定标须知</w:t>
      </w:r>
    </w:p>
    <w:p>
      <w:pPr>
        <w:pStyle w:val="4"/>
        <w:pageBreakBefore w:val="0"/>
        <w:widowControl w:val="0"/>
        <w:kinsoku/>
        <w:overflowPunct/>
        <w:topLinePunct w:val="0"/>
        <w:autoSpaceDE/>
        <w:autoSpaceDN/>
        <w:bidi w:val="0"/>
        <w:adjustRightInd/>
        <w:snapToGrid/>
        <w:spacing w:before="0" w:after="0" w:line="360" w:lineRule="auto"/>
        <w:ind w:left="0" w:leftChars="0" w:firstLine="482" w:firstLineChars="200"/>
        <w:textAlignment w:val="auto"/>
        <w:rPr>
          <w:rFonts w:hint="eastAsia" w:ascii="宋体" w:hAnsi="宋体" w:eastAsia="宋体" w:cs="宋体"/>
          <w:sz w:val="24"/>
          <w:szCs w:val="24"/>
          <w:highlight w:val="none"/>
        </w:rPr>
      </w:pPr>
      <w:bookmarkStart w:id="5" w:name="_Toc384297860"/>
      <w:bookmarkStart w:id="6" w:name="_Toc406413937"/>
      <w:bookmarkStart w:id="7" w:name="_Toc362250705"/>
      <w:bookmarkStart w:id="8" w:name="_Toc226973002"/>
      <w:bookmarkStart w:id="9" w:name="_Toc274303253"/>
      <w:bookmarkStart w:id="10" w:name="_Toc263090375"/>
      <w:bookmarkStart w:id="11" w:name="_Toc261519847"/>
      <w:r>
        <w:rPr>
          <w:rFonts w:hint="eastAsia" w:ascii="宋体" w:hAnsi="宋体" w:eastAsia="宋体" w:cs="宋体"/>
          <w:sz w:val="24"/>
          <w:szCs w:val="24"/>
          <w:highlight w:val="none"/>
        </w:rPr>
        <w:t>一、开标</w:t>
      </w:r>
      <w:bookmarkEnd w:id="5"/>
      <w:bookmarkEnd w:id="6"/>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1、本项目实行电子开评标，投标方无需前往开评标现场，只需在规定时间内在“政采云”平台上上传电子投标文件。</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2、电子开评标及评审程序</w:t>
      </w:r>
    </w:p>
    <w:p>
      <w:pPr>
        <w:pageBreakBefore w:val="0"/>
        <w:widowControl w:val="0"/>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2.1投标截止时间后的1小时内（开标当日09:30-10:30时），由各投标人自行对电子投标文件进行解密（请各投标人务必在规定时间内完成电子投标文件的解密工作，在电子开评标期间，投标方（授权代表）需确保在各自所在的区域具备上网的技术条件并保持网络及联系方式畅通），同时为避免出现意外，建议全程由一台电脑进行操作（包括标书制作、上传、解密等），中途不要更换电脑； </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2.2.评标小组对投标方的资格和商务技术响应文件进行评审；</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2.3评标小组对报价响应文件进行评审；</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2.4在系统上公布评审结果。</w:t>
      </w:r>
    </w:p>
    <w:p>
      <w:pPr>
        <w:pageBreakBefore w:val="0"/>
        <w:widowControl w:val="0"/>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特别说明：政采云公司如对电子化开标及评审程序有调整的，按调整后的程序操作。</w:t>
      </w:r>
    </w:p>
    <w:p>
      <w:pPr>
        <w:pStyle w:val="4"/>
        <w:pageBreakBefore w:val="0"/>
        <w:widowControl w:val="0"/>
        <w:kinsoku/>
        <w:overflowPunct/>
        <w:topLinePunct w:val="0"/>
        <w:autoSpaceDE/>
        <w:autoSpaceDN/>
        <w:bidi w:val="0"/>
        <w:adjustRightInd/>
        <w:snapToGrid/>
        <w:spacing w:before="0" w:after="0" w:line="360" w:lineRule="auto"/>
        <w:ind w:left="0" w:leftChars="0"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二、评标</w:t>
      </w:r>
      <w:bookmarkEnd w:id="7"/>
      <w:bookmarkEnd w:id="8"/>
      <w:bookmarkEnd w:id="9"/>
      <w:bookmarkEnd w:id="10"/>
      <w:bookmarkEnd w:id="11"/>
    </w:p>
    <w:p>
      <w:pPr>
        <w:pageBreakBefore w:val="0"/>
        <w:widowControl w:val="0"/>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3、评标小组</w:t>
      </w:r>
    </w:p>
    <w:p>
      <w:pPr>
        <w:pStyle w:val="12"/>
        <w:pageBreakBefore w:val="0"/>
        <w:widowControl w:val="0"/>
        <w:tabs>
          <w:tab w:val="left" w:pos="0"/>
        </w:tabs>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 评标小组将根据招标采购项目的特点确定。其成员由技术方面专家和采购人代表5人及以上单数组成。评标小组对投标文件进行审查、质疑、评估和比较。</w:t>
      </w:r>
    </w:p>
    <w:p>
      <w:pPr>
        <w:pageBreakBefore w:val="0"/>
        <w:widowControl w:val="0"/>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4、评标原则</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4.1评标小组将遵循公开、公平、公正的原则，严格遵守评标工作纪律。</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4.2先评资格及商务技术响应文件，再评报价响应文件</w:t>
      </w:r>
      <w:r>
        <w:rPr>
          <w:rFonts w:hint="eastAsia" w:ascii="宋体" w:hAnsi="宋体" w:eastAsia="宋体" w:cs="宋体"/>
          <w:bCs/>
          <w:sz w:val="24"/>
          <w:szCs w:val="24"/>
          <w:highlight w:val="none"/>
        </w:rPr>
        <w:t>。</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4.3</w:t>
      </w:r>
      <w:r>
        <w:rPr>
          <w:rFonts w:hint="eastAsia" w:ascii="宋体" w:hAnsi="宋体" w:eastAsia="宋体" w:cs="宋体"/>
          <w:sz w:val="24"/>
          <w:szCs w:val="24"/>
          <w:highlight w:val="none"/>
        </w:rPr>
        <w:t>客观公正对待所有投标人，对所有投标评标均采用相同的程序和标准。评标的依据为招标文件和投标文件。</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4.4有利于提高政府投资效益，节约建设资金。</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4.5异常或特殊情况处理：</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4.5.1在评标过程中，如发现招标文件中内容有不一致的（除招标文件中其他地方另有规定的外），经评标小组成员讨论认为不影响评标的，可以继续评标。</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小组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4.5.2在评标过程中，出现其他异常或特殊情况时，由评标小组集体讨论决定。</w:t>
      </w:r>
    </w:p>
    <w:p>
      <w:pPr>
        <w:pStyle w:val="12"/>
        <w:pageBreakBefore w:val="0"/>
        <w:widowControl w:val="0"/>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5、评标过程的保密</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5.1开标后，直至授予中标人合同为止，凡属于对投标文件的审查、澄清、评价和比较等有关的资料以及中标候选人的推荐情况等与评标有关的任何情况均严格保密。</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5.2在投标文件的评标和比较、中标候选人推荐以及授予合同的过程中，投标人向采购人和评标小组施加影响的任何行为，都将会导致其投标被拒绝。</w:t>
      </w:r>
    </w:p>
    <w:p>
      <w:pPr>
        <w:pStyle w:val="12"/>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5.3中标人确认后，采购人不对未中标人就评标过程以及未能中标原因作出任何解释。未中标人不得向评标小组人员或其他有关人员索问评标过程的全部情况。</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4"/>
          <w:sz w:val="24"/>
          <w:szCs w:val="24"/>
          <w:highlight w:val="none"/>
        </w:rPr>
      </w:pPr>
      <w:r>
        <w:rPr>
          <w:rFonts w:hint="eastAsia" w:ascii="宋体" w:hAnsi="宋体" w:eastAsia="宋体" w:cs="宋体"/>
          <w:sz w:val="24"/>
          <w:szCs w:val="24"/>
          <w:highlight w:val="none"/>
        </w:rPr>
        <w:t>5.4</w:t>
      </w:r>
      <w:r>
        <w:rPr>
          <w:rFonts w:hint="eastAsia" w:ascii="宋体" w:hAnsi="宋体" w:eastAsia="宋体" w:cs="宋体"/>
          <w:spacing w:val="-4"/>
          <w:sz w:val="24"/>
          <w:szCs w:val="24"/>
          <w:highlight w:val="none"/>
        </w:rPr>
        <w:t>为保证定标的公正性，在评标过程中，评标成员不得与投标人私人交换意见。在招标工作结束后，凡与评标情况有接触的任何人不得也不应将评标情况扩散出评标成员之外。</w:t>
      </w:r>
    </w:p>
    <w:p>
      <w:pPr>
        <w:pStyle w:val="12"/>
        <w:pageBreakBefore w:val="0"/>
        <w:widowControl w:val="0"/>
        <w:tabs>
          <w:tab w:val="left" w:pos="0"/>
        </w:tabs>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5.5评标小组不向落标方解释落标原因，不退还投标文件。</w:t>
      </w:r>
    </w:p>
    <w:p>
      <w:pPr>
        <w:pageBreakBefore w:val="0"/>
        <w:widowControl w:val="0"/>
        <w:numPr>
          <w:ilvl w:val="0"/>
          <w:numId w:val="1"/>
        </w:numPr>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投标人的认定</w:t>
      </w:r>
    </w:p>
    <w:p>
      <w:pPr>
        <w:pStyle w:val="12"/>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4"/>
          <w:sz w:val="24"/>
          <w:szCs w:val="24"/>
          <w:highlight w:val="none"/>
        </w:rPr>
      </w:pPr>
      <w:bookmarkStart w:id="12" w:name="_Hlk24447288"/>
      <w:r>
        <w:rPr>
          <w:rFonts w:hint="eastAsia" w:ascii="宋体" w:hAnsi="宋体" w:eastAsia="宋体" w:cs="宋体"/>
          <w:sz w:val="24"/>
          <w:szCs w:val="24"/>
          <w:highlight w:val="none"/>
        </w:rPr>
        <w:t>单位负责人为同一人或者存在直接控股、管理关系的不同供应商，不得参加同一合同项下的政府采购活动。</w:t>
      </w:r>
      <w:bookmarkEnd w:id="12"/>
    </w:p>
    <w:p>
      <w:pPr>
        <w:pageBreakBefore w:val="0"/>
        <w:widowControl w:val="0"/>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7、投标文件的澄清</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7.1为有助于投标文件的审查、评价和比较，评标小组可以在“政采云”平台在线询标或其他有效形式要求投标人对同一份投标文件含义不明确或同类问题表述不一致的内容（招标文件</w:t>
      </w:r>
      <w:r>
        <w:rPr>
          <w:rFonts w:hint="eastAsia" w:ascii="宋体" w:hAnsi="宋体" w:eastAsia="宋体" w:cs="宋体"/>
          <w:sz w:val="24"/>
          <w:szCs w:val="24"/>
          <w:highlight w:val="none"/>
          <w:lang w:eastAsia="zh-CN"/>
        </w:rPr>
        <w:t>其他</w:t>
      </w:r>
      <w:r>
        <w:rPr>
          <w:rFonts w:hint="eastAsia" w:ascii="宋体" w:hAnsi="宋体" w:eastAsia="宋体" w:cs="宋体"/>
          <w:sz w:val="24"/>
          <w:szCs w:val="24"/>
          <w:highlight w:val="none"/>
        </w:rPr>
        <w:t>地方有规定处理方法的除外）作必要的澄清或说明，投标人应采用在线回复或其他有效形式在询标规定时间内进行澄清或说明（</w:t>
      </w:r>
      <w:r>
        <w:rPr>
          <w:rFonts w:hint="eastAsia" w:ascii="宋体" w:hAnsi="宋体" w:eastAsia="宋体" w:cs="宋体"/>
          <w:sz w:val="24"/>
          <w:szCs w:val="24"/>
          <w:highlight w:val="none"/>
          <w:lang w:eastAsia="zh-CN"/>
        </w:rPr>
        <w:t>需加</w:t>
      </w:r>
      <w:r>
        <w:rPr>
          <w:rFonts w:hint="eastAsia" w:ascii="宋体" w:hAnsi="宋体" w:eastAsia="宋体" w:cs="宋体"/>
          <w:sz w:val="24"/>
          <w:szCs w:val="24"/>
          <w:highlight w:val="none"/>
        </w:rPr>
        <w:t>盖电子签章或实体公章），但不得超出投标文件的范围或改变投标文件的实质性内容。根据本须知第9条规定，凡属于评标小组在评标中发现的计算错误并进行核实的修改不在此列。</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7.2如果投标方代表拒绝按评标小组要求在“政采云”平台作出在线回复且无其他有效回复方式的，评标小组可以对其作出无效标处理。</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b/>
          <w:sz w:val="24"/>
          <w:szCs w:val="24"/>
          <w:highlight w:val="none"/>
        </w:rPr>
        <w:t>投标文件的初步评标</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8.1开标后，评标小组将对每份投标文件进行初步评标，初步评标内容为：</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8.1.1是否出现第五章规定的内容；</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4"/>
          <w:sz w:val="24"/>
          <w:szCs w:val="24"/>
          <w:highlight w:val="none"/>
        </w:rPr>
      </w:pPr>
      <w:r>
        <w:rPr>
          <w:rFonts w:hint="eastAsia" w:ascii="宋体" w:hAnsi="宋体" w:eastAsia="宋体" w:cs="宋体"/>
          <w:sz w:val="24"/>
          <w:szCs w:val="24"/>
          <w:highlight w:val="none"/>
        </w:rPr>
        <w:t>违反上述情形之一者，资格响应文件或商务技术响应文件初步评标不予通过，不列入报价响应文件的详细评标。</w:t>
      </w:r>
    </w:p>
    <w:p>
      <w:pPr>
        <w:pageBreakBefore w:val="0"/>
        <w:widowControl w:val="0"/>
        <w:tabs>
          <w:tab w:val="left" w:pos="1219"/>
        </w:tabs>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8.2评标时，评标小组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8.3如果投标文件实质上不响应招标文件的各项要求，评标小组将予以拒绝，并且不允许投标人通过修改或撤销其不符合要求的差异或保留，使之成为具有响应性的投标。</w:t>
      </w:r>
    </w:p>
    <w:p>
      <w:pPr>
        <w:pStyle w:val="12"/>
        <w:pageBreakBefore w:val="0"/>
        <w:widowControl w:val="0"/>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9、投标文件计算错误的修正</w:t>
      </w:r>
    </w:p>
    <w:p>
      <w:pPr>
        <w:pStyle w:val="12"/>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9.1评标小组将对确定为实质上响应招标文件要求的投标文件进行校核，看其是否有计算或表达上的错误，修正错误的原则如下：</w:t>
      </w:r>
    </w:p>
    <w:p>
      <w:pPr>
        <w:pStyle w:val="12"/>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9.1.1客户端填写的报价与以pdf格式上传文件中的报价不一致的，应以Pdf格式上传文件中的报价为准；</w:t>
      </w:r>
    </w:p>
    <w:p>
      <w:pPr>
        <w:pStyle w:val="12"/>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9.1.2投标文件中开标一览表（报价表）内容与投标文件中相应内容不一致的，以开标一览表（报价表）为准；</w:t>
      </w:r>
    </w:p>
    <w:p>
      <w:pPr>
        <w:pStyle w:val="12"/>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9.1.3大写金额和小写金额不一致的，以大写金额为准；</w:t>
      </w:r>
    </w:p>
    <w:p>
      <w:pPr>
        <w:pStyle w:val="12"/>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9.1.4单价金额小数点或者百分比有明显错位的，以开标一览表的总价为准，并修改单价</w:t>
      </w:r>
      <w:r>
        <w:rPr>
          <w:rFonts w:hint="eastAsia" w:hAnsi="宋体" w:cs="宋体"/>
          <w:sz w:val="24"/>
          <w:szCs w:val="24"/>
          <w:highlight w:val="none"/>
          <w:lang w:eastAsia="zh-CN"/>
        </w:rPr>
        <w:t>；</w:t>
      </w:r>
    </w:p>
    <w:p>
      <w:pPr>
        <w:pStyle w:val="12"/>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9.1.5总价金额与按单价汇总金额不一致的，以单价金额计算结果为准</w:t>
      </w:r>
      <w:r>
        <w:rPr>
          <w:rFonts w:hint="eastAsia" w:hAnsi="宋体" w:cs="宋体"/>
          <w:sz w:val="24"/>
          <w:szCs w:val="24"/>
          <w:highlight w:val="none"/>
          <w:lang w:eastAsia="zh-CN"/>
        </w:rPr>
        <w:t>；</w:t>
      </w:r>
    </w:p>
    <w:p>
      <w:pPr>
        <w:pStyle w:val="12"/>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9.1.6对不同文字文本投标文件的解释发生异议的，以中文文本为准。</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评标小组可以拒绝接受不是中文版的投标文件以及与投标相关的资料。</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9.2同时出现两种以上不一致的，按照前款规定的顺序修正。修正后的报价经投标人确认后产生约束力。如果投标人不接受修正后的报价，则其投标将被拒绝并且其投标担保也将被没收，并不影响评标工作。</w:t>
      </w:r>
    </w:p>
    <w:p>
      <w:pPr>
        <w:pageBreakBefore w:val="0"/>
        <w:widowControl w:val="0"/>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10、投标文件的评标、比较和否决</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10.1评标小组将按照本须知规定，仅对在实质上响应招标文件要求的投标文件进行评估和比较。</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10.2在评标过程中，评标小组可以要求投标人就投标文件中含义不明确的内容进行书面说明并提供相关材料。</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10.3评标小组在作出任何一项无效标决定前，都应当严格遵循以下程序：</w:t>
      </w:r>
    </w:p>
    <w:p>
      <w:pPr>
        <w:pageBreakBefore w:val="0"/>
        <w:widowControl w:val="0"/>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10.3.1要求当事投标人做相应的答辩；</w:t>
      </w:r>
    </w:p>
    <w:p>
      <w:pPr>
        <w:pageBreakBefore w:val="0"/>
        <w:widowControl w:val="0"/>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10.3.2在充分讨论的基础上集体表决；</w:t>
      </w:r>
    </w:p>
    <w:p>
      <w:pPr>
        <w:pageBreakBefore w:val="0"/>
        <w:widowControl w:val="0"/>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10.3.3若表决通过无效标决定，告知当事投标人，并在评标报告中详细载明投标（响应）无效理由、依据、答辩的情况和集体表决的情况（同意投标（响应）无效和不同意投标（响应）无效的评标小组成员均应当注明）。</w:t>
      </w:r>
    </w:p>
    <w:p>
      <w:pPr>
        <w:pStyle w:val="12"/>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10.4评标小组经评标，认为所有投标都不符合招标文件要求时，可以否决所有投标。所有投标被否决后，采购人应当依法重新招标。</w:t>
      </w:r>
    </w:p>
    <w:p>
      <w:pPr>
        <w:pStyle w:val="12"/>
        <w:pageBreakBefore w:val="0"/>
        <w:widowControl w:val="0"/>
        <w:kinsoku/>
        <w:overflowPunct/>
        <w:topLinePunct w:val="0"/>
        <w:autoSpaceDE/>
        <w:autoSpaceDN/>
        <w:bidi w:val="0"/>
        <w:adjustRightInd/>
        <w:snapToGrid/>
        <w:spacing w:line="360" w:lineRule="auto"/>
        <w:ind w:left="0" w:leftChars="0" w:firstLine="466" w:firstLineChars="200"/>
        <w:textAlignment w:val="auto"/>
        <w:rPr>
          <w:rFonts w:hint="eastAsia" w:ascii="宋体" w:hAnsi="宋体" w:eastAsia="宋体" w:cs="宋体"/>
          <w:b/>
          <w:spacing w:val="-4"/>
          <w:sz w:val="24"/>
          <w:szCs w:val="24"/>
          <w:highlight w:val="none"/>
        </w:rPr>
      </w:pPr>
      <w:r>
        <w:rPr>
          <w:rFonts w:hint="eastAsia" w:ascii="宋体" w:hAnsi="宋体" w:eastAsia="宋体" w:cs="宋体"/>
          <w:b/>
          <w:spacing w:val="-4"/>
          <w:sz w:val="24"/>
          <w:szCs w:val="24"/>
          <w:highlight w:val="none"/>
        </w:rPr>
        <w:t>11、评标办法</w:t>
      </w:r>
    </w:p>
    <w:p>
      <w:pPr>
        <w:pageBreakBefore w:val="0"/>
        <w:widowControl w:val="0"/>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11.1本项目综合评分法（具体评标办法见后）。</w:t>
      </w:r>
    </w:p>
    <w:p>
      <w:pPr>
        <w:pageBreakBefore w:val="0"/>
        <w:widowControl w:val="0"/>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12、决标</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评标小组依据本招标文件规定的评标标准和方法，对投标文件进行评标和比较，向采购人提出书面评标报告，并直接确定中标候选人。</w:t>
      </w:r>
    </w:p>
    <w:p>
      <w:pPr>
        <w:pStyle w:val="4"/>
        <w:pageBreakBefore w:val="0"/>
        <w:widowControl w:val="0"/>
        <w:kinsoku/>
        <w:overflowPunct/>
        <w:topLinePunct w:val="0"/>
        <w:autoSpaceDE/>
        <w:autoSpaceDN/>
        <w:bidi w:val="0"/>
        <w:adjustRightInd/>
        <w:snapToGrid/>
        <w:spacing w:before="0" w:after="0" w:line="360" w:lineRule="auto"/>
        <w:ind w:left="0" w:leftChars="0" w:firstLine="482" w:firstLineChars="200"/>
        <w:textAlignment w:val="auto"/>
        <w:rPr>
          <w:rFonts w:hint="eastAsia" w:ascii="宋体" w:hAnsi="宋体" w:eastAsia="宋体" w:cs="宋体"/>
          <w:sz w:val="24"/>
          <w:szCs w:val="24"/>
          <w:highlight w:val="none"/>
        </w:rPr>
      </w:pPr>
      <w:bookmarkStart w:id="13" w:name="_Toc263090376"/>
      <w:bookmarkStart w:id="14" w:name="_Toc226973003"/>
      <w:bookmarkStart w:id="15" w:name="_Toc261519848"/>
      <w:bookmarkStart w:id="16" w:name="_Toc362250706"/>
      <w:bookmarkStart w:id="17" w:name="_Toc274303254"/>
      <w:r>
        <w:rPr>
          <w:rFonts w:hint="eastAsia" w:ascii="宋体" w:hAnsi="宋体" w:eastAsia="宋体" w:cs="宋体"/>
          <w:sz w:val="24"/>
          <w:szCs w:val="24"/>
          <w:highlight w:val="none"/>
        </w:rPr>
        <w:t>三、定标</w:t>
      </w:r>
      <w:bookmarkEnd w:id="13"/>
      <w:bookmarkEnd w:id="14"/>
      <w:bookmarkEnd w:id="15"/>
      <w:bookmarkEnd w:id="16"/>
      <w:bookmarkEnd w:id="17"/>
    </w:p>
    <w:p>
      <w:pPr>
        <w:pageBreakBefore w:val="0"/>
        <w:widowControl w:val="0"/>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kern w:val="0"/>
          <w:sz w:val="24"/>
          <w:szCs w:val="24"/>
          <w:highlight w:val="none"/>
        </w:rPr>
        <w:t>13、</w:t>
      </w:r>
      <w:r>
        <w:rPr>
          <w:rFonts w:hint="eastAsia" w:ascii="宋体" w:hAnsi="宋体" w:eastAsia="宋体" w:cs="宋体"/>
          <w:b/>
          <w:bCs/>
          <w:sz w:val="24"/>
          <w:szCs w:val="24"/>
          <w:highlight w:val="none"/>
        </w:rPr>
        <w:t>中标通知</w:t>
      </w:r>
    </w:p>
    <w:p>
      <w:pPr>
        <w:pStyle w:val="12"/>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13.1评标结束后，评标结果公告</w:t>
      </w:r>
      <w:r>
        <w:rPr>
          <w:rFonts w:hint="eastAsia" w:ascii="宋体" w:hAnsi="宋体" w:eastAsia="宋体" w:cs="宋体"/>
          <w:sz w:val="24"/>
          <w:szCs w:val="24"/>
          <w:highlight w:val="none"/>
          <w:u w:val="single"/>
        </w:rPr>
        <w:t>1</w:t>
      </w:r>
      <w:r>
        <w:rPr>
          <w:rFonts w:hint="eastAsia" w:ascii="宋体" w:hAnsi="宋体" w:eastAsia="宋体" w:cs="宋体"/>
          <w:sz w:val="24"/>
          <w:szCs w:val="24"/>
          <w:highlight w:val="none"/>
        </w:rPr>
        <w:t>个工作日，发布评标结果公告的媒体为：浙江省政府采购网。</w:t>
      </w:r>
    </w:p>
    <w:p>
      <w:pPr>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13.2发放中标通知书前，采购人或其委托的采购代理机构应在中国裁判文书网上查询中标（成交）单位及其拟派项目负责人自202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年1月1日至中标公告期结束前行贿犯罪记录情况，查询结果以网站页面显示内容为准。经查实，</w:t>
      </w:r>
      <w:r>
        <w:rPr>
          <w:rFonts w:hint="eastAsia" w:ascii="宋体" w:hAnsi="宋体" w:eastAsia="宋体" w:cs="宋体"/>
          <w:sz w:val="24"/>
          <w:szCs w:val="24"/>
          <w:highlight w:val="none"/>
          <w:shd w:val="clear" w:color="auto" w:fill="FFFFFF"/>
        </w:rPr>
        <w:t>中标人</w:t>
      </w:r>
      <w:r>
        <w:rPr>
          <w:rFonts w:hint="eastAsia" w:ascii="宋体" w:hAnsi="宋体" w:eastAsia="宋体" w:cs="宋体"/>
          <w:sz w:val="24"/>
          <w:szCs w:val="24"/>
          <w:highlight w:val="none"/>
        </w:rPr>
        <w:t>有前述行贿犯罪记录的，取消其中标资格，采购人依法重新组织采购。</w:t>
      </w:r>
    </w:p>
    <w:p>
      <w:pPr>
        <w:pStyle w:val="12"/>
        <w:pageBreakBefore w:val="0"/>
        <w:widowControl w:val="0"/>
        <w:tabs>
          <w:tab w:val="left" w:pos="900"/>
        </w:tabs>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13.3评标结果公告发布的同时，由采购人和浙江开平企业管理咨询有限公司共同签发《中标通知书》。《中标通知书》一经发出即发生法律效力。</w:t>
      </w:r>
    </w:p>
    <w:p>
      <w:pPr>
        <w:pStyle w:val="12"/>
        <w:pageBreakBefore w:val="0"/>
        <w:widowControl w:val="0"/>
        <w:tabs>
          <w:tab w:val="left" w:pos="900"/>
        </w:tabs>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13.4开标过程中，投标人对开标有异议的，应当在“政采云”平台上及时提出，评标小组应对异常情况做记录。</w:t>
      </w:r>
    </w:p>
    <w:p>
      <w:pPr>
        <w:pStyle w:val="12"/>
        <w:pageBreakBefore w:val="0"/>
        <w:widowControl w:val="0"/>
        <w:tabs>
          <w:tab w:val="left" w:pos="900"/>
        </w:tabs>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13.5开评标结束后，投标人或者其他利害关系人对依法必须进行招标的项目的评标结果有异议的，应在公告期限届满之日起7个工作日内首先依据招投标相关法律法规向采购人、招标代理机构提出质疑。采购人或招标代理机构将在收到书面质疑后七个工作日内对质疑内容作出答复。若投标人对采购人或招标代理机构的答复、处理结果不满意，应在收到采购人或招标代理机构的书面答复后十五个工作日内到招标投标管理部门投诉。</w:t>
      </w:r>
    </w:p>
    <w:p>
      <w:pPr>
        <w:pStyle w:val="12"/>
        <w:pageBreakBefore w:val="0"/>
        <w:widowControl w:val="0"/>
        <w:tabs>
          <w:tab w:val="left" w:pos="900"/>
        </w:tabs>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13.6质疑投诉的相关规定</w:t>
      </w:r>
    </w:p>
    <w:p>
      <w:pPr>
        <w:pStyle w:val="12"/>
        <w:pageBreakBefore w:val="0"/>
        <w:widowControl w:val="0"/>
        <w:tabs>
          <w:tab w:val="left" w:pos="900"/>
        </w:tabs>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（一）质疑投诉递交的资料需为书面材料。质疑投诉书面材料需法人代表人或授权代表签字并加盖公章。</w:t>
      </w:r>
    </w:p>
    <w:p>
      <w:pPr>
        <w:pStyle w:val="12"/>
        <w:pageBreakBefore w:val="0"/>
        <w:widowControl w:val="0"/>
        <w:tabs>
          <w:tab w:val="left" w:pos="900"/>
        </w:tabs>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（二）质疑投诉属于以下情况之一的，将不予受理：</w:t>
      </w:r>
    </w:p>
    <w:p>
      <w:pPr>
        <w:pStyle w:val="12"/>
        <w:pageBreakBefore w:val="0"/>
        <w:widowControl w:val="0"/>
        <w:numPr>
          <w:ilvl w:val="0"/>
          <w:numId w:val="2"/>
        </w:numPr>
        <w:tabs>
          <w:tab w:val="left" w:pos="900"/>
        </w:tabs>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质疑投诉人不是所投诉项目的参与者，或者与质疑投诉项目无任何利害关系。</w:t>
      </w:r>
    </w:p>
    <w:p>
      <w:pPr>
        <w:pStyle w:val="12"/>
        <w:pageBreakBefore w:val="0"/>
        <w:widowControl w:val="0"/>
        <w:numPr>
          <w:ilvl w:val="0"/>
          <w:numId w:val="2"/>
        </w:numPr>
        <w:tabs>
          <w:tab w:val="left" w:pos="900"/>
        </w:tabs>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质疑投诉事项不具体，且未提供有效线索，难以查证。</w:t>
      </w:r>
    </w:p>
    <w:p>
      <w:pPr>
        <w:pStyle w:val="12"/>
        <w:pageBreakBefore w:val="0"/>
        <w:widowControl w:val="0"/>
        <w:numPr>
          <w:ilvl w:val="0"/>
          <w:numId w:val="2"/>
        </w:numPr>
        <w:tabs>
          <w:tab w:val="left" w:pos="900"/>
        </w:tabs>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未提供书面质疑或者质疑未加盖公章的；投诉人为法人或者其他组织，其投诉书未经法定代表人或者主要负责人签字并加盖公章的。</w:t>
      </w:r>
    </w:p>
    <w:p>
      <w:pPr>
        <w:pStyle w:val="12"/>
        <w:pageBreakBefore w:val="0"/>
        <w:widowControl w:val="0"/>
        <w:numPr>
          <w:ilvl w:val="0"/>
          <w:numId w:val="2"/>
        </w:numPr>
        <w:tabs>
          <w:tab w:val="left" w:pos="900"/>
        </w:tabs>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已超过招标文件规定质疑投诉提出期限的事项。 </w:t>
      </w:r>
    </w:p>
    <w:p>
      <w:pPr>
        <w:pStyle w:val="12"/>
        <w:pageBreakBefore w:val="0"/>
        <w:widowControl w:val="0"/>
        <w:numPr>
          <w:ilvl w:val="0"/>
          <w:numId w:val="2"/>
        </w:numPr>
        <w:tabs>
          <w:tab w:val="left" w:pos="900"/>
        </w:tabs>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投诉事项已作出处理决定，并且投诉人没有提出新的证据；</w:t>
      </w:r>
    </w:p>
    <w:p>
      <w:pPr>
        <w:pStyle w:val="12"/>
        <w:pageBreakBefore w:val="0"/>
        <w:widowControl w:val="0"/>
        <w:numPr>
          <w:ilvl w:val="0"/>
          <w:numId w:val="2"/>
        </w:numPr>
        <w:tabs>
          <w:tab w:val="left" w:pos="900"/>
        </w:tabs>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质疑投诉的事项已经进入行政复议或者行政诉讼程序的；投诉事项应先提出质疑而没有提出质疑的。</w:t>
      </w:r>
    </w:p>
    <w:p>
      <w:pPr>
        <w:pStyle w:val="12"/>
        <w:pageBreakBefore w:val="0"/>
        <w:widowControl w:val="0"/>
        <w:numPr>
          <w:ilvl w:val="0"/>
          <w:numId w:val="2"/>
        </w:numPr>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不符合《政府采购质疑和投诉办法》（财政部令第94号）和《关于印发〈浙江省政府采购供应商质疑处理办法〉的通知》（浙财采监〔2012〕18号）等有关规定的质疑投诉。</w:t>
      </w:r>
    </w:p>
    <w:p>
      <w:pPr>
        <w:pStyle w:val="12"/>
        <w:pageBreakBefore w:val="0"/>
        <w:widowControl w:val="0"/>
        <w:tabs>
          <w:tab w:val="left" w:pos="900"/>
        </w:tabs>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14、合同签订</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14.1中标人自接到《中标通知书》后应在三十天内与采购人签订合同。</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14.2招标文件、中标人的投标文件、评标过程中投标人在询标时作出的承诺及其澄清文件等，均为签订合同的依据。</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14.3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14.4采购人与中标人签订合同后招标代理机构将中标结果通知落选投标人，采购人和招标代理机构对评标结果不负责解释。</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14.5采购人变更数量的权利</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采购人在授予合同时有权对“技术要求及招标范围”中规定的服务予以增加或减少，但必须符合《中华人民共和国政府采购法》及义乌市政府采购的相关规定。</w:t>
      </w:r>
    </w:p>
    <w:p>
      <w:pPr>
        <w:spacing w:line="360" w:lineRule="auto"/>
        <w:jc w:val="center"/>
        <w:outlineLvl w:val="0"/>
        <w:rPr>
          <w:rFonts w:ascii="Times New Roman" w:hAnsi="Times New Roman" w:eastAsia="宋体" w:cs="Times New Roman"/>
          <w:b/>
          <w:sz w:val="24"/>
          <w:highlight w:val="none"/>
        </w:rPr>
      </w:pPr>
      <w:r>
        <w:rPr>
          <w:rFonts w:ascii="Times New Roman" w:hAnsi="Times New Roman" w:eastAsia="宋体" w:cs="Times New Roman"/>
          <w:highlight w:val="none"/>
        </w:rPr>
        <w:br w:type="page"/>
      </w:r>
      <w:r>
        <w:rPr>
          <w:rFonts w:ascii="Times New Roman" w:hAnsi="Times New Roman" w:eastAsia="宋体" w:cs="Times New Roman"/>
          <w:b/>
          <w:bCs/>
          <w:kern w:val="36"/>
          <w:sz w:val="36"/>
          <w:szCs w:val="36"/>
          <w:highlight w:val="none"/>
        </w:rPr>
        <w:t xml:space="preserve">第五章  </w:t>
      </w:r>
      <w:r>
        <w:rPr>
          <w:rFonts w:ascii="Times New Roman" w:hAnsi="Times New Roman" w:eastAsia="宋体" w:cs="Times New Roman"/>
          <w:b/>
          <w:sz w:val="36"/>
          <w:szCs w:val="36"/>
          <w:highlight w:val="none"/>
        </w:rPr>
        <w:t>投标文件的有效性</w:t>
      </w:r>
    </w:p>
    <w:p>
      <w:pPr>
        <w:pStyle w:val="12"/>
        <w:spacing w:line="360" w:lineRule="auto"/>
        <w:ind w:firstLine="482" w:firstLineChars="200"/>
        <w:rPr>
          <w:rFonts w:hint="eastAsia" w:hAnsi="宋体" w:cs="宋体"/>
          <w:b/>
          <w:sz w:val="24"/>
          <w:szCs w:val="24"/>
          <w:highlight w:val="none"/>
        </w:rPr>
      </w:pPr>
      <w:r>
        <w:rPr>
          <w:rFonts w:hint="eastAsia" w:hAnsi="宋体" w:cs="宋体"/>
          <w:b/>
          <w:sz w:val="24"/>
          <w:szCs w:val="24"/>
          <w:highlight w:val="none"/>
        </w:rPr>
        <w:t>1、有下列情形之一的，招标方将不予受理投标文件：</w:t>
      </w:r>
    </w:p>
    <w:p>
      <w:pPr>
        <w:pStyle w:val="12"/>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1.1逾期上传电子档投标文件至“政采云”平台的。</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1.2电子投标文件在规定时间内解密未成功的且未提供备份投标文件或提供的备份投标文件无法上传打开的。</w:t>
      </w:r>
    </w:p>
    <w:p>
      <w:pPr>
        <w:tabs>
          <w:tab w:val="left" w:pos="5325"/>
        </w:tabs>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2、参与同一个标段</w:t>
      </w:r>
      <w:r>
        <w:rPr>
          <w:rFonts w:hint="eastAsia" w:ascii="宋体" w:hAnsi="宋体" w:cs="宋体"/>
          <w:b/>
          <w:bCs/>
          <w:sz w:val="24"/>
          <w:highlight w:val="none"/>
          <w:lang w:eastAsia="zh-CN"/>
        </w:rPr>
        <w:t>（</w:t>
      </w:r>
      <w:r>
        <w:rPr>
          <w:rFonts w:hint="eastAsia" w:ascii="宋体" w:hAnsi="宋体" w:cs="宋体"/>
          <w:b/>
          <w:bCs/>
          <w:sz w:val="24"/>
          <w:highlight w:val="none"/>
        </w:rPr>
        <w:t>包</w:t>
      </w:r>
      <w:r>
        <w:rPr>
          <w:rFonts w:hint="eastAsia" w:ascii="宋体" w:hAnsi="宋体" w:cs="宋体"/>
          <w:b/>
          <w:bCs/>
          <w:sz w:val="24"/>
          <w:highlight w:val="none"/>
          <w:lang w:eastAsia="zh-CN"/>
        </w:rPr>
        <w:t>）</w:t>
      </w:r>
      <w:r>
        <w:rPr>
          <w:rFonts w:hint="eastAsia" w:ascii="宋体" w:hAnsi="宋体" w:cs="宋体"/>
          <w:b/>
          <w:bCs/>
          <w:sz w:val="24"/>
          <w:highlight w:val="none"/>
        </w:rPr>
        <w:t>的投标人存在下列情形之一的，其投标</w:t>
      </w:r>
      <w:r>
        <w:rPr>
          <w:rFonts w:hint="eastAsia" w:ascii="宋体" w:hAnsi="宋体" w:cs="宋体"/>
          <w:b/>
          <w:bCs/>
          <w:sz w:val="24"/>
          <w:highlight w:val="none"/>
          <w:lang w:eastAsia="zh-CN"/>
        </w:rPr>
        <w:t>（</w:t>
      </w:r>
      <w:r>
        <w:rPr>
          <w:rFonts w:hint="eastAsia" w:ascii="宋体" w:hAnsi="宋体" w:cs="宋体"/>
          <w:b/>
          <w:bCs/>
          <w:sz w:val="24"/>
          <w:highlight w:val="none"/>
        </w:rPr>
        <w:t>响应</w:t>
      </w:r>
      <w:r>
        <w:rPr>
          <w:rFonts w:hint="eastAsia" w:ascii="宋体" w:hAnsi="宋体" w:cs="宋体"/>
          <w:b/>
          <w:bCs/>
          <w:sz w:val="24"/>
          <w:highlight w:val="none"/>
          <w:lang w:eastAsia="zh-CN"/>
        </w:rPr>
        <w:t>）</w:t>
      </w:r>
      <w:r>
        <w:rPr>
          <w:rFonts w:hint="eastAsia" w:ascii="宋体" w:hAnsi="宋体" w:cs="宋体"/>
          <w:b/>
          <w:bCs/>
          <w:sz w:val="24"/>
          <w:highlight w:val="none"/>
        </w:rPr>
        <w:t>文件无效：</w:t>
      </w:r>
    </w:p>
    <w:p>
      <w:pPr>
        <w:tabs>
          <w:tab w:val="left" w:pos="5325"/>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2.1不同供应商制作电子投标</w:t>
      </w:r>
      <w:r>
        <w:rPr>
          <w:rFonts w:hint="eastAsia" w:ascii="宋体" w:hAnsi="宋体" w:cs="宋体"/>
          <w:sz w:val="24"/>
          <w:highlight w:val="none"/>
          <w:lang w:eastAsia="zh-CN"/>
        </w:rPr>
        <w:t>（</w:t>
      </w:r>
      <w:r>
        <w:rPr>
          <w:rFonts w:hint="eastAsia" w:ascii="宋体" w:hAnsi="宋体" w:cs="宋体"/>
          <w:sz w:val="24"/>
          <w:highlight w:val="none"/>
        </w:rPr>
        <w:t>响应</w:t>
      </w:r>
      <w:r>
        <w:rPr>
          <w:rFonts w:hint="eastAsia" w:ascii="宋体" w:hAnsi="宋体" w:cs="宋体"/>
          <w:sz w:val="24"/>
          <w:highlight w:val="none"/>
          <w:lang w:eastAsia="zh-CN"/>
        </w:rPr>
        <w:t>）</w:t>
      </w:r>
      <w:r>
        <w:rPr>
          <w:rFonts w:hint="eastAsia" w:ascii="宋体" w:hAnsi="宋体" w:cs="宋体"/>
          <w:sz w:val="24"/>
          <w:highlight w:val="none"/>
        </w:rPr>
        <w:t>文件的计算机网卡MAC地址相同的；</w:t>
      </w:r>
    </w:p>
    <w:p>
      <w:pPr>
        <w:tabs>
          <w:tab w:val="left" w:pos="5325"/>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2.2不同供应商制作电子投标</w:t>
      </w:r>
      <w:r>
        <w:rPr>
          <w:rFonts w:hint="eastAsia" w:ascii="宋体" w:hAnsi="宋体" w:cs="宋体"/>
          <w:sz w:val="24"/>
          <w:highlight w:val="none"/>
          <w:lang w:eastAsia="zh-CN"/>
        </w:rPr>
        <w:t>（</w:t>
      </w:r>
      <w:r>
        <w:rPr>
          <w:rFonts w:hint="eastAsia" w:ascii="宋体" w:hAnsi="宋体" w:cs="宋体"/>
          <w:sz w:val="24"/>
          <w:highlight w:val="none"/>
        </w:rPr>
        <w:t>响应</w:t>
      </w:r>
      <w:r>
        <w:rPr>
          <w:rFonts w:hint="eastAsia" w:ascii="宋体" w:hAnsi="宋体" w:cs="宋体"/>
          <w:sz w:val="24"/>
          <w:highlight w:val="none"/>
          <w:lang w:eastAsia="zh-CN"/>
        </w:rPr>
        <w:t>）</w:t>
      </w:r>
      <w:r>
        <w:rPr>
          <w:rFonts w:hint="eastAsia" w:ascii="宋体" w:hAnsi="宋体" w:cs="宋体"/>
          <w:sz w:val="24"/>
          <w:highlight w:val="none"/>
        </w:rPr>
        <w:t>文件的计算机硬盘序列号相同的；</w:t>
      </w:r>
    </w:p>
    <w:p>
      <w:pPr>
        <w:tabs>
          <w:tab w:val="left" w:pos="5325"/>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2.3不同供应商的投标</w:t>
      </w:r>
      <w:r>
        <w:rPr>
          <w:rFonts w:hint="eastAsia" w:ascii="宋体" w:hAnsi="宋体" w:cs="宋体"/>
          <w:sz w:val="24"/>
          <w:highlight w:val="none"/>
          <w:lang w:eastAsia="zh-CN"/>
        </w:rPr>
        <w:t>（</w:t>
      </w:r>
      <w:r>
        <w:rPr>
          <w:rFonts w:hint="eastAsia" w:ascii="宋体" w:hAnsi="宋体" w:cs="宋体"/>
          <w:sz w:val="24"/>
          <w:highlight w:val="none"/>
        </w:rPr>
        <w:t>响应</w:t>
      </w:r>
      <w:r>
        <w:rPr>
          <w:rFonts w:hint="eastAsia" w:ascii="宋体" w:hAnsi="宋体" w:cs="宋体"/>
          <w:sz w:val="24"/>
          <w:highlight w:val="none"/>
          <w:lang w:eastAsia="zh-CN"/>
        </w:rPr>
        <w:t>）</w:t>
      </w:r>
      <w:r>
        <w:rPr>
          <w:rFonts w:hint="eastAsia" w:ascii="宋体" w:hAnsi="宋体" w:cs="宋体"/>
          <w:sz w:val="24"/>
          <w:highlight w:val="none"/>
        </w:rPr>
        <w:t>文件的内容存在两处以上细节错误一致，且无法合理解释的</w:t>
      </w:r>
    </w:p>
    <w:p>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3、投标文件在资格或商务技术标评审出现下列情形之一的，由评标小组审核后按无效投标文件处理：</w:t>
      </w:r>
    </w:p>
    <w:p>
      <w:pPr>
        <w:tabs>
          <w:tab w:val="left" w:pos="5325"/>
        </w:tabs>
        <w:spacing w:line="360" w:lineRule="auto"/>
        <w:ind w:firstLine="480" w:firstLineChars="200"/>
        <w:rPr>
          <w:rFonts w:hint="eastAsia" w:ascii="宋体" w:hAnsi="宋体" w:cs="宋体"/>
          <w:sz w:val="24"/>
          <w:highlight w:val="none"/>
        </w:rPr>
      </w:pPr>
      <w:r>
        <w:rPr>
          <w:rFonts w:ascii="宋体" w:hAnsi="宋体" w:cs="宋体"/>
          <w:sz w:val="24"/>
          <w:highlight w:val="none"/>
        </w:rPr>
        <w:t>3.1</w:t>
      </w:r>
      <w:r>
        <w:rPr>
          <w:rFonts w:hint="eastAsia" w:ascii="宋体" w:hAnsi="宋体" w:cs="宋体"/>
          <w:sz w:val="24"/>
          <w:highlight w:val="none"/>
        </w:rPr>
        <w:t>资格响应文件或商务技术响应文件中包含投标报价的</w:t>
      </w:r>
    </w:p>
    <w:p>
      <w:pPr>
        <w:tabs>
          <w:tab w:val="left" w:pos="5325"/>
        </w:tabs>
        <w:spacing w:line="360" w:lineRule="auto"/>
        <w:ind w:firstLine="480" w:firstLineChars="200"/>
        <w:rPr>
          <w:rFonts w:hint="eastAsia" w:ascii="宋体" w:hAnsi="宋体" w:cs="宋体"/>
          <w:sz w:val="24"/>
          <w:highlight w:val="none"/>
        </w:rPr>
      </w:pPr>
      <w:r>
        <w:rPr>
          <w:rFonts w:ascii="宋体" w:hAnsi="宋体" w:cs="宋体"/>
          <w:sz w:val="24"/>
          <w:highlight w:val="none"/>
        </w:rPr>
        <w:t>3.2</w:t>
      </w:r>
      <w:r>
        <w:rPr>
          <w:rFonts w:hint="eastAsia" w:ascii="宋体" w:hAnsi="宋体" w:cs="宋体"/>
          <w:sz w:val="24"/>
          <w:highlight w:val="none"/>
        </w:rPr>
        <w:t>招标文件关于投标文件组成内容中商务技术响应文件要求的内容，投标方的投标文件内容未提供完整或关键字迹模糊、无法辨认的或未按其规定的格式及要求填写、签字、盖章或提供的投标文件内容不符合招标文件中有关打★号的条款的规定</w:t>
      </w:r>
    </w:p>
    <w:p>
      <w:pPr>
        <w:spacing w:line="360" w:lineRule="auto"/>
        <w:ind w:firstLine="480" w:firstLineChars="200"/>
        <w:rPr>
          <w:rFonts w:hint="eastAsia" w:ascii="宋体" w:hAnsi="宋体" w:cs="宋体"/>
          <w:sz w:val="24"/>
          <w:highlight w:val="none"/>
        </w:rPr>
      </w:pPr>
      <w:r>
        <w:rPr>
          <w:rFonts w:ascii="宋体" w:hAnsi="宋体" w:cs="宋体"/>
          <w:sz w:val="24"/>
          <w:highlight w:val="none"/>
        </w:rPr>
        <w:t>3.3</w:t>
      </w:r>
      <w:r>
        <w:rPr>
          <w:rFonts w:hint="eastAsia" w:ascii="宋体" w:hAnsi="宋体" w:cs="宋体"/>
          <w:sz w:val="24"/>
          <w:highlight w:val="none"/>
        </w:rPr>
        <w:t>投标文件未按招标文件要求加盖单位公章或电子签章；或无法定代表人或法定代表人授权的全权代表签字或盖章的；或有授权的全权代表签字或盖章但未提交“授权委托书”原件的；或授权委托书无法定代表人签字或盖章的；或授权委托书未加盖单位公章或电子签章的；</w:t>
      </w:r>
    </w:p>
    <w:p>
      <w:pPr>
        <w:spacing w:line="360" w:lineRule="auto"/>
        <w:ind w:firstLine="480" w:firstLineChars="200"/>
        <w:rPr>
          <w:rFonts w:hint="eastAsia" w:ascii="宋体" w:hAnsi="宋体" w:cs="宋体"/>
          <w:sz w:val="24"/>
          <w:highlight w:val="none"/>
        </w:rPr>
      </w:pPr>
      <w:r>
        <w:rPr>
          <w:rFonts w:ascii="宋体" w:hAnsi="宋体" w:cs="宋体"/>
          <w:sz w:val="24"/>
          <w:highlight w:val="none"/>
        </w:rPr>
        <w:t>3.4</w:t>
      </w:r>
      <w:r>
        <w:rPr>
          <w:rFonts w:hint="eastAsia" w:ascii="宋体" w:hAnsi="宋体" w:cs="宋体"/>
          <w:sz w:val="24"/>
          <w:highlight w:val="none"/>
        </w:rPr>
        <w:t>投标方的投标资格未符合招标文件的资格要求规定</w:t>
      </w:r>
    </w:p>
    <w:p>
      <w:pPr>
        <w:spacing w:line="360" w:lineRule="auto"/>
        <w:ind w:firstLine="480" w:firstLineChars="200"/>
        <w:rPr>
          <w:rFonts w:hint="eastAsia" w:ascii="宋体" w:hAnsi="宋体" w:cs="宋体"/>
          <w:sz w:val="24"/>
          <w:highlight w:val="none"/>
        </w:rPr>
      </w:pPr>
      <w:r>
        <w:rPr>
          <w:rFonts w:ascii="宋体" w:hAnsi="宋体" w:cs="宋体"/>
          <w:sz w:val="24"/>
          <w:highlight w:val="none"/>
        </w:rPr>
        <w:t>3.5</w:t>
      </w:r>
      <w:r>
        <w:rPr>
          <w:rFonts w:hint="eastAsia" w:ascii="宋体" w:hAnsi="宋体" w:cs="宋体"/>
          <w:sz w:val="24"/>
          <w:highlight w:val="none"/>
        </w:rPr>
        <w:t>投标人递交两份或多份内容不同的投标文件且未声明哪一个有效，但按招标文件规定提交备选投标方案的除外。</w:t>
      </w:r>
    </w:p>
    <w:p>
      <w:pPr>
        <w:tabs>
          <w:tab w:val="left" w:pos="5325"/>
        </w:tabs>
        <w:spacing w:line="360" w:lineRule="auto"/>
        <w:ind w:firstLine="480" w:firstLineChars="200"/>
        <w:rPr>
          <w:rFonts w:hint="eastAsia" w:ascii="宋体" w:hAnsi="宋体" w:cs="宋体"/>
          <w:sz w:val="24"/>
          <w:highlight w:val="none"/>
        </w:rPr>
      </w:pPr>
      <w:r>
        <w:rPr>
          <w:rFonts w:ascii="宋体" w:hAnsi="宋体" w:cs="宋体"/>
          <w:sz w:val="24"/>
          <w:highlight w:val="none"/>
        </w:rPr>
        <w:t>3.6</w:t>
      </w:r>
      <w:r>
        <w:rPr>
          <w:rFonts w:hint="eastAsia" w:ascii="宋体" w:hAnsi="宋体" w:cs="宋体"/>
          <w:sz w:val="24"/>
          <w:highlight w:val="none"/>
        </w:rPr>
        <w:t>投标方所投产品的数量不符合招标文件规定的，</w:t>
      </w:r>
      <w:r>
        <w:rPr>
          <w:rFonts w:hint="eastAsia" w:ascii="宋体" w:hAnsi="宋体" w:cs="宋体"/>
          <w:i/>
          <w:sz w:val="24"/>
          <w:highlight w:val="none"/>
        </w:rPr>
        <w:t>招标需求中要求提供的产品属于节能产品政府采购品目清单中政府强制采购的，投标人未提供该清单内产品的。</w:t>
      </w:r>
    </w:p>
    <w:p>
      <w:pPr>
        <w:spacing w:line="360" w:lineRule="auto"/>
        <w:ind w:firstLine="480" w:firstLineChars="200"/>
        <w:rPr>
          <w:rFonts w:hint="eastAsia" w:ascii="宋体" w:hAnsi="宋体" w:cs="宋体"/>
          <w:sz w:val="24"/>
          <w:highlight w:val="none"/>
        </w:rPr>
      </w:pPr>
      <w:r>
        <w:rPr>
          <w:rFonts w:ascii="宋体" w:hAnsi="宋体" w:cs="宋体"/>
          <w:sz w:val="24"/>
          <w:highlight w:val="none"/>
        </w:rPr>
        <w:t>3.7</w:t>
      </w:r>
      <w:r>
        <w:rPr>
          <w:rFonts w:hint="eastAsia" w:ascii="宋体" w:hAnsi="宋体" w:cs="宋体"/>
          <w:kern w:val="0"/>
          <w:sz w:val="24"/>
          <w:highlight w:val="none"/>
        </w:rPr>
        <w:t>投标人借用或冒用他人名义或证件，或投标人涂改证件，或投标人伪造或编造投标资料的</w:t>
      </w:r>
    </w:p>
    <w:p>
      <w:pPr>
        <w:spacing w:line="360" w:lineRule="auto"/>
        <w:ind w:firstLine="480" w:firstLineChars="200"/>
        <w:rPr>
          <w:rFonts w:hint="eastAsia" w:ascii="宋体" w:hAnsi="宋体" w:cs="宋体"/>
          <w:sz w:val="24"/>
          <w:highlight w:val="none"/>
        </w:rPr>
      </w:pPr>
      <w:r>
        <w:rPr>
          <w:rFonts w:ascii="宋体" w:hAnsi="宋体" w:cs="宋体"/>
          <w:sz w:val="24"/>
          <w:highlight w:val="none"/>
        </w:rPr>
        <w:t>3.8</w:t>
      </w:r>
      <w:r>
        <w:rPr>
          <w:rFonts w:hint="eastAsia" w:ascii="宋体" w:hAnsi="宋体" w:cs="宋体"/>
          <w:sz w:val="24"/>
          <w:highlight w:val="none"/>
        </w:rPr>
        <w:t>投标中不同投标单位的投标文件出现雷同或相似（包括部分雷同或相似），对所有雷同或相似投标人按废标处理，投标方串标的，招标方将保留进一步追究责任的权利</w:t>
      </w:r>
    </w:p>
    <w:p>
      <w:pPr>
        <w:spacing w:line="360" w:lineRule="auto"/>
        <w:ind w:firstLine="480" w:firstLineChars="200"/>
        <w:rPr>
          <w:rFonts w:hint="eastAsia" w:ascii="宋体" w:hAnsi="宋体" w:cs="宋体"/>
          <w:sz w:val="24"/>
          <w:highlight w:val="none"/>
        </w:rPr>
      </w:pPr>
      <w:r>
        <w:rPr>
          <w:rFonts w:ascii="宋体" w:hAnsi="宋体" w:cs="宋体"/>
          <w:sz w:val="24"/>
          <w:highlight w:val="none"/>
        </w:rPr>
        <w:t>3.9</w:t>
      </w:r>
      <w:r>
        <w:rPr>
          <w:rFonts w:hint="eastAsia" w:ascii="宋体" w:hAnsi="宋体" w:cs="宋体"/>
          <w:sz w:val="24"/>
          <w:highlight w:val="none"/>
        </w:rPr>
        <w:t>其他对本招标文件中打★号的条款未完全响应的</w:t>
      </w:r>
    </w:p>
    <w:p>
      <w:pPr>
        <w:spacing w:line="360" w:lineRule="auto"/>
        <w:ind w:firstLine="480" w:firstLineChars="200"/>
        <w:rPr>
          <w:rFonts w:hint="eastAsia" w:ascii="宋体" w:hAnsi="宋体" w:cs="宋体"/>
          <w:sz w:val="24"/>
          <w:highlight w:val="none"/>
        </w:rPr>
      </w:pPr>
      <w:r>
        <w:rPr>
          <w:rFonts w:ascii="宋体" w:hAnsi="宋体" w:cs="宋体"/>
          <w:sz w:val="24"/>
          <w:highlight w:val="none"/>
        </w:rPr>
        <w:t>3.10</w:t>
      </w:r>
      <w:r>
        <w:rPr>
          <w:rFonts w:hint="eastAsia" w:ascii="宋体" w:hAnsi="宋体" w:cs="宋体"/>
          <w:sz w:val="24"/>
          <w:highlight w:val="none"/>
        </w:rPr>
        <w:t>经评标小组认定，投标文件附有采购人不能接受的条件</w:t>
      </w:r>
    </w:p>
    <w:p>
      <w:pPr>
        <w:spacing w:line="360" w:lineRule="auto"/>
        <w:ind w:firstLine="480" w:firstLineChars="200"/>
        <w:rPr>
          <w:rFonts w:hint="eastAsia" w:ascii="宋体" w:hAnsi="宋体" w:cs="宋体"/>
          <w:sz w:val="24"/>
          <w:highlight w:val="none"/>
        </w:rPr>
      </w:pPr>
      <w:r>
        <w:rPr>
          <w:rFonts w:ascii="宋体" w:hAnsi="宋体" w:cs="宋体"/>
          <w:sz w:val="24"/>
          <w:highlight w:val="none"/>
        </w:rPr>
        <w:t>3.11</w:t>
      </w:r>
      <w:r>
        <w:rPr>
          <w:rFonts w:hint="eastAsia" w:ascii="宋体" w:hAnsi="宋体" w:cs="宋体"/>
          <w:sz w:val="24"/>
          <w:highlight w:val="none"/>
        </w:rPr>
        <w:t>对于评标小组提出的要求投标方澄清或说明的，如果投标方代表拒绝澄清或说明，或者拒绝签字的，评标小组可以对其作出无效标处理。</w:t>
      </w:r>
    </w:p>
    <w:p>
      <w:pPr>
        <w:spacing w:line="360" w:lineRule="auto"/>
        <w:ind w:firstLine="480" w:firstLineChars="200"/>
        <w:rPr>
          <w:rFonts w:hint="eastAsia" w:ascii="宋体" w:hAnsi="宋体" w:cs="宋体"/>
          <w:sz w:val="24"/>
          <w:highlight w:val="none"/>
        </w:rPr>
      </w:pPr>
      <w:r>
        <w:rPr>
          <w:rFonts w:ascii="宋体" w:hAnsi="宋体" w:cs="宋体"/>
          <w:sz w:val="24"/>
          <w:highlight w:val="none"/>
        </w:rPr>
        <w:t>3.12</w:t>
      </w:r>
      <w:r>
        <w:rPr>
          <w:rFonts w:hint="eastAsia" w:ascii="宋体" w:hAnsi="宋体" w:cs="宋体"/>
          <w:sz w:val="24"/>
          <w:highlight w:val="none"/>
        </w:rPr>
        <w:t>单位负责人为同一人或者存在直接控股、管理关系的不同投标人。</w:t>
      </w:r>
    </w:p>
    <w:p>
      <w:pPr>
        <w:pStyle w:val="27"/>
        <w:keepNext w:val="0"/>
        <w:keepLines w:val="0"/>
        <w:pageBreakBefore w:val="0"/>
        <w:widowControl w:val="0"/>
        <w:kinsoku/>
        <w:wordWrap/>
        <w:overflowPunct/>
        <w:topLinePunct w:val="0"/>
        <w:autoSpaceDE/>
        <w:autoSpaceDN/>
        <w:bidi w:val="0"/>
        <w:adjustRightInd/>
        <w:snapToGrid/>
        <w:spacing w:after="0" w:line="360" w:lineRule="auto"/>
        <w:ind w:left="0" w:leftChars="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3.13未提交《义乌市政府采购项目投标承诺书》；《中小企业声明函》填写行业错误或者未填写行业的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《中小企业声明函》填写类型错误的。</w:t>
      </w:r>
    </w:p>
    <w:p>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4、投标文件在报价响应文件评审中出现下列情形之一的，由评标小组审核后按无效投标文件处理：</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4.1招标文件关于投标文件组成内容中报价响应文件要求的内容，投标方的投标文件内容未提供完整或关键字迹模糊、无法辨认的或未按其规定的格式及要求填写、签字、盖章或提供的投标文件内容不符合招标文件中有关打★号的条款的规定</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4.2投标报价高于预算价（或最高限价），或低于企业成本价者或未填报企业成本价者；</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4.3投标方的所投产品的数量不符合招标文件规定的</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4.4投标方对同一采购项目两个或两个以上（两种或两种以上方案）报价的或两个或两个以上（两种或两种以上方案）成本价的且未声明哪一个有效</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4.5经评标小组审议认为投标文件附有采购人不能接受的条件，评标小组认为投标人的报价明显低于其他通过符合性审</w:t>
      </w:r>
      <w:r>
        <w:rPr>
          <w:rFonts w:hint="eastAsia" w:ascii="宋体" w:hAnsi="宋体" w:cs="宋体"/>
          <w:sz w:val="24"/>
          <w:highlight w:val="none"/>
          <w:lang w:eastAsia="zh-CN"/>
        </w:rPr>
        <w:t>查的</w:t>
      </w:r>
      <w:r>
        <w:rPr>
          <w:rFonts w:hint="eastAsia" w:ascii="宋体" w:hAnsi="宋体" w:cs="宋体"/>
          <w:sz w:val="24"/>
          <w:highlight w:val="none"/>
        </w:rPr>
        <w:t>投标人的报价，有可能影响产品质量或者不能诚信履约的，要求其通过“政采云”平台在规定的时间内提供CA签章的说明材料；投标人不能佐证其报价合理性的。</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4.6其他对本招标文件中打★号的条款未完全响应的</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4.7当投标人由于报价计算错误，投标人拒绝接受按招标文件的规定进行的修正处理（或拒绝签名确认）。</w:t>
      </w:r>
    </w:p>
    <w:p>
      <w:pPr>
        <w:pStyle w:val="12"/>
        <w:spacing w:line="360" w:lineRule="auto"/>
        <w:ind w:firstLine="480" w:firstLineChars="200"/>
        <w:rPr>
          <w:rFonts w:hint="eastAsia" w:hAnsi="宋体" w:cs="宋体"/>
          <w:sz w:val="24"/>
          <w:szCs w:val="24"/>
          <w:highlight w:val="none"/>
        </w:rPr>
      </w:pPr>
      <w:r>
        <w:rPr>
          <w:rFonts w:hint="eastAsia" w:hAnsi="宋体" w:cs="宋体"/>
          <w:sz w:val="24"/>
          <w:szCs w:val="24"/>
          <w:highlight w:val="none"/>
        </w:rPr>
        <w:t>5、在资格审查及评审过程中，符合中华人民共和国财政部令第87号《政府采购货物和服务招标投标管理办法》第三十七条情形之一的，视为投标人串通投标，其投标无效，并移送采购监管部门：</w:t>
      </w:r>
    </w:p>
    <w:p>
      <w:pPr>
        <w:pStyle w:val="12"/>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（1）不同投标人的投标文件由同一单位或者个人编制；</w:t>
      </w:r>
    </w:p>
    <w:p>
      <w:pPr>
        <w:pStyle w:val="12"/>
        <w:spacing w:line="360" w:lineRule="auto"/>
        <w:ind w:firstLine="480" w:firstLineChars="200"/>
        <w:rPr>
          <w:rFonts w:hint="eastAsia" w:hAnsi="宋体" w:cs="宋体"/>
          <w:sz w:val="24"/>
          <w:szCs w:val="24"/>
          <w:highlight w:val="none"/>
        </w:rPr>
      </w:pPr>
      <w:r>
        <w:rPr>
          <w:rFonts w:hint="eastAsia" w:hAnsi="宋体" w:cs="宋体"/>
          <w:sz w:val="24"/>
          <w:szCs w:val="24"/>
          <w:highlight w:val="none"/>
        </w:rPr>
        <w:t>（2）不同投标人委托同一单位或者个人办理投标事宜；</w:t>
      </w:r>
    </w:p>
    <w:p>
      <w:pPr>
        <w:pStyle w:val="12"/>
        <w:spacing w:line="360" w:lineRule="auto"/>
        <w:ind w:firstLine="480" w:firstLineChars="200"/>
        <w:rPr>
          <w:rFonts w:hint="eastAsia" w:hAnsi="宋体" w:cs="宋体"/>
          <w:sz w:val="24"/>
          <w:szCs w:val="24"/>
          <w:highlight w:val="none"/>
        </w:rPr>
      </w:pPr>
      <w:r>
        <w:rPr>
          <w:rFonts w:hint="eastAsia" w:hAnsi="宋体" w:cs="宋体"/>
          <w:sz w:val="24"/>
          <w:szCs w:val="24"/>
          <w:highlight w:val="none"/>
        </w:rPr>
        <w:t>（3）不同投标人的投标文件载明的项目管理成员或者联系人员为同一人；</w:t>
      </w:r>
    </w:p>
    <w:p>
      <w:pPr>
        <w:pStyle w:val="12"/>
        <w:spacing w:line="360" w:lineRule="auto"/>
        <w:ind w:firstLine="480" w:firstLineChars="200"/>
        <w:rPr>
          <w:rFonts w:hint="eastAsia" w:hAnsi="宋体" w:cs="宋体"/>
          <w:sz w:val="24"/>
          <w:szCs w:val="24"/>
          <w:highlight w:val="none"/>
        </w:rPr>
      </w:pPr>
      <w:r>
        <w:rPr>
          <w:rFonts w:hint="eastAsia" w:hAnsi="宋体" w:cs="宋体"/>
          <w:sz w:val="24"/>
          <w:szCs w:val="24"/>
          <w:highlight w:val="none"/>
        </w:rPr>
        <w:t>（4）不同投标人的投标文件异常一致或者投标报价呈规律性差异；</w:t>
      </w:r>
    </w:p>
    <w:p>
      <w:pPr>
        <w:pStyle w:val="12"/>
        <w:spacing w:line="360" w:lineRule="auto"/>
        <w:ind w:firstLine="480" w:firstLineChars="200"/>
        <w:rPr>
          <w:rFonts w:hint="eastAsia" w:hAnsi="宋体" w:cs="宋体"/>
          <w:sz w:val="24"/>
          <w:szCs w:val="24"/>
          <w:highlight w:val="none"/>
        </w:rPr>
      </w:pPr>
      <w:r>
        <w:rPr>
          <w:rFonts w:hint="eastAsia" w:hAnsi="宋体" w:cs="宋体"/>
          <w:sz w:val="24"/>
          <w:szCs w:val="24"/>
          <w:highlight w:val="none"/>
        </w:rPr>
        <w:t>（5）不同投标人的投标文件相互混装；</w:t>
      </w:r>
    </w:p>
    <w:p>
      <w:pPr>
        <w:pStyle w:val="12"/>
        <w:spacing w:line="360" w:lineRule="auto"/>
        <w:ind w:firstLine="480" w:firstLineChars="200"/>
        <w:rPr>
          <w:rFonts w:hint="eastAsia" w:hAnsi="宋体" w:cs="宋体"/>
          <w:sz w:val="24"/>
          <w:szCs w:val="24"/>
          <w:highlight w:val="none"/>
        </w:rPr>
      </w:pPr>
      <w:r>
        <w:rPr>
          <w:rFonts w:hint="eastAsia" w:hAnsi="宋体" w:cs="宋体"/>
          <w:sz w:val="24"/>
          <w:szCs w:val="24"/>
          <w:highlight w:val="none"/>
        </w:rPr>
        <w:t>6、其他违反法律法规的情况。</w:t>
      </w:r>
    </w:p>
    <w:p>
      <w:pPr>
        <w:spacing w:line="360" w:lineRule="auto"/>
        <w:ind w:firstLine="480" w:firstLineChars="200"/>
        <w:rPr>
          <w:rFonts w:hint="eastAsia" w:ascii="宋体" w:hAnsi="宋体" w:cs="宋体"/>
          <w:highlight w:val="none"/>
        </w:rPr>
      </w:pPr>
      <w:r>
        <w:rPr>
          <w:rFonts w:hint="eastAsia" w:ascii="宋体" w:hAnsi="宋体" w:cs="宋体"/>
          <w:sz w:val="24"/>
          <w:highlight w:val="none"/>
        </w:rPr>
        <w:t>7、评标过程中，非上述所罗列的情况，不得以无效标处理。</w:t>
      </w:r>
    </w:p>
    <w:p>
      <w:pPr>
        <w:pStyle w:val="12"/>
        <w:wordWrap w:val="0"/>
        <w:spacing w:line="360" w:lineRule="auto"/>
        <w:ind w:firstLine="480" w:firstLineChars="200"/>
        <w:rPr>
          <w:rFonts w:ascii="Times New Roman" w:hAnsi="Times New Roman" w:cs="Times New Roman"/>
          <w:sz w:val="24"/>
          <w:szCs w:val="24"/>
          <w:highlight w:val="none"/>
        </w:rPr>
      </w:pPr>
    </w:p>
    <w:p>
      <w:pPr>
        <w:rPr>
          <w:rFonts w:ascii="Times New Roman" w:hAnsi="Times New Roman" w:eastAsia="宋体" w:cs="Times New Roman"/>
          <w:sz w:val="36"/>
          <w:szCs w:val="36"/>
          <w:highlight w:val="none"/>
        </w:rPr>
      </w:pPr>
      <w:bookmarkStart w:id="18" w:name="_Toc362250708"/>
      <w:bookmarkStart w:id="19" w:name="_Toc226973004"/>
      <w:bookmarkStart w:id="20" w:name="_Toc274303255"/>
      <w:bookmarkStart w:id="21" w:name="_Toc145992551"/>
      <w:r>
        <w:rPr>
          <w:rFonts w:ascii="Times New Roman" w:hAnsi="Times New Roman" w:eastAsia="宋体" w:cs="Times New Roman"/>
          <w:sz w:val="36"/>
          <w:szCs w:val="36"/>
          <w:highlight w:val="none"/>
        </w:rPr>
        <w:br w:type="page"/>
      </w:r>
    </w:p>
    <w:p>
      <w:pPr>
        <w:pStyle w:val="3"/>
        <w:spacing w:line="360" w:lineRule="auto"/>
        <w:jc w:val="center"/>
        <w:rPr>
          <w:rFonts w:ascii="Times New Roman" w:hAnsi="Times New Roman" w:eastAsia="宋体" w:cs="Times New Roman"/>
          <w:sz w:val="36"/>
          <w:highlight w:val="none"/>
        </w:rPr>
      </w:pPr>
      <w:r>
        <w:rPr>
          <w:rFonts w:ascii="Times New Roman" w:hAnsi="Times New Roman" w:eastAsia="宋体" w:cs="Times New Roman"/>
          <w:bCs w:val="0"/>
          <w:kern w:val="2"/>
          <w:sz w:val="36"/>
          <w:szCs w:val="36"/>
          <w:highlight w:val="none"/>
        </w:rPr>
        <w:t>第六章</w:t>
      </w:r>
      <w:r>
        <w:rPr>
          <w:rFonts w:ascii="Times New Roman" w:hAnsi="Times New Roman" w:eastAsia="宋体" w:cs="Times New Roman"/>
          <w:sz w:val="36"/>
          <w:highlight w:val="none"/>
        </w:rPr>
        <w:t xml:space="preserve">  评标办法</w:t>
      </w:r>
      <w:bookmarkEnd w:id="18"/>
      <w:bookmarkEnd w:id="19"/>
      <w:bookmarkEnd w:id="20"/>
      <w:bookmarkEnd w:id="21"/>
    </w:p>
    <w:p>
      <w:pPr>
        <w:pStyle w:val="12"/>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根据《中华人民共和国政府采购法》和有关规定，为更好地做到公开、公平、公正，结合本次招标的特点，特制定本评标办法。评标小组用</w:t>
      </w:r>
      <w:r>
        <w:rPr>
          <w:rFonts w:hint="eastAsia" w:ascii="宋体" w:hAnsi="宋体" w:eastAsia="宋体" w:cs="宋体"/>
          <w:sz w:val="24"/>
          <w:highlight w:val="none"/>
          <w:u w:val="single"/>
        </w:rPr>
        <w:t>综合评分法</w:t>
      </w:r>
      <w:r>
        <w:rPr>
          <w:rFonts w:hint="eastAsia" w:ascii="宋体" w:hAnsi="宋体" w:eastAsia="宋体" w:cs="宋体"/>
          <w:sz w:val="24"/>
          <w:highlight w:val="none"/>
        </w:rPr>
        <w:t>对招标项目作出评标结论。</w:t>
      </w:r>
    </w:p>
    <w:p>
      <w:pPr>
        <w:pStyle w:val="12"/>
        <w:keepNext w:val="0"/>
        <w:keepLines w:val="0"/>
        <w:pageBreakBefore w:val="0"/>
        <w:widowControl w:val="0"/>
        <w:kinsoku/>
        <w:wordWrap w:val="0"/>
        <w:overflowPunct/>
        <w:topLinePunct w:val="0"/>
        <w:autoSpaceDE/>
        <w:autoSpaceDN/>
        <w:bidi w:val="0"/>
        <w:adjustRightInd/>
        <w:snapToGrid/>
        <w:spacing w:line="360" w:lineRule="auto"/>
        <w:ind w:firstLine="466" w:firstLineChars="200"/>
        <w:textAlignment w:val="auto"/>
        <w:outlineLvl w:val="1"/>
        <w:rPr>
          <w:rFonts w:hint="eastAsia" w:ascii="宋体" w:hAnsi="宋体" w:eastAsia="宋体" w:cs="宋体"/>
          <w:b/>
          <w:bCs/>
          <w:sz w:val="24"/>
          <w:szCs w:val="24"/>
          <w:highlight w:val="none"/>
        </w:rPr>
      </w:pPr>
      <w:r>
        <w:rPr>
          <w:rFonts w:hint="eastAsia" w:ascii="宋体" w:hAnsi="宋体" w:eastAsia="宋体" w:cs="宋体"/>
          <w:b/>
          <w:spacing w:val="-4"/>
          <w:sz w:val="24"/>
          <w:szCs w:val="24"/>
          <w:highlight w:val="none"/>
        </w:rPr>
        <w:t>一、</w:t>
      </w:r>
      <w:r>
        <w:rPr>
          <w:rFonts w:hint="eastAsia" w:ascii="宋体" w:hAnsi="宋体" w:eastAsia="宋体" w:cs="宋体"/>
          <w:b/>
          <w:bCs/>
          <w:sz w:val="24"/>
          <w:szCs w:val="24"/>
          <w:highlight w:val="none"/>
        </w:rPr>
        <w:t>评审程序</w:t>
      </w:r>
    </w:p>
    <w:p>
      <w:pPr>
        <w:pStyle w:val="12"/>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1、对投标人资格响应文件进行符合性审查，确定资格审查通过单位；</w:t>
      </w:r>
    </w:p>
    <w:p>
      <w:pPr>
        <w:pStyle w:val="12"/>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2、对资格审查通过的投标人的商务技术响应文件进行符合性审查，确定商务技术响应文件有效单位；</w:t>
      </w:r>
    </w:p>
    <w:p>
      <w:pPr>
        <w:pStyle w:val="12"/>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3、对商务技术响应文件有效的投标单位的商务技术响应文件进行评分，计算出各商务技术响应文件有效的投标单位的商务技术得分；</w:t>
      </w:r>
    </w:p>
    <w:p>
      <w:pPr>
        <w:pStyle w:val="12"/>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4、对报价响应文件进行符合性审查；</w:t>
      </w:r>
    </w:p>
    <w:p>
      <w:pPr>
        <w:pStyle w:val="12"/>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5、对报价响应文件符合性审查通过的报价响应文件进行详细评审，并由“政采云”平台计算出其报价分及总得分；</w:t>
      </w:r>
    </w:p>
    <w:p>
      <w:pPr>
        <w:pStyle w:val="12"/>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6、中标人的确定、出具评标报告。</w:t>
      </w:r>
    </w:p>
    <w:p>
      <w:pPr>
        <w:pStyle w:val="12"/>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pacing w:val="-4"/>
          <w:sz w:val="24"/>
          <w:highlight w:val="none"/>
        </w:rPr>
      </w:pPr>
      <w:r>
        <w:rPr>
          <w:rFonts w:hint="eastAsia" w:ascii="宋体" w:hAnsi="宋体" w:eastAsia="宋体" w:cs="宋体"/>
          <w:sz w:val="24"/>
          <w:szCs w:val="24"/>
          <w:highlight w:val="none"/>
        </w:rPr>
        <w:t>评标小组以开标、评标、询标情况为基本依据，</w:t>
      </w:r>
      <w:r>
        <w:rPr>
          <w:rFonts w:hint="eastAsia" w:ascii="宋体" w:hAnsi="宋体" w:eastAsia="宋体" w:cs="宋体"/>
          <w:spacing w:val="-4"/>
          <w:sz w:val="24"/>
          <w:szCs w:val="24"/>
          <w:highlight w:val="none"/>
        </w:rPr>
        <w:t>对有效的投标文件分资格响应文件、商务技术响应文件和报价响应文件三个部分进行分析、评议，</w:t>
      </w:r>
      <w:r>
        <w:rPr>
          <w:rFonts w:hint="eastAsia" w:ascii="宋体" w:hAnsi="宋体" w:eastAsia="宋体" w:cs="宋体"/>
          <w:b/>
          <w:bCs/>
          <w:spacing w:val="-4"/>
          <w:sz w:val="24"/>
          <w:szCs w:val="24"/>
          <w:highlight w:val="none"/>
        </w:rPr>
        <w:t>先评资格响应文件、商务技术响应文件，后评报价响应文件</w:t>
      </w:r>
      <w:r>
        <w:rPr>
          <w:rFonts w:hint="eastAsia" w:ascii="宋体" w:hAnsi="宋体" w:eastAsia="宋体" w:cs="宋体"/>
          <w:b/>
          <w:spacing w:val="-4"/>
          <w:sz w:val="24"/>
          <w:szCs w:val="24"/>
          <w:highlight w:val="none"/>
        </w:rPr>
        <w:t>，报价响应文件在商务技术文件评审结束后开启；对商务技术响应无效的供应商不再进行报价响应的评审</w:t>
      </w:r>
      <w:r>
        <w:rPr>
          <w:rFonts w:hint="eastAsia" w:ascii="宋体" w:hAnsi="宋体" w:eastAsia="宋体" w:cs="宋体"/>
          <w:b/>
          <w:spacing w:val="-4"/>
          <w:sz w:val="24"/>
          <w:highlight w:val="none"/>
        </w:rPr>
        <w:t>。</w:t>
      </w:r>
    </w:p>
    <w:p>
      <w:pPr>
        <w:pStyle w:val="12"/>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sz w:val="24"/>
          <w:highlight w:val="none"/>
        </w:rPr>
      </w:pPr>
      <w:r>
        <w:rPr>
          <w:rFonts w:hint="eastAsia" w:ascii="宋体" w:hAnsi="宋体" w:eastAsia="宋体" w:cs="宋体"/>
          <w:b/>
          <w:bCs/>
          <w:sz w:val="24"/>
          <w:highlight w:val="none"/>
        </w:rPr>
        <w:t>二、评标办法</w:t>
      </w:r>
    </w:p>
    <w:p>
      <w:pPr>
        <w:pStyle w:val="12"/>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1、商务技术响应文件评标</w:t>
      </w:r>
    </w:p>
    <w:p>
      <w:pPr>
        <w:pStyle w:val="12"/>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w:t>
      </w:r>
      <w:r>
        <w:rPr>
          <w:rFonts w:hint="eastAsia" w:ascii="宋体" w:hAnsi="宋体" w:eastAsia="宋体" w:cs="宋体"/>
          <w:bCs/>
          <w:sz w:val="24"/>
          <w:highlight w:val="none"/>
        </w:rPr>
        <w:t>根据招标文件第五章投标文件的有效性的规定，是否属于无效标；</w:t>
      </w:r>
    </w:p>
    <w:p>
      <w:pPr>
        <w:pStyle w:val="12"/>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1.2</w:t>
      </w:r>
      <w:r>
        <w:rPr>
          <w:rFonts w:hint="eastAsia" w:ascii="宋体" w:hAnsi="宋体" w:eastAsia="宋体" w:cs="宋体"/>
          <w:bCs/>
          <w:sz w:val="24"/>
          <w:highlight w:val="none"/>
        </w:rPr>
        <w:t>检查投标文件中是否有法定代表人或授权代表签字及加盖单位公章或电子签章；</w:t>
      </w:r>
    </w:p>
    <w:p>
      <w:pPr>
        <w:pStyle w:val="12"/>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1.3检查标书的完整性，如营业执照、资质证书、法人委托书等招标文件要求提供的资料是否齐全；</w:t>
      </w:r>
    </w:p>
    <w:p>
      <w:pPr>
        <w:pStyle w:val="12"/>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1.4检查拟供服务内容、质量是否满足招标文件及本项目的要求；</w:t>
      </w:r>
    </w:p>
    <w:p>
      <w:pPr>
        <w:pStyle w:val="12"/>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1.5检查服务计划是否提供；是否具体、完整、可行；</w:t>
      </w:r>
    </w:p>
    <w:p>
      <w:pPr>
        <w:pStyle w:val="12"/>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Cs/>
          <w:sz w:val="24"/>
          <w:highlight w:val="none"/>
        </w:rPr>
        <w:t>1.6</w:t>
      </w:r>
      <w:r>
        <w:rPr>
          <w:rFonts w:hint="eastAsia" w:ascii="宋体" w:hAnsi="宋体" w:eastAsia="宋体" w:cs="宋体"/>
          <w:sz w:val="24"/>
          <w:highlight w:val="none"/>
        </w:rPr>
        <w:t>检查质保期及售后服务承诺是否提供，是否符合招标文件的要求</w:t>
      </w:r>
      <w:r>
        <w:rPr>
          <w:rFonts w:hint="eastAsia" w:ascii="宋体" w:hAnsi="宋体" w:eastAsia="宋体" w:cs="宋体"/>
          <w:sz w:val="24"/>
          <w:szCs w:val="24"/>
          <w:highlight w:val="none"/>
        </w:rPr>
        <w:t>；</w:t>
      </w:r>
    </w:p>
    <w:p>
      <w:pPr>
        <w:pStyle w:val="12"/>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highlight w:val="none"/>
        </w:rPr>
        <w:t>1.7具体评审办法</w:t>
      </w:r>
    </w:p>
    <w:p>
      <w:pPr>
        <w:keepNext w:val="0"/>
        <w:keepLines w:val="0"/>
        <w:pageBreakBefore w:val="0"/>
        <w:widowControl w:val="0"/>
        <w:tabs>
          <w:tab w:val="left" w:pos="540"/>
          <w:tab w:val="left" w:pos="884"/>
        </w:tabs>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商务技术分满分为</w:t>
      </w:r>
      <w:r>
        <w:rPr>
          <w:rFonts w:hint="eastAsia" w:ascii="宋体" w:hAnsi="宋体" w:eastAsia="宋体" w:cs="宋体"/>
          <w:sz w:val="24"/>
          <w:highlight w:val="none"/>
          <w:lang w:val="en-US" w:eastAsia="zh-CN"/>
        </w:rPr>
        <w:t>75</w:t>
      </w:r>
      <w:r>
        <w:rPr>
          <w:rFonts w:hint="eastAsia" w:ascii="宋体" w:hAnsi="宋体" w:eastAsia="宋体" w:cs="宋体"/>
          <w:sz w:val="24"/>
          <w:highlight w:val="none"/>
        </w:rPr>
        <w:t>分，分值分配见表格。评标小组根据评分细则，对各投标人的商务技术响应部分进行书面审核和评论后，由各专家独立给分，打分时保留小数1位，每人一份评分表，并签名。在统计得分时，如果发现某一单项评分超过评分标准规定的分值范围，则该张评分表无效。投标人最终得分为评标小组所有成员的有效评分的算术平均值，计算时保留小数2位。</w:t>
      </w:r>
    </w:p>
    <w:tbl>
      <w:tblPr>
        <w:tblStyle w:val="22"/>
        <w:tblW w:w="10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529"/>
        <w:gridCol w:w="6468"/>
        <w:gridCol w:w="655"/>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792"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7997"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评审细则</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c>
          <w:tcPr>
            <w:tcW w:w="76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2"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529" w:type="dxa"/>
            <w:vMerge w:val="restart"/>
            <w:noWrap/>
            <w:vAlign w:val="center"/>
          </w:tcPr>
          <w:p>
            <w:pPr>
              <w:keepNext w:val="0"/>
              <w:keepLines w:val="0"/>
              <w:pageBreakBefore w:val="0"/>
              <w:widowControl w:val="0"/>
              <w:tabs>
                <w:tab w:val="left" w:pos="645"/>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服务理念、组织架构及管理制度情况（16分）</w:t>
            </w:r>
          </w:p>
        </w:tc>
        <w:tc>
          <w:tcPr>
            <w:tcW w:w="646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根据本项目服务特点提出合理的服务理念能够符合项目优育服务需要，切合实际，且安全可行</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服务定位（0分、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目标（0分、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投标人的管理模式（0分、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76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2"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p>
        </w:tc>
        <w:tc>
          <w:tcPr>
            <w:tcW w:w="1529"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p>
        </w:tc>
        <w:tc>
          <w:tcPr>
            <w:tcW w:w="6468" w:type="dxa"/>
            <w:noWrap/>
            <w:vAlign w:val="center"/>
          </w:tcPr>
          <w:p>
            <w:pPr>
              <w:keepNext w:val="0"/>
              <w:keepLines w:val="0"/>
              <w:pageBreakBefore w:val="0"/>
              <w:widowControl w:val="0"/>
              <w:tabs>
                <w:tab w:val="left" w:pos="4890"/>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投标人有完善的组织架构</w:t>
            </w:r>
            <w:r>
              <w:rPr>
                <w:rFonts w:hint="eastAsia" w:ascii="宋体" w:hAnsi="宋体" w:eastAsia="宋体" w:cs="宋体"/>
                <w:sz w:val="24"/>
                <w:szCs w:val="24"/>
                <w:highlight w:val="none"/>
                <w:lang w:eastAsia="zh-CN"/>
              </w:rPr>
              <w:t>。</w:t>
            </w:r>
          </w:p>
          <w:p>
            <w:pPr>
              <w:keepNext w:val="0"/>
              <w:keepLines w:val="0"/>
              <w:pageBreakBefore w:val="0"/>
              <w:widowControl w:val="0"/>
              <w:tabs>
                <w:tab w:val="left" w:pos="4890"/>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完善的组织运行机制（0分、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p>
            <w:pPr>
              <w:keepNext w:val="0"/>
              <w:keepLines w:val="0"/>
              <w:pageBreakBefore w:val="0"/>
              <w:widowControl w:val="0"/>
              <w:tabs>
                <w:tab w:val="left" w:pos="4890"/>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明确职责分工情况（0分、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76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2"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p>
        </w:tc>
        <w:tc>
          <w:tcPr>
            <w:tcW w:w="1529"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p>
        </w:tc>
        <w:tc>
          <w:tcPr>
            <w:tcW w:w="6468" w:type="dxa"/>
            <w:noWrap/>
            <w:vAlign w:val="center"/>
          </w:tcPr>
          <w:p>
            <w:pPr>
              <w:keepNext w:val="0"/>
              <w:keepLines w:val="0"/>
              <w:pageBreakBefore w:val="0"/>
              <w:widowControl w:val="0"/>
              <w:tabs>
                <w:tab w:val="left" w:pos="4890"/>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投标人建立的监督机制（0分、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p>
          <w:p>
            <w:pPr>
              <w:keepNext w:val="0"/>
              <w:keepLines w:val="0"/>
              <w:pageBreakBefore w:val="0"/>
              <w:widowControl w:val="0"/>
              <w:tabs>
                <w:tab w:val="left" w:pos="4890"/>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自我约束机制（0分、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p>
          <w:p>
            <w:pPr>
              <w:keepNext w:val="0"/>
              <w:keepLines w:val="0"/>
              <w:pageBreakBefore w:val="0"/>
              <w:widowControl w:val="0"/>
              <w:tabs>
                <w:tab w:val="left" w:pos="4890"/>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信息反馈渠道（0分、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p>
          <w:p>
            <w:pPr>
              <w:keepNext w:val="0"/>
              <w:keepLines w:val="0"/>
              <w:pageBreakBefore w:val="0"/>
              <w:widowControl w:val="0"/>
              <w:tabs>
                <w:tab w:val="left" w:pos="4890"/>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处理机制（0分、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76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2"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p>
        </w:tc>
        <w:tc>
          <w:tcPr>
            <w:tcW w:w="1529"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p>
        </w:tc>
        <w:tc>
          <w:tcPr>
            <w:tcW w:w="6468" w:type="dxa"/>
            <w:noWrap/>
            <w:vAlign w:val="center"/>
          </w:tcPr>
          <w:p>
            <w:pPr>
              <w:keepNext w:val="0"/>
              <w:keepLines w:val="0"/>
              <w:pageBreakBefore w:val="0"/>
              <w:widowControl w:val="0"/>
              <w:tabs>
                <w:tab w:val="left" w:pos="4890"/>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内部管理和协调方法情况（0分、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76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2"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529"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服务方案（27分）</w:t>
            </w:r>
          </w:p>
        </w:tc>
        <w:tc>
          <w:tcPr>
            <w:tcW w:w="646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投标人充分考虑用户的日常要求和需求，对本次服务内容的目标有较深入的理解和渗透，符合招标文件要求。提供服务区域内日常生活照料的管理方案及孩子护理操作方案，根据方案情况打分。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饮食起居照料（0分、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个人清洁卫生（0分、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睡眠照料（0分、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区域清洁卫生（0分、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衣物清洗消毒晾晒（0分、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配奶配餐服务（0分、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76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92" w:type="dxa"/>
            <w:vMerge w:val="continue"/>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p>
        </w:tc>
        <w:tc>
          <w:tcPr>
            <w:tcW w:w="1529" w:type="dxa"/>
            <w:vMerge w:val="continue"/>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p>
        </w:tc>
        <w:tc>
          <w:tcPr>
            <w:tcW w:w="6468" w:type="dxa"/>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提供针对不同年龄、不同能力的儿童的分级护理方案，根据方案情况打分</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具备合理性、科学性，并提供科学合理的台账记录措施（0分、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提供安全防护方案及相关措施，能够有效预防儿童意外伤害，具备可操作性（0分、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tc>
        <w:tc>
          <w:tcPr>
            <w:tcW w:w="655" w:type="dxa"/>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764" w:type="dxa"/>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2" w:type="dxa"/>
            <w:vMerge w:val="continue"/>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p>
        </w:tc>
        <w:tc>
          <w:tcPr>
            <w:tcW w:w="1529" w:type="dxa"/>
            <w:vMerge w:val="continue"/>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p>
        </w:tc>
        <w:tc>
          <w:tcPr>
            <w:tcW w:w="6468" w:type="dxa"/>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提供生病儿童陪护照料方案（包括住院），符合招标文件要求，根据方案情况打分。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对生病儿童陪护照料的措施（0分、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护送儿童外出体检、就医就学的相关措施（0分、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tc>
        <w:tc>
          <w:tcPr>
            <w:tcW w:w="655" w:type="dxa"/>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764" w:type="dxa"/>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2" w:type="dxa"/>
            <w:vMerge w:val="continue"/>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p>
        </w:tc>
        <w:tc>
          <w:tcPr>
            <w:tcW w:w="1529" w:type="dxa"/>
            <w:vMerge w:val="continue"/>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p>
        </w:tc>
        <w:tc>
          <w:tcPr>
            <w:tcW w:w="646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提供协助早教康复相关工作的方案，根据方案情况打分。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根据康复计划制定生活康复训练（0分、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组织儿童闲暇活动（0分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0.2分、</w:t>
            </w:r>
            <w:r>
              <w:rPr>
                <w:rFonts w:hint="eastAsia" w:ascii="宋体" w:hAnsi="宋体" w:eastAsia="宋体" w:cs="宋体"/>
                <w:sz w:val="24"/>
                <w:szCs w:val="24"/>
                <w:highlight w:val="none"/>
              </w:rPr>
              <w:t>0.5分、1分、</w:t>
            </w:r>
            <w:r>
              <w:rPr>
                <w:rFonts w:hint="eastAsia" w:ascii="宋体" w:hAnsi="宋体" w:eastAsia="宋体" w:cs="宋体"/>
                <w:sz w:val="24"/>
                <w:szCs w:val="24"/>
                <w:highlight w:val="none"/>
                <w:lang w:val="en-US" w:eastAsia="zh-CN"/>
              </w:rPr>
              <w:t>1.2分、</w:t>
            </w:r>
            <w:r>
              <w:rPr>
                <w:rFonts w:hint="eastAsia" w:ascii="宋体" w:hAnsi="宋体" w:eastAsia="宋体" w:cs="宋体"/>
                <w:sz w:val="24"/>
                <w:szCs w:val="24"/>
                <w:highlight w:val="none"/>
              </w:rPr>
              <w:t>1.5分）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提供现场护理（0分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0.2分、</w:t>
            </w:r>
            <w:r>
              <w:rPr>
                <w:rFonts w:hint="eastAsia" w:ascii="宋体" w:hAnsi="宋体" w:eastAsia="宋体" w:cs="宋体"/>
                <w:sz w:val="24"/>
                <w:szCs w:val="24"/>
                <w:highlight w:val="none"/>
              </w:rPr>
              <w:t>0.5分、1分、</w:t>
            </w:r>
            <w:r>
              <w:rPr>
                <w:rFonts w:hint="eastAsia" w:ascii="宋体" w:hAnsi="宋体" w:eastAsia="宋体" w:cs="宋体"/>
                <w:sz w:val="24"/>
                <w:szCs w:val="24"/>
                <w:highlight w:val="none"/>
                <w:lang w:val="en-US" w:eastAsia="zh-CN"/>
              </w:rPr>
              <w:t>1.2分、</w:t>
            </w:r>
            <w:r>
              <w:rPr>
                <w:rFonts w:hint="eastAsia" w:ascii="宋体" w:hAnsi="宋体" w:eastAsia="宋体" w:cs="宋体"/>
                <w:sz w:val="24"/>
                <w:szCs w:val="24"/>
                <w:highlight w:val="none"/>
              </w:rPr>
              <w:t>1.5分）</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76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92" w:type="dxa"/>
            <w:vMerge w:val="continue"/>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p>
        </w:tc>
        <w:tc>
          <w:tcPr>
            <w:tcW w:w="1529" w:type="dxa"/>
            <w:vMerge w:val="continue"/>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p>
        </w:tc>
        <w:tc>
          <w:tcPr>
            <w:tcW w:w="646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提供质量保证措施，具备科学性、可操作性，确保项目质量，根据方案情况打分。（0分、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76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2"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52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技术服务偏离情况（3分）</w:t>
            </w:r>
          </w:p>
        </w:tc>
        <w:tc>
          <w:tcPr>
            <w:tcW w:w="646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根据对项目技术服务的响应程度进行评价，岗位配置齐全且满足采购需求，服务团队配比数量满足采购需求，无偏离得3分，正偏离不加分，条款负偏离每项扣1分，扣完为止。</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76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2"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52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信息化管理（2分）</w:t>
            </w:r>
          </w:p>
        </w:tc>
        <w:tc>
          <w:tcPr>
            <w:tcW w:w="646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投标人承诺利用电脑对儿童个案实行信息化管理，各类记录、报表应真实、准确、及时情况打分（0分、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76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92"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529"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应急方案</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（6分）</w:t>
            </w:r>
          </w:p>
        </w:tc>
        <w:tc>
          <w:tcPr>
            <w:tcW w:w="646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根据应急人员配备及岗位安排分配情况打分（0分、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76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92"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p>
        </w:tc>
        <w:tc>
          <w:tcPr>
            <w:tcW w:w="1529"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p>
        </w:tc>
        <w:tc>
          <w:tcPr>
            <w:tcW w:w="646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根据投标人对突发事故制定的应急预案</w:t>
            </w:r>
            <w:r>
              <w:rPr>
                <w:rFonts w:hint="eastAsia" w:ascii="宋体" w:hAnsi="宋体" w:eastAsia="宋体" w:cs="宋体"/>
                <w:sz w:val="24"/>
                <w:szCs w:val="24"/>
                <w:highlight w:val="none"/>
                <w:lang w:eastAsia="zh-CN"/>
              </w:rPr>
              <w:t>及</w:t>
            </w:r>
            <w:r>
              <w:rPr>
                <w:rFonts w:hint="eastAsia" w:ascii="宋体" w:hAnsi="宋体" w:eastAsia="宋体" w:cs="宋体"/>
                <w:sz w:val="24"/>
                <w:szCs w:val="24"/>
                <w:highlight w:val="none"/>
              </w:rPr>
              <w:t>相应的解决措施情况</w:t>
            </w:r>
            <w:r>
              <w:rPr>
                <w:rFonts w:hint="eastAsia" w:ascii="宋体" w:hAnsi="宋体" w:eastAsia="宋体" w:cs="宋体"/>
                <w:sz w:val="24"/>
                <w:szCs w:val="24"/>
                <w:highlight w:val="none"/>
                <w:lang w:eastAsia="zh-CN"/>
              </w:rPr>
              <w:t>进行打分。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应急预案（0分、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相应的解决措施情况（0分、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76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92"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529"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项目队伍建设（6分）</w:t>
            </w:r>
          </w:p>
        </w:tc>
        <w:tc>
          <w:tcPr>
            <w:tcW w:w="646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提供项目队伍开展技能训练与考核的方案</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提供人员培训计划（0分、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详细列明包括技能训练内容及考核方式（0分、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76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92"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p>
        </w:tc>
        <w:tc>
          <w:tcPr>
            <w:tcW w:w="1529"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p>
        </w:tc>
        <w:tc>
          <w:tcPr>
            <w:tcW w:w="646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根据提供保证服务团队稳定的激励措施情况打分（0分、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76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0" w:hRule="atLeast"/>
          <w:jc w:val="center"/>
        </w:trPr>
        <w:tc>
          <w:tcPr>
            <w:tcW w:w="792"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52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项目实施的人员安排情况（1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c>
          <w:tcPr>
            <w:tcW w:w="646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en-US" w:eastAsia="zh-CN"/>
              </w:rPr>
              <w:t>1、</w:t>
            </w:r>
            <w:r>
              <w:rPr>
                <w:rFonts w:hint="eastAsia" w:ascii="宋体" w:hAnsi="宋体" w:eastAsia="宋体" w:cs="宋体"/>
                <w:sz w:val="24"/>
                <w:szCs w:val="24"/>
                <w:highlight w:val="none"/>
              </w:rPr>
              <w:t>服务人员</w:t>
            </w:r>
            <w:r>
              <w:rPr>
                <w:rFonts w:hint="eastAsia" w:ascii="宋体" w:hAnsi="宋体" w:eastAsia="宋体" w:cs="宋体"/>
                <w:bCs/>
                <w:kern w:val="0"/>
                <w:sz w:val="24"/>
                <w:szCs w:val="24"/>
                <w:highlight w:val="none"/>
                <w:lang w:val="zh-CN"/>
              </w:rPr>
              <w:t>持有</w:t>
            </w:r>
            <w:r>
              <w:rPr>
                <w:rFonts w:hint="eastAsia" w:ascii="宋体" w:hAnsi="宋体" w:eastAsia="宋体" w:cs="宋体"/>
                <w:bCs/>
                <w:kern w:val="0"/>
                <w:sz w:val="24"/>
                <w:szCs w:val="24"/>
                <w:highlight w:val="none"/>
              </w:rPr>
              <w:t>四级及以上</w:t>
            </w:r>
            <w:r>
              <w:rPr>
                <w:rFonts w:hint="eastAsia" w:ascii="宋体" w:hAnsi="宋体" w:eastAsia="宋体" w:cs="宋体"/>
                <w:bCs/>
                <w:kern w:val="0"/>
                <w:sz w:val="24"/>
                <w:szCs w:val="24"/>
                <w:highlight w:val="none"/>
                <w:lang w:val="zh-CN"/>
              </w:rPr>
              <w:t>《</w:t>
            </w:r>
            <w:r>
              <w:rPr>
                <w:rFonts w:hint="eastAsia" w:ascii="宋体" w:hAnsi="宋体" w:eastAsia="宋体" w:cs="宋体"/>
                <w:bCs/>
                <w:kern w:val="0"/>
                <w:sz w:val="24"/>
                <w:szCs w:val="24"/>
                <w:highlight w:val="none"/>
              </w:rPr>
              <w:t>育婴</w:t>
            </w:r>
            <w:r>
              <w:rPr>
                <w:rFonts w:hint="eastAsia" w:ascii="宋体" w:hAnsi="宋体" w:eastAsia="宋体" w:cs="宋体"/>
                <w:bCs/>
                <w:kern w:val="0"/>
                <w:sz w:val="24"/>
                <w:szCs w:val="24"/>
                <w:highlight w:val="none"/>
                <w:lang w:val="zh-CN"/>
              </w:rPr>
              <w:t>员》资格证书</w:t>
            </w:r>
            <w:r>
              <w:rPr>
                <w:rFonts w:hint="eastAsia" w:ascii="宋体" w:hAnsi="宋体" w:eastAsia="宋体" w:cs="宋体"/>
                <w:bCs/>
                <w:kern w:val="0"/>
                <w:sz w:val="24"/>
                <w:szCs w:val="24"/>
                <w:highlight w:val="none"/>
                <w:lang w:val="en-US" w:eastAsia="zh-CN"/>
              </w:rPr>
              <w:t>的，每本证书得1分，最高得3分</w:t>
            </w:r>
            <w:r>
              <w:rPr>
                <w:rFonts w:hint="eastAsia" w:ascii="宋体" w:hAnsi="宋体" w:eastAsia="宋体" w:cs="宋体"/>
                <w:bCs/>
                <w:kern w:val="0"/>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lang w:val="en-US" w:eastAsia="zh-CN"/>
              </w:rPr>
              <w:t>2、</w:t>
            </w:r>
            <w:r>
              <w:rPr>
                <w:rFonts w:hint="eastAsia" w:ascii="宋体" w:hAnsi="宋体" w:eastAsia="宋体" w:cs="宋体"/>
                <w:sz w:val="24"/>
                <w:szCs w:val="24"/>
                <w:highlight w:val="none"/>
              </w:rPr>
              <w:t>护理服务人员</w:t>
            </w:r>
            <w:r>
              <w:rPr>
                <w:rFonts w:hint="eastAsia" w:ascii="宋体" w:hAnsi="宋体" w:eastAsia="宋体" w:cs="宋体"/>
                <w:kern w:val="0"/>
                <w:sz w:val="24"/>
                <w:szCs w:val="24"/>
                <w:highlight w:val="none"/>
              </w:rPr>
              <w:t>持有中级</w:t>
            </w:r>
            <w:r>
              <w:rPr>
                <w:rFonts w:hint="eastAsia" w:ascii="宋体" w:hAnsi="宋体" w:eastAsia="宋体" w:cs="宋体"/>
                <w:kern w:val="0"/>
                <w:sz w:val="24"/>
                <w:szCs w:val="24"/>
                <w:highlight w:val="none"/>
                <w:lang w:val="zh-CN"/>
              </w:rPr>
              <w:t>护理员</w:t>
            </w:r>
            <w:r>
              <w:rPr>
                <w:rFonts w:hint="eastAsia" w:ascii="宋体" w:hAnsi="宋体" w:eastAsia="宋体" w:cs="宋体"/>
                <w:kern w:val="0"/>
                <w:sz w:val="24"/>
                <w:szCs w:val="24"/>
                <w:highlight w:val="none"/>
              </w:rPr>
              <w:t>证的不少于3人，</w:t>
            </w:r>
            <w:r>
              <w:rPr>
                <w:rFonts w:hint="eastAsia" w:ascii="宋体" w:hAnsi="宋体" w:eastAsia="宋体" w:cs="宋体"/>
                <w:kern w:val="0"/>
                <w:sz w:val="24"/>
                <w:szCs w:val="24"/>
                <w:highlight w:val="none"/>
                <w:lang w:val="en-US" w:eastAsia="zh-CN"/>
              </w:rPr>
              <w:t>3人以上每增加1人得1分，最高得5分</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rPr>
              <w:t>少于3人的不得分</w:t>
            </w:r>
            <w:r>
              <w:rPr>
                <w:rFonts w:hint="eastAsia" w:ascii="宋体" w:hAnsi="宋体" w:eastAsia="宋体" w:cs="宋体"/>
                <w:bCs/>
                <w:kern w:val="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SA"/>
              </w:rPr>
              <w:t>3、</w:t>
            </w:r>
            <w:r>
              <w:rPr>
                <w:rFonts w:hint="eastAsia" w:ascii="宋体" w:hAnsi="宋体" w:eastAsia="宋体" w:cs="宋体"/>
                <w:sz w:val="24"/>
                <w:szCs w:val="24"/>
                <w:highlight w:val="none"/>
              </w:rPr>
              <w:t>服务人员</w:t>
            </w:r>
            <w:r>
              <w:rPr>
                <w:rFonts w:hint="eastAsia" w:ascii="宋体" w:hAnsi="宋体" w:eastAsia="宋体" w:cs="宋体"/>
                <w:kern w:val="0"/>
                <w:sz w:val="24"/>
                <w:szCs w:val="24"/>
                <w:highlight w:val="none"/>
              </w:rPr>
              <w:t>持有康复医学治疗师</w:t>
            </w:r>
            <w:r>
              <w:rPr>
                <w:rFonts w:hint="eastAsia" w:ascii="宋体" w:hAnsi="宋体" w:eastAsia="宋体" w:cs="宋体"/>
                <w:kern w:val="0"/>
                <w:sz w:val="24"/>
                <w:szCs w:val="24"/>
                <w:highlight w:val="none"/>
                <w:lang w:val="en-US" w:eastAsia="zh-CN"/>
              </w:rPr>
              <w:t>证书的</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得2分，</w:t>
            </w:r>
            <w:r>
              <w:rPr>
                <w:rFonts w:hint="eastAsia" w:ascii="宋体" w:hAnsi="宋体" w:eastAsia="宋体" w:cs="宋体"/>
                <w:kern w:val="0"/>
                <w:sz w:val="24"/>
                <w:szCs w:val="24"/>
                <w:highlight w:val="none"/>
              </w:rPr>
              <w:t>提供人力资源和社会保障部门颁发的康复医学治疗师证书。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zh-CN"/>
              </w:rPr>
            </w:pPr>
            <w:r>
              <w:rPr>
                <w:rFonts w:hint="eastAsia" w:ascii="宋体" w:hAnsi="宋体" w:eastAsia="宋体" w:cs="宋体"/>
                <w:bCs/>
                <w:kern w:val="0"/>
                <w:sz w:val="24"/>
                <w:szCs w:val="24"/>
                <w:highlight w:val="none"/>
                <w:lang w:val="en-US" w:eastAsia="zh-CN"/>
              </w:rPr>
              <w:t>4、</w:t>
            </w:r>
            <w:r>
              <w:rPr>
                <w:rFonts w:hint="eastAsia" w:ascii="宋体" w:hAnsi="宋体" w:eastAsia="宋体" w:cs="宋体"/>
                <w:sz w:val="24"/>
                <w:szCs w:val="24"/>
                <w:highlight w:val="none"/>
              </w:rPr>
              <w:t>服务人员</w:t>
            </w:r>
            <w:r>
              <w:rPr>
                <w:rFonts w:hint="eastAsia" w:ascii="宋体" w:hAnsi="宋体" w:eastAsia="宋体" w:cs="宋体"/>
                <w:kern w:val="0"/>
                <w:sz w:val="24"/>
                <w:szCs w:val="24"/>
                <w:highlight w:val="none"/>
              </w:rPr>
              <w:t>持</w:t>
            </w:r>
            <w:r>
              <w:rPr>
                <w:rFonts w:hint="eastAsia" w:ascii="宋体" w:hAnsi="宋体" w:eastAsia="宋体" w:cs="宋体"/>
                <w:kern w:val="0"/>
                <w:sz w:val="24"/>
                <w:szCs w:val="24"/>
                <w:highlight w:val="none"/>
                <w:lang w:val="zh-CN"/>
              </w:rPr>
              <w:t>有护理专业中级职称</w:t>
            </w:r>
            <w:r>
              <w:rPr>
                <w:rFonts w:hint="eastAsia" w:ascii="宋体" w:hAnsi="宋体" w:eastAsia="宋体" w:cs="宋体"/>
                <w:kern w:val="0"/>
                <w:sz w:val="24"/>
                <w:szCs w:val="24"/>
                <w:highlight w:val="none"/>
                <w:lang w:val="en-US" w:eastAsia="zh-CN"/>
              </w:rPr>
              <w:t>证书的</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得3分</w:t>
            </w:r>
            <w:r>
              <w:rPr>
                <w:rFonts w:hint="eastAsia" w:ascii="宋体" w:hAnsi="宋体" w:eastAsia="宋体" w:cs="宋体"/>
                <w:kern w:val="0"/>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zh-CN"/>
              </w:rPr>
            </w:pPr>
            <w:r>
              <w:rPr>
                <w:rFonts w:hint="eastAsia" w:eastAsia="宋体" w:cs="宋体"/>
                <w:sz w:val="24"/>
                <w:szCs w:val="24"/>
                <w:highlight w:val="none"/>
              </w:rPr>
              <w:t>注：</w:t>
            </w:r>
            <w:r>
              <w:rPr>
                <w:rFonts w:hint="eastAsia" w:ascii="宋体" w:hAnsi="宋体" w:eastAsia="宋体" w:cs="宋体"/>
                <w:sz w:val="24"/>
                <w:szCs w:val="24"/>
                <w:highlight w:val="none"/>
              </w:rPr>
              <w:t>以上人员须提供2024年</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月1日起至投标截止时间止期间中任何一个连续3个月）的在本单位缴纳的个人社保缴费清单（如投标人新成立不足三个月的，按实际缴纳情况提供持证人员在该单位的社保缴费清单）及资格证书、人员</w:t>
            </w:r>
            <w:r>
              <w:rPr>
                <w:rFonts w:hint="eastAsia" w:ascii="宋体" w:hAnsi="宋体" w:eastAsia="宋体" w:cs="宋体"/>
                <w:sz w:val="24"/>
                <w:szCs w:val="24"/>
                <w:highlight w:val="none"/>
                <w:lang w:eastAsia="zh-CN"/>
              </w:rPr>
              <w:t>职称</w:t>
            </w:r>
            <w:r>
              <w:rPr>
                <w:rFonts w:hint="eastAsia" w:ascii="宋体" w:hAnsi="宋体" w:eastAsia="宋体" w:cs="宋体"/>
                <w:sz w:val="24"/>
                <w:szCs w:val="24"/>
                <w:highlight w:val="none"/>
              </w:rPr>
              <w:t>证书复印件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社保缴费清单需加盖缴费当地社保机构公章或业务章，否则不得分</w:t>
            </w:r>
            <w:r>
              <w:rPr>
                <w:rFonts w:hint="eastAsia" w:ascii="宋体" w:hAnsi="宋体" w:eastAsia="宋体" w:cs="宋体"/>
                <w:color w:val="000000"/>
                <w:kern w:val="0"/>
                <w:sz w:val="24"/>
                <w:szCs w:val="24"/>
                <w:highlight w:val="none"/>
                <w:lang w:bidi="ar"/>
              </w:rPr>
              <w:t>。</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76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2"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52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业绩</w:t>
            </w:r>
            <w:r>
              <w:rPr>
                <w:rFonts w:hint="eastAsia" w:ascii="宋体" w:hAnsi="宋体" w:eastAsia="宋体" w:cs="宋体"/>
                <w:sz w:val="24"/>
                <w:szCs w:val="24"/>
                <w:highlight w:val="none"/>
              </w:rPr>
              <w:t>（2分）</w:t>
            </w:r>
          </w:p>
        </w:tc>
        <w:tc>
          <w:tcPr>
            <w:tcW w:w="646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20</w:t>
            </w: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lang w:val="zh-CN"/>
              </w:rPr>
              <w:t>年</w:t>
            </w:r>
            <w:r>
              <w:rPr>
                <w:rFonts w:hint="eastAsia" w:ascii="宋体" w:hAnsi="宋体" w:eastAsia="宋体" w:cs="宋体"/>
                <w:kern w:val="0"/>
                <w:sz w:val="24"/>
                <w:szCs w:val="24"/>
                <w:highlight w:val="none"/>
                <w:lang w:val="en-US" w:eastAsia="zh-CN"/>
              </w:rPr>
              <w:t>1月1日</w:t>
            </w:r>
            <w:r>
              <w:rPr>
                <w:rFonts w:hint="eastAsia" w:ascii="宋体" w:hAnsi="宋体" w:eastAsia="宋体" w:cs="宋体"/>
                <w:kern w:val="0"/>
                <w:sz w:val="24"/>
                <w:szCs w:val="24"/>
                <w:highlight w:val="none"/>
                <w:lang w:val="zh-CN"/>
              </w:rPr>
              <w:t>以来投标人</w:t>
            </w:r>
            <w:r>
              <w:rPr>
                <w:rFonts w:hint="eastAsia" w:ascii="宋体" w:hAnsi="宋体" w:eastAsia="宋体" w:cs="宋体"/>
                <w:kern w:val="0"/>
                <w:sz w:val="24"/>
                <w:szCs w:val="24"/>
                <w:highlight w:val="none"/>
                <w:lang w:val="en-US" w:eastAsia="zh-CN"/>
              </w:rPr>
              <w:t>具有</w:t>
            </w:r>
            <w:r>
              <w:rPr>
                <w:rFonts w:hint="eastAsia" w:ascii="宋体" w:hAnsi="宋体" w:eastAsia="宋体" w:cs="宋体"/>
                <w:kern w:val="0"/>
                <w:sz w:val="24"/>
                <w:szCs w:val="24"/>
                <w:highlight w:val="none"/>
                <w:lang w:val="zh-CN"/>
              </w:rPr>
              <w:t>类似</w:t>
            </w:r>
            <w:r>
              <w:rPr>
                <w:rFonts w:hint="eastAsia" w:ascii="宋体" w:hAnsi="宋体" w:eastAsia="宋体" w:cs="宋体"/>
                <w:kern w:val="0"/>
                <w:sz w:val="24"/>
                <w:szCs w:val="24"/>
                <w:highlight w:val="none"/>
              </w:rPr>
              <w:t>项目</w:t>
            </w:r>
            <w:r>
              <w:rPr>
                <w:rFonts w:hint="eastAsia" w:ascii="宋体" w:hAnsi="宋体" w:eastAsia="宋体" w:cs="宋体"/>
                <w:kern w:val="0"/>
                <w:sz w:val="24"/>
                <w:szCs w:val="24"/>
                <w:highlight w:val="none"/>
                <w:lang w:eastAsia="zh-CN"/>
              </w:rPr>
              <w:t>（以合同签订时间为准），</w:t>
            </w:r>
            <w:r>
              <w:rPr>
                <w:rFonts w:hint="eastAsia" w:ascii="宋体" w:hAnsi="宋体" w:eastAsia="宋体" w:cs="宋体"/>
                <w:kern w:val="0"/>
                <w:sz w:val="24"/>
                <w:szCs w:val="24"/>
                <w:highlight w:val="none"/>
                <w:lang w:val="zh-CN"/>
              </w:rPr>
              <w:t>每提供一个有效佐证材料的项目得</w:t>
            </w: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zh-CN"/>
              </w:rPr>
              <w:t>分（需提供合同复印件</w:t>
            </w:r>
            <w:r>
              <w:rPr>
                <w:rFonts w:hint="eastAsia" w:ascii="宋体" w:hAnsi="宋体" w:eastAsia="宋体" w:cs="宋体"/>
                <w:sz w:val="24"/>
                <w:szCs w:val="24"/>
                <w:highlight w:val="none"/>
              </w:rPr>
              <w:t>），最高2分。</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76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客观分</w:t>
            </w:r>
          </w:p>
        </w:tc>
      </w:tr>
    </w:tbl>
    <w:p>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2、报价响应文件评审</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2.1甄别异常报价：有下列情况之一的投标报价不进入报价分计算环节：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①资格响应、商务技术响应无效单位的投标报价；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sz w:val="24"/>
          <w:szCs w:val="24"/>
          <w:highlight w:val="none"/>
          <w:shd w:val="pct10" w:color="auto" w:fill="FFFFFF"/>
        </w:rPr>
      </w:pPr>
      <w:r>
        <w:rPr>
          <w:rFonts w:hint="eastAsia" w:ascii="宋体" w:hAnsi="宋体" w:eastAsia="宋体" w:cs="宋体"/>
          <w:sz w:val="24"/>
          <w:szCs w:val="24"/>
          <w:highlight w:val="none"/>
        </w:rPr>
        <w:t>②报价高于预算价；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③投标报价高于最高限价；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分析总报价及各个分项报价是否合理、报价范围是否完整、有否重大错漏项、是否超过最高限价。如评标委员会认为投标人的报价明显低于其他通过符合性审查的投标人的报价，有可能影响产品质量或者不能诚信履约的，应当要求其在评标现场合理的时间内提供书面说明，必要时提交相关佐证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2.2报价响应文件详细评审（</w:t>
      </w:r>
      <w:r>
        <w:rPr>
          <w:rFonts w:hint="eastAsia" w:ascii="宋体" w:hAnsi="宋体" w:eastAsia="宋体" w:cs="宋体"/>
          <w:b/>
          <w:sz w:val="24"/>
          <w:szCs w:val="24"/>
          <w:highlight w:val="none"/>
          <w:u w:val="single"/>
        </w:rPr>
        <w:t>2</w:t>
      </w:r>
      <w:r>
        <w:rPr>
          <w:rFonts w:hint="eastAsia" w:ascii="宋体" w:hAnsi="宋体" w:eastAsia="宋体" w:cs="宋体"/>
          <w:b/>
          <w:sz w:val="24"/>
          <w:szCs w:val="24"/>
          <w:highlight w:val="none"/>
          <w:u w:val="single"/>
          <w:lang w:val="en-US" w:eastAsia="zh-CN"/>
        </w:rPr>
        <w:t>5</w:t>
      </w:r>
      <w:r>
        <w:rPr>
          <w:rFonts w:hint="eastAsia" w:ascii="宋体" w:hAnsi="宋体" w:eastAsia="宋体" w:cs="宋体"/>
          <w:b/>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（1）评标基准价以满足招标文件要求且投标价格最低的投标报价为评标基准价，其报价分为2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（2）报价得分计算。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报价得分=（评标基准价/评标价）×2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%×100，保留小数2位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3、计算总分（满分为100分）</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计算方法：投标人总得分 = 商务技术分+报价分</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4、推荐中标候选人，完成评标报告</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（1）推荐中标候选人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小组完成评标后，按总得分由高到低排定顺序（得分相同的，按投标报价由低到高顺序排列；得分且投标报价相同的，按商务技术分由高到低顺序排列，商务技术分也相同的，由采购人代表使用交易中心抽取程序随机抽取决定排序），评标小组根据以上排序直接确定第一名的投标单位为中标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当确定的中标人放弃中标，因不可抗力提出不能履行合同，在此情况下，采购人可重新组织招投标。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（2）完成评标报告</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Times New Roman"/>
          <w:sz w:val="24"/>
          <w:highlight w:val="none"/>
        </w:rPr>
      </w:pPr>
      <w:r>
        <w:rPr>
          <w:rFonts w:hint="eastAsia" w:ascii="宋体" w:hAnsi="宋体" w:eastAsia="宋体" w:cs="宋体"/>
          <w:kern w:val="0"/>
          <w:sz w:val="24"/>
          <w:szCs w:val="24"/>
          <w:highlight w:val="none"/>
        </w:rPr>
        <w:t>评标小组向采购人提出评标报告，内容包括评标过程、投标人的优劣对比分析、中标候选人推荐情况、基本结论、存在的问题和评标专家的不同意见。评标报告应经评标小组所有专家签字，在评标结束时当场提交给采购人</w:t>
      </w:r>
      <w:r>
        <w:rPr>
          <w:rFonts w:hint="eastAsia" w:ascii="宋体" w:hAnsi="宋体" w:eastAsia="宋体" w:cs="宋体"/>
          <w:sz w:val="24"/>
          <w:szCs w:val="24"/>
          <w:highlight w:val="none"/>
        </w:rPr>
        <w:t>。</w:t>
      </w:r>
    </w:p>
    <w:p>
      <w:pPr>
        <w:rPr>
          <w:rFonts w:ascii="Times New Roman" w:hAnsi="Times New Roman" w:eastAsia="宋体" w:cs="Times New Roman"/>
          <w:b/>
          <w:sz w:val="36"/>
          <w:szCs w:val="36"/>
          <w:highlight w:val="none"/>
        </w:rPr>
      </w:pPr>
      <w:r>
        <w:rPr>
          <w:rFonts w:ascii="Times New Roman" w:hAnsi="Times New Roman" w:eastAsia="宋体" w:cs="Times New Roman"/>
          <w:b/>
          <w:sz w:val="36"/>
          <w:szCs w:val="36"/>
          <w:highlight w:val="none"/>
        </w:rPr>
        <w:br w:type="page"/>
      </w:r>
    </w:p>
    <w:p>
      <w:pPr>
        <w:spacing w:line="360" w:lineRule="auto"/>
        <w:ind w:firstLine="723" w:firstLineChars="200"/>
        <w:jc w:val="center"/>
        <w:outlineLvl w:val="0"/>
        <w:rPr>
          <w:rFonts w:ascii="Times New Roman" w:hAnsi="Times New Roman" w:cs="Times New Roman"/>
          <w:b/>
          <w:sz w:val="36"/>
          <w:szCs w:val="36"/>
          <w:highlight w:val="none"/>
        </w:rPr>
      </w:pPr>
      <w:bookmarkStart w:id="22" w:name="_Toc187829774"/>
      <w:bookmarkStart w:id="23" w:name="_Toc213038698"/>
      <w:bookmarkStart w:id="24" w:name="_Toc274303259"/>
      <w:bookmarkStart w:id="25" w:name="_Toc238878129"/>
      <w:bookmarkStart w:id="26" w:name="_Toc235778631"/>
      <w:bookmarkStart w:id="27" w:name="_Toc362250712"/>
      <w:r>
        <w:rPr>
          <w:rFonts w:ascii="Times New Roman" w:hAnsi="Times New Roman" w:cs="Times New Roman"/>
          <w:b/>
          <w:sz w:val="36"/>
          <w:szCs w:val="36"/>
          <w:highlight w:val="none"/>
        </w:rPr>
        <w:t>第七章  合同主要条款</w:t>
      </w:r>
    </w:p>
    <w:p>
      <w:pPr>
        <w:widowControl/>
        <w:spacing w:line="360" w:lineRule="auto"/>
        <w:ind w:firstLine="482" w:firstLineChars="200"/>
        <w:jc w:val="center"/>
        <w:rPr>
          <w:rFonts w:ascii="Times New Roman" w:hAnsi="Times New Roman" w:cs="Times New Roman"/>
          <w:b/>
          <w:kern w:val="0"/>
          <w:sz w:val="24"/>
          <w:highlight w:val="none"/>
        </w:rPr>
      </w:pPr>
      <w:r>
        <w:rPr>
          <w:rFonts w:ascii="Times New Roman" w:hAnsi="Times New Roman" w:cs="Times New Roman"/>
          <w:b/>
          <w:kern w:val="0"/>
          <w:sz w:val="24"/>
          <w:highlight w:val="none"/>
        </w:rPr>
        <w:t xml:space="preserve">义乌市政府采购合同 </w:t>
      </w:r>
    </w:p>
    <w:p>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甲方：_____</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___________</w:t>
      </w:r>
    </w:p>
    <w:p>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乙方：________________________________</w:t>
      </w:r>
    </w:p>
    <w:p>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甲、乙双方根据__年____月____日</w:t>
      </w:r>
      <w:r>
        <w:rPr>
          <w:rFonts w:hint="eastAsia" w:ascii="宋体" w:hAnsi="宋体" w:eastAsia="宋体" w:cs="宋体"/>
          <w:color w:val="auto"/>
          <w:kern w:val="0"/>
          <w:sz w:val="24"/>
          <w:szCs w:val="24"/>
          <w:highlight w:val="none"/>
        </w:rPr>
        <w:t>浙江省义乌市政府采购</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项目</w:t>
      </w:r>
      <w:r>
        <w:rPr>
          <w:rFonts w:hint="eastAsia" w:ascii="宋体" w:hAnsi="宋体" w:eastAsia="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rPr>
        <w:t>结果和</w:t>
      </w:r>
      <w:r>
        <w:rPr>
          <w:rFonts w:hint="eastAsia" w:ascii="宋体" w:hAnsi="宋体" w:eastAsia="宋体" w:cs="宋体"/>
          <w:color w:val="auto"/>
          <w:kern w:val="0"/>
          <w:sz w:val="24"/>
          <w:szCs w:val="24"/>
          <w:highlight w:val="none"/>
          <w:lang w:eastAsia="zh-CN"/>
        </w:rPr>
        <w:t>招</w:t>
      </w:r>
      <w:r>
        <w:rPr>
          <w:rFonts w:hint="eastAsia" w:ascii="宋体" w:hAnsi="宋体" w:eastAsia="宋体" w:cs="宋体"/>
          <w:color w:val="auto"/>
          <w:kern w:val="0"/>
          <w:sz w:val="24"/>
          <w:szCs w:val="24"/>
          <w:highlight w:val="none"/>
        </w:rPr>
        <w:t>标文件的要求，依据《中华人民共和国</w:t>
      </w:r>
      <w:r>
        <w:rPr>
          <w:rFonts w:hint="eastAsia" w:ascii="宋体" w:hAnsi="宋体" w:eastAsia="宋体" w:cs="宋体"/>
          <w:color w:val="auto"/>
          <w:kern w:val="0"/>
          <w:sz w:val="24"/>
          <w:szCs w:val="24"/>
          <w:highlight w:val="none"/>
          <w:lang w:eastAsia="zh-CN"/>
        </w:rPr>
        <w:t>民法典</w:t>
      </w:r>
      <w:r>
        <w:rPr>
          <w:rFonts w:hint="eastAsia" w:ascii="宋体" w:hAnsi="宋体" w:eastAsia="宋体" w:cs="宋体"/>
          <w:color w:val="auto"/>
          <w:kern w:val="0"/>
          <w:sz w:val="24"/>
          <w:szCs w:val="24"/>
          <w:highlight w:val="none"/>
        </w:rPr>
        <w:t>》并经双方协调一致，订立本采购合同。</w:t>
      </w:r>
      <w:r>
        <w:rPr>
          <w:rFonts w:hint="eastAsia" w:ascii="宋体" w:hAnsi="宋体" w:eastAsia="宋体" w:cs="宋体"/>
          <w:color w:val="auto"/>
          <w:sz w:val="24"/>
          <w:szCs w:val="24"/>
          <w:highlight w:val="none"/>
        </w:rPr>
        <w:t>本合同（□是 □否）为可融资合同</w:t>
      </w:r>
      <w:r>
        <w:rPr>
          <w:rFonts w:hint="eastAsia" w:ascii="宋体" w:hAnsi="宋体" w:eastAsia="宋体" w:cs="宋体"/>
          <w:kern w:val="0"/>
          <w:sz w:val="24"/>
          <w:szCs w:val="24"/>
          <w:highlight w:val="none"/>
        </w:rPr>
        <w:t>。</w:t>
      </w:r>
    </w:p>
    <w:p>
      <w:pPr>
        <w:keepNext w:val="0"/>
        <w:keepLines w:val="0"/>
        <w:pageBreakBefore w:val="0"/>
        <w:widowControl/>
        <w:kinsoku/>
        <w:wordWrap/>
        <w:overflowPunct/>
        <w:topLinePunct w:val="0"/>
        <w:bidi w:val="0"/>
        <w:adjustRightInd/>
        <w:snapToGrid/>
        <w:spacing w:line="360" w:lineRule="auto"/>
        <w:ind w:firstLine="482" w:firstLineChars="200"/>
        <w:jc w:val="left"/>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一、合同文件组成</w:t>
      </w:r>
    </w:p>
    <w:p>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投标文件及其补充文件、询标承诺、询疑答复、投标响应文件、双方来函。合同文件组成的所有内容是构成合同不可分割的部分，与合同具有同等法律效力。</w:t>
      </w:r>
    </w:p>
    <w:p>
      <w:pPr>
        <w:pStyle w:val="12"/>
        <w:keepNext w:val="0"/>
        <w:keepLines w:val="0"/>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二、合同金额</w:t>
      </w:r>
    </w:p>
    <w:p>
      <w:pPr>
        <w:pStyle w:val="12"/>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本合同金额为（大写）：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元）人民币。</w:t>
      </w:r>
    </w:p>
    <w:p>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
          <w:bCs/>
          <w:sz w:val="24"/>
          <w:szCs w:val="24"/>
          <w:highlight w:val="none"/>
        </w:rPr>
        <w:t>三、付款方式</w:t>
      </w:r>
      <w:r>
        <w:rPr>
          <w:rFonts w:hint="eastAsia" w:ascii="宋体" w:hAnsi="宋体" w:eastAsia="宋体" w:cs="宋体"/>
          <w:sz w:val="24"/>
          <w:szCs w:val="24"/>
          <w:highlight w:val="none"/>
        </w:rPr>
        <w:t>：</w:t>
      </w:r>
      <w:r>
        <w:rPr>
          <w:rFonts w:hint="eastAsia" w:ascii="宋体" w:hAnsi="宋体" w:eastAsia="宋体" w:cs="宋体"/>
          <w:bCs/>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kern w:val="0"/>
          <w:sz w:val="24"/>
          <w:szCs w:val="24"/>
          <w:highlight w:val="none"/>
          <w14:textFill>
            <w14:solidFill>
              <w14:schemeClr w14:val="tx1"/>
            </w14:solidFill>
          </w14:textFill>
        </w:rPr>
        <w:t>。</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b/>
          <w:sz w:val="24"/>
          <w:szCs w:val="24"/>
          <w:highlight w:val="none"/>
        </w:rPr>
        <w:t>四、</w:t>
      </w:r>
      <w:r>
        <w:rPr>
          <w:rFonts w:hint="eastAsia" w:ascii="宋体" w:hAnsi="宋体" w:eastAsia="宋体" w:cs="宋体"/>
          <w:b/>
          <w:bCs/>
          <w:snapToGrid w:val="0"/>
          <w:kern w:val="0"/>
          <w:sz w:val="24"/>
          <w:szCs w:val="24"/>
          <w:highlight w:val="none"/>
        </w:rPr>
        <w:t>项目人员要求以及</w:t>
      </w:r>
      <w:r>
        <w:rPr>
          <w:rFonts w:hint="eastAsia" w:ascii="宋体" w:hAnsi="宋体" w:eastAsia="宋体" w:cs="宋体"/>
          <w:b/>
          <w:snapToGrid w:val="0"/>
          <w:kern w:val="0"/>
          <w:sz w:val="24"/>
          <w:szCs w:val="24"/>
          <w:highlight w:val="none"/>
        </w:rPr>
        <w:t>抚育等服务质量要求</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乙方须按下列约定，实现目标管理：</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1、工作人员配图</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遵循因事设岗，按岗配人，分层分类，结构合理的原则，要求项目在册人数总数与服务对象配比不低于1:2，即项目在册服务人数平均不低于17人。</w:t>
      </w:r>
    </w:p>
    <w:p>
      <w:pPr>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勤技能岗位：负责为不同年龄和不同残疾类型的孤残儿童24小时生活照料和护理，包括儿童护理、配奶和儿童区清洁及上下学接送岗位。建议配备17人，其中儿童护理一线岗位不少于17人。根据工作需要，实行全天24小时轮班制。</w:t>
      </w:r>
    </w:p>
    <w:p>
      <w:pPr>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（1）标准班次：按照护理特点和护理难度分区分级护理，按照工作任务和工作量分时分类配岗。儿童活动期间，当班护理人员与儿童比例不低于1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4；儿童睡眠时间，当班护理人员与儿童比例不低于1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8。</w:t>
      </w:r>
    </w:p>
    <w:p>
      <w:pPr>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（2）弹性班次：对于儿童患病、隔离、送医、住院等特殊需要的，按需配备护理人员。</w:t>
      </w:r>
    </w:p>
    <w:p>
      <w:pPr>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kern w:val="2"/>
          <w:sz w:val="24"/>
          <w:szCs w:val="24"/>
          <w:highlight w:val="none"/>
          <w:lang w:val="en-US" w:eastAsia="zh-CN" w:bidi="ar-SA"/>
        </w:rPr>
        <w:t>2、</w:t>
      </w:r>
      <w:r>
        <w:rPr>
          <w:rFonts w:hint="eastAsia" w:ascii="宋体" w:hAnsi="宋体" w:eastAsia="宋体" w:cs="宋体"/>
          <w:b w:val="0"/>
          <w:bCs w:val="0"/>
          <w:sz w:val="24"/>
          <w:szCs w:val="24"/>
          <w:highlight w:val="none"/>
        </w:rPr>
        <w:t>工作人员管理要求</w:t>
      </w:r>
    </w:p>
    <w:p>
      <w:pPr>
        <w:pageBreakBefore w:val="0"/>
        <w:widowControl/>
        <w:numPr>
          <w:ilvl w:val="0"/>
          <w:numId w:val="3"/>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应保证所录用人员身体健康、无传染性疾病，无刑事违法或处分犯罪记录，符合岗位要求。如</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配备的人员不符合本合同约定的要求，视为</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未配置，</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应承担相应的违约责任。</w:t>
      </w:r>
    </w:p>
    <w:p>
      <w:pPr>
        <w:pageBreakBefore w:val="0"/>
        <w:widowControl/>
        <w:numPr>
          <w:ilvl w:val="0"/>
          <w:numId w:val="3"/>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建立项目内部管理体系，项目主管负责本项目的实施和管理，其他服务人员按所在班组、岗位建立管理层级，层层压实责任，确保工作落细落实。</w:t>
      </w:r>
    </w:p>
    <w:p>
      <w:pPr>
        <w:pageBreakBefore w:val="0"/>
        <w:widowControl/>
        <w:numPr>
          <w:ilvl w:val="0"/>
          <w:numId w:val="3"/>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所有项目人员须持证上岗，按岗位统一工作服，思想素质好、爱岗敬业、身体健康、无不良行为记录。</w:t>
      </w:r>
    </w:p>
    <w:p>
      <w:pPr>
        <w:pageBreakBefore w:val="0"/>
        <w:widowControl/>
        <w:numPr>
          <w:ilvl w:val="0"/>
          <w:numId w:val="3"/>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所有项目人员必须执行报备制度。</w:t>
      </w:r>
    </w:p>
    <w:p>
      <w:pPr>
        <w:pageBreakBefore w:val="0"/>
        <w:widowControl/>
        <w:numPr>
          <w:ilvl w:val="0"/>
          <w:numId w:val="3"/>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所有项目人员的住宿及用餐等均由</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自行解决。</w:t>
      </w:r>
    </w:p>
    <w:p>
      <w:pPr>
        <w:pageBreakBefore w:val="0"/>
        <w:widowControl/>
        <w:numPr>
          <w:ilvl w:val="0"/>
          <w:numId w:val="3"/>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提供的所有人员均须按投标文件要求提供相应的</w:t>
      </w:r>
      <w:r>
        <w:rPr>
          <w:rFonts w:hint="eastAsia" w:ascii="宋体" w:hAnsi="宋体" w:eastAsia="宋体" w:cs="宋体"/>
          <w:sz w:val="24"/>
          <w:szCs w:val="24"/>
          <w:highlight w:val="none"/>
          <w:lang w:eastAsia="zh-CN"/>
        </w:rPr>
        <w:t>佐证</w:t>
      </w:r>
      <w:r>
        <w:rPr>
          <w:rFonts w:hint="eastAsia" w:ascii="宋体" w:hAnsi="宋体" w:eastAsia="宋体" w:cs="宋体"/>
          <w:sz w:val="24"/>
          <w:szCs w:val="24"/>
          <w:highlight w:val="none"/>
        </w:rPr>
        <w:t>材料（学历、资格证书、职称证书、经验与业绩</w:t>
      </w:r>
      <w:r>
        <w:rPr>
          <w:rFonts w:hint="eastAsia" w:ascii="宋体" w:hAnsi="宋体" w:eastAsia="宋体" w:cs="宋体"/>
          <w:sz w:val="24"/>
          <w:szCs w:val="24"/>
          <w:highlight w:val="none"/>
          <w:lang w:eastAsia="zh-CN"/>
        </w:rPr>
        <w:t>材料</w:t>
      </w:r>
      <w:r>
        <w:rPr>
          <w:rFonts w:hint="eastAsia" w:ascii="宋体" w:hAnsi="宋体" w:eastAsia="宋体" w:cs="宋体"/>
          <w:sz w:val="24"/>
          <w:szCs w:val="24"/>
          <w:highlight w:val="none"/>
        </w:rPr>
        <w:t>、健康</w:t>
      </w:r>
      <w:r>
        <w:rPr>
          <w:rFonts w:hint="eastAsia" w:ascii="宋体" w:hAnsi="宋体" w:eastAsia="宋体" w:cs="宋体"/>
          <w:sz w:val="24"/>
          <w:szCs w:val="24"/>
          <w:highlight w:val="none"/>
          <w:lang w:eastAsia="zh-CN"/>
        </w:rPr>
        <w:t>佐证材料</w:t>
      </w:r>
      <w:r>
        <w:rPr>
          <w:rFonts w:hint="eastAsia" w:ascii="宋体" w:hAnsi="宋体" w:eastAsia="宋体" w:cs="宋体"/>
          <w:sz w:val="24"/>
          <w:szCs w:val="24"/>
          <w:highlight w:val="none"/>
        </w:rPr>
        <w:t>、无犯罪记录等），签订合同前提供不低于50%人员的全部</w:t>
      </w:r>
      <w:r>
        <w:rPr>
          <w:rFonts w:hint="eastAsia" w:ascii="宋体" w:hAnsi="宋体" w:eastAsia="宋体" w:cs="宋体"/>
          <w:sz w:val="24"/>
          <w:szCs w:val="24"/>
          <w:highlight w:val="none"/>
          <w:lang w:eastAsia="zh-CN"/>
        </w:rPr>
        <w:t>佐证</w:t>
      </w:r>
      <w:r>
        <w:rPr>
          <w:rFonts w:hint="eastAsia" w:ascii="宋体" w:hAnsi="宋体" w:eastAsia="宋体" w:cs="宋体"/>
          <w:sz w:val="24"/>
          <w:szCs w:val="24"/>
          <w:highlight w:val="none"/>
        </w:rPr>
        <w:t>材料，签订合同后人员到岗前提供全部人员的相关</w:t>
      </w:r>
      <w:r>
        <w:rPr>
          <w:rFonts w:hint="eastAsia" w:ascii="宋体" w:hAnsi="宋体" w:eastAsia="宋体" w:cs="宋体"/>
          <w:sz w:val="24"/>
          <w:szCs w:val="24"/>
          <w:highlight w:val="none"/>
          <w:lang w:eastAsia="zh-CN"/>
        </w:rPr>
        <w:t>佐证</w:t>
      </w:r>
      <w:r>
        <w:rPr>
          <w:rFonts w:hint="eastAsia" w:ascii="宋体" w:hAnsi="宋体" w:eastAsia="宋体" w:cs="宋体"/>
          <w:sz w:val="24"/>
          <w:szCs w:val="24"/>
          <w:highlight w:val="none"/>
        </w:rPr>
        <w:t>材料。</w:t>
      </w:r>
    </w:p>
    <w:p>
      <w:pPr>
        <w:pageBreakBefore w:val="0"/>
        <w:widowControl/>
        <w:numPr>
          <w:ilvl w:val="0"/>
          <w:numId w:val="3"/>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项目人员结构合理，按照人员配备比例，落实服务团队人数。不</w:t>
      </w:r>
      <w:r>
        <w:rPr>
          <w:rFonts w:hint="eastAsia" w:ascii="宋体" w:hAnsi="宋体" w:eastAsia="宋体" w:cs="宋体"/>
          <w:sz w:val="24"/>
          <w:szCs w:val="24"/>
          <w:highlight w:val="none"/>
          <w:lang w:eastAsia="zh-CN"/>
        </w:rPr>
        <w:t>超过60周岁</w:t>
      </w:r>
      <w:r>
        <w:rPr>
          <w:rFonts w:hint="eastAsia" w:ascii="宋体" w:hAnsi="宋体" w:eastAsia="宋体" w:cs="宋体"/>
          <w:sz w:val="24"/>
          <w:szCs w:val="24"/>
          <w:highlight w:val="none"/>
        </w:rPr>
        <w:t>，55周岁以上不超过50%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初中及以上文化。                  </w:t>
      </w:r>
    </w:p>
    <w:p>
      <w:pPr>
        <w:pageBreakBefore w:val="0"/>
        <w:widowControl/>
        <w:numPr>
          <w:ilvl w:val="0"/>
          <w:numId w:val="3"/>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员工必须在到岗前按以上标准提供相应的</w:t>
      </w:r>
      <w:r>
        <w:rPr>
          <w:rFonts w:hint="eastAsia" w:ascii="宋体" w:hAnsi="宋体" w:eastAsia="宋体" w:cs="宋体"/>
          <w:sz w:val="24"/>
          <w:szCs w:val="24"/>
          <w:highlight w:val="none"/>
          <w:lang w:eastAsia="zh-CN"/>
        </w:rPr>
        <w:t>佐证</w:t>
      </w:r>
      <w:r>
        <w:rPr>
          <w:rFonts w:hint="eastAsia" w:ascii="宋体" w:hAnsi="宋体" w:eastAsia="宋体" w:cs="宋体"/>
          <w:sz w:val="24"/>
          <w:szCs w:val="24"/>
          <w:highlight w:val="none"/>
        </w:rPr>
        <w:t>材料。所有人员必须专职为义乌市儿童福利院服务，不得兼职，有项目组成员如需要更换，须提前3天上报</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，经</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书面同意认可后更换。</w:t>
      </w:r>
    </w:p>
    <w:p>
      <w:pPr>
        <w:pageBreakBefore w:val="0"/>
        <w:widowControl/>
        <w:numPr>
          <w:ilvl w:val="0"/>
          <w:numId w:val="3"/>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为提高服务方护理服务水平，所有服务人员需进行孤残儿童护理知识培训。除</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对服务人员的培训外，还需接受</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对服务人员的相关业务培训。</w:t>
      </w:r>
    </w:p>
    <w:p>
      <w:pPr>
        <w:pageBreakBefore w:val="0"/>
        <w:widowControl/>
        <w:numPr>
          <w:ilvl w:val="0"/>
          <w:numId w:val="3"/>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应严格遵守</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的各项规定和管理要求，保证不泄漏或以任何方式向第三方予以暗示、披露或擅自使用在服务管理中获得的任何儿童信息、单位信息；未经</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书面同意，</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不得利用与</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有关的音像资料、数据进行对外宣传。此条款长期有效，不因本合同的终止而失效。否则，</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应承担10000元到50000元的违约金，具体金额视情节而定，并赔偿</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由此造成的一切损失。</w:t>
      </w:r>
    </w:p>
    <w:p>
      <w:pPr>
        <w:pageBreakBefore w:val="0"/>
        <w:widowControl/>
        <w:numPr>
          <w:ilvl w:val="0"/>
          <w:numId w:val="3"/>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应利用电脑对儿童个案实行信息化管理。各类记录、报表应真实、准确、及时，符合</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要求。</w:t>
      </w:r>
    </w:p>
    <w:p>
      <w:pPr>
        <w:pageBreakBefore w:val="0"/>
        <w:widowControl/>
        <w:numPr>
          <w:ilvl w:val="0"/>
          <w:numId w:val="3"/>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应有风险管理措施和应急预案，认真做好各类事故的预防工作，确保安全无事故。</w:t>
      </w:r>
    </w:p>
    <w:p>
      <w:pPr>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FF0000"/>
          <w:sz w:val="24"/>
          <w:szCs w:val="24"/>
          <w:highlight w:val="none"/>
        </w:rPr>
      </w:pPr>
      <w:r>
        <w:rPr>
          <w:rFonts w:hint="eastAsia" w:ascii="宋体" w:hAnsi="宋体" w:eastAsia="宋体" w:cs="宋体"/>
          <w:b w:val="0"/>
          <w:bCs w:val="0"/>
          <w:color w:val="auto"/>
          <w:kern w:val="2"/>
          <w:sz w:val="24"/>
          <w:szCs w:val="24"/>
          <w:highlight w:val="none"/>
          <w:lang w:val="en-US" w:eastAsia="zh-CN" w:bidi="ar-SA"/>
        </w:rPr>
        <w:t>3、</w:t>
      </w:r>
      <w:r>
        <w:rPr>
          <w:rFonts w:hint="eastAsia" w:ascii="宋体" w:hAnsi="宋体" w:eastAsia="宋体" w:cs="宋体"/>
          <w:b w:val="0"/>
          <w:bCs w:val="0"/>
          <w:sz w:val="24"/>
          <w:szCs w:val="24"/>
          <w:highlight w:val="none"/>
        </w:rPr>
        <w:t>护理岗位</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年龄60周岁以下，具有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育婴员/护理员等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照护类证书，一年以上儿童护理工作经验者年龄可适当放宽；热爱儿童事业，身体健康，无犯罪记录，能吃苦耐劳，经培训合格后能独立上岗，独立完成护理记录。</w:t>
      </w:r>
    </w:p>
    <w:p>
      <w:pPr>
        <w:pageBreakBefore w:val="0"/>
        <w:widowControl/>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的领导和</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的指导下，为儿童提供24小时全天候照护服务。</w:t>
      </w:r>
    </w:p>
    <w:p>
      <w:pPr>
        <w:pageBreakBefore w:val="0"/>
        <w:widowControl/>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严格遵守各项规章制度，认真执行护理操作规程，按照护理等级为不同年龄、不同能力的儿童实施分级护理，做好台账记录。</w:t>
      </w:r>
    </w:p>
    <w:p>
      <w:pPr>
        <w:pageBreakBefore w:val="0"/>
        <w:widowControl/>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负责儿童日常生活照料，根据儿童身心特点实施针对性护理，包括亲情关爱、饮食起居照料、个人清洁卫生和睡眠照料等。</w:t>
      </w:r>
    </w:p>
    <w:p>
      <w:pPr>
        <w:pageBreakBefore w:val="0"/>
        <w:widowControl/>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采取安全防护措施，预防儿童意外伤害，配合处理儿童突发状况，杜绝差错事故。</w:t>
      </w:r>
    </w:p>
    <w:p>
      <w:pPr>
        <w:pageBreakBefore w:val="0"/>
        <w:widowControl/>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负责儿童区域清洁卫生，做好内务整理、清扫保洁和日常消毒等，保持儿童生活环境整洁有序。</w:t>
      </w:r>
    </w:p>
    <w:p>
      <w:pPr>
        <w:pageBreakBefore w:val="0"/>
        <w:widowControl/>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负责儿童衣物、被褥随脏随换，玩具、用具、辅具定期消毒清洗。</w:t>
      </w:r>
    </w:p>
    <w:p>
      <w:pPr>
        <w:pageBreakBefore w:val="0"/>
        <w:widowControl/>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负责儿童配奶配餐服务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严格按照儿童饮食表调制配方奶、制作水果泥，保障食品安全卫生。</w:t>
      </w:r>
    </w:p>
    <w:p>
      <w:pPr>
        <w:pageBreakBefore w:val="0"/>
        <w:widowControl/>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负责生病儿童陪护照料（包括住院），护送儿童外出体检、就医就学等，给予情感支持，促进儿童健康。</w:t>
      </w:r>
    </w:p>
    <w:p>
      <w:pPr>
        <w:pageBreakBefore w:val="0"/>
        <w:widowControl/>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协助早教康复，按照康复计划实施生活康复训练，组织儿童闲暇活动，支持儿童参与各类活动，提供现场护理。</w:t>
      </w:r>
    </w:p>
    <w:p>
      <w:pPr>
        <w:keepNext w:val="0"/>
        <w:keepLines w:val="0"/>
        <w:pageBreakBefore w:val="0"/>
        <w:numPr>
          <w:ilvl w:val="0"/>
          <w:numId w:val="4"/>
        </w:numPr>
        <w:kinsoku/>
        <w:wordWrap/>
        <w:overflowPunct/>
        <w:topLinePunct w:val="0"/>
        <w:bidi w:val="0"/>
        <w:adjustRightInd/>
        <w:snapToGrid/>
        <w:spacing w:line="360" w:lineRule="auto"/>
        <w:ind w:left="0" w:leftChars="0" w:firstLine="420" w:firstLineChars="0"/>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根据甲方需求，服从工作安排，完成交办</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其他工作任务。</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b/>
          <w:sz w:val="24"/>
          <w:szCs w:val="24"/>
          <w:highlight w:val="none"/>
        </w:rPr>
        <w:t>五、</w:t>
      </w:r>
      <w:r>
        <w:rPr>
          <w:rFonts w:hint="eastAsia" w:ascii="宋体" w:hAnsi="宋体" w:eastAsia="宋体" w:cs="宋体"/>
          <w:b/>
          <w:snapToGrid w:val="0"/>
          <w:kern w:val="0"/>
          <w:sz w:val="24"/>
          <w:szCs w:val="24"/>
          <w:highlight w:val="none"/>
        </w:rPr>
        <w:t>乙方对甲方作出如下承诺</w:t>
      </w:r>
      <w:r>
        <w:rPr>
          <w:rFonts w:hint="eastAsia" w:ascii="宋体" w:hAnsi="宋体" w:eastAsia="宋体" w:cs="宋体"/>
          <w:snapToGrid w:val="0"/>
          <w:kern w:val="0"/>
          <w:sz w:val="24"/>
          <w:szCs w:val="24"/>
          <w:highlight w:val="none"/>
        </w:rPr>
        <w:t>：</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1、在承包期间，乙方的任何股份配置变动应及时书面通知</w:t>
      </w:r>
      <w:r>
        <w:rPr>
          <w:rFonts w:hint="eastAsia" w:ascii="宋体" w:hAnsi="宋体" w:eastAsia="宋体" w:cs="宋体"/>
          <w:snapToGrid w:val="0"/>
          <w:kern w:val="0"/>
          <w:sz w:val="24"/>
          <w:szCs w:val="24"/>
          <w:highlight w:val="none"/>
          <w:lang w:eastAsia="zh-CN"/>
        </w:rPr>
        <w:t>甲方</w:t>
      </w:r>
      <w:r>
        <w:rPr>
          <w:rFonts w:hint="eastAsia" w:ascii="宋体" w:hAnsi="宋体" w:eastAsia="宋体" w:cs="宋体"/>
          <w:snapToGrid w:val="0"/>
          <w:kern w:val="0"/>
          <w:sz w:val="24"/>
          <w:szCs w:val="24"/>
          <w:highlight w:val="none"/>
        </w:rPr>
        <w:t>。</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2、乙方允许甲方或其授权的人员对承包项目内各项服务质量控制进行检查，有关费用由乙方承担。</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3、在承包项目的各项服务，其工作时间必须满足</w:t>
      </w:r>
      <w:r>
        <w:rPr>
          <w:rFonts w:hint="eastAsia" w:ascii="宋体" w:hAnsi="宋体" w:eastAsia="宋体" w:cs="宋体"/>
          <w:snapToGrid w:val="0"/>
          <w:kern w:val="0"/>
          <w:sz w:val="24"/>
          <w:szCs w:val="24"/>
          <w:highlight w:val="none"/>
          <w:lang w:eastAsia="zh-CN"/>
        </w:rPr>
        <w:t>甲方</w:t>
      </w:r>
      <w:r>
        <w:rPr>
          <w:rFonts w:hint="eastAsia" w:ascii="宋体" w:hAnsi="宋体" w:eastAsia="宋体" w:cs="宋体"/>
          <w:snapToGrid w:val="0"/>
          <w:kern w:val="0"/>
          <w:sz w:val="24"/>
          <w:szCs w:val="24"/>
          <w:highlight w:val="none"/>
        </w:rPr>
        <w:t>的工作要求，包括星期天及公众假期。如遇特殊情况，甲方可要求乙方调整工作时间。乙方应无条件配合。</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u w:val="single"/>
        </w:rPr>
      </w:pPr>
      <w:r>
        <w:rPr>
          <w:rFonts w:hint="eastAsia" w:ascii="宋体" w:hAnsi="宋体" w:eastAsia="宋体" w:cs="宋体"/>
          <w:snapToGrid w:val="0"/>
          <w:kern w:val="0"/>
          <w:sz w:val="24"/>
          <w:szCs w:val="24"/>
          <w:highlight w:val="none"/>
        </w:rPr>
        <w:t>4、乙方必须聘请</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或指定</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一位经理</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负责人</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，全权代表乙方与甲方保持密切联系并保证承包区域服务工作。根据综合考评或工作情况，甲方有权要求乙方在一个星期内更换经理（负责人）、相关骨干人员直至符合</w:t>
      </w:r>
      <w:r>
        <w:rPr>
          <w:rFonts w:hint="eastAsia" w:ascii="宋体" w:hAnsi="宋体" w:eastAsia="宋体" w:cs="宋体"/>
          <w:snapToGrid w:val="0"/>
          <w:kern w:val="0"/>
          <w:sz w:val="24"/>
          <w:szCs w:val="24"/>
          <w:highlight w:val="none"/>
          <w:lang w:eastAsia="zh-CN"/>
        </w:rPr>
        <w:t>甲方</w:t>
      </w:r>
      <w:r>
        <w:rPr>
          <w:rFonts w:hint="eastAsia" w:ascii="宋体" w:hAnsi="宋体" w:eastAsia="宋体" w:cs="宋体"/>
          <w:snapToGrid w:val="0"/>
          <w:kern w:val="0"/>
          <w:sz w:val="24"/>
          <w:szCs w:val="24"/>
          <w:highlight w:val="none"/>
        </w:rPr>
        <w:t>要求。乙方应无条件配合。</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z w:val="24"/>
          <w:szCs w:val="24"/>
          <w:highlight w:val="none"/>
        </w:rPr>
        <w:t>5、本项目配置工作人员以满足儿童实际服务需求为准，</w:t>
      </w:r>
      <w:r>
        <w:rPr>
          <w:rFonts w:hint="eastAsia" w:ascii="宋体" w:hAnsi="宋体" w:eastAsia="宋体" w:cs="宋体"/>
          <w:snapToGrid w:val="0"/>
          <w:kern w:val="0"/>
          <w:sz w:val="24"/>
          <w:szCs w:val="24"/>
          <w:highlight w:val="none"/>
        </w:rPr>
        <w:t>如果发现项目单位投入的</w:t>
      </w:r>
      <w:r>
        <w:rPr>
          <w:rFonts w:hint="eastAsia" w:ascii="宋体" w:hAnsi="宋体" w:eastAsia="宋体" w:cs="宋体"/>
          <w:sz w:val="24"/>
          <w:szCs w:val="24"/>
          <w:highlight w:val="none"/>
        </w:rPr>
        <w:t>直接服务该抚育项</w:t>
      </w:r>
      <w:r>
        <w:rPr>
          <w:rFonts w:hint="eastAsia" w:ascii="宋体" w:hAnsi="宋体" w:eastAsia="宋体" w:cs="宋体"/>
          <w:sz w:val="24"/>
          <w:szCs w:val="24"/>
          <w:highlight w:val="none"/>
          <w:lang w:eastAsia="zh-CN"/>
        </w:rPr>
        <w:t>目的</w:t>
      </w:r>
      <w:r>
        <w:rPr>
          <w:rFonts w:hint="eastAsia" w:ascii="宋体" w:hAnsi="宋体" w:eastAsia="宋体" w:cs="宋体"/>
          <w:sz w:val="24"/>
          <w:szCs w:val="24"/>
          <w:highlight w:val="none"/>
        </w:rPr>
        <w:t>人员</w:t>
      </w:r>
      <w:r>
        <w:rPr>
          <w:rFonts w:hint="eastAsia" w:ascii="宋体" w:hAnsi="宋体" w:eastAsia="宋体" w:cs="宋体"/>
          <w:snapToGrid w:val="0"/>
          <w:kern w:val="0"/>
          <w:sz w:val="24"/>
          <w:szCs w:val="24"/>
          <w:highlight w:val="none"/>
        </w:rPr>
        <w:t>数量少于合同约定的数量或低于人员配比（含人员离职等原因），乙方应在2周内补齐人员，否则</w:t>
      </w:r>
      <w:r>
        <w:rPr>
          <w:rFonts w:hint="eastAsia" w:ascii="宋体" w:hAnsi="宋体" w:eastAsia="宋体" w:cs="宋体"/>
          <w:snapToGrid w:val="0"/>
          <w:kern w:val="0"/>
          <w:sz w:val="24"/>
          <w:szCs w:val="24"/>
          <w:highlight w:val="none"/>
          <w:lang w:eastAsia="zh-CN"/>
        </w:rPr>
        <w:t>甲方</w:t>
      </w:r>
      <w:r>
        <w:rPr>
          <w:rFonts w:hint="eastAsia" w:ascii="宋体" w:hAnsi="宋体" w:eastAsia="宋体" w:cs="宋体"/>
          <w:snapToGrid w:val="0"/>
          <w:kern w:val="0"/>
          <w:sz w:val="24"/>
          <w:szCs w:val="24"/>
          <w:highlight w:val="none"/>
        </w:rPr>
        <w:t>按考核标准扣除当月合同款。</w:t>
      </w:r>
      <w:r>
        <w:rPr>
          <w:rFonts w:hint="eastAsia" w:ascii="宋体" w:hAnsi="宋体" w:eastAsia="宋体" w:cs="宋体"/>
          <w:sz w:val="24"/>
          <w:szCs w:val="24"/>
          <w:highlight w:val="none"/>
          <w:lang w:eastAsia="zh-CN"/>
        </w:rPr>
        <w:t>乙方</w:t>
      </w:r>
      <w:r>
        <w:rPr>
          <w:rFonts w:hint="eastAsia" w:ascii="宋体" w:hAnsi="宋体" w:eastAsia="宋体" w:cs="宋体"/>
          <w:snapToGrid w:val="0"/>
          <w:kern w:val="0"/>
          <w:sz w:val="24"/>
          <w:szCs w:val="24"/>
          <w:highlight w:val="none"/>
        </w:rPr>
        <w:t>聘用的工作人员必须符合劳动部门有关用工规定，并经</w:t>
      </w:r>
      <w:r>
        <w:rPr>
          <w:rFonts w:hint="eastAsia" w:ascii="宋体" w:hAnsi="宋体" w:eastAsia="宋体" w:cs="宋体"/>
          <w:sz w:val="24"/>
          <w:szCs w:val="24"/>
          <w:highlight w:val="none"/>
          <w:lang w:eastAsia="zh-CN"/>
        </w:rPr>
        <w:t>乙方</w:t>
      </w:r>
      <w:r>
        <w:rPr>
          <w:rFonts w:hint="eastAsia" w:ascii="宋体" w:hAnsi="宋体" w:eastAsia="宋体" w:cs="宋体"/>
          <w:snapToGrid w:val="0"/>
          <w:kern w:val="0"/>
          <w:sz w:val="24"/>
          <w:szCs w:val="24"/>
          <w:highlight w:val="none"/>
        </w:rPr>
        <w:t>相关专业考核合格后持证上岗，甲方有权进行审核，该类费用开支由乙方负担。</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6、在承包期间，乙方所有人员仅与乙方建立劳动合同关系，且所有人员使用须符合《</w:t>
      </w:r>
      <w:r>
        <w:rPr>
          <w:rFonts w:hint="eastAsia" w:ascii="宋体" w:hAnsi="宋体" w:eastAsia="宋体" w:cs="宋体"/>
          <w:snapToGrid w:val="0"/>
          <w:kern w:val="0"/>
          <w:sz w:val="24"/>
          <w:szCs w:val="24"/>
          <w:highlight w:val="none"/>
          <w:lang w:eastAsia="zh-CN"/>
        </w:rPr>
        <w:t>中华人民共和国劳动合同法</w:t>
      </w:r>
      <w:r>
        <w:rPr>
          <w:rFonts w:hint="eastAsia" w:ascii="宋体" w:hAnsi="宋体" w:eastAsia="宋体" w:cs="宋体"/>
          <w:snapToGrid w:val="0"/>
          <w:kern w:val="0"/>
          <w:sz w:val="24"/>
          <w:szCs w:val="24"/>
          <w:highlight w:val="none"/>
        </w:rPr>
        <w:t>》的有关规定。乙方所有人员与甲方不存在劳动合同关系。乙方人员发生任何事故或与甲方发生劳动争议等均由乙方自行全权负责，相关费用乙方自行承担，乙方保证甲方在</w:t>
      </w:r>
      <w:r>
        <w:rPr>
          <w:rFonts w:hint="eastAsia" w:ascii="宋体" w:hAnsi="宋体" w:eastAsia="宋体" w:cs="宋体"/>
          <w:sz w:val="24"/>
          <w:szCs w:val="24"/>
          <w:highlight w:val="none"/>
          <w:lang w:eastAsia="zh-CN"/>
        </w:rPr>
        <w:t>乙方</w:t>
      </w:r>
      <w:r>
        <w:rPr>
          <w:rFonts w:hint="eastAsia" w:ascii="宋体" w:hAnsi="宋体" w:eastAsia="宋体" w:cs="宋体"/>
          <w:snapToGrid w:val="0"/>
          <w:kern w:val="0"/>
          <w:sz w:val="24"/>
          <w:szCs w:val="24"/>
          <w:highlight w:val="none"/>
        </w:rPr>
        <w:t>人员索赔时不受任何责任的约束。否则由此给甲方造成的一切损失均由</w:t>
      </w:r>
      <w:r>
        <w:rPr>
          <w:rFonts w:hint="eastAsia" w:ascii="宋体" w:hAnsi="宋体" w:eastAsia="宋体" w:cs="宋体"/>
          <w:sz w:val="24"/>
          <w:szCs w:val="24"/>
          <w:highlight w:val="none"/>
          <w:lang w:eastAsia="zh-CN"/>
        </w:rPr>
        <w:t>乙方</w:t>
      </w:r>
      <w:r>
        <w:rPr>
          <w:rFonts w:hint="eastAsia" w:ascii="宋体" w:hAnsi="宋体" w:eastAsia="宋体" w:cs="宋体"/>
          <w:snapToGrid w:val="0"/>
          <w:kern w:val="0"/>
          <w:sz w:val="24"/>
          <w:szCs w:val="24"/>
          <w:highlight w:val="none"/>
        </w:rPr>
        <w:t>承担。</w:t>
      </w:r>
    </w:p>
    <w:p>
      <w:pPr>
        <w:pStyle w:val="11"/>
        <w:keepNext w:val="0"/>
        <w:keepLines w:val="0"/>
        <w:pageBreakBefore w:val="0"/>
        <w:kinsoku/>
        <w:wordWrap/>
        <w:overflowPunct/>
        <w:topLinePunct w:val="0"/>
        <w:bidi w:val="0"/>
        <w:adjustRightInd/>
        <w:snapToGrid/>
        <w:ind w:firstLine="480" w:firstLineChars="200"/>
        <w:textAlignment w:val="auto"/>
        <w:rPr>
          <w:rFonts w:hint="eastAsia" w:ascii="宋体" w:hAnsi="宋体" w:eastAsia="宋体" w:cs="宋体"/>
          <w:snapToGrid w:val="0"/>
          <w:sz w:val="24"/>
          <w:szCs w:val="24"/>
          <w:highlight w:val="none"/>
          <w:lang w:val="en-US"/>
        </w:rPr>
      </w:pPr>
      <w:r>
        <w:rPr>
          <w:rFonts w:hint="eastAsia" w:ascii="宋体" w:hAnsi="宋体" w:eastAsia="宋体" w:cs="宋体"/>
          <w:snapToGrid w:val="0"/>
          <w:sz w:val="24"/>
          <w:szCs w:val="24"/>
          <w:highlight w:val="none"/>
          <w:lang w:val="en-US"/>
        </w:rPr>
        <w:t>7、要求</w:t>
      </w:r>
      <w:r>
        <w:rPr>
          <w:rFonts w:hint="eastAsia" w:ascii="宋体" w:hAnsi="宋体" w:eastAsia="宋体" w:cs="宋体"/>
          <w:snapToGrid w:val="0"/>
          <w:kern w:val="0"/>
          <w:sz w:val="24"/>
          <w:szCs w:val="24"/>
          <w:highlight w:val="none"/>
        </w:rPr>
        <w:t>乙方</w:t>
      </w:r>
      <w:r>
        <w:rPr>
          <w:rFonts w:hint="eastAsia" w:ascii="宋体" w:hAnsi="宋体" w:eastAsia="宋体" w:cs="宋体"/>
          <w:snapToGrid w:val="0"/>
          <w:sz w:val="24"/>
          <w:szCs w:val="24"/>
          <w:highlight w:val="none"/>
          <w:lang w:val="en-US"/>
        </w:rPr>
        <w:t>提供人员培训计划，具有完整性、规范性、可操作性。要求</w:t>
      </w:r>
      <w:r>
        <w:rPr>
          <w:rFonts w:hint="eastAsia" w:ascii="宋体" w:hAnsi="宋体" w:eastAsia="宋体" w:cs="宋体"/>
          <w:snapToGrid w:val="0"/>
          <w:kern w:val="0"/>
          <w:sz w:val="24"/>
          <w:szCs w:val="24"/>
          <w:highlight w:val="none"/>
        </w:rPr>
        <w:t>乙方</w:t>
      </w:r>
      <w:r>
        <w:rPr>
          <w:rFonts w:hint="eastAsia" w:ascii="宋体" w:hAnsi="宋体" w:eastAsia="宋体" w:cs="宋体"/>
          <w:snapToGrid w:val="0"/>
          <w:sz w:val="24"/>
          <w:szCs w:val="24"/>
          <w:highlight w:val="none"/>
          <w:lang w:val="en-US"/>
        </w:rPr>
        <w:t>具有相关培训资质及相关人员培训基地，提供相关</w:t>
      </w:r>
      <w:r>
        <w:rPr>
          <w:rFonts w:hint="eastAsia" w:hAnsi="宋体" w:eastAsia="宋体" w:cs="宋体"/>
          <w:snapToGrid w:val="0"/>
          <w:sz w:val="24"/>
          <w:szCs w:val="24"/>
          <w:highlight w:val="none"/>
          <w:lang w:val="en-US" w:eastAsia="zh-CN"/>
        </w:rPr>
        <w:t>佐证</w:t>
      </w:r>
      <w:r>
        <w:rPr>
          <w:rFonts w:hint="eastAsia" w:ascii="宋体" w:hAnsi="宋体" w:eastAsia="宋体" w:cs="宋体"/>
          <w:snapToGrid w:val="0"/>
          <w:sz w:val="24"/>
          <w:szCs w:val="24"/>
          <w:highlight w:val="none"/>
          <w:lang w:val="en-US"/>
        </w:rPr>
        <w:t>材料。</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8、乙方工作人员上岗穿着由甲方确认的制服及甲方许可的装饰物品，费用和制作均由乙方负担。</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9、乙方必须出具或办妥法律及</w:t>
      </w:r>
      <w:r>
        <w:rPr>
          <w:rFonts w:hint="eastAsia" w:ascii="宋体" w:hAnsi="宋体" w:eastAsia="宋体" w:cs="宋体"/>
          <w:snapToGrid w:val="0"/>
          <w:kern w:val="0"/>
          <w:sz w:val="24"/>
          <w:szCs w:val="24"/>
          <w:highlight w:val="none"/>
          <w:lang w:eastAsia="zh-CN"/>
        </w:rPr>
        <w:t>甲方</w:t>
      </w:r>
      <w:r>
        <w:rPr>
          <w:rFonts w:hint="eastAsia" w:ascii="宋体" w:hAnsi="宋体" w:eastAsia="宋体" w:cs="宋体"/>
          <w:snapToGrid w:val="0"/>
          <w:kern w:val="0"/>
          <w:sz w:val="24"/>
          <w:szCs w:val="24"/>
          <w:highlight w:val="none"/>
        </w:rPr>
        <w:t>规定的与承包项目经营业务有关的执照和许可证，方可从事经营并在经营中遵守一切有关条例和规定。自行缴纳有关税费。</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10、乙方必须确保为甲方提供优质、高效的专业服务，并根据甲方要求整改不满意的服务状况。接受有关部门监督与检查。同时，乙方自觉积极参加甲方认为有</w:t>
      </w:r>
      <w:r>
        <w:rPr>
          <w:rFonts w:hint="eastAsia" w:ascii="宋体" w:hAnsi="宋体" w:eastAsia="宋体" w:cs="宋体"/>
          <w:snapToGrid w:val="0"/>
          <w:kern w:val="0"/>
          <w:sz w:val="24"/>
          <w:szCs w:val="24"/>
          <w:highlight w:val="none"/>
          <w:lang w:eastAsia="zh-CN"/>
        </w:rPr>
        <w:t>助于</w:t>
      </w:r>
      <w:r>
        <w:rPr>
          <w:rFonts w:hint="eastAsia" w:ascii="宋体" w:hAnsi="宋体" w:eastAsia="宋体" w:cs="宋体"/>
          <w:snapToGrid w:val="0"/>
          <w:kern w:val="0"/>
          <w:sz w:val="24"/>
          <w:szCs w:val="24"/>
          <w:highlight w:val="none"/>
        </w:rPr>
        <w:t>提高甲方形象的宣传活动。</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在承包期内乙方应保证承包区域内的设施、设备良好的运营状况和环境状况，并接受甲方或其授权人员的检查，对由乙方引起或造成设施、设备的损坏状况，甲方将书面通知乙方修复或整改，在书面通知下达一周后，仍未按要求修复或整改完毕，甲方将负责完成这一工作，所需费用全部由乙方承担。甲方有权自行在应支付给乙方的款项中扣除。</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12、意外情况处理：</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以下情况由乙方承担责任：</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由于护理员工作不到位而引起的班组儿童走失、跌倒、坠床、烫伤、噎食、皮肤压疮、火灾等意外，以及其他由于护理人员工作不到位而引起的儿童伤害及可能引发的不良后果。</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若发生其他事故，乙方应及时给予应急帮助，事后分清责任，由责任方承担。</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13、禁止事项</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w:t>
      </w:r>
      <w:r>
        <w:rPr>
          <w:rFonts w:hint="eastAsia" w:ascii="宋体" w:hAnsi="宋体" w:eastAsia="宋体" w:cs="宋体"/>
          <w:sz w:val="24"/>
          <w:szCs w:val="24"/>
          <w:highlight w:val="none"/>
        </w:rPr>
        <w:t>乙方</w:t>
      </w:r>
      <w:r>
        <w:rPr>
          <w:rFonts w:hint="eastAsia" w:ascii="宋体" w:hAnsi="宋体" w:eastAsia="宋体" w:cs="宋体"/>
          <w:snapToGrid w:val="0"/>
          <w:kern w:val="0"/>
          <w:sz w:val="24"/>
          <w:szCs w:val="24"/>
          <w:highlight w:val="none"/>
        </w:rPr>
        <w:t>不得以任何理由向甲方工作人员支付小费或赠送实物，违者将终止合同。</w:t>
      </w:r>
      <w:r>
        <w:rPr>
          <w:rFonts w:hint="eastAsia" w:ascii="宋体" w:hAnsi="宋体" w:eastAsia="宋体" w:cs="宋体"/>
          <w:sz w:val="24"/>
          <w:szCs w:val="24"/>
          <w:highlight w:val="none"/>
        </w:rPr>
        <w:t>乙方</w:t>
      </w:r>
      <w:r>
        <w:rPr>
          <w:rFonts w:hint="eastAsia" w:ascii="宋体" w:hAnsi="宋体" w:eastAsia="宋体" w:cs="宋体"/>
          <w:snapToGrid w:val="0"/>
          <w:kern w:val="0"/>
          <w:sz w:val="24"/>
          <w:szCs w:val="24"/>
          <w:highlight w:val="none"/>
        </w:rPr>
        <w:t>人员也不得以任何形式向甲方工作人员索取小费或钱物等。</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w:t>
      </w:r>
      <w:r>
        <w:rPr>
          <w:rFonts w:hint="eastAsia" w:ascii="宋体" w:hAnsi="宋体" w:eastAsia="宋体" w:cs="宋体"/>
          <w:sz w:val="24"/>
          <w:szCs w:val="24"/>
          <w:highlight w:val="none"/>
        </w:rPr>
        <w:t>乙方</w:t>
      </w:r>
      <w:r>
        <w:rPr>
          <w:rFonts w:hint="eastAsia" w:ascii="宋体" w:hAnsi="宋体" w:eastAsia="宋体" w:cs="宋体"/>
          <w:snapToGrid w:val="0"/>
          <w:kern w:val="0"/>
          <w:sz w:val="24"/>
          <w:szCs w:val="24"/>
          <w:highlight w:val="none"/>
        </w:rPr>
        <w:t>不得在承包项目期间从事非法活动，也不得从事有损甲方利益的活动，同时不允许在承包项目期间对甲方经营活动进行滋扰性的行为，以及其他甲方不允许的行为。</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14、</w:t>
      </w:r>
      <w:r>
        <w:rPr>
          <w:rFonts w:hint="eastAsia" w:ascii="宋体" w:hAnsi="宋体" w:eastAsia="宋体" w:cs="宋体"/>
          <w:b/>
          <w:snapToGrid w:val="0"/>
          <w:kern w:val="0"/>
          <w:sz w:val="24"/>
          <w:szCs w:val="24"/>
          <w:highlight w:val="none"/>
        </w:rPr>
        <w:t>保险</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（1）第三者责任保险</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乙方应对乙方人员以及第三方全权负责</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如乙方应投保第三责任险</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，在乙方的责任区内由于乙方原因导致自己员工或第三方的事故由乙方负责，甲方不承担任何责任。</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（2）员工人身意外</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在承包期内，乙方所有人员的事故由乙方自行全权负责</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如乙方应对其员工投保人身意外险</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，以保证甲方在乙方工作人员索赔时不受任何责任的约束。</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（3）其他保险及费用</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乙方须按《</w:t>
      </w:r>
      <w:r>
        <w:rPr>
          <w:rFonts w:hint="eastAsia" w:ascii="宋体" w:hAnsi="宋体" w:eastAsia="宋体" w:cs="宋体"/>
          <w:snapToGrid w:val="0"/>
          <w:kern w:val="0"/>
          <w:sz w:val="24"/>
          <w:szCs w:val="24"/>
          <w:highlight w:val="none"/>
          <w:lang w:eastAsia="zh-CN"/>
        </w:rPr>
        <w:t>中华人民共和国劳动合同法</w:t>
      </w:r>
      <w:r>
        <w:rPr>
          <w:rFonts w:hint="eastAsia" w:ascii="宋体" w:hAnsi="宋体" w:eastAsia="宋体" w:cs="宋体"/>
          <w:snapToGrid w:val="0"/>
          <w:kern w:val="0"/>
          <w:sz w:val="24"/>
          <w:szCs w:val="24"/>
          <w:highlight w:val="none"/>
        </w:rPr>
        <w:t>》和政府</w:t>
      </w:r>
      <w:r>
        <w:rPr>
          <w:rFonts w:hint="eastAsia" w:ascii="宋体" w:hAnsi="宋体" w:eastAsia="宋体" w:cs="宋体"/>
          <w:snapToGrid w:val="0"/>
          <w:kern w:val="0"/>
          <w:sz w:val="24"/>
          <w:szCs w:val="24"/>
          <w:highlight w:val="none"/>
          <w:lang w:eastAsia="zh-CN"/>
        </w:rPr>
        <w:t>有关</w:t>
      </w:r>
      <w:r>
        <w:rPr>
          <w:rFonts w:hint="eastAsia" w:ascii="宋体" w:hAnsi="宋体" w:eastAsia="宋体" w:cs="宋体"/>
          <w:snapToGrid w:val="0"/>
          <w:kern w:val="0"/>
          <w:sz w:val="24"/>
          <w:szCs w:val="24"/>
          <w:highlight w:val="none"/>
        </w:rPr>
        <w:t>部门规定为全体服务人员</w:t>
      </w:r>
      <w:r>
        <w:rPr>
          <w:rFonts w:hint="eastAsia" w:ascii="宋体" w:hAnsi="宋体" w:eastAsia="宋体" w:cs="宋体"/>
          <w:snapToGrid w:val="0"/>
          <w:kern w:val="0"/>
          <w:sz w:val="24"/>
          <w:szCs w:val="24"/>
          <w:highlight w:val="none"/>
          <w:lang w:eastAsia="zh-CN"/>
        </w:rPr>
        <w:t>缴纳</w:t>
      </w:r>
      <w:r>
        <w:rPr>
          <w:rFonts w:hint="eastAsia" w:ascii="宋体" w:hAnsi="宋体" w:eastAsia="宋体" w:cs="宋体"/>
          <w:snapToGrid w:val="0"/>
          <w:kern w:val="0"/>
          <w:sz w:val="24"/>
          <w:szCs w:val="24"/>
          <w:highlight w:val="none"/>
        </w:rPr>
        <w:t>所有相关的社会保险及其他相关费用。乙方对此全权负责。</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15、遇突发事件或安全检查时，乙方必须配合有关部门执行任务，并指定专职人员协助工作，直至完成。</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w:t>
      </w:r>
      <w:r>
        <w:rPr>
          <w:rFonts w:hint="eastAsia" w:ascii="宋体" w:hAnsi="宋体" w:eastAsia="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rPr>
        <w:t>、乙方须积极配合甲方对其进行的抚育服务综合考评。</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b/>
          <w:snapToGrid w:val="0"/>
          <w:kern w:val="0"/>
          <w:sz w:val="24"/>
          <w:szCs w:val="24"/>
          <w:highlight w:val="none"/>
        </w:rPr>
      </w:pPr>
      <w:r>
        <w:rPr>
          <w:rFonts w:hint="eastAsia" w:ascii="宋体" w:hAnsi="宋体" w:eastAsia="宋体" w:cs="宋体"/>
          <w:b/>
          <w:sz w:val="24"/>
          <w:szCs w:val="24"/>
          <w:highlight w:val="none"/>
        </w:rPr>
        <w:t>六、</w:t>
      </w:r>
      <w:r>
        <w:rPr>
          <w:rFonts w:hint="eastAsia" w:ascii="宋体" w:hAnsi="宋体" w:eastAsia="宋体" w:cs="宋体"/>
          <w:b/>
          <w:snapToGrid w:val="0"/>
          <w:kern w:val="0"/>
          <w:sz w:val="24"/>
          <w:szCs w:val="24"/>
          <w:highlight w:val="none"/>
        </w:rPr>
        <w:t>甲方对乙方作出如下承诺：</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1、甲方在职权范围内保证乙方的正常经营不受干扰。</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napToGrid w:val="0"/>
          <w:kern w:val="0"/>
          <w:sz w:val="24"/>
          <w:szCs w:val="24"/>
          <w:highlight w:val="none"/>
        </w:rPr>
        <w:t>2、保证乙方的员工按规定正常进入承包区域开展服务工作。</w:t>
      </w:r>
    </w:p>
    <w:p>
      <w:pPr>
        <w:keepNext w:val="0"/>
        <w:keepLines w:val="0"/>
        <w:pageBreakBefore w:val="0"/>
        <w:widowControl/>
        <w:kinsoku/>
        <w:wordWrap/>
        <w:overflowPunct/>
        <w:topLinePunct w:val="0"/>
        <w:bidi w:val="0"/>
        <w:adjustRightInd/>
        <w:snapToGrid/>
        <w:spacing w:line="360" w:lineRule="auto"/>
        <w:ind w:firstLine="482" w:firstLineChars="200"/>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七、转包或分包</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1.本合同范围的服务，应由乙方直接提供，不得转让他人；</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2.乙方不得将本合同范围的服务全部或部分分包给他人提供；</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3.如有转让和分包行为，甲方将解除合同，并追究乙方的违约责任。</w:t>
      </w:r>
    </w:p>
    <w:p>
      <w:pPr>
        <w:keepNext w:val="0"/>
        <w:keepLines w:val="0"/>
        <w:pageBreakBefore w:val="0"/>
        <w:widowControl/>
        <w:kinsoku/>
        <w:wordWrap/>
        <w:overflowPunct/>
        <w:topLinePunct w:val="0"/>
        <w:bidi w:val="0"/>
        <w:adjustRightInd/>
        <w:snapToGrid/>
        <w:spacing w:line="360" w:lineRule="auto"/>
        <w:ind w:firstLine="482" w:firstLineChars="200"/>
        <w:jc w:val="left"/>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八、不可抗力事件处理</w:t>
      </w:r>
    </w:p>
    <w:p>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1.在合同有效期内，任何一方因不可抗力事件导致不能履行合同，则合同履行期可延长，其延长期与不可抗力影响期相同。</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2.不可抗力事件发生后，应立即通知对方，并寄送有关权威机构出具的证明。</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3.不可抗力事件延续120天以上，双方应通过友好协商，确定是否继续履行合同。</w:t>
      </w:r>
    </w:p>
    <w:p>
      <w:pPr>
        <w:keepNext w:val="0"/>
        <w:keepLines w:val="0"/>
        <w:pageBreakBefore w:val="0"/>
        <w:widowControl/>
        <w:kinsoku/>
        <w:wordWrap/>
        <w:overflowPunct/>
        <w:topLinePunct w:val="0"/>
        <w:bidi w:val="0"/>
        <w:adjustRightInd/>
        <w:snapToGrid/>
        <w:spacing w:line="360" w:lineRule="auto"/>
        <w:ind w:firstLine="482" w:firstLineChars="200"/>
        <w:jc w:val="left"/>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九、诉讼</w:t>
      </w:r>
    </w:p>
    <w:p>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本合同项目所在地为义乌市，本合同发生争议产生的诉讼，可向项目所在地有管辖权的法院提起诉讼。</w:t>
      </w:r>
    </w:p>
    <w:p>
      <w:pPr>
        <w:keepNext w:val="0"/>
        <w:keepLines w:val="0"/>
        <w:pageBreakBefore w:val="0"/>
        <w:widowControl/>
        <w:kinsoku/>
        <w:wordWrap/>
        <w:overflowPunct/>
        <w:topLinePunct w:val="0"/>
        <w:bidi w:val="0"/>
        <w:adjustRightInd/>
        <w:snapToGrid/>
        <w:spacing w:line="360" w:lineRule="auto"/>
        <w:ind w:firstLine="482" w:firstLineChars="200"/>
        <w:jc w:val="left"/>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十、合同双方确认，本合同及合同约定的</w:t>
      </w:r>
      <w:r>
        <w:rPr>
          <w:rFonts w:hint="eastAsia" w:ascii="宋体" w:hAnsi="宋体" w:eastAsia="宋体" w:cs="宋体"/>
          <w:b/>
          <w:kern w:val="0"/>
          <w:sz w:val="24"/>
          <w:szCs w:val="24"/>
          <w:highlight w:val="none"/>
          <w:lang w:eastAsia="zh-CN"/>
        </w:rPr>
        <w:t>其他</w:t>
      </w:r>
      <w:r>
        <w:rPr>
          <w:rFonts w:hint="eastAsia" w:ascii="宋体" w:hAnsi="宋体" w:eastAsia="宋体" w:cs="宋体"/>
          <w:b/>
          <w:kern w:val="0"/>
          <w:sz w:val="24"/>
          <w:szCs w:val="24"/>
          <w:highlight w:val="none"/>
        </w:rPr>
        <w:t>文件组成部分中的各项约定都是通过法定招标过程形成的合法成果，如果</w:t>
      </w:r>
      <w:r>
        <w:rPr>
          <w:rFonts w:hint="eastAsia" w:ascii="宋体" w:hAnsi="宋体" w:eastAsia="宋体" w:cs="宋体"/>
          <w:b/>
          <w:kern w:val="0"/>
          <w:sz w:val="24"/>
          <w:szCs w:val="24"/>
          <w:highlight w:val="none"/>
          <w:lang w:eastAsia="zh-CN"/>
        </w:rPr>
        <w:t>乙方</w:t>
      </w:r>
      <w:r>
        <w:rPr>
          <w:rFonts w:hint="eastAsia" w:ascii="宋体" w:hAnsi="宋体" w:eastAsia="宋体" w:cs="宋体"/>
          <w:b/>
          <w:kern w:val="0"/>
          <w:sz w:val="24"/>
          <w:szCs w:val="24"/>
          <w:highlight w:val="none"/>
        </w:rPr>
        <w:t>的投标文件与招标文件要求不一致的，履约时应以有利于</w:t>
      </w:r>
      <w:r>
        <w:rPr>
          <w:rFonts w:hint="eastAsia" w:ascii="宋体" w:hAnsi="宋体" w:eastAsia="宋体" w:cs="宋体"/>
          <w:b/>
          <w:kern w:val="0"/>
          <w:sz w:val="24"/>
          <w:szCs w:val="24"/>
          <w:highlight w:val="none"/>
          <w:lang w:eastAsia="zh-CN"/>
        </w:rPr>
        <w:t>甲方</w:t>
      </w:r>
      <w:r>
        <w:rPr>
          <w:rFonts w:hint="eastAsia" w:ascii="宋体" w:hAnsi="宋体" w:eastAsia="宋体" w:cs="宋体"/>
          <w:b/>
          <w:kern w:val="0"/>
          <w:sz w:val="24"/>
          <w:szCs w:val="24"/>
          <w:highlight w:val="none"/>
        </w:rPr>
        <w:t>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keepNext w:val="0"/>
        <w:keepLines w:val="0"/>
        <w:pageBreakBefore w:val="0"/>
        <w:widowControl/>
        <w:kinsoku/>
        <w:wordWrap/>
        <w:overflowPunct/>
        <w:topLinePunct w:val="0"/>
        <w:bidi w:val="0"/>
        <w:adjustRightInd/>
        <w:snapToGrid/>
        <w:spacing w:line="360" w:lineRule="auto"/>
        <w:ind w:firstLine="482" w:firstLineChars="200"/>
        <w:jc w:val="left"/>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十一、合同生效及其</w:t>
      </w:r>
      <w:r>
        <w:rPr>
          <w:rFonts w:hint="eastAsia" w:ascii="宋体" w:hAnsi="宋体" w:eastAsia="宋体" w:cs="宋体"/>
          <w:b/>
          <w:kern w:val="0"/>
          <w:sz w:val="24"/>
          <w:szCs w:val="24"/>
          <w:highlight w:val="none"/>
          <w:lang w:eastAsia="zh-CN"/>
        </w:rPr>
        <w:t>他</w:t>
      </w:r>
    </w:p>
    <w:p>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1.合同经双方法定代表人或授权代表签字并加盖单位公章后生效。</w:t>
      </w:r>
    </w:p>
    <w:p>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2.本合同未尽事宜，遵照招标文件、中标人的投标文件、评标过程中投标人在询标时作出的承诺及其澄清文件等，及《中华人民共和国民法典》有关条文执行。</w:t>
      </w:r>
    </w:p>
    <w:p>
      <w:pPr>
        <w:keepNext w:val="0"/>
        <w:keepLines w:val="0"/>
        <w:pageBreakBefore w:val="0"/>
        <w:widowControl/>
        <w:kinsoku/>
        <w:wordWrap/>
        <w:overflowPunct/>
        <w:topLinePunct w:val="0"/>
        <w:bidi w:val="0"/>
        <w:adjustRightInd/>
        <w:snapToGrid/>
        <w:spacing w:line="360" w:lineRule="auto"/>
        <w:ind w:firstLine="482"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b/>
          <w:bCs/>
          <w:color w:val="333333"/>
          <w:kern w:val="0"/>
          <w:sz w:val="24"/>
          <w:szCs w:val="24"/>
          <w:highlight w:val="none"/>
        </w:rPr>
        <w:t>十二、</w:t>
      </w:r>
      <w:r>
        <w:rPr>
          <w:rFonts w:hint="eastAsia" w:ascii="宋体" w:hAnsi="宋体" w:eastAsia="宋体" w:cs="宋体"/>
          <w:b/>
          <w:bCs/>
          <w:kern w:val="0"/>
          <w:sz w:val="24"/>
          <w:szCs w:val="24"/>
          <w:highlight w:val="none"/>
        </w:rPr>
        <w:t>本合同一式</w:t>
      </w:r>
      <w:r>
        <w:rPr>
          <w:rFonts w:hint="eastAsia" w:ascii="宋体" w:hAnsi="宋体" w:eastAsia="宋体" w:cs="宋体"/>
          <w:b/>
          <w:bCs/>
          <w:kern w:val="0"/>
          <w:sz w:val="24"/>
          <w:szCs w:val="24"/>
          <w:highlight w:val="none"/>
          <w:u w:val="single"/>
          <w:lang w:val="en-US" w:eastAsia="zh-CN"/>
        </w:rPr>
        <w:t xml:space="preserve">      </w:t>
      </w:r>
      <w:r>
        <w:rPr>
          <w:rFonts w:hint="eastAsia" w:ascii="宋体" w:hAnsi="宋体" w:eastAsia="宋体" w:cs="宋体"/>
          <w:b/>
          <w:bCs/>
          <w:kern w:val="0"/>
          <w:sz w:val="24"/>
          <w:szCs w:val="24"/>
          <w:highlight w:val="none"/>
        </w:rPr>
        <w:t>份，甲方执</w:t>
      </w:r>
      <w:r>
        <w:rPr>
          <w:rFonts w:hint="eastAsia" w:ascii="宋体" w:hAnsi="宋体" w:eastAsia="宋体" w:cs="宋体"/>
          <w:b/>
          <w:bCs/>
          <w:kern w:val="0"/>
          <w:sz w:val="24"/>
          <w:szCs w:val="24"/>
          <w:highlight w:val="none"/>
          <w:u w:val="single"/>
          <w:lang w:val="en-US" w:eastAsia="zh-CN"/>
        </w:rPr>
        <w:t xml:space="preserve">   </w:t>
      </w:r>
      <w:r>
        <w:rPr>
          <w:rFonts w:hint="eastAsia" w:ascii="宋体" w:hAnsi="宋体" w:eastAsia="宋体" w:cs="宋体"/>
          <w:b/>
          <w:bCs/>
          <w:kern w:val="0"/>
          <w:sz w:val="24"/>
          <w:szCs w:val="24"/>
          <w:highlight w:val="none"/>
        </w:rPr>
        <w:t>份，乙方执</w:t>
      </w:r>
      <w:r>
        <w:rPr>
          <w:rFonts w:hint="eastAsia" w:ascii="宋体" w:hAnsi="宋体" w:eastAsia="宋体" w:cs="宋体"/>
          <w:b/>
          <w:bCs/>
          <w:kern w:val="0"/>
          <w:sz w:val="24"/>
          <w:szCs w:val="24"/>
          <w:highlight w:val="none"/>
          <w:u w:val="single"/>
          <w:lang w:val="en-US" w:eastAsia="zh-CN"/>
        </w:rPr>
        <w:t xml:space="preserve">      </w:t>
      </w:r>
      <w:r>
        <w:rPr>
          <w:rFonts w:hint="eastAsia" w:ascii="宋体" w:hAnsi="宋体" w:eastAsia="宋体" w:cs="宋体"/>
          <w:b/>
          <w:bCs/>
          <w:kern w:val="0"/>
          <w:sz w:val="24"/>
          <w:szCs w:val="24"/>
          <w:highlight w:val="none"/>
        </w:rPr>
        <w:t>份，浙江开平企业管理咨询有限公司执一份，义乌市财政局一份，均</w:t>
      </w:r>
      <w:r>
        <w:rPr>
          <w:rFonts w:hint="eastAsia" w:ascii="宋体" w:hAnsi="宋体" w:eastAsia="宋体" w:cs="宋体"/>
          <w:b/>
          <w:bCs/>
          <w:kern w:val="0"/>
          <w:sz w:val="24"/>
          <w:szCs w:val="24"/>
          <w:highlight w:val="none"/>
          <w:lang w:eastAsia="zh-CN"/>
        </w:rPr>
        <w:t>具有</w:t>
      </w:r>
      <w:r>
        <w:rPr>
          <w:rFonts w:hint="eastAsia" w:ascii="宋体" w:hAnsi="宋体" w:eastAsia="宋体" w:cs="宋体"/>
          <w:b/>
          <w:bCs/>
          <w:kern w:val="0"/>
          <w:sz w:val="24"/>
          <w:szCs w:val="24"/>
          <w:highlight w:val="none"/>
        </w:rPr>
        <w:t>同等效力。</w:t>
      </w:r>
    </w:p>
    <w:p>
      <w:pPr>
        <w:widowControl/>
        <w:spacing w:line="360" w:lineRule="auto"/>
        <w:ind w:firstLine="240" w:firstLineChars="100"/>
        <w:jc w:val="left"/>
        <w:rPr>
          <w:kern w:val="0"/>
          <w:sz w:val="24"/>
          <w:highlight w:val="none"/>
        </w:rPr>
      </w:pPr>
      <w:r>
        <w:rPr>
          <w:rFonts w:hint="eastAsia"/>
          <w:kern w:val="0"/>
          <w:sz w:val="24"/>
          <w:highlight w:val="none"/>
        </w:rPr>
        <w:t>甲</w:t>
      </w:r>
      <w:r>
        <w:rPr>
          <w:kern w:val="0"/>
          <w:sz w:val="24"/>
          <w:highlight w:val="none"/>
        </w:rPr>
        <w:t xml:space="preserve">    方：____________________</w:t>
      </w:r>
      <w:r>
        <w:rPr>
          <w:rFonts w:hint="eastAsia"/>
          <w:kern w:val="0"/>
          <w:sz w:val="24"/>
          <w:highlight w:val="none"/>
        </w:rPr>
        <w:t>乙</w:t>
      </w:r>
      <w:r>
        <w:rPr>
          <w:kern w:val="0"/>
          <w:sz w:val="24"/>
          <w:highlight w:val="none"/>
        </w:rPr>
        <w:t xml:space="preserve">    方：________________________</w:t>
      </w:r>
    </w:p>
    <w:p>
      <w:pPr>
        <w:widowControl/>
        <w:spacing w:line="360" w:lineRule="auto"/>
        <w:ind w:firstLine="240" w:firstLineChars="100"/>
        <w:jc w:val="left"/>
        <w:rPr>
          <w:kern w:val="0"/>
          <w:sz w:val="24"/>
          <w:highlight w:val="none"/>
        </w:rPr>
      </w:pPr>
      <w:r>
        <w:rPr>
          <w:kern w:val="0"/>
          <w:sz w:val="24"/>
          <w:highlight w:val="none"/>
        </w:rPr>
        <w:t>地    址：____________________地    址：________________________</w:t>
      </w:r>
    </w:p>
    <w:p>
      <w:pPr>
        <w:widowControl/>
        <w:spacing w:line="360" w:lineRule="auto"/>
        <w:ind w:firstLine="240" w:firstLineChars="100"/>
        <w:jc w:val="left"/>
        <w:rPr>
          <w:kern w:val="0"/>
          <w:sz w:val="24"/>
          <w:highlight w:val="none"/>
        </w:rPr>
      </w:pPr>
      <w:r>
        <w:rPr>
          <w:kern w:val="0"/>
          <w:sz w:val="24"/>
          <w:highlight w:val="none"/>
        </w:rPr>
        <w:t>法定代表人：</w:t>
      </w:r>
      <w:r>
        <w:rPr>
          <w:kern w:val="0"/>
          <w:sz w:val="24"/>
          <w:highlight w:val="none"/>
          <w:u w:val="single"/>
        </w:rPr>
        <w:t xml:space="preserve">_________________ </w:t>
      </w:r>
      <w:r>
        <w:rPr>
          <w:kern w:val="0"/>
          <w:sz w:val="24"/>
          <w:highlight w:val="none"/>
        </w:rPr>
        <w:t>法定代表人：______________________</w:t>
      </w:r>
    </w:p>
    <w:p>
      <w:pPr>
        <w:widowControl/>
        <w:spacing w:line="360" w:lineRule="auto"/>
        <w:ind w:firstLine="240" w:firstLineChars="100"/>
        <w:jc w:val="left"/>
        <w:rPr>
          <w:kern w:val="0"/>
          <w:sz w:val="24"/>
          <w:highlight w:val="none"/>
        </w:rPr>
      </w:pPr>
      <w:r>
        <w:rPr>
          <w:kern w:val="0"/>
          <w:sz w:val="24"/>
          <w:highlight w:val="none"/>
        </w:rPr>
        <w:t>授权代表：___________________ 授权代表：____________________</w:t>
      </w:r>
    </w:p>
    <w:p>
      <w:pPr>
        <w:widowControl/>
        <w:spacing w:line="360" w:lineRule="auto"/>
        <w:ind w:firstLine="240" w:firstLineChars="100"/>
        <w:jc w:val="left"/>
        <w:rPr>
          <w:kern w:val="0"/>
          <w:sz w:val="24"/>
          <w:highlight w:val="none"/>
        </w:rPr>
      </w:pPr>
      <w:r>
        <w:rPr>
          <w:kern w:val="0"/>
          <w:sz w:val="24"/>
          <w:highlight w:val="none"/>
        </w:rPr>
        <w:t>电    话：____________________电    话：________________________</w:t>
      </w:r>
    </w:p>
    <w:p>
      <w:pPr>
        <w:widowControl/>
        <w:spacing w:line="360" w:lineRule="auto"/>
        <w:ind w:firstLine="240" w:firstLineChars="100"/>
        <w:jc w:val="left"/>
        <w:rPr>
          <w:kern w:val="0"/>
          <w:sz w:val="24"/>
          <w:highlight w:val="none"/>
        </w:rPr>
      </w:pPr>
      <w:r>
        <w:rPr>
          <w:rFonts w:hint="eastAsia"/>
          <w:kern w:val="0"/>
          <w:sz w:val="24"/>
          <w:highlight w:val="none"/>
        </w:rPr>
        <w:t>账</w:t>
      </w:r>
      <w:r>
        <w:rPr>
          <w:kern w:val="0"/>
          <w:sz w:val="24"/>
          <w:highlight w:val="none"/>
        </w:rPr>
        <w:t>户名称：____________________</w:t>
      </w:r>
      <w:r>
        <w:rPr>
          <w:rFonts w:hint="eastAsia"/>
          <w:kern w:val="0"/>
          <w:sz w:val="24"/>
          <w:highlight w:val="none"/>
        </w:rPr>
        <w:t>账</w:t>
      </w:r>
      <w:r>
        <w:rPr>
          <w:kern w:val="0"/>
          <w:sz w:val="24"/>
          <w:highlight w:val="none"/>
        </w:rPr>
        <w:t>户名称：________________________</w:t>
      </w:r>
    </w:p>
    <w:p>
      <w:pPr>
        <w:widowControl/>
        <w:spacing w:line="360" w:lineRule="auto"/>
        <w:ind w:firstLine="240" w:firstLineChars="100"/>
        <w:jc w:val="left"/>
        <w:rPr>
          <w:kern w:val="0"/>
          <w:sz w:val="24"/>
          <w:highlight w:val="none"/>
        </w:rPr>
      </w:pPr>
      <w:r>
        <w:rPr>
          <w:kern w:val="0"/>
          <w:sz w:val="24"/>
          <w:highlight w:val="none"/>
        </w:rPr>
        <w:t>开户银行：____________________开户银行：________________________</w:t>
      </w:r>
    </w:p>
    <w:p>
      <w:pPr>
        <w:widowControl/>
        <w:spacing w:line="360" w:lineRule="auto"/>
        <w:ind w:firstLine="240" w:firstLineChars="100"/>
        <w:jc w:val="left"/>
        <w:rPr>
          <w:kern w:val="0"/>
          <w:sz w:val="24"/>
          <w:highlight w:val="none"/>
        </w:rPr>
      </w:pPr>
      <w:r>
        <w:rPr>
          <w:rFonts w:hint="eastAsia"/>
          <w:kern w:val="0"/>
          <w:sz w:val="24"/>
          <w:highlight w:val="none"/>
        </w:rPr>
        <w:t>账</w:t>
      </w:r>
      <w:r>
        <w:rPr>
          <w:kern w:val="0"/>
          <w:sz w:val="24"/>
          <w:highlight w:val="none"/>
        </w:rPr>
        <w:t xml:space="preserve">    号：____________________</w:t>
      </w:r>
      <w:r>
        <w:rPr>
          <w:rFonts w:hint="eastAsia"/>
          <w:kern w:val="0"/>
          <w:sz w:val="24"/>
          <w:highlight w:val="none"/>
        </w:rPr>
        <w:t>账</w:t>
      </w:r>
      <w:r>
        <w:rPr>
          <w:kern w:val="0"/>
          <w:sz w:val="24"/>
          <w:highlight w:val="none"/>
        </w:rPr>
        <w:t xml:space="preserve">    号：________________________</w:t>
      </w:r>
    </w:p>
    <w:p>
      <w:pPr>
        <w:widowControl/>
        <w:spacing w:line="360" w:lineRule="auto"/>
        <w:ind w:firstLine="240" w:firstLineChars="100"/>
        <w:jc w:val="left"/>
        <w:rPr>
          <w:b/>
          <w:bCs/>
          <w:sz w:val="32"/>
          <w:szCs w:val="32"/>
          <w:highlight w:val="none"/>
        </w:rPr>
      </w:pPr>
      <w:r>
        <w:rPr>
          <w:kern w:val="0"/>
          <w:sz w:val="24"/>
          <w:highlight w:val="none"/>
        </w:rPr>
        <w:t>签约时间：____________________签约地点：</w:t>
      </w:r>
    </w:p>
    <w:p>
      <w:pPr>
        <w:widowControl/>
        <w:spacing w:line="360" w:lineRule="auto"/>
        <w:ind w:firstLine="240" w:firstLineChars="100"/>
        <w:jc w:val="left"/>
        <w:rPr>
          <w:rFonts w:ascii="Times New Roman" w:hAnsi="Times New Roman" w:eastAsia="宋体" w:cs="Times New Roman"/>
          <w:kern w:val="0"/>
          <w:sz w:val="24"/>
          <w:highlight w:val="none"/>
        </w:rPr>
      </w:pPr>
    </w:p>
    <w:p>
      <w:pPr>
        <w:rPr>
          <w:rFonts w:ascii="Times New Roman" w:hAnsi="Times New Roman" w:eastAsia="宋体" w:cs="Times New Roman"/>
          <w:bCs/>
          <w:sz w:val="36"/>
          <w:szCs w:val="36"/>
          <w:highlight w:val="none"/>
        </w:rPr>
      </w:pPr>
      <w:r>
        <w:rPr>
          <w:rFonts w:ascii="Times New Roman" w:hAnsi="Times New Roman" w:eastAsia="宋体" w:cs="Times New Roman"/>
          <w:bCs/>
          <w:sz w:val="36"/>
          <w:szCs w:val="36"/>
          <w:highlight w:val="none"/>
        </w:rPr>
        <w:br w:type="page"/>
      </w:r>
    </w:p>
    <w:p>
      <w:pPr>
        <w:widowControl/>
        <w:spacing w:line="360" w:lineRule="auto"/>
        <w:jc w:val="center"/>
        <w:outlineLvl w:val="0"/>
        <w:rPr>
          <w:rFonts w:ascii="Times New Roman" w:hAnsi="Times New Roman" w:eastAsia="宋体" w:cs="Times New Roman"/>
          <w:bCs/>
          <w:sz w:val="36"/>
          <w:szCs w:val="36"/>
          <w:highlight w:val="none"/>
        </w:rPr>
      </w:pPr>
      <w:r>
        <w:rPr>
          <w:rFonts w:ascii="Times New Roman" w:hAnsi="Times New Roman" w:eastAsia="宋体" w:cs="Times New Roman"/>
          <w:b/>
          <w:sz w:val="36"/>
          <w:szCs w:val="36"/>
          <w:highlight w:val="none"/>
        </w:rPr>
        <w:t>第八章  投标文件部分格式</w:t>
      </w:r>
      <w:bookmarkEnd w:id="22"/>
      <w:bookmarkEnd w:id="23"/>
      <w:bookmarkEnd w:id="24"/>
      <w:bookmarkEnd w:id="25"/>
      <w:bookmarkEnd w:id="26"/>
      <w:bookmarkEnd w:id="27"/>
    </w:p>
    <w:p>
      <w:pPr>
        <w:pStyle w:val="16"/>
        <w:spacing w:beforeLines="50" w:afterLines="50" w:line="600" w:lineRule="exact"/>
        <w:rPr>
          <w:color w:val="000000"/>
          <w:highlight w:val="none"/>
        </w:rPr>
      </w:pPr>
      <w:r>
        <w:rPr>
          <w:color w:val="000000"/>
          <w:highlight w:val="none"/>
        </w:rPr>
        <w:t>一、</w:t>
      </w:r>
      <w:r>
        <w:rPr>
          <w:b/>
          <w:szCs w:val="21"/>
          <w:highlight w:val="none"/>
        </w:rPr>
        <w:t>资格响应文件</w:t>
      </w:r>
      <w:r>
        <w:rPr>
          <w:color w:val="000000"/>
          <w:highlight w:val="none"/>
        </w:rPr>
        <w:t>部分格式：</w:t>
      </w:r>
    </w:p>
    <w:p>
      <w:pPr>
        <w:tabs>
          <w:tab w:val="left" w:pos="1050"/>
        </w:tabs>
        <w:snapToGrid w:val="0"/>
        <w:spacing w:line="520" w:lineRule="exact"/>
        <w:ind w:left="528"/>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1、营业执照复印件；</w:t>
      </w:r>
    </w:p>
    <w:p>
      <w:pPr>
        <w:tabs>
          <w:tab w:val="left" w:pos="1050"/>
        </w:tabs>
        <w:snapToGrid w:val="0"/>
        <w:spacing w:line="520" w:lineRule="exact"/>
        <w:ind w:left="528"/>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2</w:t>
      </w:r>
      <w:r>
        <w:rPr>
          <w:rFonts w:ascii="Times New Roman" w:hAnsi="Times New Roman" w:eastAsia="宋体" w:cs="Times New Roman"/>
          <w:sz w:val="24"/>
          <w:highlight w:val="none"/>
        </w:rPr>
        <w:t>、法定代表人资格书（格式）</w:t>
      </w:r>
    </w:p>
    <w:p>
      <w:pPr>
        <w:tabs>
          <w:tab w:val="left" w:pos="1050"/>
        </w:tabs>
        <w:snapToGrid w:val="0"/>
        <w:spacing w:line="520" w:lineRule="exact"/>
        <w:ind w:left="528"/>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3</w:t>
      </w:r>
      <w:r>
        <w:rPr>
          <w:rFonts w:ascii="Times New Roman" w:hAnsi="Times New Roman" w:eastAsia="宋体" w:cs="Times New Roman"/>
          <w:sz w:val="24"/>
          <w:highlight w:val="none"/>
        </w:rPr>
        <w:t>、法定代表人授权书（格式）</w:t>
      </w:r>
    </w:p>
    <w:p>
      <w:pPr>
        <w:tabs>
          <w:tab w:val="left" w:pos="1050"/>
        </w:tabs>
        <w:snapToGrid w:val="0"/>
        <w:spacing w:line="520" w:lineRule="exact"/>
        <w:ind w:left="528"/>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4</w:t>
      </w:r>
      <w:r>
        <w:rPr>
          <w:rFonts w:ascii="Times New Roman" w:hAnsi="Times New Roman" w:eastAsia="宋体" w:cs="Times New Roman"/>
          <w:sz w:val="24"/>
          <w:highlight w:val="none"/>
        </w:rPr>
        <w:t>、中小企业声明函</w:t>
      </w:r>
    </w:p>
    <w:p>
      <w:pPr>
        <w:tabs>
          <w:tab w:val="left" w:pos="1050"/>
        </w:tabs>
        <w:snapToGrid w:val="0"/>
        <w:spacing w:line="520" w:lineRule="exact"/>
        <w:ind w:left="528"/>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5</w:t>
      </w:r>
      <w:r>
        <w:rPr>
          <w:rFonts w:ascii="Times New Roman" w:hAnsi="Times New Roman" w:eastAsia="宋体" w:cs="Times New Roman"/>
          <w:sz w:val="24"/>
          <w:highlight w:val="none"/>
        </w:rPr>
        <w:t>、监狱企业声明函</w:t>
      </w:r>
    </w:p>
    <w:p>
      <w:pPr>
        <w:tabs>
          <w:tab w:val="left" w:pos="1050"/>
        </w:tabs>
        <w:snapToGrid w:val="0"/>
        <w:spacing w:line="520" w:lineRule="exact"/>
        <w:ind w:left="528"/>
        <w:rPr>
          <w:highlight w:val="none"/>
        </w:rPr>
      </w:pPr>
      <w:r>
        <w:rPr>
          <w:rFonts w:hint="eastAsia" w:ascii="Times New Roman" w:hAnsi="Times New Roman" w:eastAsia="宋体" w:cs="Times New Roman"/>
          <w:sz w:val="24"/>
          <w:highlight w:val="none"/>
        </w:rPr>
        <w:t>6</w:t>
      </w:r>
      <w:r>
        <w:rPr>
          <w:rFonts w:ascii="Times New Roman" w:hAnsi="Times New Roman" w:eastAsia="宋体" w:cs="Times New Roman"/>
          <w:sz w:val="24"/>
          <w:highlight w:val="none"/>
        </w:rPr>
        <w:t>、残疾人福利性单位声明函</w:t>
      </w:r>
    </w:p>
    <w:p>
      <w:pPr>
        <w:tabs>
          <w:tab w:val="left" w:pos="1050"/>
        </w:tabs>
        <w:snapToGrid w:val="0"/>
        <w:spacing w:line="520" w:lineRule="exact"/>
        <w:ind w:left="528"/>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7、</w:t>
      </w:r>
      <w:r>
        <w:rPr>
          <w:rFonts w:ascii="Times New Roman" w:hAnsi="Times New Roman" w:eastAsia="宋体" w:cs="Times New Roman"/>
          <w:sz w:val="24"/>
          <w:highlight w:val="none"/>
        </w:rPr>
        <w:t>提供采购公告中符合投标人特定条件要求的有效的其他资质复印件及需要说明的资料。</w:t>
      </w:r>
    </w:p>
    <w:p>
      <w:pPr>
        <w:pStyle w:val="21"/>
        <w:rPr>
          <w:rFonts w:ascii="Times New Roman" w:hAnsi="Times New Roman" w:cs="Times New Roman"/>
          <w:highlight w:val="none"/>
        </w:rPr>
      </w:pPr>
    </w:p>
    <w:p>
      <w:pPr>
        <w:tabs>
          <w:tab w:val="left" w:pos="1050"/>
        </w:tabs>
        <w:snapToGrid w:val="0"/>
        <w:spacing w:line="520" w:lineRule="exact"/>
        <w:rPr>
          <w:rFonts w:ascii="Times New Roman" w:hAnsi="Times New Roman" w:eastAsia="宋体" w:cs="Times New Roman"/>
          <w:sz w:val="24"/>
          <w:highlight w:val="none"/>
        </w:rPr>
      </w:pPr>
      <w:r>
        <w:rPr>
          <w:rFonts w:ascii="Times New Roman" w:hAnsi="Times New Roman" w:eastAsia="宋体" w:cs="Times New Roman"/>
          <w:color w:val="000000"/>
          <w:sz w:val="24"/>
          <w:szCs w:val="24"/>
          <w:highlight w:val="none"/>
        </w:rPr>
        <w:t>二、</w:t>
      </w:r>
      <w:r>
        <w:rPr>
          <w:rFonts w:ascii="Times New Roman" w:hAnsi="Times New Roman" w:eastAsia="宋体" w:cs="Times New Roman"/>
          <w:b/>
          <w:sz w:val="24"/>
          <w:szCs w:val="24"/>
          <w:highlight w:val="none"/>
        </w:rPr>
        <w:t>商务技术响应文件</w:t>
      </w:r>
      <w:r>
        <w:rPr>
          <w:rFonts w:ascii="Times New Roman" w:hAnsi="Times New Roman" w:eastAsia="宋体" w:cs="Times New Roman"/>
          <w:color w:val="000000"/>
          <w:sz w:val="24"/>
          <w:szCs w:val="24"/>
          <w:highlight w:val="none"/>
        </w:rPr>
        <w:t>部分格式：</w:t>
      </w:r>
    </w:p>
    <w:p>
      <w:pPr>
        <w:tabs>
          <w:tab w:val="left" w:pos="1050"/>
        </w:tabs>
        <w:spacing w:line="520" w:lineRule="exact"/>
        <w:ind w:left="195" w:leftChars="93"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1、企业基本情况表</w:t>
      </w:r>
    </w:p>
    <w:p>
      <w:pPr>
        <w:pStyle w:val="21"/>
        <w:spacing w:after="0" w:line="520" w:lineRule="exact"/>
        <w:ind w:left="195" w:leftChars="93" w:firstLine="48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2、项目实施方案</w:t>
      </w:r>
    </w:p>
    <w:p>
      <w:pPr>
        <w:spacing w:line="520" w:lineRule="exact"/>
        <w:ind w:left="195" w:leftChars="93" w:firstLine="48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3、相关业绩一览表</w:t>
      </w:r>
    </w:p>
    <w:p>
      <w:pPr>
        <w:pStyle w:val="21"/>
        <w:spacing w:after="0" w:line="520" w:lineRule="exact"/>
        <w:ind w:left="0" w:leftChars="0" w:firstLine="720" w:firstLineChars="3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4、拟派服务团队人员情况表</w:t>
      </w:r>
    </w:p>
    <w:p>
      <w:pPr>
        <w:spacing w:line="520" w:lineRule="exact"/>
        <w:ind w:left="195" w:leftChars="93"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5、质量和售后服务承诺书</w:t>
      </w:r>
    </w:p>
    <w:p>
      <w:pPr>
        <w:tabs>
          <w:tab w:val="left" w:pos="1050"/>
        </w:tabs>
        <w:spacing w:line="520" w:lineRule="exact"/>
        <w:ind w:left="195" w:leftChars="93"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6、义乌市政府采购项目投标承诺书</w:t>
      </w:r>
    </w:p>
    <w:p>
      <w:pPr>
        <w:pStyle w:val="16"/>
        <w:spacing w:beforeLines="50" w:afterLines="50" w:line="600" w:lineRule="exact"/>
        <w:rPr>
          <w:color w:val="000000"/>
          <w:highlight w:val="none"/>
        </w:rPr>
      </w:pPr>
      <w:r>
        <w:rPr>
          <w:color w:val="000000"/>
          <w:highlight w:val="none"/>
        </w:rPr>
        <w:t>三、</w:t>
      </w:r>
      <w:r>
        <w:rPr>
          <w:b/>
          <w:szCs w:val="21"/>
          <w:highlight w:val="none"/>
        </w:rPr>
        <w:t>报价响应文件</w:t>
      </w:r>
      <w:r>
        <w:rPr>
          <w:color w:val="000000"/>
          <w:highlight w:val="none"/>
        </w:rPr>
        <w:t>部分格式：</w:t>
      </w:r>
    </w:p>
    <w:p>
      <w:pPr>
        <w:tabs>
          <w:tab w:val="left" w:pos="1080"/>
        </w:tabs>
        <w:spacing w:line="520" w:lineRule="exact"/>
        <w:ind w:left="528" w:firstLine="240" w:firstLineChars="1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开标一览表</w:t>
      </w:r>
    </w:p>
    <w:p>
      <w:pPr>
        <w:widowControl/>
        <w:tabs>
          <w:tab w:val="left" w:pos="0"/>
        </w:tabs>
        <w:snapToGrid w:val="0"/>
        <w:spacing w:line="360" w:lineRule="auto"/>
        <w:ind w:firstLine="480"/>
        <w:jc w:val="left"/>
        <w:rPr>
          <w:rFonts w:ascii="Times New Roman" w:hAnsi="Times New Roman" w:eastAsia="宋体" w:cs="Times New Roman"/>
          <w:b/>
          <w:bCs/>
          <w:sz w:val="28"/>
          <w:highlight w:val="none"/>
        </w:rPr>
      </w:pPr>
    </w:p>
    <w:p>
      <w:pPr>
        <w:widowControl/>
        <w:tabs>
          <w:tab w:val="left" w:pos="0"/>
        </w:tabs>
        <w:snapToGrid w:val="0"/>
        <w:spacing w:line="360" w:lineRule="auto"/>
        <w:ind w:firstLine="480"/>
        <w:jc w:val="left"/>
        <w:rPr>
          <w:rFonts w:ascii="Times New Roman" w:hAnsi="Times New Roman" w:eastAsia="宋体" w:cs="Times New Roman"/>
          <w:b/>
          <w:bCs/>
          <w:kern w:val="0"/>
          <w:sz w:val="32"/>
          <w:szCs w:val="32"/>
          <w:highlight w:val="none"/>
        </w:rPr>
      </w:pPr>
      <w:r>
        <w:rPr>
          <w:rFonts w:ascii="Times New Roman" w:hAnsi="Times New Roman" w:eastAsia="宋体" w:cs="Times New Roman"/>
          <w:b/>
          <w:bCs/>
          <w:sz w:val="28"/>
          <w:highlight w:val="none"/>
        </w:rPr>
        <w:br w:type="page"/>
      </w:r>
    </w:p>
    <w:p>
      <w:pPr>
        <w:pageBreakBefore w:val="0"/>
        <w:kinsoku/>
        <w:wordWrap w:val="0"/>
        <w:topLinePunct w:val="0"/>
        <w:bidi w:val="0"/>
        <w:snapToGrid/>
        <w:spacing w:line="360" w:lineRule="auto"/>
        <w:outlineLvl w:val="1"/>
        <w:rPr>
          <w:rFonts w:hint="eastAsia" w:ascii="宋体" w:hAnsi="宋体" w:eastAsia="宋体" w:cs="宋体"/>
          <w:b/>
          <w:bCs/>
          <w:color w:val="auto"/>
          <w:kern w:val="0"/>
          <w:szCs w:val="21"/>
          <w:highlight w:val="none"/>
        </w:rPr>
      </w:pPr>
      <w:bookmarkStart w:id="28" w:name="_Toc350938485"/>
      <w:r>
        <w:rPr>
          <w:rFonts w:hint="eastAsia" w:ascii="宋体" w:hAnsi="宋体" w:eastAsia="宋体" w:cs="宋体"/>
          <w:b/>
          <w:bCs/>
          <w:color w:val="auto"/>
          <w:kern w:val="0"/>
          <w:sz w:val="36"/>
          <w:szCs w:val="36"/>
          <w:highlight w:val="none"/>
        </w:rPr>
        <w:t>附件1                  封面格式1</w:t>
      </w:r>
      <w:bookmarkEnd w:id="28"/>
    </w:p>
    <w:p>
      <w:pPr>
        <w:pageBreakBefore w:val="0"/>
        <w:widowControl/>
        <w:tabs>
          <w:tab w:val="left" w:pos="8280"/>
        </w:tabs>
        <w:kinsoku/>
        <w:wordWrap w:val="0"/>
        <w:topLinePunct w:val="0"/>
        <w:bidi w:val="0"/>
        <w:snapToGrid/>
        <w:spacing w:line="360" w:lineRule="auto"/>
        <w:ind w:firstLine="480"/>
        <w:jc w:val="center"/>
        <w:rPr>
          <w:rFonts w:hint="eastAsia" w:ascii="宋体" w:hAnsi="宋体" w:eastAsia="宋体" w:cs="宋体"/>
          <w:b/>
          <w:color w:val="auto"/>
          <w:kern w:val="0"/>
          <w:sz w:val="32"/>
          <w:szCs w:val="32"/>
          <w:highlight w:val="none"/>
        </w:rPr>
      </w:pPr>
    </w:p>
    <w:p>
      <w:pPr>
        <w:pageBreakBefore w:val="0"/>
        <w:widowControl/>
        <w:tabs>
          <w:tab w:val="left" w:pos="450"/>
          <w:tab w:val="left" w:pos="8280"/>
        </w:tabs>
        <w:kinsoku/>
        <w:wordWrap w:val="0"/>
        <w:topLinePunct w:val="0"/>
        <w:bidi w:val="0"/>
        <w:snapToGrid/>
        <w:spacing w:line="360" w:lineRule="auto"/>
        <w:ind w:firstLine="885" w:firstLineChars="245"/>
        <w:jc w:val="left"/>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36"/>
          <w:szCs w:val="36"/>
          <w:highlight w:val="none"/>
          <w:u w:val="single"/>
        </w:rPr>
        <w:t xml:space="preserve">                                    </w:t>
      </w:r>
      <w:r>
        <w:rPr>
          <w:rFonts w:hint="eastAsia" w:ascii="宋体" w:hAnsi="宋体" w:eastAsia="宋体" w:cs="宋体"/>
          <w:b/>
          <w:color w:val="auto"/>
          <w:kern w:val="0"/>
          <w:sz w:val="44"/>
          <w:szCs w:val="44"/>
          <w:highlight w:val="none"/>
        </w:rPr>
        <w:t>项目</w:t>
      </w:r>
    </w:p>
    <w:p>
      <w:pPr>
        <w:pageBreakBefore w:val="0"/>
        <w:widowControl/>
        <w:tabs>
          <w:tab w:val="left" w:pos="450"/>
          <w:tab w:val="left" w:pos="8280"/>
        </w:tabs>
        <w:kinsoku/>
        <w:wordWrap w:val="0"/>
        <w:topLinePunct w:val="0"/>
        <w:bidi w:val="0"/>
        <w:snapToGrid/>
        <w:spacing w:line="360" w:lineRule="auto"/>
        <w:ind w:firstLine="480"/>
        <w:jc w:val="center"/>
        <w:rPr>
          <w:rFonts w:hint="eastAsia" w:ascii="宋体" w:hAnsi="宋体" w:eastAsia="宋体" w:cs="宋体"/>
          <w:b/>
          <w:color w:val="auto"/>
          <w:kern w:val="0"/>
          <w:sz w:val="44"/>
          <w:szCs w:val="44"/>
          <w:highlight w:val="none"/>
        </w:rPr>
      </w:pPr>
    </w:p>
    <w:p>
      <w:pPr>
        <w:pageBreakBefore w:val="0"/>
        <w:widowControl/>
        <w:tabs>
          <w:tab w:val="left" w:pos="450"/>
          <w:tab w:val="left" w:pos="8280"/>
        </w:tabs>
        <w:kinsoku/>
        <w:wordWrap w:val="0"/>
        <w:topLinePunct w:val="0"/>
        <w:bidi w:val="0"/>
        <w:snapToGrid/>
        <w:spacing w:line="360" w:lineRule="auto"/>
        <w:ind w:firstLine="480"/>
        <w:jc w:val="cente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投标文件</w:t>
      </w:r>
    </w:p>
    <w:p>
      <w:pPr>
        <w:pageBreakBefore w:val="0"/>
        <w:widowControl/>
        <w:tabs>
          <w:tab w:val="left" w:pos="275"/>
          <w:tab w:val="left" w:pos="8280"/>
        </w:tabs>
        <w:kinsoku/>
        <w:wordWrap w:val="0"/>
        <w:topLinePunct w:val="0"/>
        <w:bidi w:val="0"/>
        <w:snapToGrid/>
        <w:spacing w:line="360" w:lineRule="auto"/>
        <w:ind w:firstLine="480"/>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（资格响应文件或商务技术响应文件或报价响应文件）</w:t>
      </w:r>
      <w:r>
        <w:rPr>
          <w:rFonts w:hint="eastAsia" w:ascii="宋体" w:hAnsi="宋体" w:eastAsia="宋体" w:cs="宋体"/>
          <w:b/>
          <w:color w:val="auto"/>
          <w:kern w:val="0"/>
          <w:sz w:val="36"/>
          <w:szCs w:val="36"/>
          <w:highlight w:val="none"/>
        </w:rPr>
        <w:tab/>
      </w:r>
    </w:p>
    <w:p>
      <w:pPr>
        <w:pageBreakBefore w:val="0"/>
        <w:widowControl/>
        <w:tabs>
          <w:tab w:val="left" w:pos="275"/>
          <w:tab w:val="left" w:pos="8280"/>
        </w:tabs>
        <w:kinsoku/>
        <w:wordWrap w:val="0"/>
        <w:topLinePunct w:val="0"/>
        <w:bidi w:val="0"/>
        <w:snapToGrid/>
        <w:spacing w:line="360" w:lineRule="auto"/>
        <w:ind w:firstLine="480"/>
        <w:jc w:val="left"/>
        <w:rPr>
          <w:rFonts w:hint="eastAsia" w:ascii="宋体" w:hAnsi="宋体" w:eastAsia="宋体" w:cs="宋体"/>
          <w:b/>
          <w:color w:val="auto"/>
          <w:kern w:val="0"/>
          <w:sz w:val="32"/>
          <w:szCs w:val="32"/>
          <w:highlight w:val="none"/>
        </w:rPr>
      </w:pPr>
    </w:p>
    <w:p>
      <w:pPr>
        <w:pageBreakBefore w:val="0"/>
        <w:widowControl/>
        <w:tabs>
          <w:tab w:val="left" w:pos="275"/>
          <w:tab w:val="left" w:pos="8280"/>
        </w:tabs>
        <w:kinsoku/>
        <w:wordWrap w:val="0"/>
        <w:topLinePunct w:val="0"/>
        <w:bidi w:val="0"/>
        <w:snapToGrid/>
        <w:spacing w:line="360" w:lineRule="auto"/>
        <w:ind w:firstLine="480"/>
        <w:jc w:val="left"/>
        <w:rPr>
          <w:rFonts w:hint="eastAsia" w:ascii="宋体" w:hAnsi="宋体" w:eastAsia="宋体" w:cs="宋体"/>
          <w:b/>
          <w:color w:val="auto"/>
          <w:kern w:val="0"/>
          <w:sz w:val="32"/>
          <w:szCs w:val="32"/>
          <w:highlight w:val="none"/>
        </w:rPr>
      </w:pPr>
    </w:p>
    <w:p>
      <w:pPr>
        <w:pageBreakBefore w:val="0"/>
        <w:widowControl/>
        <w:tabs>
          <w:tab w:val="left" w:pos="275"/>
          <w:tab w:val="left" w:pos="8280"/>
        </w:tabs>
        <w:kinsoku/>
        <w:wordWrap w:val="0"/>
        <w:topLinePunct w:val="0"/>
        <w:bidi w:val="0"/>
        <w:snapToGrid/>
        <w:spacing w:line="360" w:lineRule="auto"/>
        <w:ind w:firstLine="480"/>
        <w:jc w:val="left"/>
        <w:rPr>
          <w:rFonts w:hint="eastAsia" w:ascii="宋体" w:hAnsi="宋体" w:eastAsia="宋体" w:cs="宋体"/>
          <w:b/>
          <w:color w:val="auto"/>
          <w:kern w:val="0"/>
          <w:sz w:val="32"/>
          <w:szCs w:val="32"/>
          <w:highlight w:val="none"/>
        </w:rPr>
      </w:pPr>
    </w:p>
    <w:p>
      <w:pPr>
        <w:pageBreakBefore w:val="0"/>
        <w:widowControl/>
        <w:tabs>
          <w:tab w:val="left" w:pos="275"/>
          <w:tab w:val="left" w:pos="8280"/>
        </w:tabs>
        <w:kinsoku/>
        <w:wordWrap w:val="0"/>
        <w:topLinePunct w:val="0"/>
        <w:bidi w:val="0"/>
        <w:snapToGrid/>
        <w:spacing w:line="360" w:lineRule="auto"/>
        <w:ind w:firstLine="315" w:firstLineChars="98"/>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2"/>
          <w:szCs w:val="32"/>
          <w:highlight w:val="none"/>
        </w:rPr>
        <w:t>采购项目编号：</w:t>
      </w:r>
      <w:r>
        <w:rPr>
          <w:rFonts w:hint="eastAsia" w:ascii="宋体" w:hAnsi="宋体" w:eastAsia="宋体" w:cs="宋体"/>
          <w:b/>
          <w:color w:val="auto"/>
          <w:kern w:val="0"/>
          <w:sz w:val="36"/>
          <w:szCs w:val="36"/>
          <w:highlight w:val="none"/>
          <w:u w:val="single"/>
        </w:rPr>
        <w:t xml:space="preserve">                                 </w:t>
      </w:r>
    </w:p>
    <w:p>
      <w:pPr>
        <w:pageBreakBefore w:val="0"/>
        <w:widowControl/>
        <w:tabs>
          <w:tab w:val="left" w:pos="765"/>
          <w:tab w:val="left" w:pos="8280"/>
        </w:tabs>
        <w:kinsoku/>
        <w:wordWrap w:val="0"/>
        <w:topLinePunct w:val="0"/>
        <w:bidi w:val="0"/>
        <w:snapToGrid/>
        <w:spacing w:line="360" w:lineRule="auto"/>
        <w:ind w:firstLine="480"/>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ab/>
      </w:r>
    </w:p>
    <w:p>
      <w:pPr>
        <w:pageBreakBefore w:val="0"/>
        <w:widowControl/>
        <w:tabs>
          <w:tab w:val="left" w:pos="765"/>
          <w:tab w:val="left" w:pos="8280"/>
        </w:tabs>
        <w:kinsoku/>
        <w:wordWrap w:val="0"/>
        <w:topLinePunct w:val="0"/>
        <w:bidi w:val="0"/>
        <w:snapToGrid/>
        <w:spacing w:line="360" w:lineRule="auto"/>
        <w:ind w:firstLine="315" w:firstLineChars="98"/>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2"/>
          <w:szCs w:val="32"/>
          <w:highlight w:val="none"/>
        </w:rPr>
        <w:t>投标人（</w:t>
      </w:r>
      <w:r>
        <w:rPr>
          <w:rFonts w:hint="eastAsia" w:ascii="宋体" w:hAnsi="宋体" w:eastAsia="宋体" w:cs="宋体"/>
          <w:b/>
          <w:color w:val="auto"/>
          <w:kern w:val="0"/>
          <w:sz w:val="32"/>
          <w:szCs w:val="32"/>
          <w:highlight w:val="none"/>
          <w:lang w:eastAsia="zh-CN"/>
        </w:rPr>
        <w:t>电子签章</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6"/>
          <w:szCs w:val="36"/>
          <w:highlight w:val="none"/>
          <w:u w:val="single"/>
        </w:rPr>
        <w:t xml:space="preserve">                                </w:t>
      </w:r>
    </w:p>
    <w:p>
      <w:pPr>
        <w:pageBreakBefore w:val="0"/>
        <w:widowControl/>
        <w:tabs>
          <w:tab w:val="left" w:pos="8280"/>
        </w:tabs>
        <w:kinsoku/>
        <w:wordWrap w:val="0"/>
        <w:topLinePunct w:val="0"/>
        <w:bidi w:val="0"/>
        <w:snapToGrid/>
        <w:spacing w:line="360" w:lineRule="auto"/>
        <w:ind w:firstLine="480"/>
        <w:jc w:val="center"/>
        <w:rPr>
          <w:rFonts w:hint="eastAsia" w:ascii="宋体" w:hAnsi="宋体" w:eastAsia="宋体" w:cs="宋体"/>
          <w:b/>
          <w:color w:val="auto"/>
          <w:kern w:val="0"/>
          <w:sz w:val="32"/>
          <w:szCs w:val="32"/>
          <w:highlight w:val="none"/>
        </w:rPr>
      </w:pPr>
    </w:p>
    <w:p>
      <w:pPr>
        <w:pageBreakBefore w:val="0"/>
        <w:widowControl/>
        <w:tabs>
          <w:tab w:val="left" w:pos="8280"/>
        </w:tabs>
        <w:kinsoku/>
        <w:wordWrap w:val="0"/>
        <w:topLinePunct w:val="0"/>
        <w:bidi w:val="0"/>
        <w:snapToGrid/>
        <w:spacing w:line="360" w:lineRule="auto"/>
        <w:rPr>
          <w:rFonts w:hint="eastAsia" w:ascii="宋体" w:hAnsi="宋体" w:eastAsia="宋体" w:cs="宋体"/>
          <w:b/>
          <w:color w:val="auto"/>
          <w:kern w:val="0"/>
          <w:sz w:val="32"/>
          <w:szCs w:val="32"/>
          <w:highlight w:val="none"/>
        </w:rPr>
      </w:pPr>
    </w:p>
    <w:p>
      <w:pPr>
        <w:pageBreakBefore w:val="0"/>
        <w:widowControl/>
        <w:tabs>
          <w:tab w:val="left" w:pos="350"/>
          <w:tab w:val="left" w:pos="8280"/>
        </w:tabs>
        <w:kinsoku/>
        <w:wordWrap w:val="0"/>
        <w:topLinePunct w:val="0"/>
        <w:bidi w:val="0"/>
        <w:snapToGrid/>
        <w:spacing w:line="360" w:lineRule="auto"/>
        <w:ind w:firstLine="480"/>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6"/>
          <w:szCs w:val="36"/>
          <w:highlight w:val="none"/>
        </w:rPr>
        <w:t xml:space="preserve">                   </w:t>
      </w:r>
      <w:r>
        <w:rPr>
          <w:rFonts w:hint="eastAsia" w:ascii="宋体" w:hAnsi="宋体" w:eastAsia="宋体" w:cs="宋体"/>
          <w:b/>
          <w:color w:val="auto"/>
          <w:kern w:val="0"/>
          <w:sz w:val="32"/>
          <w:szCs w:val="32"/>
          <w:highlight w:val="none"/>
        </w:rPr>
        <w:t>年</w:t>
      </w:r>
      <w:r>
        <w:rPr>
          <w:rFonts w:hint="eastAsia" w:ascii="宋体" w:hAnsi="宋体" w:eastAsia="宋体" w:cs="宋体"/>
          <w:b/>
          <w:color w:val="auto"/>
          <w:kern w:val="0"/>
          <w:sz w:val="36"/>
          <w:szCs w:val="36"/>
          <w:highlight w:val="none"/>
        </w:rPr>
        <w:t xml:space="preserve">     </w:t>
      </w:r>
      <w:r>
        <w:rPr>
          <w:rFonts w:hint="eastAsia" w:ascii="宋体" w:hAnsi="宋体" w:eastAsia="宋体" w:cs="宋体"/>
          <w:b/>
          <w:color w:val="auto"/>
          <w:kern w:val="0"/>
          <w:sz w:val="32"/>
          <w:szCs w:val="32"/>
          <w:highlight w:val="none"/>
        </w:rPr>
        <w:t>月</w:t>
      </w:r>
      <w:r>
        <w:rPr>
          <w:rFonts w:hint="eastAsia" w:ascii="宋体" w:hAnsi="宋体" w:eastAsia="宋体" w:cs="宋体"/>
          <w:b/>
          <w:color w:val="auto"/>
          <w:kern w:val="0"/>
          <w:sz w:val="36"/>
          <w:szCs w:val="36"/>
          <w:highlight w:val="none"/>
        </w:rPr>
        <w:t xml:space="preserve">     </w:t>
      </w:r>
      <w:r>
        <w:rPr>
          <w:rFonts w:hint="eastAsia" w:ascii="宋体" w:hAnsi="宋体" w:eastAsia="宋体" w:cs="宋体"/>
          <w:b/>
          <w:color w:val="auto"/>
          <w:kern w:val="0"/>
          <w:sz w:val="32"/>
          <w:szCs w:val="32"/>
          <w:highlight w:val="none"/>
        </w:rPr>
        <w:t>日</w:t>
      </w:r>
    </w:p>
    <w:p>
      <w:pPr>
        <w:pageBreakBefore w:val="0"/>
        <w:widowControl/>
        <w:tabs>
          <w:tab w:val="left" w:pos="350"/>
          <w:tab w:val="left" w:pos="8280"/>
        </w:tabs>
        <w:kinsoku/>
        <w:wordWrap w:val="0"/>
        <w:topLinePunct w:val="0"/>
        <w:bidi w:val="0"/>
        <w:snapToGrid/>
        <w:spacing w:line="360" w:lineRule="auto"/>
        <w:ind w:firstLine="480"/>
        <w:jc w:val="left"/>
        <w:rPr>
          <w:rFonts w:hint="eastAsia" w:ascii="宋体" w:hAnsi="宋体" w:eastAsia="宋体" w:cs="宋体"/>
          <w:b/>
          <w:color w:val="auto"/>
          <w:kern w:val="0"/>
          <w:sz w:val="32"/>
          <w:szCs w:val="32"/>
          <w:highlight w:val="none"/>
        </w:rPr>
      </w:pPr>
    </w:p>
    <w:p>
      <w:pPr>
        <w:widowControl/>
        <w:tabs>
          <w:tab w:val="left" w:pos="0"/>
        </w:tabs>
        <w:snapToGrid w:val="0"/>
        <w:spacing w:line="360" w:lineRule="auto"/>
        <w:jc w:val="left"/>
        <w:rPr>
          <w:rFonts w:ascii="Times New Roman" w:hAnsi="Times New Roman" w:eastAsia="宋体" w:cs="Times New Roman"/>
          <w:b/>
          <w:bCs/>
          <w:kern w:val="0"/>
          <w:sz w:val="32"/>
          <w:szCs w:val="32"/>
          <w:highlight w:val="none"/>
        </w:rPr>
      </w:pPr>
    </w:p>
    <w:p>
      <w:pPr>
        <w:widowControl/>
        <w:spacing w:before="150" w:after="150" w:line="480" w:lineRule="atLeast"/>
        <w:ind w:left="225" w:right="300" w:firstLine="480"/>
        <w:jc w:val="left"/>
        <w:rPr>
          <w:rFonts w:ascii="Times New Roman" w:hAnsi="Times New Roman" w:eastAsia="宋体" w:cs="Times New Roman"/>
          <w:kern w:val="0"/>
          <w:highlight w:val="none"/>
        </w:rPr>
      </w:pPr>
      <w:r>
        <w:rPr>
          <w:rFonts w:ascii="Times New Roman" w:hAnsi="Times New Roman" w:eastAsia="宋体" w:cs="Times New Roman"/>
          <w:kern w:val="0"/>
          <w:highlight w:val="none"/>
        </w:rPr>
        <w:t> </w:t>
      </w:r>
    </w:p>
    <w:p>
      <w:pPr>
        <w:rPr>
          <w:rFonts w:ascii="Times New Roman" w:hAnsi="Times New Roman" w:eastAsia="宋体" w:cs="Times New Roman"/>
          <w:b/>
          <w:bCs/>
          <w:sz w:val="36"/>
          <w:szCs w:val="36"/>
          <w:highlight w:val="none"/>
        </w:rPr>
      </w:pPr>
      <w:r>
        <w:rPr>
          <w:rFonts w:ascii="Times New Roman" w:hAnsi="Times New Roman" w:eastAsia="宋体" w:cs="Times New Roman"/>
          <w:b/>
          <w:bCs/>
          <w:sz w:val="36"/>
          <w:szCs w:val="36"/>
          <w:highlight w:val="none"/>
        </w:rPr>
        <w:br w:type="page"/>
      </w:r>
    </w:p>
    <w:p>
      <w:pPr>
        <w:pageBreakBefore w:val="0"/>
        <w:widowControl/>
        <w:kinsoku/>
        <w:wordWrap w:val="0"/>
        <w:topLinePunct w:val="0"/>
        <w:bidi w:val="0"/>
        <w:snapToGrid/>
        <w:spacing w:line="360" w:lineRule="auto"/>
        <w:ind w:left="0" w:right="300" w:firstLine="0"/>
        <w:jc w:val="center"/>
        <w:outlineLvl w:val="1"/>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lang w:eastAsia="zh-CN"/>
        </w:rPr>
        <w:t>法定代表人（或单位负责人）</w:t>
      </w:r>
      <w:r>
        <w:rPr>
          <w:rFonts w:hint="eastAsia" w:ascii="宋体" w:hAnsi="宋体" w:eastAsia="宋体" w:cs="宋体"/>
          <w:b/>
          <w:bCs/>
          <w:color w:val="auto"/>
          <w:sz w:val="36"/>
          <w:szCs w:val="36"/>
          <w:highlight w:val="none"/>
        </w:rPr>
        <w:t>申明书（格式）</w:t>
      </w:r>
    </w:p>
    <w:p>
      <w:pPr>
        <w:pageBreakBefore w:val="0"/>
        <w:kinsoku/>
        <w:wordWrap w:val="0"/>
        <w:topLinePunct w:val="0"/>
        <w:bidi w:val="0"/>
        <w:snapToGrid/>
        <w:spacing w:line="360" w:lineRule="auto"/>
        <w:jc w:val="center"/>
        <w:rPr>
          <w:rFonts w:hint="eastAsia" w:ascii="宋体" w:hAnsi="宋体" w:eastAsia="宋体" w:cs="宋体"/>
          <w:color w:val="auto"/>
          <w:highlight w:val="none"/>
        </w:rPr>
      </w:pPr>
    </w:p>
    <w:p>
      <w:pPr>
        <w:pageBreakBefore w:val="0"/>
        <w:kinsoku/>
        <w:wordWrap w:val="0"/>
        <w:topLinePunct w:val="0"/>
        <w:bidi w:val="0"/>
        <w:snapToGrid/>
        <w:spacing w:line="360" w:lineRule="auto"/>
        <w:rPr>
          <w:rFonts w:hint="eastAsia" w:ascii="宋体" w:hAnsi="宋体" w:eastAsia="宋体" w:cs="宋体"/>
          <w:color w:val="auto"/>
          <w:sz w:val="24"/>
          <w:highlight w:val="none"/>
        </w:rPr>
      </w:pPr>
    </w:p>
    <w:p>
      <w:pPr>
        <w:pageBreakBefore w:val="0"/>
        <w:kinsoku/>
        <w:wordWrap w:val="0"/>
        <w:topLinePunct w:val="0"/>
        <w:bidi w:val="0"/>
        <w:snapToGrid/>
        <w:spacing w:line="360" w:lineRule="auto"/>
        <w:rPr>
          <w:rFonts w:hint="eastAsia" w:ascii="宋体" w:hAnsi="宋体" w:eastAsia="宋体" w:cs="宋体"/>
          <w:color w:val="auto"/>
          <w:sz w:val="24"/>
          <w:highlight w:val="none"/>
        </w:rPr>
      </w:pPr>
    </w:p>
    <w:p>
      <w:pPr>
        <w:pageBreakBefore w:val="0"/>
        <w:kinsoku/>
        <w:wordWrap w:val="0"/>
        <w:topLinePunct w:val="0"/>
        <w:bidi w:val="0"/>
        <w:snapToGri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姓名：                           性别：</w:t>
      </w:r>
    </w:p>
    <w:p>
      <w:pPr>
        <w:pageBreakBefore w:val="0"/>
        <w:kinsoku/>
        <w:wordWrap w:val="0"/>
        <w:topLinePunct w:val="0"/>
        <w:bidi w:val="0"/>
        <w:snapToGri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年龄：                           职务：</w:t>
      </w:r>
    </w:p>
    <w:p>
      <w:pPr>
        <w:pageBreakBefore w:val="0"/>
        <w:kinsoku/>
        <w:wordWrap w:val="0"/>
        <w:topLinePunct w:val="0"/>
        <w:bidi w:val="0"/>
        <w:snapToGri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p>
      <w:pPr>
        <w:pageBreakBefore w:val="0"/>
        <w:kinsoku/>
        <w:wordWrap w:val="0"/>
        <w:topLinePunct w:val="0"/>
        <w:bidi w:val="0"/>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（单位名称）的</w:t>
      </w:r>
      <w:r>
        <w:rPr>
          <w:rFonts w:hint="eastAsia" w:ascii="宋体" w:hAnsi="宋体" w:eastAsia="宋体" w:cs="宋体"/>
          <w:color w:val="auto"/>
          <w:sz w:val="24"/>
          <w:highlight w:val="none"/>
          <w:lang w:eastAsia="zh-CN"/>
        </w:rPr>
        <w:t>法定代表人（或单位负责人）</w:t>
      </w:r>
      <w:r>
        <w:rPr>
          <w:rFonts w:hint="eastAsia" w:ascii="宋体" w:hAnsi="宋体" w:eastAsia="宋体" w:cs="宋体"/>
          <w:color w:val="auto"/>
          <w:sz w:val="24"/>
          <w:highlight w:val="none"/>
        </w:rPr>
        <w:t>，法定地址：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项目的投标、开标等事宜，签署上述投标文件，进行合同谈判、签署合同和处理与之有关的一切事务。</w:t>
      </w:r>
    </w:p>
    <w:p>
      <w:pPr>
        <w:pageBreakBefore w:val="0"/>
        <w:kinsoku/>
        <w:wordWrap w:val="0"/>
        <w:topLinePunct w:val="0"/>
        <w:bidi w:val="0"/>
        <w:snapToGrid/>
        <w:spacing w:line="360" w:lineRule="auto"/>
        <w:ind w:firstLine="480" w:firstLineChars="200"/>
        <w:rPr>
          <w:rFonts w:hint="eastAsia" w:ascii="宋体" w:hAnsi="宋体" w:eastAsia="宋体" w:cs="宋体"/>
          <w:color w:val="auto"/>
          <w:sz w:val="24"/>
          <w:highlight w:val="none"/>
        </w:rPr>
      </w:pPr>
    </w:p>
    <w:p>
      <w:pPr>
        <w:pageBreakBefore w:val="0"/>
        <w:kinsoku/>
        <w:wordWrap w:val="0"/>
        <w:topLinePunct w:val="0"/>
        <w:bidi w:val="0"/>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特此申明</w:t>
      </w:r>
    </w:p>
    <w:p>
      <w:pPr>
        <w:pageBreakBefore w:val="0"/>
        <w:kinsoku/>
        <w:wordWrap w:val="0"/>
        <w:topLinePunct w:val="0"/>
        <w:bidi w:val="0"/>
        <w:snapToGrid/>
        <w:spacing w:line="360" w:lineRule="auto"/>
        <w:rPr>
          <w:rFonts w:hint="eastAsia" w:ascii="宋体" w:hAnsi="宋体" w:eastAsia="宋体" w:cs="宋体"/>
          <w:color w:val="auto"/>
          <w:sz w:val="24"/>
          <w:highlight w:val="none"/>
        </w:rPr>
      </w:pPr>
    </w:p>
    <w:p>
      <w:pPr>
        <w:pageBreakBefore w:val="0"/>
        <w:kinsoku/>
        <w:wordWrap w:val="0"/>
        <w:topLinePunct w:val="0"/>
        <w:bidi w:val="0"/>
        <w:snapToGrid/>
        <w:spacing w:line="360" w:lineRule="auto"/>
        <w:rPr>
          <w:rFonts w:hint="eastAsia" w:ascii="宋体" w:hAnsi="宋体" w:eastAsia="宋体" w:cs="宋体"/>
          <w:color w:val="auto"/>
          <w:sz w:val="24"/>
          <w:highlight w:val="none"/>
        </w:rPr>
      </w:pPr>
    </w:p>
    <w:p>
      <w:pPr>
        <w:pageBreakBefore w:val="0"/>
        <w:kinsoku/>
        <w:wordWrap w:val="0"/>
        <w:topLinePunct w:val="0"/>
        <w:bidi w:val="0"/>
        <w:snapToGri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w:t>
      </w:r>
      <w:r>
        <w:rPr>
          <w:rFonts w:hint="eastAsia" w:ascii="宋体" w:hAnsi="宋体" w:eastAsia="宋体" w:cs="宋体"/>
          <w:color w:val="auto"/>
          <w:sz w:val="24"/>
          <w:highlight w:val="none"/>
          <w:lang w:eastAsia="zh-CN"/>
        </w:rPr>
        <w:t>电子签章</w:t>
      </w:r>
      <w:r>
        <w:rPr>
          <w:rFonts w:hint="eastAsia" w:ascii="宋体" w:hAnsi="宋体" w:eastAsia="宋体" w:cs="宋体"/>
          <w:color w:val="auto"/>
          <w:sz w:val="24"/>
          <w:highlight w:val="none"/>
        </w:rPr>
        <w:t xml:space="preserve">）                </w:t>
      </w:r>
    </w:p>
    <w:p>
      <w:pPr>
        <w:pageBreakBefore w:val="0"/>
        <w:kinsoku/>
        <w:wordWrap w:val="0"/>
        <w:topLinePunct w:val="0"/>
        <w:bidi w:val="0"/>
        <w:snapToGri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法定代表人（或单位负责人）</w:t>
      </w:r>
      <w:r>
        <w:rPr>
          <w:rFonts w:hint="eastAsia" w:ascii="宋体" w:hAnsi="宋体" w:eastAsia="宋体" w:cs="宋体"/>
          <w:color w:val="auto"/>
          <w:sz w:val="24"/>
          <w:highlight w:val="none"/>
        </w:rPr>
        <w:t>签字：</w:t>
      </w:r>
    </w:p>
    <w:p>
      <w:pPr>
        <w:pageBreakBefore w:val="0"/>
        <w:kinsoku/>
        <w:wordWrap w:val="0"/>
        <w:topLinePunct w:val="0"/>
        <w:bidi w:val="0"/>
        <w:snapToGrid/>
        <w:spacing w:line="360" w:lineRule="auto"/>
        <w:rPr>
          <w:rFonts w:hint="eastAsia" w:ascii="宋体" w:hAnsi="宋体" w:eastAsia="宋体" w:cs="宋体"/>
          <w:color w:val="auto"/>
          <w:sz w:val="24"/>
          <w:highlight w:val="none"/>
        </w:rPr>
      </w:pPr>
    </w:p>
    <w:p>
      <w:pPr>
        <w:pageBreakBefore w:val="0"/>
        <w:kinsoku/>
        <w:wordWrap w:val="0"/>
        <w:topLinePunct w:val="0"/>
        <w:bidi w:val="0"/>
        <w:snapToGri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年   月    日              </w:t>
      </w:r>
    </w:p>
    <w:p>
      <w:pPr>
        <w:pageBreakBefore w:val="0"/>
        <w:kinsoku/>
        <w:wordWrap w:val="0"/>
        <w:topLinePunct w:val="0"/>
        <w:bidi w:val="0"/>
        <w:snapToGrid/>
        <w:spacing w:line="360" w:lineRule="auto"/>
        <w:rPr>
          <w:rFonts w:hint="eastAsia" w:ascii="宋体" w:hAnsi="宋体" w:eastAsia="宋体" w:cs="宋体"/>
          <w:color w:val="auto"/>
          <w:sz w:val="24"/>
          <w:highlight w:val="none"/>
        </w:rPr>
      </w:pPr>
    </w:p>
    <w:p>
      <w:pPr>
        <w:pageBreakBefore w:val="0"/>
        <w:kinsoku/>
        <w:wordWrap w:val="0"/>
        <w:topLinePunct w:val="0"/>
        <w:bidi w:val="0"/>
        <w:snapToGrid/>
        <w:spacing w:line="360" w:lineRule="auto"/>
        <w:rPr>
          <w:rFonts w:hint="eastAsia" w:ascii="宋体" w:hAnsi="宋体" w:eastAsia="宋体" w:cs="宋体"/>
          <w:color w:val="auto"/>
          <w:sz w:val="24"/>
          <w:highlight w:val="none"/>
        </w:rPr>
      </w:pPr>
    </w:p>
    <w:p>
      <w:pPr>
        <w:pageBreakBefore w:val="0"/>
        <w:kinsoku/>
        <w:wordWrap w:val="0"/>
        <w:topLinePunct w:val="0"/>
        <w:bidi w:val="0"/>
        <w:snapToGrid/>
        <w:spacing w:line="360" w:lineRule="auto"/>
        <w:rPr>
          <w:rFonts w:hint="eastAsia" w:ascii="宋体" w:hAnsi="宋体" w:eastAsia="宋体" w:cs="宋体"/>
          <w:color w:val="auto"/>
          <w:sz w:val="24"/>
          <w:highlight w:val="none"/>
        </w:rPr>
      </w:pPr>
    </w:p>
    <w:p>
      <w:pPr>
        <w:pageBreakBefore w:val="0"/>
        <w:kinsoku/>
        <w:wordWrap w:val="0"/>
        <w:topLinePunct w:val="0"/>
        <w:bidi w:val="0"/>
        <w:snapToGrid/>
        <w:spacing w:line="360" w:lineRule="auto"/>
        <w:rPr>
          <w:rFonts w:hint="eastAsia" w:ascii="宋体" w:hAnsi="宋体" w:eastAsia="宋体" w:cs="宋体"/>
          <w:color w:val="auto"/>
          <w:highlight w:val="none"/>
        </w:rPr>
      </w:pPr>
    </w:p>
    <w:p>
      <w:pPr>
        <w:pageBreakBefore w:val="0"/>
        <w:kinsoku/>
        <w:wordWrap w:val="0"/>
        <w:topLinePunct w:val="0"/>
        <w:bidi w:val="0"/>
        <w:snapToGrid/>
        <w:spacing w:line="360" w:lineRule="auto"/>
        <w:jc w:val="center"/>
        <w:outlineLvl w:val="1"/>
        <w:rPr>
          <w:rFonts w:hint="eastAsia" w:ascii="宋体" w:hAnsi="宋体" w:eastAsia="宋体" w:cs="宋体"/>
          <w:b/>
          <w:bCs/>
          <w:color w:val="auto"/>
          <w:sz w:val="36"/>
          <w:szCs w:val="36"/>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6"/>
          <w:szCs w:val="36"/>
          <w:highlight w:val="none"/>
          <w:lang w:eastAsia="zh-CN"/>
        </w:rPr>
        <w:t>法定代表人（或单位负责人）</w:t>
      </w:r>
      <w:r>
        <w:rPr>
          <w:rFonts w:hint="eastAsia" w:ascii="宋体" w:hAnsi="宋体" w:eastAsia="宋体" w:cs="宋体"/>
          <w:b/>
          <w:bCs/>
          <w:color w:val="auto"/>
          <w:sz w:val="36"/>
          <w:szCs w:val="36"/>
          <w:highlight w:val="none"/>
        </w:rPr>
        <w:t>授权书（格式）</w:t>
      </w:r>
    </w:p>
    <w:p>
      <w:pPr>
        <w:pageBreakBefore w:val="0"/>
        <w:kinsoku/>
        <w:wordWrap w:val="0"/>
        <w:topLinePunct w:val="0"/>
        <w:bidi w:val="0"/>
        <w:snapToGrid/>
        <w:spacing w:line="360" w:lineRule="auto"/>
        <w:jc w:val="center"/>
        <w:rPr>
          <w:rFonts w:hint="eastAsia" w:ascii="宋体" w:hAnsi="宋体" w:eastAsia="宋体" w:cs="宋体"/>
          <w:b/>
          <w:color w:val="auto"/>
          <w:sz w:val="48"/>
          <w:highlight w:val="none"/>
        </w:rPr>
      </w:pPr>
    </w:p>
    <w:p>
      <w:pPr>
        <w:pageBreakBefore w:val="0"/>
        <w:kinsoku/>
        <w:wordWrap w:val="0"/>
        <w:topLinePunct w:val="0"/>
        <w:bidi w:val="0"/>
        <w:snapToGrid/>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pageBreakBefore w:val="0"/>
        <w:kinsoku/>
        <w:wordWrap w:val="0"/>
        <w:topLinePunct w:val="0"/>
        <w:bidi w:val="0"/>
        <w:snapToGrid/>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pPr>
        <w:pageBreakBefore w:val="0"/>
        <w:kinsoku/>
        <w:wordWrap w:val="0"/>
        <w:topLinePunct w:val="0"/>
        <w:bidi w:val="0"/>
        <w:snapToGrid/>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采购人名称）                </w:t>
      </w:r>
    </w:p>
    <w:p>
      <w:pPr>
        <w:pageBreakBefore w:val="0"/>
        <w:kinsoku/>
        <w:wordWrap w:val="0"/>
        <w:topLinePunct w:val="0"/>
        <w:bidi w:val="0"/>
        <w:snapToGri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招标代理机构名称）         </w:t>
      </w:r>
      <w:r>
        <w:rPr>
          <w:rFonts w:hint="eastAsia" w:ascii="宋体" w:hAnsi="宋体" w:eastAsia="宋体" w:cs="宋体"/>
          <w:color w:val="auto"/>
          <w:sz w:val="24"/>
          <w:highlight w:val="none"/>
        </w:rPr>
        <w:t xml:space="preserve">    </w:t>
      </w:r>
    </w:p>
    <w:p>
      <w:pPr>
        <w:pageBreakBefore w:val="0"/>
        <w:kinsoku/>
        <w:wordWrap w:val="0"/>
        <w:topLinePunct w:val="0"/>
        <w:bidi w:val="0"/>
        <w:snapToGrid/>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注册于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（注册地址）的</w:t>
      </w:r>
      <w:r>
        <w:rPr>
          <w:rFonts w:hint="eastAsia" w:ascii="宋体" w:hAnsi="宋体" w:eastAsia="宋体" w:cs="宋体"/>
          <w:color w:val="auto"/>
          <w:sz w:val="24"/>
          <w:highlight w:val="none"/>
          <w:u w:val="single"/>
        </w:rPr>
        <w:t xml:space="preserve">                                         </w:t>
      </w:r>
    </w:p>
    <w:p>
      <w:pPr>
        <w:pageBreakBefore w:val="0"/>
        <w:kinsoku/>
        <w:wordWrap w:val="0"/>
        <w:topLinePunct w:val="0"/>
        <w:bidi w:val="0"/>
        <w:snapToGrid/>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（投标人名称），系中华人民共和国合法企业；本人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（授权人姓名）系该公司的</w:t>
      </w:r>
      <w:r>
        <w:rPr>
          <w:rFonts w:hint="eastAsia" w:ascii="宋体" w:hAnsi="宋体" w:eastAsia="宋体" w:cs="宋体"/>
          <w:color w:val="auto"/>
          <w:sz w:val="24"/>
          <w:highlight w:val="none"/>
          <w:lang w:eastAsia="zh-CN"/>
        </w:rPr>
        <w:t>法定代表人（或单位负责人）</w:t>
      </w:r>
      <w:r>
        <w:rPr>
          <w:rFonts w:hint="eastAsia" w:ascii="宋体" w:hAnsi="宋体" w:eastAsia="宋体" w:cs="宋体"/>
          <w:color w:val="auto"/>
          <w:sz w:val="24"/>
          <w:highlight w:val="none"/>
        </w:rPr>
        <w:t>。现特授权本单位的（被授权人姓名）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为我公司合法代理人，全权代表我公司办理就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项目的投标、谈判、签约等具体工作，并签署全部有关的文件、协议及合同。</w:t>
      </w:r>
    </w:p>
    <w:p>
      <w:pPr>
        <w:pageBreakBefore w:val="0"/>
        <w:kinsoku/>
        <w:wordWrap w:val="0"/>
        <w:topLinePunct w:val="0"/>
        <w:bidi w:val="0"/>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我公司对被授权人的签名负全部责任。</w:t>
      </w:r>
    </w:p>
    <w:p>
      <w:pPr>
        <w:pageBreakBefore w:val="0"/>
        <w:kinsoku/>
        <w:wordWrap w:val="0"/>
        <w:topLinePunct w:val="0"/>
        <w:bidi w:val="0"/>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在撤销授权的书面通知以前，本授权书一直有效。被授权人签署的所有文件（在授权书有效期内签署的）不因授权的撤销而失效。被授权人无转委托。特此声明。</w:t>
      </w:r>
    </w:p>
    <w:p>
      <w:pPr>
        <w:pageBreakBefore w:val="0"/>
        <w:kinsoku/>
        <w:wordWrap w:val="0"/>
        <w:topLinePunct w:val="0"/>
        <w:bidi w:val="0"/>
        <w:snapToGri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被授权人身份证复印件：</w:t>
      </w:r>
    </w:p>
    <w:p>
      <w:pPr>
        <w:pageBreakBefore w:val="0"/>
        <w:kinsoku/>
        <w:wordWrap w:val="0"/>
        <w:topLinePunct w:val="0"/>
        <w:bidi w:val="0"/>
        <w:snapToGrid/>
        <w:spacing w:line="360" w:lineRule="auto"/>
        <w:rPr>
          <w:rFonts w:hint="eastAsia" w:ascii="宋体" w:hAnsi="宋体" w:eastAsia="宋体" w:cs="宋体"/>
          <w:color w:val="auto"/>
          <w:sz w:val="24"/>
          <w:highlight w:val="none"/>
        </w:rPr>
      </w:pPr>
    </w:p>
    <w:p>
      <w:pPr>
        <w:pageBreakBefore w:val="0"/>
        <w:kinsoku/>
        <w:wordWrap w:val="0"/>
        <w:topLinePunct w:val="0"/>
        <w:bidi w:val="0"/>
        <w:snapToGri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bCs/>
          <w:color w:val="auto"/>
          <w:sz w:val="24"/>
          <w:highlight w:val="none"/>
          <w:lang w:eastAsia="zh-CN"/>
        </w:rPr>
        <w:t>电子签章</w:t>
      </w:r>
      <w:r>
        <w:rPr>
          <w:rFonts w:hint="eastAsia" w:ascii="宋体" w:hAnsi="宋体" w:eastAsia="宋体" w:cs="宋体"/>
          <w:color w:val="auto"/>
          <w:sz w:val="24"/>
          <w:highlight w:val="none"/>
        </w:rPr>
        <w:t>：</w:t>
      </w:r>
    </w:p>
    <w:p>
      <w:pPr>
        <w:pageBreakBefore w:val="0"/>
        <w:kinsoku/>
        <w:wordWrap w:val="0"/>
        <w:topLinePunct w:val="0"/>
        <w:bidi w:val="0"/>
        <w:snapToGrid/>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授权人签名：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        务：</w:t>
      </w:r>
      <w:r>
        <w:rPr>
          <w:rFonts w:hint="eastAsia" w:ascii="宋体" w:hAnsi="宋体" w:eastAsia="宋体" w:cs="宋体"/>
          <w:color w:val="auto"/>
          <w:sz w:val="24"/>
          <w:highlight w:val="none"/>
          <w:u w:val="single"/>
        </w:rPr>
        <w:t xml:space="preserve">                </w:t>
      </w:r>
    </w:p>
    <w:p>
      <w:pPr>
        <w:pageBreakBefore w:val="0"/>
        <w:kinsoku/>
        <w:wordWrap w:val="0"/>
        <w:topLinePunct w:val="0"/>
        <w:bidi w:val="0"/>
        <w:snapToGri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被授权人签名：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pageBreakBefore w:val="0"/>
        <w:kinsoku/>
        <w:wordWrap w:val="0"/>
        <w:topLinePunct w:val="0"/>
        <w:bidi w:val="0"/>
        <w:snapToGrid/>
        <w:spacing w:line="360" w:lineRule="auto"/>
        <w:rPr>
          <w:rFonts w:hint="eastAsia" w:ascii="宋体" w:hAnsi="宋体" w:eastAsia="宋体" w:cs="宋体"/>
          <w:color w:val="auto"/>
          <w:sz w:val="24"/>
          <w:highlight w:val="none"/>
        </w:rPr>
      </w:pPr>
    </w:p>
    <w:p>
      <w:pPr>
        <w:pageBreakBefore w:val="0"/>
        <w:kinsoku/>
        <w:wordWrap w:val="0"/>
        <w:topLinePunct w:val="0"/>
        <w:bidi w:val="0"/>
        <w:snapToGri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注：投标人</w:t>
      </w:r>
      <w:r>
        <w:rPr>
          <w:rFonts w:hint="eastAsia" w:ascii="宋体" w:hAnsi="宋体" w:eastAsia="宋体" w:cs="宋体"/>
          <w:color w:val="auto"/>
          <w:sz w:val="24"/>
          <w:highlight w:val="none"/>
          <w:lang w:eastAsia="zh-CN"/>
        </w:rPr>
        <w:t>法定代表人（或单位负责人）</w:t>
      </w:r>
      <w:r>
        <w:rPr>
          <w:rFonts w:hint="eastAsia" w:ascii="宋体" w:hAnsi="宋体" w:eastAsia="宋体" w:cs="宋体"/>
          <w:color w:val="auto"/>
          <w:sz w:val="24"/>
          <w:highlight w:val="none"/>
        </w:rPr>
        <w:t>参加投标的，提供</w:t>
      </w:r>
      <w:r>
        <w:rPr>
          <w:rFonts w:hint="eastAsia" w:ascii="宋体" w:hAnsi="宋体" w:eastAsia="宋体" w:cs="宋体"/>
          <w:color w:val="auto"/>
          <w:sz w:val="24"/>
          <w:highlight w:val="none"/>
          <w:lang w:eastAsia="zh-CN"/>
        </w:rPr>
        <w:t>法定代表人（或单位负责人）</w:t>
      </w:r>
      <w:r>
        <w:rPr>
          <w:rFonts w:hint="eastAsia" w:ascii="宋体" w:hAnsi="宋体" w:eastAsia="宋体" w:cs="宋体"/>
          <w:color w:val="auto"/>
          <w:sz w:val="24"/>
          <w:highlight w:val="none"/>
        </w:rPr>
        <w:t>申明书和身份说明即可。</w:t>
      </w:r>
    </w:p>
    <w:p>
      <w:pPr>
        <w:pageBreakBefore w:val="0"/>
        <w:kinsoku/>
        <w:wordWrap w:val="0"/>
        <w:topLinePunct w:val="0"/>
        <w:bidi w:val="0"/>
        <w:snapToGrid/>
        <w:spacing w:line="360" w:lineRule="auto"/>
        <w:jc w:val="center"/>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36"/>
          <w:szCs w:val="36"/>
          <w:highlight w:val="none"/>
        </w:rPr>
        <w:t>中小企业声明函</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本公司郑重声明，根据《政府采购促进中小企业发展管理办法》（财库﹝2020﹞46 号）的规定，本公司参加</w:t>
      </w:r>
      <w:r>
        <w:rPr>
          <w:rFonts w:hint="eastAsia" w:ascii="宋体" w:hAnsi="宋体" w:eastAsia="宋体" w:cs="宋体"/>
          <w:i/>
          <w:color w:val="auto"/>
          <w:kern w:val="0"/>
          <w:sz w:val="24"/>
          <w:szCs w:val="24"/>
          <w:highlight w:val="none"/>
          <w:u w:val="single"/>
          <w:lang w:val="en-US" w:eastAsia="zh-CN" w:bidi="ar"/>
        </w:rPr>
        <w:t>（单位名称）</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i/>
          <w:color w:val="auto"/>
          <w:kern w:val="0"/>
          <w:sz w:val="24"/>
          <w:szCs w:val="24"/>
          <w:highlight w:val="none"/>
          <w:u w:val="single"/>
          <w:lang w:val="en-US" w:eastAsia="zh-CN" w:bidi="ar"/>
        </w:rPr>
        <w:t>（项目名称）</w:t>
      </w:r>
      <w:r>
        <w:rPr>
          <w:rFonts w:hint="eastAsia" w:ascii="宋体" w:hAnsi="宋体" w:eastAsia="宋体" w:cs="宋体"/>
          <w:color w:val="auto"/>
          <w:kern w:val="0"/>
          <w:sz w:val="24"/>
          <w:szCs w:val="24"/>
          <w:highlight w:val="none"/>
          <w:lang w:val="en-US" w:eastAsia="zh-CN" w:bidi="ar"/>
        </w:rPr>
        <w:t xml:space="preserve">采购活动，服务全部由符合政策要求的中小企业承接。相关企业的具体情况如下： </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i/>
          <w:color w:val="auto"/>
          <w:kern w:val="0"/>
          <w:sz w:val="24"/>
          <w:szCs w:val="24"/>
          <w:highlight w:val="none"/>
          <w:u w:val="single"/>
          <w:lang w:val="en-US" w:eastAsia="zh-CN" w:bidi="ar"/>
        </w:rPr>
        <w:t xml:space="preserve">（标的名称） </w:t>
      </w:r>
      <w:r>
        <w:rPr>
          <w:rFonts w:hint="eastAsia" w:ascii="宋体" w:hAnsi="宋体" w:eastAsia="宋体" w:cs="宋体"/>
          <w:color w:val="auto"/>
          <w:kern w:val="0"/>
          <w:sz w:val="24"/>
          <w:szCs w:val="24"/>
          <w:highlight w:val="none"/>
          <w:lang w:val="en-US" w:eastAsia="zh-CN" w:bidi="ar"/>
        </w:rPr>
        <w:t>，属于</w:t>
      </w:r>
      <w:r>
        <w:rPr>
          <w:rFonts w:hint="eastAsia" w:ascii="宋体" w:hAnsi="宋体" w:eastAsia="宋体" w:cs="宋体"/>
          <w:i/>
          <w:color w:val="auto"/>
          <w:kern w:val="0"/>
          <w:sz w:val="24"/>
          <w:szCs w:val="24"/>
          <w:highlight w:val="none"/>
          <w:u w:val="single"/>
          <w:lang w:val="en-US" w:eastAsia="zh-CN" w:bidi="ar"/>
        </w:rPr>
        <w:t>（采购文件中明确的所属行业）</w:t>
      </w:r>
      <w:r>
        <w:rPr>
          <w:rFonts w:hint="eastAsia" w:ascii="宋体" w:hAnsi="宋体" w:eastAsia="宋体" w:cs="宋体"/>
          <w:i/>
          <w:color w:val="auto"/>
          <w:kern w:val="0"/>
          <w:sz w:val="24"/>
          <w:szCs w:val="24"/>
          <w:highlight w:val="none"/>
          <w:lang w:val="en-US" w:eastAsia="zh-CN" w:bidi="ar"/>
        </w:rPr>
        <w:t>行业</w:t>
      </w:r>
      <w:r>
        <w:rPr>
          <w:rFonts w:hint="eastAsia" w:ascii="宋体" w:hAnsi="宋体" w:eastAsia="宋体" w:cs="宋体"/>
          <w:color w:val="auto"/>
          <w:kern w:val="0"/>
          <w:sz w:val="24"/>
          <w:szCs w:val="24"/>
          <w:highlight w:val="none"/>
          <w:lang w:val="en-US" w:eastAsia="zh-CN" w:bidi="ar"/>
        </w:rPr>
        <w:t>；承接企业为</w:t>
      </w:r>
      <w:r>
        <w:rPr>
          <w:rFonts w:hint="eastAsia" w:ascii="宋体" w:hAnsi="宋体" w:eastAsia="宋体" w:cs="宋体"/>
          <w:i/>
          <w:color w:val="auto"/>
          <w:kern w:val="0"/>
          <w:sz w:val="24"/>
          <w:szCs w:val="24"/>
          <w:highlight w:val="none"/>
          <w:u w:val="single"/>
          <w:lang w:val="en-US" w:eastAsia="zh-CN" w:bidi="ar"/>
        </w:rPr>
        <w:t>（企业名称）</w:t>
      </w:r>
      <w:r>
        <w:rPr>
          <w:rFonts w:hint="eastAsia" w:ascii="宋体" w:hAnsi="宋体" w:eastAsia="宋体" w:cs="宋体"/>
          <w:color w:val="auto"/>
          <w:kern w:val="0"/>
          <w:sz w:val="24"/>
          <w:szCs w:val="24"/>
          <w:highlight w:val="none"/>
          <w:lang w:val="en-US" w:eastAsia="zh-CN" w:bidi="ar"/>
        </w:rPr>
        <w:t>，从业人员</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人，营业收入为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万元，资产总额为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万元，属于</w:t>
      </w:r>
      <w:r>
        <w:rPr>
          <w:rFonts w:hint="eastAsia" w:ascii="宋体" w:hAnsi="宋体" w:eastAsia="宋体" w:cs="宋体"/>
          <w:i/>
          <w:color w:val="auto"/>
          <w:kern w:val="0"/>
          <w:sz w:val="24"/>
          <w:szCs w:val="24"/>
          <w:highlight w:val="none"/>
          <w:u w:val="single"/>
          <w:lang w:val="en-US" w:eastAsia="zh-CN" w:bidi="ar"/>
        </w:rPr>
        <w:t>（中型企业、小型企业、微型企业）</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以上企业，不属于大企业的分支机构，不存在控股股东为大企业的情形，也不存在与大企业的负责人为同一人的情形。</w:t>
      </w:r>
    </w:p>
    <w:p>
      <w:pPr>
        <w:pageBreakBefore w:val="0"/>
        <w:kinsoku/>
        <w:wordWrap w:val="0"/>
        <w:topLinePunct w:val="0"/>
        <w:bidi w:val="0"/>
        <w:snapToGrid/>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本企业对上述声明内容的真实性负责。如有虚假，将依法承担相应责任。</w:t>
      </w:r>
    </w:p>
    <w:p>
      <w:pPr>
        <w:pageBreakBefore w:val="0"/>
        <w:kinsoku/>
        <w:wordWrap w:val="0"/>
        <w:topLinePunct w:val="0"/>
        <w:bidi w:val="0"/>
        <w:snapToGrid/>
        <w:spacing w:line="360" w:lineRule="auto"/>
        <w:ind w:firstLine="480" w:firstLineChars="200"/>
        <w:rPr>
          <w:rFonts w:hint="eastAsia" w:ascii="宋体" w:hAnsi="宋体" w:eastAsia="宋体" w:cs="宋体"/>
          <w:color w:val="auto"/>
          <w:sz w:val="24"/>
          <w:highlight w:val="none"/>
        </w:rPr>
      </w:pPr>
    </w:p>
    <w:p>
      <w:pPr>
        <w:pageBreakBefore w:val="0"/>
        <w:widowControl/>
        <w:kinsoku/>
        <w:wordWrap w:val="0"/>
        <w:topLinePunct w:val="0"/>
        <w:bidi w:val="0"/>
        <w:snapToGrid/>
        <w:spacing w:line="360" w:lineRule="auto"/>
        <w:ind w:left="5626" w:leftChars="2679"/>
        <w:jc w:val="left"/>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投标人名称（</w:t>
      </w:r>
      <w:r>
        <w:rPr>
          <w:rFonts w:hint="eastAsia" w:ascii="宋体" w:hAnsi="宋体" w:eastAsia="宋体" w:cs="宋体"/>
          <w:color w:val="auto"/>
          <w:sz w:val="24"/>
          <w:highlight w:val="none"/>
          <w:lang w:eastAsia="zh-CN"/>
        </w:rPr>
        <w:t>电子签章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pPr>
        <w:pageBreakBefore w:val="0"/>
        <w:widowControl/>
        <w:kinsoku/>
        <w:wordWrap w:val="0"/>
        <w:topLinePunct w:val="0"/>
        <w:bidi w:val="0"/>
        <w:snapToGrid/>
        <w:spacing w:line="360" w:lineRule="auto"/>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 xml:space="preserve">                                              年     月      日</w:t>
      </w:r>
    </w:p>
    <w:p>
      <w:pPr>
        <w:pageBreakBefore w:val="0"/>
        <w:kinsoku/>
        <w:wordWrap w:val="0"/>
        <w:topLinePunct w:val="0"/>
        <w:bidi w:val="0"/>
        <w:snapToGrid/>
        <w:spacing w:line="360" w:lineRule="auto"/>
        <w:ind w:firstLine="480" w:firstLineChars="200"/>
        <w:rPr>
          <w:rFonts w:hint="eastAsia" w:ascii="宋体" w:hAnsi="宋体" w:eastAsia="宋体" w:cs="宋体"/>
          <w:color w:val="auto"/>
          <w:sz w:val="24"/>
          <w:highlight w:val="none"/>
        </w:rPr>
      </w:pPr>
    </w:p>
    <w:p>
      <w:pPr>
        <w:pageBreakBefore w:val="0"/>
        <w:kinsoku/>
        <w:wordWrap w:val="0"/>
        <w:topLinePunct w:val="0"/>
        <w:bidi w:val="0"/>
        <w:snapToGrid/>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说明：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2"/>
          <w:sz w:val="21"/>
          <w:szCs w:val="21"/>
          <w:highlight w:val="none"/>
          <w:u w:val="none"/>
          <w:lang w:val="en-US" w:eastAsia="zh-CN" w:bidi="ar-SA"/>
        </w:rPr>
        <w:t>1.标的</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kern w:val="2"/>
          <w:sz w:val="21"/>
          <w:szCs w:val="21"/>
          <w:highlight w:val="none"/>
          <w:u w:val="none"/>
          <w:lang w:val="en-US" w:eastAsia="zh-CN" w:bidi="ar-SA"/>
        </w:rPr>
        <w:t>1.1</w:t>
      </w:r>
      <w:r>
        <w:rPr>
          <w:rFonts w:hint="eastAsia" w:ascii="宋体" w:hAnsi="宋体" w:eastAsia="宋体" w:cs="宋体"/>
          <w:b w:val="0"/>
          <w:bCs w:val="0"/>
          <w:i w:val="0"/>
          <w:iCs w:val="0"/>
          <w:color w:val="auto"/>
          <w:sz w:val="21"/>
          <w:szCs w:val="21"/>
          <w:highlight w:val="none"/>
          <w:u w:val="none"/>
          <w:lang w:val="en-US" w:eastAsia="zh-CN"/>
        </w:rPr>
        <w:t>按照【招标文件】中明确的标的填写标的名称；</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kern w:val="2"/>
          <w:sz w:val="21"/>
          <w:szCs w:val="21"/>
          <w:highlight w:val="none"/>
          <w:u w:val="none"/>
          <w:lang w:val="en-US" w:eastAsia="zh-CN" w:bidi="ar-SA"/>
        </w:rPr>
      </w:pPr>
      <w:r>
        <w:rPr>
          <w:rFonts w:hint="eastAsia" w:ascii="宋体" w:hAnsi="宋体" w:eastAsia="宋体" w:cs="宋体"/>
          <w:b w:val="0"/>
          <w:bCs w:val="0"/>
          <w:i w:val="0"/>
          <w:iCs w:val="0"/>
          <w:color w:val="auto"/>
          <w:sz w:val="21"/>
          <w:szCs w:val="21"/>
          <w:highlight w:val="none"/>
          <w:u w:val="none"/>
          <w:lang w:val="en-US" w:eastAsia="zh-CN"/>
        </w:rPr>
        <w:t>1.2《中小企业声明函》中</w:t>
      </w:r>
      <w:r>
        <w:rPr>
          <w:rFonts w:hint="eastAsia" w:ascii="宋体" w:hAnsi="宋体" w:eastAsia="宋体" w:cs="宋体"/>
          <w:b w:val="0"/>
          <w:bCs w:val="0"/>
          <w:kern w:val="2"/>
          <w:sz w:val="21"/>
          <w:szCs w:val="21"/>
          <w:highlight w:val="none"/>
          <w:u w:val="none"/>
          <w:lang w:val="en-US" w:eastAsia="zh-CN" w:bidi="ar-SA"/>
        </w:rPr>
        <w:t>未包括全部采购标的，</w:t>
      </w:r>
      <w:r>
        <w:rPr>
          <w:rFonts w:hint="eastAsia" w:ascii="宋体" w:hAnsi="宋体" w:eastAsia="宋体" w:cs="宋体"/>
          <w:b/>
          <w:bCs/>
          <w:i w:val="0"/>
          <w:iCs w:val="0"/>
          <w:color w:val="auto"/>
          <w:sz w:val="21"/>
          <w:szCs w:val="21"/>
          <w:highlight w:val="none"/>
          <w:u w:val="none"/>
          <w:lang w:val="en-US" w:eastAsia="zh-CN"/>
        </w:rPr>
        <w:t>《中小企业声明函》无效</w:t>
      </w:r>
      <w:r>
        <w:rPr>
          <w:rFonts w:hint="eastAsia" w:ascii="宋体" w:hAnsi="宋体" w:eastAsia="宋体" w:cs="宋体"/>
          <w:b w:val="0"/>
          <w:bCs w:val="0"/>
          <w:i w:val="0"/>
          <w:iCs w:val="0"/>
          <w:color w:val="auto"/>
          <w:sz w:val="21"/>
          <w:szCs w:val="21"/>
          <w:highlight w:val="none"/>
          <w:u w:val="none"/>
          <w:lang w:val="en-US" w:eastAsia="zh-CN"/>
        </w:rPr>
        <w:t>。（招标文件中明确的标的是能够独立发挥功能的产品，配件、辅料不作为标的，不需要在《中小企业声明函》里填列）</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val="0"/>
          <w:bCs w:val="0"/>
          <w:kern w:val="2"/>
          <w:sz w:val="21"/>
          <w:szCs w:val="21"/>
          <w:highlight w:val="none"/>
          <w:u w:val="none"/>
          <w:lang w:val="en-US" w:eastAsia="zh-CN" w:bidi="ar-SA"/>
        </w:rPr>
      </w:pPr>
      <w:r>
        <w:rPr>
          <w:rFonts w:hint="eastAsia" w:ascii="宋体" w:hAnsi="宋体" w:eastAsia="宋体" w:cs="宋体"/>
          <w:b/>
          <w:bCs/>
          <w:kern w:val="2"/>
          <w:sz w:val="21"/>
          <w:szCs w:val="21"/>
          <w:highlight w:val="none"/>
          <w:u w:val="none"/>
          <w:lang w:val="en-US" w:eastAsia="zh-CN" w:bidi="ar-SA"/>
        </w:rPr>
        <w:t>2.所属行业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按照【招标文件】中明确的标的“所属行业”填写，</w:t>
      </w:r>
      <w:r>
        <w:rPr>
          <w:rFonts w:hint="eastAsia" w:ascii="宋体" w:hAnsi="宋体" w:eastAsia="宋体" w:cs="宋体"/>
          <w:b w:val="0"/>
          <w:bCs w:val="0"/>
          <w:i w:val="0"/>
          <w:iCs w:val="0"/>
          <w:color w:val="auto"/>
          <w:sz w:val="21"/>
          <w:szCs w:val="21"/>
          <w:highlight w:val="none"/>
          <w:u w:val="none"/>
        </w:rPr>
        <w:t>未填写</w:t>
      </w:r>
      <w:r>
        <w:rPr>
          <w:rFonts w:hint="eastAsia" w:ascii="宋体" w:hAnsi="宋体" w:eastAsia="宋体" w:cs="宋体"/>
          <w:b w:val="0"/>
          <w:bCs w:val="0"/>
          <w:i w:val="0"/>
          <w:iCs w:val="0"/>
          <w:color w:val="auto"/>
          <w:sz w:val="21"/>
          <w:szCs w:val="21"/>
          <w:highlight w:val="none"/>
          <w:u w:val="none"/>
          <w:lang w:val="en-US" w:eastAsia="zh-CN"/>
        </w:rPr>
        <w:t>标的所属</w:t>
      </w:r>
      <w:r>
        <w:rPr>
          <w:rFonts w:hint="eastAsia" w:ascii="宋体" w:hAnsi="宋体" w:eastAsia="宋体" w:cs="宋体"/>
          <w:b w:val="0"/>
          <w:bCs w:val="0"/>
          <w:i w:val="0"/>
          <w:iCs w:val="0"/>
          <w:color w:val="auto"/>
          <w:sz w:val="21"/>
          <w:szCs w:val="21"/>
          <w:highlight w:val="none"/>
          <w:u w:val="none"/>
        </w:rPr>
        <w:t>行业</w:t>
      </w:r>
      <w:r>
        <w:rPr>
          <w:rFonts w:hint="eastAsia" w:ascii="宋体" w:hAnsi="宋体" w:eastAsia="宋体" w:cs="宋体"/>
          <w:b w:val="0"/>
          <w:bCs w:val="0"/>
          <w:i w:val="0"/>
          <w:iCs w:val="0"/>
          <w:color w:val="auto"/>
          <w:sz w:val="21"/>
          <w:szCs w:val="21"/>
          <w:highlight w:val="none"/>
          <w:u w:val="none"/>
          <w:lang w:eastAsia="zh-CN"/>
        </w:rPr>
        <w:t>，</w:t>
      </w:r>
      <w:r>
        <w:rPr>
          <w:rFonts w:hint="eastAsia" w:ascii="宋体" w:hAnsi="宋体" w:eastAsia="宋体" w:cs="宋体"/>
          <w:b w:val="0"/>
          <w:bCs w:val="0"/>
          <w:i w:val="0"/>
          <w:iCs w:val="0"/>
          <w:color w:val="auto"/>
          <w:sz w:val="21"/>
          <w:szCs w:val="21"/>
          <w:highlight w:val="none"/>
          <w:u w:val="none"/>
        </w:rPr>
        <w:t>或者填写</w:t>
      </w:r>
      <w:r>
        <w:rPr>
          <w:rFonts w:hint="eastAsia" w:ascii="宋体" w:hAnsi="宋体" w:eastAsia="宋体" w:cs="宋体"/>
          <w:b w:val="0"/>
          <w:bCs w:val="0"/>
          <w:i w:val="0"/>
          <w:iCs w:val="0"/>
          <w:color w:val="auto"/>
          <w:sz w:val="21"/>
          <w:szCs w:val="21"/>
          <w:highlight w:val="none"/>
          <w:u w:val="none"/>
          <w:lang w:val="en-US" w:eastAsia="zh-CN"/>
        </w:rPr>
        <w:t>的所属</w:t>
      </w:r>
      <w:r>
        <w:rPr>
          <w:rFonts w:hint="eastAsia" w:ascii="宋体" w:hAnsi="宋体" w:eastAsia="宋体" w:cs="宋体"/>
          <w:b w:val="0"/>
          <w:bCs w:val="0"/>
          <w:i w:val="0"/>
          <w:iCs w:val="0"/>
          <w:color w:val="auto"/>
          <w:sz w:val="21"/>
          <w:szCs w:val="21"/>
          <w:highlight w:val="none"/>
          <w:u w:val="none"/>
        </w:rPr>
        <w:t>行业</w:t>
      </w:r>
      <w:r>
        <w:rPr>
          <w:rFonts w:hint="eastAsia" w:ascii="宋体" w:hAnsi="宋体" w:eastAsia="宋体" w:cs="宋体"/>
          <w:b w:val="0"/>
          <w:bCs w:val="0"/>
          <w:i w:val="0"/>
          <w:iCs w:val="0"/>
          <w:color w:val="auto"/>
          <w:sz w:val="21"/>
          <w:szCs w:val="21"/>
          <w:highlight w:val="none"/>
          <w:u w:val="none"/>
          <w:lang w:val="en-US" w:eastAsia="zh-CN"/>
        </w:rPr>
        <w:t>与招标文件明确的所属行业不一致，</w:t>
      </w:r>
      <w:r>
        <w:rPr>
          <w:rFonts w:hint="eastAsia" w:ascii="宋体" w:hAnsi="宋体" w:eastAsia="宋体" w:cs="宋体"/>
          <w:b/>
          <w:bCs/>
          <w:i w:val="0"/>
          <w:iCs w:val="0"/>
          <w:color w:val="auto"/>
          <w:sz w:val="21"/>
          <w:szCs w:val="21"/>
          <w:highlight w:val="none"/>
          <w:u w:val="none"/>
          <w:lang w:val="en-US" w:eastAsia="zh-CN"/>
        </w:rPr>
        <w:t>《中小企业声明函》无效</w:t>
      </w:r>
      <w:r>
        <w:rPr>
          <w:rFonts w:hint="eastAsia" w:ascii="宋体" w:hAnsi="宋体" w:eastAsia="宋体" w:cs="宋体"/>
          <w:b w:val="0"/>
          <w:bCs w:val="0"/>
          <w:i w:val="0"/>
          <w:iCs w:val="0"/>
          <w:color w:val="auto"/>
          <w:sz w:val="21"/>
          <w:szCs w:val="21"/>
          <w:highlight w:val="none"/>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3.承接企业</w:t>
      </w:r>
    </w:p>
    <w:p>
      <w:pPr>
        <w:pStyle w:val="2"/>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承接本项目的服务供应商。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bCs/>
          <w:i w:val="0"/>
          <w:iCs w:val="0"/>
          <w:color w:val="auto"/>
          <w:kern w:val="2"/>
          <w:sz w:val="21"/>
          <w:szCs w:val="21"/>
          <w:highlight w:val="none"/>
          <w:u w:val="none"/>
          <w:lang w:val="en-US" w:eastAsia="zh-CN" w:bidi="ar-SA"/>
        </w:rPr>
        <w:t>4.</w:t>
      </w:r>
      <w:r>
        <w:rPr>
          <w:rFonts w:hint="eastAsia" w:ascii="宋体" w:hAnsi="宋体" w:eastAsia="宋体" w:cs="宋体"/>
          <w:b/>
          <w:bCs/>
          <w:i w:val="0"/>
          <w:iCs w:val="0"/>
          <w:color w:val="auto"/>
          <w:sz w:val="21"/>
          <w:szCs w:val="21"/>
          <w:highlight w:val="none"/>
          <w:u w:val="none"/>
          <w:lang w:val="en-US" w:eastAsia="zh-CN"/>
        </w:rPr>
        <w:t>企业数据（</w:t>
      </w:r>
      <w:r>
        <w:rPr>
          <w:rFonts w:hint="eastAsia" w:ascii="宋体" w:hAnsi="宋体" w:eastAsia="宋体" w:cs="宋体"/>
          <w:b/>
          <w:bCs/>
          <w:color w:val="auto"/>
          <w:sz w:val="21"/>
          <w:szCs w:val="21"/>
          <w:highlight w:val="none"/>
          <w:u w:val="none"/>
        </w:rPr>
        <w:t>从业人员、营业收入、资产总额</w:t>
      </w:r>
      <w:r>
        <w:rPr>
          <w:rFonts w:hint="eastAsia" w:ascii="宋体" w:hAnsi="宋体" w:eastAsia="宋体" w:cs="宋体"/>
          <w:b/>
          <w:bCs/>
          <w:i w:val="0"/>
          <w:iCs w:val="0"/>
          <w:color w:val="auto"/>
          <w:sz w:val="21"/>
          <w:szCs w:val="21"/>
          <w:highlight w:val="none"/>
          <w:u w:val="none"/>
          <w:lang w:val="en-US"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color w:val="auto"/>
          <w:sz w:val="21"/>
          <w:szCs w:val="21"/>
          <w:highlight w:val="none"/>
          <w:u w:val="none"/>
          <w:lang w:eastAsia="zh-CN"/>
        </w:rPr>
      </w:pPr>
      <w:r>
        <w:rPr>
          <w:rFonts w:hint="eastAsia" w:ascii="宋体" w:hAnsi="宋体" w:eastAsia="宋体" w:cs="宋体"/>
          <w:b w:val="0"/>
          <w:bCs w:val="0"/>
          <w:i w:val="0"/>
          <w:iCs w:val="0"/>
          <w:color w:val="auto"/>
          <w:sz w:val="21"/>
          <w:szCs w:val="21"/>
          <w:highlight w:val="none"/>
          <w:u w:val="none"/>
          <w:lang w:val="en-US" w:eastAsia="zh-CN"/>
        </w:rPr>
        <w:t>企业数据</w:t>
      </w:r>
      <w:r>
        <w:rPr>
          <w:rFonts w:hint="eastAsia" w:ascii="宋体" w:hAnsi="宋体" w:eastAsia="宋体" w:cs="宋体"/>
          <w:b w:val="0"/>
          <w:bCs w:val="0"/>
          <w:color w:val="auto"/>
          <w:sz w:val="21"/>
          <w:szCs w:val="21"/>
          <w:highlight w:val="none"/>
          <w:u w:val="none"/>
        </w:rPr>
        <w:t>填报上一年度数据</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rPr>
        <w:t>无上一年度数据的新</w:t>
      </w:r>
      <w:r>
        <w:rPr>
          <w:rFonts w:hint="eastAsia" w:ascii="宋体" w:hAnsi="宋体" w:eastAsia="宋体" w:cs="宋体"/>
          <w:b w:val="0"/>
          <w:bCs w:val="0"/>
          <w:color w:val="auto"/>
          <w:sz w:val="21"/>
          <w:szCs w:val="21"/>
          <w:highlight w:val="none"/>
          <w:u w:val="none"/>
          <w:lang w:val="en-US" w:eastAsia="zh-CN"/>
        </w:rPr>
        <w:t>成立</w:t>
      </w:r>
      <w:r>
        <w:rPr>
          <w:rFonts w:hint="eastAsia" w:ascii="宋体" w:hAnsi="宋体" w:eastAsia="宋体" w:cs="宋体"/>
          <w:b w:val="0"/>
          <w:bCs w:val="0"/>
          <w:color w:val="auto"/>
          <w:sz w:val="21"/>
          <w:szCs w:val="21"/>
          <w:highlight w:val="none"/>
          <w:u w:val="none"/>
        </w:rPr>
        <w:t>公司可不填写</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i w:val="0"/>
          <w:iCs w:val="0"/>
          <w:color w:val="auto"/>
          <w:sz w:val="21"/>
          <w:szCs w:val="21"/>
          <w:highlight w:val="none"/>
          <w:u w:val="none"/>
          <w:lang w:val="en-US" w:eastAsia="zh-CN"/>
        </w:rPr>
        <w:t>企业数据</w:t>
      </w:r>
      <w:r>
        <w:rPr>
          <w:rFonts w:hint="eastAsia" w:ascii="宋体" w:hAnsi="宋体" w:eastAsia="宋体" w:cs="宋体"/>
          <w:b w:val="0"/>
          <w:bCs w:val="0"/>
          <w:i w:val="0"/>
          <w:iCs w:val="0"/>
          <w:color w:val="auto"/>
          <w:sz w:val="21"/>
          <w:szCs w:val="21"/>
          <w:highlight w:val="none"/>
          <w:u w:val="none"/>
        </w:rPr>
        <w:t>有误的，评标委员会可以要求供应商进行澄清、说明。</w:t>
      </w:r>
    </w:p>
    <w:p>
      <w:pPr>
        <w:pStyle w:val="2"/>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5.中型企业、小型企业、微型企业类型</w:t>
      </w:r>
    </w:p>
    <w:p>
      <w:pPr>
        <w:pStyle w:val="2"/>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color w:val="auto"/>
          <w:sz w:val="21"/>
          <w:szCs w:val="21"/>
          <w:highlight w:val="none"/>
          <w:u w:val="none"/>
          <w:lang w:eastAsia="zh-CN"/>
        </w:rPr>
      </w:pPr>
      <w:r>
        <w:rPr>
          <w:rFonts w:hint="eastAsia" w:ascii="宋体" w:hAnsi="宋体" w:eastAsia="宋体" w:cs="宋体"/>
          <w:b w:val="0"/>
          <w:bCs w:val="0"/>
          <w:color w:val="auto"/>
          <w:sz w:val="21"/>
          <w:szCs w:val="21"/>
          <w:highlight w:val="none"/>
          <w:u w:val="none"/>
          <w:lang w:val="en-US" w:eastAsia="zh-CN"/>
        </w:rPr>
        <w:t>5.1</w:t>
      </w:r>
      <w:r>
        <w:rPr>
          <w:rFonts w:hint="eastAsia" w:ascii="宋体" w:hAnsi="宋体" w:eastAsia="宋体" w:cs="宋体"/>
          <w:b w:val="0"/>
          <w:bCs w:val="0"/>
          <w:color w:val="auto"/>
          <w:sz w:val="21"/>
          <w:szCs w:val="21"/>
          <w:highlight w:val="none"/>
          <w:u w:val="none"/>
        </w:rPr>
        <w:t>投标人须</w:t>
      </w:r>
      <w:r>
        <w:rPr>
          <w:rFonts w:hint="eastAsia" w:ascii="宋体" w:hAnsi="宋体" w:eastAsia="宋体" w:cs="宋体"/>
          <w:b w:val="0"/>
          <w:bCs w:val="0"/>
          <w:i w:val="0"/>
          <w:iCs w:val="0"/>
          <w:color w:val="auto"/>
          <w:sz w:val="21"/>
          <w:szCs w:val="21"/>
          <w:highlight w:val="none"/>
          <w:u w:val="none"/>
          <w:lang w:val="en-US" w:eastAsia="zh-CN"/>
        </w:rPr>
        <w:t>按照《中小企业划型标准规定》（工信部联企业〔2011〕300号）规定和【招标文件】中明确的标的“所属行业”，选择“中型企业、小型企业、微型企业”其中之一</w:t>
      </w:r>
      <w:r>
        <w:rPr>
          <w:rFonts w:hint="eastAsia" w:ascii="宋体" w:hAnsi="宋体" w:eastAsia="宋体" w:cs="宋体"/>
          <w:b w:val="0"/>
          <w:bCs w:val="0"/>
          <w:color w:val="auto"/>
          <w:sz w:val="21"/>
          <w:szCs w:val="21"/>
          <w:highlight w:val="none"/>
          <w:u w:val="none"/>
        </w:rPr>
        <w:t>正确填写《中小企业声明函》中的类型</w:t>
      </w:r>
      <w:r>
        <w:rPr>
          <w:rFonts w:hint="eastAsia" w:ascii="宋体" w:hAnsi="宋体" w:eastAsia="宋体" w:cs="宋体"/>
          <w:b w:val="0"/>
          <w:bCs w:val="0"/>
          <w:color w:val="auto"/>
          <w:sz w:val="21"/>
          <w:szCs w:val="21"/>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color w:val="auto"/>
          <w:sz w:val="21"/>
          <w:szCs w:val="21"/>
          <w:highlight w:val="none"/>
          <w:u w:val="none"/>
          <w:lang w:eastAsia="zh-CN"/>
        </w:rPr>
      </w:pPr>
      <w:r>
        <w:rPr>
          <w:rFonts w:hint="eastAsia" w:ascii="宋体" w:hAnsi="宋体" w:eastAsia="宋体" w:cs="宋体"/>
          <w:b w:val="0"/>
          <w:bCs w:val="0"/>
          <w:color w:val="auto"/>
          <w:sz w:val="21"/>
          <w:szCs w:val="21"/>
          <w:highlight w:val="none"/>
          <w:u w:val="none"/>
          <w:lang w:val="en-US" w:eastAsia="zh-CN"/>
        </w:rPr>
        <w:t>5.2未填写企业类型、填写的企业类型不明确或填写的企业类型与实际不符（即：企业类型（中型企业、小型企业或微型企业）填写错误）</w:t>
      </w:r>
      <w:r>
        <w:rPr>
          <w:rFonts w:hint="eastAsia" w:ascii="宋体" w:hAnsi="宋体" w:eastAsia="宋体" w:cs="宋体"/>
          <w:b w:val="0"/>
          <w:bCs w:val="0"/>
          <w:color w:val="auto"/>
          <w:sz w:val="21"/>
          <w:szCs w:val="21"/>
          <w:highlight w:val="none"/>
          <w:u w:val="none"/>
        </w:rPr>
        <w:t>，</w:t>
      </w:r>
      <w:r>
        <w:rPr>
          <w:rFonts w:hint="eastAsia" w:ascii="宋体" w:hAnsi="宋体" w:eastAsia="宋体" w:cs="宋体"/>
          <w:b/>
          <w:bCs/>
          <w:i w:val="0"/>
          <w:iCs w:val="0"/>
          <w:color w:val="auto"/>
          <w:sz w:val="21"/>
          <w:szCs w:val="21"/>
          <w:highlight w:val="none"/>
          <w:u w:val="none"/>
          <w:lang w:val="en-US" w:eastAsia="zh-CN"/>
        </w:rPr>
        <w:t>《中小企业声明函》无效</w:t>
      </w:r>
      <w:r>
        <w:rPr>
          <w:rFonts w:hint="eastAsia" w:ascii="宋体" w:hAnsi="宋体" w:eastAsia="宋体" w:cs="宋体"/>
          <w:b w:val="0"/>
          <w:bCs w:val="0"/>
          <w:color w:val="auto"/>
          <w:sz w:val="21"/>
          <w:szCs w:val="21"/>
          <w:highlight w:val="none"/>
          <w:u w:val="none"/>
          <w:lang w:eastAsia="zh-CN"/>
        </w:rPr>
        <w:t>。</w:t>
      </w:r>
    </w:p>
    <w:p>
      <w:pPr>
        <w:pStyle w:val="12"/>
        <w:keepNext w:val="0"/>
        <w:keepLines w:val="0"/>
        <w:pageBreakBefore w:val="0"/>
        <w:widowControl w:val="0"/>
        <w:kinsoku/>
        <w:wordWrap w:val="0"/>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u w:val="none"/>
          <w:lang w:val="en-US" w:eastAsia="zh-CN"/>
        </w:rPr>
        <w:t>5.3</w:t>
      </w:r>
      <w:r>
        <w:rPr>
          <w:rFonts w:hint="eastAsia" w:ascii="宋体" w:hAnsi="宋体" w:eastAsia="宋体" w:cs="宋体"/>
          <w:b w:val="0"/>
          <w:bCs w:val="0"/>
          <w:i w:val="0"/>
          <w:iCs w:val="0"/>
          <w:color w:val="auto"/>
          <w:sz w:val="21"/>
          <w:szCs w:val="21"/>
          <w:highlight w:val="none"/>
          <w:u w:val="none"/>
          <w:lang w:val="en-US" w:eastAsia="zh-CN"/>
        </w:rPr>
        <w:t>供应商声明的类型获得了本不应获得的利益（价格扣除或者资格审查通过）</w:t>
      </w:r>
      <w:r>
        <w:rPr>
          <w:rFonts w:hint="eastAsia" w:ascii="宋体" w:hAnsi="宋体" w:eastAsia="宋体" w:cs="宋体"/>
          <w:b w:val="0"/>
          <w:bCs w:val="0"/>
          <w:i w:val="0"/>
          <w:iCs w:val="0"/>
          <w:color w:val="auto"/>
          <w:sz w:val="21"/>
          <w:szCs w:val="21"/>
          <w:highlight w:val="none"/>
          <w:u w:val="none"/>
        </w:rPr>
        <w:t>，属于提供虚假材料。构成“</w:t>
      </w:r>
      <w:r>
        <w:rPr>
          <w:rFonts w:hint="eastAsia" w:ascii="宋体" w:hAnsi="宋体" w:eastAsia="宋体" w:cs="宋体"/>
          <w:b w:val="0"/>
          <w:bCs w:val="0"/>
          <w:i w:val="0"/>
          <w:iCs w:val="0"/>
          <w:color w:val="auto"/>
          <w:sz w:val="21"/>
          <w:szCs w:val="21"/>
          <w:highlight w:val="none"/>
          <w:u w:val="none"/>
          <w:lang w:val="en-US" w:eastAsia="zh-CN"/>
        </w:rPr>
        <w:t>提供</w:t>
      </w:r>
      <w:r>
        <w:rPr>
          <w:rFonts w:hint="eastAsia" w:ascii="宋体" w:hAnsi="宋体" w:eastAsia="宋体" w:cs="宋体"/>
          <w:b w:val="0"/>
          <w:bCs w:val="0"/>
          <w:i w:val="0"/>
          <w:iCs w:val="0"/>
          <w:color w:val="auto"/>
          <w:sz w:val="21"/>
          <w:szCs w:val="21"/>
          <w:highlight w:val="none"/>
          <w:u w:val="none"/>
        </w:rPr>
        <w:t>虚假材料谋取中标的”，依法承担法律责任。</w:t>
      </w:r>
    </w:p>
    <w:p>
      <w:pPr>
        <w:pStyle w:val="12"/>
        <w:pageBreakBefore w:val="0"/>
        <w:kinsoku/>
        <w:wordWrap w:val="0"/>
        <w:topLinePunct w:val="0"/>
        <w:bidi w:val="0"/>
        <w:adjustRightInd w:val="0"/>
        <w:snapToGrid/>
        <w:spacing w:line="360" w:lineRule="auto"/>
        <w:ind w:firstLine="482" w:firstLineChars="200"/>
        <w:rPr>
          <w:rFonts w:hint="eastAsia" w:ascii="宋体" w:hAnsi="宋体" w:eastAsia="宋体" w:cs="宋体"/>
          <w:b/>
          <w:bCs/>
          <w:color w:val="auto"/>
          <w:sz w:val="24"/>
          <w:szCs w:val="24"/>
          <w:highlight w:val="none"/>
        </w:rPr>
      </w:pPr>
    </w:p>
    <w:p>
      <w:pPr>
        <w:pStyle w:val="12"/>
        <w:pageBreakBefore w:val="0"/>
        <w:kinsoku/>
        <w:wordWrap w:val="0"/>
        <w:topLinePunct w:val="0"/>
        <w:bidi w:val="0"/>
        <w:adjustRightInd w:val="0"/>
        <w:snapToGrid/>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ageBreakBefore w:val="0"/>
        <w:kinsoku/>
        <w:wordWrap w:val="0"/>
        <w:topLinePunct w:val="0"/>
        <w:bidi w:val="0"/>
        <w:snapToGrid/>
        <w:spacing w:line="360" w:lineRule="auto"/>
        <w:jc w:val="center"/>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监狱企业声明函</w:t>
      </w:r>
    </w:p>
    <w:p>
      <w:pPr>
        <w:pageBreakBefore w:val="0"/>
        <w:kinsoku/>
        <w:wordWrap w:val="0"/>
        <w:topLinePunct w:val="0"/>
        <w:bidi w:val="0"/>
        <w:adjustRightInd w:val="0"/>
        <w:snapToGrid/>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bCs/>
          <w:color w:val="auto"/>
          <w:sz w:val="24"/>
          <w:highlight w:val="none"/>
        </w:rPr>
        <w:t>非监狱企业不用提供</w:t>
      </w:r>
      <w:r>
        <w:rPr>
          <w:rFonts w:hint="eastAsia" w:ascii="宋体" w:hAnsi="宋体" w:eastAsia="宋体" w:cs="宋体"/>
          <w:b/>
          <w:color w:val="auto"/>
          <w:sz w:val="24"/>
          <w:highlight w:val="none"/>
        </w:rPr>
        <w:t>】</w:t>
      </w:r>
    </w:p>
    <w:p>
      <w:pPr>
        <w:pageBreakBefore w:val="0"/>
        <w:widowControl/>
        <w:kinsoku/>
        <w:wordWrap w:val="0"/>
        <w:topLinePunct w:val="0"/>
        <w:bidi w:val="0"/>
        <w:adjustRightInd w:val="0"/>
        <w:snapToGrid/>
        <w:spacing w:line="360" w:lineRule="auto"/>
        <w:ind w:firstLine="480" w:firstLineChars="200"/>
        <w:rPr>
          <w:rFonts w:hint="eastAsia" w:ascii="宋体" w:hAnsi="宋体" w:eastAsia="宋体" w:cs="宋体"/>
          <w:color w:val="auto"/>
          <w:sz w:val="24"/>
          <w:highlight w:val="none"/>
        </w:rPr>
      </w:pPr>
    </w:p>
    <w:p>
      <w:pPr>
        <w:pageBreakBefore w:val="0"/>
        <w:widowControl/>
        <w:kinsoku/>
        <w:wordWrap w:val="0"/>
        <w:topLinePunct w:val="0"/>
        <w:bidi w:val="0"/>
        <w:adjustRightInd w:val="0"/>
        <w:snapToGrid/>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本企业郑重声明，根据《关于政府采购支持监狱企业发展有关问题的通知》（财库</w:t>
      </w:r>
      <w:r>
        <w:rPr>
          <w:rFonts w:hint="eastAsia" w:ascii="宋体" w:hAnsi="宋体" w:eastAsia="宋体" w:cs="宋体"/>
          <w:color w:val="auto"/>
          <w:sz w:val="24"/>
          <w:highlight w:val="none"/>
          <w:lang w:eastAsia="zh-CN"/>
        </w:rPr>
        <w:t>〔2014〕68号</w:t>
      </w:r>
      <w:r>
        <w:rPr>
          <w:rFonts w:hint="eastAsia" w:ascii="宋体" w:hAnsi="宋体" w:eastAsia="宋体" w:cs="宋体"/>
          <w:color w:val="auto"/>
          <w:sz w:val="24"/>
          <w:highlight w:val="none"/>
        </w:rPr>
        <w:t>）的规定，本企业为</w:t>
      </w:r>
      <w:r>
        <w:rPr>
          <w:rFonts w:hint="eastAsia" w:ascii="宋体" w:hAnsi="宋体" w:eastAsia="宋体" w:cs="宋体"/>
          <w:color w:val="auto"/>
          <w:sz w:val="24"/>
          <w:highlight w:val="none"/>
          <w:u w:val="single"/>
        </w:rPr>
        <w:t>监狱企业</w:t>
      </w:r>
      <w:r>
        <w:rPr>
          <w:rFonts w:hint="eastAsia" w:ascii="宋体" w:hAnsi="宋体" w:eastAsia="宋体" w:cs="宋体"/>
          <w:color w:val="auto"/>
          <w:sz w:val="24"/>
          <w:highlight w:val="none"/>
        </w:rPr>
        <w:t>。</w:t>
      </w:r>
    </w:p>
    <w:p>
      <w:pPr>
        <w:pageBreakBefore w:val="0"/>
        <w:widowControl/>
        <w:kinsoku/>
        <w:wordWrap w:val="0"/>
        <w:topLinePunct w:val="0"/>
        <w:bidi w:val="0"/>
        <w:adjustRightInd w:val="0"/>
        <w:snapToGrid/>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根据上述标准，我企业属于</w:t>
      </w:r>
      <w:r>
        <w:rPr>
          <w:rFonts w:hint="eastAsia" w:ascii="宋体" w:hAnsi="宋体" w:eastAsia="宋体" w:cs="宋体"/>
          <w:color w:val="auto"/>
          <w:sz w:val="24"/>
          <w:highlight w:val="none"/>
          <w:u w:val="single"/>
        </w:rPr>
        <w:t>监狱企业</w:t>
      </w:r>
      <w:r>
        <w:rPr>
          <w:rFonts w:hint="eastAsia" w:ascii="宋体" w:hAnsi="宋体" w:eastAsia="宋体" w:cs="宋体"/>
          <w:color w:val="auto"/>
          <w:sz w:val="24"/>
          <w:highlight w:val="none"/>
        </w:rPr>
        <w:t>的理由为：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pageBreakBefore w:val="0"/>
        <w:widowControl/>
        <w:kinsoku/>
        <w:wordWrap w:val="0"/>
        <w:topLinePunct w:val="0"/>
        <w:bidi w:val="0"/>
        <w:adjustRightInd w:val="0"/>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本企业为参加（项目名称：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）采购活动提供本企业</w:t>
      </w:r>
      <w:r>
        <w:rPr>
          <w:rFonts w:hint="eastAsia" w:ascii="宋体" w:hAnsi="宋体" w:eastAsia="宋体" w:cs="宋体"/>
          <w:color w:val="auto"/>
          <w:sz w:val="24"/>
          <w:highlight w:val="none"/>
          <w:u w:val="single"/>
        </w:rPr>
        <w:t>的服务</w:t>
      </w:r>
      <w:r>
        <w:rPr>
          <w:rFonts w:hint="eastAsia" w:ascii="宋体" w:hAnsi="宋体" w:eastAsia="宋体" w:cs="宋体"/>
          <w:color w:val="auto"/>
          <w:sz w:val="24"/>
          <w:highlight w:val="none"/>
        </w:rPr>
        <w:t>。</w:t>
      </w:r>
    </w:p>
    <w:p>
      <w:pPr>
        <w:pageBreakBefore w:val="0"/>
        <w:widowControl/>
        <w:kinsoku/>
        <w:wordWrap w:val="0"/>
        <w:topLinePunct w:val="0"/>
        <w:bidi w:val="0"/>
        <w:adjustRightInd w:val="0"/>
        <w:snapToGrid/>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u w:val="single"/>
        </w:rPr>
        <w:t>本企业对上述声明的真实性负责。如有虚假，将依法承担相应责任</w:t>
      </w:r>
      <w:r>
        <w:rPr>
          <w:rFonts w:hint="eastAsia" w:ascii="宋体" w:hAnsi="宋体" w:eastAsia="宋体" w:cs="宋体"/>
          <w:color w:val="auto"/>
          <w:sz w:val="24"/>
          <w:highlight w:val="none"/>
        </w:rPr>
        <w:t>。</w:t>
      </w:r>
    </w:p>
    <w:p>
      <w:pPr>
        <w:pageBreakBefore w:val="0"/>
        <w:kinsoku/>
        <w:wordWrap w:val="0"/>
        <w:topLinePunct w:val="0"/>
        <w:bidi w:val="0"/>
        <w:adjustRightInd w:val="0"/>
        <w:snapToGrid/>
        <w:spacing w:line="360" w:lineRule="auto"/>
        <w:ind w:firstLine="480" w:firstLineChars="200"/>
        <w:jc w:val="center"/>
        <w:rPr>
          <w:rFonts w:hint="eastAsia" w:ascii="宋体" w:hAnsi="宋体" w:eastAsia="宋体" w:cs="宋体"/>
          <w:color w:val="auto"/>
          <w:sz w:val="24"/>
          <w:highlight w:val="none"/>
        </w:rPr>
      </w:pPr>
    </w:p>
    <w:p>
      <w:pPr>
        <w:pageBreakBefore w:val="0"/>
        <w:kinsoku/>
        <w:wordWrap w:val="0"/>
        <w:topLinePunct w:val="0"/>
        <w:bidi w:val="0"/>
        <w:adjustRightInd w:val="0"/>
        <w:snapToGrid/>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电子签章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pPr>
        <w:pageBreakBefore w:val="0"/>
        <w:kinsoku/>
        <w:wordWrap w:val="0"/>
        <w:topLinePunct w:val="0"/>
        <w:bidi w:val="0"/>
        <w:adjustRightInd w:val="0"/>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ageBreakBefore w:val="0"/>
        <w:kinsoku/>
        <w:wordWrap w:val="0"/>
        <w:topLinePunct w:val="0"/>
        <w:bidi w:val="0"/>
        <w:adjustRightInd w:val="0"/>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pageBreakBefore w:val="0"/>
        <w:widowControl/>
        <w:kinsoku/>
        <w:wordWrap w:val="0"/>
        <w:topLinePunct w:val="0"/>
        <w:bidi w:val="0"/>
        <w:snapToGrid/>
        <w:spacing w:line="360" w:lineRule="auto"/>
        <w:ind w:firstLine="480" w:firstLineChars="200"/>
        <w:rPr>
          <w:rFonts w:hint="eastAsia" w:ascii="宋体" w:hAnsi="宋体" w:eastAsia="宋体" w:cs="宋体"/>
          <w:color w:val="auto"/>
          <w:sz w:val="24"/>
          <w:highlight w:val="none"/>
        </w:rPr>
      </w:pPr>
    </w:p>
    <w:p>
      <w:pPr>
        <w:pageBreakBefore w:val="0"/>
        <w:widowControl/>
        <w:kinsoku/>
        <w:wordWrap w:val="0"/>
        <w:topLinePunct w:val="0"/>
        <w:bidi w:val="0"/>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监狱企业参加政府采购活动时，应当提供由省级以上监狱管理局、戒毒管理局（含新疆生产建设兵团）出具的属于监狱企业的说明文件。</w:t>
      </w:r>
    </w:p>
    <w:p>
      <w:pPr>
        <w:pageBreakBefore w:val="0"/>
        <w:widowControl/>
        <w:kinsoku/>
        <w:wordWrap w:val="0"/>
        <w:topLinePunct w:val="0"/>
        <w:bidi w:val="0"/>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12"/>
        <w:pageBreakBefore w:val="0"/>
        <w:kinsoku/>
        <w:wordWrap w:val="0"/>
        <w:topLinePunct w:val="0"/>
        <w:bidi w:val="0"/>
        <w:adjustRightInd w:val="0"/>
        <w:snapToGrid/>
        <w:spacing w:line="360" w:lineRule="auto"/>
        <w:ind w:firstLine="420" w:firstLineChars="200"/>
        <w:rPr>
          <w:rFonts w:hint="eastAsia" w:ascii="宋体" w:hAnsi="宋体" w:eastAsia="宋体" w:cs="宋体"/>
          <w:color w:val="auto"/>
          <w:highlight w:val="none"/>
        </w:rPr>
      </w:pPr>
    </w:p>
    <w:p>
      <w:pPr>
        <w:pStyle w:val="12"/>
        <w:pageBreakBefore w:val="0"/>
        <w:kinsoku/>
        <w:wordWrap w:val="0"/>
        <w:topLinePunct w:val="0"/>
        <w:bidi w:val="0"/>
        <w:adjustRightInd w:val="0"/>
        <w:snapToGrid/>
        <w:spacing w:line="360" w:lineRule="auto"/>
        <w:ind w:firstLine="420" w:firstLineChars="200"/>
        <w:rPr>
          <w:rFonts w:hint="eastAsia" w:ascii="宋体" w:hAnsi="宋体" w:eastAsia="宋体" w:cs="宋体"/>
          <w:color w:val="auto"/>
          <w:highlight w:val="none"/>
        </w:rPr>
      </w:pPr>
    </w:p>
    <w:p>
      <w:pPr>
        <w:pageBreakBefore w:val="0"/>
        <w:kinsoku/>
        <w:wordWrap w:val="0"/>
        <w:topLinePunct w:val="0"/>
        <w:bidi w:val="0"/>
        <w:snapToGrid/>
        <w:spacing w:line="360" w:lineRule="auto"/>
        <w:jc w:val="center"/>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残疾人福利性单位声明函</w:t>
      </w:r>
    </w:p>
    <w:p>
      <w:pPr>
        <w:pageBreakBefore w:val="0"/>
        <w:kinsoku/>
        <w:wordWrap w:val="0"/>
        <w:topLinePunct w:val="0"/>
        <w:bidi w:val="0"/>
        <w:snapToGrid/>
        <w:spacing w:line="360" w:lineRule="auto"/>
        <w:ind w:firstLine="444" w:firstLineChars="200"/>
        <w:rPr>
          <w:rFonts w:hint="eastAsia" w:ascii="宋体" w:hAnsi="宋体" w:eastAsia="宋体" w:cs="宋体"/>
          <w:color w:val="auto"/>
          <w:spacing w:val="6"/>
          <w:szCs w:val="21"/>
          <w:highlight w:val="none"/>
        </w:rPr>
      </w:pPr>
    </w:p>
    <w:p>
      <w:pPr>
        <w:pageBreakBefore w:val="0"/>
        <w:kinsoku/>
        <w:wordWrap w:val="0"/>
        <w:topLinePunct w:val="0"/>
        <w:bidi w:val="0"/>
        <w:snapToGrid/>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本单位郑重声明，根据《财政部、民政部、中国残疾人联合会关于促进残疾人就业政府采购政策的通知》（财库</w:t>
      </w:r>
      <w:r>
        <w:rPr>
          <w:rFonts w:hint="eastAsia" w:ascii="宋体" w:hAnsi="宋体" w:eastAsia="宋体" w:cs="宋体"/>
          <w:color w:val="auto"/>
          <w:sz w:val="24"/>
          <w:highlight w:val="none"/>
        </w:rPr>
        <w:t>〔2017〕141</w:t>
      </w:r>
      <w:r>
        <w:rPr>
          <w:rFonts w:hint="eastAsia" w:ascii="宋体" w:hAnsi="宋体" w:eastAsia="宋体" w:cs="宋体"/>
          <w:color w:val="auto"/>
          <w:spacing w:val="6"/>
          <w:sz w:val="24"/>
          <w:highlight w:val="none"/>
        </w:rPr>
        <w:t>号）的规定，本单位为符合条件的残疾人福利性单位，且本单位参加</w:t>
      </w:r>
      <w:r>
        <w:rPr>
          <w:rFonts w:hint="eastAsia" w:ascii="宋体" w:hAnsi="宋体" w:eastAsia="宋体" w:cs="宋体"/>
          <w:color w:val="auto"/>
          <w:spacing w:val="6"/>
          <w:sz w:val="24"/>
          <w:highlight w:val="none"/>
          <w:u w:val="single"/>
        </w:rPr>
        <w:t xml:space="preserve"> （采购人名称）  </w:t>
      </w:r>
      <w:r>
        <w:rPr>
          <w:rFonts w:hint="eastAsia" w:ascii="宋体" w:hAnsi="宋体" w:eastAsia="宋体" w:cs="宋体"/>
          <w:color w:val="auto"/>
          <w:spacing w:val="6"/>
          <w:sz w:val="24"/>
          <w:highlight w:val="none"/>
        </w:rPr>
        <w:t>单位的</w:t>
      </w:r>
      <w:r>
        <w:rPr>
          <w:rFonts w:hint="eastAsia" w:ascii="宋体" w:hAnsi="宋体" w:eastAsia="宋体" w:cs="宋体"/>
          <w:color w:val="auto"/>
          <w:spacing w:val="6"/>
          <w:sz w:val="24"/>
          <w:highlight w:val="none"/>
          <w:u w:val="single"/>
        </w:rPr>
        <w:t xml:space="preserve">   （项目名称）    </w:t>
      </w:r>
      <w:r>
        <w:rPr>
          <w:rFonts w:hint="eastAsia" w:ascii="宋体" w:hAnsi="宋体" w:eastAsia="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pageBreakBefore w:val="0"/>
        <w:kinsoku/>
        <w:wordWrap w:val="0"/>
        <w:topLinePunct w:val="0"/>
        <w:bidi w:val="0"/>
        <w:snapToGrid/>
        <w:spacing w:line="360" w:lineRule="auto"/>
        <w:ind w:firstLine="506" w:firstLineChars="200"/>
        <w:rPr>
          <w:rFonts w:hint="eastAsia" w:ascii="宋体" w:hAnsi="宋体" w:eastAsia="宋体" w:cs="宋体"/>
          <w:color w:val="auto"/>
          <w:spacing w:val="6"/>
          <w:sz w:val="24"/>
          <w:highlight w:val="none"/>
        </w:rPr>
      </w:pPr>
      <w:r>
        <w:rPr>
          <w:rFonts w:hint="eastAsia" w:ascii="宋体" w:hAnsi="宋体" w:eastAsia="宋体" w:cs="宋体"/>
          <w:b/>
          <w:color w:val="auto"/>
          <w:spacing w:val="6"/>
          <w:sz w:val="24"/>
          <w:highlight w:val="none"/>
          <w:u w:val="single"/>
        </w:rPr>
        <w:t>本单位对上述声明的真实性负责。如有虚假，将依法承担相应责任</w:t>
      </w:r>
      <w:r>
        <w:rPr>
          <w:rFonts w:hint="eastAsia" w:ascii="宋体" w:hAnsi="宋体" w:eastAsia="宋体" w:cs="宋体"/>
          <w:color w:val="auto"/>
          <w:spacing w:val="6"/>
          <w:sz w:val="24"/>
          <w:highlight w:val="none"/>
        </w:rPr>
        <w:t>。</w:t>
      </w:r>
    </w:p>
    <w:p>
      <w:pPr>
        <w:pageBreakBefore w:val="0"/>
        <w:kinsoku/>
        <w:wordWrap w:val="0"/>
        <w:topLinePunct w:val="0"/>
        <w:bidi w:val="0"/>
        <w:snapToGrid/>
        <w:spacing w:line="360" w:lineRule="auto"/>
        <w:ind w:firstLine="504" w:firstLineChars="200"/>
        <w:rPr>
          <w:rFonts w:hint="eastAsia" w:ascii="宋体" w:hAnsi="宋体" w:eastAsia="宋体" w:cs="宋体"/>
          <w:color w:val="auto"/>
          <w:spacing w:val="6"/>
          <w:sz w:val="24"/>
          <w:highlight w:val="none"/>
        </w:rPr>
      </w:pPr>
    </w:p>
    <w:p>
      <w:pPr>
        <w:pageBreakBefore w:val="0"/>
        <w:kinsoku/>
        <w:wordWrap w:val="0"/>
        <w:topLinePunct w:val="0"/>
        <w:bidi w:val="0"/>
        <w:snapToGrid/>
        <w:spacing w:line="360" w:lineRule="auto"/>
        <w:ind w:firstLine="504" w:firstLineChars="200"/>
        <w:rPr>
          <w:rFonts w:hint="eastAsia" w:ascii="宋体" w:hAnsi="宋体" w:eastAsia="宋体" w:cs="宋体"/>
          <w:color w:val="auto"/>
          <w:spacing w:val="6"/>
          <w:sz w:val="24"/>
          <w:highlight w:val="none"/>
        </w:rPr>
      </w:pPr>
    </w:p>
    <w:p>
      <w:pPr>
        <w:pageBreakBefore w:val="0"/>
        <w:kinsoku/>
        <w:wordWrap w:val="0"/>
        <w:topLinePunct w:val="0"/>
        <w:bidi w:val="0"/>
        <w:adjustRightInd w:val="0"/>
        <w:snapToGrid/>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电子签章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pPr>
        <w:pageBreakBefore w:val="0"/>
        <w:kinsoku/>
        <w:wordWrap w:val="0"/>
        <w:topLinePunct w:val="0"/>
        <w:bidi w:val="0"/>
        <w:adjustRightInd w:val="0"/>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ageBreakBefore w:val="0"/>
        <w:kinsoku/>
        <w:wordWrap w:val="0"/>
        <w:topLinePunct w:val="0"/>
        <w:bidi w:val="0"/>
        <w:adjustRightInd w:val="0"/>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rPr>
          <w:rFonts w:ascii="Times New Roman" w:hAnsi="Times New Roman" w:cs="Times New Roman"/>
          <w:b/>
          <w:sz w:val="36"/>
          <w:szCs w:val="36"/>
          <w:highlight w:val="none"/>
        </w:rPr>
      </w:pPr>
      <w:r>
        <w:rPr>
          <w:rFonts w:ascii="Times New Roman" w:hAnsi="Times New Roman" w:cs="Times New Roman"/>
          <w:b/>
          <w:sz w:val="36"/>
          <w:szCs w:val="36"/>
          <w:highlight w:val="none"/>
        </w:rPr>
        <w:br w:type="page"/>
      </w:r>
    </w:p>
    <w:p>
      <w:pPr>
        <w:pStyle w:val="12"/>
        <w:spacing w:line="360" w:lineRule="auto"/>
        <w:jc w:val="center"/>
        <w:outlineLvl w:val="1"/>
        <w:rPr>
          <w:rFonts w:ascii="Times New Roman" w:hAnsi="Times New Roman" w:cs="Times New Roman"/>
          <w:b/>
          <w:sz w:val="36"/>
          <w:szCs w:val="36"/>
          <w:highlight w:val="none"/>
        </w:rPr>
      </w:pPr>
      <w:r>
        <w:rPr>
          <w:rFonts w:ascii="Times New Roman" w:hAnsi="Times New Roman" w:cs="Times New Roman"/>
          <w:b/>
          <w:sz w:val="36"/>
          <w:szCs w:val="36"/>
          <w:highlight w:val="none"/>
        </w:rPr>
        <w:t>实施方案</w:t>
      </w:r>
    </w:p>
    <w:p>
      <w:pPr>
        <w:pStyle w:val="12"/>
        <w:spacing w:line="360" w:lineRule="auto"/>
        <w:jc w:val="center"/>
        <w:rPr>
          <w:rFonts w:ascii="Times New Roman" w:hAnsi="Times New Roman" w:cs="Times New Roman"/>
          <w:b/>
          <w:bCs/>
          <w:sz w:val="36"/>
          <w:szCs w:val="36"/>
          <w:highlight w:val="none"/>
        </w:rPr>
      </w:pPr>
    </w:p>
    <w:p>
      <w:pPr>
        <w:pStyle w:val="12"/>
        <w:spacing w:line="360" w:lineRule="auto"/>
        <w:jc w:val="center"/>
        <w:rPr>
          <w:rFonts w:ascii="Times New Roman" w:hAnsi="Times New Roman" w:cs="Times New Roman"/>
          <w:b/>
          <w:bCs/>
          <w:sz w:val="36"/>
          <w:szCs w:val="36"/>
          <w:highlight w:val="none"/>
        </w:rPr>
      </w:pPr>
    </w:p>
    <w:p>
      <w:pPr>
        <w:pStyle w:val="12"/>
        <w:spacing w:line="360" w:lineRule="auto"/>
        <w:jc w:val="center"/>
        <w:rPr>
          <w:rFonts w:ascii="Times New Roman" w:hAnsi="Times New Roman" w:cs="Times New Roman"/>
          <w:b/>
          <w:bCs/>
          <w:sz w:val="36"/>
          <w:szCs w:val="36"/>
          <w:highlight w:val="none"/>
        </w:rPr>
      </w:pPr>
    </w:p>
    <w:p>
      <w:pPr>
        <w:pStyle w:val="12"/>
        <w:spacing w:line="360" w:lineRule="auto"/>
        <w:jc w:val="center"/>
        <w:rPr>
          <w:rFonts w:ascii="Times New Roman" w:hAnsi="Times New Roman" w:cs="Times New Roman"/>
          <w:b/>
          <w:bCs/>
          <w:sz w:val="36"/>
          <w:szCs w:val="36"/>
          <w:highlight w:val="none"/>
        </w:rPr>
      </w:pPr>
    </w:p>
    <w:p>
      <w:pPr>
        <w:pStyle w:val="12"/>
        <w:spacing w:line="360" w:lineRule="auto"/>
        <w:jc w:val="center"/>
        <w:rPr>
          <w:rFonts w:ascii="Times New Roman" w:hAnsi="Times New Roman" w:cs="Times New Roman"/>
          <w:b/>
          <w:bCs/>
          <w:sz w:val="36"/>
          <w:szCs w:val="36"/>
          <w:highlight w:val="none"/>
        </w:rPr>
      </w:pPr>
    </w:p>
    <w:p>
      <w:pPr>
        <w:pStyle w:val="12"/>
        <w:spacing w:line="360" w:lineRule="auto"/>
        <w:jc w:val="center"/>
        <w:rPr>
          <w:rFonts w:ascii="Times New Roman" w:hAnsi="Times New Roman" w:cs="Times New Roman"/>
          <w:b/>
          <w:bCs/>
          <w:sz w:val="36"/>
          <w:szCs w:val="36"/>
          <w:highlight w:val="none"/>
        </w:rPr>
      </w:pPr>
    </w:p>
    <w:p>
      <w:pPr>
        <w:pStyle w:val="12"/>
        <w:spacing w:line="360" w:lineRule="auto"/>
        <w:jc w:val="center"/>
        <w:rPr>
          <w:rFonts w:ascii="Times New Roman" w:hAnsi="Times New Roman" w:cs="Times New Roman"/>
          <w:b/>
          <w:bCs/>
          <w:sz w:val="36"/>
          <w:szCs w:val="36"/>
          <w:highlight w:val="none"/>
        </w:rPr>
      </w:pPr>
    </w:p>
    <w:p>
      <w:pPr>
        <w:pStyle w:val="12"/>
        <w:spacing w:line="360" w:lineRule="auto"/>
        <w:jc w:val="center"/>
        <w:rPr>
          <w:rFonts w:ascii="Times New Roman" w:hAnsi="Times New Roman" w:cs="Times New Roman"/>
          <w:b/>
          <w:bCs/>
          <w:sz w:val="36"/>
          <w:szCs w:val="36"/>
          <w:highlight w:val="none"/>
        </w:rPr>
      </w:pPr>
    </w:p>
    <w:p>
      <w:pPr>
        <w:pStyle w:val="12"/>
        <w:spacing w:line="360" w:lineRule="auto"/>
        <w:jc w:val="center"/>
        <w:rPr>
          <w:rFonts w:ascii="Times New Roman" w:hAnsi="Times New Roman" w:cs="Times New Roman"/>
          <w:b/>
          <w:bCs/>
          <w:sz w:val="36"/>
          <w:szCs w:val="36"/>
          <w:highlight w:val="none"/>
        </w:rPr>
      </w:pPr>
    </w:p>
    <w:p>
      <w:pPr>
        <w:pStyle w:val="12"/>
        <w:spacing w:line="360" w:lineRule="auto"/>
        <w:jc w:val="center"/>
        <w:rPr>
          <w:rFonts w:ascii="Times New Roman" w:hAnsi="Times New Roman" w:cs="Times New Roman"/>
          <w:b/>
          <w:bCs/>
          <w:sz w:val="36"/>
          <w:szCs w:val="36"/>
          <w:highlight w:val="none"/>
        </w:rPr>
      </w:pPr>
    </w:p>
    <w:p>
      <w:pPr>
        <w:pStyle w:val="12"/>
        <w:spacing w:line="360" w:lineRule="auto"/>
        <w:jc w:val="center"/>
        <w:rPr>
          <w:rFonts w:ascii="Times New Roman" w:hAnsi="Times New Roman" w:cs="Times New Roman"/>
          <w:b/>
          <w:bCs/>
          <w:sz w:val="36"/>
          <w:szCs w:val="36"/>
          <w:highlight w:val="none"/>
        </w:rPr>
      </w:pPr>
    </w:p>
    <w:p>
      <w:pPr>
        <w:pStyle w:val="12"/>
        <w:spacing w:line="360" w:lineRule="auto"/>
        <w:jc w:val="center"/>
        <w:rPr>
          <w:rFonts w:ascii="Times New Roman" w:hAnsi="Times New Roman" w:cs="Times New Roman"/>
          <w:b/>
          <w:bCs/>
          <w:sz w:val="36"/>
          <w:szCs w:val="36"/>
          <w:highlight w:val="none"/>
        </w:rPr>
      </w:pPr>
    </w:p>
    <w:p>
      <w:pPr>
        <w:pStyle w:val="12"/>
        <w:spacing w:line="360" w:lineRule="auto"/>
        <w:jc w:val="center"/>
        <w:rPr>
          <w:rFonts w:ascii="Times New Roman" w:hAnsi="Times New Roman" w:cs="Times New Roman"/>
          <w:b/>
          <w:bCs/>
          <w:sz w:val="36"/>
          <w:szCs w:val="36"/>
          <w:highlight w:val="none"/>
        </w:rPr>
      </w:pPr>
    </w:p>
    <w:p>
      <w:pPr>
        <w:pStyle w:val="12"/>
        <w:spacing w:line="360" w:lineRule="auto"/>
        <w:jc w:val="center"/>
        <w:rPr>
          <w:rFonts w:ascii="Times New Roman" w:hAnsi="Times New Roman" w:cs="Times New Roman"/>
          <w:b/>
          <w:bCs/>
          <w:sz w:val="36"/>
          <w:szCs w:val="36"/>
          <w:highlight w:val="none"/>
        </w:rPr>
      </w:pPr>
    </w:p>
    <w:p>
      <w:pPr>
        <w:pStyle w:val="12"/>
        <w:spacing w:line="360" w:lineRule="auto"/>
        <w:jc w:val="center"/>
        <w:rPr>
          <w:rFonts w:ascii="Times New Roman" w:hAnsi="Times New Roman" w:cs="Times New Roman"/>
          <w:b/>
          <w:bCs/>
          <w:sz w:val="36"/>
          <w:szCs w:val="36"/>
          <w:highlight w:val="none"/>
        </w:rPr>
      </w:pPr>
    </w:p>
    <w:p>
      <w:pPr>
        <w:pStyle w:val="12"/>
        <w:spacing w:line="360" w:lineRule="auto"/>
        <w:jc w:val="center"/>
        <w:rPr>
          <w:rFonts w:ascii="Times New Roman" w:hAnsi="Times New Roman" w:cs="Times New Roman"/>
          <w:b/>
          <w:bCs/>
          <w:sz w:val="36"/>
          <w:szCs w:val="36"/>
          <w:highlight w:val="none"/>
        </w:rPr>
      </w:pPr>
    </w:p>
    <w:p>
      <w:pPr>
        <w:pStyle w:val="12"/>
        <w:spacing w:line="360" w:lineRule="auto"/>
        <w:jc w:val="center"/>
        <w:rPr>
          <w:rFonts w:ascii="Times New Roman" w:hAnsi="Times New Roman" w:cs="Times New Roman"/>
          <w:b/>
          <w:bCs/>
          <w:sz w:val="36"/>
          <w:szCs w:val="36"/>
          <w:highlight w:val="none"/>
        </w:rPr>
      </w:pPr>
    </w:p>
    <w:p>
      <w:pPr>
        <w:pStyle w:val="12"/>
        <w:spacing w:line="360" w:lineRule="auto"/>
        <w:jc w:val="center"/>
        <w:rPr>
          <w:rFonts w:ascii="Times New Roman" w:hAnsi="Times New Roman" w:cs="Times New Roman"/>
          <w:b/>
          <w:bCs/>
          <w:sz w:val="36"/>
          <w:szCs w:val="36"/>
          <w:highlight w:val="none"/>
        </w:rPr>
      </w:pPr>
    </w:p>
    <w:p>
      <w:pPr>
        <w:pStyle w:val="12"/>
        <w:spacing w:line="360" w:lineRule="auto"/>
        <w:jc w:val="center"/>
        <w:rPr>
          <w:rFonts w:ascii="Times New Roman" w:hAnsi="Times New Roman" w:cs="Times New Roman"/>
          <w:b/>
          <w:bCs/>
          <w:sz w:val="36"/>
          <w:szCs w:val="36"/>
          <w:highlight w:val="none"/>
        </w:rPr>
      </w:pPr>
    </w:p>
    <w:p>
      <w:pPr>
        <w:pStyle w:val="12"/>
        <w:spacing w:line="360" w:lineRule="auto"/>
        <w:jc w:val="center"/>
        <w:rPr>
          <w:rFonts w:ascii="Times New Roman" w:hAnsi="Times New Roman" w:cs="Times New Roman"/>
          <w:b/>
          <w:bCs/>
          <w:sz w:val="36"/>
          <w:szCs w:val="36"/>
          <w:highlight w:val="none"/>
        </w:rPr>
      </w:pPr>
    </w:p>
    <w:p>
      <w:pPr>
        <w:pStyle w:val="12"/>
        <w:spacing w:line="360" w:lineRule="auto"/>
        <w:jc w:val="center"/>
        <w:rPr>
          <w:rFonts w:ascii="Times New Roman" w:hAnsi="Times New Roman" w:cs="Times New Roman"/>
          <w:b/>
          <w:bCs/>
          <w:sz w:val="36"/>
          <w:szCs w:val="36"/>
          <w:highlight w:val="none"/>
        </w:rPr>
      </w:pPr>
    </w:p>
    <w:p>
      <w:pPr>
        <w:spacing w:line="360" w:lineRule="auto"/>
        <w:jc w:val="center"/>
        <w:rPr>
          <w:rFonts w:ascii="Times New Roman" w:hAnsi="Times New Roman" w:eastAsia="宋体" w:cs="Times New Roman"/>
          <w:kern w:val="0"/>
          <w:sz w:val="24"/>
          <w:highlight w:val="none"/>
        </w:rPr>
      </w:pPr>
      <w:r>
        <w:rPr>
          <w:rFonts w:ascii="Times New Roman" w:hAnsi="Times New Roman" w:eastAsia="宋体" w:cs="Times New Roman"/>
          <w:kern w:val="0"/>
          <w:sz w:val="24"/>
          <w:highlight w:val="none"/>
        </w:rPr>
        <w:br w:type="page"/>
      </w:r>
    </w:p>
    <w:p>
      <w:pPr>
        <w:spacing w:line="360" w:lineRule="auto"/>
        <w:jc w:val="center"/>
        <w:outlineLvl w:val="1"/>
        <w:rPr>
          <w:rFonts w:ascii="Times New Roman" w:hAnsi="Times New Roman" w:eastAsia="宋体" w:cs="Times New Roman"/>
          <w:b/>
          <w:bCs/>
          <w:sz w:val="36"/>
          <w:szCs w:val="36"/>
          <w:highlight w:val="none"/>
        </w:rPr>
      </w:pPr>
      <w:r>
        <w:rPr>
          <w:rFonts w:ascii="Times New Roman" w:hAnsi="Times New Roman" w:eastAsia="宋体" w:cs="Times New Roman"/>
          <w:b/>
          <w:bCs/>
          <w:sz w:val="36"/>
          <w:szCs w:val="36"/>
          <w:highlight w:val="none"/>
        </w:rPr>
        <w:t>相关业绩一览表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475"/>
        <w:gridCol w:w="2179"/>
        <w:gridCol w:w="1747"/>
        <w:gridCol w:w="1666"/>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47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lang w:val="zh-CN"/>
              </w:rPr>
            </w:pPr>
            <w:r>
              <w:rPr>
                <w:rFonts w:ascii="Times New Roman" w:hAnsi="Times New Roman" w:eastAsia="宋体" w:cs="Times New Roman"/>
                <w:sz w:val="24"/>
                <w:highlight w:val="none"/>
                <w:lang w:val="zh-CN"/>
              </w:rPr>
              <w:t>项目名称</w:t>
            </w:r>
          </w:p>
        </w:tc>
        <w:tc>
          <w:tcPr>
            <w:tcW w:w="147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lang w:val="zh-CN"/>
              </w:rPr>
            </w:pPr>
            <w:r>
              <w:rPr>
                <w:rFonts w:ascii="Times New Roman" w:hAnsi="Times New Roman" w:eastAsia="宋体" w:cs="Times New Roman"/>
                <w:sz w:val="24"/>
                <w:highlight w:val="none"/>
                <w:lang w:val="zh-CN"/>
              </w:rPr>
              <w:t>项目类型</w:t>
            </w:r>
          </w:p>
        </w:tc>
        <w:tc>
          <w:tcPr>
            <w:tcW w:w="21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lang w:val="zh-CN"/>
              </w:rPr>
            </w:pPr>
            <w:r>
              <w:rPr>
                <w:rFonts w:ascii="Times New Roman" w:hAnsi="Times New Roman" w:eastAsia="宋体" w:cs="Times New Roman"/>
                <w:sz w:val="24"/>
                <w:highlight w:val="none"/>
                <w:lang w:val="zh-CN"/>
              </w:rPr>
              <w:t>简要描述</w:t>
            </w:r>
          </w:p>
        </w:tc>
        <w:tc>
          <w:tcPr>
            <w:tcW w:w="174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lang w:val="zh-CN"/>
              </w:rPr>
            </w:pPr>
            <w:r>
              <w:rPr>
                <w:rFonts w:hint="eastAsia" w:ascii="Times New Roman" w:hAnsi="Times New Roman" w:eastAsia="宋体" w:cs="Times New Roman"/>
                <w:sz w:val="24"/>
                <w:highlight w:val="none"/>
                <w:lang w:val="en-US" w:eastAsia="zh-CN"/>
              </w:rPr>
              <w:t>服务</w:t>
            </w:r>
            <w:r>
              <w:rPr>
                <w:rFonts w:ascii="Times New Roman" w:hAnsi="Times New Roman" w:eastAsia="宋体" w:cs="Times New Roman"/>
                <w:sz w:val="24"/>
                <w:highlight w:val="none"/>
                <w:lang w:val="zh-CN"/>
              </w:rPr>
              <w:t>日期</w:t>
            </w:r>
          </w:p>
        </w:tc>
        <w:tc>
          <w:tcPr>
            <w:tcW w:w="166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Times New Roman" w:hAnsi="Times New Roman" w:eastAsia="宋体" w:cs="Times New Roman"/>
                <w:sz w:val="24"/>
                <w:highlight w:val="none"/>
                <w:lang w:val="zh-CN"/>
              </w:rPr>
            </w:pPr>
            <w:r>
              <w:rPr>
                <w:rFonts w:ascii="Times New Roman" w:hAnsi="Times New Roman" w:eastAsia="宋体" w:cs="Times New Roman"/>
                <w:sz w:val="24"/>
                <w:highlight w:val="none"/>
                <w:lang w:val="zh-CN"/>
              </w:rPr>
              <w:t>项目地址与采购人</w:t>
            </w:r>
          </w:p>
          <w:p>
            <w:pPr>
              <w:autoSpaceDE w:val="0"/>
              <w:autoSpaceDN w:val="0"/>
              <w:adjustRightInd w:val="0"/>
              <w:spacing w:line="360" w:lineRule="auto"/>
              <w:jc w:val="center"/>
              <w:rPr>
                <w:rFonts w:ascii="Times New Roman" w:hAnsi="Times New Roman" w:eastAsia="宋体" w:cs="Times New Roman"/>
                <w:sz w:val="24"/>
                <w:highlight w:val="none"/>
                <w:lang w:val="zh-CN"/>
              </w:rPr>
            </w:pPr>
            <w:r>
              <w:rPr>
                <w:rFonts w:ascii="Times New Roman" w:hAnsi="Times New Roman" w:eastAsia="宋体" w:cs="Times New Roman"/>
                <w:sz w:val="24"/>
                <w:highlight w:val="none"/>
                <w:lang w:val="zh-CN"/>
              </w:rPr>
              <w:t>联系电话</w:t>
            </w:r>
          </w:p>
        </w:tc>
        <w:tc>
          <w:tcPr>
            <w:tcW w:w="102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imes New Roman" w:hAnsi="Times New Roman" w:eastAsia="宋体" w:cs="Times New Roman"/>
                <w:sz w:val="24"/>
                <w:highlight w:val="none"/>
                <w:lang w:val="zh-CN"/>
              </w:rPr>
            </w:pPr>
          </w:p>
          <w:p>
            <w:pPr>
              <w:widowControl/>
              <w:spacing w:line="360" w:lineRule="auto"/>
              <w:ind w:firstLine="120" w:firstLineChars="50"/>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所在</w:t>
            </w:r>
          </w:p>
          <w:p>
            <w:pPr>
              <w:widowControl/>
              <w:spacing w:line="360" w:lineRule="auto"/>
              <w:ind w:firstLine="120" w:firstLineChars="50"/>
              <w:jc w:val="left"/>
              <w:rPr>
                <w:rFonts w:ascii="Times New Roman" w:hAnsi="Times New Roman" w:eastAsia="宋体" w:cs="Times New Roman"/>
                <w:sz w:val="24"/>
                <w:highlight w:val="none"/>
                <w:lang w:val="zh-CN"/>
              </w:rPr>
            </w:pPr>
            <w:r>
              <w:rPr>
                <w:rFonts w:ascii="Times New Roman" w:hAnsi="Times New Roman" w:eastAsia="宋体" w:cs="Times New Roman"/>
                <w:sz w:val="24"/>
                <w:highlight w:val="none"/>
              </w:rPr>
              <w:t>页码</w:t>
            </w:r>
          </w:p>
          <w:p>
            <w:pPr>
              <w:autoSpaceDE w:val="0"/>
              <w:autoSpaceDN w:val="0"/>
              <w:adjustRightInd w:val="0"/>
              <w:spacing w:line="360" w:lineRule="auto"/>
              <w:jc w:val="center"/>
              <w:rPr>
                <w:rFonts w:ascii="Times New Roman" w:hAnsi="Times New Roman" w:eastAsia="宋体" w:cs="Times New Roman"/>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476"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highlight w:val="none"/>
                <w:lang w:val="zh-CN"/>
              </w:rPr>
            </w:pPr>
          </w:p>
        </w:tc>
        <w:tc>
          <w:tcPr>
            <w:tcW w:w="1475"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highlight w:val="none"/>
                <w:lang w:val="zh-CN"/>
              </w:rPr>
            </w:pPr>
          </w:p>
        </w:tc>
        <w:tc>
          <w:tcPr>
            <w:tcW w:w="217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highlight w:val="none"/>
                <w:lang w:val="zh-CN"/>
              </w:rPr>
            </w:pPr>
          </w:p>
        </w:tc>
        <w:tc>
          <w:tcPr>
            <w:tcW w:w="1747"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highlight w:val="none"/>
                <w:lang w:val="zh-CN"/>
              </w:rPr>
            </w:pPr>
          </w:p>
        </w:tc>
        <w:tc>
          <w:tcPr>
            <w:tcW w:w="1666"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highlight w:val="none"/>
                <w:lang w:val="zh-CN"/>
              </w:rPr>
            </w:pPr>
          </w:p>
        </w:tc>
        <w:tc>
          <w:tcPr>
            <w:tcW w:w="1022"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1476"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highlight w:val="none"/>
                <w:lang w:val="zh-CN"/>
              </w:rPr>
            </w:pPr>
          </w:p>
        </w:tc>
        <w:tc>
          <w:tcPr>
            <w:tcW w:w="1475"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highlight w:val="none"/>
                <w:lang w:val="zh-CN"/>
              </w:rPr>
            </w:pPr>
          </w:p>
        </w:tc>
        <w:tc>
          <w:tcPr>
            <w:tcW w:w="217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highlight w:val="none"/>
                <w:lang w:val="zh-CN"/>
              </w:rPr>
            </w:pPr>
          </w:p>
        </w:tc>
        <w:tc>
          <w:tcPr>
            <w:tcW w:w="1747"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highlight w:val="none"/>
                <w:lang w:val="zh-CN"/>
              </w:rPr>
            </w:pPr>
          </w:p>
        </w:tc>
        <w:tc>
          <w:tcPr>
            <w:tcW w:w="1666"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highlight w:val="none"/>
                <w:lang w:val="zh-CN"/>
              </w:rPr>
            </w:pPr>
          </w:p>
        </w:tc>
        <w:tc>
          <w:tcPr>
            <w:tcW w:w="1022"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476"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highlight w:val="none"/>
                <w:lang w:val="zh-CN"/>
              </w:rPr>
            </w:pPr>
          </w:p>
        </w:tc>
        <w:tc>
          <w:tcPr>
            <w:tcW w:w="1475"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highlight w:val="none"/>
                <w:lang w:val="zh-CN"/>
              </w:rPr>
            </w:pPr>
          </w:p>
        </w:tc>
        <w:tc>
          <w:tcPr>
            <w:tcW w:w="217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highlight w:val="none"/>
                <w:lang w:val="zh-CN"/>
              </w:rPr>
            </w:pPr>
          </w:p>
        </w:tc>
        <w:tc>
          <w:tcPr>
            <w:tcW w:w="1747"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highlight w:val="none"/>
                <w:lang w:val="zh-CN"/>
              </w:rPr>
            </w:pPr>
          </w:p>
        </w:tc>
        <w:tc>
          <w:tcPr>
            <w:tcW w:w="1666"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highlight w:val="none"/>
                <w:lang w:val="zh-CN"/>
              </w:rPr>
            </w:pPr>
          </w:p>
        </w:tc>
        <w:tc>
          <w:tcPr>
            <w:tcW w:w="1022"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highlight w:val="none"/>
                <w:lang w:val="zh-CN"/>
              </w:rPr>
            </w:pPr>
          </w:p>
        </w:tc>
      </w:tr>
    </w:tbl>
    <w:p>
      <w:pPr>
        <w:autoSpaceDE w:val="0"/>
        <w:autoSpaceDN w:val="0"/>
        <w:adjustRightInd w:val="0"/>
        <w:spacing w:line="360" w:lineRule="auto"/>
        <w:rPr>
          <w:rFonts w:ascii="Times New Roman" w:hAnsi="Times New Roman" w:eastAsia="宋体" w:cs="Times New Roman"/>
          <w:sz w:val="24"/>
          <w:highlight w:val="none"/>
        </w:rPr>
      </w:pPr>
      <w:r>
        <w:rPr>
          <w:rFonts w:ascii="Times New Roman" w:hAnsi="Times New Roman" w:eastAsia="宋体" w:cs="Times New Roman"/>
          <w:b/>
          <w:sz w:val="24"/>
          <w:highlight w:val="none"/>
        </w:rPr>
        <w:t>注：投标人可按上述的格式自行编制，须随表提交相应的合同复印件或用户单位验收说明并注明所在投标文件页码。</w:t>
      </w:r>
    </w:p>
    <w:p>
      <w:pPr>
        <w:spacing w:line="360" w:lineRule="auto"/>
        <w:ind w:firstLine="4320" w:firstLineChars="1800"/>
        <w:rPr>
          <w:rFonts w:ascii="Times New Roman" w:hAnsi="Times New Roman" w:eastAsia="宋体" w:cs="Times New Roman"/>
          <w:sz w:val="24"/>
          <w:highlight w:val="none"/>
        </w:rPr>
      </w:pPr>
    </w:p>
    <w:p>
      <w:pPr>
        <w:spacing w:line="360" w:lineRule="auto"/>
        <w:ind w:firstLine="1430" w:firstLineChars="596"/>
        <w:rPr>
          <w:rFonts w:ascii="Times New Roman" w:hAnsi="Times New Roman" w:eastAsia="宋体" w:cs="Times New Roman"/>
          <w:kern w:val="0"/>
          <w:sz w:val="24"/>
          <w:highlight w:val="none"/>
          <w:lang w:val="zh-CN"/>
        </w:rPr>
      </w:pPr>
    </w:p>
    <w:p>
      <w:pPr>
        <w:adjustRightInd w:val="0"/>
        <w:snapToGrid w:val="0"/>
        <w:spacing w:line="360" w:lineRule="auto"/>
        <w:ind w:firstLine="4680" w:firstLineChars="1950"/>
        <w:rPr>
          <w:rFonts w:ascii="Times New Roman" w:hAnsi="Times New Roman" w:eastAsia="宋体" w:cs="Times New Roman"/>
          <w:kern w:val="0"/>
          <w:sz w:val="24"/>
          <w:highlight w:val="none"/>
        </w:rPr>
      </w:pPr>
      <w:r>
        <w:rPr>
          <w:rFonts w:ascii="Times New Roman" w:hAnsi="Times New Roman" w:eastAsia="宋体" w:cs="Times New Roman"/>
          <w:kern w:val="0"/>
          <w:sz w:val="24"/>
          <w:highlight w:val="none"/>
          <w:lang w:val="zh-CN"/>
        </w:rPr>
        <w:t>投标人名称</w:t>
      </w:r>
      <w:r>
        <w:rPr>
          <w:rFonts w:hint="eastAsia" w:ascii="Times New Roman" w:hAnsi="Times New Roman" w:eastAsia="宋体" w:cs="Times New Roman"/>
          <w:kern w:val="0"/>
          <w:sz w:val="24"/>
          <w:highlight w:val="none"/>
          <w:lang w:val="zh-CN"/>
        </w:rPr>
        <w:t>（</w:t>
      </w:r>
      <w:r>
        <w:rPr>
          <w:rFonts w:ascii="Times New Roman" w:hAnsi="Times New Roman" w:eastAsia="宋体" w:cs="Times New Roman"/>
          <w:kern w:val="0"/>
          <w:sz w:val="24"/>
          <w:highlight w:val="none"/>
          <w:lang w:val="zh-CN"/>
        </w:rPr>
        <w:t>公章</w:t>
      </w:r>
      <w:r>
        <w:rPr>
          <w:rFonts w:hint="eastAsia" w:ascii="Times New Roman" w:hAnsi="Times New Roman" w:eastAsia="宋体" w:cs="Times New Roman"/>
          <w:kern w:val="0"/>
          <w:sz w:val="24"/>
          <w:highlight w:val="none"/>
          <w:lang w:val="zh-CN"/>
        </w:rPr>
        <w:t>）</w:t>
      </w:r>
      <w:r>
        <w:rPr>
          <w:rFonts w:ascii="Times New Roman" w:hAnsi="Times New Roman" w:eastAsia="宋体" w:cs="Times New Roman"/>
          <w:kern w:val="0"/>
          <w:sz w:val="24"/>
          <w:highlight w:val="none"/>
          <w:lang w:val="zh-CN"/>
        </w:rPr>
        <w:t>：</w:t>
      </w:r>
    </w:p>
    <w:p>
      <w:pPr>
        <w:adjustRightInd w:val="0"/>
        <w:snapToGrid w:val="0"/>
        <w:spacing w:line="360" w:lineRule="auto"/>
        <w:rPr>
          <w:rFonts w:ascii="Times New Roman" w:hAnsi="Times New Roman" w:eastAsia="宋体" w:cs="Times New Roman"/>
          <w:kern w:val="0"/>
          <w:sz w:val="24"/>
          <w:highlight w:val="none"/>
        </w:rPr>
      </w:pPr>
      <w:r>
        <w:rPr>
          <w:rFonts w:ascii="Times New Roman" w:hAnsi="Times New Roman" w:eastAsia="宋体" w:cs="Times New Roman"/>
          <w:kern w:val="0"/>
          <w:sz w:val="24"/>
          <w:highlight w:val="none"/>
          <w:lang w:val="zh-CN"/>
        </w:rPr>
        <w:t xml:space="preserve">                                       法定代表人或授权委托人</w:t>
      </w:r>
      <w:r>
        <w:rPr>
          <w:rFonts w:hint="eastAsia" w:ascii="Times New Roman" w:hAnsi="Times New Roman" w:eastAsia="宋体" w:cs="Times New Roman"/>
          <w:kern w:val="0"/>
          <w:sz w:val="24"/>
          <w:highlight w:val="none"/>
          <w:lang w:val="zh-CN"/>
        </w:rPr>
        <w:t>（</w:t>
      </w:r>
      <w:r>
        <w:rPr>
          <w:rFonts w:ascii="Times New Roman" w:hAnsi="Times New Roman" w:eastAsia="宋体" w:cs="Times New Roman"/>
          <w:kern w:val="0"/>
          <w:sz w:val="24"/>
          <w:highlight w:val="none"/>
          <w:lang w:val="zh-CN"/>
        </w:rPr>
        <w:t>签字</w:t>
      </w:r>
      <w:r>
        <w:rPr>
          <w:rFonts w:hint="eastAsia" w:ascii="Times New Roman" w:hAnsi="Times New Roman" w:eastAsia="宋体" w:cs="Times New Roman"/>
          <w:kern w:val="0"/>
          <w:sz w:val="24"/>
          <w:highlight w:val="none"/>
          <w:lang w:val="zh-CN"/>
        </w:rPr>
        <w:t>）</w:t>
      </w:r>
      <w:r>
        <w:rPr>
          <w:rFonts w:ascii="Times New Roman" w:hAnsi="Times New Roman" w:eastAsia="宋体" w:cs="Times New Roman"/>
          <w:kern w:val="0"/>
          <w:sz w:val="24"/>
          <w:highlight w:val="none"/>
          <w:lang w:val="zh-CN"/>
        </w:rPr>
        <w:t>：</w:t>
      </w:r>
    </w:p>
    <w:p>
      <w:pPr>
        <w:spacing w:line="360" w:lineRule="auto"/>
        <w:ind w:firstLine="4668" w:firstLineChars="1945"/>
        <w:rPr>
          <w:rFonts w:hint="eastAsia" w:ascii="Times New Roman" w:hAnsi="Times New Roman" w:eastAsia="宋体" w:cs="Times New Roman"/>
          <w:kern w:val="0"/>
          <w:sz w:val="24"/>
          <w:highlight w:val="none"/>
          <w:lang w:val="zh-CN" w:eastAsia="zh-CN"/>
        </w:rPr>
      </w:pPr>
      <w:r>
        <w:rPr>
          <w:rFonts w:ascii="Times New Roman" w:hAnsi="Times New Roman" w:eastAsia="宋体" w:cs="Times New Roman"/>
          <w:kern w:val="0"/>
          <w:sz w:val="24"/>
          <w:highlight w:val="none"/>
          <w:lang w:val="zh-CN"/>
        </w:rPr>
        <w:t>日期</w:t>
      </w:r>
      <w:r>
        <w:rPr>
          <w:rFonts w:ascii="Times New Roman" w:hAnsi="Times New Roman" w:eastAsia="宋体" w:cs="Times New Roman"/>
          <w:kern w:val="0"/>
          <w:sz w:val="24"/>
          <w:highlight w:val="none"/>
        </w:rPr>
        <w:t>：</w:t>
      </w:r>
      <w:r>
        <w:rPr>
          <w:rFonts w:hint="eastAsia" w:ascii="Times New Roman" w:hAnsi="Times New Roman" w:eastAsia="宋体" w:cs="Times New Roman"/>
          <w:kern w:val="0"/>
          <w:sz w:val="24"/>
          <w:highlight w:val="none"/>
          <w:lang w:eastAsia="zh-CN"/>
        </w:rPr>
        <w:t>2025年</w:t>
      </w:r>
      <w:r>
        <w:rPr>
          <w:rFonts w:hint="eastAsia" w:ascii="Times New Roman" w:hAnsi="Times New Roman" w:eastAsia="宋体" w:cs="Times New Roman"/>
          <w:kern w:val="0"/>
          <w:sz w:val="24"/>
          <w:highlight w:val="none"/>
          <w:lang w:val="en-US" w:eastAsia="zh-CN"/>
        </w:rPr>
        <w:t xml:space="preserve">   </w:t>
      </w:r>
      <w:r>
        <w:rPr>
          <w:rFonts w:hint="eastAsia" w:ascii="Times New Roman" w:hAnsi="Times New Roman" w:eastAsia="宋体" w:cs="Times New Roman"/>
          <w:kern w:val="0"/>
          <w:sz w:val="24"/>
          <w:highlight w:val="none"/>
          <w:lang w:eastAsia="zh-CN"/>
        </w:rPr>
        <w:t>月</w:t>
      </w:r>
      <w:r>
        <w:rPr>
          <w:rFonts w:hint="eastAsia" w:ascii="Times New Roman" w:hAnsi="Times New Roman" w:eastAsia="宋体" w:cs="Times New Roman"/>
          <w:kern w:val="0"/>
          <w:sz w:val="24"/>
          <w:highlight w:val="none"/>
          <w:lang w:val="en-US" w:eastAsia="zh-CN"/>
        </w:rPr>
        <w:t xml:space="preserve">   </w:t>
      </w:r>
      <w:r>
        <w:rPr>
          <w:rFonts w:hint="eastAsia" w:ascii="Times New Roman" w:hAnsi="Times New Roman" w:eastAsia="宋体" w:cs="Times New Roman"/>
          <w:kern w:val="0"/>
          <w:sz w:val="24"/>
          <w:highlight w:val="none"/>
          <w:lang w:eastAsia="zh-CN"/>
        </w:rPr>
        <w:t>日</w:t>
      </w:r>
    </w:p>
    <w:p>
      <w:pPr>
        <w:spacing w:line="360" w:lineRule="auto"/>
        <w:outlineLvl w:val="1"/>
        <w:rPr>
          <w:rFonts w:ascii="Times New Roman" w:hAnsi="Times New Roman" w:eastAsia="宋体" w:cs="Times New Roman"/>
          <w:b/>
          <w:bCs/>
          <w:szCs w:val="21"/>
          <w:highlight w:val="none"/>
        </w:rPr>
      </w:pPr>
      <w:r>
        <w:rPr>
          <w:rFonts w:ascii="Times New Roman" w:hAnsi="Times New Roman" w:eastAsia="宋体" w:cs="Times New Roman"/>
          <w:sz w:val="28"/>
          <w:szCs w:val="28"/>
          <w:highlight w:val="none"/>
        </w:rPr>
        <w:br w:type="page"/>
      </w:r>
      <w:r>
        <w:rPr>
          <w:rFonts w:ascii="Times New Roman" w:hAnsi="Times New Roman" w:eastAsia="宋体" w:cs="Times New Roman"/>
          <w:b/>
          <w:bCs/>
          <w:szCs w:val="21"/>
          <w:highlight w:val="none"/>
        </w:rPr>
        <w:t>拟派服务团队人员情况表</w:t>
      </w:r>
    </w:p>
    <w:p>
      <w:pPr>
        <w:spacing w:line="360" w:lineRule="auto"/>
        <w:rPr>
          <w:rFonts w:ascii="Times New Roman" w:hAnsi="Times New Roman" w:eastAsia="宋体" w:cs="Times New Roman"/>
          <w:sz w:val="28"/>
          <w:szCs w:val="28"/>
          <w:highlight w:val="none"/>
        </w:rPr>
      </w:pPr>
    </w:p>
    <w:p>
      <w:pPr>
        <w:pStyle w:val="12"/>
        <w:spacing w:line="400" w:lineRule="atLeast"/>
        <w:ind w:left="1084" w:hanging="1084" w:hangingChars="300"/>
        <w:jc w:val="center"/>
        <w:rPr>
          <w:rFonts w:ascii="Times New Roman" w:hAnsi="Times New Roman" w:cs="Times New Roman"/>
          <w:b/>
          <w:bCs/>
          <w:sz w:val="36"/>
          <w:szCs w:val="36"/>
          <w:highlight w:val="none"/>
        </w:rPr>
      </w:pPr>
      <w:r>
        <w:rPr>
          <w:rFonts w:ascii="Times New Roman" w:hAnsi="Times New Roman" w:cs="Times New Roman"/>
          <w:b/>
          <w:bCs/>
          <w:sz w:val="36"/>
          <w:szCs w:val="36"/>
          <w:highlight w:val="none"/>
        </w:rPr>
        <w:t>项目组人员一览表</w:t>
      </w:r>
    </w:p>
    <w:p>
      <w:pPr>
        <w:rPr>
          <w:rFonts w:ascii="Times New Roman" w:hAnsi="Times New Roman" w:eastAsia="宋体" w:cs="Times New Roman"/>
          <w:highlight w:val="none"/>
        </w:rPr>
      </w:pPr>
    </w:p>
    <w:p>
      <w:pPr>
        <w:spacing w:line="360" w:lineRule="exact"/>
        <w:rPr>
          <w:rFonts w:ascii="Times New Roman" w:hAnsi="Times New Roman" w:eastAsia="宋体" w:cs="Times New Roman"/>
          <w:highlight w:val="none"/>
        </w:rPr>
      </w:pPr>
      <w:r>
        <w:rPr>
          <w:rFonts w:ascii="Times New Roman" w:hAnsi="Times New Roman" w:eastAsia="宋体" w:cs="Times New Roman"/>
          <w:sz w:val="22"/>
          <w:highlight w:val="none"/>
        </w:rPr>
        <w:t>项目名称：                                        招标编号：</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918"/>
        <w:gridCol w:w="918"/>
        <w:gridCol w:w="1215"/>
        <w:gridCol w:w="1193"/>
        <w:gridCol w:w="1261"/>
        <w:gridCol w:w="13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1073" w:type="dxa"/>
            <w:tcBorders>
              <w:top w:val="single" w:color="auto" w:sz="12" w:space="0"/>
              <w:left w:val="single" w:color="auto" w:sz="12" w:space="0"/>
              <w:bottom w:val="single" w:color="auto" w:sz="4" w:space="0"/>
              <w:right w:val="single" w:color="auto" w:sz="4" w:space="0"/>
            </w:tcBorders>
            <w:noWrap/>
            <w:vAlign w:val="center"/>
          </w:tcPr>
          <w:p>
            <w:pPr>
              <w:spacing w:line="360" w:lineRule="exact"/>
              <w:jc w:val="center"/>
              <w:rPr>
                <w:rFonts w:ascii="Times New Roman" w:hAnsi="Times New Roman" w:eastAsia="宋体" w:cs="Times New Roman"/>
                <w:sz w:val="22"/>
                <w:highlight w:val="none"/>
              </w:rPr>
            </w:pPr>
            <w:r>
              <w:rPr>
                <w:rFonts w:ascii="Times New Roman" w:hAnsi="Times New Roman" w:eastAsia="宋体" w:cs="Times New Roman"/>
                <w:sz w:val="22"/>
                <w:highlight w:val="none"/>
              </w:rPr>
              <w:t>姓名</w:t>
            </w:r>
          </w:p>
        </w:tc>
        <w:tc>
          <w:tcPr>
            <w:tcW w:w="918" w:type="dxa"/>
            <w:tcBorders>
              <w:top w:val="single" w:color="auto" w:sz="12"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宋体" w:cs="Times New Roman"/>
                <w:sz w:val="22"/>
                <w:highlight w:val="none"/>
              </w:rPr>
            </w:pPr>
            <w:r>
              <w:rPr>
                <w:rFonts w:ascii="Times New Roman" w:hAnsi="Times New Roman" w:eastAsia="宋体" w:cs="Times New Roman"/>
                <w:sz w:val="22"/>
                <w:highlight w:val="none"/>
              </w:rPr>
              <w:t>性别</w:t>
            </w:r>
          </w:p>
        </w:tc>
        <w:tc>
          <w:tcPr>
            <w:tcW w:w="918" w:type="dxa"/>
            <w:tcBorders>
              <w:top w:val="single" w:color="auto" w:sz="12"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宋体" w:cs="Times New Roman"/>
                <w:sz w:val="22"/>
                <w:highlight w:val="none"/>
              </w:rPr>
            </w:pPr>
            <w:r>
              <w:rPr>
                <w:rFonts w:ascii="Times New Roman" w:hAnsi="Times New Roman" w:eastAsia="宋体" w:cs="Times New Roman"/>
                <w:sz w:val="22"/>
                <w:highlight w:val="none"/>
              </w:rPr>
              <w:t>年龄</w:t>
            </w:r>
          </w:p>
        </w:tc>
        <w:tc>
          <w:tcPr>
            <w:tcW w:w="1215" w:type="dxa"/>
            <w:tcBorders>
              <w:top w:val="single" w:color="auto" w:sz="12"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宋体" w:cs="Times New Roman"/>
                <w:sz w:val="22"/>
                <w:highlight w:val="none"/>
              </w:rPr>
            </w:pPr>
            <w:r>
              <w:rPr>
                <w:rFonts w:ascii="Times New Roman" w:hAnsi="Times New Roman" w:eastAsia="宋体" w:cs="Times New Roman"/>
                <w:sz w:val="22"/>
                <w:highlight w:val="none"/>
              </w:rPr>
              <w:t>学历/职称</w:t>
            </w:r>
          </w:p>
        </w:tc>
        <w:tc>
          <w:tcPr>
            <w:tcW w:w="1193" w:type="dxa"/>
            <w:tcBorders>
              <w:top w:val="single" w:color="auto" w:sz="12"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宋体" w:cs="Times New Roman"/>
                <w:sz w:val="22"/>
                <w:highlight w:val="none"/>
              </w:rPr>
            </w:pPr>
            <w:r>
              <w:rPr>
                <w:rFonts w:ascii="Times New Roman" w:hAnsi="Times New Roman" w:eastAsia="宋体" w:cs="Times New Roman"/>
                <w:sz w:val="22"/>
                <w:highlight w:val="none"/>
              </w:rPr>
              <w:t>专业</w:t>
            </w:r>
          </w:p>
        </w:tc>
        <w:tc>
          <w:tcPr>
            <w:tcW w:w="1261" w:type="dxa"/>
            <w:tcBorders>
              <w:top w:val="single" w:color="auto" w:sz="12" w:space="0"/>
              <w:left w:val="single" w:color="auto" w:sz="4" w:space="0"/>
              <w:bottom w:val="single" w:color="auto" w:sz="4" w:space="0"/>
              <w:right w:val="single" w:color="auto" w:sz="4" w:space="0"/>
            </w:tcBorders>
            <w:noWrap/>
            <w:vAlign w:val="center"/>
          </w:tcPr>
          <w:p>
            <w:pPr>
              <w:spacing w:line="360" w:lineRule="exact"/>
              <w:rPr>
                <w:rFonts w:ascii="Times New Roman" w:hAnsi="Times New Roman" w:eastAsia="宋体" w:cs="Times New Roman"/>
                <w:sz w:val="22"/>
                <w:highlight w:val="none"/>
              </w:rPr>
            </w:pPr>
            <w:r>
              <w:rPr>
                <w:rFonts w:ascii="Times New Roman" w:hAnsi="Times New Roman" w:eastAsia="宋体" w:cs="Times New Roman"/>
                <w:highlight w:val="none"/>
              </w:rPr>
              <w:t>专业工作年限</w:t>
            </w:r>
          </w:p>
        </w:tc>
        <w:tc>
          <w:tcPr>
            <w:tcW w:w="1301" w:type="dxa"/>
            <w:tcBorders>
              <w:top w:val="single" w:color="auto" w:sz="12" w:space="0"/>
              <w:left w:val="single" w:color="auto" w:sz="4" w:space="0"/>
              <w:bottom w:val="single" w:color="auto" w:sz="4" w:space="0"/>
              <w:right w:val="single" w:color="auto" w:sz="12" w:space="0"/>
            </w:tcBorders>
            <w:noWrap/>
            <w:vAlign w:val="center"/>
          </w:tcPr>
          <w:p>
            <w:pPr>
              <w:spacing w:line="360" w:lineRule="exact"/>
              <w:jc w:val="center"/>
              <w:rPr>
                <w:rFonts w:ascii="Times New Roman" w:hAnsi="Times New Roman" w:eastAsia="宋体" w:cs="Times New Roman"/>
                <w:sz w:val="22"/>
                <w:highlight w:val="none"/>
              </w:rPr>
            </w:pPr>
            <w:r>
              <w:rPr>
                <w:rFonts w:ascii="Times New Roman" w:hAnsi="Times New Roman" w:eastAsia="宋体" w:cs="Times New Roman"/>
                <w:sz w:val="22"/>
                <w:highlight w:val="none"/>
              </w:rPr>
              <w:t>拟任何职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jc w:val="center"/>
        </w:trPr>
        <w:tc>
          <w:tcPr>
            <w:tcW w:w="1073" w:type="dxa"/>
            <w:tcBorders>
              <w:top w:val="single" w:color="auto" w:sz="4" w:space="0"/>
              <w:left w:val="single" w:color="auto" w:sz="12" w:space="0"/>
              <w:bottom w:val="single" w:color="auto" w:sz="4" w:space="0"/>
              <w:right w:val="single" w:color="auto" w:sz="4" w:space="0"/>
            </w:tcBorders>
            <w:noWrap/>
            <w:vAlign w:val="center"/>
          </w:tcPr>
          <w:p>
            <w:pPr>
              <w:spacing w:line="360" w:lineRule="exact"/>
              <w:jc w:val="center"/>
              <w:rPr>
                <w:rFonts w:ascii="Times New Roman" w:hAnsi="Times New Roman" w:eastAsia="宋体" w:cs="Times New Roman"/>
                <w:sz w:val="28"/>
                <w:highlight w:val="none"/>
              </w:rPr>
            </w:pPr>
          </w:p>
        </w:tc>
        <w:tc>
          <w:tcPr>
            <w:tcW w:w="91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宋体" w:cs="Times New Roman"/>
                <w:sz w:val="28"/>
                <w:highlight w:val="none"/>
              </w:rPr>
            </w:pPr>
          </w:p>
        </w:tc>
        <w:tc>
          <w:tcPr>
            <w:tcW w:w="91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宋体" w:cs="Times New Roman"/>
                <w:sz w:val="28"/>
                <w:highlight w:val="none"/>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宋体" w:cs="Times New Roman"/>
                <w:sz w:val="28"/>
                <w:highlight w:val="none"/>
              </w:rPr>
            </w:pPr>
          </w:p>
        </w:tc>
        <w:tc>
          <w:tcPr>
            <w:tcW w:w="119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宋体" w:cs="Times New Roman"/>
                <w:sz w:val="28"/>
                <w:highlight w:val="none"/>
              </w:rPr>
            </w:pPr>
          </w:p>
        </w:tc>
        <w:tc>
          <w:tcPr>
            <w:tcW w:w="126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宋体" w:cs="Times New Roman"/>
                <w:sz w:val="28"/>
                <w:highlight w:val="none"/>
              </w:rPr>
            </w:pPr>
          </w:p>
        </w:tc>
        <w:tc>
          <w:tcPr>
            <w:tcW w:w="1301" w:type="dxa"/>
            <w:tcBorders>
              <w:top w:val="single" w:color="auto" w:sz="4" w:space="0"/>
              <w:left w:val="single" w:color="auto" w:sz="4" w:space="0"/>
              <w:bottom w:val="single" w:color="auto" w:sz="4" w:space="0"/>
              <w:right w:val="single" w:color="auto" w:sz="12" w:space="0"/>
            </w:tcBorders>
            <w:noWrap/>
            <w:vAlign w:val="center"/>
          </w:tcPr>
          <w:p>
            <w:pPr>
              <w:spacing w:line="360" w:lineRule="exact"/>
              <w:jc w:val="center"/>
              <w:rPr>
                <w:rFonts w:ascii="Times New Roman" w:hAnsi="Times New Roman" w:eastAsia="宋体" w:cs="Times New Roman"/>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jc w:val="center"/>
        </w:trPr>
        <w:tc>
          <w:tcPr>
            <w:tcW w:w="1073" w:type="dxa"/>
            <w:tcBorders>
              <w:top w:val="single" w:color="auto" w:sz="4" w:space="0"/>
              <w:left w:val="single" w:color="auto" w:sz="12" w:space="0"/>
              <w:bottom w:val="single" w:color="auto" w:sz="4" w:space="0"/>
              <w:right w:val="single" w:color="auto" w:sz="4" w:space="0"/>
            </w:tcBorders>
            <w:noWrap/>
            <w:vAlign w:val="center"/>
          </w:tcPr>
          <w:p>
            <w:pPr>
              <w:spacing w:line="360" w:lineRule="exact"/>
              <w:jc w:val="center"/>
              <w:rPr>
                <w:rFonts w:ascii="Times New Roman" w:hAnsi="Times New Roman" w:eastAsia="宋体" w:cs="Times New Roman"/>
                <w:sz w:val="28"/>
                <w:highlight w:val="none"/>
              </w:rPr>
            </w:pPr>
          </w:p>
        </w:tc>
        <w:tc>
          <w:tcPr>
            <w:tcW w:w="91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宋体" w:cs="Times New Roman"/>
                <w:sz w:val="28"/>
                <w:highlight w:val="none"/>
              </w:rPr>
            </w:pPr>
          </w:p>
        </w:tc>
        <w:tc>
          <w:tcPr>
            <w:tcW w:w="91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宋体" w:cs="Times New Roman"/>
                <w:sz w:val="28"/>
                <w:highlight w:val="none"/>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宋体" w:cs="Times New Roman"/>
                <w:sz w:val="28"/>
                <w:highlight w:val="none"/>
              </w:rPr>
            </w:pPr>
          </w:p>
        </w:tc>
        <w:tc>
          <w:tcPr>
            <w:tcW w:w="119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宋体" w:cs="Times New Roman"/>
                <w:sz w:val="28"/>
                <w:highlight w:val="none"/>
              </w:rPr>
            </w:pPr>
          </w:p>
        </w:tc>
        <w:tc>
          <w:tcPr>
            <w:tcW w:w="126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宋体" w:cs="Times New Roman"/>
                <w:sz w:val="28"/>
                <w:highlight w:val="none"/>
              </w:rPr>
            </w:pPr>
          </w:p>
        </w:tc>
        <w:tc>
          <w:tcPr>
            <w:tcW w:w="1301" w:type="dxa"/>
            <w:tcBorders>
              <w:top w:val="single" w:color="auto" w:sz="4" w:space="0"/>
              <w:left w:val="single" w:color="auto" w:sz="4" w:space="0"/>
              <w:bottom w:val="single" w:color="auto" w:sz="4" w:space="0"/>
              <w:right w:val="single" w:color="auto" w:sz="12" w:space="0"/>
            </w:tcBorders>
            <w:noWrap/>
            <w:vAlign w:val="center"/>
          </w:tcPr>
          <w:p>
            <w:pPr>
              <w:spacing w:line="360" w:lineRule="exact"/>
              <w:jc w:val="center"/>
              <w:rPr>
                <w:rFonts w:ascii="Times New Roman" w:hAnsi="Times New Roman" w:eastAsia="宋体" w:cs="Times New Roman"/>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jc w:val="center"/>
        </w:trPr>
        <w:tc>
          <w:tcPr>
            <w:tcW w:w="1073" w:type="dxa"/>
            <w:tcBorders>
              <w:top w:val="single" w:color="auto" w:sz="4" w:space="0"/>
              <w:left w:val="single" w:color="auto" w:sz="12" w:space="0"/>
              <w:bottom w:val="single" w:color="auto" w:sz="4" w:space="0"/>
              <w:right w:val="single" w:color="auto" w:sz="4" w:space="0"/>
            </w:tcBorders>
            <w:noWrap/>
            <w:vAlign w:val="center"/>
          </w:tcPr>
          <w:p>
            <w:pPr>
              <w:spacing w:line="360" w:lineRule="exact"/>
              <w:jc w:val="center"/>
              <w:rPr>
                <w:rFonts w:ascii="Times New Roman" w:hAnsi="Times New Roman" w:eastAsia="宋体" w:cs="Times New Roman"/>
                <w:sz w:val="28"/>
                <w:highlight w:val="none"/>
              </w:rPr>
            </w:pPr>
          </w:p>
        </w:tc>
        <w:tc>
          <w:tcPr>
            <w:tcW w:w="91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宋体" w:cs="Times New Roman"/>
                <w:sz w:val="28"/>
                <w:highlight w:val="none"/>
              </w:rPr>
            </w:pPr>
          </w:p>
        </w:tc>
        <w:tc>
          <w:tcPr>
            <w:tcW w:w="91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宋体" w:cs="Times New Roman"/>
                <w:sz w:val="28"/>
                <w:highlight w:val="none"/>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宋体" w:cs="Times New Roman"/>
                <w:sz w:val="28"/>
                <w:highlight w:val="none"/>
              </w:rPr>
            </w:pPr>
          </w:p>
        </w:tc>
        <w:tc>
          <w:tcPr>
            <w:tcW w:w="119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宋体" w:cs="Times New Roman"/>
                <w:sz w:val="28"/>
                <w:highlight w:val="none"/>
              </w:rPr>
            </w:pPr>
          </w:p>
        </w:tc>
        <w:tc>
          <w:tcPr>
            <w:tcW w:w="126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宋体" w:cs="Times New Roman"/>
                <w:sz w:val="28"/>
                <w:highlight w:val="none"/>
              </w:rPr>
            </w:pPr>
          </w:p>
        </w:tc>
        <w:tc>
          <w:tcPr>
            <w:tcW w:w="1301" w:type="dxa"/>
            <w:tcBorders>
              <w:top w:val="single" w:color="auto" w:sz="4" w:space="0"/>
              <w:left w:val="single" w:color="auto" w:sz="4" w:space="0"/>
              <w:bottom w:val="single" w:color="auto" w:sz="4" w:space="0"/>
              <w:right w:val="single" w:color="auto" w:sz="12" w:space="0"/>
            </w:tcBorders>
            <w:noWrap/>
            <w:vAlign w:val="center"/>
          </w:tcPr>
          <w:p>
            <w:pPr>
              <w:spacing w:line="360" w:lineRule="exact"/>
              <w:jc w:val="center"/>
              <w:rPr>
                <w:rFonts w:ascii="Times New Roman" w:hAnsi="Times New Roman" w:eastAsia="宋体" w:cs="Times New Roman"/>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jc w:val="center"/>
        </w:trPr>
        <w:tc>
          <w:tcPr>
            <w:tcW w:w="1073" w:type="dxa"/>
            <w:tcBorders>
              <w:top w:val="single" w:color="auto" w:sz="4" w:space="0"/>
              <w:left w:val="single" w:color="auto" w:sz="12" w:space="0"/>
              <w:bottom w:val="single" w:color="auto" w:sz="4" w:space="0"/>
              <w:right w:val="single" w:color="auto" w:sz="4" w:space="0"/>
            </w:tcBorders>
            <w:noWrap/>
            <w:vAlign w:val="center"/>
          </w:tcPr>
          <w:p>
            <w:pPr>
              <w:spacing w:line="360" w:lineRule="exact"/>
              <w:jc w:val="center"/>
              <w:rPr>
                <w:rFonts w:ascii="Times New Roman" w:hAnsi="Times New Roman" w:eastAsia="宋体" w:cs="Times New Roman"/>
                <w:sz w:val="28"/>
                <w:highlight w:val="none"/>
              </w:rPr>
            </w:pPr>
          </w:p>
        </w:tc>
        <w:tc>
          <w:tcPr>
            <w:tcW w:w="91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宋体" w:cs="Times New Roman"/>
                <w:sz w:val="28"/>
                <w:highlight w:val="none"/>
              </w:rPr>
            </w:pPr>
          </w:p>
        </w:tc>
        <w:tc>
          <w:tcPr>
            <w:tcW w:w="91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宋体" w:cs="Times New Roman"/>
                <w:sz w:val="28"/>
                <w:highlight w:val="none"/>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宋体" w:cs="Times New Roman"/>
                <w:sz w:val="28"/>
                <w:highlight w:val="none"/>
              </w:rPr>
            </w:pPr>
          </w:p>
        </w:tc>
        <w:tc>
          <w:tcPr>
            <w:tcW w:w="119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宋体" w:cs="Times New Roman"/>
                <w:sz w:val="28"/>
                <w:highlight w:val="none"/>
              </w:rPr>
            </w:pPr>
          </w:p>
        </w:tc>
        <w:tc>
          <w:tcPr>
            <w:tcW w:w="126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宋体" w:cs="Times New Roman"/>
                <w:sz w:val="28"/>
                <w:highlight w:val="none"/>
              </w:rPr>
            </w:pPr>
          </w:p>
        </w:tc>
        <w:tc>
          <w:tcPr>
            <w:tcW w:w="1301" w:type="dxa"/>
            <w:tcBorders>
              <w:top w:val="single" w:color="auto" w:sz="4" w:space="0"/>
              <w:left w:val="single" w:color="auto" w:sz="4" w:space="0"/>
              <w:bottom w:val="single" w:color="auto" w:sz="4" w:space="0"/>
              <w:right w:val="single" w:color="auto" w:sz="12" w:space="0"/>
            </w:tcBorders>
            <w:noWrap/>
            <w:vAlign w:val="center"/>
          </w:tcPr>
          <w:p>
            <w:pPr>
              <w:spacing w:line="360" w:lineRule="exact"/>
              <w:jc w:val="center"/>
              <w:rPr>
                <w:rFonts w:ascii="Times New Roman" w:hAnsi="Times New Roman" w:eastAsia="宋体" w:cs="Times New Roman"/>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jc w:val="center"/>
        </w:trPr>
        <w:tc>
          <w:tcPr>
            <w:tcW w:w="1073" w:type="dxa"/>
            <w:tcBorders>
              <w:top w:val="single" w:color="auto" w:sz="4" w:space="0"/>
              <w:left w:val="single" w:color="auto" w:sz="12" w:space="0"/>
              <w:bottom w:val="single" w:color="auto" w:sz="4" w:space="0"/>
              <w:right w:val="single" w:color="auto" w:sz="4" w:space="0"/>
            </w:tcBorders>
            <w:noWrap/>
            <w:vAlign w:val="center"/>
          </w:tcPr>
          <w:p>
            <w:pPr>
              <w:spacing w:line="360" w:lineRule="exact"/>
              <w:jc w:val="center"/>
              <w:rPr>
                <w:rFonts w:ascii="Times New Roman" w:hAnsi="Times New Roman" w:eastAsia="宋体" w:cs="Times New Roman"/>
                <w:sz w:val="28"/>
                <w:highlight w:val="none"/>
              </w:rPr>
            </w:pPr>
          </w:p>
        </w:tc>
        <w:tc>
          <w:tcPr>
            <w:tcW w:w="91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宋体" w:cs="Times New Roman"/>
                <w:sz w:val="28"/>
                <w:highlight w:val="none"/>
              </w:rPr>
            </w:pPr>
          </w:p>
        </w:tc>
        <w:tc>
          <w:tcPr>
            <w:tcW w:w="91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宋体" w:cs="Times New Roman"/>
                <w:sz w:val="28"/>
                <w:highlight w:val="none"/>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宋体" w:cs="Times New Roman"/>
                <w:sz w:val="28"/>
                <w:highlight w:val="none"/>
              </w:rPr>
            </w:pPr>
          </w:p>
        </w:tc>
        <w:tc>
          <w:tcPr>
            <w:tcW w:w="119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宋体" w:cs="Times New Roman"/>
                <w:sz w:val="28"/>
                <w:highlight w:val="none"/>
              </w:rPr>
            </w:pPr>
          </w:p>
        </w:tc>
        <w:tc>
          <w:tcPr>
            <w:tcW w:w="126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宋体" w:cs="Times New Roman"/>
                <w:sz w:val="28"/>
                <w:highlight w:val="none"/>
              </w:rPr>
            </w:pPr>
          </w:p>
        </w:tc>
        <w:tc>
          <w:tcPr>
            <w:tcW w:w="1301" w:type="dxa"/>
            <w:tcBorders>
              <w:top w:val="single" w:color="auto" w:sz="4" w:space="0"/>
              <w:left w:val="single" w:color="auto" w:sz="4" w:space="0"/>
              <w:bottom w:val="single" w:color="auto" w:sz="4" w:space="0"/>
              <w:right w:val="single" w:color="auto" w:sz="12" w:space="0"/>
            </w:tcBorders>
            <w:noWrap/>
            <w:vAlign w:val="center"/>
          </w:tcPr>
          <w:p>
            <w:pPr>
              <w:spacing w:line="360" w:lineRule="exact"/>
              <w:jc w:val="center"/>
              <w:rPr>
                <w:rFonts w:ascii="Times New Roman" w:hAnsi="Times New Roman" w:eastAsia="宋体" w:cs="Times New Roman"/>
                <w:sz w:val="28"/>
                <w:highlight w:val="none"/>
              </w:rPr>
            </w:pPr>
          </w:p>
        </w:tc>
      </w:tr>
    </w:tbl>
    <w:p>
      <w:pPr>
        <w:spacing w:line="360" w:lineRule="exact"/>
        <w:rPr>
          <w:rFonts w:ascii="Times New Roman" w:hAnsi="Times New Roman" w:eastAsia="宋体" w:cs="Times New Roman"/>
          <w:b/>
          <w:sz w:val="22"/>
          <w:highlight w:val="none"/>
        </w:rPr>
      </w:pPr>
      <w:r>
        <w:rPr>
          <w:rFonts w:ascii="Times New Roman" w:hAnsi="Times New Roman" w:eastAsia="宋体" w:cs="Times New Roman"/>
          <w:sz w:val="22"/>
          <w:highlight w:val="none"/>
        </w:rPr>
        <w:t>注：1、本表应附所列项目组成员毕业证书；</w:t>
      </w:r>
    </w:p>
    <w:p>
      <w:pPr>
        <w:pStyle w:val="12"/>
        <w:tabs>
          <w:tab w:val="left" w:pos="0"/>
          <w:tab w:val="left" w:pos="540"/>
        </w:tabs>
        <w:spacing w:line="300" w:lineRule="auto"/>
        <w:ind w:left="439" w:leftChars="209"/>
        <w:rPr>
          <w:rFonts w:ascii="Times New Roman" w:hAnsi="Times New Roman" w:cs="Times New Roman"/>
          <w:sz w:val="22"/>
          <w:highlight w:val="none"/>
        </w:rPr>
      </w:pPr>
      <w:r>
        <w:rPr>
          <w:rFonts w:ascii="Times New Roman" w:hAnsi="Times New Roman" w:cs="Times New Roman"/>
          <w:sz w:val="22"/>
          <w:highlight w:val="none"/>
        </w:rPr>
        <w:t>2、此表仅提供了表格形式，可按此表格复制。</w:t>
      </w:r>
    </w:p>
    <w:p>
      <w:pPr>
        <w:pStyle w:val="12"/>
        <w:tabs>
          <w:tab w:val="left" w:pos="0"/>
          <w:tab w:val="left" w:pos="540"/>
        </w:tabs>
        <w:spacing w:line="300" w:lineRule="auto"/>
        <w:ind w:left="439" w:leftChars="209"/>
        <w:rPr>
          <w:rFonts w:ascii="Times New Roman" w:hAnsi="Times New Roman" w:cs="Times New Roman"/>
          <w:sz w:val="22"/>
          <w:highlight w:val="none"/>
        </w:rPr>
      </w:pPr>
      <w:r>
        <w:rPr>
          <w:rFonts w:ascii="Times New Roman" w:hAnsi="Times New Roman" w:cs="Times New Roman"/>
          <w:sz w:val="22"/>
          <w:highlight w:val="none"/>
        </w:rPr>
        <w:t>3.项目组成员履历表格式自拟</w:t>
      </w:r>
    </w:p>
    <w:p>
      <w:pPr>
        <w:pStyle w:val="12"/>
        <w:tabs>
          <w:tab w:val="left" w:pos="0"/>
          <w:tab w:val="left" w:pos="540"/>
        </w:tabs>
        <w:spacing w:line="300" w:lineRule="auto"/>
        <w:ind w:left="438" w:leftChars="156" w:hanging="110" w:hangingChars="50"/>
        <w:rPr>
          <w:rFonts w:ascii="Times New Roman" w:hAnsi="Times New Roman" w:cs="Times New Roman"/>
          <w:sz w:val="22"/>
          <w:highlight w:val="none"/>
        </w:rPr>
      </w:pPr>
    </w:p>
    <w:p>
      <w:pPr>
        <w:pStyle w:val="12"/>
        <w:spacing w:line="400" w:lineRule="atLeast"/>
        <w:ind w:left="657" w:leftChars="313" w:firstLine="3960" w:firstLineChars="1800"/>
        <w:rPr>
          <w:rFonts w:ascii="Times New Roman" w:hAnsi="Times New Roman" w:cs="Times New Roman"/>
          <w:sz w:val="22"/>
          <w:highlight w:val="none"/>
        </w:rPr>
      </w:pPr>
      <w:r>
        <w:rPr>
          <w:rFonts w:ascii="Times New Roman" w:hAnsi="Times New Roman" w:cs="Times New Roman"/>
          <w:sz w:val="22"/>
          <w:highlight w:val="none"/>
        </w:rPr>
        <w:t>投标人名称（盖章）：</w:t>
      </w:r>
    </w:p>
    <w:p>
      <w:pPr>
        <w:pStyle w:val="12"/>
        <w:spacing w:line="400" w:lineRule="atLeast"/>
        <w:ind w:left="660" w:hanging="660" w:hangingChars="300"/>
        <w:rPr>
          <w:rFonts w:ascii="Times New Roman" w:hAnsi="Times New Roman" w:cs="Times New Roman"/>
          <w:sz w:val="22"/>
          <w:highlight w:val="none"/>
        </w:rPr>
      </w:pPr>
      <w:r>
        <w:rPr>
          <w:rFonts w:ascii="Times New Roman" w:hAnsi="Times New Roman" w:cs="Times New Roman"/>
          <w:sz w:val="22"/>
          <w:highlight w:val="none"/>
        </w:rPr>
        <w:t xml:space="preserve">                                          投标人代表（签字）：</w:t>
      </w:r>
    </w:p>
    <w:p>
      <w:pPr>
        <w:spacing w:line="440" w:lineRule="exact"/>
        <w:rPr>
          <w:rFonts w:ascii="Times New Roman" w:hAnsi="Times New Roman" w:eastAsia="宋体" w:cs="Times New Roman"/>
          <w:sz w:val="22"/>
          <w:highlight w:val="none"/>
        </w:rPr>
      </w:pPr>
      <w:r>
        <w:rPr>
          <w:rFonts w:ascii="Times New Roman" w:hAnsi="Times New Roman" w:eastAsia="宋体" w:cs="Times New Roman"/>
          <w:sz w:val="22"/>
          <w:highlight w:val="none"/>
        </w:rPr>
        <w:t xml:space="preserve">                                          日    期：    年   月   日</w:t>
      </w:r>
      <w:r>
        <w:rPr>
          <w:rFonts w:ascii="Times New Roman" w:hAnsi="Times New Roman" w:eastAsia="宋体" w:cs="Times New Roman"/>
          <w:sz w:val="22"/>
          <w:highlight w:val="none"/>
        </w:rPr>
        <w:br w:type="page"/>
      </w:r>
    </w:p>
    <w:p>
      <w:pPr>
        <w:spacing w:line="360" w:lineRule="auto"/>
        <w:outlineLvl w:val="1"/>
        <w:rPr>
          <w:rFonts w:ascii="Times New Roman" w:hAnsi="Times New Roman" w:eastAsia="宋体" w:cs="Times New Roman"/>
          <w:b/>
          <w:bCs/>
          <w:szCs w:val="21"/>
          <w:highlight w:val="none"/>
        </w:rPr>
      </w:pPr>
      <w:r>
        <w:rPr>
          <w:rFonts w:ascii="Times New Roman" w:hAnsi="Times New Roman" w:eastAsia="宋体" w:cs="Times New Roman"/>
          <w:b/>
          <w:bCs/>
          <w:szCs w:val="21"/>
          <w:highlight w:val="none"/>
        </w:rPr>
        <w:t>拟派服务团队人员情况表</w:t>
      </w:r>
    </w:p>
    <w:p>
      <w:pPr>
        <w:jc w:val="center"/>
        <w:rPr>
          <w:rFonts w:ascii="Times New Roman" w:hAnsi="Times New Roman" w:eastAsia="宋体" w:cs="Times New Roman"/>
          <w:b/>
          <w:kern w:val="0"/>
          <w:sz w:val="36"/>
          <w:szCs w:val="20"/>
          <w:highlight w:val="none"/>
        </w:rPr>
      </w:pPr>
      <w:r>
        <w:rPr>
          <w:rFonts w:ascii="Times New Roman" w:hAnsi="Times New Roman" w:eastAsia="宋体" w:cs="Times New Roman"/>
          <w:b/>
          <w:kern w:val="0"/>
          <w:sz w:val="36"/>
          <w:szCs w:val="20"/>
          <w:highlight w:val="none"/>
        </w:rPr>
        <w:t>项目小组名单</w:t>
      </w:r>
    </w:p>
    <w:p>
      <w:pPr>
        <w:tabs>
          <w:tab w:val="left" w:pos="780"/>
        </w:tabs>
        <w:autoSpaceDE w:val="0"/>
        <w:autoSpaceDN w:val="0"/>
        <w:adjustRightInd w:val="0"/>
        <w:spacing w:line="360" w:lineRule="exact"/>
        <w:rPr>
          <w:rFonts w:ascii="Times New Roman" w:hAnsi="Times New Roman" w:eastAsia="宋体" w:cs="Times New Roman"/>
          <w:b/>
          <w:szCs w:val="21"/>
          <w:highlight w:val="none"/>
        </w:rPr>
      </w:pPr>
      <w:r>
        <w:rPr>
          <w:rFonts w:ascii="Times New Roman" w:hAnsi="Times New Roman" w:eastAsia="宋体" w:cs="Times New Roman"/>
          <w:b/>
          <w:szCs w:val="21"/>
          <w:highlight w:val="none"/>
        </w:rPr>
        <w:t>附表A: 拟派本项目负</w:t>
      </w:r>
      <w:r>
        <w:rPr>
          <w:rFonts w:hint="eastAsia" w:ascii="Times New Roman" w:hAnsi="Times New Roman" w:eastAsia="宋体" w:cs="Times New Roman"/>
          <w:b/>
          <w:szCs w:val="21"/>
          <w:highlight w:val="none"/>
        </w:rPr>
        <w:t>责人</w:t>
      </w:r>
      <w:r>
        <w:rPr>
          <w:rFonts w:ascii="Times New Roman" w:hAnsi="Times New Roman" w:eastAsia="宋体" w:cs="Times New Roman"/>
          <w:b/>
          <w:szCs w:val="21"/>
          <w:highlight w:val="none"/>
        </w:rPr>
        <w:t>资格情况表</w:t>
      </w:r>
    </w:p>
    <w:tbl>
      <w:tblPr>
        <w:tblStyle w:val="22"/>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1"/>
        <w:gridCol w:w="168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1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lang w:val="zh-CN"/>
              </w:rPr>
            </w:pPr>
            <w:r>
              <w:rPr>
                <w:rFonts w:ascii="Times New Roman" w:hAnsi="Times New Roman" w:eastAsia="宋体" w:cs="Times New Roman"/>
                <w:sz w:val="24"/>
                <w:highlight w:val="none"/>
                <w:lang w:val="zh-CN"/>
              </w:rPr>
              <w:t>姓名</w:t>
            </w:r>
          </w:p>
        </w:tc>
        <w:tc>
          <w:tcPr>
            <w:tcW w:w="168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lang w:val="zh-CN"/>
              </w:rPr>
            </w:pPr>
          </w:p>
        </w:tc>
        <w:tc>
          <w:tcPr>
            <w:tcW w:w="451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lang w:val="zh-CN"/>
              </w:rPr>
            </w:pPr>
            <w:r>
              <w:rPr>
                <w:rFonts w:ascii="Times New Roman" w:hAnsi="Times New Roman" w:eastAsia="宋体" w:cs="Times New Roman"/>
                <w:sz w:val="24"/>
                <w:highlight w:val="none"/>
                <w:lang w:val="zh-CN"/>
              </w:rPr>
              <w:t>工作业绩及承担的主要工作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31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lang w:val="zh-CN"/>
              </w:rPr>
            </w:pPr>
            <w:r>
              <w:rPr>
                <w:rFonts w:ascii="Times New Roman" w:hAnsi="Times New Roman" w:eastAsia="宋体" w:cs="Times New Roman"/>
                <w:sz w:val="24"/>
                <w:highlight w:val="none"/>
                <w:lang w:val="zh-CN"/>
              </w:rPr>
              <w:t>性别</w:t>
            </w:r>
          </w:p>
        </w:tc>
        <w:tc>
          <w:tcPr>
            <w:tcW w:w="168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lang w:val="zh-CN"/>
              </w:rPr>
            </w:pPr>
          </w:p>
        </w:tc>
        <w:tc>
          <w:tcPr>
            <w:tcW w:w="4517" w:type="dxa"/>
            <w:vMerge w:val="restar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1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lang w:val="zh-CN"/>
              </w:rPr>
            </w:pPr>
            <w:r>
              <w:rPr>
                <w:rFonts w:ascii="Times New Roman" w:hAnsi="Times New Roman" w:eastAsia="宋体" w:cs="Times New Roman"/>
                <w:sz w:val="24"/>
                <w:highlight w:val="none"/>
                <w:lang w:val="zh-CN"/>
              </w:rPr>
              <w:t>年龄</w:t>
            </w:r>
          </w:p>
        </w:tc>
        <w:tc>
          <w:tcPr>
            <w:tcW w:w="168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lang w:val="zh-CN"/>
              </w:rPr>
            </w:pPr>
          </w:p>
        </w:tc>
        <w:tc>
          <w:tcPr>
            <w:tcW w:w="4517"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31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lang w:val="zh-CN"/>
              </w:rPr>
            </w:pPr>
            <w:r>
              <w:rPr>
                <w:rFonts w:ascii="Times New Roman" w:hAnsi="Times New Roman" w:eastAsia="宋体" w:cs="Times New Roman"/>
                <w:sz w:val="24"/>
                <w:highlight w:val="none"/>
                <w:lang w:val="zh-CN"/>
              </w:rPr>
              <w:t>职称</w:t>
            </w:r>
          </w:p>
        </w:tc>
        <w:tc>
          <w:tcPr>
            <w:tcW w:w="168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lang w:val="zh-CN"/>
              </w:rPr>
            </w:pPr>
          </w:p>
        </w:tc>
        <w:tc>
          <w:tcPr>
            <w:tcW w:w="4517"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31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lang w:val="zh-CN"/>
              </w:rPr>
            </w:pPr>
            <w:r>
              <w:rPr>
                <w:rFonts w:ascii="Times New Roman" w:hAnsi="Times New Roman" w:eastAsia="宋体" w:cs="Times New Roman"/>
                <w:sz w:val="24"/>
                <w:highlight w:val="none"/>
                <w:lang w:val="zh-CN"/>
              </w:rPr>
              <w:t>毕业时间</w:t>
            </w:r>
          </w:p>
        </w:tc>
        <w:tc>
          <w:tcPr>
            <w:tcW w:w="168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lang w:val="zh-CN"/>
              </w:rPr>
            </w:pPr>
          </w:p>
        </w:tc>
        <w:tc>
          <w:tcPr>
            <w:tcW w:w="4517"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31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lang w:val="zh-CN"/>
              </w:rPr>
            </w:pPr>
            <w:r>
              <w:rPr>
                <w:rFonts w:ascii="Times New Roman" w:hAnsi="Times New Roman" w:eastAsia="宋体" w:cs="Times New Roman"/>
                <w:sz w:val="24"/>
                <w:highlight w:val="none"/>
                <w:lang w:val="zh-CN"/>
              </w:rPr>
              <w:t>所学专业</w:t>
            </w:r>
          </w:p>
        </w:tc>
        <w:tc>
          <w:tcPr>
            <w:tcW w:w="168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lang w:val="zh-CN"/>
              </w:rPr>
            </w:pPr>
          </w:p>
        </w:tc>
        <w:tc>
          <w:tcPr>
            <w:tcW w:w="4517"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161" w:type="dxa"/>
            <w:tcBorders>
              <w:top w:val="single" w:color="auto" w:sz="4" w:space="0"/>
              <w:left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lang w:val="zh-CN"/>
              </w:rPr>
            </w:pPr>
            <w:r>
              <w:rPr>
                <w:rFonts w:ascii="Times New Roman" w:hAnsi="Times New Roman" w:eastAsia="宋体" w:cs="Times New Roman"/>
                <w:sz w:val="24"/>
                <w:highlight w:val="none"/>
                <w:lang w:val="zh-CN"/>
              </w:rPr>
              <w:t>学历</w:t>
            </w:r>
          </w:p>
        </w:tc>
        <w:tc>
          <w:tcPr>
            <w:tcW w:w="1686" w:type="dxa"/>
            <w:tcBorders>
              <w:top w:val="single" w:color="auto" w:sz="4" w:space="0"/>
              <w:left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lang w:val="zh-CN"/>
              </w:rPr>
            </w:pPr>
          </w:p>
        </w:tc>
        <w:tc>
          <w:tcPr>
            <w:tcW w:w="4517"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31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lang w:val="zh-CN"/>
              </w:rPr>
            </w:pPr>
            <w:r>
              <w:rPr>
                <w:rFonts w:ascii="Times New Roman" w:hAnsi="Times New Roman" w:eastAsia="宋体" w:cs="Times New Roman"/>
                <w:sz w:val="24"/>
                <w:highlight w:val="none"/>
                <w:lang w:val="zh-CN"/>
              </w:rPr>
              <w:t>其他专业资质</w:t>
            </w:r>
          </w:p>
        </w:tc>
        <w:tc>
          <w:tcPr>
            <w:tcW w:w="168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lang w:val="zh-CN"/>
              </w:rPr>
            </w:pPr>
          </w:p>
        </w:tc>
        <w:tc>
          <w:tcPr>
            <w:tcW w:w="4517"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31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lang w:val="zh-CN"/>
              </w:rPr>
            </w:pPr>
            <w:r>
              <w:rPr>
                <w:rFonts w:ascii="Times New Roman" w:hAnsi="Times New Roman" w:eastAsia="宋体" w:cs="Times New Roman"/>
                <w:sz w:val="24"/>
                <w:highlight w:val="none"/>
                <w:lang w:val="zh-CN"/>
              </w:rPr>
              <w:t>联系电话</w:t>
            </w:r>
          </w:p>
        </w:tc>
        <w:tc>
          <w:tcPr>
            <w:tcW w:w="168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lang w:val="zh-CN"/>
              </w:rPr>
            </w:pPr>
          </w:p>
        </w:tc>
        <w:tc>
          <w:tcPr>
            <w:tcW w:w="4517"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lang w:val="zh-CN"/>
              </w:rPr>
            </w:pPr>
          </w:p>
        </w:tc>
      </w:tr>
    </w:tbl>
    <w:p>
      <w:pPr>
        <w:tabs>
          <w:tab w:val="left" w:pos="780"/>
        </w:tabs>
        <w:autoSpaceDE w:val="0"/>
        <w:autoSpaceDN w:val="0"/>
        <w:adjustRightInd w:val="0"/>
        <w:spacing w:line="360" w:lineRule="exact"/>
        <w:ind w:firstLine="480"/>
        <w:rPr>
          <w:rFonts w:ascii="Times New Roman" w:hAnsi="Times New Roman" w:eastAsia="宋体" w:cs="Times New Roman"/>
          <w:b/>
          <w:szCs w:val="21"/>
          <w:highlight w:val="none"/>
        </w:rPr>
      </w:pPr>
      <w:r>
        <w:rPr>
          <w:rFonts w:ascii="Times New Roman" w:hAnsi="Times New Roman" w:eastAsia="宋体" w:cs="Times New Roman"/>
          <w:b/>
          <w:szCs w:val="21"/>
          <w:highlight w:val="none"/>
        </w:rPr>
        <w:t>注：须随表提交相应的证书复印件并注明所在投标技术文件页码。</w:t>
      </w:r>
    </w:p>
    <w:p>
      <w:pPr>
        <w:tabs>
          <w:tab w:val="left" w:pos="780"/>
        </w:tabs>
        <w:autoSpaceDE w:val="0"/>
        <w:autoSpaceDN w:val="0"/>
        <w:adjustRightInd w:val="0"/>
        <w:spacing w:line="360" w:lineRule="exact"/>
        <w:ind w:firstLine="480"/>
        <w:rPr>
          <w:rFonts w:ascii="Times New Roman" w:hAnsi="Times New Roman" w:eastAsia="宋体" w:cs="Times New Roman"/>
          <w:b/>
          <w:szCs w:val="21"/>
          <w:highlight w:val="none"/>
        </w:rPr>
      </w:pPr>
    </w:p>
    <w:p>
      <w:pPr>
        <w:autoSpaceDE w:val="0"/>
        <w:autoSpaceDN w:val="0"/>
        <w:adjustRightInd w:val="0"/>
        <w:spacing w:line="360" w:lineRule="auto"/>
        <w:rPr>
          <w:rFonts w:ascii="Times New Roman" w:hAnsi="Times New Roman" w:eastAsia="宋体" w:cs="Times New Roman"/>
          <w:kern w:val="0"/>
          <w:szCs w:val="20"/>
          <w:highlight w:val="none"/>
        </w:rPr>
      </w:pPr>
      <w:r>
        <w:rPr>
          <w:rFonts w:ascii="Times New Roman" w:hAnsi="Times New Roman" w:eastAsia="宋体" w:cs="Times New Roman"/>
          <w:b/>
          <w:szCs w:val="21"/>
          <w:highlight w:val="none"/>
        </w:rPr>
        <w:t>附表B</w:t>
      </w:r>
      <w:r>
        <w:rPr>
          <w:rFonts w:hint="eastAsia" w:ascii="Times New Roman" w:hAnsi="Times New Roman" w:eastAsia="宋体" w:cs="Times New Roman"/>
          <w:b/>
          <w:szCs w:val="21"/>
          <w:highlight w:val="none"/>
        </w:rPr>
        <w:t>：</w:t>
      </w:r>
      <w:r>
        <w:rPr>
          <w:rFonts w:ascii="Times New Roman" w:hAnsi="Times New Roman" w:eastAsia="宋体" w:cs="Times New Roman"/>
          <w:b/>
          <w:szCs w:val="21"/>
          <w:highlight w:val="none"/>
        </w:rPr>
        <w:t>本项目的项目小组人员情况表</w:t>
      </w:r>
      <w:r>
        <w:rPr>
          <w:rFonts w:ascii="Times New Roman" w:hAnsi="Times New Roman" w:eastAsia="宋体" w:cs="Times New Roman"/>
          <w:kern w:val="0"/>
          <w:szCs w:val="20"/>
          <w:highlight w:val="none"/>
        </w:rPr>
        <w:t>（按此格式自制）</w:t>
      </w:r>
    </w:p>
    <w:tbl>
      <w:tblPr>
        <w:tblStyle w:val="22"/>
        <w:tblW w:w="9157" w:type="dxa"/>
        <w:jc w:val="center"/>
        <w:tblLayout w:type="fixed"/>
        <w:tblCellMar>
          <w:top w:w="0" w:type="dxa"/>
          <w:left w:w="108" w:type="dxa"/>
          <w:bottom w:w="0" w:type="dxa"/>
          <w:right w:w="108" w:type="dxa"/>
        </w:tblCellMar>
      </w:tblPr>
      <w:tblGrid>
        <w:gridCol w:w="890"/>
        <w:gridCol w:w="817"/>
        <w:gridCol w:w="428"/>
        <w:gridCol w:w="608"/>
        <w:gridCol w:w="1075"/>
        <w:gridCol w:w="1121"/>
        <w:gridCol w:w="1121"/>
        <w:gridCol w:w="1308"/>
        <w:gridCol w:w="1789"/>
      </w:tblGrid>
      <w:tr>
        <w:tblPrEx>
          <w:tblCellMar>
            <w:top w:w="0" w:type="dxa"/>
            <w:left w:w="108" w:type="dxa"/>
            <w:bottom w:w="0" w:type="dxa"/>
            <w:right w:w="108" w:type="dxa"/>
          </w:tblCellMar>
        </w:tblPrEx>
        <w:trPr>
          <w:trHeight w:val="1090" w:hRule="atLeast"/>
          <w:jc w:val="center"/>
        </w:trPr>
        <w:tc>
          <w:tcPr>
            <w:tcW w:w="89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序号</w:t>
            </w:r>
          </w:p>
        </w:tc>
        <w:tc>
          <w:tcPr>
            <w:tcW w:w="817"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姓名</w:t>
            </w:r>
          </w:p>
        </w:tc>
        <w:tc>
          <w:tcPr>
            <w:tcW w:w="42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性别</w:t>
            </w:r>
          </w:p>
        </w:tc>
        <w:tc>
          <w:tcPr>
            <w:tcW w:w="60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年龄</w:t>
            </w:r>
          </w:p>
        </w:tc>
        <w:tc>
          <w:tcPr>
            <w:tcW w:w="1075"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学历</w:t>
            </w:r>
          </w:p>
          <w:p>
            <w:pPr>
              <w:autoSpaceDE w:val="0"/>
              <w:autoSpaceDN w:val="0"/>
              <w:adjustRightInd w:val="0"/>
              <w:spacing w:line="360" w:lineRule="auto"/>
              <w:jc w:val="center"/>
              <w:rPr>
                <w:rFonts w:ascii="Times New Roman" w:hAnsi="Times New Roman" w:eastAsia="宋体" w:cs="Times New Roman"/>
                <w:sz w:val="24"/>
                <w:highlight w:val="none"/>
              </w:rPr>
            </w:pPr>
          </w:p>
        </w:tc>
        <w:tc>
          <w:tcPr>
            <w:tcW w:w="112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专业</w:t>
            </w:r>
          </w:p>
          <w:p>
            <w:pPr>
              <w:autoSpaceDE w:val="0"/>
              <w:autoSpaceDN w:val="0"/>
              <w:adjustRightInd w:val="0"/>
              <w:spacing w:line="360" w:lineRule="auto"/>
              <w:jc w:val="center"/>
              <w:rPr>
                <w:rFonts w:ascii="Times New Roman" w:hAnsi="Times New Roman" w:eastAsia="宋体" w:cs="Times New Roman"/>
                <w:sz w:val="24"/>
                <w:highlight w:val="none"/>
              </w:rPr>
            </w:pPr>
          </w:p>
        </w:tc>
        <w:tc>
          <w:tcPr>
            <w:tcW w:w="112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职称</w:t>
            </w:r>
          </w:p>
          <w:p>
            <w:pPr>
              <w:autoSpaceDE w:val="0"/>
              <w:autoSpaceDN w:val="0"/>
              <w:adjustRightInd w:val="0"/>
              <w:spacing w:line="360" w:lineRule="auto"/>
              <w:jc w:val="center"/>
              <w:rPr>
                <w:rFonts w:ascii="Times New Roman" w:hAnsi="Times New Roman" w:eastAsia="宋体" w:cs="Times New Roman"/>
                <w:sz w:val="24"/>
                <w:highlight w:val="none"/>
              </w:rPr>
            </w:pPr>
          </w:p>
        </w:tc>
        <w:tc>
          <w:tcPr>
            <w:tcW w:w="130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本项目中的职责</w:t>
            </w:r>
          </w:p>
        </w:tc>
        <w:tc>
          <w:tcPr>
            <w:tcW w:w="178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参与本项目的到位情况</w:t>
            </w:r>
          </w:p>
        </w:tc>
      </w:tr>
      <w:tr>
        <w:tblPrEx>
          <w:tblCellMar>
            <w:top w:w="0" w:type="dxa"/>
            <w:left w:w="108" w:type="dxa"/>
            <w:bottom w:w="0" w:type="dxa"/>
            <w:right w:w="108" w:type="dxa"/>
          </w:tblCellMar>
        </w:tblPrEx>
        <w:trPr>
          <w:trHeight w:val="699" w:hRule="atLeast"/>
          <w:jc w:val="center"/>
        </w:trPr>
        <w:tc>
          <w:tcPr>
            <w:tcW w:w="890"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jc w:val="center"/>
              <w:rPr>
                <w:rFonts w:ascii="Times New Roman" w:hAnsi="Times New Roman" w:eastAsia="宋体" w:cs="Times New Roman"/>
                <w:sz w:val="24"/>
                <w:highlight w:val="none"/>
              </w:rPr>
            </w:pPr>
          </w:p>
        </w:tc>
        <w:tc>
          <w:tcPr>
            <w:tcW w:w="817"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highlight w:val="none"/>
              </w:rPr>
            </w:pPr>
          </w:p>
        </w:tc>
        <w:tc>
          <w:tcPr>
            <w:tcW w:w="42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highlight w:val="none"/>
              </w:rPr>
            </w:pPr>
          </w:p>
        </w:tc>
        <w:tc>
          <w:tcPr>
            <w:tcW w:w="60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highlight w:val="none"/>
              </w:rPr>
            </w:pPr>
          </w:p>
        </w:tc>
        <w:tc>
          <w:tcPr>
            <w:tcW w:w="1075"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highlight w:val="none"/>
              </w:rPr>
            </w:pPr>
          </w:p>
        </w:tc>
        <w:tc>
          <w:tcPr>
            <w:tcW w:w="112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highlight w:val="none"/>
              </w:rPr>
            </w:pPr>
          </w:p>
        </w:tc>
        <w:tc>
          <w:tcPr>
            <w:tcW w:w="112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highlight w:val="none"/>
              </w:rPr>
            </w:pPr>
          </w:p>
        </w:tc>
        <w:tc>
          <w:tcPr>
            <w:tcW w:w="130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highlight w:val="none"/>
              </w:rPr>
            </w:pPr>
          </w:p>
        </w:tc>
        <w:tc>
          <w:tcPr>
            <w:tcW w:w="178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highlight w:val="none"/>
              </w:rPr>
            </w:pPr>
          </w:p>
        </w:tc>
      </w:tr>
      <w:tr>
        <w:trPr>
          <w:trHeight w:val="686" w:hRule="atLeast"/>
          <w:jc w:val="center"/>
        </w:trPr>
        <w:tc>
          <w:tcPr>
            <w:tcW w:w="890"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jc w:val="center"/>
              <w:rPr>
                <w:rFonts w:ascii="Times New Roman" w:hAnsi="Times New Roman" w:eastAsia="宋体" w:cs="Times New Roman"/>
                <w:sz w:val="24"/>
                <w:highlight w:val="none"/>
              </w:rPr>
            </w:pPr>
          </w:p>
        </w:tc>
        <w:tc>
          <w:tcPr>
            <w:tcW w:w="817"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highlight w:val="none"/>
              </w:rPr>
            </w:pPr>
          </w:p>
        </w:tc>
        <w:tc>
          <w:tcPr>
            <w:tcW w:w="42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highlight w:val="none"/>
              </w:rPr>
            </w:pPr>
          </w:p>
        </w:tc>
        <w:tc>
          <w:tcPr>
            <w:tcW w:w="60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highlight w:val="none"/>
              </w:rPr>
            </w:pPr>
          </w:p>
        </w:tc>
        <w:tc>
          <w:tcPr>
            <w:tcW w:w="1075"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highlight w:val="none"/>
              </w:rPr>
            </w:pPr>
          </w:p>
        </w:tc>
        <w:tc>
          <w:tcPr>
            <w:tcW w:w="112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highlight w:val="none"/>
              </w:rPr>
            </w:pPr>
          </w:p>
        </w:tc>
        <w:tc>
          <w:tcPr>
            <w:tcW w:w="112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highlight w:val="none"/>
              </w:rPr>
            </w:pPr>
          </w:p>
        </w:tc>
        <w:tc>
          <w:tcPr>
            <w:tcW w:w="130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highlight w:val="none"/>
              </w:rPr>
            </w:pPr>
          </w:p>
        </w:tc>
        <w:tc>
          <w:tcPr>
            <w:tcW w:w="178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highlight w:val="none"/>
              </w:rPr>
            </w:pPr>
          </w:p>
        </w:tc>
      </w:tr>
      <w:tr>
        <w:tblPrEx>
          <w:tblCellMar>
            <w:top w:w="0" w:type="dxa"/>
            <w:left w:w="108" w:type="dxa"/>
            <w:bottom w:w="0" w:type="dxa"/>
            <w:right w:w="108" w:type="dxa"/>
          </w:tblCellMar>
        </w:tblPrEx>
        <w:trPr>
          <w:trHeight w:val="686" w:hRule="atLeast"/>
          <w:jc w:val="center"/>
        </w:trPr>
        <w:tc>
          <w:tcPr>
            <w:tcW w:w="890"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jc w:val="center"/>
              <w:rPr>
                <w:rFonts w:ascii="Times New Roman" w:hAnsi="Times New Roman" w:eastAsia="宋体" w:cs="Times New Roman"/>
                <w:sz w:val="24"/>
                <w:highlight w:val="none"/>
              </w:rPr>
            </w:pPr>
          </w:p>
        </w:tc>
        <w:tc>
          <w:tcPr>
            <w:tcW w:w="817"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highlight w:val="none"/>
              </w:rPr>
            </w:pPr>
          </w:p>
        </w:tc>
        <w:tc>
          <w:tcPr>
            <w:tcW w:w="42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highlight w:val="none"/>
              </w:rPr>
            </w:pPr>
          </w:p>
        </w:tc>
        <w:tc>
          <w:tcPr>
            <w:tcW w:w="60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highlight w:val="none"/>
              </w:rPr>
            </w:pPr>
          </w:p>
        </w:tc>
        <w:tc>
          <w:tcPr>
            <w:tcW w:w="1075"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highlight w:val="none"/>
              </w:rPr>
            </w:pPr>
          </w:p>
        </w:tc>
        <w:tc>
          <w:tcPr>
            <w:tcW w:w="112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highlight w:val="none"/>
              </w:rPr>
            </w:pPr>
          </w:p>
        </w:tc>
        <w:tc>
          <w:tcPr>
            <w:tcW w:w="112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highlight w:val="none"/>
              </w:rPr>
            </w:pPr>
          </w:p>
        </w:tc>
        <w:tc>
          <w:tcPr>
            <w:tcW w:w="130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highlight w:val="none"/>
              </w:rPr>
            </w:pPr>
          </w:p>
        </w:tc>
        <w:tc>
          <w:tcPr>
            <w:tcW w:w="178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highlight w:val="none"/>
              </w:rPr>
            </w:pPr>
          </w:p>
        </w:tc>
      </w:tr>
    </w:tbl>
    <w:p>
      <w:pPr>
        <w:autoSpaceDE w:val="0"/>
        <w:autoSpaceDN w:val="0"/>
        <w:adjustRightInd w:val="0"/>
        <w:spacing w:line="360" w:lineRule="auto"/>
        <w:rPr>
          <w:rFonts w:ascii="Times New Roman" w:hAnsi="Times New Roman" w:eastAsia="宋体" w:cs="Times New Roman"/>
          <w:b/>
          <w:szCs w:val="21"/>
          <w:highlight w:val="none"/>
        </w:rPr>
      </w:pPr>
      <w:r>
        <w:rPr>
          <w:rFonts w:ascii="Times New Roman" w:hAnsi="Times New Roman" w:eastAsia="宋体" w:cs="Times New Roman"/>
          <w:b/>
          <w:szCs w:val="21"/>
          <w:highlight w:val="none"/>
        </w:rPr>
        <w:t>注：投标人可按上述的格式自行编制，须随表提交相应的证书复印件并注明所在投标技术文件页码。</w:t>
      </w:r>
    </w:p>
    <w:p>
      <w:pPr>
        <w:autoSpaceDE w:val="0"/>
        <w:autoSpaceDN w:val="0"/>
        <w:adjustRightInd w:val="0"/>
        <w:spacing w:line="360" w:lineRule="auto"/>
        <w:ind w:firstLine="4440" w:firstLineChars="1850"/>
        <w:rPr>
          <w:rFonts w:ascii="Times New Roman" w:hAnsi="Times New Roman" w:eastAsia="宋体" w:cs="Times New Roman"/>
          <w:kern w:val="0"/>
          <w:sz w:val="24"/>
          <w:highlight w:val="none"/>
        </w:rPr>
      </w:pPr>
    </w:p>
    <w:p>
      <w:pPr>
        <w:autoSpaceDE w:val="0"/>
        <w:autoSpaceDN w:val="0"/>
        <w:adjustRightInd w:val="0"/>
        <w:spacing w:line="360" w:lineRule="auto"/>
        <w:ind w:firstLine="4440" w:firstLineChars="1850"/>
        <w:rPr>
          <w:rFonts w:ascii="Times New Roman" w:hAnsi="Times New Roman" w:eastAsia="宋体" w:cs="Times New Roman"/>
          <w:kern w:val="0"/>
          <w:sz w:val="24"/>
          <w:highlight w:val="none"/>
        </w:rPr>
      </w:pPr>
      <w:r>
        <w:rPr>
          <w:rFonts w:ascii="Times New Roman" w:hAnsi="Times New Roman" w:eastAsia="宋体" w:cs="Times New Roman"/>
          <w:kern w:val="0"/>
          <w:sz w:val="24"/>
          <w:highlight w:val="none"/>
        </w:rPr>
        <w:t>投标人名称（公章）：</w:t>
      </w:r>
    </w:p>
    <w:p>
      <w:pPr>
        <w:autoSpaceDE w:val="0"/>
        <w:autoSpaceDN w:val="0"/>
        <w:adjustRightInd w:val="0"/>
        <w:spacing w:line="360" w:lineRule="auto"/>
        <w:rPr>
          <w:rFonts w:ascii="Times New Roman" w:hAnsi="Times New Roman" w:eastAsia="宋体" w:cs="Times New Roman"/>
          <w:kern w:val="0"/>
          <w:sz w:val="24"/>
          <w:highlight w:val="none"/>
        </w:rPr>
      </w:pPr>
      <w:r>
        <w:rPr>
          <w:rFonts w:ascii="Times New Roman" w:hAnsi="Times New Roman" w:eastAsia="宋体" w:cs="Times New Roman"/>
          <w:kern w:val="0"/>
          <w:sz w:val="24"/>
          <w:highlight w:val="none"/>
        </w:rPr>
        <w:t xml:space="preserve">                                     法定代表人或授权委托人（签字）：</w:t>
      </w:r>
    </w:p>
    <w:p>
      <w:pPr>
        <w:tabs>
          <w:tab w:val="left" w:pos="2790"/>
          <w:tab w:val="left" w:pos="4230"/>
        </w:tabs>
        <w:autoSpaceDE w:val="0"/>
        <w:autoSpaceDN w:val="0"/>
        <w:adjustRightInd w:val="0"/>
        <w:spacing w:line="360" w:lineRule="auto"/>
        <w:ind w:right="1400"/>
        <w:rPr>
          <w:rFonts w:ascii="Times New Roman" w:hAnsi="Times New Roman" w:eastAsia="宋体" w:cs="Times New Roman"/>
          <w:b/>
          <w:bCs/>
          <w:kern w:val="0"/>
          <w:sz w:val="24"/>
          <w:highlight w:val="none"/>
          <w:lang w:val="zh-CN"/>
        </w:rPr>
      </w:pPr>
      <w:r>
        <w:rPr>
          <w:rFonts w:ascii="Times New Roman" w:hAnsi="Times New Roman" w:eastAsia="宋体" w:cs="Times New Roman"/>
          <w:kern w:val="0"/>
          <w:sz w:val="24"/>
          <w:highlight w:val="none"/>
        </w:rPr>
        <w:t xml:space="preserve">                                     日期：2024年  月   日</w:t>
      </w:r>
    </w:p>
    <w:p>
      <w:pPr>
        <w:rPr>
          <w:rFonts w:ascii="Times New Roman" w:hAnsi="Times New Roman" w:eastAsia="宋体" w:cs="Times New Roman"/>
          <w:b/>
          <w:bCs/>
          <w:sz w:val="36"/>
          <w:szCs w:val="36"/>
          <w:highlight w:val="none"/>
        </w:rPr>
      </w:pPr>
      <w:r>
        <w:rPr>
          <w:rFonts w:ascii="Times New Roman" w:hAnsi="Times New Roman" w:eastAsia="宋体" w:cs="Times New Roman"/>
          <w:sz w:val="28"/>
          <w:szCs w:val="28"/>
          <w:highlight w:val="none"/>
        </w:rPr>
        <w:br w:type="page"/>
      </w:r>
    </w:p>
    <w:p>
      <w:pPr>
        <w:pStyle w:val="12"/>
        <w:spacing w:line="440" w:lineRule="exact"/>
        <w:jc w:val="center"/>
        <w:outlineLvl w:val="1"/>
        <w:rPr>
          <w:rFonts w:ascii="Times New Roman" w:hAnsi="Times New Roman" w:cs="Times New Roman"/>
          <w:b/>
          <w:sz w:val="32"/>
          <w:szCs w:val="32"/>
          <w:highlight w:val="none"/>
        </w:rPr>
      </w:pPr>
      <w:r>
        <w:rPr>
          <w:rFonts w:ascii="Times New Roman" w:hAnsi="Times New Roman" w:cs="Times New Roman"/>
          <w:b/>
          <w:sz w:val="32"/>
          <w:szCs w:val="32"/>
          <w:highlight w:val="none"/>
        </w:rPr>
        <w:t>义乌市政府采购项目投标承诺书</w:t>
      </w:r>
    </w:p>
    <w:p>
      <w:pPr>
        <w:spacing w:line="400" w:lineRule="exact"/>
        <w:ind w:firstLine="210" w:firstLineChars="100"/>
        <w:rPr>
          <w:rFonts w:ascii="Times New Roman" w:hAnsi="Times New Roman" w:eastAsia="宋体" w:cs="Times New Roman"/>
          <w:highlight w:val="none"/>
        </w:rPr>
      </w:pPr>
      <w:r>
        <w:rPr>
          <w:rFonts w:ascii="Times New Roman" w:hAnsi="Times New Roman" w:eastAsia="宋体" w:cs="Times New Roman"/>
          <w:highlight w:val="none"/>
        </w:rPr>
        <w:t>1、我单位已认真阅读了本项目的招标公告、招标文件、技术要求、招标补充（答疑）文件及相关资料，对其全部内容和要求有实质性了解，并对这些内容表示理解且无任何异议，接受其全部内容及要求，承诺本单位的投标文件已经完全响应并符合其全部条件和要求，愿意参加投标并愿意</w:t>
      </w:r>
      <w:r>
        <w:rPr>
          <w:rFonts w:ascii="Times New Roman" w:hAnsi="Times New Roman" w:eastAsia="宋体" w:cs="Times New Roman"/>
          <w:szCs w:val="21"/>
          <w:highlight w:val="none"/>
        </w:rPr>
        <w:t>中标</w:t>
      </w:r>
      <w:r>
        <w:rPr>
          <w:rFonts w:ascii="Times New Roman" w:hAnsi="Times New Roman" w:eastAsia="宋体" w:cs="Times New Roman"/>
          <w:highlight w:val="none"/>
        </w:rPr>
        <w:t>；</w:t>
      </w:r>
    </w:p>
    <w:p>
      <w:pPr>
        <w:spacing w:line="400" w:lineRule="exact"/>
        <w:ind w:firstLine="210" w:firstLineChars="100"/>
        <w:rPr>
          <w:rFonts w:ascii="Times New Roman" w:hAnsi="Times New Roman" w:eastAsia="宋体" w:cs="Times New Roman"/>
          <w:szCs w:val="21"/>
          <w:highlight w:val="none"/>
        </w:rPr>
      </w:pPr>
      <w:r>
        <w:rPr>
          <w:rFonts w:ascii="Times New Roman" w:hAnsi="Times New Roman" w:eastAsia="宋体" w:cs="Times New Roman"/>
          <w:highlight w:val="none"/>
        </w:rPr>
        <w:t>2、自愿接受义乌市财政局（以下简称市财政局）的管理，并严格遵守政府采购监管部门制定的招投标管理制度、规范和纪律。</w:t>
      </w:r>
    </w:p>
    <w:p>
      <w:pPr>
        <w:spacing w:line="400" w:lineRule="exact"/>
        <w:ind w:left="-34" w:leftChars="-16" w:firstLine="210" w:firstLineChars="100"/>
        <w:rPr>
          <w:rFonts w:ascii="Times New Roman" w:hAnsi="Times New Roman" w:eastAsia="宋体" w:cs="Times New Roman"/>
          <w:szCs w:val="21"/>
          <w:highlight w:val="none"/>
        </w:rPr>
      </w:pPr>
      <w:r>
        <w:rPr>
          <w:rFonts w:ascii="Times New Roman" w:hAnsi="Times New Roman" w:eastAsia="宋体" w:cs="Times New Roman"/>
          <w:szCs w:val="21"/>
          <w:highlight w:val="none"/>
        </w:rPr>
        <w:t>3、我单位承诺参与本次投标的资格符合《中华人民共和国政府采购法》的规定，并承诺近三年内，在经营活动中没有重大违法记录。</w:t>
      </w:r>
    </w:p>
    <w:p>
      <w:pPr>
        <w:spacing w:line="400" w:lineRule="exact"/>
        <w:ind w:firstLine="210" w:firstLineChars="100"/>
        <w:rPr>
          <w:rFonts w:ascii="Times New Roman" w:hAnsi="Times New Roman" w:eastAsia="宋体" w:cs="Times New Roman"/>
          <w:szCs w:val="21"/>
          <w:highlight w:val="none"/>
        </w:rPr>
      </w:pPr>
      <w:r>
        <w:rPr>
          <w:rFonts w:ascii="Times New Roman" w:hAnsi="Times New Roman" w:eastAsia="宋体" w:cs="Times New Roman"/>
          <w:szCs w:val="21"/>
          <w:highlight w:val="none"/>
        </w:rPr>
        <w:t>4、积极主动配合市财政局的调查。及时、如实、全面地回答市财政局提出的问题，并在调查笔录中签字确认。如拒绝签字确认的，则视为我单位及有关工作人员认可调查笔录中的全部内容，并对最终的调查结果无任何异议，且自愿放弃一切救济途径。</w:t>
      </w:r>
    </w:p>
    <w:p>
      <w:pPr>
        <w:spacing w:line="400" w:lineRule="exact"/>
        <w:ind w:firstLine="210" w:firstLineChars="100"/>
        <w:rPr>
          <w:rFonts w:ascii="Times New Roman" w:hAnsi="Times New Roman" w:eastAsia="宋体" w:cs="Times New Roman"/>
          <w:szCs w:val="21"/>
          <w:highlight w:val="none"/>
        </w:rPr>
      </w:pPr>
      <w:r>
        <w:rPr>
          <w:rFonts w:ascii="Times New Roman" w:hAnsi="Times New Roman" w:eastAsia="宋体" w:cs="Times New Roman"/>
          <w:szCs w:val="21"/>
          <w:highlight w:val="none"/>
        </w:rPr>
        <w:t>5、不转让、出借、涂改、伪造资质（资格）证书或者以其他方式允许其他单位（个人）以我单位（本人）名义承接业务。</w:t>
      </w:r>
    </w:p>
    <w:p>
      <w:pPr>
        <w:spacing w:line="400" w:lineRule="exact"/>
        <w:ind w:firstLine="210" w:firstLineChars="100"/>
        <w:rPr>
          <w:rFonts w:ascii="Times New Roman" w:hAnsi="Times New Roman" w:eastAsia="宋体" w:cs="Times New Roman"/>
          <w:szCs w:val="21"/>
          <w:highlight w:val="none"/>
        </w:rPr>
      </w:pPr>
      <w:r>
        <w:rPr>
          <w:rFonts w:ascii="Times New Roman" w:hAnsi="Times New Roman" w:eastAsia="宋体" w:cs="Times New Roman"/>
          <w:szCs w:val="21"/>
          <w:highlight w:val="none"/>
        </w:rPr>
        <w:t>6、不与采购人或者其他投标人相互串通投标，围标，不以行贿等不正当手段谋取</w:t>
      </w:r>
      <w:r>
        <w:rPr>
          <w:rFonts w:ascii="Times New Roman" w:hAnsi="Times New Roman" w:eastAsia="宋体" w:cs="Times New Roman"/>
          <w:sz w:val="24"/>
          <w:highlight w:val="none"/>
        </w:rPr>
        <w:t>中标</w:t>
      </w:r>
      <w:r>
        <w:rPr>
          <w:rFonts w:ascii="Times New Roman" w:hAnsi="Times New Roman" w:eastAsia="宋体" w:cs="Times New Roman"/>
          <w:szCs w:val="21"/>
          <w:highlight w:val="none"/>
        </w:rPr>
        <w:t>。</w:t>
      </w:r>
    </w:p>
    <w:p>
      <w:pPr>
        <w:spacing w:line="400" w:lineRule="exact"/>
        <w:ind w:left="-34" w:leftChars="-16" w:firstLine="210" w:firstLineChars="100"/>
        <w:rPr>
          <w:rFonts w:ascii="Times New Roman" w:hAnsi="Times New Roman" w:eastAsia="宋体" w:cs="Times New Roman"/>
          <w:szCs w:val="21"/>
          <w:highlight w:val="none"/>
        </w:rPr>
      </w:pPr>
      <w:r>
        <w:rPr>
          <w:rFonts w:ascii="Times New Roman" w:hAnsi="Times New Roman" w:eastAsia="宋体" w:cs="Times New Roman"/>
          <w:szCs w:val="21"/>
          <w:highlight w:val="none"/>
        </w:rPr>
        <w:t>7、在备案、招标、投标、报名、开标、评标、询标、中标、签订合同、合同备案等招投标预备和进行的全过程中提供的资料均真实、有效，不弄虚作假。</w:t>
      </w:r>
    </w:p>
    <w:p>
      <w:pPr>
        <w:tabs>
          <w:tab w:val="left" w:pos="8820"/>
        </w:tabs>
        <w:spacing w:line="400" w:lineRule="exact"/>
        <w:ind w:firstLine="210" w:firstLineChars="100"/>
        <w:rPr>
          <w:rFonts w:ascii="Times New Roman" w:hAnsi="Times New Roman" w:eastAsia="宋体" w:cs="Times New Roman"/>
          <w:highlight w:val="none"/>
        </w:rPr>
      </w:pPr>
      <w:r>
        <w:rPr>
          <w:rFonts w:ascii="Times New Roman" w:hAnsi="Times New Roman" w:eastAsia="宋体" w:cs="Times New Roman"/>
          <w:highlight w:val="none"/>
        </w:rPr>
        <w:t>8、我方已详细审核全部招标文件，包括修改文件</w:t>
      </w:r>
      <w:r>
        <w:rPr>
          <w:rFonts w:hint="eastAsia" w:ascii="Times New Roman" w:hAnsi="Times New Roman" w:eastAsia="宋体" w:cs="Times New Roman"/>
          <w:highlight w:val="none"/>
        </w:rPr>
        <w:t>（</w:t>
      </w:r>
      <w:r>
        <w:rPr>
          <w:rFonts w:ascii="Times New Roman" w:hAnsi="Times New Roman" w:eastAsia="宋体" w:cs="Times New Roman"/>
          <w:highlight w:val="none"/>
        </w:rPr>
        <w:t>如果有的话</w:t>
      </w:r>
      <w:r>
        <w:rPr>
          <w:rFonts w:hint="eastAsia" w:ascii="Times New Roman" w:hAnsi="Times New Roman" w:eastAsia="宋体" w:cs="Times New Roman"/>
          <w:highlight w:val="none"/>
        </w:rPr>
        <w:t>）</w:t>
      </w:r>
      <w:r>
        <w:rPr>
          <w:rFonts w:ascii="Times New Roman" w:hAnsi="Times New Roman" w:eastAsia="宋体" w:cs="Times New Roman"/>
          <w:highlight w:val="none"/>
        </w:rPr>
        <w:t>，及有关附件，我方同意放弃提出含糊不清或误解的权利。 </w:t>
      </w:r>
    </w:p>
    <w:p>
      <w:pPr>
        <w:tabs>
          <w:tab w:val="left" w:pos="8820"/>
        </w:tabs>
        <w:spacing w:line="400" w:lineRule="exact"/>
        <w:ind w:firstLine="210" w:firstLineChars="100"/>
        <w:rPr>
          <w:rFonts w:ascii="Times New Roman" w:hAnsi="Times New Roman" w:eastAsia="宋体" w:cs="Times New Roman"/>
          <w:highlight w:val="none"/>
        </w:rPr>
      </w:pPr>
      <w:r>
        <w:rPr>
          <w:rFonts w:ascii="Times New Roman" w:hAnsi="Times New Roman" w:eastAsia="宋体" w:cs="Times New Roman"/>
          <w:highlight w:val="none"/>
        </w:rPr>
        <w:t>9、我方同意所递交的投标文件在招标期内有效，在此期间内我方有可能中标，我方将受此约束。</w:t>
      </w:r>
    </w:p>
    <w:p>
      <w:pPr>
        <w:tabs>
          <w:tab w:val="left" w:pos="8820"/>
        </w:tabs>
        <w:spacing w:line="400" w:lineRule="exact"/>
        <w:ind w:firstLine="210" w:firstLineChars="100"/>
        <w:rPr>
          <w:rFonts w:ascii="Times New Roman" w:hAnsi="Times New Roman" w:eastAsia="宋体" w:cs="Times New Roman"/>
          <w:highlight w:val="none"/>
        </w:rPr>
      </w:pPr>
      <w:r>
        <w:rPr>
          <w:rFonts w:ascii="Times New Roman" w:hAnsi="Times New Roman" w:eastAsia="宋体" w:cs="Times New Roman"/>
          <w:highlight w:val="none"/>
        </w:rPr>
        <w:t>10、我方相信贵方的招标结果是公正、合法的，无论我方</w:t>
      </w:r>
      <w:r>
        <w:rPr>
          <w:rFonts w:ascii="Times New Roman" w:hAnsi="Times New Roman" w:eastAsia="宋体" w:cs="Times New Roman"/>
          <w:szCs w:val="21"/>
          <w:highlight w:val="none"/>
        </w:rPr>
        <w:t>中标</w:t>
      </w:r>
      <w:r>
        <w:rPr>
          <w:rFonts w:ascii="Times New Roman" w:hAnsi="Times New Roman" w:eastAsia="宋体" w:cs="Times New Roman"/>
          <w:highlight w:val="none"/>
        </w:rPr>
        <w:t>还是落标，我方将接受这一结果。 </w:t>
      </w:r>
    </w:p>
    <w:p>
      <w:pPr>
        <w:tabs>
          <w:tab w:val="left" w:pos="8820"/>
        </w:tabs>
        <w:spacing w:line="400" w:lineRule="exact"/>
        <w:ind w:firstLine="210" w:firstLineChars="100"/>
        <w:rPr>
          <w:rFonts w:ascii="Times New Roman" w:hAnsi="Times New Roman" w:eastAsia="宋体" w:cs="Times New Roman"/>
          <w:highlight w:val="none"/>
        </w:rPr>
      </w:pPr>
      <w:r>
        <w:rPr>
          <w:rFonts w:ascii="Times New Roman" w:hAnsi="Times New Roman" w:eastAsia="宋体" w:cs="Times New Roman"/>
          <w:highlight w:val="none"/>
        </w:rPr>
        <w:t>11、一旦我方</w:t>
      </w:r>
      <w:r>
        <w:rPr>
          <w:rFonts w:ascii="Times New Roman" w:hAnsi="Times New Roman" w:eastAsia="宋体" w:cs="Times New Roman"/>
          <w:szCs w:val="21"/>
          <w:highlight w:val="none"/>
        </w:rPr>
        <w:t>中标</w:t>
      </w:r>
      <w:r>
        <w:rPr>
          <w:rFonts w:ascii="Times New Roman" w:hAnsi="Times New Roman" w:eastAsia="宋体" w:cs="Times New Roman"/>
          <w:highlight w:val="none"/>
        </w:rPr>
        <w:t>，我方将严格依照招标文件中的相关规定与招标方签订合同。</w:t>
      </w:r>
    </w:p>
    <w:p>
      <w:pPr>
        <w:spacing w:line="400" w:lineRule="exact"/>
        <w:ind w:firstLine="210" w:firstLineChars="100"/>
        <w:rPr>
          <w:rFonts w:ascii="Times New Roman" w:hAnsi="Times New Roman" w:eastAsia="宋体" w:cs="Times New Roman"/>
          <w:szCs w:val="21"/>
          <w:highlight w:val="none"/>
        </w:rPr>
      </w:pPr>
      <w:r>
        <w:rPr>
          <w:rFonts w:ascii="Times New Roman" w:hAnsi="Times New Roman" w:eastAsia="宋体" w:cs="Times New Roman"/>
          <w:szCs w:val="21"/>
          <w:highlight w:val="none"/>
        </w:rPr>
        <w:t>12、不低于企业成本价投标，不恶意过高报价，不扰乱招投标的正常秩序。</w:t>
      </w:r>
    </w:p>
    <w:p>
      <w:pPr>
        <w:spacing w:line="400" w:lineRule="exact"/>
        <w:ind w:firstLine="210" w:firstLineChars="100"/>
        <w:rPr>
          <w:rFonts w:ascii="Times New Roman" w:hAnsi="Times New Roman" w:eastAsia="宋体" w:cs="Times New Roman"/>
          <w:szCs w:val="21"/>
          <w:highlight w:val="none"/>
        </w:rPr>
      </w:pPr>
      <w:r>
        <w:rPr>
          <w:rFonts w:ascii="Times New Roman" w:hAnsi="Times New Roman" w:eastAsia="宋体" w:cs="Times New Roman"/>
          <w:szCs w:val="21"/>
          <w:highlight w:val="none"/>
        </w:rPr>
        <w:t>13、严格遵守开标会议纪律，不在开标会场吵闹、滋事，服从工作人员指挥。</w:t>
      </w:r>
    </w:p>
    <w:p>
      <w:pPr>
        <w:spacing w:line="400" w:lineRule="exact"/>
        <w:ind w:firstLine="210" w:firstLineChars="100"/>
        <w:rPr>
          <w:rFonts w:ascii="Times New Roman" w:hAnsi="Times New Roman" w:eastAsia="宋体" w:cs="Times New Roman"/>
          <w:szCs w:val="21"/>
          <w:highlight w:val="none"/>
        </w:rPr>
      </w:pPr>
      <w:r>
        <w:rPr>
          <w:rFonts w:ascii="Times New Roman" w:hAnsi="Times New Roman" w:eastAsia="宋体" w:cs="Times New Roman"/>
          <w:szCs w:val="21"/>
          <w:highlight w:val="none"/>
        </w:rPr>
        <w:t>14、按照法律法规和本项目招标文件规定的程序和方式进行异议和投诉，不越级投诉，不无理投诉。如捏造事实、伪造材料或者以非法手段取得说明材料进行投诉，给他人造成损失的，依法承担赔偿责任。</w:t>
      </w:r>
    </w:p>
    <w:p>
      <w:pPr>
        <w:spacing w:line="400" w:lineRule="exac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上述承诺事项已认真逐项核对，均表达我单位真实意见，愿承担任何责任。若有任何弄虚作假内容或未遵守上述约定的，经查实后，愿意放弃投标及中标资格，并对该项目的损失进行赔偿。如我单位违反上述承诺事项，无条件接受财政局或相关监管部门作出的任何管理和处理决定，并自愿承担一切不利的后果。</w:t>
      </w:r>
    </w:p>
    <w:p>
      <w:pPr>
        <w:pStyle w:val="29"/>
        <w:spacing w:line="400" w:lineRule="exact"/>
        <w:ind w:left="480" w:hanging="480" w:hanging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投标人（公章）：  法定代表人或其授权的委托代理人（签字或盖章）：  年月 日</w:t>
      </w:r>
    </w:p>
    <w:p>
      <w:pPr>
        <w:rPr>
          <w:rFonts w:ascii="Times New Roman" w:hAnsi="Times New Roman" w:eastAsia="宋体" w:cs="Times New Roman"/>
          <w:b/>
          <w:bCs/>
          <w:sz w:val="36"/>
          <w:szCs w:val="36"/>
          <w:highlight w:val="none"/>
        </w:rPr>
      </w:pPr>
      <w:r>
        <w:rPr>
          <w:rFonts w:ascii="Times New Roman" w:hAnsi="Times New Roman" w:eastAsia="宋体" w:cs="Times New Roman"/>
          <w:b/>
          <w:bCs/>
          <w:sz w:val="36"/>
          <w:szCs w:val="36"/>
          <w:highlight w:val="none"/>
        </w:rPr>
        <w:br w:type="page"/>
      </w:r>
    </w:p>
    <w:p>
      <w:pPr>
        <w:spacing w:line="600" w:lineRule="exact"/>
        <w:jc w:val="center"/>
        <w:outlineLvl w:val="1"/>
        <w:rPr>
          <w:rFonts w:ascii="Times New Roman" w:hAnsi="Times New Roman" w:eastAsia="宋体" w:cs="Times New Roman"/>
          <w:sz w:val="24"/>
          <w:highlight w:val="none"/>
        </w:rPr>
      </w:pPr>
      <w:r>
        <w:rPr>
          <w:rFonts w:ascii="Times New Roman" w:hAnsi="Times New Roman" w:eastAsia="宋体" w:cs="Times New Roman"/>
          <w:b/>
          <w:sz w:val="36"/>
          <w:szCs w:val="36"/>
          <w:highlight w:val="none"/>
        </w:rPr>
        <w:t>开标</w:t>
      </w:r>
      <w:r>
        <w:rPr>
          <w:rFonts w:ascii="Times New Roman" w:hAnsi="Times New Roman" w:eastAsia="宋体" w:cs="Times New Roman"/>
          <w:b/>
          <w:bCs/>
          <w:sz w:val="36"/>
          <w:highlight w:val="none"/>
        </w:rPr>
        <w:t>一览表</w:t>
      </w:r>
    </w:p>
    <w:p>
      <w:pPr>
        <w:rPr>
          <w:rFonts w:ascii="Times New Roman" w:hAnsi="Times New Roman" w:eastAsia="宋体" w:cs="Times New Roman"/>
          <w:sz w:val="24"/>
          <w:highlight w:val="none"/>
        </w:rPr>
      </w:pPr>
    </w:p>
    <w:p>
      <w:pPr>
        <w:rPr>
          <w:rFonts w:ascii="Times New Roman" w:hAnsi="Times New Roman" w:eastAsia="宋体" w:cs="Times New Roman"/>
          <w:sz w:val="24"/>
          <w:highlight w:val="none"/>
        </w:rPr>
      </w:pPr>
      <w:r>
        <w:rPr>
          <w:rFonts w:ascii="Times New Roman" w:hAnsi="Times New Roman" w:eastAsia="宋体" w:cs="Times New Roman"/>
          <w:sz w:val="24"/>
          <w:highlight w:val="none"/>
        </w:rPr>
        <w:t>投标人名称（盖章）：</w:t>
      </w:r>
    </w:p>
    <w:p>
      <w:pPr>
        <w:rPr>
          <w:rFonts w:ascii="Times New Roman" w:hAnsi="Times New Roman" w:eastAsia="宋体" w:cs="Times New Roman"/>
          <w:sz w:val="24"/>
          <w:highlight w:val="none"/>
        </w:rPr>
      </w:pPr>
      <w:r>
        <w:rPr>
          <w:rFonts w:ascii="Times New Roman" w:hAnsi="Times New Roman" w:eastAsia="宋体" w:cs="Times New Roman"/>
          <w:sz w:val="24"/>
          <w:highlight w:val="none"/>
        </w:rPr>
        <w:t>采购编号：</w:t>
      </w:r>
    </w:p>
    <w:p>
      <w:pPr>
        <w:rPr>
          <w:rFonts w:ascii="Times New Roman" w:hAnsi="Times New Roman" w:eastAsia="宋体" w:cs="Times New Roman"/>
          <w:sz w:val="24"/>
          <w:highlight w:val="none"/>
          <w:u w:val="single"/>
        </w:rPr>
      </w:pPr>
    </w:p>
    <w:tbl>
      <w:tblPr>
        <w:tblStyle w:val="22"/>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73"/>
        <w:gridCol w:w="1959"/>
        <w:gridCol w:w="1096"/>
        <w:gridCol w:w="170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985" w:type="dxa"/>
            <w:tcBorders>
              <w:top w:val="single" w:color="auto" w:sz="4" w:space="0"/>
              <w:left w:val="single" w:color="auto" w:sz="4" w:space="0"/>
              <w:bottom w:val="single" w:color="auto" w:sz="4" w:space="0"/>
            </w:tcBorders>
            <w:noWrap/>
            <w:vAlign w:val="center"/>
          </w:tcPr>
          <w:p>
            <w:pPr>
              <w:pStyle w:val="12"/>
              <w:spacing w:line="400" w:lineRule="exact"/>
              <w:jc w:val="center"/>
              <w:rPr>
                <w:rFonts w:ascii="Times New Roman" w:hAnsi="Times New Roman" w:cs="Times New Roman"/>
                <w:sz w:val="24"/>
                <w:szCs w:val="24"/>
                <w:highlight w:val="none"/>
              </w:rPr>
            </w:pPr>
            <w:r>
              <w:rPr>
                <w:rFonts w:ascii="Times New Roman" w:hAnsi="Times New Roman" w:cs="Times New Roman"/>
                <w:sz w:val="24"/>
                <w:szCs w:val="24"/>
                <w:highlight w:val="none"/>
              </w:rPr>
              <w:t>项</w:t>
            </w:r>
          </w:p>
        </w:tc>
        <w:tc>
          <w:tcPr>
            <w:tcW w:w="3473" w:type="dxa"/>
            <w:tcBorders>
              <w:top w:val="single" w:color="auto" w:sz="4" w:space="0"/>
              <w:bottom w:val="single" w:color="auto" w:sz="4" w:space="0"/>
            </w:tcBorders>
            <w:noWrap/>
            <w:vAlign w:val="center"/>
          </w:tcPr>
          <w:p>
            <w:pPr>
              <w:pStyle w:val="12"/>
              <w:spacing w:line="400" w:lineRule="exact"/>
              <w:jc w:val="center"/>
              <w:rPr>
                <w:rFonts w:ascii="Times New Roman" w:hAnsi="Times New Roman" w:cs="Times New Roman"/>
                <w:sz w:val="24"/>
                <w:szCs w:val="24"/>
                <w:highlight w:val="none"/>
              </w:rPr>
            </w:pPr>
            <w:r>
              <w:rPr>
                <w:rFonts w:ascii="Times New Roman" w:hAnsi="Times New Roman" w:cs="Times New Roman"/>
                <w:sz w:val="24"/>
                <w:szCs w:val="24"/>
                <w:highlight w:val="none"/>
              </w:rPr>
              <w:t>项目名称</w:t>
            </w:r>
          </w:p>
        </w:tc>
        <w:tc>
          <w:tcPr>
            <w:tcW w:w="1959" w:type="dxa"/>
            <w:tcBorders>
              <w:top w:val="single" w:color="auto" w:sz="4" w:space="0"/>
              <w:bottom w:val="single" w:color="auto" w:sz="4" w:space="0"/>
            </w:tcBorders>
            <w:noWrap/>
            <w:vAlign w:val="center"/>
          </w:tcPr>
          <w:p>
            <w:pPr>
              <w:pStyle w:val="12"/>
              <w:spacing w:line="400" w:lineRule="exact"/>
              <w:jc w:val="center"/>
              <w:rPr>
                <w:rFonts w:ascii="Times New Roman" w:hAnsi="Times New Roman" w:cs="Times New Roman"/>
                <w:sz w:val="24"/>
                <w:szCs w:val="24"/>
                <w:highlight w:val="none"/>
              </w:rPr>
            </w:pPr>
            <w:r>
              <w:rPr>
                <w:rFonts w:ascii="Times New Roman" w:hAnsi="Times New Roman" w:cs="Times New Roman"/>
                <w:sz w:val="24"/>
                <w:szCs w:val="24"/>
                <w:highlight w:val="none"/>
              </w:rPr>
              <w:t>投标价（人民币）</w:t>
            </w:r>
          </w:p>
        </w:tc>
        <w:tc>
          <w:tcPr>
            <w:tcW w:w="1096" w:type="dxa"/>
            <w:tcBorders>
              <w:top w:val="single" w:color="auto" w:sz="4" w:space="0"/>
              <w:bottom w:val="single" w:color="auto" w:sz="4" w:space="0"/>
              <w:right w:val="single" w:color="auto" w:sz="4" w:space="0"/>
            </w:tcBorders>
            <w:noWrap/>
            <w:vAlign w:val="center"/>
          </w:tcPr>
          <w:p>
            <w:pPr>
              <w:pStyle w:val="12"/>
              <w:spacing w:line="400" w:lineRule="exact"/>
              <w:jc w:val="center"/>
              <w:rPr>
                <w:rFonts w:ascii="Times New Roman" w:hAnsi="Times New Roman" w:cs="Times New Roman"/>
                <w:sz w:val="24"/>
                <w:szCs w:val="24"/>
                <w:highlight w:val="none"/>
              </w:rPr>
            </w:pPr>
            <w:r>
              <w:rPr>
                <w:rFonts w:ascii="Times New Roman" w:hAnsi="Times New Roman" w:cs="Times New Roman"/>
                <w:sz w:val="24"/>
                <w:szCs w:val="24"/>
                <w:highlight w:val="none"/>
              </w:rPr>
              <w:t>服务期</w:t>
            </w:r>
          </w:p>
        </w:tc>
        <w:tc>
          <w:tcPr>
            <w:tcW w:w="1701" w:type="dxa"/>
            <w:tcBorders>
              <w:top w:val="single" w:color="auto" w:sz="4" w:space="0"/>
              <w:bottom w:val="single" w:color="auto" w:sz="4" w:space="0"/>
              <w:right w:val="single" w:color="auto" w:sz="4" w:space="0"/>
            </w:tcBorders>
            <w:noWrap/>
            <w:vAlign w:val="center"/>
          </w:tcPr>
          <w:p>
            <w:pPr>
              <w:pStyle w:val="12"/>
              <w:spacing w:line="400" w:lineRule="exact"/>
              <w:jc w:val="center"/>
              <w:rPr>
                <w:rFonts w:ascii="Times New Roman" w:hAnsi="Times New Roman" w:cs="Times New Roman"/>
                <w:sz w:val="24"/>
                <w:szCs w:val="24"/>
                <w:highlight w:val="none"/>
              </w:rPr>
            </w:pPr>
            <w:r>
              <w:rPr>
                <w:rFonts w:ascii="Times New Roman" w:hAnsi="Times New Roman" w:cs="Times New Roman"/>
                <w:sz w:val="24"/>
                <w:szCs w:val="24"/>
                <w:highlight w:val="none"/>
              </w:rPr>
              <w:t>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985" w:type="dxa"/>
            <w:tcBorders>
              <w:top w:val="single" w:color="auto" w:sz="4" w:space="0"/>
              <w:left w:val="single" w:color="auto" w:sz="4" w:space="0"/>
              <w:bottom w:val="single" w:color="auto" w:sz="4" w:space="0"/>
            </w:tcBorders>
            <w:noWrap/>
            <w:vAlign w:val="center"/>
          </w:tcPr>
          <w:p>
            <w:pPr>
              <w:pStyle w:val="12"/>
              <w:spacing w:line="400" w:lineRule="exact"/>
              <w:jc w:val="center"/>
              <w:rPr>
                <w:rFonts w:ascii="Times New Roman" w:hAnsi="Times New Roman" w:cs="Times New Roman"/>
                <w:sz w:val="24"/>
                <w:szCs w:val="24"/>
                <w:highlight w:val="none"/>
              </w:rPr>
            </w:pPr>
            <w:r>
              <w:rPr>
                <w:rFonts w:ascii="Times New Roman" w:hAnsi="Times New Roman" w:cs="Times New Roman"/>
                <w:sz w:val="24"/>
                <w:szCs w:val="24"/>
                <w:highlight w:val="none"/>
              </w:rPr>
              <w:t>1</w:t>
            </w:r>
          </w:p>
        </w:tc>
        <w:tc>
          <w:tcPr>
            <w:tcW w:w="3473" w:type="dxa"/>
            <w:tcBorders>
              <w:top w:val="single" w:color="auto" w:sz="4" w:space="0"/>
              <w:bottom w:val="single" w:color="auto" w:sz="4" w:space="0"/>
            </w:tcBorders>
            <w:noWrap/>
            <w:vAlign w:val="center"/>
          </w:tcPr>
          <w:p>
            <w:pPr>
              <w:pStyle w:val="12"/>
              <w:spacing w:line="400" w:lineRule="exact"/>
              <w:jc w:val="center"/>
              <w:rPr>
                <w:rFonts w:ascii="Times New Roman" w:hAnsi="Times New Roman" w:cs="Times New Roman"/>
                <w:sz w:val="24"/>
                <w:szCs w:val="24"/>
                <w:highlight w:val="none"/>
              </w:rPr>
            </w:pPr>
            <w:r>
              <w:rPr>
                <w:rFonts w:hint="eastAsia" w:ascii="Times New Roman" w:hAnsi="Times New Roman" w:cs="Times New Roman"/>
                <w:sz w:val="24"/>
                <w:highlight w:val="none"/>
              </w:rPr>
              <w:t>优育服务</w:t>
            </w:r>
          </w:p>
        </w:tc>
        <w:tc>
          <w:tcPr>
            <w:tcW w:w="1959" w:type="dxa"/>
            <w:tcBorders>
              <w:top w:val="single" w:color="auto" w:sz="4" w:space="0"/>
              <w:bottom w:val="single" w:color="auto" w:sz="4" w:space="0"/>
            </w:tcBorders>
            <w:noWrap/>
            <w:vAlign w:val="center"/>
          </w:tcPr>
          <w:p>
            <w:pPr>
              <w:pStyle w:val="12"/>
              <w:spacing w:line="400" w:lineRule="exact"/>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u w:val="single"/>
                <w:lang w:val="en-US" w:eastAsia="zh-CN"/>
              </w:rPr>
              <w:t xml:space="preserve">      </w:t>
            </w:r>
            <w:r>
              <w:rPr>
                <w:rFonts w:ascii="Times New Roman" w:hAnsi="Times New Roman" w:cs="Times New Roman"/>
                <w:sz w:val="24"/>
                <w:szCs w:val="24"/>
                <w:highlight w:val="none"/>
              </w:rPr>
              <w:t>元/年</w:t>
            </w:r>
          </w:p>
        </w:tc>
        <w:tc>
          <w:tcPr>
            <w:tcW w:w="1096" w:type="dxa"/>
            <w:tcBorders>
              <w:top w:val="single" w:color="auto" w:sz="4" w:space="0"/>
              <w:right w:val="single" w:color="auto" w:sz="4" w:space="0"/>
            </w:tcBorders>
            <w:noWrap/>
            <w:vAlign w:val="center"/>
          </w:tcPr>
          <w:p>
            <w:pPr>
              <w:pStyle w:val="12"/>
              <w:spacing w:line="400" w:lineRule="exact"/>
              <w:jc w:val="center"/>
              <w:rPr>
                <w:rFonts w:ascii="Times New Roman" w:hAnsi="Times New Roman" w:cs="Times New Roman"/>
                <w:sz w:val="24"/>
                <w:szCs w:val="24"/>
                <w:highlight w:val="none"/>
              </w:rPr>
            </w:pPr>
            <w:r>
              <w:rPr>
                <w:rFonts w:ascii="Times New Roman" w:hAnsi="Times New Roman" w:cs="Times New Roman"/>
                <w:sz w:val="24"/>
                <w:highlight w:val="none"/>
              </w:rPr>
              <w:t>一年</w:t>
            </w:r>
          </w:p>
        </w:tc>
        <w:tc>
          <w:tcPr>
            <w:tcW w:w="1701" w:type="dxa"/>
            <w:tcBorders>
              <w:top w:val="single" w:color="auto" w:sz="4" w:space="0"/>
              <w:right w:val="single" w:color="auto" w:sz="4" w:space="0"/>
            </w:tcBorders>
            <w:noWrap/>
            <w:vAlign w:val="center"/>
          </w:tcPr>
          <w:p>
            <w:pPr>
              <w:pStyle w:val="12"/>
              <w:spacing w:line="400" w:lineRule="exact"/>
              <w:jc w:val="center"/>
              <w:rPr>
                <w:rFonts w:ascii="Times New Roman" w:hAnsi="Times New Roman" w:cs="Times New Roman"/>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56" w:hRule="atLeast"/>
        </w:trPr>
        <w:tc>
          <w:tcPr>
            <w:tcW w:w="985" w:type="dxa"/>
            <w:tcBorders>
              <w:top w:val="single" w:color="auto" w:sz="4" w:space="0"/>
              <w:left w:val="single" w:color="auto" w:sz="4" w:space="0"/>
              <w:bottom w:val="single" w:color="auto" w:sz="4" w:space="0"/>
            </w:tcBorders>
            <w:noWrap/>
            <w:vAlign w:val="center"/>
          </w:tcPr>
          <w:p>
            <w:pPr>
              <w:pStyle w:val="12"/>
              <w:spacing w:line="400" w:lineRule="exact"/>
              <w:jc w:val="center"/>
              <w:rPr>
                <w:rFonts w:ascii="Times New Roman" w:hAnsi="Times New Roman" w:cs="Times New Roman"/>
                <w:sz w:val="24"/>
                <w:szCs w:val="24"/>
                <w:highlight w:val="none"/>
              </w:rPr>
            </w:pPr>
            <w:r>
              <w:rPr>
                <w:rFonts w:ascii="Times New Roman" w:hAnsi="Times New Roman" w:cs="Times New Roman"/>
                <w:sz w:val="24"/>
                <w:szCs w:val="24"/>
                <w:highlight w:val="none"/>
              </w:rPr>
              <w:t>2</w:t>
            </w:r>
          </w:p>
        </w:tc>
        <w:tc>
          <w:tcPr>
            <w:tcW w:w="8229" w:type="dxa"/>
            <w:gridSpan w:val="4"/>
            <w:tcBorders>
              <w:top w:val="single" w:color="auto" w:sz="4" w:space="0"/>
              <w:bottom w:val="single" w:color="auto" w:sz="4" w:space="0"/>
              <w:right w:val="single" w:color="auto" w:sz="4" w:space="0"/>
            </w:tcBorders>
            <w:noWrap/>
            <w:vAlign w:val="center"/>
          </w:tcPr>
          <w:p>
            <w:pPr>
              <w:pStyle w:val="12"/>
              <w:spacing w:line="400" w:lineRule="exact"/>
              <w:rPr>
                <w:rFonts w:ascii="Times New Roman" w:hAnsi="Times New Roman" w:cs="Times New Roman"/>
                <w:sz w:val="24"/>
                <w:szCs w:val="24"/>
                <w:highlight w:val="none"/>
                <w:u w:val="single"/>
              </w:rPr>
            </w:pPr>
            <w:r>
              <w:rPr>
                <w:rFonts w:ascii="Times New Roman" w:hAnsi="Times New Roman" w:cs="Times New Roman"/>
                <w:sz w:val="24"/>
                <w:szCs w:val="24"/>
                <w:highlight w:val="none"/>
              </w:rPr>
              <w:t>投标总价：</w:t>
            </w:r>
            <w:r>
              <w:rPr>
                <w:rFonts w:hint="eastAsia" w:ascii="Times New Roman" w:hAnsi="Times New Roman" w:cs="Times New Roman"/>
                <w:sz w:val="24"/>
                <w:szCs w:val="24"/>
                <w:highlight w:val="none"/>
              </w:rPr>
              <w:t>小写¥：</w:t>
            </w:r>
          </w:p>
          <w:p>
            <w:pPr>
              <w:pStyle w:val="12"/>
              <w:spacing w:line="400" w:lineRule="exact"/>
              <w:rPr>
                <w:rFonts w:ascii="Times New Roman" w:hAnsi="Times New Roman" w:cs="Times New Roman"/>
                <w:sz w:val="24"/>
                <w:szCs w:val="24"/>
                <w:highlight w:val="none"/>
              </w:rPr>
            </w:pPr>
            <w:r>
              <w:rPr>
                <w:rFonts w:ascii="Times New Roman" w:hAnsi="Times New Roman" w:cs="Times New Roman"/>
                <w:sz w:val="24"/>
                <w:szCs w:val="24"/>
                <w:highlight w:val="none"/>
              </w:rPr>
              <w:t>大写：</w:t>
            </w:r>
          </w:p>
        </w:tc>
      </w:tr>
    </w:tbl>
    <w:p>
      <w:pPr>
        <w:rPr>
          <w:rFonts w:ascii="Times New Roman" w:hAnsi="Times New Roman" w:eastAsia="宋体" w:cs="Times New Roman"/>
          <w:sz w:val="24"/>
          <w:highlight w:val="none"/>
        </w:rPr>
      </w:pPr>
    </w:p>
    <w:p>
      <w:pPr>
        <w:rPr>
          <w:rFonts w:ascii="Times New Roman" w:hAnsi="Times New Roman" w:eastAsia="宋体" w:cs="Times New Roman"/>
          <w:sz w:val="24"/>
          <w:highlight w:val="none"/>
        </w:rPr>
      </w:pPr>
    </w:p>
    <w:p>
      <w:pPr>
        <w:spacing w:line="50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 xml:space="preserve">全权代表签字：                   </w:t>
      </w:r>
    </w:p>
    <w:p>
      <w:pPr>
        <w:spacing w:line="50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 xml:space="preserve">日 期：           </w:t>
      </w:r>
    </w:p>
    <w:p>
      <w:pPr>
        <w:spacing w:line="400" w:lineRule="exact"/>
        <w:ind w:left="480" w:hanging="480" w:hangingChars="200"/>
        <w:rPr>
          <w:rFonts w:ascii="Times New Roman" w:hAnsi="Times New Roman" w:eastAsia="宋体" w:cs="Times New Roman"/>
          <w:sz w:val="24"/>
          <w:highlight w:val="none"/>
        </w:rPr>
      </w:pPr>
      <w:r>
        <w:rPr>
          <w:rFonts w:ascii="Times New Roman" w:hAnsi="Times New Roman" w:eastAsia="宋体" w:cs="Times New Roman"/>
          <w:sz w:val="24"/>
          <w:highlight w:val="none"/>
        </w:rPr>
        <w:t>注：</w:t>
      </w:r>
    </w:p>
    <w:p>
      <w:pPr>
        <w:pStyle w:val="12"/>
        <w:spacing w:line="460" w:lineRule="exact"/>
        <w:rPr>
          <w:rFonts w:ascii="Times New Roman" w:hAnsi="Times New Roman" w:cs="Times New Roman"/>
          <w:b/>
          <w:sz w:val="24"/>
          <w:highlight w:val="none"/>
        </w:rPr>
      </w:pPr>
      <w:r>
        <w:rPr>
          <w:rFonts w:ascii="Times New Roman" w:hAnsi="Times New Roman" w:cs="Times New Roman"/>
          <w:sz w:val="24"/>
          <w:highlight w:val="none"/>
        </w:rPr>
        <w:t>1、投标人应根据国家的有关规定和</w:t>
      </w:r>
      <w:r>
        <w:rPr>
          <w:rFonts w:ascii="Times New Roman" w:hAnsi="Times New Roman" w:cs="Times New Roman"/>
          <w:b/>
          <w:sz w:val="24"/>
          <w:highlight w:val="none"/>
        </w:rPr>
        <w:t>实际情况</w:t>
      </w:r>
      <w:r>
        <w:rPr>
          <w:rFonts w:ascii="Times New Roman" w:hAnsi="Times New Roman" w:cs="Times New Roman"/>
          <w:sz w:val="24"/>
          <w:highlight w:val="none"/>
        </w:rPr>
        <w:t>并结合企业的实际情况进行投标报价。</w:t>
      </w:r>
      <w:r>
        <w:rPr>
          <w:rFonts w:ascii="Times New Roman" w:hAnsi="Times New Roman" w:cs="Times New Roman"/>
          <w:b/>
          <w:sz w:val="24"/>
          <w:highlight w:val="none"/>
        </w:rPr>
        <w:t>投标报价为投标人所能承受的最低、最终一次性报价。</w:t>
      </w:r>
    </w:p>
    <w:p>
      <w:pPr>
        <w:pStyle w:val="12"/>
        <w:spacing w:line="460" w:lineRule="exact"/>
        <w:rPr>
          <w:rFonts w:ascii="Times New Roman" w:hAnsi="Times New Roman" w:cs="Times New Roman"/>
          <w:b/>
          <w:sz w:val="24"/>
          <w:highlight w:val="none"/>
        </w:rPr>
      </w:pPr>
      <w:r>
        <w:rPr>
          <w:rFonts w:ascii="Times New Roman" w:hAnsi="Times New Roman" w:cs="Times New Roman"/>
          <w:b/>
          <w:sz w:val="24"/>
          <w:highlight w:val="none"/>
        </w:rPr>
        <w:t>2、投标报价低于自报成本价的，投标将被拒绝。</w:t>
      </w:r>
    </w:p>
    <w:p>
      <w:pPr>
        <w:pStyle w:val="12"/>
        <w:spacing w:line="460" w:lineRule="exact"/>
        <w:ind w:left="240" w:hanging="240" w:hangingChars="100"/>
        <w:rPr>
          <w:rFonts w:ascii="Times New Roman" w:hAnsi="Times New Roman" w:cs="Times New Roman"/>
          <w:sz w:val="24"/>
          <w:highlight w:val="none"/>
        </w:rPr>
      </w:pPr>
      <w:r>
        <w:rPr>
          <w:rFonts w:ascii="Times New Roman" w:hAnsi="Times New Roman" w:cs="Times New Roman"/>
          <w:sz w:val="24"/>
          <w:highlight w:val="none"/>
        </w:rPr>
        <w:t>3、此表在不改变表式内容的情况下，可自行制作。</w:t>
      </w:r>
    </w:p>
    <w:p>
      <w:pPr>
        <w:rPr>
          <w:rFonts w:ascii="Times New Roman" w:hAnsi="Times New Roman" w:eastAsia="宋体" w:cs="Times New Roman"/>
          <w:highlight w:val="none"/>
        </w:rPr>
      </w:pPr>
    </w:p>
    <w:sectPr>
      <w:headerReference r:id="rId4" w:type="default"/>
      <w:footerReference r:id="rId5" w:type="default"/>
      <w:pgSz w:w="11906" w:h="16838"/>
      <w:pgMar w:top="1134" w:right="1134" w:bottom="1440" w:left="1417" w:header="851" w:footer="119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4" w:space="1"/>
        <w:left w:val="none" w:color="auto" w:sz="0" w:space="4"/>
        <w:bottom w:val="none" w:color="auto" w:sz="0" w:space="1"/>
        <w:right w:val="none" w:color="auto" w:sz="0" w:space="4"/>
      </w:pBdr>
      <w:jc w:val="distribute"/>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r>
      <w:rPr>
        <w:rFonts w:hint="eastAsia"/>
      </w:rPr>
      <w:t>公开  公平  公正                                                浙江开平企业管理咨询有限公司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1"/>
      </w:pBdr>
      <w:jc w:val="distribute"/>
      <w:rPr>
        <w:rFonts w:hint="eastAsia" w:ascii="宋体" w:hAnsi="宋体" w:eastAsia="宋体" w:cs="宋体"/>
        <w:lang w:eastAsia="zh-CN"/>
      </w:rPr>
    </w:pPr>
    <w:r>
      <w:rPr>
        <w:rFonts w:hint="eastAsia" w:ascii="宋体" w:hAnsi="宋体" w:eastAsia="宋体" w:cs="宋体"/>
      </w:rPr>
      <w:t>义乌市儿童福利院（义乌市未成年人救助保护中心）优育服务采购         采购编号：</w:t>
    </w:r>
    <w:r>
      <w:rPr>
        <w:rFonts w:hint="eastAsia" w:ascii="宋体" w:hAnsi="宋体" w:eastAsia="宋体" w:cs="宋体"/>
        <w:lang w:eastAsia="zh-CN"/>
      </w:rPr>
      <w:t>ZJKP2025YW014G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F03F1"/>
    <w:multiLevelType w:val="singleLevel"/>
    <w:tmpl w:val="8BDF03F1"/>
    <w:lvl w:ilvl="0" w:tentative="0">
      <w:start w:val="1"/>
      <w:numFmt w:val="decimal"/>
      <w:suff w:val="nothing"/>
      <w:lvlText w:val="（%1）"/>
      <w:lvlJc w:val="left"/>
      <w:pPr>
        <w:ind w:left="0" w:firstLine="420"/>
      </w:pPr>
      <w:rPr>
        <w:rFonts w:hint="default"/>
      </w:rPr>
    </w:lvl>
  </w:abstractNum>
  <w:abstractNum w:abstractNumId="1">
    <w:nsid w:val="240F5CA3"/>
    <w:multiLevelType w:val="singleLevel"/>
    <w:tmpl w:val="240F5CA3"/>
    <w:lvl w:ilvl="0" w:tentative="0">
      <w:start w:val="1"/>
      <w:numFmt w:val="decimal"/>
      <w:suff w:val="nothing"/>
      <w:lvlText w:val="（%1）"/>
      <w:lvlJc w:val="left"/>
      <w:pPr>
        <w:ind w:left="0" w:firstLine="420"/>
      </w:pPr>
      <w:rPr>
        <w:rFonts w:hint="default"/>
      </w:rPr>
    </w:lvl>
  </w:abstractNum>
  <w:abstractNum w:abstractNumId="2">
    <w:nsid w:val="42591C03"/>
    <w:multiLevelType w:val="singleLevel"/>
    <w:tmpl w:val="42591C03"/>
    <w:lvl w:ilvl="0" w:tentative="0">
      <w:start w:val="1"/>
      <w:numFmt w:val="decimal"/>
      <w:suff w:val="nothing"/>
      <w:lvlText w:val="（%1）"/>
      <w:lvlJc w:val="left"/>
      <w:pPr>
        <w:ind w:left="0" w:firstLine="420"/>
      </w:pPr>
      <w:rPr>
        <w:rFonts w:hint="default"/>
      </w:rPr>
    </w:lvl>
  </w:abstractNum>
  <w:abstractNum w:abstractNumId="3">
    <w:nsid w:val="68A93780"/>
    <w:multiLevelType w:val="singleLevel"/>
    <w:tmpl w:val="68A93780"/>
    <w:lvl w:ilvl="0" w:tentative="0">
      <w:start w:val="6"/>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jY3Zjg3NDgyMjg3Y2UwNDNiY2VkMzY1YWVlMmEifQ=="/>
    <w:docVar w:name="KSO_WPS_MARK_KEY" w:val="f7e6b1a3-3e07-4b0c-99be-043c56dabc8d"/>
  </w:docVars>
  <w:rsids>
    <w:rsidRoot w:val="2F3D39DD"/>
    <w:rsid w:val="0003054A"/>
    <w:rsid w:val="000C0850"/>
    <w:rsid w:val="001920ED"/>
    <w:rsid w:val="002552D9"/>
    <w:rsid w:val="00277A5B"/>
    <w:rsid w:val="002974DD"/>
    <w:rsid w:val="00320224"/>
    <w:rsid w:val="0039425C"/>
    <w:rsid w:val="00425EB1"/>
    <w:rsid w:val="00431691"/>
    <w:rsid w:val="00445817"/>
    <w:rsid w:val="004D16AD"/>
    <w:rsid w:val="005A05E3"/>
    <w:rsid w:val="005A5742"/>
    <w:rsid w:val="005C7369"/>
    <w:rsid w:val="006030CD"/>
    <w:rsid w:val="00674B07"/>
    <w:rsid w:val="006D3808"/>
    <w:rsid w:val="007E273D"/>
    <w:rsid w:val="00857D2E"/>
    <w:rsid w:val="0088603E"/>
    <w:rsid w:val="009A096E"/>
    <w:rsid w:val="009E4FB4"/>
    <w:rsid w:val="00A669E8"/>
    <w:rsid w:val="00AA2CA4"/>
    <w:rsid w:val="00B4252A"/>
    <w:rsid w:val="00C44A20"/>
    <w:rsid w:val="00C630DE"/>
    <w:rsid w:val="00C87D5D"/>
    <w:rsid w:val="00CF56B0"/>
    <w:rsid w:val="00DC1BAD"/>
    <w:rsid w:val="00E30A81"/>
    <w:rsid w:val="00E706FC"/>
    <w:rsid w:val="00F102CF"/>
    <w:rsid w:val="01E32E7D"/>
    <w:rsid w:val="028A64F2"/>
    <w:rsid w:val="03BB17E3"/>
    <w:rsid w:val="03E70DB3"/>
    <w:rsid w:val="06180E55"/>
    <w:rsid w:val="07043A2A"/>
    <w:rsid w:val="082207CF"/>
    <w:rsid w:val="0AF2503A"/>
    <w:rsid w:val="0B671CEB"/>
    <w:rsid w:val="0C254A6B"/>
    <w:rsid w:val="0C2C4EA9"/>
    <w:rsid w:val="0C9E222B"/>
    <w:rsid w:val="0CD115C8"/>
    <w:rsid w:val="0CE045F1"/>
    <w:rsid w:val="0E9B14C5"/>
    <w:rsid w:val="0EE21728"/>
    <w:rsid w:val="0F8E02B1"/>
    <w:rsid w:val="134C7CE9"/>
    <w:rsid w:val="138F0BDD"/>
    <w:rsid w:val="14487814"/>
    <w:rsid w:val="16B71E0D"/>
    <w:rsid w:val="16BF28CA"/>
    <w:rsid w:val="176D0CBA"/>
    <w:rsid w:val="18BB74A7"/>
    <w:rsid w:val="191B26B6"/>
    <w:rsid w:val="19853708"/>
    <w:rsid w:val="1B1A151B"/>
    <w:rsid w:val="1C4921B3"/>
    <w:rsid w:val="1C6B2306"/>
    <w:rsid w:val="1CC81D36"/>
    <w:rsid w:val="1F08353D"/>
    <w:rsid w:val="1F187974"/>
    <w:rsid w:val="1FA514DF"/>
    <w:rsid w:val="222039B6"/>
    <w:rsid w:val="2355143D"/>
    <w:rsid w:val="23A756FE"/>
    <w:rsid w:val="24F212C4"/>
    <w:rsid w:val="2601768C"/>
    <w:rsid w:val="26A418EC"/>
    <w:rsid w:val="27DB3EDB"/>
    <w:rsid w:val="298A3B88"/>
    <w:rsid w:val="2AB74F10"/>
    <w:rsid w:val="2B1829D1"/>
    <w:rsid w:val="2D29166E"/>
    <w:rsid w:val="2F3D39DD"/>
    <w:rsid w:val="30A74508"/>
    <w:rsid w:val="320979AC"/>
    <w:rsid w:val="32256ECE"/>
    <w:rsid w:val="33F93534"/>
    <w:rsid w:val="34EA7467"/>
    <w:rsid w:val="37394CB2"/>
    <w:rsid w:val="37884128"/>
    <w:rsid w:val="38BC3BDD"/>
    <w:rsid w:val="39D26B9A"/>
    <w:rsid w:val="3A015A23"/>
    <w:rsid w:val="3ADE06F1"/>
    <w:rsid w:val="3CB753A0"/>
    <w:rsid w:val="3CBE04A2"/>
    <w:rsid w:val="3D4E0F7F"/>
    <w:rsid w:val="3E1E13E8"/>
    <w:rsid w:val="3F350439"/>
    <w:rsid w:val="3F9472A1"/>
    <w:rsid w:val="419D6FFC"/>
    <w:rsid w:val="420F5C05"/>
    <w:rsid w:val="43D83C99"/>
    <w:rsid w:val="44000AFA"/>
    <w:rsid w:val="44974BC1"/>
    <w:rsid w:val="44E26451"/>
    <w:rsid w:val="459908E9"/>
    <w:rsid w:val="47121221"/>
    <w:rsid w:val="483731A1"/>
    <w:rsid w:val="48D91369"/>
    <w:rsid w:val="4ADE308A"/>
    <w:rsid w:val="4AF34005"/>
    <w:rsid w:val="4C2D07C7"/>
    <w:rsid w:val="4C6E2579"/>
    <w:rsid w:val="4F30173B"/>
    <w:rsid w:val="4F382E94"/>
    <w:rsid w:val="4FFB2AFE"/>
    <w:rsid w:val="50541E3F"/>
    <w:rsid w:val="51815AA4"/>
    <w:rsid w:val="51D55FA3"/>
    <w:rsid w:val="549E1B45"/>
    <w:rsid w:val="56244770"/>
    <w:rsid w:val="56630118"/>
    <w:rsid w:val="56FA7346"/>
    <w:rsid w:val="58B312FE"/>
    <w:rsid w:val="5AB741B0"/>
    <w:rsid w:val="5B207F78"/>
    <w:rsid w:val="5BA77359"/>
    <w:rsid w:val="5C954916"/>
    <w:rsid w:val="60E364BD"/>
    <w:rsid w:val="612C0D28"/>
    <w:rsid w:val="621D7585"/>
    <w:rsid w:val="63B52246"/>
    <w:rsid w:val="653D6931"/>
    <w:rsid w:val="65750CCA"/>
    <w:rsid w:val="65E02555"/>
    <w:rsid w:val="65E75AA3"/>
    <w:rsid w:val="66C57C55"/>
    <w:rsid w:val="67374FF2"/>
    <w:rsid w:val="6A570BC4"/>
    <w:rsid w:val="6A7C1EDB"/>
    <w:rsid w:val="6B45679D"/>
    <w:rsid w:val="6CBF0CA2"/>
    <w:rsid w:val="6CD858C8"/>
    <w:rsid w:val="6D501108"/>
    <w:rsid w:val="6E670705"/>
    <w:rsid w:val="6E935AD2"/>
    <w:rsid w:val="6EEB2223"/>
    <w:rsid w:val="72F919F0"/>
    <w:rsid w:val="75811949"/>
    <w:rsid w:val="775F714E"/>
    <w:rsid w:val="7794031B"/>
    <w:rsid w:val="77C41863"/>
    <w:rsid w:val="78226D15"/>
    <w:rsid w:val="7A360BBD"/>
    <w:rsid w:val="7A5A48A5"/>
    <w:rsid w:val="7A65344B"/>
    <w:rsid w:val="7B344AD0"/>
    <w:rsid w:val="7B402042"/>
    <w:rsid w:val="7CC44A1F"/>
    <w:rsid w:val="7CDC7956"/>
    <w:rsid w:val="7D5F6C3D"/>
    <w:rsid w:val="7EAE5202"/>
    <w:rsid w:val="7ECC39DB"/>
    <w:rsid w:val="7FBF3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9"/>
    <w:pPr>
      <w:keepNext/>
      <w:keepLines/>
      <w:spacing w:line="360" w:lineRule="auto"/>
      <w:outlineLvl w:val="2"/>
    </w:pPr>
    <w:rPr>
      <w:b/>
      <w:bCs/>
      <w:kern w:val="0"/>
      <w:sz w:val="28"/>
      <w:szCs w:val="32"/>
    </w:rPr>
  </w:style>
  <w:style w:type="paragraph" w:styleId="6">
    <w:name w:val="heading 4"/>
    <w:basedOn w:val="1"/>
    <w:next w:val="1"/>
    <w:semiHidden/>
    <w:unhideWhenUsed/>
    <w:qFormat/>
    <w:uiPriority w:val="0"/>
    <w:pPr>
      <w:keepNext/>
      <w:keepLines/>
      <w:spacing w:line="372" w:lineRule="auto"/>
      <w:outlineLvl w:val="3"/>
    </w:pPr>
    <w:rPr>
      <w:rFonts w:ascii="Arial" w:hAnsi="Arial" w:eastAsia="黑体"/>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7">
    <w:name w:val="Normal Indent"/>
    <w:basedOn w:val="1"/>
    <w:next w:val="8"/>
    <w:qFormat/>
    <w:uiPriority w:val="0"/>
    <w:pPr>
      <w:ind w:firstLine="420"/>
    </w:pPr>
  </w:style>
  <w:style w:type="paragraph" w:styleId="8">
    <w:name w:val="Body Text Indent"/>
    <w:basedOn w:val="1"/>
    <w:next w:val="1"/>
    <w:qFormat/>
    <w:uiPriority w:val="0"/>
    <w:pPr>
      <w:spacing w:after="120"/>
      <w:ind w:left="420" w:leftChars="200"/>
    </w:pPr>
  </w:style>
  <w:style w:type="paragraph" w:styleId="9">
    <w:name w:val="Salutation"/>
    <w:basedOn w:val="1"/>
    <w:next w:val="1"/>
    <w:qFormat/>
    <w:uiPriority w:val="0"/>
    <w:rPr>
      <w:szCs w:val="20"/>
    </w:rPr>
  </w:style>
  <w:style w:type="paragraph" w:styleId="10">
    <w:name w:val="Body Text"/>
    <w:basedOn w:val="1"/>
    <w:next w:val="11"/>
    <w:qFormat/>
    <w:uiPriority w:val="99"/>
    <w:rPr>
      <w:sz w:val="24"/>
    </w:rPr>
  </w:style>
  <w:style w:type="paragraph" w:styleId="11">
    <w:name w:val="Body Text First Indent"/>
    <w:basedOn w:val="10"/>
    <w:next w:val="1"/>
    <w:qFormat/>
    <w:uiPriority w:val="0"/>
    <w:pPr>
      <w:autoSpaceDE w:val="0"/>
      <w:autoSpaceDN w:val="0"/>
      <w:adjustRightInd w:val="0"/>
      <w:spacing w:line="360" w:lineRule="auto"/>
      <w:ind w:firstLine="420"/>
    </w:pPr>
    <w:rPr>
      <w:rFonts w:ascii="宋体"/>
      <w:sz w:val="20"/>
      <w:lang w:val="zh-CN"/>
    </w:rPr>
  </w:style>
  <w:style w:type="paragraph" w:styleId="12">
    <w:name w:val="Plain Text"/>
    <w:basedOn w:val="1"/>
    <w:next w:val="1"/>
    <w:qFormat/>
    <w:uiPriority w:val="0"/>
    <w:rPr>
      <w:rFonts w:ascii="宋体" w:hAnsi="Courier New" w:eastAsia="宋体"/>
    </w:rPr>
  </w:style>
  <w:style w:type="paragraph" w:styleId="13">
    <w:name w:val="Body Text Indent 2"/>
    <w:basedOn w:val="1"/>
    <w:qFormat/>
    <w:uiPriority w:val="0"/>
    <w:pPr>
      <w:spacing w:after="120" w:line="480" w:lineRule="auto"/>
      <w:ind w:left="420" w:leftChars="200"/>
    </w:pPr>
  </w:style>
  <w:style w:type="paragraph" w:styleId="14">
    <w:name w:val="Balloon Text"/>
    <w:basedOn w:val="1"/>
    <w:link w:val="39"/>
    <w:qFormat/>
    <w:uiPriority w:val="0"/>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pPr>
      <w:tabs>
        <w:tab w:val="right" w:leader="dot" w:pos="9344"/>
      </w:tabs>
      <w:spacing w:line="360" w:lineRule="auto"/>
    </w:pPr>
    <w:rPr>
      <w:rFonts w:ascii="Times New Roman" w:hAnsi="Times New Roman" w:eastAsia="宋体" w:cs="Times New Roman"/>
      <w:sz w:val="24"/>
      <w:szCs w:val="24"/>
    </w:rPr>
  </w:style>
  <w:style w:type="paragraph" w:styleId="17">
    <w:name w:val="toc 4"/>
    <w:basedOn w:val="1"/>
    <w:next w:val="1"/>
    <w:qFormat/>
    <w:uiPriority w:val="0"/>
    <w:pPr>
      <w:ind w:left="1260"/>
    </w:pPr>
    <w:rPr>
      <w:kern w:val="1"/>
    </w:rPr>
  </w:style>
  <w:style w:type="paragraph" w:styleId="18">
    <w:name w:val="toc 2"/>
    <w:basedOn w:val="1"/>
    <w:next w:val="1"/>
    <w:qFormat/>
    <w:uiPriority w:val="0"/>
    <w:pPr>
      <w:ind w:left="420" w:leftChars="200"/>
    </w:pPr>
  </w:style>
  <w:style w:type="paragraph" w:styleId="19">
    <w:name w:val="Body Text 2"/>
    <w:basedOn w:val="1"/>
    <w:qFormat/>
    <w:uiPriority w:val="0"/>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kern w:val="0"/>
      <w:sz w:val="24"/>
    </w:rPr>
  </w:style>
  <w:style w:type="paragraph" w:styleId="21">
    <w:name w:val="Body Text First Indent 2"/>
    <w:basedOn w:val="8"/>
    <w:next w:val="1"/>
    <w:qFormat/>
    <w:uiPriority w:val="0"/>
    <w:pPr>
      <w:ind w:firstLine="420"/>
    </w:pPr>
  </w:style>
  <w:style w:type="table" w:styleId="23">
    <w:name w:val="Table Grid"/>
    <w:basedOn w:val="2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Hyperlink"/>
    <w:qFormat/>
    <w:uiPriority w:val="0"/>
    <w:rPr>
      <w:color w:val="0000FF"/>
      <w:u w:val="single"/>
    </w:rPr>
  </w:style>
  <w:style w:type="paragraph" w:customStyle="1" w:styleId="27">
    <w:name w:val="正文首行缩进 21"/>
    <w:basedOn w:val="8"/>
    <w:next w:val="28"/>
    <w:qFormat/>
    <w:uiPriority w:val="0"/>
    <w:pPr>
      <w:tabs>
        <w:tab w:val="left" w:pos="0"/>
        <w:tab w:val="left" w:pos="993"/>
        <w:tab w:val="left" w:pos="1134"/>
      </w:tabs>
      <w:spacing w:after="120"/>
      <w:ind w:left="420" w:leftChars="200" w:firstLine="420"/>
    </w:pPr>
    <w:rPr>
      <w:rFonts w:cs="宋体"/>
      <w:sz w:val="21"/>
      <w:szCs w:val="21"/>
    </w:rPr>
  </w:style>
  <w:style w:type="paragraph" w:customStyle="1" w:styleId="28">
    <w:name w:val="xl53"/>
    <w:basedOn w:val="1"/>
    <w:next w:val="1"/>
    <w:qFormat/>
    <w:uiPriority w:val="0"/>
    <w:pPr>
      <w:spacing w:before="280" w:after="280" w:line="100" w:lineRule="exact"/>
      <w:jc w:val="center"/>
    </w:pPr>
    <w:rPr>
      <w:b/>
      <w:sz w:val="20"/>
    </w:rPr>
  </w:style>
  <w:style w:type="paragraph" w:customStyle="1" w:styleId="29">
    <w:name w:val="首行缩进"/>
    <w:basedOn w:val="1"/>
    <w:qFormat/>
    <w:uiPriority w:val="0"/>
    <w:pPr>
      <w:spacing w:line="360" w:lineRule="auto"/>
      <w:ind w:firstLine="480" w:firstLineChars="200"/>
    </w:pPr>
    <w:rPr>
      <w:sz w:val="24"/>
      <w:lang w:val="zh-CN"/>
    </w:rPr>
  </w:style>
  <w:style w:type="paragraph" w:styleId="30">
    <w:name w:val="List Paragraph"/>
    <w:basedOn w:val="1"/>
    <w:qFormat/>
    <w:uiPriority w:val="34"/>
    <w:pPr>
      <w:ind w:firstLine="420" w:firstLineChars="200"/>
    </w:pPr>
  </w:style>
  <w:style w:type="paragraph" w:customStyle="1" w:styleId="31">
    <w:name w:val="样式 正文缩进 + 首行缩进:  2 字符"/>
    <w:basedOn w:val="7"/>
    <w:qFormat/>
    <w:uiPriority w:val="0"/>
    <w:pPr>
      <w:spacing w:line="360" w:lineRule="auto"/>
      <w:ind w:firstLine="200"/>
    </w:pPr>
    <w:rPr>
      <w:rFonts w:ascii="Times New Roman" w:hAnsi="Times New Roman" w:eastAsia="仿宋" w:cs="Times New Roman"/>
      <w:sz w:val="24"/>
      <w:szCs w:val="20"/>
    </w:rPr>
  </w:style>
  <w:style w:type="paragraph" w:customStyle="1" w:styleId="32">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3">
    <w:name w:val="样式  + 首行缩进:  2 字符"/>
    <w:basedOn w:val="34"/>
    <w:qFormat/>
    <w:uiPriority w:val="0"/>
    <w:pPr>
      <w:ind w:firstLine="480"/>
    </w:pPr>
  </w:style>
  <w:style w:type="paragraph" w:customStyle="1" w:styleId="34">
    <w:name w:val="9"/>
    <w:basedOn w:val="1"/>
    <w:next w:val="10"/>
    <w:qFormat/>
    <w:uiPriority w:val="0"/>
    <w:pPr>
      <w:spacing w:before="60" w:after="60" w:line="360" w:lineRule="auto"/>
      <w:ind w:firstLine="200" w:firstLineChars="200"/>
    </w:pPr>
  </w:style>
  <w:style w:type="paragraph" w:customStyle="1" w:styleId="35">
    <w:name w:val="标题 7 New"/>
    <w:basedOn w:val="1"/>
    <w:next w:val="1"/>
    <w:qFormat/>
    <w:uiPriority w:val="0"/>
    <w:pPr>
      <w:keepNext/>
      <w:keepLines/>
      <w:widowControl/>
      <w:tabs>
        <w:tab w:val="left" w:pos="2520"/>
      </w:tabs>
      <w:spacing w:before="240" w:after="64" w:line="317" w:lineRule="auto"/>
      <w:ind w:left="1296" w:hanging="1296"/>
      <w:jc w:val="left"/>
      <w:outlineLvl w:val="6"/>
    </w:pPr>
    <w:rPr>
      <w:b/>
      <w:kern w:val="0"/>
      <w:sz w:val="24"/>
      <w:szCs w:val="20"/>
    </w:rPr>
  </w:style>
  <w:style w:type="paragraph" w:customStyle="1" w:styleId="3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7">
    <w:name w:val="列出段落1"/>
    <w:basedOn w:val="1"/>
    <w:qFormat/>
    <w:uiPriority w:val="34"/>
    <w:pPr>
      <w:ind w:firstLine="420" w:firstLineChars="200"/>
    </w:pPr>
  </w:style>
  <w:style w:type="paragraph" w:customStyle="1" w:styleId="38">
    <w:name w:val="正文2"/>
    <w:basedOn w:val="1"/>
    <w:qFormat/>
    <w:uiPriority w:val="0"/>
    <w:pPr>
      <w:spacing w:before="156" w:line="360" w:lineRule="auto"/>
      <w:ind w:firstLine="510" w:firstLineChars="200"/>
    </w:pPr>
    <w:rPr>
      <w:sz w:val="24"/>
      <w:szCs w:val="20"/>
    </w:rPr>
  </w:style>
  <w:style w:type="character" w:customStyle="1" w:styleId="39">
    <w:name w:val="批注框文本 Char"/>
    <w:basedOn w:val="24"/>
    <w:link w:val="1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56</Pages>
  <Words>33839</Words>
  <Characters>36215</Characters>
  <Lines>282</Lines>
  <Paragraphs>79</Paragraphs>
  <TotalTime>15</TotalTime>
  <ScaleCrop>false</ScaleCrop>
  <LinksUpToDate>false</LinksUpToDate>
  <CharactersWithSpaces>37630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2024-07-29T06:52:00Z</dcterms:created>
  <dc:creator>料峭春风</dc:creator>
  <cp:lastModifiedBy>陳驍</cp:lastModifiedBy>
  <cp:lastPrinted>2024-04-30T00:33:00Z</cp:lastPrinted>
  <dcterms:modified xsi:type="dcterms:W3CDTF">2025-01-24T07:16:46Z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863958A6B70F42349B04C8C6AEF09EB5_13</vt:lpwstr>
  </property>
</Properties>
</file>