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color w:val="auto"/>
          <w:sz w:val="44"/>
          <w:szCs w:val="44"/>
          <w:highlight w:val="none"/>
        </w:rPr>
      </w:pPr>
    </w:p>
    <w:p>
      <w:pPr>
        <w:spacing w:line="360" w:lineRule="auto"/>
        <w:jc w:val="center"/>
        <w:outlineLvl w:val="0"/>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义乌工商职业技术学院</w:t>
      </w:r>
      <w:r>
        <w:rPr>
          <w:rFonts w:hint="eastAsia" w:ascii="宋体" w:hAnsi="宋体" w:eastAsia="宋体" w:cs="宋体"/>
          <w:b/>
          <w:color w:val="auto"/>
          <w:sz w:val="44"/>
          <w:szCs w:val="44"/>
          <w:highlight w:val="none"/>
          <w:lang w:eastAsia="zh-CN"/>
        </w:rPr>
        <w:t>依山操场、体育馆大灯</w:t>
      </w:r>
      <w:r>
        <w:rPr>
          <w:rFonts w:hint="eastAsia" w:ascii="宋体" w:hAnsi="宋体" w:eastAsia="宋体" w:cs="宋体"/>
          <w:b/>
          <w:color w:val="auto"/>
          <w:sz w:val="44"/>
          <w:szCs w:val="44"/>
          <w:highlight w:val="none"/>
        </w:rPr>
        <w:t>采购</w:t>
      </w:r>
    </w:p>
    <w:p>
      <w:pPr>
        <w:spacing w:line="360" w:lineRule="auto"/>
        <w:jc w:val="center"/>
        <w:rPr>
          <w:rFonts w:ascii="宋体" w:hAnsi="宋体" w:eastAsia="宋体" w:cs="宋体"/>
          <w:b/>
          <w:color w:val="auto"/>
          <w:sz w:val="44"/>
          <w:szCs w:val="44"/>
          <w:highlight w:val="none"/>
        </w:rPr>
      </w:pPr>
    </w:p>
    <w:p>
      <w:pPr>
        <w:tabs>
          <w:tab w:val="center" w:pos="4677"/>
          <w:tab w:val="left" w:pos="7365"/>
        </w:tabs>
        <w:spacing w:line="360" w:lineRule="auto"/>
        <w:jc w:val="center"/>
        <w:rPr>
          <w:rFonts w:ascii="宋体" w:hAnsi="宋体" w:eastAsia="宋体" w:cs="宋体"/>
          <w:b/>
          <w:bCs/>
          <w:color w:val="auto"/>
          <w:sz w:val="36"/>
          <w:szCs w:val="36"/>
          <w:highlight w:val="none"/>
        </w:rPr>
      </w:pPr>
    </w:p>
    <w:p>
      <w:pPr>
        <w:tabs>
          <w:tab w:val="center" w:pos="4677"/>
          <w:tab w:val="left" w:pos="7365"/>
        </w:tabs>
        <w:spacing w:line="360" w:lineRule="auto"/>
        <w:jc w:val="center"/>
        <w:rPr>
          <w:rFonts w:ascii="宋体" w:hAnsi="宋体" w:eastAsia="宋体" w:cs="宋体"/>
          <w:color w:val="auto"/>
          <w:sz w:val="52"/>
          <w:highlight w:val="none"/>
        </w:rPr>
      </w:pPr>
      <w:r>
        <w:rPr>
          <w:rFonts w:hint="eastAsia" w:ascii="宋体" w:hAnsi="宋体" w:eastAsia="宋体" w:cs="宋体"/>
          <w:b/>
          <w:bCs/>
          <w:color w:val="auto"/>
          <w:sz w:val="72"/>
          <w:highlight w:val="none"/>
        </w:rPr>
        <w:t>招标文件</w:t>
      </w:r>
    </w:p>
    <w:p>
      <w:pPr>
        <w:spacing w:line="360" w:lineRule="auto"/>
        <w:jc w:val="center"/>
        <w:rPr>
          <w:rFonts w:ascii="宋体" w:hAnsi="宋体" w:eastAsia="宋体" w:cs="宋体"/>
          <w:b/>
          <w:bCs/>
          <w:color w:val="auto"/>
          <w:sz w:val="32"/>
          <w:highlight w:val="none"/>
        </w:rPr>
      </w:pPr>
    </w:p>
    <w:p>
      <w:pPr>
        <w:spacing w:line="360" w:lineRule="auto"/>
        <w:jc w:val="center"/>
        <w:rPr>
          <w:rFonts w:hint="eastAsia" w:ascii="宋体" w:hAnsi="宋体" w:eastAsia="宋体" w:cs="宋体"/>
          <w:b/>
          <w:bCs/>
          <w:color w:val="auto"/>
          <w:sz w:val="32"/>
          <w:highlight w:val="none"/>
          <w:u w:val="single"/>
          <w:lang w:eastAsia="zh-CN"/>
        </w:rPr>
      </w:pPr>
      <w:r>
        <w:rPr>
          <w:rFonts w:hint="eastAsia" w:ascii="宋体" w:hAnsi="宋体" w:eastAsia="宋体" w:cs="宋体"/>
          <w:b/>
          <w:bCs/>
          <w:color w:val="auto"/>
          <w:sz w:val="32"/>
          <w:highlight w:val="none"/>
        </w:rPr>
        <w:t>采购编号：</w:t>
      </w:r>
      <w:r>
        <w:rPr>
          <w:rFonts w:hint="eastAsia" w:ascii="宋体" w:hAnsi="宋体" w:eastAsia="宋体" w:cs="宋体"/>
          <w:b/>
          <w:bCs/>
          <w:color w:val="auto"/>
          <w:sz w:val="32"/>
          <w:highlight w:val="none"/>
          <w:lang w:eastAsia="zh-CN"/>
        </w:rPr>
        <w:t>ZJKP2024YW162G-1</w:t>
      </w:r>
    </w:p>
    <w:p>
      <w:pPr>
        <w:spacing w:line="360" w:lineRule="auto"/>
        <w:jc w:val="center"/>
        <w:rPr>
          <w:rFonts w:ascii="宋体" w:hAnsi="宋体" w:eastAsia="宋体" w:cs="宋体"/>
          <w:b/>
          <w:bCs/>
          <w:color w:val="auto"/>
          <w:sz w:val="32"/>
          <w:highlight w:val="none"/>
        </w:rPr>
      </w:pPr>
    </w:p>
    <w:p>
      <w:pPr>
        <w:spacing w:line="360" w:lineRule="auto"/>
        <w:jc w:val="center"/>
        <w:rPr>
          <w:rFonts w:ascii="宋体" w:hAnsi="宋体" w:eastAsia="宋体" w:cs="宋体"/>
          <w:b/>
          <w:bCs/>
          <w:color w:val="auto"/>
          <w:sz w:val="36"/>
          <w:highlight w:val="none"/>
        </w:rPr>
      </w:pPr>
    </w:p>
    <w:p>
      <w:pPr>
        <w:spacing w:line="360" w:lineRule="auto"/>
        <w:jc w:val="center"/>
        <w:rPr>
          <w:rFonts w:ascii="宋体" w:hAnsi="宋体" w:eastAsia="宋体" w:cs="宋体"/>
          <w:b/>
          <w:bCs/>
          <w:color w:val="auto"/>
          <w:sz w:val="36"/>
          <w:highlight w:val="none"/>
        </w:rPr>
      </w:pPr>
    </w:p>
    <w:p>
      <w:pPr>
        <w:spacing w:line="360" w:lineRule="auto"/>
        <w:jc w:val="center"/>
        <w:rPr>
          <w:rFonts w:ascii="宋体" w:hAnsi="宋体" w:eastAsia="宋体" w:cs="宋体"/>
          <w:b/>
          <w:bCs/>
          <w:color w:val="auto"/>
          <w:sz w:val="36"/>
          <w:highlight w:val="none"/>
        </w:rPr>
      </w:pPr>
    </w:p>
    <w:p>
      <w:pPr>
        <w:spacing w:line="360" w:lineRule="auto"/>
        <w:jc w:val="center"/>
        <w:rPr>
          <w:rFonts w:ascii="宋体" w:hAnsi="宋体" w:eastAsia="宋体" w:cs="宋体"/>
          <w:b/>
          <w:bCs/>
          <w:color w:val="auto"/>
          <w:sz w:val="36"/>
          <w:highlight w:val="none"/>
        </w:rPr>
      </w:pPr>
    </w:p>
    <w:p>
      <w:pPr>
        <w:rPr>
          <w:color w:val="auto"/>
          <w:highlight w:val="none"/>
        </w:rPr>
      </w:pPr>
    </w:p>
    <w:p>
      <w:pPr>
        <w:spacing w:line="360" w:lineRule="auto"/>
        <w:jc w:val="center"/>
        <w:rPr>
          <w:rFonts w:ascii="宋体" w:hAnsi="宋体" w:eastAsia="宋体" w:cs="宋体"/>
          <w:b/>
          <w:bCs/>
          <w:color w:val="auto"/>
          <w:sz w:val="36"/>
          <w:highlight w:val="none"/>
        </w:rPr>
      </w:pPr>
    </w:p>
    <w:p>
      <w:pPr>
        <w:spacing w:line="360" w:lineRule="auto"/>
        <w:rPr>
          <w:rFonts w:ascii="宋体" w:hAnsi="宋体" w:eastAsia="宋体" w:cs="宋体"/>
          <w:b/>
          <w:bCs/>
          <w:color w:val="auto"/>
          <w:sz w:val="36"/>
          <w:highlight w:val="none"/>
        </w:rPr>
      </w:pPr>
    </w:p>
    <w:p>
      <w:pPr>
        <w:spacing w:line="360" w:lineRule="auto"/>
        <w:jc w:val="center"/>
        <w:rPr>
          <w:rFonts w:ascii="宋体" w:hAnsi="宋体" w:eastAsia="宋体" w:cs="宋体"/>
          <w:b/>
          <w:bCs/>
          <w:color w:val="auto"/>
          <w:sz w:val="36"/>
          <w:highlight w:val="none"/>
        </w:rPr>
      </w:pPr>
      <w:bookmarkStart w:id="0" w:name="OLE_LINK1"/>
      <w:bookmarkStart w:id="1" w:name="OLE_LINK2"/>
      <w:r>
        <w:rPr>
          <w:rFonts w:hint="eastAsia" w:ascii="宋体" w:hAnsi="宋体" w:eastAsia="宋体" w:cs="宋体"/>
          <w:b/>
          <w:bCs/>
          <w:color w:val="auto"/>
          <w:sz w:val="36"/>
          <w:highlight w:val="none"/>
        </w:rPr>
        <w:t>义乌工商职业技术学院</w:t>
      </w:r>
    </w:p>
    <w:p>
      <w:pPr>
        <w:spacing w:line="360" w:lineRule="auto"/>
        <w:jc w:val="center"/>
        <w:rPr>
          <w:rFonts w:ascii="宋体" w:hAnsi="宋体" w:eastAsia="宋体" w:cs="宋体"/>
          <w:b/>
          <w:bCs/>
          <w:color w:val="auto"/>
          <w:sz w:val="36"/>
          <w:highlight w:val="none"/>
        </w:rPr>
      </w:pPr>
      <w:r>
        <w:rPr>
          <w:rFonts w:hint="eastAsia" w:ascii="宋体" w:hAnsi="宋体" w:eastAsia="宋体" w:cs="宋体"/>
          <w:b/>
          <w:bCs/>
          <w:color w:val="auto"/>
          <w:sz w:val="36"/>
          <w:highlight w:val="none"/>
        </w:rPr>
        <w:t>浙江开平企业管理咨询有限公司</w:t>
      </w:r>
      <w:bookmarkEnd w:id="0"/>
      <w:bookmarkEnd w:id="1"/>
    </w:p>
    <w:p>
      <w:pPr>
        <w:spacing w:line="360" w:lineRule="auto"/>
        <w:jc w:val="center"/>
        <w:rPr>
          <w:rFonts w:ascii="宋体" w:hAnsi="宋体" w:eastAsia="宋体" w:cs="宋体"/>
          <w:b/>
          <w:bCs/>
          <w:color w:val="auto"/>
          <w:sz w:val="36"/>
          <w:highlight w:val="none"/>
        </w:rPr>
      </w:pPr>
      <w:r>
        <w:rPr>
          <w:rFonts w:hint="eastAsia" w:ascii="宋体" w:hAnsi="宋体" w:eastAsia="宋体" w:cs="宋体"/>
          <w:b/>
          <w:bCs/>
          <w:color w:val="auto"/>
          <w:sz w:val="36"/>
          <w:highlight w:val="none"/>
          <w:lang w:eastAsia="zh-CN"/>
        </w:rPr>
        <w:t>二〇</w:t>
      </w:r>
      <w:r>
        <w:rPr>
          <w:rFonts w:hint="eastAsia" w:ascii="宋体" w:hAnsi="宋体" w:eastAsia="宋体" w:cs="宋体"/>
          <w:b/>
          <w:bCs/>
          <w:color w:val="auto"/>
          <w:sz w:val="36"/>
          <w:highlight w:val="none"/>
        </w:rPr>
        <w:t>二</w:t>
      </w:r>
      <w:r>
        <w:rPr>
          <w:rFonts w:hint="eastAsia" w:ascii="宋体" w:hAnsi="宋体" w:eastAsia="宋体" w:cs="宋体"/>
          <w:b/>
          <w:bCs/>
          <w:color w:val="auto"/>
          <w:sz w:val="36"/>
          <w:highlight w:val="none"/>
          <w:lang w:eastAsia="zh-CN"/>
        </w:rPr>
        <w:t>四</w:t>
      </w:r>
      <w:r>
        <w:rPr>
          <w:rFonts w:hint="eastAsia" w:ascii="宋体" w:hAnsi="宋体" w:eastAsia="宋体" w:cs="宋体"/>
          <w:b/>
          <w:bCs/>
          <w:color w:val="auto"/>
          <w:sz w:val="36"/>
          <w:highlight w:val="none"/>
        </w:rPr>
        <w:t>年</w:t>
      </w:r>
      <w:r>
        <w:rPr>
          <w:rFonts w:hint="eastAsia" w:ascii="宋体" w:hAnsi="宋体" w:eastAsia="宋体" w:cs="宋体"/>
          <w:b/>
          <w:bCs/>
          <w:color w:val="auto"/>
          <w:sz w:val="36"/>
          <w:highlight w:val="none"/>
          <w:lang w:eastAsia="zh-CN"/>
        </w:rPr>
        <w:t>九</w:t>
      </w:r>
      <w:r>
        <w:rPr>
          <w:rFonts w:hint="eastAsia" w:ascii="宋体" w:hAnsi="宋体" w:eastAsia="宋体" w:cs="宋体"/>
          <w:b/>
          <w:bCs/>
          <w:color w:val="auto"/>
          <w:sz w:val="36"/>
          <w:highlight w:val="none"/>
        </w:rPr>
        <w:t>月</w:t>
      </w:r>
    </w:p>
    <w:p>
      <w:pPr>
        <w:pStyle w:val="12"/>
        <w:spacing w:line="360" w:lineRule="auto"/>
        <w:ind w:firstLine="883" w:firstLineChars="200"/>
        <w:jc w:val="center"/>
        <w:rPr>
          <w:rFonts w:hAnsi="宋体" w:cs="宋体"/>
          <w:b/>
          <w:color w:val="auto"/>
          <w:sz w:val="44"/>
          <w:szCs w:val="44"/>
          <w:highlight w:val="none"/>
        </w:rPr>
        <w:sectPr>
          <w:headerReference r:id="rId3" w:type="default"/>
          <w:pgSz w:w="11906" w:h="16838"/>
          <w:pgMar w:top="1440" w:right="1800" w:bottom="1440" w:left="1800" w:header="851" w:footer="992" w:gutter="0"/>
          <w:cols w:space="425" w:num="1"/>
          <w:docGrid w:type="lines" w:linePitch="312" w:charSpace="0"/>
        </w:sectPr>
      </w:pPr>
    </w:p>
    <w:p>
      <w:pPr>
        <w:pStyle w:val="12"/>
        <w:spacing w:line="360" w:lineRule="auto"/>
        <w:ind w:firstLine="883" w:firstLineChars="200"/>
        <w:jc w:val="center"/>
        <w:outlineLvl w:val="0"/>
        <w:rPr>
          <w:rFonts w:hAnsi="宋体" w:cs="宋体"/>
          <w:b/>
          <w:color w:val="auto"/>
          <w:sz w:val="44"/>
          <w:szCs w:val="44"/>
          <w:highlight w:val="none"/>
        </w:rPr>
      </w:pPr>
      <w:r>
        <w:rPr>
          <w:rFonts w:hint="eastAsia" w:hAnsi="宋体" w:cs="宋体"/>
          <w:b/>
          <w:color w:val="auto"/>
          <w:sz w:val="44"/>
          <w:szCs w:val="44"/>
          <w:highlight w:val="none"/>
        </w:rPr>
        <w:t>招标文件目录</w:t>
      </w:r>
    </w:p>
    <w:p>
      <w:pPr>
        <w:pStyle w:val="18"/>
        <w:rPr>
          <w:rFonts w:ascii="宋体" w:hAnsi="宋体" w:cs="宋体"/>
          <w:b/>
          <w:color w:val="auto"/>
          <w:highlight w:val="none"/>
        </w:rPr>
      </w:pPr>
    </w:p>
    <w:p>
      <w:pPr>
        <w:pStyle w:val="18"/>
        <w:rPr>
          <w:rFonts w:ascii="宋体" w:hAnsi="宋体" w:cs="宋体"/>
          <w:b/>
          <w:bCs/>
          <w:color w:val="auto"/>
          <w:sz w:val="21"/>
          <w:highlight w:val="none"/>
        </w:rPr>
      </w:pPr>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"1-3" \h \z \u </w:instrText>
      </w:r>
      <w:r>
        <w:rPr>
          <w:rFonts w:hint="eastAsia" w:ascii="宋体" w:hAnsi="宋体" w:cs="宋体"/>
          <w:b/>
          <w:color w:val="auto"/>
          <w:highlight w:val="none"/>
        </w:rPr>
        <w:fldChar w:fldCharType="separate"/>
      </w:r>
      <w:r>
        <w:rPr>
          <w:color w:val="auto"/>
          <w:highlight w:val="none"/>
        </w:rPr>
        <w:fldChar w:fldCharType="begin"/>
      </w:r>
      <w:r>
        <w:rPr>
          <w:color w:val="auto"/>
          <w:highlight w:val="none"/>
        </w:rPr>
        <w:instrText xml:space="preserve"> HYPERLINK \l "_Toc362250684" </w:instrText>
      </w:r>
      <w:r>
        <w:rPr>
          <w:color w:val="auto"/>
          <w:highlight w:val="none"/>
        </w:rPr>
        <w:fldChar w:fldCharType="separate"/>
      </w:r>
      <w:r>
        <w:rPr>
          <w:rStyle w:val="30"/>
          <w:rFonts w:hint="eastAsia" w:ascii="宋体" w:hAnsi="宋体" w:cs="宋体"/>
          <w:color w:val="auto"/>
          <w:highlight w:val="none"/>
        </w:rPr>
        <w:t>第一章　采购公告</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"_Toc362250685" </w:instrText>
      </w:r>
      <w:r>
        <w:rPr>
          <w:color w:val="auto"/>
          <w:highlight w:val="none"/>
        </w:rPr>
        <w:fldChar w:fldCharType="separate"/>
      </w:r>
      <w:r>
        <w:rPr>
          <w:rStyle w:val="30"/>
          <w:rFonts w:hint="eastAsia" w:ascii="宋体" w:hAnsi="宋体" w:cs="宋体"/>
          <w:color w:val="auto"/>
          <w:highlight w:val="none"/>
        </w:rPr>
        <w:t>第二章　投标须知和投标须知前附表</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"_Toc362250692" </w:instrText>
      </w:r>
      <w:r>
        <w:rPr>
          <w:color w:val="auto"/>
          <w:highlight w:val="none"/>
        </w:rPr>
        <w:fldChar w:fldCharType="separate"/>
      </w:r>
      <w:r>
        <w:rPr>
          <w:rStyle w:val="30"/>
          <w:rFonts w:hint="eastAsia" w:ascii="宋体" w:hAnsi="宋体" w:cs="宋体"/>
          <w:color w:val="auto"/>
          <w:highlight w:val="none"/>
        </w:rPr>
        <w:t>第三章  招标项目内容及技术要求</w:t>
      </w:r>
      <w:r>
        <w:rPr>
          <w:rStyle w:val="30"/>
          <w:rFonts w:hint="eastAsia" w:ascii="宋体" w:hAnsi="宋体" w:cs="宋体"/>
          <w:color w:val="auto"/>
          <w:highlight w:val="none"/>
        </w:rPr>
        <w:fldChar w:fldCharType="end"/>
      </w:r>
    </w:p>
    <w:p>
      <w:pPr>
        <w:pStyle w:val="18"/>
        <w:tabs>
          <w:tab w:val="left" w:pos="1260"/>
        </w:tabs>
        <w:rPr>
          <w:rStyle w:val="30"/>
          <w:rFonts w:ascii="宋体" w:hAnsi="宋体" w:cs="宋体"/>
          <w:color w:val="auto"/>
          <w:highlight w:val="none"/>
        </w:rPr>
      </w:pPr>
    </w:p>
    <w:p>
      <w:pPr>
        <w:pStyle w:val="18"/>
        <w:tabs>
          <w:tab w:val="left" w:pos="1020"/>
        </w:tabs>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"_Toc362250703" </w:instrText>
      </w:r>
      <w:r>
        <w:rPr>
          <w:color w:val="auto"/>
          <w:highlight w:val="none"/>
        </w:rPr>
        <w:fldChar w:fldCharType="separate"/>
      </w:r>
      <w:r>
        <w:rPr>
          <w:rStyle w:val="30"/>
          <w:rFonts w:hint="eastAsia" w:ascii="宋体" w:hAnsi="宋体" w:cs="宋体"/>
          <w:color w:val="auto"/>
          <w:highlight w:val="none"/>
        </w:rPr>
        <w:t>第四章</w:t>
      </w:r>
      <w:r>
        <w:rPr>
          <w:rFonts w:hint="eastAsia" w:ascii="宋体" w:hAnsi="宋体" w:cs="宋体"/>
          <w:b/>
          <w:bCs/>
          <w:color w:val="auto"/>
          <w:sz w:val="21"/>
          <w:highlight w:val="none"/>
        </w:rPr>
        <w:tab/>
      </w:r>
      <w:r>
        <w:rPr>
          <w:rStyle w:val="30"/>
          <w:rFonts w:hint="eastAsia" w:ascii="宋体" w:hAnsi="宋体" w:cs="宋体"/>
          <w:color w:val="auto"/>
          <w:highlight w:val="none"/>
        </w:rPr>
        <w:t>开标、评标和定标须知</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"_Toc362250707" </w:instrText>
      </w:r>
      <w:r>
        <w:rPr>
          <w:color w:val="auto"/>
          <w:highlight w:val="none"/>
        </w:rPr>
        <w:fldChar w:fldCharType="separate"/>
      </w:r>
      <w:r>
        <w:rPr>
          <w:rStyle w:val="30"/>
          <w:rFonts w:hint="eastAsia" w:ascii="宋体" w:hAnsi="宋体" w:cs="宋体"/>
          <w:color w:val="auto"/>
          <w:highlight w:val="none"/>
        </w:rPr>
        <w:t>第五章  投标文件的有效性</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"_Toc362250708" </w:instrText>
      </w:r>
      <w:r>
        <w:rPr>
          <w:color w:val="auto"/>
          <w:highlight w:val="none"/>
        </w:rPr>
        <w:fldChar w:fldCharType="separate"/>
      </w:r>
      <w:r>
        <w:rPr>
          <w:rStyle w:val="30"/>
          <w:rFonts w:hint="eastAsia" w:ascii="宋体" w:hAnsi="宋体" w:cs="宋体"/>
          <w:color w:val="auto"/>
          <w:highlight w:val="none"/>
        </w:rPr>
        <w:t>第六章  评标办法</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"_Toc362250711" </w:instrText>
      </w:r>
      <w:r>
        <w:rPr>
          <w:color w:val="auto"/>
          <w:highlight w:val="none"/>
        </w:rPr>
        <w:fldChar w:fldCharType="separate"/>
      </w:r>
      <w:r>
        <w:rPr>
          <w:rStyle w:val="30"/>
          <w:rFonts w:hint="eastAsia" w:ascii="宋体" w:hAnsi="宋体" w:cs="宋体"/>
          <w:color w:val="auto"/>
          <w:highlight w:val="none"/>
        </w:rPr>
        <w:t>第七章  合同主要条款</w:t>
      </w:r>
      <w:r>
        <w:rPr>
          <w:rStyle w:val="30"/>
          <w:rFonts w:hint="eastAsia" w:ascii="宋体" w:hAnsi="宋体" w:cs="宋体"/>
          <w:color w:val="auto"/>
          <w:highlight w:val="none"/>
        </w:rPr>
        <w:fldChar w:fldCharType="end"/>
      </w:r>
    </w:p>
    <w:p>
      <w:pPr>
        <w:pStyle w:val="18"/>
        <w:rPr>
          <w:rStyle w:val="30"/>
          <w:rFonts w:ascii="宋体" w:hAnsi="宋体" w:cs="宋体"/>
          <w:color w:val="auto"/>
          <w:highlight w:val="none"/>
        </w:rPr>
      </w:pPr>
    </w:p>
    <w:p>
      <w:pPr>
        <w:pStyle w:val="18"/>
        <w:rPr>
          <w:rFonts w:ascii="宋体" w:hAnsi="宋体" w:cs="宋体"/>
          <w:b/>
          <w:bCs/>
          <w:color w:val="auto"/>
          <w:sz w:val="21"/>
          <w:highlight w:val="none"/>
        </w:rPr>
      </w:pPr>
      <w:r>
        <w:rPr>
          <w:color w:val="auto"/>
          <w:highlight w:val="none"/>
        </w:rPr>
        <w:fldChar w:fldCharType="begin"/>
      </w:r>
      <w:r>
        <w:rPr>
          <w:color w:val="auto"/>
          <w:highlight w:val="none"/>
        </w:rPr>
        <w:instrText xml:space="preserve"> HYPERLINK \l "_Toc362250712" </w:instrText>
      </w:r>
      <w:r>
        <w:rPr>
          <w:color w:val="auto"/>
          <w:highlight w:val="none"/>
        </w:rPr>
        <w:fldChar w:fldCharType="separate"/>
      </w:r>
      <w:r>
        <w:rPr>
          <w:rStyle w:val="30"/>
          <w:rFonts w:hint="eastAsia" w:ascii="宋体" w:hAnsi="宋体" w:cs="宋体"/>
          <w:color w:val="auto"/>
          <w:highlight w:val="none"/>
        </w:rPr>
        <w:t>第八章  投标文件部分格式</w:t>
      </w:r>
      <w:r>
        <w:rPr>
          <w:rStyle w:val="30"/>
          <w:rFonts w:hint="eastAsia" w:ascii="宋体" w:hAnsi="宋体" w:cs="宋体"/>
          <w:color w:val="auto"/>
          <w:highlight w:val="none"/>
        </w:rPr>
        <w:fldChar w:fldCharType="end"/>
      </w:r>
    </w:p>
    <w:p>
      <w:pPr>
        <w:spacing w:line="360" w:lineRule="auto"/>
        <w:jc w:val="center"/>
        <w:rPr>
          <w:rFonts w:ascii="宋体" w:hAnsi="宋体" w:eastAsia="宋体" w:cs="宋体"/>
          <w:b/>
          <w:color w:val="auto"/>
          <w:szCs w:val="30"/>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Cs w:val="30"/>
          <w:highlight w:val="none"/>
        </w:rPr>
        <w:fldChar w:fldCharType="end"/>
      </w:r>
    </w:p>
    <w:p>
      <w:pPr>
        <w:pStyle w:val="3"/>
        <w:spacing w:line="360" w:lineRule="auto"/>
        <w:jc w:val="center"/>
        <w:rPr>
          <w:rFonts w:ascii="宋体" w:hAnsi="宋体" w:eastAsia="宋体" w:cs="宋体"/>
          <w:color w:val="auto"/>
          <w:sz w:val="36"/>
          <w:highlight w:val="none"/>
        </w:rPr>
      </w:pPr>
      <w:r>
        <w:rPr>
          <w:rFonts w:hint="eastAsia" w:ascii="宋体" w:hAnsi="宋体" w:eastAsia="宋体" w:cs="宋体"/>
          <w:color w:val="auto"/>
          <w:sz w:val="36"/>
          <w:highlight w:val="none"/>
        </w:rPr>
        <w:t>第一章　采购公告</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根据《中华人民共和国政府采购法》等有关规定，浙江开平企业管理咨询有限公司受义乌工商职业技术学院的委托，</w:t>
      </w:r>
      <w:r>
        <w:rPr>
          <w:rFonts w:hint="eastAsia" w:ascii="宋体" w:hAnsi="宋体" w:eastAsia="宋体" w:cs="宋体"/>
          <w:color w:val="auto"/>
          <w:kern w:val="0"/>
          <w:sz w:val="24"/>
          <w:szCs w:val="24"/>
          <w:highlight w:val="none"/>
        </w:rPr>
        <w:t>就</w:t>
      </w:r>
      <w:r>
        <w:rPr>
          <w:rFonts w:hint="eastAsia" w:ascii="宋体" w:hAnsi="宋体" w:eastAsia="宋体" w:cs="宋体"/>
          <w:color w:val="auto"/>
          <w:kern w:val="0"/>
          <w:sz w:val="24"/>
          <w:szCs w:val="24"/>
          <w:highlight w:val="none"/>
          <w:lang w:eastAsia="zh-CN"/>
        </w:rPr>
        <w:t>依山操场、体育馆大灯</w:t>
      </w:r>
      <w:r>
        <w:rPr>
          <w:rFonts w:hint="eastAsia" w:ascii="宋体" w:hAnsi="宋体" w:eastAsia="宋体" w:cs="宋体"/>
          <w:color w:val="auto"/>
          <w:kern w:val="0"/>
          <w:sz w:val="24"/>
          <w:szCs w:val="24"/>
          <w:highlight w:val="none"/>
        </w:rPr>
        <w:t>项目</w:t>
      </w:r>
      <w:r>
        <w:rPr>
          <w:rFonts w:hint="eastAsia" w:ascii="宋体" w:hAnsi="宋体" w:eastAsia="宋体" w:cs="宋体"/>
          <w:color w:val="auto"/>
          <w:sz w:val="24"/>
          <w:szCs w:val="24"/>
          <w:highlight w:val="none"/>
        </w:rPr>
        <w:t>进行</w:t>
      </w:r>
      <w:r>
        <w:rPr>
          <w:rFonts w:hint="eastAsia" w:ascii="宋体" w:hAnsi="宋体" w:eastAsia="宋体" w:cs="宋体"/>
          <w:bCs/>
          <w:color w:val="auto"/>
          <w:sz w:val="24"/>
          <w:szCs w:val="24"/>
          <w:highlight w:val="none"/>
          <w:u w:val="single"/>
        </w:rPr>
        <w:t>公开招标</w:t>
      </w:r>
      <w:r>
        <w:rPr>
          <w:rFonts w:hint="eastAsia" w:ascii="宋体" w:hAnsi="宋体" w:eastAsia="宋体" w:cs="宋体"/>
          <w:color w:val="auto"/>
          <w:sz w:val="24"/>
          <w:szCs w:val="24"/>
          <w:highlight w:val="none"/>
        </w:rPr>
        <w:t>采购，欢迎国内合格的投标人参加投标。</w:t>
      </w:r>
    </w:p>
    <w:p>
      <w:pPr>
        <w:pStyle w:val="12"/>
        <w:adjustRightInd w:val="0"/>
        <w:spacing w:line="360" w:lineRule="auto"/>
        <w:rPr>
          <w:rFonts w:hAnsi="宋体" w:cs="宋体"/>
          <w:color w:val="auto"/>
          <w:sz w:val="24"/>
          <w:szCs w:val="24"/>
          <w:highlight w:val="none"/>
        </w:rPr>
      </w:pPr>
      <w:r>
        <w:rPr>
          <w:rFonts w:hint="eastAsia" w:hAnsi="宋体" w:cs="宋体"/>
          <w:b/>
          <w:color w:val="auto"/>
          <w:sz w:val="24"/>
          <w:szCs w:val="24"/>
          <w:highlight w:val="none"/>
        </w:rPr>
        <w:t>一、项目基本情况</w:t>
      </w:r>
    </w:p>
    <w:p>
      <w:pPr>
        <w:pStyle w:val="12"/>
        <w:adjustRightInd w:val="0"/>
        <w:spacing w:line="360" w:lineRule="auto"/>
        <w:ind w:firstLine="482" w:firstLineChars="200"/>
        <w:rPr>
          <w:rFonts w:hint="eastAsia" w:hAnsi="宋体" w:eastAsia="宋体" w:cs="宋体"/>
          <w:color w:val="auto"/>
          <w:sz w:val="24"/>
          <w:szCs w:val="24"/>
          <w:highlight w:val="none"/>
          <w:lang w:eastAsia="zh-CN"/>
        </w:rPr>
      </w:pPr>
      <w:r>
        <w:rPr>
          <w:rFonts w:hint="eastAsia" w:hAnsi="宋体" w:cs="宋体"/>
          <w:b/>
          <w:color w:val="auto"/>
          <w:sz w:val="24"/>
          <w:szCs w:val="24"/>
          <w:highlight w:val="none"/>
        </w:rPr>
        <w:t>1、采购编号</w:t>
      </w:r>
      <w:r>
        <w:rPr>
          <w:rFonts w:hint="eastAsia" w:hAnsi="宋体" w:cs="宋体"/>
          <w:color w:val="auto"/>
          <w:sz w:val="24"/>
          <w:szCs w:val="24"/>
          <w:highlight w:val="none"/>
        </w:rPr>
        <w:t>：</w:t>
      </w:r>
      <w:r>
        <w:rPr>
          <w:rFonts w:hint="eastAsia" w:hAnsi="宋体" w:cs="宋体"/>
          <w:color w:val="auto"/>
          <w:sz w:val="24"/>
          <w:szCs w:val="24"/>
          <w:highlight w:val="none"/>
          <w:lang w:eastAsia="zh-CN"/>
        </w:rPr>
        <w:t>ZJKP2024YW162G-1</w:t>
      </w:r>
    </w:p>
    <w:p>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2、采购内容：</w:t>
      </w:r>
      <w:r>
        <w:rPr>
          <w:rFonts w:hint="eastAsia" w:ascii="宋体" w:hAnsi="宋体" w:eastAsia="宋体" w:cs="宋体"/>
          <w:bCs/>
          <w:color w:val="auto"/>
          <w:sz w:val="24"/>
          <w:szCs w:val="24"/>
          <w:highlight w:val="none"/>
        </w:rPr>
        <w:t>义乌工商职业技术学院</w:t>
      </w:r>
      <w:r>
        <w:rPr>
          <w:rFonts w:hint="eastAsia" w:ascii="宋体" w:hAnsi="宋体" w:eastAsia="宋体" w:cs="宋体"/>
          <w:bCs/>
          <w:color w:val="auto"/>
          <w:sz w:val="24"/>
          <w:szCs w:val="24"/>
          <w:highlight w:val="none"/>
          <w:lang w:eastAsia="zh-CN"/>
        </w:rPr>
        <w:t>依山操场、体育馆大灯</w:t>
      </w: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w:t>
      </w:r>
    </w:p>
    <w:p>
      <w:pPr>
        <w:tabs>
          <w:tab w:val="left" w:pos="284"/>
          <w:tab w:val="left" w:pos="720"/>
          <w:tab w:val="left" w:pos="851"/>
        </w:tabs>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3、项目预算：</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万元</w:t>
      </w:r>
    </w:p>
    <w:p>
      <w:pPr>
        <w:tabs>
          <w:tab w:val="left" w:pos="284"/>
          <w:tab w:val="left" w:pos="720"/>
          <w:tab w:val="left" w:pos="851"/>
        </w:tabs>
        <w:spacing w:line="360" w:lineRule="auto"/>
        <w:ind w:firstLine="964" w:firstLineChars="400"/>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最高限价：</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万元</w:t>
      </w:r>
    </w:p>
    <w:p>
      <w:pPr>
        <w:tabs>
          <w:tab w:val="left" w:pos="284"/>
          <w:tab w:val="left" w:pos="720"/>
          <w:tab w:val="left" w:pos="851"/>
        </w:tabs>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4、采购需求：</w:t>
      </w:r>
    </w:p>
    <w:tbl>
      <w:tblPr>
        <w:tblStyle w:val="26"/>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008"/>
        <w:gridCol w:w="537"/>
        <w:gridCol w:w="538"/>
        <w:gridCol w:w="1211"/>
        <w:gridCol w:w="1217"/>
        <w:gridCol w:w="186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3"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序号</w:t>
            </w:r>
          </w:p>
        </w:tc>
        <w:tc>
          <w:tcPr>
            <w:tcW w:w="2008"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标项内容</w:t>
            </w:r>
          </w:p>
        </w:tc>
        <w:tc>
          <w:tcPr>
            <w:tcW w:w="537"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数量</w:t>
            </w:r>
          </w:p>
        </w:tc>
        <w:tc>
          <w:tcPr>
            <w:tcW w:w="538"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单位</w:t>
            </w:r>
          </w:p>
        </w:tc>
        <w:tc>
          <w:tcPr>
            <w:tcW w:w="1211"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预算金额</w:t>
            </w:r>
          </w:p>
        </w:tc>
        <w:tc>
          <w:tcPr>
            <w:tcW w:w="1217"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最高限价</w:t>
            </w:r>
          </w:p>
        </w:tc>
        <w:tc>
          <w:tcPr>
            <w:tcW w:w="1862"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简要规格描述</w:t>
            </w:r>
          </w:p>
        </w:tc>
        <w:tc>
          <w:tcPr>
            <w:tcW w:w="655"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23"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1</w:t>
            </w:r>
          </w:p>
        </w:tc>
        <w:tc>
          <w:tcPr>
            <w:tcW w:w="2008" w:type="dxa"/>
            <w:vAlign w:val="center"/>
          </w:tcPr>
          <w:p>
            <w:pPr>
              <w:pStyle w:val="12"/>
              <w:adjustRightInd w:val="0"/>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依山操场、体育馆大灯</w:t>
            </w:r>
          </w:p>
        </w:tc>
        <w:tc>
          <w:tcPr>
            <w:tcW w:w="537"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1</w:t>
            </w:r>
          </w:p>
        </w:tc>
        <w:tc>
          <w:tcPr>
            <w:tcW w:w="538" w:type="dxa"/>
            <w:vAlign w:val="center"/>
          </w:tcPr>
          <w:p>
            <w:pPr>
              <w:pStyle w:val="12"/>
              <w:adjustRightInd w:val="0"/>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批</w:t>
            </w:r>
          </w:p>
        </w:tc>
        <w:tc>
          <w:tcPr>
            <w:tcW w:w="1211" w:type="dxa"/>
            <w:vAlign w:val="center"/>
          </w:tcPr>
          <w:p>
            <w:pPr>
              <w:pStyle w:val="12"/>
              <w:adjustRightInd w:val="0"/>
              <w:jc w:val="center"/>
              <w:rPr>
                <w:rFonts w:hAnsi="宋体" w:cs="宋体"/>
                <w:color w:val="auto"/>
                <w:sz w:val="24"/>
                <w:szCs w:val="24"/>
                <w:highlight w:val="none"/>
              </w:rPr>
            </w:pPr>
            <w:r>
              <w:rPr>
                <w:rFonts w:hint="eastAsia" w:hAnsi="宋体" w:cs="宋体"/>
                <w:bCs/>
                <w:color w:val="auto"/>
                <w:sz w:val="24"/>
                <w:szCs w:val="24"/>
                <w:highlight w:val="none"/>
                <w:lang w:val="en-US" w:eastAsia="zh-CN"/>
              </w:rPr>
              <w:t>60</w:t>
            </w:r>
            <w:r>
              <w:rPr>
                <w:rFonts w:hint="eastAsia" w:hAnsi="宋体" w:cs="宋体"/>
                <w:color w:val="auto"/>
                <w:sz w:val="24"/>
                <w:szCs w:val="24"/>
                <w:highlight w:val="none"/>
              </w:rPr>
              <w:t>万元</w:t>
            </w:r>
          </w:p>
        </w:tc>
        <w:tc>
          <w:tcPr>
            <w:tcW w:w="1217" w:type="dxa"/>
            <w:vAlign w:val="center"/>
          </w:tcPr>
          <w:p>
            <w:pPr>
              <w:pStyle w:val="12"/>
              <w:adjustRightInd w:val="0"/>
              <w:jc w:val="center"/>
              <w:rPr>
                <w:rFonts w:hAnsi="宋体" w:cs="宋体"/>
                <w:color w:val="auto"/>
                <w:sz w:val="24"/>
                <w:szCs w:val="24"/>
                <w:highlight w:val="none"/>
              </w:rPr>
            </w:pPr>
            <w:r>
              <w:rPr>
                <w:rFonts w:hint="eastAsia" w:hAnsi="宋体" w:cs="宋体"/>
                <w:bCs/>
                <w:color w:val="auto"/>
                <w:sz w:val="24"/>
                <w:szCs w:val="24"/>
                <w:highlight w:val="none"/>
                <w:lang w:val="en-US" w:eastAsia="zh-CN"/>
              </w:rPr>
              <w:t>60</w:t>
            </w:r>
            <w:r>
              <w:rPr>
                <w:rFonts w:hint="eastAsia" w:hAnsi="宋体" w:cs="宋体"/>
                <w:color w:val="auto"/>
                <w:sz w:val="24"/>
                <w:szCs w:val="24"/>
                <w:highlight w:val="none"/>
              </w:rPr>
              <w:t>万元</w:t>
            </w:r>
          </w:p>
        </w:tc>
        <w:tc>
          <w:tcPr>
            <w:tcW w:w="1862" w:type="dxa"/>
            <w:vAlign w:val="center"/>
          </w:tcPr>
          <w:p>
            <w:pPr>
              <w:pStyle w:val="12"/>
              <w:adjustRightInd w:val="0"/>
              <w:jc w:val="center"/>
              <w:rPr>
                <w:rFonts w:hAnsi="宋体" w:cs="宋体"/>
                <w:color w:val="auto"/>
                <w:sz w:val="24"/>
                <w:szCs w:val="24"/>
                <w:highlight w:val="none"/>
              </w:rPr>
            </w:pPr>
            <w:r>
              <w:rPr>
                <w:rFonts w:hint="eastAsia" w:hAnsi="宋体" w:cs="宋体"/>
                <w:color w:val="auto"/>
                <w:sz w:val="24"/>
                <w:szCs w:val="24"/>
                <w:highlight w:val="none"/>
              </w:rPr>
              <w:t>详见《第三章招标项目要求》</w:t>
            </w:r>
          </w:p>
        </w:tc>
        <w:tc>
          <w:tcPr>
            <w:tcW w:w="655" w:type="dxa"/>
            <w:vAlign w:val="center"/>
          </w:tcPr>
          <w:p>
            <w:pPr>
              <w:pStyle w:val="12"/>
              <w:adjustRightInd w:val="0"/>
              <w:jc w:val="center"/>
              <w:rPr>
                <w:rFonts w:hAnsi="宋体" w:cs="宋体"/>
                <w:color w:val="auto"/>
                <w:sz w:val="24"/>
                <w:szCs w:val="24"/>
                <w:highlight w:val="none"/>
              </w:rPr>
            </w:pPr>
          </w:p>
        </w:tc>
      </w:tr>
    </w:tbl>
    <w:p>
      <w:pPr>
        <w:tabs>
          <w:tab w:val="left" w:pos="284"/>
          <w:tab w:val="left" w:pos="720"/>
          <w:tab w:val="left" w:pos="851"/>
        </w:tabs>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二、投标人的资格要求：</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1、符合《中华人民共和国政府采购法》第二十二条投标人应当具备的条件。</w:t>
      </w:r>
    </w:p>
    <w:p>
      <w:pPr>
        <w:pStyle w:val="12"/>
        <w:wordWrap w:val="0"/>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2、投标人自202</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年01月01日起到中标公告期结束前无行贿犯罪记录［评标结束后，发放中标通知书前由采购人通过中国裁判文书网（</w:t>
      </w:r>
      <w:r>
        <w:rPr>
          <w:rFonts w:hint="eastAsia" w:hAnsi="宋体" w:cs="宋体"/>
          <w:color w:val="auto"/>
          <w:sz w:val="24"/>
          <w:szCs w:val="24"/>
          <w:highlight w:val="none"/>
          <w:lang w:eastAsia="zh-CN"/>
        </w:rPr>
        <w:t>http:</w:t>
      </w:r>
      <w:r>
        <w:rPr>
          <w:rFonts w:hint="eastAsia" w:hAnsi="宋体" w:cs="宋体"/>
          <w:color w:val="auto"/>
          <w:sz w:val="24"/>
          <w:szCs w:val="24"/>
          <w:highlight w:val="none"/>
        </w:rPr>
        <w:t>//wenshu.court.gov.cn/）按照招标文件约定对拟中标（成交）单位及其拟派项目负责人的行贿犯罪记录进行查询，查询结果以网站页面显示内容为准］。</w:t>
      </w:r>
    </w:p>
    <w:p>
      <w:pPr>
        <w:pStyle w:val="6"/>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失信主体、政府采购严重违法失信行为记录名单的</w:t>
      </w:r>
      <w:r>
        <w:rPr>
          <w:rFonts w:hint="eastAsia" w:ascii="宋体" w:hAnsi="宋体" w:eastAsia="宋体" w:cs="宋体"/>
          <w:color w:val="auto"/>
          <w:sz w:val="24"/>
          <w:szCs w:val="24"/>
          <w:highlight w:val="none"/>
        </w:rPr>
        <w:t>。</w:t>
      </w:r>
    </w:p>
    <w:p>
      <w:pPr>
        <w:pStyle w:val="6"/>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lang w:eastAsia="zh-CN"/>
        </w:rPr>
        <w:t>落实政府采购政策需满足的资格要求：本项目专门面向中小企业采购，中小企业是指满足《政府采购促进中小企业发展管理办法》（财库〔2020〕46号）规定的企业，投标人属于依据国务院批准的中小企业划分标准确定的小型企业和微型企业，但与大企业的负责人为同一人，或者与大企业存在直接控股、管理关系的除外。</w:t>
      </w:r>
    </w:p>
    <w:p>
      <w:pPr>
        <w:pStyle w:val="6"/>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5、根据《浙江省公共信用信息管理条例》第二十六条的规定，未列入严重失信名单的（查询结果以开标当日网站页面显示为准）</w:t>
      </w:r>
      <w:r>
        <w:rPr>
          <w:rFonts w:hint="eastAsia" w:ascii="宋体" w:hAnsi="宋体" w:eastAsia="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不接受</w:t>
      </w:r>
      <w:r>
        <w:rPr>
          <w:rFonts w:hint="eastAsia" w:ascii="宋体" w:hAnsi="宋体" w:eastAsia="宋体" w:cs="宋体"/>
          <w:color w:val="auto"/>
          <w:sz w:val="24"/>
          <w:szCs w:val="24"/>
          <w:highlight w:val="none"/>
        </w:rPr>
        <w:t>联合体参与投标。</w:t>
      </w:r>
    </w:p>
    <w:p>
      <w:pPr>
        <w:spacing w:line="360" w:lineRule="auto"/>
        <w:rPr>
          <w:rFonts w:ascii="宋体" w:hAnsi="宋体" w:eastAsia="宋体" w:cs="宋体"/>
          <w:color w:val="auto"/>
          <w:sz w:val="24"/>
          <w:highlight w:val="none"/>
        </w:rPr>
      </w:pPr>
      <w:r>
        <w:rPr>
          <w:rFonts w:hint="eastAsia" w:ascii="宋体" w:hAnsi="宋体" w:eastAsia="宋体" w:cs="宋体"/>
          <w:b/>
          <w:color w:val="auto"/>
          <w:sz w:val="24"/>
          <w:highlight w:val="none"/>
        </w:rPr>
        <w:t>三、招标文件获取时间和方式：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1、时间：投标人可在采购文件公告期内获取采购文件，采购文件获取截止时间之后至投标截止前潜在投标人仍可获取招标文件，如对招标文件有疑问的，答疑时间按招标文件规定执行。获取招标文件：免费。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2、地点：浙江政府采购网（</w:t>
      </w:r>
      <w:r>
        <w:rPr>
          <w:rFonts w:hint="eastAsia" w:ascii="宋体" w:hAnsi="宋体" w:eastAsia="宋体" w:cs="宋体"/>
          <w:color w:val="auto"/>
          <w:sz w:val="24"/>
          <w:highlight w:val="none"/>
          <w:lang w:eastAsia="zh-CN"/>
        </w:rPr>
        <w:t>http:</w:t>
      </w:r>
      <w:r>
        <w:rPr>
          <w:rFonts w:hint="eastAsia" w:ascii="宋体" w:hAnsi="宋体" w:eastAsia="宋体" w:cs="宋体"/>
          <w:color w:val="auto"/>
          <w:sz w:val="24"/>
          <w:highlight w:val="none"/>
        </w:rPr>
        <w:t>//zfcg.czt.zj.gov.cn/）</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3、方式：投标人请在浙江政府采购网上登录并依照要求免费获取招标文件。</w:t>
      </w: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四、投标截止时间及地点：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1、提交投标文件截止时间：</w:t>
      </w:r>
      <w:r>
        <w:rPr>
          <w:rFonts w:hint="eastAsia" w:ascii="宋体" w:hAnsi="宋体" w:eastAsia="宋体" w:cs="宋体"/>
          <w:color w:val="auto"/>
          <w:sz w:val="24"/>
          <w:highlight w:val="none"/>
          <w:lang w:eastAsia="zh-CN"/>
        </w:rPr>
        <w:t>2024年9月26日09:30</w:t>
      </w:r>
      <w:r>
        <w:rPr>
          <w:rFonts w:hint="eastAsia" w:ascii="宋体" w:hAnsi="宋体" w:eastAsia="宋体" w:cs="宋体"/>
          <w:color w:val="auto"/>
          <w:sz w:val="24"/>
          <w:highlight w:val="none"/>
        </w:rPr>
        <w:t>（北京时间）。</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2、投标地点：登录政采云账号，并上传电子加密标书至“政采云”平台，</w:t>
      </w:r>
      <w:r>
        <w:rPr>
          <w:rFonts w:hint="eastAsia" w:ascii="宋体" w:hAnsi="宋体" w:eastAsia="宋体" w:cs="宋体"/>
          <w:b/>
          <w:color w:val="auto"/>
          <w:sz w:val="24"/>
          <w:highlight w:val="none"/>
        </w:rPr>
        <w:t>逾期或未上传成功的将导致无法投标或投标无效</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2024年9月26日09:30</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rPr>
        <w:t>开标地点</w:t>
      </w:r>
      <w:r>
        <w:rPr>
          <w:rFonts w:hint="eastAsia" w:ascii="宋体" w:hAnsi="宋体" w:eastAsia="宋体" w:cs="宋体"/>
          <w:color w:val="auto"/>
          <w:sz w:val="24"/>
          <w:highlight w:val="none"/>
        </w:rPr>
        <w:t>：义乌市望道路300号政务服务中心四楼电子开标室。</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rPr>
        <w:t>开标时间后1小时内（</w:t>
      </w:r>
      <w:r>
        <w:rPr>
          <w:rFonts w:hint="eastAsia" w:ascii="宋体" w:hAnsi="宋体" w:eastAsia="宋体" w:cs="宋体"/>
          <w:b/>
          <w:color w:val="auto"/>
          <w:sz w:val="24"/>
          <w:highlight w:val="none"/>
          <w:lang w:eastAsia="zh-CN"/>
        </w:rPr>
        <w:t>2024年9月26日10:30</w:t>
      </w:r>
      <w:r>
        <w:rPr>
          <w:rFonts w:hint="eastAsia" w:ascii="宋体" w:hAnsi="宋体" w:eastAsia="宋体" w:cs="宋体"/>
          <w:b/>
          <w:color w:val="auto"/>
          <w:sz w:val="24"/>
          <w:highlight w:val="none"/>
        </w:rPr>
        <w:t>前）投标人可以登录“政采云”平台，用“项目采购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开标评标”功能进行解密投标文件</w:t>
      </w:r>
      <w:r>
        <w:rPr>
          <w:rFonts w:hint="eastAsia" w:ascii="宋体" w:hAnsi="宋体" w:eastAsia="宋体" w:cs="宋体"/>
          <w:color w:val="auto"/>
          <w:sz w:val="24"/>
          <w:highlight w:val="none"/>
        </w:rPr>
        <w:t>。</w:t>
      </w:r>
    </w:p>
    <w:p>
      <w:pPr>
        <w:pStyle w:val="12"/>
        <w:wordWrap w:val="0"/>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备注：为确保采购项目顺利实施，避免因政采云上电子投标文件解密失败导致投标人投标无效，投标人可在</w:t>
      </w:r>
      <w:r>
        <w:rPr>
          <w:rFonts w:hint="eastAsia" w:hAnsi="宋体" w:cs="宋体"/>
          <w:color w:val="auto"/>
          <w:sz w:val="24"/>
          <w:szCs w:val="24"/>
          <w:highlight w:val="none"/>
          <w:lang w:eastAsia="zh-CN"/>
        </w:rPr>
        <w:t>2024年9月26日09:30</w:t>
      </w:r>
      <w:r>
        <w:rPr>
          <w:rFonts w:hint="eastAsia" w:hAnsi="宋体" w:cs="宋体"/>
          <w:color w:val="auto"/>
          <w:sz w:val="24"/>
          <w:szCs w:val="24"/>
          <w:highlight w:val="non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w:t>
      </w:r>
      <w:r>
        <w:rPr>
          <w:rFonts w:hint="eastAsia" w:hAnsi="宋体" w:cs="宋体"/>
          <w:color w:val="auto"/>
          <w:sz w:val="24"/>
          <w:szCs w:val="24"/>
          <w:highlight w:val="none"/>
          <w:lang w:eastAsia="zh-CN"/>
        </w:rPr>
        <w:t>09:30</w:t>
      </w:r>
      <w:r>
        <w:rPr>
          <w:rFonts w:hint="eastAsia" w:hAnsi="宋体" w:cs="宋体"/>
          <w:color w:val="auto"/>
          <w:sz w:val="24"/>
          <w:szCs w:val="24"/>
          <w:highlight w:val="none"/>
        </w:rPr>
        <w:t>-</w:t>
      </w:r>
      <w:r>
        <w:rPr>
          <w:rFonts w:hint="eastAsia" w:hAnsi="宋体" w:cs="宋体"/>
          <w:color w:val="auto"/>
          <w:sz w:val="24"/>
          <w:szCs w:val="24"/>
          <w:highlight w:val="none"/>
          <w:lang w:eastAsia="zh-CN"/>
        </w:rPr>
        <w:t>10:30</w:t>
      </w:r>
      <w:r>
        <w:rPr>
          <w:rFonts w:hint="eastAsia" w:hAnsi="宋体" w:cs="宋体"/>
          <w:color w:val="auto"/>
          <w:sz w:val="24"/>
          <w:szCs w:val="24"/>
          <w:highlight w:val="none"/>
        </w:rPr>
        <w:t>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hAnsi="宋体" w:cs="宋体"/>
          <w:color w:val="auto"/>
          <w:sz w:val="24"/>
          <w:szCs w:val="24"/>
          <w:highlight w:val="none"/>
          <w:lang w:eastAsia="zh-CN"/>
        </w:rPr>
        <w:t>2024年9月26日09:30</w:t>
      </w:r>
      <w:r>
        <w:rPr>
          <w:rFonts w:hint="eastAsia" w:hAnsi="宋体" w:cs="宋体"/>
          <w:color w:val="auto"/>
          <w:sz w:val="24"/>
          <w:szCs w:val="24"/>
          <w:highlight w:val="none"/>
        </w:rPr>
        <w:t>前）及要求提供有效备份文件，同时政采云上投标文件解密失败的，将导致投标无效。</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投标人无需在开标当天，到达开标现场对电子投标文件进行解密。</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五、公告期限：</w:t>
      </w:r>
      <w:r>
        <w:rPr>
          <w:rFonts w:hint="eastAsia" w:ascii="宋体" w:hAnsi="宋体" w:eastAsia="宋体" w:cs="宋体"/>
          <w:color w:val="auto"/>
          <w:sz w:val="24"/>
          <w:highlight w:val="none"/>
        </w:rPr>
        <w:t>自本公告发布之日起至第6个工作日24时。</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pStyle w:val="12"/>
        <w:wordWrap w:val="0"/>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w:t>
      </w:r>
      <w:r>
        <w:rPr>
          <w:rFonts w:hint="eastAsia" w:hAnsi="宋体" w:cs="宋体"/>
          <w:color w:val="auto"/>
          <w:sz w:val="24"/>
          <w:szCs w:val="24"/>
          <w:highlight w:val="none"/>
          <w:lang w:eastAsia="zh-CN"/>
        </w:rPr>
        <w:t>http:</w:t>
      </w:r>
      <w:r>
        <w:rPr>
          <w:rFonts w:hint="eastAsia" w:hAnsi="宋体" w:cs="宋体"/>
          <w:color w:val="auto"/>
          <w:sz w:val="24"/>
          <w:szCs w:val="24"/>
          <w:highlight w:val="none"/>
        </w:rPr>
        <w:t>//zfcg.czt.zj.gov.cn/）上统一以公告的形式发布，投标人在投标截止时间前应充分关注该网上发布的信息，如因投标人未及时关注网上发布的信息而导致的一切投标后果由投标人自行承担。</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2、投标保证金：无</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3、投标与开标注意事项：</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①本项目实行网上投标，获取文件后投标人即可参投，投标人在投标截止时间之前上传电子投标文件。投标人参与投标，需自行承担投标一切费用。</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标前准备：各投标人应在开标前确保成为浙江省政府采购网正式注册入库投标人，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投标人自行承担。</w:t>
      </w:r>
    </w:p>
    <w:p>
      <w:pPr>
        <w:pStyle w:val="12"/>
        <w:wordWrap w:val="0"/>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③投标文件制作：投标人通过“政采云”平台电子投标工具制作投标文件，电子投标工具请投标人自行前往浙江省政府采购网下载并安装，投标文件制作具体流程详见“政采云投标人项目采购</w:t>
      </w:r>
      <w:r>
        <w:rPr>
          <w:rFonts w:hint="eastAsia" w:hAnsi="宋体" w:cs="宋体"/>
          <w:color w:val="auto"/>
          <w:sz w:val="24"/>
          <w:szCs w:val="24"/>
          <w:highlight w:val="none"/>
          <w:lang w:eastAsia="zh-CN"/>
        </w:rPr>
        <w:t>－</w:t>
      </w:r>
      <w:r>
        <w:rPr>
          <w:rFonts w:hint="eastAsia" w:hAnsi="宋体" w:cs="宋体"/>
          <w:color w:val="auto"/>
          <w:sz w:val="24"/>
          <w:szCs w:val="24"/>
          <w:highlight w:val="none"/>
        </w:rPr>
        <w:t>电子招投标操作指南”（请投标人登录政采云平台政府采购电子卖场后，点击链接</w:t>
      </w:r>
      <w:r>
        <w:rPr>
          <w:rFonts w:hint="eastAsia" w:hAnsi="宋体" w:cs="宋体"/>
          <w:color w:val="auto"/>
          <w:sz w:val="24"/>
          <w:szCs w:val="24"/>
          <w:highlight w:val="none"/>
          <w:lang w:eastAsia="zh-CN"/>
        </w:rPr>
        <w:t>https:</w:t>
      </w:r>
      <w:r>
        <w:rPr>
          <w:rFonts w:hint="eastAsia" w:hAnsi="宋体" w:cs="宋体"/>
          <w:color w:val="auto"/>
          <w:sz w:val="24"/>
          <w:szCs w:val="24"/>
          <w:highlight w:val="none"/>
        </w:rPr>
        <w:t>//service.zcygov.cn/▲/knowledges/CW1EtGwBFdiHxlNd6I3m/6IMVAG0BFdiHxlNdQ8Na）以获取最新操作指南。</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4、资格审查：本项目无需报名，投标人可直接参投。投标人资格采用资格后审方式由评标委员会进行审查。</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七、对本次招标提出询问、质疑、投诉，请按以下方式联系：</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1、采购人信息</w:t>
      </w:r>
    </w:p>
    <w:p>
      <w:pPr>
        <w:pStyle w:val="12"/>
        <w:spacing w:line="360" w:lineRule="auto"/>
        <w:ind w:firstLine="480" w:firstLineChars="200"/>
        <w:rPr>
          <w:rFonts w:hAnsi="宋体" w:cs="宋体"/>
          <w:color w:val="auto"/>
          <w:kern w:val="0"/>
          <w:sz w:val="24"/>
          <w:highlight w:val="none"/>
        </w:rPr>
      </w:pPr>
      <w:r>
        <w:rPr>
          <w:rFonts w:hint="eastAsia" w:hAnsi="宋体" w:cs="宋体"/>
          <w:color w:val="auto"/>
          <w:sz w:val="24"/>
          <w:szCs w:val="24"/>
          <w:highlight w:val="none"/>
        </w:rPr>
        <w:t>名    称</w:t>
      </w:r>
      <w:r>
        <w:rPr>
          <w:rFonts w:hint="eastAsia" w:hAnsi="宋体" w:cs="宋体"/>
          <w:color w:val="auto"/>
          <w:sz w:val="24"/>
          <w:highlight w:val="none"/>
        </w:rPr>
        <w:t>：</w:t>
      </w:r>
      <w:r>
        <w:rPr>
          <w:rFonts w:hint="eastAsia" w:hAnsi="宋体" w:cs="宋体"/>
          <w:color w:val="auto"/>
          <w:kern w:val="0"/>
          <w:sz w:val="24"/>
          <w:highlight w:val="none"/>
        </w:rPr>
        <w:t xml:space="preserve">义乌工商职业技术学院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    址：义乌市江东街道学院路2号</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项目联系人：杨旭峰</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项目联系方式：13957918060</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质疑联系人：尤天炜</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质疑联系方式：0579-83803702</w:t>
      </w:r>
    </w:p>
    <w:p>
      <w:pPr>
        <w:spacing w:line="360" w:lineRule="auto"/>
        <w:rPr>
          <w:rFonts w:ascii="宋体" w:hAnsi="宋体" w:eastAsia="宋体" w:cs="宋体"/>
          <w:color w:val="auto"/>
          <w:sz w:val="24"/>
          <w:highlight w:val="none"/>
          <w:u w:val="single"/>
        </w:rPr>
      </w:pP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2、采购代理机构信息</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名    称：浙江开平企业管理咨询有限公司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地    址：义乌市雪峰西路968号科创园科技大楼B区4楼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传    真： 0579-85321521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项目联系人（询问）：徐玲英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项目联系方式（询问）：0579-85328516、85317081 </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质疑联系人：赵棋明</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质疑联系方式：0579-85317081</w:t>
      </w:r>
    </w:p>
    <w:p>
      <w:pPr>
        <w:spacing w:line="360" w:lineRule="auto"/>
        <w:ind w:firstLine="482" w:firstLineChars="200"/>
        <w:rPr>
          <w:rFonts w:ascii="宋体" w:hAnsi="宋体" w:eastAsia="宋体" w:cs="宋体"/>
          <w:b/>
          <w:color w:val="auto"/>
          <w:sz w:val="24"/>
          <w:highlight w:val="none"/>
        </w:rPr>
      </w:pP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3、同级政府采购监督管理部门</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名  称：义乌市财政局</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  址：义乌市望道路300号5楼</w:t>
      </w:r>
    </w:p>
    <w:p>
      <w:pPr>
        <w:pStyle w:val="12"/>
        <w:adjustRightIn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联系人 ：</w:t>
      </w:r>
      <w:r>
        <w:rPr>
          <w:rFonts w:hint="eastAsia" w:hAnsi="宋体" w:cs="宋体"/>
          <w:color w:val="auto"/>
          <w:sz w:val="24"/>
          <w:szCs w:val="24"/>
          <w:highlight w:val="none"/>
          <w:lang w:eastAsia="zh-CN"/>
        </w:rPr>
        <w:t>王</w:t>
      </w:r>
      <w:r>
        <w:rPr>
          <w:rFonts w:hint="eastAsia" w:hAnsi="宋体" w:cs="宋体"/>
          <w:color w:val="auto"/>
          <w:sz w:val="24"/>
          <w:szCs w:val="24"/>
          <w:highlight w:val="none"/>
        </w:rPr>
        <w:t>女士</w:t>
      </w:r>
    </w:p>
    <w:p>
      <w:pPr>
        <w:pStyle w:val="12"/>
        <w:adjustRightInd w:val="0"/>
        <w:spacing w:line="360" w:lineRule="auto"/>
        <w:ind w:firstLine="480" w:firstLineChars="200"/>
        <w:rPr>
          <w:rFonts w:hint="default" w:hAnsi="宋体" w:eastAsia="宋体" w:cs="宋体"/>
          <w:color w:val="auto"/>
          <w:sz w:val="24"/>
          <w:highlight w:val="none"/>
          <w:lang w:val="en-US" w:eastAsia="zh-CN"/>
        </w:rPr>
      </w:pPr>
      <w:r>
        <w:rPr>
          <w:rFonts w:hint="eastAsia" w:hAnsi="宋体" w:cs="宋体"/>
          <w:color w:val="auto"/>
          <w:sz w:val="24"/>
          <w:szCs w:val="24"/>
          <w:highlight w:val="none"/>
        </w:rPr>
        <w:t>监督投诉电话：0579—899150</w:t>
      </w:r>
      <w:r>
        <w:rPr>
          <w:rFonts w:hint="eastAsia" w:hAnsi="宋体" w:cs="宋体"/>
          <w:color w:val="auto"/>
          <w:sz w:val="24"/>
          <w:szCs w:val="24"/>
          <w:highlight w:val="none"/>
          <w:lang w:val="en-US" w:eastAsia="zh-CN"/>
        </w:rPr>
        <w:t>66</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ind w:firstLine="1807" w:firstLineChars="500"/>
        <w:outlineLvl w:val="0"/>
        <w:rPr>
          <w:rFonts w:ascii="宋体" w:hAnsi="宋体" w:eastAsia="宋体" w:cs="宋体"/>
          <w:b/>
          <w:bCs/>
          <w:color w:val="auto"/>
          <w:sz w:val="36"/>
          <w:highlight w:val="none"/>
        </w:rPr>
      </w:pPr>
      <w:r>
        <w:rPr>
          <w:rFonts w:hint="eastAsia" w:ascii="宋体" w:hAnsi="宋体" w:eastAsia="宋体" w:cs="宋体"/>
          <w:b/>
          <w:bCs/>
          <w:color w:val="auto"/>
          <w:sz w:val="36"/>
          <w:highlight w:val="none"/>
        </w:rPr>
        <w:t>第二章　投标须知和投标须知前附表</w:t>
      </w:r>
    </w:p>
    <w:p>
      <w:pPr>
        <w:spacing w:line="360" w:lineRule="auto"/>
        <w:ind w:firstLine="602" w:firstLineChars="200"/>
        <w:jc w:val="center"/>
        <w:outlineLvl w:val="1"/>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投标须知前附表</w:t>
      </w:r>
    </w:p>
    <w:tbl>
      <w:tblPr>
        <w:tblStyle w:val="2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3"/>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230" w:type="dxa"/>
            <w:gridSpan w:val="2"/>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义乌工商职业技术学院</w:t>
            </w:r>
            <w:r>
              <w:rPr>
                <w:rFonts w:hint="eastAsia" w:ascii="宋体" w:hAnsi="宋体" w:eastAsia="宋体" w:cs="宋体"/>
                <w:color w:val="auto"/>
                <w:sz w:val="24"/>
                <w:highlight w:val="none"/>
                <w:lang w:eastAsia="zh-CN"/>
              </w:rPr>
              <w:t>依山操场、体育馆大灯</w:t>
            </w:r>
            <w:r>
              <w:rPr>
                <w:rFonts w:hint="eastAsia" w:ascii="宋体" w:hAnsi="宋体" w:eastAsia="宋体" w:cs="宋体"/>
                <w:color w:val="auto"/>
                <w:sz w:val="24"/>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招标方式</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投标单位资格要求</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szCs w:val="24"/>
                <w:highlight w:val="none"/>
              </w:rPr>
              <w:t>供货期限</w:t>
            </w:r>
          </w:p>
        </w:tc>
        <w:tc>
          <w:tcPr>
            <w:tcW w:w="7507" w:type="dxa"/>
            <w:vAlign w:val="center"/>
          </w:tcPr>
          <w:p>
            <w:pPr>
              <w:autoSpaceDE w:val="0"/>
              <w:autoSpaceDN w:val="0"/>
              <w:adjustRightInd w:val="0"/>
              <w:rPr>
                <w:rFonts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lang w:eastAsia="zh-CN"/>
              </w:rPr>
              <w:t>按采购人要求</w:t>
            </w:r>
            <w:r>
              <w:rPr>
                <w:rFonts w:hint="eastAsia" w:ascii="Times New Roman" w:hAnsi="Times New Roman" w:eastAsia="宋体" w:cs="Times New Roman"/>
                <w:color w:val="auto"/>
                <w:sz w:val="24"/>
                <w:szCs w:val="24"/>
                <w:highlight w:val="none"/>
              </w:rPr>
              <w:t>完成供货及安装调试</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招标文件发售时间和地点</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现场踏勘时间</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采购方不统一组织投标人前往项目实施场地踏勘，根据项目实际投标需求，投标人可自行前往项目实施场地进行现场踏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招标答疑截止时间</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 xml:space="preserve">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文件是招标文件的组成部分，无论是招标方根据需要主动对招标文件进行必要澄清，或是根据投标人的要求对招标文件做出澄清，招标方的答疑内容（招标文件内容如有需修改的）和澄清文件均会在浙江省政府采购网（ </w:t>
            </w:r>
            <w:r>
              <w:rPr>
                <w:rFonts w:hint="eastAsia" w:ascii="宋体" w:hAnsi="宋体" w:eastAsia="宋体" w:cs="宋体"/>
                <w:color w:val="auto"/>
                <w:sz w:val="24"/>
                <w:highlight w:val="none"/>
                <w:lang w:eastAsia="zh-CN"/>
              </w:rPr>
              <w:t>http:</w:t>
            </w:r>
            <w:r>
              <w:rPr>
                <w:rFonts w:hint="eastAsia" w:ascii="宋体" w:hAnsi="宋体" w:eastAsia="宋体" w:cs="宋体"/>
                <w:color w:val="auto"/>
                <w:sz w:val="24"/>
                <w:highlight w:val="none"/>
              </w:rPr>
              <w:t>//zfcg.czt.zj.gov.cn/）上统一以公告的形式发布，投标人在投标截止时间前应充分关注该网上发布的信息，如因投标人未及时关注网上发布的信息而导致的一切投标后果由投标人自行承担。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1723"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是否允许采购进口产品</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不允许进口产品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1723"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不接受</w:t>
            </w:r>
            <w:r>
              <w:rPr>
                <w:rFonts w:hint="eastAsia" w:ascii="宋体" w:hAnsi="宋体" w:eastAsia="宋体" w:cs="宋体"/>
                <w:color w:val="auto"/>
                <w:sz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上传电子投标文件时间</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b/>
                <w:color w:val="auto"/>
                <w:sz w:val="24"/>
                <w:highlight w:val="none"/>
              </w:rPr>
              <w:t>投标人应于</w:t>
            </w:r>
            <w:r>
              <w:rPr>
                <w:rFonts w:hint="eastAsia" w:ascii="宋体" w:hAnsi="宋体" w:eastAsia="宋体" w:cs="宋体"/>
                <w:b/>
                <w:color w:val="auto"/>
                <w:sz w:val="24"/>
                <w:highlight w:val="none"/>
                <w:lang w:eastAsia="zh-CN"/>
              </w:rPr>
              <w:t>2024年9月26日09:30</w:t>
            </w:r>
            <w:r>
              <w:rPr>
                <w:rFonts w:hint="eastAsia" w:ascii="宋体" w:hAnsi="宋体" w:eastAsia="宋体" w:cs="宋体"/>
                <w:b/>
                <w:color w:val="auto"/>
                <w:sz w:val="24"/>
                <w:highlight w:val="none"/>
              </w:rPr>
              <w:t>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7507" w:type="dxa"/>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eastAsia="宋体" w:cs="宋体"/>
                <w:color w:val="auto"/>
                <w:sz w:val="24"/>
                <w:highlight w:val="none"/>
                <w:lang w:eastAsia="zh-CN"/>
              </w:rPr>
              <w:t>2024年9月26日09:30</w:t>
            </w:r>
          </w:p>
          <w:p>
            <w:pPr>
              <w:rPr>
                <w:rFonts w:ascii="宋体" w:hAnsi="宋体" w:eastAsia="宋体" w:cs="宋体"/>
                <w:color w:val="auto"/>
                <w:sz w:val="24"/>
                <w:highlight w:val="none"/>
              </w:rPr>
            </w:pPr>
            <w:r>
              <w:rPr>
                <w:rFonts w:hint="eastAsia" w:ascii="宋体" w:hAnsi="宋体" w:eastAsia="宋体" w:cs="宋体"/>
                <w:color w:val="auto"/>
                <w:sz w:val="24"/>
                <w:highlight w:val="none"/>
              </w:rPr>
              <w:t>开标地点：义乌市望道路300号义乌市政务服务中心大楼4楼电子开标室</w:t>
            </w:r>
          </w:p>
          <w:p>
            <w:pPr>
              <w:rPr>
                <w:rFonts w:ascii="宋体" w:hAnsi="宋体" w:eastAsia="宋体" w:cs="宋体"/>
                <w:b/>
                <w:color w:val="auto"/>
                <w:sz w:val="24"/>
                <w:highlight w:val="none"/>
              </w:rPr>
            </w:pPr>
            <w:r>
              <w:rPr>
                <w:rFonts w:hint="eastAsia" w:ascii="宋体" w:hAnsi="宋体" w:eastAsia="宋体" w:cs="宋体"/>
                <w:b/>
                <w:color w:val="auto"/>
                <w:sz w:val="24"/>
                <w:highlight w:val="none"/>
              </w:rPr>
              <w:t>开标时间后1小时内（</w:t>
            </w:r>
            <w:r>
              <w:rPr>
                <w:rFonts w:hint="eastAsia" w:ascii="宋体" w:hAnsi="宋体" w:eastAsia="宋体" w:cs="宋体"/>
                <w:b/>
                <w:color w:val="auto"/>
                <w:sz w:val="24"/>
                <w:highlight w:val="none"/>
                <w:lang w:eastAsia="zh-CN"/>
              </w:rPr>
              <w:t>2024年9月26日10:30</w:t>
            </w:r>
            <w:r>
              <w:rPr>
                <w:rFonts w:hint="eastAsia" w:ascii="宋体" w:hAnsi="宋体" w:eastAsia="宋体" w:cs="宋体"/>
                <w:b/>
                <w:color w:val="auto"/>
                <w:sz w:val="24"/>
                <w:highlight w:val="none"/>
              </w:rPr>
              <w:t>前）投标人可以登录“政采云”平台，用“项目采购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开标评标”功能进行解密投标文件。若投标人在规定时间内无法解密或解密失败，将导致投标无效或失败。</w:t>
            </w:r>
          </w:p>
          <w:p>
            <w:pPr>
              <w:pStyle w:val="12"/>
              <w:adjustRightInd w:val="0"/>
              <w:rPr>
                <w:rFonts w:hAnsi="宋体" w:cs="宋体"/>
                <w:color w:val="auto"/>
                <w:kern w:val="0"/>
                <w:sz w:val="24"/>
                <w:szCs w:val="24"/>
                <w:highlight w:val="none"/>
                <w:u w:val="single"/>
              </w:rPr>
            </w:pPr>
            <w:r>
              <w:rPr>
                <w:rFonts w:hint="eastAsia" w:hAnsi="宋体" w:cs="宋体"/>
                <w:color w:val="auto"/>
                <w:kern w:val="0"/>
                <w:sz w:val="24"/>
                <w:szCs w:val="24"/>
                <w:highlight w:val="none"/>
                <w:u w:val="single"/>
              </w:rPr>
              <w:t>备注：为确保采购项目顺利实施，避免因政采云上电子投标文件解密失败导致投标人投标无效，投标人可在</w:t>
            </w:r>
            <w:r>
              <w:rPr>
                <w:rFonts w:hint="eastAsia" w:hAnsi="宋体" w:cs="宋体"/>
                <w:color w:val="auto"/>
                <w:kern w:val="0"/>
                <w:sz w:val="24"/>
                <w:szCs w:val="24"/>
                <w:highlight w:val="none"/>
                <w:u w:val="single"/>
                <w:lang w:eastAsia="zh-CN"/>
              </w:rPr>
              <w:t>2024年9月26日09:30</w:t>
            </w:r>
            <w:r>
              <w:rPr>
                <w:rFonts w:hint="eastAsia" w:hAnsi="宋体" w:cs="宋体"/>
                <w:color w:val="auto"/>
                <w:kern w:val="0"/>
                <w:sz w:val="24"/>
                <w:szCs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w:t>
            </w:r>
            <w:r>
              <w:rPr>
                <w:rFonts w:hint="eastAsia" w:hAnsi="宋体" w:cs="宋体"/>
                <w:color w:val="auto"/>
                <w:kern w:val="0"/>
                <w:sz w:val="24"/>
                <w:szCs w:val="24"/>
                <w:highlight w:val="none"/>
                <w:u w:val="single"/>
                <w:lang w:eastAsia="zh-CN"/>
              </w:rPr>
              <w:t>09:30</w:t>
            </w:r>
            <w:r>
              <w:rPr>
                <w:rFonts w:hint="eastAsia" w:hAnsi="宋体" w:cs="宋体"/>
                <w:color w:val="auto"/>
                <w:kern w:val="0"/>
                <w:sz w:val="24"/>
                <w:szCs w:val="24"/>
                <w:highlight w:val="none"/>
                <w:u w:val="single"/>
              </w:rPr>
              <w:t>-</w:t>
            </w:r>
            <w:r>
              <w:rPr>
                <w:rFonts w:hint="eastAsia" w:hAnsi="宋体" w:cs="宋体"/>
                <w:color w:val="auto"/>
                <w:kern w:val="0"/>
                <w:sz w:val="24"/>
                <w:szCs w:val="24"/>
                <w:highlight w:val="none"/>
                <w:u w:val="single"/>
                <w:lang w:eastAsia="zh-CN"/>
              </w:rPr>
              <w:t>10:30</w:t>
            </w:r>
            <w:r>
              <w:rPr>
                <w:rFonts w:hint="eastAsia" w:hAnsi="宋体" w:cs="宋体"/>
                <w:color w:val="auto"/>
                <w:kern w:val="0"/>
                <w:sz w:val="24"/>
                <w:szCs w:val="24"/>
                <w:highlight w:val="none"/>
                <w:u w:val="single"/>
              </w:rPr>
              <w:t>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hAnsi="宋体" w:cs="宋体"/>
                <w:color w:val="auto"/>
                <w:kern w:val="0"/>
                <w:sz w:val="24"/>
                <w:szCs w:val="24"/>
                <w:highlight w:val="none"/>
                <w:u w:val="single"/>
                <w:lang w:eastAsia="zh-CN"/>
              </w:rPr>
              <w:t>2024年9月26日09:30</w:t>
            </w:r>
            <w:r>
              <w:rPr>
                <w:rFonts w:hint="eastAsia" w:hAnsi="宋体" w:cs="宋体"/>
                <w:color w:val="auto"/>
                <w:kern w:val="0"/>
                <w:sz w:val="24"/>
                <w:szCs w:val="24"/>
                <w:highlight w:val="none"/>
                <w:u w:val="single"/>
              </w:rPr>
              <w:t>前）及要求提供有效备份文件，同时政采云上投标文件解密失败的，将导致投标无效。</w:t>
            </w:r>
          </w:p>
          <w:p>
            <w:pPr>
              <w:pStyle w:val="12"/>
              <w:adjustRightInd w:val="0"/>
              <w:ind w:firstLine="482" w:firstLineChars="200"/>
              <w:rPr>
                <w:rFonts w:hAnsi="宋体" w:cs="宋体"/>
                <w:color w:val="auto"/>
                <w:sz w:val="24"/>
                <w:highlight w:val="none"/>
              </w:rPr>
            </w:pPr>
            <w:r>
              <w:rPr>
                <w:rFonts w:hint="eastAsia" w:hAnsi="宋体" w:cs="宋体"/>
                <w:b/>
                <w:color w:val="auto"/>
                <w:kern w:val="0"/>
                <w:sz w:val="24"/>
                <w:szCs w:val="24"/>
                <w:highlight w:val="none"/>
                <w:u w:val="single"/>
              </w:rPr>
              <w:t>投标人无需在开标当天到达开标现场对电子投标进行解密，可在公司办公场地在规定时间内对电子投标文件进行解密。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7507" w:type="dxa"/>
            <w:vAlign w:val="center"/>
          </w:tcPr>
          <w:p>
            <w:pPr>
              <w:pStyle w:val="12"/>
              <w:ind w:firstLine="480" w:firstLineChars="200"/>
              <w:rPr>
                <w:rFonts w:hAnsi="宋体" w:cs="宋体"/>
                <w:color w:val="auto"/>
                <w:sz w:val="24"/>
                <w:szCs w:val="24"/>
                <w:highlight w:val="none"/>
              </w:rPr>
            </w:pPr>
            <w:r>
              <w:rPr>
                <w:rFonts w:hint="eastAsia" w:hAnsi="宋体" w:cs="宋体"/>
                <w:color w:val="auto"/>
                <w:sz w:val="24"/>
                <w:szCs w:val="24"/>
                <w:highlight w:val="none"/>
              </w:rPr>
              <w:t>在合同生效以及具备实施条件后7个工作日内，采购人向中标人支付合同总价的40%作为预付款，项目整体验收合格并收到中标方正规发票后7个工作日内一次性付清，货款凭发票，合同、采购验收单由采购人支付。</w:t>
            </w:r>
          </w:p>
          <w:p>
            <w:pPr>
              <w:pStyle w:val="12"/>
              <w:ind w:firstLine="480" w:firstLineChars="200"/>
              <w:rPr>
                <w:rFonts w:hAnsi="宋体" w:cs="宋体"/>
                <w:color w:val="auto"/>
                <w:sz w:val="24"/>
                <w:highlight w:val="none"/>
              </w:rPr>
            </w:pPr>
            <w:r>
              <w:rPr>
                <w:rFonts w:hint="eastAsia" w:hAnsi="宋体" w:cs="宋体"/>
                <w:color w:val="auto"/>
                <w:sz w:val="24"/>
                <w:szCs w:val="24"/>
                <w:highlight w:val="none"/>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507" w:type="dxa"/>
            <w:vAlign w:val="center"/>
          </w:tcPr>
          <w:p>
            <w:pPr>
              <w:numPr>
                <w:ilvl w:val="255"/>
                <w:numId w:val="0"/>
              </w:numPr>
              <w:rPr>
                <w:rFonts w:ascii="宋体" w:hAnsi="宋体" w:eastAsia="宋体" w:cs="宋体"/>
                <w:bCs/>
                <w:color w:val="auto"/>
                <w:sz w:val="24"/>
                <w:highlight w:val="none"/>
              </w:rPr>
            </w:pPr>
            <w:r>
              <w:rPr>
                <w:rFonts w:hint="eastAsia" w:ascii="宋体" w:hAnsi="宋体" w:eastAsia="宋体" w:cs="宋体"/>
                <w:bCs/>
                <w:color w:val="auto"/>
                <w:sz w:val="24"/>
                <w:highlight w:val="none"/>
              </w:rPr>
              <w:t>（1）本项目设有最高限价，投标报价超过最高限价的，其投标均为无效标。</w:t>
            </w:r>
          </w:p>
          <w:p>
            <w:pPr>
              <w:widowControl/>
              <w:numPr>
                <w:ilvl w:val="255"/>
                <w:numId w:val="0"/>
              </w:numPr>
              <w:rPr>
                <w:rFonts w:ascii="宋体" w:hAnsi="宋体" w:eastAsia="宋体" w:cs="宋体"/>
                <w:color w:val="auto"/>
                <w:highlight w:val="none"/>
              </w:rPr>
            </w:pPr>
            <w:r>
              <w:rPr>
                <w:rFonts w:hint="eastAsia" w:ascii="宋体" w:hAnsi="宋体" w:eastAsia="宋体" w:cs="宋体"/>
                <w:color w:val="auto"/>
                <w:sz w:val="24"/>
                <w:highlight w:val="none"/>
              </w:rPr>
              <w:t>（2）招标文件中要求投标人在制作投标文件时，提供的复印件必须根据评审细则对评审的内容复印完整、清晰可辨，否则在评审时以最不利于投标人原则评审。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w:t>
            </w:r>
          </w:p>
        </w:tc>
        <w:tc>
          <w:tcPr>
            <w:tcW w:w="1723" w:type="dxa"/>
            <w:vAlign w:val="center"/>
          </w:tcPr>
          <w:p>
            <w:pPr>
              <w:ind w:firstLine="240" w:firstLineChars="100"/>
              <w:jc w:val="left"/>
              <w:rPr>
                <w:rFonts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7507" w:type="dxa"/>
            <w:vAlign w:val="center"/>
          </w:tcPr>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失信主体、政府采购严重违法失信行为记录名单的。</w:t>
            </w:r>
          </w:p>
          <w:p>
            <w:pPr>
              <w:pStyle w:val="33"/>
              <w:spacing w:line="240" w:lineRule="auto"/>
              <w:rPr>
                <w:rFonts w:ascii="宋体" w:hAnsi="宋体" w:eastAsia="宋体" w:cs="宋体"/>
                <w:color w:val="auto"/>
                <w:highlight w:val="none"/>
              </w:rPr>
            </w:pPr>
            <w:r>
              <w:rPr>
                <w:rFonts w:hint="eastAsia" w:ascii="宋体" w:hAnsi="宋体" w:eastAsia="宋体" w:cs="宋体"/>
                <w:color w:val="auto"/>
                <w:highlight w:val="none"/>
                <w:lang w:val="en-US"/>
              </w:rPr>
              <w:t>根据《浙江省公共信用信息管理条例》第二十六条的规定，未列入严重失信名单的（查询结果以开标当日网站页面显示为准）。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19</w:t>
            </w:r>
          </w:p>
        </w:tc>
        <w:tc>
          <w:tcPr>
            <w:tcW w:w="1723" w:type="dxa"/>
            <w:vAlign w:val="center"/>
          </w:tcPr>
          <w:p>
            <w:pPr>
              <w:wordWrap w:val="0"/>
              <w:jc w:val="left"/>
              <w:rPr>
                <w:rFonts w:ascii="宋体" w:hAnsi="宋体" w:eastAsia="宋体" w:cs="宋体"/>
                <w:color w:val="auto"/>
                <w:sz w:val="24"/>
                <w:highlight w:val="none"/>
              </w:rPr>
            </w:pPr>
            <w:r>
              <w:rPr>
                <w:rFonts w:hint="eastAsia" w:ascii="宋体" w:hAnsi="宋体" w:eastAsia="宋体" w:cs="宋体"/>
                <w:color w:val="auto"/>
                <w:sz w:val="24"/>
                <w:highlight w:val="none"/>
              </w:rPr>
              <w:t>政府采购节能环保产品</w:t>
            </w:r>
          </w:p>
        </w:tc>
        <w:tc>
          <w:tcPr>
            <w:tcW w:w="7507" w:type="dxa"/>
            <w:vAlign w:val="center"/>
          </w:tcPr>
          <w:p>
            <w:pPr>
              <w:widowControl/>
              <w:wordWrap w:val="0"/>
              <w:jc w:val="left"/>
              <w:rPr>
                <w:rFonts w:ascii="宋体" w:hAnsi="宋体" w:eastAsia="宋体" w:cs="宋体"/>
                <w:color w:val="auto"/>
                <w:sz w:val="24"/>
                <w:highlight w:val="none"/>
              </w:rPr>
            </w:pPr>
            <w:r>
              <w:rPr>
                <w:rFonts w:hint="eastAsia" w:ascii="宋体" w:hAnsi="宋体" w:eastAsia="宋体" w:cs="宋体"/>
                <w:color w:val="auto"/>
                <w:sz w:val="24"/>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w:t>
            </w:r>
            <w:r>
              <w:rPr>
                <w:rFonts w:hint="eastAsia" w:ascii="宋体" w:hAnsi="宋体" w:eastAsia="宋体" w:cs="宋体"/>
                <w:color w:val="auto"/>
                <w:sz w:val="24"/>
                <w:highlight w:val="none"/>
                <w:lang w:eastAsia="zh-CN"/>
              </w:rPr>
              <w:t>http:</w:t>
            </w:r>
            <w:r>
              <w:rPr>
                <w:rFonts w:hint="eastAsia" w:ascii="宋体" w:hAnsi="宋体" w:eastAsia="宋体" w:cs="宋体"/>
                <w:color w:val="auto"/>
                <w:sz w:val="24"/>
                <w:highlight w:val="none"/>
              </w:rPr>
              <w:t>//www.ccgp.gov.cn/search/jnqdchaxun.htm）或环保清单查询目录（</w:t>
            </w:r>
            <w:r>
              <w:rPr>
                <w:rFonts w:hint="eastAsia" w:ascii="宋体" w:hAnsi="宋体" w:eastAsia="宋体" w:cs="宋体"/>
                <w:color w:val="auto"/>
                <w:sz w:val="24"/>
                <w:highlight w:val="none"/>
                <w:lang w:eastAsia="zh-CN"/>
              </w:rPr>
              <w:t>http:</w:t>
            </w:r>
            <w:r>
              <w:rPr>
                <w:rFonts w:hint="eastAsia" w:ascii="宋体" w:hAnsi="宋体" w:eastAsia="宋体" w:cs="宋体"/>
                <w:color w:val="auto"/>
                <w:sz w:val="24"/>
                <w:highlight w:val="none"/>
              </w:rPr>
              <w:t>//www.ccgp.gov.cn/search/hbqdchaxun.htm）中可查询到。</w:t>
            </w:r>
          </w:p>
          <w:p>
            <w:pPr>
              <w:wordWrap w:val="0"/>
              <w:jc w:val="left"/>
              <w:rPr>
                <w:rFonts w:ascii="宋体" w:hAnsi="宋体" w:eastAsia="宋体" w:cs="宋体"/>
                <w:color w:val="auto"/>
                <w:sz w:val="24"/>
                <w:highlight w:val="none"/>
              </w:rPr>
            </w:pPr>
            <w:r>
              <w:rPr>
                <w:rFonts w:hint="eastAsia" w:ascii="宋体" w:hAnsi="宋体" w:eastAsia="宋体" w:cs="宋体"/>
                <w:color w:val="auto"/>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20</w:t>
            </w:r>
          </w:p>
        </w:tc>
        <w:tc>
          <w:tcPr>
            <w:tcW w:w="1723" w:type="dxa"/>
            <w:vAlign w:val="center"/>
          </w:tcPr>
          <w:p>
            <w:pPr>
              <w:keepNext w:val="0"/>
              <w:keepLines w:val="0"/>
              <w:pageBreakBefore w:val="0"/>
              <w:kinsoku/>
              <w:wordWrap/>
              <w:overflowPunct/>
              <w:topLinePunct w:val="0"/>
              <w:autoSpaceDE/>
              <w:autoSpaceDN/>
              <w:bidi w:val="0"/>
              <w:snapToGrid/>
              <w:spacing w:line="240" w:lineRule="auto"/>
              <w:jc w:val="left"/>
              <w:textAlignment w:val="auto"/>
              <w:rPr>
                <w:rFonts w:ascii="宋体" w:hAnsi="宋体" w:eastAsia="宋体" w:cs="宋体"/>
                <w:color w:val="auto"/>
                <w:sz w:val="24"/>
                <w:highlight w:val="none"/>
              </w:rPr>
            </w:pPr>
            <w:r>
              <w:rPr>
                <w:rFonts w:hint="eastAsia" w:ascii="宋体" w:hAnsi="宋体" w:eastAsia="宋体" w:cs="宋体"/>
                <w:color w:val="auto"/>
                <w:sz w:val="24"/>
                <w:szCs w:val="24"/>
                <w:highlight w:val="none"/>
              </w:rPr>
              <w:t>中小企业优惠措施</w:t>
            </w:r>
          </w:p>
        </w:tc>
        <w:tc>
          <w:tcPr>
            <w:tcW w:w="7507" w:type="dxa"/>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（1）本项目所属行业：</w:t>
            </w:r>
            <w:r>
              <w:rPr>
                <w:rFonts w:hint="eastAsia" w:ascii="宋体" w:hAnsi="宋体" w:eastAsia="宋体" w:cs="宋体"/>
                <w:color w:val="auto"/>
                <w:sz w:val="24"/>
                <w:szCs w:val="24"/>
                <w:highlight w:val="none"/>
                <w:lang w:eastAsia="zh-CN"/>
              </w:rPr>
              <w:t>工业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（2）本项目属于预留份额专门面向中小企业采购的项目。</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（3）根据财库[2020]46号《政府采购促进中小企业发展管理办法》</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财库[2022]19号《关于进一步加大政府采购支持中小企业力度的通知》的相关规定，预留份额专门面向小微企业采购的采购项目或采购标段，享受小微企业扶持政策的投标人应当在投标文件中提供《</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财库[2014]68号的相关规定，在政府采购活动中，监狱企业视同小型、微型企业，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napToGrid/>
              <w:spacing w:line="240" w:lineRule="auto"/>
              <w:jc w:val="left"/>
              <w:textAlignment w:val="auto"/>
              <w:rPr>
                <w:rFonts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1723" w:type="dxa"/>
            <w:vAlign w:val="center"/>
          </w:tcPr>
          <w:p>
            <w:pPr>
              <w:jc w:val="left"/>
              <w:rPr>
                <w:rFonts w:ascii="宋体" w:hAnsi="宋体" w:eastAsia="宋体" w:cs="宋体"/>
                <w:color w:val="auto"/>
                <w:sz w:val="24"/>
                <w:highlight w:val="none"/>
              </w:rPr>
            </w:pPr>
            <w:r>
              <w:rPr>
                <w:rFonts w:hint="eastAsia" w:ascii="宋体" w:hAnsi="宋体" w:eastAsia="宋体" w:cs="宋体"/>
                <w:color w:val="auto"/>
                <w:sz w:val="24"/>
                <w:highlight w:val="none"/>
              </w:rPr>
              <w:t>信用融资</w:t>
            </w:r>
          </w:p>
        </w:tc>
        <w:tc>
          <w:tcPr>
            <w:tcW w:w="7507" w:type="dxa"/>
            <w:vAlign w:val="center"/>
          </w:tcPr>
          <w:p>
            <w:pPr>
              <w:jc w:val="left"/>
              <w:rPr>
                <w:rFonts w:ascii="宋体" w:hAnsi="宋体" w:eastAsia="宋体" w:cs="宋体"/>
                <w:color w:val="auto"/>
                <w:sz w:val="24"/>
                <w:highlight w:val="none"/>
              </w:rPr>
            </w:pPr>
            <w:r>
              <w:rPr>
                <w:rFonts w:hint="eastAsia" w:ascii="宋体" w:hAnsi="宋体" w:eastAsia="宋体" w:cs="宋体"/>
                <w:color w:val="auto"/>
                <w:sz w:val="24"/>
                <w:highlight w:val="none"/>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1723"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失信行为处理</w:t>
            </w:r>
          </w:p>
        </w:tc>
        <w:tc>
          <w:tcPr>
            <w:tcW w:w="7507" w:type="dxa"/>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投标人发生下列情况之一时，除严格依法依规进行处理外，还将通报市信用管理部门，列入严重失信名单：</w:t>
            </w:r>
          </w:p>
          <w:p>
            <w:pPr>
              <w:rPr>
                <w:rFonts w:ascii="宋体" w:hAnsi="宋体" w:eastAsia="宋体" w:cs="宋体"/>
                <w:color w:val="auto"/>
                <w:sz w:val="24"/>
                <w:highlight w:val="none"/>
              </w:rPr>
            </w:pPr>
            <w:r>
              <w:rPr>
                <w:rFonts w:hint="eastAsia" w:ascii="宋体" w:hAnsi="宋体" w:eastAsia="宋体" w:cs="宋体"/>
                <w:color w:val="auto"/>
                <w:sz w:val="24"/>
                <w:highlight w:val="none"/>
              </w:rPr>
              <w:t>（1）投标人在规定的投标有效期内撤回投标或放弃中标的；</w:t>
            </w:r>
          </w:p>
          <w:p>
            <w:pPr>
              <w:rPr>
                <w:rFonts w:ascii="宋体" w:hAnsi="宋体" w:eastAsia="宋体" w:cs="宋体"/>
                <w:color w:val="auto"/>
                <w:sz w:val="24"/>
                <w:highlight w:val="none"/>
              </w:rPr>
            </w:pPr>
            <w:r>
              <w:rPr>
                <w:rFonts w:hint="eastAsia" w:ascii="宋体" w:hAnsi="宋体" w:eastAsia="宋体" w:cs="宋体"/>
                <w:color w:val="auto"/>
                <w:sz w:val="24"/>
                <w:highlight w:val="none"/>
              </w:rPr>
              <w:t>（2）有意串标或提供虚假材料者的；</w:t>
            </w:r>
          </w:p>
          <w:p>
            <w:pPr>
              <w:rPr>
                <w:rFonts w:ascii="宋体" w:hAnsi="宋体" w:eastAsia="宋体" w:cs="宋体"/>
                <w:color w:val="auto"/>
                <w:sz w:val="24"/>
                <w:highlight w:val="none"/>
              </w:rPr>
            </w:pPr>
            <w:r>
              <w:rPr>
                <w:rFonts w:hint="eastAsia" w:ascii="宋体" w:hAnsi="宋体" w:eastAsia="宋体" w:cs="宋体"/>
                <w:color w:val="auto"/>
                <w:sz w:val="24"/>
                <w:highlight w:val="none"/>
              </w:rPr>
              <w:t>（3）中标人在收到中标通知书后，因自身原因不能在投标有效期内和采购人签订合同。</w:t>
            </w:r>
          </w:p>
          <w:p>
            <w:pPr>
              <w:rPr>
                <w:rFonts w:ascii="宋体" w:hAnsi="宋体" w:eastAsia="宋体" w:cs="宋体"/>
                <w:color w:val="auto"/>
                <w:sz w:val="24"/>
                <w:highlight w:val="none"/>
              </w:rPr>
            </w:pPr>
            <w:r>
              <w:rPr>
                <w:rFonts w:hint="eastAsia" w:ascii="宋体" w:hAnsi="宋体" w:eastAsia="宋体" w:cs="宋体"/>
                <w:color w:val="auto"/>
                <w:sz w:val="24"/>
                <w:highlight w:val="none"/>
              </w:rPr>
              <w:t>（4）中标人未在规定时间缴纳招标代理费的。</w:t>
            </w:r>
          </w:p>
          <w:p>
            <w:pPr>
              <w:rPr>
                <w:rFonts w:ascii="宋体" w:hAnsi="宋体" w:eastAsia="宋体" w:cs="宋体"/>
                <w:color w:val="auto"/>
                <w:sz w:val="24"/>
                <w:highlight w:val="none"/>
              </w:rPr>
            </w:pPr>
            <w:r>
              <w:rPr>
                <w:rFonts w:hint="eastAsia" w:ascii="宋体" w:hAnsi="宋体" w:eastAsia="宋体" w:cs="宋体"/>
                <w:color w:val="auto"/>
                <w:sz w:val="24"/>
                <w:highlight w:val="none"/>
              </w:rPr>
              <w:t>（5）中标投标人在标后履约过程中未按合同约定的期限和要求履约的。</w:t>
            </w:r>
          </w:p>
          <w:p>
            <w:pPr>
              <w:rPr>
                <w:rFonts w:ascii="宋体" w:hAnsi="宋体" w:eastAsia="宋体" w:cs="宋体"/>
                <w:color w:val="auto"/>
                <w:sz w:val="24"/>
                <w:highlight w:val="none"/>
              </w:rPr>
            </w:pPr>
            <w:r>
              <w:rPr>
                <w:rFonts w:hint="eastAsia" w:ascii="宋体" w:hAnsi="宋体" w:eastAsia="宋体" w:cs="宋体"/>
                <w:color w:val="auto"/>
                <w:sz w:val="24"/>
                <w:highlight w:val="none"/>
              </w:rPr>
              <w:t>（6）因中标投标人原因在标后履约过程中擅自终止合同的。</w:t>
            </w: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t>（7）不符合招标文件要求的其他失信行为。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1723" w:type="dxa"/>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其他采购政策</w:t>
            </w:r>
          </w:p>
        </w:tc>
        <w:tc>
          <w:tcPr>
            <w:tcW w:w="7507" w:type="dxa"/>
            <w:vAlign w:val="center"/>
          </w:tcPr>
          <w:p>
            <w:pP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rPr>
              <w:t>投标产品为省级以上主管部门认定的首台套产品（装备）、首批次新材料、首版次软件，自纳入《省推广应用指导目录》起三年内参加政府采购活动，视同已具备相应销售业绩，业绩分为满分。提供相关的材料。</w:t>
            </w:r>
          </w:p>
        </w:tc>
      </w:tr>
    </w:tbl>
    <w:p>
      <w:pPr>
        <w:pStyle w:val="33"/>
        <w:ind w:firstLine="0" w:firstLineChars="0"/>
        <w:rPr>
          <w:rFonts w:ascii="宋体" w:hAnsi="宋体" w:eastAsia="宋体" w:cs="宋体"/>
          <w:color w:val="auto"/>
          <w:highlight w:val="none"/>
        </w:rPr>
      </w:pPr>
      <w:r>
        <w:rPr>
          <w:rFonts w:hint="eastAsia" w:ascii="宋体" w:hAnsi="宋体" w:eastAsia="宋体" w:cs="宋体"/>
          <w:color w:val="auto"/>
          <w:highlight w:val="none"/>
        </w:rPr>
        <w:t>注：投标人须知前附表内容与本招标文件后述内容不一致的，以投标须知前附表为准。</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ind w:firstLine="723" w:firstLineChars="200"/>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投标须知</w:t>
      </w:r>
    </w:p>
    <w:p>
      <w:pPr>
        <w:pStyle w:val="5"/>
        <w:wordWrap w:val="0"/>
        <w:spacing w:before="0" w:after="0" w:line="360" w:lineRule="auto"/>
        <w:rPr>
          <w:rFonts w:ascii="宋体" w:hAnsi="宋体" w:eastAsia="宋体" w:cs="宋体"/>
          <w:color w:val="auto"/>
          <w:sz w:val="24"/>
          <w:szCs w:val="24"/>
          <w:highlight w:val="none"/>
        </w:rPr>
      </w:pPr>
      <w:bookmarkStart w:id="2" w:name="_Toc274303229"/>
      <w:bookmarkStart w:id="3" w:name="_Toc362250687"/>
      <w:r>
        <w:rPr>
          <w:rFonts w:hint="eastAsia" w:ascii="宋体" w:hAnsi="宋体" w:eastAsia="宋体" w:cs="宋体"/>
          <w:color w:val="auto"/>
          <w:sz w:val="24"/>
          <w:szCs w:val="24"/>
          <w:highlight w:val="none"/>
        </w:rPr>
        <w:t>一、说明</w:t>
      </w:r>
      <w:bookmarkEnd w:id="2"/>
      <w:bookmarkEnd w:id="3"/>
    </w:p>
    <w:p>
      <w:pPr>
        <w:pStyle w:val="2"/>
        <w:wordWrap w:val="0"/>
        <w:spacing w:line="360" w:lineRule="auto"/>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1、适用范围</w:t>
      </w:r>
    </w:p>
    <w:p>
      <w:pPr>
        <w:pStyle w:val="2"/>
        <w:wordWrap w:val="0"/>
        <w:spacing w:line="360" w:lineRule="auto"/>
        <w:ind w:firstLine="48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1.1 本招标文件仅适用于本次招标采购所叙述的货物和服务项目。</w:t>
      </w:r>
    </w:p>
    <w:p>
      <w:pPr>
        <w:pStyle w:val="2"/>
        <w:wordWrap w:val="0"/>
        <w:spacing w:line="360" w:lineRule="auto"/>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2、定义</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2.1采购人：系指义乌工商职业技术学院。</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2.2招标代理机构：系指浙江开平企业管理咨询有限公司。</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2.3投标人：系指符合采购公告要求的投标供应商。</w:t>
      </w:r>
    </w:p>
    <w:p>
      <w:pPr>
        <w:pStyle w:val="2"/>
        <w:wordWrap w:val="0"/>
        <w:spacing w:line="360" w:lineRule="auto"/>
        <w:ind w:firstLine="48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2.4服务：</w:t>
      </w:r>
      <w:r>
        <w:rPr>
          <w:rFonts w:hint="eastAsia" w:ascii="宋体" w:hAnsi="宋体" w:eastAsia="宋体" w:cs="宋体"/>
          <w:b/>
          <w:bCs/>
          <w:color w:val="auto"/>
          <w:kern w:val="0"/>
          <w:szCs w:val="24"/>
          <w:highlight w:val="none"/>
        </w:rPr>
        <w:t>系指</w:t>
      </w:r>
      <w:r>
        <w:rPr>
          <w:rFonts w:hint="eastAsia" w:ascii="宋体" w:hAnsi="宋体" w:eastAsia="宋体" w:cs="宋体"/>
          <w:b/>
          <w:color w:val="auto"/>
          <w:szCs w:val="24"/>
          <w:highlight w:val="none"/>
        </w:rPr>
        <w:t>招标文件规定投标人须承担的劳务</w:t>
      </w:r>
      <w:r>
        <w:rPr>
          <w:rFonts w:hint="eastAsia" w:ascii="宋体" w:hAnsi="宋体" w:eastAsia="宋体" w:cs="宋体"/>
          <w:b/>
          <w:color w:val="auto"/>
          <w:szCs w:val="24"/>
          <w:highlight w:val="none"/>
          <w:lang w:eastAsia="zh-CN"/>
        </w:rPr>
        <w:t>及其他</w:t>
      </w:r>
      <w:r>
        <w:rPr>
          <w:rFonts w:hint="eastAsia" w:ascii="宋体" w:hAnsi="宋体" w:eastAsia="宋体" w:cs="宋体"/>
          <w:b/>
          <w:color w:val="auto"/>
          <w:szCs w:val="24"/>
          <w:highlight w:val="none"/>
        </w:rPr>
        <w:t>类似的服务</w:t>
      </w:r>
      <w:r>
        <w:rPr>
          <w:rFonts w:hint="eastAsia" w:ascii="宋体" w:hAnsi="宋体" w:eastAsia="宋体" w:cs="宋体"/>
          <w:b/>
          <w:bCs/>
          <w:color w:val="auto"/>
          <w:szCs w:val="24"/>
          <w:highlight w:val="none"/>
        </w:rPr>
        <w:t>。</w:t>
      </w:r>
    </w:p>
    <w:p>
      <w:pPr>
        <w:pStyle w:val="14"/>
        <w:wordWrap w:val="0"/>
        <w:spacing w:after="0"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2.5货物：系指按招标文件规定投标人须向采购人提供的一切材料、货物、机械、仪器仪表、工具</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技术资料和文字材料。</w:t>
      </w:r>
    </w:p>
    <w:p>
      <w:pPr>
        <w:pStyle w:val="2"/>
        <w:wordWrap w:val="0"/>
        <w:spacing w:line="360" w:lineRule="auto"/>
        <w:ind w:firstLine="48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2.6</w:t>
      </w:r>
      <w:r>
        <w:rPr>
          <w:rFonts w:hint="eastAsia" w:ascii="宋体" w:hAnsi="宋体" w:eastAsia="宋体" w:cs="宋体"/>
          <w:b/>
          <w:color w:val="auto"/>
          <w:szCs w:val="24"/>
          <w:highlight w:val="none"/>
          <w:lang w:eastAsia="zh-CN"/>
        </w:rPr>
        <w:t>甲方</w:t>
      </w:r>
      <w:r>
        <w:rPr>
          <w:rFonts w:hint="eastAsia" w:ascii="宋体" w:hAnsi="宋体" w:eastAsia="宋体" w:cs="宋体"/>
          <w:b/>
          <w:color w:val="auto"/>
          <w:szCs w:val="24"/>
          <w:highlight w:val="none"/>
        </w:rPr>
        <w:t>：即采购人，在招投标阶段称为采购人，在签订和执行合同阶段称为</w:t>
      </w:r>
      <w:r>
        <w:rPr>
          <w:rFonts w:hint="eastAsia" w:ascii="宋体" w:hAnsi="宋体" w:eastAsia="宋体" w:cs="宋体"/>
          <w:b/>
          <w:color w:val="auto"/>
          <w:szCs w:val="24"/>
          <w:highlight w:val="none"/>
          <w:lang w:eastAsia="zh-CN"/>
        </w:rPr>
        <w:t>甲方</w:t>
      </w:r>
      <w:r>
        <w:rPr>
          <w:rFonts w:hint="eastAsia" w:ascii="宋体" w:hAnsi="宋体" w:eastAsia="宋体" w:cs="宋体"/>
          <w:b/>
          <w:color w:val="auto"/>
          <w:szCs w:val="24"/>
          <w:highlight w:val="none"/>
        </w:rPr>
        <w:t>。</w:t>
      </w:r>
    </w:p>
    <w:p>
      <w:pPr>
        <w:pStyle w:val="2"/>
        <w:wordWrap w:val="0"/>
        <w:spacing w:line="360" w:lineRule="auto"/>
        <w:ind w:firstLine="48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2.7</w:t>
      </w:r>
      <w:r>
        <w:rPr>
          <w:rFonts w:hint="eastAsia" w:ascii="宋体" w:hAnsi="宋体" w:eastAsia="宋体" w:cs="宋体"/>
          <w:b/>
          <w:color w:val="auto"/>
          <w:szCs w:val="24"/>
          <w:highlight w:val="none"/>
          <w:lang w:eastAsia="zh-CN"/>
        </w:rPr>
        <w:t>乙方</w:t>
      </w:r>
      <w:r>
        <w:rPr>
          <w:rFonts w:hint="eastAsia" w:ascii="宋体" w:hAnsi="宋体" w:eastAsia="宋体" w:cs="宋体"/>
          <w:b/>
          <w:color w:val="auto"/>
          <w:szCs w:val="24"/>
          <w:highlight w:val="none"/>
        </w:rPr>
        <w:t>：在招投标阶段称为投标人，中标后在签订和执行合同阶段称为</w:t>
      </w:r>
      <w:r>
        <w:rPr>
          <w:rFonts w:hint="eastAsia" w:ascii="宋体" w:hAnsi="宋体" w:eastAsia="宋体" w:cs="宋体"/>
          <w:b/>
          <w:color w:val="auto"/>
          <w:szCs w:val="24"/>
          <w:highlight w:val="none"/>
          <w:lang w:eastAsia="zh-CN"/>
        </w:rPr>
        <w:t>乙方</w:t>
      </w:r>
      <w:r>
        <w:rPr>
          <w:rFonts w:hint="eastAsia" w:ascii="宋体" w:hAnsi="宋体" w:eastAsia="宋体" w:cs="宋体"/>
          <w:b/>
          <w:color w:val="auto"/>
          <w:szCs w:val="24"/>
          <w:highlight w:val="none"/>
        </w:rPr>
        <w:t>。</w:t>
      </w:r>
    </w:p>
    <w:p>
      <w:pPr>
        <w:pStyle w:val="14"/>
        <w:wordWrap w:val="0"/>
        <w:spacing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2.8“原产地”是指货物开采、生长或生产，或提供有关服务的来源地。</w:t>
      </w:r>
    </w:p>
    <w:p>
      <w:pPr>
        <w:pStyle w:val="6"/>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2.9中小企业（含中型、小型、微型）：符合中小企业划分标准（工信部联企业〔2011〕300号）的企业。</w:t>
      </w:r>
    </w:p>
    <w:p>
      <w:pPr>
        <w:pStyle w:val="6"/>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6"/>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2.11残疾人福利性单位：符合《财政部、民政部、中国残疾人联合会关于促进残疾人就业政府采购政策的通知》（财库〔2017〕141号）的规定单位。</w:t>
      </w:r>
    </w:p>
    <w:p>
      <w:pPr>
        <w:pStyle w:val="6"/>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2.12“★”标记系指必须满足不能负偏离或必须应答的条款。</w:t>
      </w:r>
    </w:p>
    <w:p>
      <w:pPr>
        <w:pStyle w:val="2"/>
        <w:numPr>
          <w:ilvl w:val="0"/>
          <w:numId w:val="1"/>
        </w:numPr>
        <w:wordWrap w:val="0"/>
        <w:spacing w:line="360" w:lineRule="auto"/>
        <w:ind w:left="0" w:firstLine="480"/>
        <w:rPr>
          <w:rFonts w:ascii="宋体" w:hAnsi="宋体" w:eastAsia="宋体" w:cs="宋体"/>
          <w:color w:val="auto"/>
          <w:szCs w:val="24"/>
          <w:highlight w:val="none"/>
        </w:rPr>
      </w:pPr>
      <w:r>
        <w:rPr>
          <w:rFonts w:hint="eastAsia" w:ascii="宋体" w:hAnsi="宋体" w:eastAsia="宋体" w:cs="宋体"/>
          <w:color w:val="auto"/>
          <w:szCs w:val="24"/>
          <w:highlight w:val="none"/>
        </w:rPr>
        <w:t>合格的投标人</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3.1符合《中华人民共和国政府采购法》第二十二条投标人应当具备的条件；</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3.2投标人自202</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年01月01日起到中标公告期结束前无行贿犯罪记录［评标结束后，发放中标通知书前由采购人通过中国裁判文书网（</w:t>
      </w:r>
      <w:r>
        <w:rPr>
          <w:rFonts w:hint="eastAsia" w:hAnsi="宋体" w:cs="宋体"/>
          <w:color w:val="auto"/>
          <w:sz w:val="24"/>
          <w:szCs w:val="24"/>
          <w:highlight w:val="none"/>
          <w:lang w:eastAsia="zh-CN"/>
        </w:rPr>
        <w:t>http:</w:t>
      </w:r>
      <w:r>
        <w:rPr>
          <w:rFonts w:hint="eastAsia" w:hAnsi="宋体" w:cs="宋体"/>
          <w:color w:val="auto"/>
          <w:sz w:val="24"/>
          <w:szCs w:val="24"/>
          <w:highlight w:val="none"/>
        </w:rPr>
        <w:t>//wenshu.court.gov.cn/）按照招标文件约定对拟中标（成交）单位及其拟派项目负责人的行贿犯罪记录进行查询，查询结果以网站页面显示内容为准］；</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失信主体、政府采购严重违法失信行为记录名单的。</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3.4</w:t>
      </w:r>
      <w:r>
        <w:rPr>
          <w:rFonts w:hint="eastAsia" w:ascii="宋体" w:hAnsi="宋体" w:eastAsia="宋体" w:cs="宋体"/>
          <w:color w:val="auto"/>
          <w:kern w:val="0"/>
          <w:sz w:val="24"/>
          <w:highlight w:val="none"/>
        </w:rPr>
        <w:t>根据《浙江省公共信用信息管理条例》第二十六条的规定，未列入严重失信名单的（查询结果以开标当日网站页面显示为准）</w:t>
      </w:r>
      <w:r>
        <w:rPr>
          <w:rFonts w:hint="eastAsia" w:hAnsi="宋体" w:cs="宋体"/>
          <w:color w:val="auto"/>
          <w:sz w:val="24"/>
          <w:szCs w:val="24"/>
          <w:highlight w:val="none"/>
        </w:rPr>
        <w:t>。</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3.5获取招标文件的投标人，并不能被认定为投标人资格已合格。投标人的资格是否符合招标文件要求，以开标时审查结果为准。</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3.6符合采购公告中要求的条件。</w:t>
      </w:r>
    </w:p>
    <w:p>
      <w:pPr>
        <w:pStyle w:val="12"/>
        <w:wordWrap w:val="0"/>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4、保证</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4.1投标单位应保证所提交给招标机构和采购人的资料和数据是真实的。</w:t>
      </w:r>
    </w:p>
    <w:p>
      <w:pPr>
        <w:pStyle w:val="12"/>
        <w:wordWrap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5、招标投标费用</w:t>
      </w:r>
    </w:p>
    <w:p>
      <w:pPr>
        <w:pStyle w:val="12"/>
        <w:wordWrap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5.1不论投标过程中的做法和结果如何，投标人应承担所有与投标有关的全部费用。采购人和采购代理机构在任何情况下均无义务和责任承担上述这些费用。</w:t>
      </w:r>
    </w:p>
    <w:p>
      <w:pPr>
        <w:pStyle w:val="12"/>
        <w:wordWrap w:val="0"/>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b/>
          <w:color w:val="auto"/>
          <w:sz w:val="24"/>
          <w:szCs w:val="24"/>
          <w:highlight w:val="none"/>
          <w:lang w:eastAsia="zh-CN"/>
        </w:rPr>
        <w:t>现场勘查</w:t>
      </w:r>
      <w:r>
        <w:rPr>
          <w:rFonts w:hint="eastAsia" w:hAnsi="宋体" w:cs="宋体"/>
          <w:b/>
          <w:color w:val="auto"/>
          <w:sz w:val="24"/>
          <w:szCs w:val="24"/>
          <w:highlight w:val="none"/>
        </w:rPr>
        <w:t xml:space="preserve"> </w:t>
      </w:r>
    </w:p>
    <w:p>
      <w:pPr>
        <w:pStyle w:val="12"/>
        <w:wordWrap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6.1采购方不统一组织投标人前往项目实施场地踏勘，根据项目实际投标需求，投标人可自行前往项目实施场地进行现场踏勘，以获取编制投标文件所需资料，如投标人因未现场踏勘原因导致投标文件出现错误或遗漏的，由投标人自行承担责任。</w:t>
      </w:r>
    </w:p>
    <w:p>
      <w:pPr>
        <w:pStyle w:val="12"/>
        <w:wordWrap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6.2投标人在考察过程中发生的各类事件及所发生的各项费用，均由投标人自行承担。采购人和代理机构概不负责。</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6.3采购人向投标人提供的有关现场的数据和资料，是采购人现有的能被投标人利用的资料，采购人对投标人据此做出的任何推论、理解和结论不负责任。</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6.4现场踏勘完毕，将认为投标人</w:t>
      </w:r>
      <w:r>
        <w:rPr>
          <w:rFonts w:hint="eastAsia" w:ascii="宋体" w:hAnsi="宋体" w:eastAsia="宋体" w:cs="宋体"/>
          <w:color w:val="auto"/>
          <w:sz w:val="24"/>
          <w:szCs w:val="24"/>
          <w:highlight w:val="none"/>
          <w:lang w:eastAsia="zh-CN"/>
        </w:rPr>
        <w:t>已了解</w:t>
      </w:r>
      <w:r>
        <w:rPr>
          <w:rFonts w:hint="eastAsia" w:ascii="宋体" w:hAnsi="宋体" w:eastAsia="宋体" w:cs="宋体"/>
          <w:color w:val="auto"/>
          <w:sz w:val="24"/>
          <w:szCs w:val="24"/>
          <w:highlight w:val="none"/>
        </w:rPr>
        <w:t>现场情况，并充分理解了为之所承担的风险、义务和责任。</w:t>
      </w:r>
    </w:p>
    <w:p>
      <w:pPr>
        <w:spacing w:line="360" w:lineRule="auto"/>
        <w:ind w:firstLine="482" w:firstLineChars="200"/>
        <w:rPr>
          <w:rFonts w:ascii="宋体" w:hAnsi="宋体" w:eastAsia="宋体" w:cs="宋体"/>
          <w:b/>
          <w:color w:val="auto"/>
          <w:sz w:val="24"/>
          <w:szCs w:val="24"/>
          <w:highlight w:val="none"/>
        </w:rPr>
      </w:pPr>
      <w:bookmarkStart w:id="4" w:name="_Toc274303230"/>
      <w:bookmarkStart w:id="5" w:name="_Toc362250688"/>
      <w:r>
        <w:rPr>
          <w:rFonts w:hint="eastAsia" w:ascii="宋体" w:hAnsi="宋体" w:eastAsia="宋体" w:cs="宋体"/>
          <w:b/>
          <w:color w:val="auto"/>
          <w:sz w:val="24"/>
          <w:szCs w:val="24"/>
          <w:highlight w:val="none"/>
        </w:rPr>
        <w:t>7、转包、分包、联合体</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7.1本项目不接受转包、分包。</w:t>
      </w:r>
    </w:p>
    <w:p>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7.2本项目</w:t>
      </w:r>
      <w:r>
        <w:rPr>
          <w:rFonts w:hint="eastAsia" w:ascii="宋体" w:hAnsi="宋体" w:eastAsia="宋体" w:cs="宋体"/>
          <w:bCs/>
          <w:color w:val="auto"/>
          <w:sz w:val="24"/>
          <w:szCs w:val="24"/>
          <w:highlight w:val="none"/>
          <w:lang w:eastAsia="zh-CN"/>
        </w:rPr>
        <w:t>不接受</w:t>
      </w:r>
      <w:r>
        <w:rPr>
          <w:rFonts w:hint="eastAsia" w:ascii="宋体" w:hAnsi="宋体" w:eastAsia="宋体" w:cs="宋体"/>
          <w:bCs/>
          <w:color w:val="auto"/>
          <w:sz w:val="24"/>
          <w:szCs w:val="24"/>
          <w:highlight w:val="none"/>
        </w:rPr>
        <w:t>联合体投标。</w:t>
      </w:r>
    </w:p>
    <w:p>
      <w:pPr>
        <w:pStyle w:val="5"/>
        <w:wordWrap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bookmarkEnd w:id="4"/>
      <w:bookmarkEnd w:id="5"/>
    </w:p>
    <w:p>
      <w:pPr>
        <w:wordWrap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8、招标文件的组成</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8.1招标文件包括下列内容：</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采购公告</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投标须知和投标须知前附表</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招标项目要求</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开标、评标和定标</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投标文件的有效性</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评标办法</w:t>
      </w:r>
    </w:p>
    <w:p>
      <w:pPr>
        <w:wordWrap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合同主要条款</w:t>
      </w:r>
    </w:p>
    <w:p>
      <w:pPr>
        <w:wordWrap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投标文件部分格式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8.2除8.1内容外，采购人在提交投标文件截止时间前，以公告形式发出的对招标文件的澄清或修改内容，均为招标文件的组成部分，对采购人和投标人起约束作用。</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8.3上述所列8.1及8.2条内容均以公告内容为准，采购人（招标代理机构）的任何工作人员对投标人所作的任何口头解释、介绍、答复，对采购人和投标人无任何约束力。</w:t>
      </w:r>
    </w:p>
    <w:p>
      <w:pPr>
        <w:wordWrap w:val="0"/>
        <w:spacing w:line="360" w:lineRule="auto"/>
        <w:ind w:firstLine="480" w:firstLineChars="200"/>
        <w:rPr>
          <w:rFonts w:ascii="宋体" w:hAnsi="宋体" w:eastAsia="宋体" w:cs="宋体"/>
          <w:b/>
          <w:bCs/>
          <w:color w:val="auto"/>
          <w:sz w:val="24"/>
          <w:szCs w:val="24"/>
          <w:highlight w:val="none"/>
          <w:shd w:val="pct10" w:color="auto" w:fill="FFFFFF"/>
        </w:rPr>
      </w:pPr>
      <w:r>
        <w:rPr>
          <w:rFonts w:hint="eastAsia" w:ascii="宋体" w:hAnsi="宋体" w:eastAsia="宋体" w:cs="宋体"/>
          <w:color w:val="auto"/>
          <w:sz w:val="24"/>
          <w:szCs w:val="24"/>
          <w:highlight w:val="none"/>
        </w:rPr>
        <w:t>8.4</w:t>
      </w:r>
      <w:r>
        <w:rPr>
          <w:rFonts w:hint="eastAsia" w:ascii="宋体" w:hAnsi="宋体" w:eastAsia="宋体" w:cs="宋体"/>
          <w:b/>
          <w:bCs/>
          <w:color w:val="auto"/>
          <w:sz w:val="24"/>
          <w:szCs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33"/>
        <w:wordWrap w:val="0"/>
        <w:rPr>
          <w:rFonts w:ascii="宋体" w:hAnsi="宋体" w:eastAsia="宋体" w:cs="宋体"/>
          <w:color w:val="auto"/>
          <w:szCs w:val="24"/>
          <w:highlight w:val="none"/>
        </w:rPr>
      </w:pPr>
      <w:r>
        <w:rPr>
          <w:rFonts w:hint="eastAsia" w:ascii="宋体" w:hAnsi="宋体" w:eastAsia="宋体" w:cs="宋体"/>
          <w:color w:val="auto"/>
          <w:szCs w:val="24"/>
          <w:highlight w:val="none"/>
          <w:lang w:val="en-US"/>
        </w:rPr>
        <w:t>8</w:t>
      </w:r>
      <w:r>
        <w:rPr>
          <w:rFonts w:hint="eastAsia" w:ascii="宋体" w:hAnsi="宋体" w:eastAsia="宋体" w:cs="宋体"/>
          <w:color w:val="auto"/>
          <w:szCs w:val="24"/>
          <w:highlight w:val="none"/>
        </w:rPr>
        <w:t>.5招标方在政采云系统上设定的内容与招标文件的内容不一致的，以招标文件的内容为准。</w:t>
      </w:r>
    </w:p>
    <w:p>
      <w:pPr>
        <w:wordWrap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9、招标文件的澄清</w:t>
      </w:r>
    </w:p>
    <w:p>
      <w:pPr>
        <w:wordWrap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9.1投标人若对招标文件有任何疑问，应于前附表规定的时间以书面形式送（传真）至浙江开平企业管理咨询有限公司（义乌市雪峰西路968号科创园科技大楼B区4楼）向采购人和代理机构提出。</w:t>
      </w:r>
    </w:p>
    <w:p>
      <w:pPr>
        <w:wordWrap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9.2无论是采购方根据需要主动对招标文件进行必要澄清，或是根据投标人的要求对招标文件做出澄清，采购方的澄清文件会在浙江省政府采购网（</w:t>
      </w:r>
      <w:r>
        <w:rPr>
          <w:rFonts w:hint="eastAsia" w:ascii="宋体" w:hAnsi="宋体" w:eastAsia="宋体" w:cs="宋体"/>
          <w:color w:val="auto"/>
          <w:sz w:val="24"/>
          <w:szCs w:val="24"/>
          <w:highlight w:val="none"/>
        </w:rPr>
        <w:drawing>
          <wp:inline distT="0" distB="0" distL="114300" distR="114300">
            <wp:extent cx="190500" cy="144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4780"/>
                    </a:xfrm>
                    <a:prstGeom prst="rect">
                      <a:avLst/>
                    </a:prstGeom>
                    <a:noFill/>
                    <a:ln>
                      <a:noFill/>
                    </a:ln>
                  </pic:spPr>
                </pic:pic>
              </a:graphicData>
            </a:graphic>
          </wp:inline>
        </w:drawing>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z w:val="24"/>
          <w:szCs w:val="24"/>
          <w:highlight w:val="none"/>
        </w:rPr>
        <w:t>//zfcg.czt.zj.gov.cn/）上统一以公告的形式发布，同时政采云系统会向所有已按招标文件规定方式获取招标文件的潜在投标人发送更正提醒信息，潜在投标人请自行到浙江省政府采网上下载澄清（更正）文件，如因投标人未及时关注网上发布的信息而导致的一切投标后果由投标人自行承担。</w:t>
      </w:r>
    </w:p>
    <w:p>
      <w:pPr>
        <w:wordWrap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9.3投标人在前附表规定时间未提交疑问的，视作默认对本次招标过程中招标文件无异议，采购人对其提出的问题可以不作解释。</w:t>
      </w:r>
    </w:p>
    <w:p>
      <w:pPr>
        <w:wordWrap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9.4招标文件澄清、修改、补充等内容均以公告形式明确的内容为准。当招标文件、招标文件的澄清、修改、补充等在同一内容的表述上不一致时，以最后发出的公告文件为准。</w:t>
      </w:r>
    </w:p>
    <w:p>
      <w:pPr>
        <w:wordWrap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9.5采购人及招标代理机构工作人员向投标人所作的任何口头答复或电话通知一律无效。</w:t>
      </w:r>
    </w:p>
    <w:p>
      <w:pPr>
        <w:wordWrap w:val="0"/>
        <w:spacing w:line="360" w:lineRule="auto"/>
        <w:ind w:firstLine="480" w:firstLineChars="200"/>
        <w:textAlignment w:val="baseline"/>
        <w:rPr>
          <w:rFonts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eastAsia" w:ascii="宋体" w:hAnsi="宋体" w:eastAsia="宋体" w:cs="宋体"/>
          <w:color w:val="auto"/>
          <w:spacing w:val="-4"/>
          <w:sz w:val="24"/>
          <w:szCs w:val="24"/>
          <w:highlight w:val="none"/>
        </w:rPr>
        <w:t>。</w:t>
      </w:r>
    </w:p>
    <w:p>
      <w:pPr>
        <w:pStyle w:val="5"/>
        <w:wordWrap w:val="0"/>
        <w:spacing w:before="0" w:after="0" w:line="360" w:lineRule="auto"/>
        <w:rPr>
          <w:rFonts w:ascii="宋体" w:hAnsi="宋体" w:eastAsia="宋体" w:cs="宋体"/>
          <w:color w:val="auto"/>
          <w:sz w:val="24"/>
          <w:szCs w:val="24"/>
          <w:highlight w:val="none"/>
        </w:rPr>
      </w:pPr>
      <w:bookmarkStart w:id="6" w:name="_Toc274303231"/>
      <w:bookmarkStart w:id="7" w:name="_Toc362250689"/>
      <w:r>
        <w:rPr>
          <w:rFonts w:hint="eastAsia" w:ascii="宋体" w:hAnsi="宋体" w:eastAsia="宋体" w:cs="宋体"/>
          <w:color w:val="auto"/>
          <w:sz w:val="24"/>
          <w:szCs w:val="24"/>
          <w:highlight w:val="none"/>
        </w:rPr>
        <w:t>三、投标文件</w:t>
      </w:r>
      <w:bookmarkEnd w:id="6"/>
      <w:bookmarkEnd w:id="7"/>
    </w:p>
    <w:p>
      <w:pPr>
        <w:wordWrap w:val="0"/>
        <w:spacing w:line="360" w:lineRule="auto"/>
        <w:ind w:firstLine="48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bCs/>
          <w:color w:val="auto"/>
          <w:sz w:val="24"/>
          <w:szCs w:val="24"/>
          <w:highlight w:val="none"/>
        </w:rPr>
        <w:t>投标文件的语言及度量衡单位</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10.1投标文件和与投标有关的所有文件均应使用中文。</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10.2除工程规范另有规定外，投标文件使用的度量衡单位，均采用中华人民共和国法定计量单位。</w:t>
      </w:r>
    </w:p>
    <w:p>
      <w:pPr>
        <w:wordWrap w:val="0"/>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11、对投标文件的要求</w:t>
      </w:r>
    </w:p>
    <w:p>
      <w:pPr>
        <w:pStyle w:val="20"/>
        <w:wordWrap w:val="0"/>
        <w:spacing w:after="0" w:line="360" w:lineRule="auto"/>
        <w:jc w:val="left"/>
        <w:textAlignment w:val="baseline"/>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kern w:val="0"/>
          <w:sz w:val="24"/>
          <w:szCs w:val="24"/>
          <w:highlight w:val="none"/>
        </w:rPr>
        <w:t>11.1投标人应仔细阅读招标文件，了解招标文件的要求，在完全了解招标项目的要求后，编制投标文件。</w:t>
      </w:r>
    </w:p>
    <w:p>
      <w:pPr>
        <w:pStyle w:val="2"/>
        <w:wordWrap w:val="0"/>
        <w:spacing w:line="360" w:lineRule="auto"/>
        <w:ind w:firstLine="480" w:firstLineChars="200"/>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11.2编制投标文件时，投标人对招标文件中的各个要求须逐项逐条作出实质性回答，</w:t>
      </w:r>
      <w:r>
        <w:rPr>
          <w:rFonts w:hint="eastAsia" w:ascii="宋体" w:hAnsi="宋体" w:eastAsia="宋体" w:cs="宋体"/>
          <w:color w:val="auto"/>
          <w:szCs w:val="24"/>
          <w:highlight w:val="none"/>
        </w:rPr>
        <w:t>若有偏离的均应在规范偏离表中提出。</w:t>
      </w:r>
      <w:r>
        <w:rPr>
          <w:rFonts w:hint="eastAsia" w:ascii="宋体" w:hAnsi="宋体" w:eastAsia="宋体" w:cs="宋体"/>
          <w:color w:val="auto"/>
          <w:kern w:val="0"/>
          <w:szCs w:val="24"/>
          <w:highlight w:val="none"/>
        </w:rPr>
        <w:t>顺序编号清楚，可用描述性文字及说明材料（说明材料必须加盖电子签章）。</w:t>
      </w:r>
    </w:p>
    <w:p>
      <w:pPr>
        <w:wordWrap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在招标文件对商务技术要求中，投标人必须充分应答和满足用户的强制性的需求，如“★”等，否则将导致废标。</w:t>
      </w:r>
    </w:p>
    <w:p>
      <w:pPr>
        <w:wordWrap w:val="0"/>
        <w:spacing w:line="360" w:lineRule="auto"/>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bCs/>
          <w:color w:val="auto"/>
          <w:sz w:val="24"/>
          <w:szCs w:val="24"/>
          <w:highlight w:val="none"/>
        </w:rPr>
        <w:t>投标人应提供说明其拟提供的合格性及符合招标文件规定的文件，作为其投标文件的一部分。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11.5</w:t>
      </w:r>
      <w:r>
        <w:rPr>
          <w:rFonts w:hint="eastAsia" w:ascii="宋体" w:hAnsi="宋体" w:eastAsia="宋体" w:cs="宋体"/>
          <w:color w:val="auto"/>
          <w:sz w:val="24"/>
          <w:szCs w:val="24"/>
          <w:highlight w:val="none"/>
        </w:rPr>
        <w:t>编制的投标文件对招标文件中有关条款未提出异议的，均被视为接受和同意。</w:t>
      </w:r>
    </w:p>
    <w:p>
      <w:pPr>
        <w:wordWrap w:val="0"/>
        <w:spacing w:line="360" w:lineRule="auto"/>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12、投标文件的组成</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 招标文件中“投标文件部分格式”所列的内容、格式及其投标人认为有必要提供的其他文件。</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eastAsia" w:ascii="宋体" w:hAnsi="宋体" w:eastAsia="宋体" w:cs="宋体"/>
          <w:color w:val="auto"/>
          <w:sz w:val="24"/>
          <w:szCs w:val="24"/>
          <w:highlight w:val="none"/>
        </w:rPr>
        <w:t>。</w:t>
      </w:r>
    </w:p>
    <w:p>
      <w:pPr>
        <w:pStyle w:val="12"/>
        <w:wordWrap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12.3资格响应文件：应包括下列内容（并不仅限于以下）：（复印件需加盖电子签章，提供的所有证书应在有效期内，逾期的无效）</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（1）有效的营业执照复印件；</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（2）法定代表人资格申明书、法定代表人身份证复印件；</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（3）授权委托书、授权代表身份证复印件；（适用于授权代表参与投标会）</w:t>
      </w:r>
    </w:p>
    <w:p>
      <w:pPr>
        <w:pStyle w:val="12"/>
        <w:wordWrap w:val="0"/>
        <w:spacing w:line="360" w:lineRule="auto"/>
        <w:ind w:firstLine="475" w:firstLineChars="198"/>
        <w:rPr>
          <w:rFonts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rPr>
        <w:t>（4）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w:t>
      </w:r>
      <w:r>
        <w:rPr>
          <w:rFonts w:hint="eastAsia" w:hAnsi="宋体" w:cs="宋体"/>
          <w:color w:val="auto"/>
          <w:sz w:val="24"/>
          <w:szCs w:val="24"/>
          <w:highlight w:val="none"/>
          <w:lang w:eastAsia="zh-CN"/>
        </w:rPr>
        <w:t>，</w:t>
      </w:r>
      <w:r>
        <w:rPr>
          <w:rFonts w:hint="eastAsia" w:hAnsi="宋体" w:cs="宋体"/>
          <w:color w:val="auto"/>
          <w:sz w:val="24"/>
          <w:szCs w:val="24"/>
          <w:highlight w:val="none"/>
        </w:rPr>
        <w:t>填报企业规模类型。投标人也可在国务院客户端或工业和信息化部网站上，使用中小企业规模类型自测小程序识别企业规模类型。｝</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（5）省级及以上监狱管理局、戒毒管理局（含新疆生产建设兵团）出具的属于监狱企业的文件扫描件加盖电子签章（符合监狱企业有关政策的投标人需提供本项材料）；</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（6）残疾人福利性单位声明函（符合残疾人福利性单位有关政策的投标人需提供本项材料）</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（7）提供采购公告中符合投标人特定条件要求的有效的其他资质复印件并加盖公司公章及需要说明的资料。</w:t>
      </w:r>
    </w:p>
    <w:p>
      <w:pPr>
        <w:pStyle w:val="2"/>
        <w:wordWrap w:val="0"/>
        <w:spacing w:line="360" w:lineRule="auto"/>
        <w:ind w:firstLine="48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12.4商务技术响应文件：应包括下列内容（并不仅限于以下）：（复印件需加盖电子签章，提供的所有证书应在有效期内，逾期的无效）</w:t>
      </w:r>
    </w:p>
    <w:p>
      <w:pPr>
        <w:pStyle w:val="12"/>
        <w:numPr>
          <w:ilvl w:val="0"/>
          <w:numId w:val="2"/>
        </w:numPr>
        <w:wordWrap w:val="0"/>
        <w:spacing w:line="360" w:lineRule="auto"/>
        <w:rPr>
          <w:rFonts w:ascii="Times New Roman" w:hAnsi="Times New Roman"/>
          <w:color w:val="auto"/>
          <w:sz w:val="24"/>
          <w:highlight w:val="none"/>
        </w:rPr>
      </w:pPr>
      <w:r>
        <w:rPr>
          <w:rFonts w:hint="eastAsia" w:hAnsi="宋体" w:cs="宋体"/>
          <w:color w:val="auto"/>
          <w:sz w:val="24"/>
          <w:szCs w:val="24"/>
          <w:highlight w:val="none"/>
        </w:rPr>
        <w:t>投标单位情况介绍；</w:t>
      </w:r>
    </w:p>
    <w:p>
      <w:pPr>
        <w:pStyle w:val="12"/>
        <w:numPr>
          <w:ilvl w:val="0"/>
          <w:numId w:val="2"/>
        </w:numPr>
        <w:wordWrap w:val="0"/>
        <w:spacing w:line="360" w:lineRule="auto"/>
        <w:rPr>
          <w:rFonts w:ascii="Times New Roman" w:hAnsi="Times New Roman"/>
          <w:color w:val="auto"/>
          <w:sz w:val="24"/>
          <w:highlight w:val="none"/>
        </w:rPr>
      </w:pPr>
      <w:r>
        <w:rPr>
          <w:rFonts w:ascii="Times New Roman" w:hAnsi="Times New Roman"/>
          <w:color w:val="auto"/>
          <w:sz w:val="24"/>
          <w:highlight w:val="none"/>
        </w:rPr>
        <w:t>货物简要说明一览表。包括：拟投设备说明（包括产地、材质、性能指标等）；</w:t>
      </w:r>
    </w:p>
    <w:p>
      <w:pPr>
        <w:pStyle w:val="12"/>
        <w:numPr>
          <w:ilvl w:val="0"/>
          <w:numId w:val="2"/>
        </w:numPr>
        <w:wordWrap w:val="0"/>
        <w:spacing w:line="360" w:lineRule="auto"/>
        <w:rPr>
          <w:rFonts w:hAnsi="宋体" w:cs="宋体"/>
          <w:color w:val="auto"/>
          <w:sz w:val="24"/>
          <w:szCs w:val="24"/>
          <w:highlight w:val="none"/>
        </w:rPr>
      </w:pPr>
      <w:r>
        <w:rPr>
          <w:rFonts w:ascii="Times New Roman" w:hAnsi="Times New Roman"/>
          <w:color w:val="auto"/>
          <w:sz w:val="24"/>
          <w:highlight w:val="none"/>
        </w:rPr>
        <w:t>投标产品技术响应表；</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项目详细实施方案；</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项目负责人及工作人员一览表并提供相关资质证书、社保清单等资料；</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服务质量承诺书；</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类似项目业绩资料；</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招标文件第三章“招标项目内容及技术要求”中规定需要投标人作出说明或描述的；</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★义乌市政府采购项目投标承诺书；</w:t>
      </w:r>
    </w:p>
    <w:p>
      <w:pPr>
        <w:pStyle w:val="12"/>
        <w:numPr>
          <w:ilvl w:val="0"/>
          <w:numId w:val="2"/>
        </w:numPr>
        <w:wordWrap w:val="0"/>
        <w:spacing w:line="360" w:lineRule="auto"/>
        <w:rPr>
          <w:rFonts w:hAnsi="宋体" w:cs="宋体"/>
          <w:color w:val="auto"/>
          <w:sz w:val="24"/>
          <w:szCs w:val="24"/>
          <w:highlight w:val="none"/>
        </w:rPr>
      </w:pPr>
      <w:r>
        <w:rPr>
          <w:rFonts w:hint="eastAsia" w:hAnsi="宋体" w:cs="宋体"/>
          <w:color w:val="auto"/>
          <w:sz w:val="24"/>
          <w:szCs w:val="24"/>
          <w:highlight w:val="none"/>
        </w:rPr>
        <w:t>投标人认为须提供的其他资料。</w:t>
      </w:r>
    </w:p>
    <w:p>
      <w:pPr>
        <w:pStyle w:val="12"/>
        <w:wordWrap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12.5报价响应文件：应包括下列内容（并不仅限于以下）：</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（1）投标函；</w:t>
      </w:r>
    </w:p>
    <w:p>
      <w:pPr>
        <w:pStyle w:val="12"/>
        <w:wordWrap w:val="0"/>
        <w:spacing w:line="360" w:lineRule="auto"/>
        <w:ind w:firstLine="475" w:firstLineChars="198"/>
        <w:rPr>
          <w:rFonts w:hAnsi="宋体" w:cs="宋体"/>
          <w:color w:val="auto"/>
          <w:sz w:val="24"/>
          <w:szCs w:val="24"/>
          <w:highlight w:val="none"/>
        </w:rPr>
      </w:pPr>
      <w:r>
        <w:rPr>
          <w:rFonts w:hint="eastAsia" w:hAnsi="宋体" w:cs="宋体"/>
          <w:color w:val="auto"/>
          <w:sz w:val="24"/>
          <w:szCs w:val="24"/>
          <w:highlight w:val="none"/>
        </w:rPr>
        <w:t>（2）开标一览表；</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（3）其他投标人认为须提供的资料。</w:t>
      </w:r>
    </w:p>
    <w:p>
      <w:pPr>
        <w:pStyle w:val="2"/>
        <w:wordWrap w:val="0"/>
        <w:spacing w:line="360" w:lineRule="auto"/>
        <w:ind w:firstLine="480" w:firstLineChars="200"/>
        <w:rPr>
          <w:rFonts w:ascii="宋体" w:hAnsi="宋体" w:eastAsia="宋体" w:cs="宋体"/>
          <w:b/>
          <w:bCs/>
          <w:color w:val="auto"/>
          <w:szCs w:val="24"/>
          <w:highlight w:val="none"/>
        </w:rPr>
      </w:pPr>
      <w:r>
        <w:rPr>
          <w:rFonts w:hint="eastAsia" w:ascii="宋体" w:hAnsi="宋体" w:eastAsia="宋体" w:cs="宋体"/>
          <w:color w:val="auto"/>
          <w:szCs w:val="24"/>
          <w:highlight w:val="none"/>
        </w:rPr>
        <w:t>13、投标人资格的有关说明资料</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13.1投标人应提交说明其有资格参加投标和中标后有能力履行合同的文件，并作为其投标文件的一部分。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投标人提交的合格性的说明文件应使采购人满意，投标人在投标时应是符合条件的投标人。</w:t>
      </w:r>
    </w:p>
    <w:p>
      <w:pPr>
        <w:pStyle w:val="12"/>
        <w:wordWrap w:val="0"/>
        <w:spacing w:line="360" w:lineRule="auto"/>
        <w:ind w:firstLine="472" w:firstLineChars="196"/>
        <w:rPr>
          <w:rFonts w:hAnsi="宋体" w:cs="宋体"/>
          <w:b/>
          <w:bCs/>
          <w:color w:val="auto"/>
          <w:sz w:val="24"/>
          <w:szCs w:val="24"/>
          <w:highlight w:val="none"/>
        </w:rPr>
      </w:pPr>
      <w:r>
        <w:rPr>
          <w:rFonts w:hint="eastAsia" w:hAnsi="宋体" w:cs="宋体"/>
          <w:b/>
          <w:bCs/>
          <w:color w:val="auto"/>
          <w:sz w:val="24"/>
          <w:szCs w:val="24"/>
          <w:highlight w:val="none"/>
        </w:rPr>
        <w:t>14、报价要求</w:t>
      </w:r>
    </w:p>
    <w:p>
      <w:pPr>
        <w:pStyle w:val="12"/>
        <w:wordWrap w:val="0"/>
        <w:spacing w:line="360" w:lineRule="auto"/>
        <w:ind w:firstLine="480" w:firstLineChars="200"/>
        <w:rPr>
          <w:rFonts w:hAnsi="宋体" w:cs="宋体"/>
          <w:color w:val="auto"/>
          <w:sz w:val="24"/>
          <w:szCs w:val="24"/>
          <w:highlight w:val="none"/>
          <w:lang w:eastAsia="zh-Hans"/>
        </w:rPr>
      </w:pPr>
      <w:r>
        <w:rPr>
          <w:rFonts w:hint="eastAsia" w:hAnsi="宋体" w:cs="宋体"/>
          <w:color w:val="auto"/>
          <w:sz w:val="24"/>
          <w:szCs w:val="24"/>
          <w:highlight w:val="none"/>
        </w:rPr>
        <w:t>14.1</w:t>
      </w:r>
      <w:r>
        <w:rPr>
          <w:rFonts w:hint="eastAsia" w:hAnsi="宋体" w:cs="宋体"/>
          <w:color w:val="auto"/>
          <w:sz w:val="24"/>
          <w:szCs w:val="24"/>
          <w:highlight w:val="none"/>
          <w:lang w:eastAsia="zh-Hans"/>
        </w:rPr>
        <w:t>投标人应根据国家的有关规定和招标文件要求并结合企业的实际情况进行投标报价。投标报价以人民币为结算货币，投标报价须包含</w:t>
      </w:r>
      <w:r>
        <w:rPr>
          <w:rFonts w:hint="eastAsia" w:hAnsi="宋体" w:cs="宋体"/>
          <w:color w:val="auto"/>
          <w:sz w:val="24"/>
          <w:szCs w:val="24"/>
          <w:highlight w:val="none"/>
          <w:lang w:eastAsia="zh-CN"/>
        </w:rPr>
        <w:t>货</w:t>
      </w:r>
      <w:r>
        <w:rPr>
          <w:rFonts w:hint="eastAsia" w:hAnsi="宋体" w:cs="宋体"/>
          <w:color w:val="auto"/>
          <w:sz w:val="24"/>
          <w:szCs w:val="24"/>
          <w:highlight w:val="none"/>
        </w:rPr>
        <w:t>款、</w:t>
      </w:r>
      <w:r>
        <w:rPr>
          <w:rFonts w:hint="eastAsia" w:hAnsi="宋体" w:cs="宋体"/>
          <w:color w:val="auto"/>
          <w:sz w:val="24"/>
          <w:szCs w:val="24"/>
          <w:highlight w:val="none"/>
          <w:lang w:eastAsia="zh-Hans"/>
        </w:rPr>
        <w:t>安装</w:t>
      </w:r>
      <w:r>
        <w:rPr>
          <w:rFonts w:hint="eastAsia" w:hAnsi="宋体" w:cs="宋体"/>
          <w:color w:val="auto"/>
          <w:sz w:val="24"/>
          <w:szCs w:val="24"/>
          <w:highlight w:val="none"/>
        </w:rPr>
        <w:t>调试</w:t>
      </w:r>
      <w:r>
        <w:rPr>
          <w:rFonts w:hint="eastAsia" w:hAnsi="宋体" w:cs="宋体"/>
          <w:color w:val="auto"/>
          <w:sz w:val="24"/>
          <w:szCs w:val="24"/>
          <w:highlight w:val="none"/>
          <w:lang w:eastAsia="zh-Hans"/>
        </w:rPr>
        <w:t>费、运输费、税费、培训费、维护费及完成本项目</w:t>
      </w:r>
      <w:r>
        <w:rPr>
          <w:rFonts w:hint="eastAsia" w:hAnsi="宋体" w:cs="宋体"/>
          <w:color w:val="auto"/>
          <w:sz w:val="24"/>
          <w:szCs w:val="24"/>
          <w:highlight w:val="none"/>
          <w:lang w:eastAsia="zh-CN"/>
        </w:rPr>
        <w:t>的其他</w:t>
      </w:r>
      <w:r>
        <w:rPr>
          <w:rFonts w:hint="eastAsia" w:hAnsi="宋体" w:cs="宋体"/>
          <w:color w:val="auto"/>
          <w:sz w:val="24"/>
          <w:szCs w:val="24"/>
          <w:highlight w:val="none"/>
          <w:lang w:eastAsia="zh-Hans"/>
        </w:rPr>
        <w:t>费用和政策性文件规定及合同包含的所有风险、责任等各项应有费用，如有漏项，视同已包含在其总项目中，合同总价不予调整。</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14.2中标后，</w:t>
      </w:r>
      <w:r>
        <w:rPr>
          <w:rFonts w:hint="eastAsia" w:hAnsi="宋体" w:cs="宋体"/>
          <w:b/>
          <w:color w:val="auto"/>
          <w:sz w:val="24"/>
          <w:szCs w:val="24"/>
          <w:highlight w:val="none"/>
        </w:rPr>
        <w:t>中标人所填写的单价在合同实施期间不因市场变化因素而变动；</w:t>
      </w:r>
      <w:r>
        <w:rPr>
          <w:rFonts w:hint="eastAsia" w:hAnsi="宋体" w:cs="宋体"/>
          <w:color w:val="auto"/>
          <w:sz w:val="24"/>
          <w:szCs w:val="24"/>
          <w:highlight w:val="none"/>
        </w:rPr>
        <w:t>投标人在计算报价时应考虑一定的风险系数。</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14.3投标人应按招标文件规定的报价格式进行投标报价。投标人对每种服务只允许有一个报价，采购人不接受任何有选择性的报价。</w:t>
      </w:r>
    </w:p>
    <w:p>
      <w:pPr>
        <w:pStyle w:val="12"/>
        <w:wordWrap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14.4</w:t>
      </w:r>
      <w:r>
        <w:rPr>
          <w:rFonts w:hint="eastAsia" w:hAnsi="宋体" w:cs="宋体"/>
          <w:color w:val="auto"/>
          <w:spacing w:val="-8"/>
          <w:sz w:val="24"/>
          <w:szCs w:val="24"/>
          <w:highlight w:val="none"/>
        </w:rPr>
        <w:t>采购人不接受低于成本的投标报价，也不接受招标项目范围内的捐赠。</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14.5投标人按照上述要求编制投标报价。一旦确认某一投标人中标，除合同规定的可调整内容外，中标人不得要求追加任何费用。</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14.6须由中标单位开具正式发票。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14.7招标文件中规定由投标人承担并支付的相关费用在投标报价时应一并考虑。</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14.8投标人应按招标文件</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规定的格式及内容填写报价等相关表格。对没有填报的费用，招标人将不予支付，并认为此项费用已包含在投标总价中。</w:t>
      </w:r>
    </w:p>
    <w:p>
      <w:pPr>
        <w:wordWrap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15、投标文件格式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pPr>
        <w:pStyle w:val="12"/>
        <w:wordWrap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16、投标文件编制要求</w:t>
      </w:r>
    </w:p>
    <w:p>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16.1投标人应根据电子投标操作指南按本招标文件规定的格式和顺序编制电子投标文件并进行关联定位。</w:t>
      </w:r>
    </w:p>
    <w:p>
      <w:pPr>
        <w:pStyle w:val="12"/>
        <w:wordWrap w:val="0"/>
        <w:spacing w:line="360" w:lineRule="auto"/>
        <w:ind w:firstLine="480" w:firstLineChars="200"/>
        <w:rPr>
          <w:rFonts w:hAnsi="宋体" w:cs="宋体"/>
          <w:color w:val="auto"/>
          <w:spacing w:val="-4"/>
          <w:sz w:val="24"/>
          <w:szCs w:val="24"/>
          <w:highlight w:val="none"/>
        </w:rPr>
      </w:pPr>
      <w:r>
        <w:rPr>
          <w:rFonts w:hint="eastAsia" w:hAnsi="宋体" w:cs="宋体"/>
          <w:color w:val="auto"/>
          <w:sz w:val="24"/>
          <w:szCs w:val="24"/>
          <w:highlight w:val="none"/>
        </w:rPr>
        <w:t>16.2由于未按招标文件的规定要求编制投标文件，导致评审小组作出的对投标人的误判，责任由投标人自己承担</w:t>
      </w:r>
      <w:r>
        <w:rPr>
          <w:rFonts w:hint="eastAsia" w:hAnsi="宋体" w:cs="宋体"/>
          <w:color w:val="auto"/>
          <w:spacing w:val="-4"/>
          <w:sz w:val="24"/>
          <w:szCs w:val="24"/>
          <w:highlight w:val="none"/>
        </w:rPr>
        <w:t>。</w:t>
      </w:r>
    </w:p>
    <w:p>
      <w:pPr>
        <w:pStyle w:val="12"/>
        <w:wordWrap w:val="0"/>
        <w:spacing w:line="360" w:lineRule="auto"/>
        <w:ind w:firstLine="482" w:firstLineChars="200"/>
        <w:rPr>
          <w:rFonts w:hAnsi="宋体" w:cs="宋体"/>
          <w:b/>
          <w:color w:val="auto"/>
          <w:spacing w:val="-4"/>
          <w:sz w:val="24"/>
          <w:szCs w:val="24"/>
          <w:highlight w:val="none"/>
        </w:rPr>
      </w:pPr>
      <w:r>
        <w:rPr>
          <w:rFonts w:hint="eastAsia" w:hAnsi="宋体" w:cs="宋体"/>
          <w:b/>
          <w:bCs/>
          <w:color w:val="auto"/>
          <w:sz w:val="24"/>
          <w:szCs w:val="24"/>
          <w:highlight w:val="none"/>
        </w:rPr>
        <w:t>17、</w:t>
      </w:r>
      <w:r>
        <w:rPr>
          <w:rFonts w:hint="eastAsia" w:hAnsi="宋体" w:cs="宋体"/>
          <w:b/>
          <w:color w:val="auto"/>
          <w:spacing w:val="-4"/>
          <w:sz w:val="24"/>
          <w:szCs w:val="24"/>
          <w:highlight w:val="none"/>
        </w:rPr>
        <w:t>投标人发生下列情况之一时，将按失信行为上报义乌市信用管理部门：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（1）投标人在规定的投标有效期内撤回投标或放弃中标的；</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（2）有意串标或提供虚假材料者的；</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（3）中标人在收到中标通知书后，因自身原因不能在投标有效期内和采购人签订合同。</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（4）中标人未在规定时间缴纳招标代理费的。</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（5）中标投标人在标后履约过程中未按合同约定的期限和要求履约的。</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（6）因中标投标人原因在标后履约过程中擅自终止合同的。</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（7）不符合招标文件要求的其他失信行为。</w:t>
      </w:r>
    </w:p>
    <w:p>
      <w:pPr>
        <w:pStyle w:val="12"/>
        <w:wordWrap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18、履约保证金：无</w:t>
      </w:r>
    </w:p>
    <w:p>
      <w:pPr>
        <w:pStyle w:val="12"/>
        <w:wordWrap w:val="0"/>
        <w:spacing w:line="360" w:lineRule="auto"/>
        <w:ind w:firstLine="482" w:firstLineChars="200"/>
        <w:rPr>
          <w:rFonts w:hAnsi="宋体" w:cs="宋体"/>
          <w:b/>
          <w:bCs/>
          <w:color w:val="auto"/>
          <w:kern w:val="0"/>
          <w:sz w:val="24"/>
          <w:szCs w:val="24"/>
          <w:highlight w:val="none"/>
        </w:rPr>
      </w:pPr>
      <w:r>
        <w:rPr>
          <w:rFonts w:hint="eastAsia" w:hAnsi="宋体" w:cs="宋体"/>
          <w:b/>
          <w:bCs/>
          <w:color w:val="auto"/>
          <w:kern w:val="0"/>
          <w:sz w:val="24"/>
          <w:szCs w:val="24"/>
          <w:highlight w:val="none"/>
        </w:rPr>
        <w:t>19、采购代理服务费</w:t>
      </w:r>
    </w:p>
    <w:p>
      <w:pPr>
        <w:wordWrap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19.1采购代理服务费：</w:t>
      </w:r>
      <w:r>
        <w:rPr>
          <w:rFonts w:hint="eastAsia" w:ascii="宋体" w:hAnsi="宋体" w:eastAsia="宋体" w:cs="宋体"/>
          <w:color w:val="auto"/>
          <w:sz w:val="24"/>
          <w:szCs w:val="24"/>
          <w:highlight w:val="none"/>
        </w:rPr>
        <w:t>具体详见下表。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203"/>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74" w:type="dxa"/>
            <w:vAlign w:val="center"/>
          </w:tcPr>
          <w:p>
            <w:pP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中标金额（万元）</w:t>
            </w:r>
          </w:p>
        </w:tc>
        <w:tc>
          <w:tcPr>
            <w:tcW w:w="1203" w:type="dxa"/>
            <w:vAlign w:val="center"/>
          </w:tcPr>
          <w:p>
            <w:pPr>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收费标准</w:t>
            </w:r>
          </w:p>
        </w:tc>
        <w:tc>
          <w:tcPr>
            <w:tcW w:w="4980" w:type="dxa"/>
            <w:vAlign w:val="center"/>
          </w:tcPr>
          <w:p>
            <w:pPr>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4" w:type="dxa"/>
            <w:vAlign w:val="center"/>
          </w:tcPr>
          <w:p>
            <w:pPr>
              <w:ind w:firstLine="480" w:firstLineChars="200"/>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100以下</w:t>
            </w:r>
          </w:p>
        </w:tc>
        <w:tc>
          <w:tcPr>
            <w:tcW w:w="1203" w:type="dxa"/>
            <w:vAlign w:val="center"/>
          </w:tcPr>
          <w:p>
            <w:pPr>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1.125%</w:t>
            </w:r>
          </w:p>
        </w:tc>
        <w:tc>
          <w:tcPr>
            <w:tcW w:w="4980" w:type="dxa"/>
            <w:vMerge w:val="restart"/>
            <w:vAlign w:val="center"/>
          </w:tcPr>
          <w:p>
            <w:pPr>
              <w:ind w:firstLine="480" w:firstLineChars="200"/>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代理服务费采用差额定率累进法计算，向中标人单向收取。</w:t>
            </w:r>
          </w:p>
          <w:p>
            <w:pPr>
              <w:ind w:firstLine="480" w:firstLineChars="200"/>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例：中标金额为1000万。服务费=100万×1.125%+400万×0.825%+500万×0.6%=7.425万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74" w:type="dxa"/>
            <w:vAlign w:val="center"/>
          </w:tcPr>
          <w:p>
            <w:pPr>
              <w:ind w:firstLine="480" w:firstLineChars="200"/>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100-500</w:t>
            </w:r>
          </w:p>
        </w:tc>
        <w:tc>
          <w:tcPr>
            <w:tcW w:w="1203" w:type="dxa"/>
            <w:vAlign w:val="center"/>
          </w:tcPr>
          <w:p>
            <w:pPr>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0.825%</w:t>
            </w:r>
          </w:p>
        </w:tc>
        <w:tc>
          <w:tcPr>
            <w:tcW w:w="4980" w:type="dxa"/>
            <w:vMerge w:val="continue"/>
            <w:vAlign w:val="center"/>
          </w:tcPr>
          <w:p>
            <w:pPr>
              <w:ind w:firstLine="480" w:firstLineChars="200"/>
              <w:jc w:val="center"/>
              <w:rPr>
                <w:rFonts w:ascii="宋体" w:hAnsi="宋体" w:eastAsia="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74" w:type="dxa"/>
            <w:vAlign w:val="center"/>
          </w:tcPr>
          <w:p>
            <w:pPr>
              <w:ind w:firstLine="480" w:firstLineChars="200"/>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500-1000</w:t>
            </w:r>
          </w:p>
        </w:tc>
        <w:tc>
          <w:tcPr>
            <w:tcW w:w="1203" w:type="dxa"/>
            <w:vAlign w:val="center"/>
          </w:tcPr>
          <w:p>
            <w:pPr>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0.6%</w:t>
            </w:r>
          </w:p>
        </w:tc>
        <w:tc>
          <w:tcPr>
            <w:tcW w:w="4980" w:type="dxa"/>
            <w:vMerge w:val="continue"/>
            <w:vAlign w:val="center"/>
          </w:tcPr>
          <w:p>
            <w:pPr>
              <w:ind w:firstLine="480" w:firstLineChars="200"/>
              <w:jc w:val="center"/>
              <w:rPr>
                <w:rFonts w:ascii="宋体" w:hAnsi="宋体" w:eastAsia="宋体" w:cs="宋体"/>
                <w:bCs/>
                <w:color w:val="auto"/>
                <w:kern w:val="0"/>
                <w:sz w:val="24"/>
                <w:highlight w:val="none"/>
              </w:rPr>
            </w:pPr>
          </w:p>
        </w:tc>
      </w:tr>
    </w:tbl>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19.2采购代理服务费向</w:t>
      </w:r>
      <w:r>
        <w:rPr>
          <w:rFonts w:hint="eastAsia" w:ascii="宋体" w:hAnsi="宋体" w:eastAsia="宋体" w:cs="宋体"/>
          <w:color w:val="auto"/>
          <w:sz w:val="24"/>
          <w:highlight w:val="none"/>
          <w:u w:val="single"/>
        </w:rPr>
        <w:t>中标人</w:t>
      </w:r>
      <w:r>
        <w:rPr>
          <w:rFonts w:hint="eastAsia" w:ascii="宋体" w:hAnsi="宋体" w:eastAsia="宋体" w:cs="宋体"/>
          <w:color w:val="auto"/>
          <w:kern w:val="0"/>
          <w:sz w:val="24"/>
          <w:highlight w:val="none"/>
        </w:rPr>
        <w:t>收取，可用银行汇票、电汇、银行本票、现金等方式支付。</w:t>
      </w:r>
      <w:r>
        <w:rPr>
          <w:rFonts w:hint="eastAsia" w:ascii="宋体" w:hAnsi="宋体" w:eastAsia="宋体" w:cs="宋体"/>
          <w:color w:val="auto"/>
          <w:sz w:val="24"/>
          <w:highlight w:val="none"/>
        </w:rPr>
        <w:t>未按规定时间缴纳代理服务费的，将按失信行为上报义乌市信用管理部门。</w:t>
      </w:r>
    </w:p>
    <w:p>
      <w:pPr>
        <w:spacing w:line="360" w:lineRule="auto"/>
        <w:ind w:firstLine="218" w:firstLineChars="91"/>
        <w:rPr>
          <w:rFonts w:ascii="宋体" w:hAnsi="宋体" w:eastAsia="宋体" w:cs="宋体"/>
          <w:color w:val="auto"/>
          <w:sz w:val="24"/>
          <w:highlight w:val="none"/>
        </w:rPr>
      </w:pPr>
      <w:r>
        <w:rPr>
          <w:rFonts w:hint="eastAsia" w:ascii="宋体" w:hAnsi="宋体" w:eastAsia="宋体" w:cs="宋体"/>
          <w:color w:val="auto"/>
          <w:sz w:val="24"/>
          <w:highlight w:val="none"/>
        </w:rPr>
        <w:t>采购代理服务费收款人：浙江开平企业管理咨询有限公司</w:t>
      </w:r>
    </w:p>
    <w:p>
      <w:pPr>
        <w:spacing w:line="360" w:lineRule="auto"/>
        <w:ind w:firstLine="218" w:firstLineChars="91"/>
        <w:rPr>
          <w:rFonts w:ascii="宋体" w:hAnsi="宋体" w:eastAsia="宋体" w:cs="宋体"/>
          <w:color w:val="auto"/>
          <w:sz w:val="24"/>
          <w:highlight w:val="none"/>
        </w:rPr>
      </w:pPr>
      <w:r>
        <w:rPr>
          <w:rFonts w:hint="eastAsia" w:ascii="宋体" w:hAnsi="宋体" w:eastAsia="宋体" w:cs="宋体"/>
          <w:color w:val="auto"/>
          <w:sz w:val="24"/>
          <w:highlight w:val="none"/>
        </w:rPr>
        <w:t>账    号：33001676248059000088</w:t>
      </w:r>
    </w:p>
    <w:p>
      <w:pPr>
        <w:spacing w:line="360" w:lineRule="auto"/>
        <w:ind w:firstLine="218" w:firstLineChars="91"/>
        <w:rPr>
          <w:rFonts w:ascii="宋体" w:hAnsi="宋体" w:eastAsia="宋体" w:cs="宋体"/>
          <w:color w:val="auto"/>
          <w:sz w:val="24"/>
          <w:highlight w:val="none"/>
        </w:rPr>
      </w:pPr>
      <w:r>
        <w:rPr>
          <w:rFonts w:hint="eastAsia" w:ascii="宋体" w:hAnsi="宋体" w:eastAsia="宋体" w:cs="宋体"/>
          <w:color w:val="auto"/>
          <w:sz w:val="24"/>
          <w:highlight w:val="none"/>
        </w:rPr>
        <w:t>开户银行：义乌市建行乐园分理处</w:t>
      </w:r>
    </w:p>
    <w:p>
      <w:pPr>
        <w:spacing w:line="360" w:lineRule="auto"/>
        <w:ind w:firstLine="218" w:firstLineChars="91"/>
        <w:rPr>
          <w:rFonts w:ascii="宋体" w:hAnsi="宋体" w:eastAsia="宋体" w:cs="宋体"/>
          <w:color w:val="auto"/>
          <w:sz w:val="24"/>
          <w:highlight w:val="none"/>
        </w:rPr>
      </w:pPr>
      <w:r>
        <w:rPr>
          <w:rFonts w:hint="eastAsia" w:ascii="宋体" w:hAnsi="宋体" w:eastAsia="宋体" w:cs="宋体"/>
          <w:color w:val="auto"/>
          <w:sz w:val="24"/>
          <w:highlight w:val="none"/>
        </w:rPr>
        <w:t>注：缴纳凭证应注明“采购代理服务费”字样。</w:t>
      </w:r>
    </w:p>
    <w:p>
      <w:pPr>
        <w:tabs>
          <w:tab w:val="left" w:pos="3440"/>
        </w:tabs>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20、投标有效期</w:t>
      </w:r>
      <w:r>
        <w:rPr>
          <w:rFonts w:hint="eastAsia" w:ascii="宋体" w:hAnsi="宋体" w:eastAsia="宋体" w:cs="宋体"/>
          <w:b/>
          <w:bCs/>
          <w:color w:val="auto"/>
          <w:sz w:val="24"/>
          <w:highlight w:val="none"/>
        </w:rPr>
        <w:tab/>
      </w:r>
    </w:p>
    <w:p>
      <w:pPr>
        <w:spacing w:line="360" w:lineRule="auto"/>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20.1 投标文件从开标之日起，投标有效期为60天。</w:t>
      </w:r>
    </w:p>
    <w:p>
      <w:pPr>
        <w:pStyle w:val="12"/>
        <w:spacing w:line="360" w:lineRule="auto"/>
        <w:ind w:firstLine="480" w:firstLineChars="200"/>
        <w:rPr>
          <w:rFonts w:hAnsi="宋体" w:cs="宋体"/>
          <w:color w:val="auto"/>
          <w:sz w:val="24"/>
          <w:highlight w:val="none"/>
        </w:rPr>
      </w:pPr>
      <w:r>
        <w:rPr>
          <w:rFonts w:hint="eastAsia" w:hAnsi="宋体" w:cs="宋体"/>
          <w:color w:val="auto"/>
          <w:sz w:val="24"/>
          <w:highlight w:val="none"/>
        </w:rPr>
        <w:t>20.2 特殊情况下，在原投标有效期截止之前，采购人可要求投标人同意延长有效期，这种要求与答复均应以书面形式提交。</w:t>
      </w:r>
    </w:p>
    <w:p>
      <w:pPr>
        <w:pStyle w:val="5"/>
        <w:spacing w:before="0" w:after="0" w:line="360" w:lineRule="auto"/>
        <w:rPr>
          <w:rFonts w:ascii="宋体" w:hAnsi="宋体" w:eastAsia="宋体" w:cs="宋体"/>
          <w:color w:val="auto"/>
          <w:sz w:val="24"/>
          <w:szCs w:val="24"/>
          <w:highlight w:val="none"/>
        </w:rPr>
      </w:pPr>
      <w:bookmarkStart w:id="8" w:name="_Toc362250690"/>
      <w:bookmarkStart w:id="9" w:name="_Toc274303232"/>
      <w:r>
        <w:rPr>
          <w:rFonts w:hint="eastAsia" w:ascii="宋体" w:hAnsi="宋体" w:eastAsia="宋体" w:cs="宋体"/>
          <w:color w:val="auto"/>
          <w:sz w:val="24"/>
          <w:szCs w:val="24"/>
          <w:highlight w:val="none"/>
        </w:rPr>
        <w:t>四、投标文件的递交</w:t>
      </w:r>
      <w:bookmarkEnd w:id="8"/>
      <w:bookmarkEnd w:id="9"/>
    </w:p>
    <w:p>
      <w:pPr>
        <w:tabs>
          <w:tab w:val="left" w:pos="315"/>
        </w:tabs>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21、电子投标文件上传的地点和截止时间</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投标人应于</w:t>
      </w:r>
      <w:r>
        <w:rPr>
          <w:rFonts w:hint="eastAsia" w:ascii="宋体" w:hAnsi="宋体" w:eastAsia="宋体" w:cs="宋体"/>
          <w:color w:val="auto"/>
          <w:sz w:val="24"/>
          <w:highlight w:val="none"/>
          <w:lang w:eastAsia="zh-CN"/>
        </w:rPr>
        <w:t>2024年9月26日09:30</w:t>
      </w:r>
      <w:r>
        <w:rPr>
          <w:rFonts w:hint="eastAsia" w:ascii="宋体" w:hAnsi="宋体" w:eastAsia="宋体" w:cs="宋体"/>
          <w:color w:val="auto"/>
          <w:sz w:val="24"/>
          <w:highlight w:val="none"/>
        </w:rPr>
        <w:t>前在“政采云”平台上自行加密上传电子投标文件，逾期上传或未按要求上传的投标文件将予以拒收。</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22、迟交的投标文件</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招标方在规定的投标截止时间以后“政采云”平台将不接收投标文件。</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23、投标文件解密</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开标时间后1小时内（</w:t>
      </w:r>
      <w:r>
        <w:rPr>
          <w:rFonts w:hint="eastAsia" w:ascii="宋体" w:hAnsi="宋体" w:eastAsia="宋体" w:cs="宋体"/>
          <w:color w:val="auto"/>
          <w:sz w:val="24"/>
          <w:highlight w:val="none"/>
          <w:lang w:eastAsia="zh-CN"/>
        </w:rPr>
        <w:t>2024年9月26日10:30</w:t>
      </w:r>
      <w:r>
        <w:rPr>
          <w:rFonts w:hint="eastAsia" w:ascii="宋体" w:hAnsi="宋体" w:eastAsia="宋体" w:cs="宋体"/>
          <w:color w:val="auto"/>
          <w:sz w:val="24"/>
          <w:highlight w:val="none"/>
        </w:rPr>
        <w:t>前）投标人可以登录“政采云”平台，用“项目采购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开标评标”功能进行解密投标文件。若投标人在规定时间内（</w:t>
      </w:r>
      <w:r>
        <w:rPr>
          <w:rFonts w:hint="eastAsia" w:ascii="宋体" w:hAnsi="宋体" w:eastAsia="宋体" w:cs="宋体"/>
          <w:color w:val="auto"/>
          <w:sz w:val="24"/>
          <w:highlight w:val="none"/>
          <w:lang w:eastAsia="zh-CN"/>
        </w:rPr>
        <w:t>2024年9月26日10:30</w:t>
      </w:r>
      <w:r>
        <w:rPr>
          <w:rFonts w:hint="eastAsia" w:ascii="宋体" w:hAnsi="宋体" w:eastAsia="宋体" w:cs="宋体"/>
          <w:color w:val="auto"/>
          <w:sz w:val="24"/>
          <w:highlight w:val="none"/>
        </w:rPr>
        <w:t>前）无法解密或解密失败，将导致投标无效或失败。</w:t>
      </w:r>
    </w:p>
    <w:p>
      <w:pPr>
        <w:tabs>
          <w:tab w:val="left" w:pos="31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备注：为确保采购项目顺利实施，避免因政采云上电子投标文件解密失败导致投标人投标无效，投标人可在</w:t>
      </w:r>
      <w:r>
        <w:rPr>
          <w:rFonts w:hint="eastAsia" w:ascii="宋体" w:hAnsi="宋体" w:eastAsia="宋体" w:cs="宋体"/>
          <w:color w:val="auto"/>
          <w:sz w:val="24"/>
          <w:highlight w:val="none"/>
          <w:u w:val="single"/>
          <w:lang w:eastAsia="zh-CN"/>
        </w:rPr>
        <w:t>2024年9月26日09:30</w:t>
      </w:r>
      <w:r>
        <w:rPr>
          <w:rFonts w:hint="eastAsia" w:ascii="宋体" w:hAnsi="宋体" w:eastAsia="宋体" w:cs="宋体"/>
          <w:color w:val="auto"/>
          <w:sz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人自行保管，如政采云上电子投标文件出现解密失败情况（开标当日</w:t>
      </w:r>
      <w:r>
        <w:rPr>
          <w:rFonts w:hint="eastAsia" w:ascii="宋体" w:hAnsi="宋体" w:eastAsia="宋体" w:cs="宋体"/>
          <w:color w:val="auto"/>
          <w:sz w:val="24"/>
          <w:highlight w:val="none"/>
          <w:u w:val="single"/>
          <w:lang w:eastAsia="zh-CN"/>
        </w:rPr>
        <w:t>09:30</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10:30</w:t>
      </w:r>
      <w:r>
        <w:rPr>
          <w:rFonts w:hint="eastAsia" w:ascii="宋体" w:hAnsi="宋体" w:eastAsia="宋体" w:cs="宋体"/>
          <w:color w:val="auto"/>
          <w:sz w:val="24"/>
          <w:highlight w:val="none"/>
          <w:u w:val="single"/>
        </w:rPr>
        <w:t>期间进行解密），投标人可按照自身意愿确认是否同意提供加密密码解密传送至浙江开平企业管理咨询有限公司邮箱（zjkpemc@vip.163.com）的备份文件，并以备份文件作为替代电子投标文件，如投标人未按照规定时间（</w:t>
      </w:r>
      <w:r>
        <w:rPr>
          <w:rFonts w:hint="eastAsia" w:ascii="宋体" w:hAnsi="宋体" w:eastAsia="宋体" w:cs="宋体"/>
          <w:color w:val="auto"/>
          <w:sz w:val="24"/>
          <w:highlight w:val="none"/>
          <w:u w:val="single"/>
          <w:lang w:eastAsia="zh-CN"/>
        </w:rPr>
        <w:t>2024年9月26日09:30</w:t>
      </w:r>
      <w:r>
        <w:rPr>
          <w:rFonts w:hint="eastAsia" w:ascii="宋体" w:hAnsi="宋体" w:eastAsia="宋体" w:cs="宋体"/>
          <w:color w:val="auto"/>
          <w:sz w:val="24"/>
          <w:highlight w:val="none"/>
          <w:u w:val="single"/>
        </w:rPr>
        <w:t>前）及要求提供有效备份文件，同时政采云上投标文件解密失败的，将导致投标无效</w:t>
      </w:r>
      <w:r>
        <w:rPr>
          <w:rFonts w:hint="eastAsia" w:ascii="宋体" w:hAnsi="宋体" w:eastAsia="宋体" w:cs="宋体"/>
          <w:color w:val="auto"/>
          <w:sz w:val="24"/>
          <w:highlight w:val="none"/>
        </w:rPr>
        <w:t>。</w:t>
      </w:r>
    </w:p>
    <w:p>
      <w:pPr>
        <w:tabs>
          <w:tab w:val="left" w:pos="315"/>
        </w:tabs>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color w:val="auto"/>
          <w:sz w:val="24"/>
          <w:highlight w:val="none"/>
        </w:rPr>
        <w:t>24、</w:t>
      </w:r>
      <w:r>
        <w:rPr>
          <w:rFonts w:hint="eastAsia" w:ascii="宋体" w:hAnsi="宋体" w:eastAsia="宋体" w:cs="宋体"/>
          <w:b/>
          <w:bCs/>
          <w:color w:val="auto"/>
          <w:sz w:val="24"/>
          <w:highlight w:val="none"/>
        </w:rPr>
        <w:t>投标文件的补充、修改与撤回</w:t>
      </w:r>
    </w:p>
    <w:p>
      <w:pPr>
        <w:pStyle w:val="12"/>
        <w:spacing w:line="360" w:lineRule="auto"/>
        <w:ind w:firstLine="480"/>
        <w:rPr>
          <w:rFonts w:hAnsi="宋体" w:cs="宋体"/>
          <w:color w:val="auto"/>
          <w:sz w:val="24"/>
          <w:szCs w:val="24"/>
          <w:highlight w:val="none"/>
        </w:rPr>
      </w:pPr>
      <w:r>
        <w:rPr>
          <w:rFonts w:hint="eastAsia" w:hAnsi="宋体" w:cs="宋体"/>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2"/>
        <w:spacing w:line="360" w:lineRule="auto"/>
        <w:ind w:firstLine="480"/>
        <w:rPr>
          <w:rFonts w:hAnsi="宋体" w:cs="宋体"/>
          <w:color w:val="auto"/>
          <w:sz w:val="24"/>
          <w:szCs w:val="24"/>
          <w:highlight w:val="none"/>
        </w:rPr>
      </w:pPr>
      <w:r>
        <w:rPr>
          <w:rFonts w:hint="eastAsia" w:hAnsi="宋体" w:cs="宋体"/>
          <w:color w:val="auto"/>
          <w:sz w:val="24"/>
          <w:szCs w:val="24"/>
          <w:highlight w:val="none"/>
        </w:rPr>
        <w:t>24.2在投标截止时间之后，投标人不得对其投标做任何修改。</w:t>
      </w:r>
    </w:p>
    <w:p>
      <w:pPr>
        <w:pStyle w:val="12"/>
        <w:spacing w:line="360" w:lineRule="auto"/>
        <w:ind w:firstLine="480"/>
        <w:rPr>
          <w:rFonts w:hAnsi="宋体" w:cs="宋体"/>
          <w:color w:val="auto"/>
          <w:spacing w:val="-8"/>
          <w:sz w:val="24"/>
          <w:highlight w:val="none"/>
        </w:rPr>
      </w:pPr>
      <w:r>
        <w:rPr>
          <w:rFonts w:hint="eastAsia" w:hAnsi="宋体" w:cs="宋体"/>
          <w:color w:val="auto"/>
          <w:sz w:val="24"/>
          <w:szCs w:val="24"/>
          <w:highlight w:val="none"/>
        </w:rPr>
        <w:t>24.3从投标截止时间至投标人在投标书格式中确定的投标有效期期满这段时间内，投标人不得撤回其投标</w:t>
      </w:r>
      <w:r>
        <w:rPr>
          <w:rFonts w:hint="eastAsia" w:hAnsi="宋体" w:cs="宋体"/>
          <w:color w:val="auto"/>
          <w:spacing w:val="-6"/>
          <w:sz w:val="24"/>
          <w:highlight w:val="none"/>
        </w:rPr>
        <w:t>。</w:t>
      </w:r>
    </w:p>
    <w:p>
      <w:pPr>
        <w:pStyle w:val="5"/>
        <w:spacing w:before="0" w:after="0" w:line="360" w:lineRule="auto"/>
        <w:rPr>
          <w:rFonts w:ascii="宋体" w:hAnsi="宋体" w:eastAsia="宋体" w:cs="宋体"/>
          <w:color w:val="auto"/>
          <w:sz w:val="24"/>
          <w:szCs w:val="24"/>
          <w:highlight w:val="none"/>
        </w:rPr>
      </w:pPr>
      <w:bookmarkStart w:id="10" w:name="_Toc274303233"/>
      <w:bookmarkStart w:id="11" w:name="_Toc362250691"/>
      <w:r>
        <w:rPr>
          <w:rFonts w:hint="eastAsia" w:ascii="宋体" w:hAnsi="宋体" w:eastAsia="宋体" w:cs="宋体"/>
          <w:color w:val="auto"/>
          <w:sz w:val="24"/>
          <w:szCs w:val="24"/>
          <w:highlight w:val="none"/>
        </w:rPr>
        <w:t>五、其它</w:t>
      </w:r>
      <w:bookmarkEnd w:id="10"/>
      <w:bookmarkEnd w:id="1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25、本招标文件解释权归采购人。</w:t>
      </w:r>
    </w:p>
    <w:p>
      <w:p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招标项目内容及技术要求</w:t>
      </w:r>
    </w:p>
    <w:p>
      <w:pPr>
        <w:pStyle w:val="4"/>
        <w:spacing w:before="0" w:after="0" w:line="360" w:lineRule="auto"/>
        <w:rPr>
          <w:rFonts w:hint="eastAsia" w:ascii="宋体" w:hAnsi="宋体" w:eastAsia="宋体" w:cs="宋体"/>
          <w:color w:val="auto"/>
          <w:sz w:val="24"/>
          <w:szCs w:val="24"/>
          <w:highlight w:val="none"/>
        </w:rPr>
      </w:pPr>
      <w:bookmarkStart w:id="12" w:name="_Toc646067957_WPSOffice_Level3"/>
      <w:r>
        <w:rPr>
          <w:rFonts w:hint="eastAsia" w:ascii="宋体" w:hAnsi="宋体" w:eastAsia="宋体" w:cs="宋体"/>
          <w:color w:val="auto"/>
          <w:sz w:val="24"/>
          <w:szCs w:val="24"/>
          <w:highlight w:val="none"/>
        </w:rPr>
        <w:t>一、采购内容及需求</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544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4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224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5442"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操场足球场灯光</w:t>
            </w:r>
          </w:p>
        </w:tc>
        <w:tc>
          <w:tcPr>
            <w:tcW w:w="224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196盏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442"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灯杆安全</w:t>
            </w:r>
          </w:p>
        </w:tc>
        <w:tc>
          <w:tcPr>
            <w:tcW w:w="224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442"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篮球馆投射灯（大）</w:t>
            </w:r>
          </w:p>
        </w:tc>
        <w:tc>
          <w:tcPr>
            <w:tcW w:w="224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56盏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5442"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篮球馆投射灯（小）</w:t>
            </w:r>
          </w:p>
        </w:tc>
        <w:tc>
          <w:tcPr>
            <w:tcW w:w="224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56盏</w:t>
            </w:r>
          </w:p>
        </w:tc>
      </w:tr>
    </w:tbl>
    <w:p>
      <w:pPr>
        <w:spacing w:line="360" w:lineRule="auto"/>
        <w:rPr>
          <w:color w:val="auto"/>
          <w:sz w:val="24"/>
          <w:szCs w:val="24"/>
          <w:highlight w:val="none"/>
        </w:rPr>
      </w:pPr>
    </w:p>
    <w:p>
      <w:pPr>
        <w:pStyle w:val="8"/>
        <w:outlineLvl w:val="1"/>
        <w:rPr>
          <w:rFonts w:ascii="宋体" w:hAnsi="宋体" w:eastAsia="宋体" w:cs="宋体"/>
          <w:b/>
          <w:bCs/>
          <w:color w:val="auto"/>
          <w:highlight w:val="none"/>
        </w:rPr>
      </w:pPr>
      <w:r>
        <w:rPr>
          <w:rFonts w:hint="eastAsia" w:ascii="宋体" w:hAnsi="宋体" w:eastAsia="宋体" w:cs="宋体"/>
          <w:b/>
          <w:bCs/>
          <w:color w:val="auto"/>
          <w:szCs w:val="24"/>
          <w:highlight w:val="none"/>
        </w:rPr>
        <w:t>二、招标要求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82"/>
        <w:gridCol w:w="906"/>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6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操场足球场灯光</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196盏</w:t>
            </w:r>
          </w:p>
        </w:tc>
        <w:tc>
          <w:tcPr>
            <w:tcW w:w="6831" w:type="dxa"/>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防护等级：LED灯具防护等级不低于IP66。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提供国家灯具质量监督检验中心出具的满足以上要求的检测报告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采用50*50灯珠</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）LED灯具的功率因数：≥0.95，输入电压范围：220V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380V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灯具色容差SDCM≤5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功率</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00W±3%；色温：5000K±200K，各项指标符合国家对体育场馆的设计标准；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提供国家灯具质量监督检验中心出具的满足以上要求的检测报告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LED灯具的一般显色指数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Ra≥70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提供国家灯具质量监督检验中心出具的满足以上要求的检测报告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防浪涌保护：内置不少于10KV的防浪涌装置</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LED灯具的工作环境温度：-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自带刻度盘、方便角度调整、同时带锁紧及角度指示标志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配有防坠落安全绳设置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通过IK08冲击实验检测</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LED灯具使用环境为室外运动场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灯具需有强大的防腐能力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灯具外壳采用喷粉工艺，具有较厚涂层，整灯防腐能力强，需通过≥1000小时盐雾测试</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灯具冲击测试≥IK08。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初始光效：≥1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0Lm/w（提供国家灯具质量监督检验中心出具的满足以上要求的检测报告）</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11）灯具寿命不低于20000小时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LED灯具通过CQC认证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电源需通过CCC认证。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灯杆安全</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w:t>
            </w:r>
          </w:p>
        </w:tc>
        <w:tc>
          <w:tcPr>
            <w:tcW w:w="683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安装足球场灯光前</w:t>
            </w:r>
            <w:r>
              <w:rPr>
                <w:rFonts w:hint="eastAsia" w:ascii="宋体" w:hAnsi="宋体" w:eastAsia="宋体" w:cs="宋体"/>
                <w:color w:val="auto"/>
                <w:kern w:val="0"/>
                <w:sz w:val="24"/>
                <w:szCs w:val="24"/>
                <w:highlight w:val="none"/>
              </w:rPr>
              <w:t>对操场</w:t>
            </w:r>
            <w:r>
              <w:rPr>
                <w:rFonts w:hint="eastAsia" w:ascii="宋体" w:hAnsi="宋体" w:eastAsia="宋体" w:cs="宋体"/>
                <w:color w:val="auto"/>
                <w:kern w:val="0"/>
                <w:sz w:val="24"/>
                <w:szCs w:val="24"/>
                <w:highlight w:val="none"/>
                <w:lang w:eastAsia="zh-CN"/>
              </w:rPr>
              <w:t>现有的</w:t>
            </w:r>
            <w:r>
              <w:rPr>
                <w:rFonts w:hint="eastAsia" w:ascii="宋体" w:hAnsi="宋体" w:eastAsia="宋体" w:cs="宋体"/>
                <w:color w:val="auto"/>
                <w:kern w:val="0"/>
                <w:sz w:val="24"/>
                <w:szCs w:val="24"/>
                <w:highlight w:val="none"/>
              </w:rPr>
              <w:t>四根大灯杆</w:t>
            </w:r>
            <w:r>
              <w:rPr>
                <w:rFonts w:hint="eastAsia" w:ascii="宋体" w:hAnsi="宋体" w:eastAsia="宋体" w:cs="宋体"/>
                <w:color w:val="auto"/>
                <w:kern w:val="0"/>
                <w:sz w:val="24"/>
                <w:szCs w:val="24"/>
                <w:highlight w:val="none"/>
                <w:lang w:val="en-US" w:eastAsia="zh-CN"/>
              </w:rPr>
              <w:t>身及基础</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安全评估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承诺中标后签订合同前</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val="en-US" w:eastAsia="zh-CN"/>
              </w:rPr>
              <w:t>安全评估</w:t>
            </w:r>
            <w:r>
              <w:rPr>
                <w:rFonts w:hint="eastAsia" w:ascii="宋体" w:hAnsi="宋体" w:eastAsia="宋体" w:cs="宋体"/>
                <w:color w:val="auto"/>
                <w:kern w:val="0"/>
                <w:sz w:val="24"/>
                <w:szCs w:val="24"/>
                <w:highlight w:val="none"/>
              </w:rPr>
              <w:t>报告）</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篮球馆投射灯（大）</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56盏</w:t>
            </w:r>
          </w:p>
        </w:tc>
        <w:tc>
          <w:tcPr>
            <w:tcW w:w="6831" w:type="dxa"/>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防护等级：LED灯具防护等级不低于IP</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国家灯具质量监督检验中心出具</w:t>
            </w:r>
            <w:r>
              <w:rPr>
                <w:rFonts w:hint="eastAsia" w:ascii="宋体" w:hAnsi="宋体" w:eastAsia="宋体" w:cs="宋体"/>
                <w:color w:val="auto"/>
                <w:sz w:val="24"/>
                <w:szCs w:val="24"/>
                <w:highlight w:val="none"/>
                <w:lang w:val="en-US" w:eastAsia="zh-CN"/>
              </w:rPr>
              <w:t>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2）采用50*50灯珠。</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LED灯具的功率因数：≥0.95，输入电压范围：220V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380V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灯具色容差SDCM≤5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功率</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W±3%；色温：5000K±200K，各项指标符合国家对体育场馆的设计标准；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国家灯具质量监督检验中心出具</w:t>
            </w:r>
            <w:r>
              <w:rPr>
                <w:rFonts w:hint="eastAsia" w:ascii="宋体" w:hAnsi="宋体" w:eastAsia="宋体" w:cs="宋体"/>
                <w:color w:val="auto"/>
                <w:sz w:val="24"/>
                <w:szCs w:val="24"/>
                <w:highlight w:val="none"/>
                <w:lang w:val="en-US" w:eastAsia="zh-CN"/>
              </w:rPr>
              <w:t>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LED灯具的一般显色指数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Ra≥70。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初始光效：≥1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0Lm/w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6）灯具寿命不低于20000小时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LED灯具的工作环境温度：-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LED灯具通过CQC认证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电源需通过CCC认证。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篮球馆投射灯（小）</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56盏</w:t>
            </w:r>
          </w:p>
        </w:tc>
        <w:tc>
          <w:tcPr>
            <w:tcW w:w="6831" w:type="dxa"/>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防护等级：LED灯具防护等级不低于IP</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国家灯具质量监督检验中心出具</w:t>
            </w:r>
            <w:r>
              <w:rPr>
                <w:rFonts w:hint="eastAsia" w:ascii="宋体" w:hAnsi="宋体" w:eastAsia="宋体" w:cs="宋体"/>
                <w:color w:val="auto"/>
                <w:sz w:val="24"/>
                <w:szCs w:val="24"/>
                <w:highlight w:val="none"/>
                <w:lang w:val="en-US" w:eastAsia="zh-CN"/>
              </w:rPr>
              <w:t>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2）采用50*50灯珠。</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LED灯具的功率因数：≥0.95，输入电压范围：220V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380V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灯具色容差SDCM≤5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功率</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W±3%；色温：5000K±200K，各项指标符合国家对体育场馆的设计标准；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国家灯具质量监督检验中心出具</w:t>
            </w:r>
            <w:r>
              <w:rPr>
                <w:rFonts w:hint="eastAsia" w:ascii="宋体" w:hAnsi="宋体" w:eastAsia="宋体" w:cs="宋体"/>
                <w:color w:val="auto"/>
                <w:sz w:val="24"/>
                <w:szCs w:val="24"/>
                <w:highlight w:val="none"/>
                <w:lang w:val="en-US" w:eastAsia="zh-CN"/>
              </w:rPr>
              <w:t>的满足以上要求的检测报告</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LED灯具的一般显色指数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Ra≥70。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初始光效：≥1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0Lm/w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6）灯具寿命不低于20000小时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LED灯具的工作环境温度：-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LED灯具通过CQC认证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电源需通过CCC认证。</w:t>
            </w:r>
          </w:p>
        </w:tc>
      </w:tr>
      <w:bookmarkEnd w:id="12"/>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三、深化设计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投标人需根据学校实际情况，深化设计方案，提供专业体育运动场地照明系统设计并参照以下设计</w:t>
      </w:r>
      <w:r>
        <w:rPr>
          <w:rFonts w:hint="eastAsia" w:ascii="宋体" w:hAnsi="宋体" w:eastAsia="宋体" w:cs="宋体"/>
          <w:b/>
          <w:bCs/>
          <w:color w:val="auto"/>
          <w:sz w:val="24"/>
          <w:szCs w:val="24"/>
          <w:highlight w:val="none"/>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 xml:space="preserve">《供配电系统设计规范》          </w:t>
      </w:r>
      <w:r>
        <w:rPr>
          <w:rFonts w:hint="eastAsia" w:ascii="宋体" w:hAnsi="宋体" w:eastAsia="宋体" w:cs="宋体"/>
          <w:color w:val="auto"/>
          <w:kern w:val="2"/>
          <w:sz w:val="24"/>
          <w:szCs w:val="24"/>
          <w:highlight w:val="none"/>
        </w:rPr>
        <w:t xml:space="preserve">    GB50052-2009</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《低压配电设计规范》                GB50054-95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《建筑照明设计标准》                GB50034-2004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《建筑物防雷设计规范》(2000版）      GB50057-94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《建筑电气工程施工质量验收规范》    GB50303-2002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《体育建筑设计规范》                JGJ31-2003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《体育场馆照明设计及检测规范》      JGJ153-2016</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《LED体育照明应用技术要求》        GB/T 38539-2020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《民用建筑电气设计规范》            JGJ16-2008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《建筑电气工程施工质量验收规范》    GB50303-2002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《电磁兼容 限值 谐波电流发射限值 设备每相输入电流≤（16A）》      GB17625.1-2003</w:t>
      </w:r>
    </w:p>
    <w:p>
      <w:pPr>
        <w:pStyle w:val="4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1"/>
        <w:rPr>
          <w:b/>
          <w:color w:val="auto"/>
          <w:sz w:val="24"/>
          <w:szCs w:val="24"/>
          <w:highlight w:val="none"/>
        </w:rPr>
      </w:pPr>
      <w:r>
        <w:rPr>
          <w:rFonts w:hint="eastAsia"/>
          <w:b/>
          <w:color w:val="auto"/>
          <w:sz w:val="24"/>
          <w:szCs w:val="24"/>
          <w:highlight w:val="none"/>
          <w:lang w:eastAsia="zh-CN"/>
        </w:rPr>
        <w:t>四、</w:t>
      </w:r>
      <w:r>
        <w:rPr>
          <w:b/>
          <w:color w:val="auto"/>
          <w:sz w:val="24"/>
          <w:szCs w:val="24"/>
          <w:highlight w:val="none"/>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lang w:val="zh-CN" w:eastAsia="zh-Hans"/>
        </w:rPr>
      </w:pPr>
      <w:r>
        <w:rPr>
          <w:rFonts w:hint="eastAsia" w:ascii="宋体" w:hAnsi="宋体" w:eastAsia="宋体" w:cs="宋体"/>
          <w:color w:val="auto"/>
          <w:sz w:val="24"/>
          <w:szCs w:val="24"/>
          <w:highlight w:val="none"/>
          <w:lang w:val="zh-CN" w:eastAsia="zh-Hans"/>
        </w:rPr>
        <w:t>（一）投标报价要求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1、投标人应根据国家的有关规定和招标文件要求并结合企业的实际情况进行投标报价。投标报价以人民币为结算货币，投标报价须</w:t>
      </w:r>
      <w:r>
        <w:rPr>
          <w:rFonts w:hint="eastAsia" w:hAnsi="宋体" w:cs="宋体"/>
          <w:color w:val="auto"/>
          <w:sz w:val="24"/>
          <w:szCs w:val="24"/>
          <w:highlight w:val="none"/>
          <w:lang w:eastAsia="zh-Hans"/>
        </w:rPr>
        <w:t>包含</w:t>
      </w:r>
      <w:r>
        <w:rPr>
          <w:rFonts w:hint="eastAsia" w:hAnsi="宋体" w:cs="宋体"/>
          <w:color w:val="auto"/>
          <w:sz w:val="24"/>
          <w:szCs w:val="24"/>
          <w:highlight w:val="none"/>
          <w:lang w:eastAsia="zh-CN"/>
        </w:rPr>
        <w:t>货</w:t>
      </w:r>
      <w:r>
        <w:rPr>
          <w:rFonts w:hint="eastAsia" w:hAnsi="宋体" w:cs="宋体"/>
          <w:color w:val="auto"/>
          <w:sz w:val="24"/>
          <w:szCs w:val="24"/>
          <w:highlight w:val="none"/>
        </w:rPr>
        <w:t>款、</w:t>
      </w:r>
      <w:r>
        <w:rPr>
          <w:rFonts w:hint="eastAsia" w:hAnsi="宋体" w:cs="宋体"/>
          <w:color w:val="auto"/>
          <w:sz w:val="24"/>
          <w:szCs w:val="24"/>
          <w:highlight w:val="none"/>
          <w:lang w:eastAsia="zh-Hans"/>
        </w:rPr>
        <w:t>安装</w:t>
      </w:r>
      <w:r>
        <w:rPr>
          <w:rFonts w:hint="eastAsia" w:hAnsi="宋体" w:cs="宋体"/>
          <w:color w:val="auto"/>
          <w:sz w:val="24"/>
          <w:szCs w:val="24"/>
          <w:highlight w:val="none"/>
        </w:rPr>
        <w:t>调试</w:t>
      </w:r>
      <w:r>
        <w:rPr>
          <w:rFonts w:hint="eastAsia" w:hAnsi="宋体" w:cs="宋体"/>
          <w:color w:val="auto"/>
          <w:sz w:val="24"/>
          <w:szCs w:val="24"/>
          <w:highlight w:val="none"/>
          <w:lang w:eastAsia="zh-Hans"/>
        </w:rPr>
        <w:t>费、运输费、税费、培训费、维护费及完成本项目</w:t>
      </w:r>
      <w:r>
        <w:rPr>
          <w:rFonts w:hint="eastAsia" w:hAnsi="宋体" w:cs="宋体"/>
          <w:color w:val="auto"/>
          <w:sz w:val="24"/>
          <w:szCs w:val="24"/>
          <w:highlight w:val="none"/>
          <w:lang w:eastAsia="zh-CN"/>
        </w:rPr>
        <w:t>的其他</w:t>
      </w:r>
      <w:r>
        <w:rPr>
          <w:rFonts w:hint="eastAsia" w:hAnsi="宋体" w:cs="宋体"/>
          <w:color w:val="auto"/>
          <w:sz w:val="24"/>
          <w:szCs w:val="24"/>
          <w:highlight w:val="none"/>
          <w:lang w:eastAsia="zh-Hans"/>
        </w:rPr>
        <w:t>费用和政策性文件规定及合同包含的所有风险、责任等各项应有费用，如有漏项，视同已包含在其总项目中，合同总价不予调整</w:t>
      </w:r>
      <w:r>
        <w:rPr>
          <w:rFonts w:hint="eastAsia" w:ascii="宋体" w:hAnsi="宋体" w:eastAsia="宋体" w:cs="宋体"/>
          <w:color w:val="auto"/>
          <w:sz w:val="24"/>
          <w:szCs w:val="24"/>
          <w:highlight w:val="none"/>
          <w:lang w:eastAsia="zh-Hans"/>
        </w:rPr>
        <w:t>。</w:t>
      </w:r>
      <w:r>
        <w:rPr>
          <w:rFonts w:hint="eastAsia" w:ascii="宋体" w:hAnsi="宋体" w:eastAsia="宋体" w:cs="宋体"/>
          <w:b/>
          <w:bCs/>
          <w:color w:val="auto"/>
          <w:sz w:val="24"/>
          <w:szCs w:val="24"/>
          <w:highlight w:val="none"/>
        </w:rPr>
        <w:t>本项目为“交钥匙”工程，</w:t>
      </w:r>
      <w:r>
        <w:rPr>
          <w:rFonts w:hint="eastAsia" w:ascii="宋体" w:hAnsi="宋体" w:eastAsia="宋体" w:cs="宋体"/>
          <w:color w:val="auto"/>
          <w:sz w:val="24"/>
          <w:szCs w:val="24"/>
          <w:highlight w:val="none"/>
        </w:rPr>
        <w:t>投标报价需包含项目所需的所有线材、设备及安装费用。</w:t>
      </w:r>
    </w:p>
    <w:p>
      <w:pPr>
        <w:spacing w:line="360" w:lineRule="auto"/>
        <w:ind w:firstLine="480" w:firstLineChars="200"/>
        <w:rPr>
          <w:rFonts w:ascii="宋体" w:hAnsi="宋体" w:eastAsia="宋体" w:cs="宋体"/>
          <w:color w:val="auto"/>
          <w:sz w:val="24"/>
          <w:szCs w:val="24"/>
          <w:highlight w:val="none"/>
          <w:lang w:val="zh-CN" w:eastAsia="zh-Hans"/>
        </w:rPr>
      </w:pPr>
      <w:r>
        <w:rPr>
          <w:rFonts w:hint="eastAsia" w:ascii="宋体" w:hAnsi="宋体" w:eastAsia="宋体" w:cs="宋体"/>
          <w:color w:val="auto"/>
          <w:sz w:val="24"/>
          <w:szCs w:val="24"/>
          <w:highlight w:val="none"/>
          <w:lang w:val="zh-CN" w:eastAsia="zh-Hans"/>
        </w:rPr>
        <w:t>2、按国家规定由中标人缴纳的各种税收已包含在投标总价内，由中标人向税务机关缴纳。</w:t>
      </w:r>
    </w:p>
    <w:p>
      <w:pPr>
        <w:spacing w:line="360" w:lineRule="auto"/>
        <w:ind w:firstLine="480" w:firstLineChars="200"/>
        <w:rPr>
          <w:rFonts w:ascii="宋体" w:hAnsi="宋体" w:eastAsia="宋体" w:cs="宋体"/>
          <w:color w:val="auto"/>
          <w:sz w:val="24"/>
          <w:szCs w:val="24"/>
          <w:highlight w:val="none"/>
          <w:lang w:val="zh-CN" w:eastAsia="zh-Hans"/>
        </w:rPr>
      </w:pPr>
      <w:r>
        <w:rPr>
          <w:rFonts w:hint="eastAsia" w:ascii="宋体" w:hAnsi="宋体" w:eastAsia="宋体" w:cs="宋体"/>
          <w:color w:val="auto"/>
          <w:sz w:val="24"/>
          <w:szCs w:val="24"/>
          <w:highlight w:val="none"/>
          <w:lang w:val="zh-CN" w:eastAsia="zh-Hans"/>
        </w:rPr>
        <w:t>（二）工期和质保期要求</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eastAsia="zh-Hans"/>
        </w:rPr>
        <w:t>1、工期要求：</w:t>
      </w:r>
      <w:r>
        <w:rPr>
          <w:rFonts w:hint="eastAsia" w:ascii="Times New Roman" w:hAnsi="Times New Roman" w:eastAsia="宋体" w:cs="Times New Roman"/>
          <w:color w:val="auto"/>
          <w:sz w:val="24"/>
          <w:szCs w:val="24"/>
          <w:highlight w:val="none"/>
          <w:lang w:eastAsia="zh-CN"/>
        </w:rPr>
        <w:t>按采购人要求</w:t>
      </w:r>
      <w:r>
        <w:rPr>
          <w:rFonts w:hint="eastAsia" w:ascii="Times New Roman" w:hAnsi="Times New Roman" w:eastAsia="宋体" w:cs="Times New Roman"/>
          <w:color w:val="auto"/>
          <w:sz w:val="24"/>
          <w:szCs w:val="24"/>
          <w:highlight w:val="none"/>
        </w:rPr>
        <w:t>完成供货及安装调试。</w:t>
      </w:r>
    </w:p>
    <w:p>
      <w:pPr>
        <w:spacing w:line="360" w:lineRule="auto"/>
        <w:ind w:firstLine="480" w:firstLineChars="200"/>
        <w:rPr>
          <w:rFonts w:ascii="Times New Roman" w:hAnsi="Times New Roman" w:eastAsia="宋体" w:cs="Times New Roman"/>
          <w:color w:val="auto"/>
          <w:sz w:val="24"/>
          <w:szCs w:val="24"/>
          <w:highlight w:val="none"/>
          <w:lang w:eastAsia="zh-Hans"/>
        </w:rPr>
      </w:pPr>
      <w:r>
        <w:rPr>
          <w:rFonts w:ascii="Times New Roman" w:hAnsi="Times New Roman" w:eastAsia="宋体" w:cs="Times New Roman"/>
          <w:color w:val="auto"/>
          <w:sz w:val="24"/>
          <w:szCs w:val="24"/>
          <w:highlight w:val="none"/>
        </w:rPr>
        <w:t>2、质保期</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lang w:eastAsia="zh-Hans"/>
        </w:rPr>
        <w:t>从最终验收合格之日开始计算。</w:t>
      </w:r>
    </w:p>
    <w:p>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售后服务响应时间：</w:t>
      </w:r>
      <w:r>
        <w:rPr>
          <w:rFonts w:hint="eastAsia" w:ascii="Times New Roman" w:hAnsi="Times New Roman" w:eastAsia="宋体" w:cs="Times New Roman"/>
          <w:color w:val="auto"/>
          <w:sz w:val="24"/>
          <w:szCs w:val="24"/>
          <w:highlight w:val="none"/>
          <w:lang w:eastAsia="zh-CN"/>
        </w:rPr>
        <w:t>出现故障</w:t>
      </w:r>
      <w:r>
        <w:rPr>
          <w:rFonts w:hint="eastAsia" w:ascii="Times New Roman" w:hAnsi="Times New Roman" w:eastAsia="宋体" w:cs="Times New Roman"/>
          <w:color w:val="auto"/>
          <w:sz w:val="24"/>
          <w:szCs w:val="24"/>
          <w:highlight w:val="none"/>
        </w:rPr>
        <w:t>1小时内服务响应，</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小时到现场，</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小时解决故障</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val="zh-CN" w:eastAsia="zh-Hans"/>
        </w:rPr>
        <w:t>（三）验收标准</w:t>
      </w:r>
    </w:p>
    <w:p>
      <w:pPr>
        <w:spacing w:line="360" w:lineRule="auto"/>
        <w:ind w:firstLine="480" w:firstLineChars="200"/>
        <w:rPr>
          <w:rFonts w:ascii="Times New Roman" w:hAnsi="Times New Roman" w:eastAsia="宋体" w:cs="Times New Roman"/>
          <w:color w:val="auto"/>
          <w:sz w:val="24"/>
          <w:szCs w:val="24"/>
          <w:highlight w:val="none"/>
          <w:lang w:eastAsia="zh-Hans"/>
        </w:rPr>
      </w:pPr>
      <w:r>
        <w:rPr>
          <w:rFonts w:ascii="Times New Roman" w:hAnsi="Times New Roman" w:eastAsia="宋体" w:cs="Times New Roman"/>
          <w:color w:val="auto"/>
          <w:sz w:val="24"/>
          <w:szCs w:val="24"/>
          <w:highlight w:val="none"/>
          <w:lang w:eastAsia="zh-Hans"/>
        </w:rPr>
        <w:t>采购人将根据中华人民共和国现行技术标准，按招标文件以及合同规定的验收评定标准等规范，由采购人根据《政府采购合同履约和验收管理办法（暂行）》（义招管办</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lang w:eastAsia="zh-Hans"/>
        </w:rPr>
        <w:t>2008</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lang w:eastAsia="zh-Hans"/>
        </w:rPr>
        <w:t>32号文件）及《义乌市人民政府办公室关于印发规范政府采购管理若干意见的通知》（义政办发〔2017〕102号）文件要求，组织验收。</w:t>
      </w:r>
    </w:p>
    <w:p>
      <w:pPr>
        <w:spacing w:line="360" w:lineRule="auto"/>
        <w:ind w:firstLine="480" w:firstLineChars="200"/>
        <w:rPr>
          <w:rFonts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Hans"/>
        </w:rPr>
        <w:t>）付款方式</w:t>
      </w:r>
    </w:p>
    <w:p>
      <w:pPr>
        <w:pStyle w:val="12"/>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在合同生效以及具备实施条件后7个工作日内，采购人向中标人支付合同总价的40%作为预付款，项目整体验收合格并收到中标方正规发票后7个工作日内一次性付清，货款凭发票，合同、采购验收单由采购人支付。</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在签订合同时，中标方明确表示无需预付款或者主动要求降低预付款比例的，采购单位可不支付或减少预付款支付比例</w:t>
      </w:r>
      <w:r>
        <w:rPr>
          <w:rFonts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（五）其他</w:t>
      </w:r>
      <w:r>
        <w:rPr>
          <w:rFonts w:hint="eastAsia" w:ascii="Times New Roman" w:hAnsi="Times New Roman" w:cs="Times New Roman"/>
          <w:color w:val="auto"/>
          <w:sz w:val="24"/>
          <w:szCs w:val="24"/>
          <w:highlight w:val="none"/>
          <w:lang w:val="en-US" w:eastAsia="zh-CN"/>
        </w:rPr>
        <w:t xml:space="preserve"> </w:t>
      </w: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1、投标人的施工人员须具有高空作业证。</w:t>
      </w:r>
    </w:p>
    <w:p>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★2、项目实施过程中，投标人必须严格按照相关安全规定进行，出现安全事故由投标人自行承担一切责任</w:t>
      </w:r>
      <w:r>
        <w:rPr>
          <w:rFonts w:hint="default"/>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36"/>
          <w:highlight w:val="none"/>
        </w:rPr>
      </w:pPr>
      <w:r>
        <w:rPr>
          <w:rFonts w:hint="eastAsia" w:ascii="宋体" w:hAnsi="宋体" w:eastAsia="宋体" w:cs="宋体"/>
          <w:color w:val="auto"/>
          <w:sz w:val="36"/>
          <w:highlight w:val="none"/>
        </w:rPr>
        <w:br w:type="page"/>
      </w:r>
    </w:p>
    <w:p>
      <w:pPr>
        <w:pStyle w:val="3"/>
        <w:spacing w:line="360" w:lineRule="auto"/>
        <w:jc w:val="center"/>
        <w:rPr>
          <w:rFonts w:ascii="宋体" w:hAnsi="宋体" w:eastAsia="宋体" w:cs="宋体"/>
          <w:color w:val="auto"/>
          <w:sz w:val="36"/>
          <w:highlight w:val="none"/>
        </w:rPr>
      </w:pPr>
      <w:r>
        <w:rPr>
          <w:rFonts w:hint="eastAsia" w:ascii="宋体" w:hAnsi="宋体" w:eastAsia="宋体" w:cs="宋体"/>
          <w:color w:val="auto"/>
          <w:sz w:val="36"/>
          <w:highlight w:val="none"/>
        </w:rPr>
        <w:t>第四章  开标、评标和定标须知</w:t>
      </w:r>
    </w:p>
    <w:p>
      <w:pPr>
        <w:pStyle w:val="4"/>
        <w:widowControl/>
        <w:spacing w:before="0" w:after="0" w:line="360" w:lineRule="auto"/>
        <w:jc w:val="left"/>
        <w:rPr>
          <w:rFonts w:ascii="宋体" w:hAnsi="宋体" w:eastAsia="宋体" w:cs="宋体"/>
          <w:color w:val="auto"/>
          <w:sz w:val="24"/>
          <w:szCs w:val="24"/>
          <w:highlight w:val="none"/>
        </w:rPr>
      </w:pPr>
      <w:bookmarkStart w:id="13" w:name="_Toc406413937"/>
      <w:bookmarkStart w:id="14" w:name="_Toc384297860"/>
      <w:bookmarkStart w:id="15" w:name="_Toc261519847"/>
      <w:bookmarkStart w:id="16" w:name="_Toc274303253"/>
      <w:bookmarkStart w:id="17" w:name="_Toc226973002"/>
      <w:bookmarkStart w:id="18" w:name="_Toc362250705"/>
      <w:bookmarkStart w:id="19" w:name="_Toc263090375"/>
      <w:bookmarkStart w:id="20" w:name="_Toc362268017"/>
      <w:r>
        <w:rPr>
          <w:rFonts w:hint="eastAsia" w:ascii="宋体" w:hAnsi="宋体" w:eastAsia="宋体" w:cs="宋体"/>
          <w:color w:val="auto"/>
          <w:sz w:val="24"/>
          <w:szCs w:val="24"/>
          <w:highlight w:val="none"/>
        </w:rPr>
        <w:t>一、开标</w:t>
      </w:r>
      <w:bookmarkEnd w:id="13"/>
      <w:bookmarkEnd w:id="1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1、本项目实行电子开评标，投标人无需前往开评标现场，只需在规定时间内在“政采云”平台上上传电子投标文件。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2、电子开评标及评审程序</w:t>
      </w:r>
    </w:p>
    <w:p>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2.1投标截止时间后的1小时内（开标当日</w:t>
      </w:r>
      <w:r>
        <w:rPr>
          <w:rFonts w:hint="eastAsia" w:ascii="宋体" w:hAnsi="宋体" w:eastAsia="宋体" w:cs="宋体"/>
          <w:b/>
          <w:color w:val="auto"/>
          <w:sz w:val="24"/>
          <w:szCs w:val="24"/>
          <w:highlight w:val="none"/>
          <w:lang w:eastAsia="zh-CN"/>
        </w:rPr>
        <w:t>09:30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10:30</w:t>
      </w:r>
      <w:r>
        <w:rPr>
          <w:rFonts w:hint="eastAsia" w:ascii="宋体" w:hAnsi="宋体" w:eastAsia="宋体" w:cs="宋体"/>
          <w:b/>
          <w:color w:val="auto"/>
          <w:sz w:val="24"/>
          <w:szCs w:val="24"/>
          <w:highlight w:val="none"/>
        </w:rPr>
        <w:t xml:space="preserve">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2.2.评标小组对投标人的资格和商务技术响应文件进行评审；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2.3评标小组对报价响应文件进行评审；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2.4在系统上公布评审结果。</w:t>
      </w:r>
    </w:p>
    <w:p>
      <w:pPr>
        <w:spacing w:line="360" w:lineRule="auto"/>
        <w:ind w:firstLine="482" w:firstLineChars="20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特别说明：政采云公司如对电子化开标及评审程序有调整的，按调整后的程序操作。</w:t>
      </w:r>
    </w:p>
    <w:p>
      <w:pPr>
        <w:pStyle w:val="4"/>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w:t>
      </w:r>
      <w:bookmarkEnd w:id="15"/>
      <w:bookmarkEnd w:id="16"/>
      <w:bookmarkEnd w:id="17"/>
      <w:bookmarkEnd w:id="18"/>
      <w:bookmarkEnd w:id="19"/>
    </w:p>
    <w:p>
      <w:pPr>
        <w:spacing w:line="360" w:lineRule="auto"/>
        <w:ind w:firstLine="48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3、评标小组</w:t>
      </w:r>
    </w:p>
    <w:p>
      <w:pPr>
        <w:pStyle w:val="12"/>
        <w:tabs>
          <w:tab w:val="left" w:pos="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4、评标原则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4.1评标小组将遵循公开、公平、公正的原则，严格遵守评标工作纪律。</w:t>
      </w:r>
    </w:p>
    <w:p>
      <w:pPr>
        <w:spacing w:line="360" w:lineRule="auto"/>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4.2先评资格及商务技术响应文件，再评报价响应文件</w:t>
      </w:r>
      <w:r>
        <w:rPr>
          <w:rFonts w:hint="eastAsia" w:ascii="宋体" w:hAnsi="宋体" w:eastAsia="宋体" w:cs="宋体"/>
          <w:bCs/>
          <w:color w:val="auto"/>
          <w:sz w:val="24"/>
          <w:szCs w:val="24"/>
          <w:highlight w:val="none"/>
        </w:rPr>
        <w:t>。</w:t>
      </w:r>
    </w:p>
    <w:p>
      <w:pPr>
        <w:spacing w:line="360" w:lineRule="auto"/>
        <w:ind w:firstLine="48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4.3</w:t>
      </w:r>
      <w:r>
        <w:rPr>
          <w:rFonts w:hint="eastAsia" w:ascii="宋体" w:hAnsi="宋体" w:eastAsia="宋体" w:cs="宋体"/>
          <w:color w:val="auto"/>
          <w:sz w:val="24"/>
          <w:szCs w:val="24"/>
          <w:highlight w:val="none"/>
        </w:rPr>
        <w:t>客观公正对待所有投标人，对所有投标评标均采用相同的程序和标准。评标的依据为招标文件和投标文件。</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4.4有利于提高政府投资效益，节约建设资金。</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4.5异常或特殊情况处理：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4.5.1在评标过程中，如发现招标文件中内容有不一致的（除招标文件中</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地方另有规定的外），经评标小组成员讨论认为不影响评标的，可以继续评标。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4.5.2在评标过程中，出现</w:t>
      </w:r>
      <w:r>
        <w:rPr>
          <w:rFonts w:hint="eastAsia" w:ascii="宋体" w:hAnsi="宋体" w:eastAsia="宋体" w:cs="宋体"/>
          <w:color w:val="auto"/>
          <w:sz w:val="24"/>
          <w:szCs w:val="24"/>
          <w:highlight w:val="none"/>
          <w:lang w:eastAsia="zh-CN"/>
        </w:rPr>
        <w:t>其他异常</w:t>
      </w:r>
      <w:r>
        <w:rPr>
          <w:rFonts w:hint="eastAsia" w:ascii="宋体" w:hAnsi="宋体" w:eastAsia="宋体" w:cs="宋体"/>
          <w:color w:val="auto"/>
          <w:sz w:val="24"/>
          <w:szCs w:val="24"/>
          <w:highlight w:val="none"/>
        </w:rPr>
        <w:t>或特殊情况时，由评标小组集体讨论决定。</w:t>
      </w:r>
    </w:p>
    <w:p>
      <w:pPr>
        <w:pStyle w:val="12"/>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5、评标过程的保密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5.2在投标文件的评标和比较、中标候选人推荐以及授予合同的过程中，投标人向采购人和评标小组施加影响的任何行为，都将会导致其投标被拒绝。</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pacing w:val="-4"/>
          <w:sz w:val="24"/>
          <w:szCs w:val="24"/>
          <w:highlight w:val="none"/>
        </w:rPr>
        <w:t>为保证定标的公正性，在评标过程中，评标成员不得与投标人私人交换意见。在招标工作结束后，凡与评标情况有接触的任何人不得也不应将评标情况扩散出评标成员之外。</w:t>
      </w:r>
    </w:p>
    <w:p>
      <w:pPr>
        <w:pStyle w:val="12"/>
        <w:tabs>
          <w:tab w:val="left" w:pos="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5.5评标小组不向落标方解释落标原因，不退还投标文件。</w:t>
      </w:r>
    </w:p>
    <w:p>
      <w:pPr>
        <w:numPr>
          <w:ilvl w:val="0"/>
          <w:numId w:val="3"/>
        </w:num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投标人的认定</w:t>
      </w:r>
    </w:p>
    <w:p>
      <w:pPr>
        <w:pStyle w:val="12"/>
        <w:spacing w:line="360" w:lineRule="auto"/>
        <w:ind w:firstLine="480" w:firstLineChars="200"/>
        <w:rPr>
          <w:rFonts w:hAnsi="宋体" w:cs="宋体"/>
          <w:color w:val="auto"/>
          <w:sz w:val="24"/>
          <w:szCs w:val="24"/>
          <w:highlight w:val="none"/>
        </w:rPr>
      </w:pPr>
      <w:bookmarkStart w:id="21" w:name="_Hlk24447288"/>
      <w:r>
        <w:rPr>
          <w:rFonts w:hint="eastAsia" w:hAnsi="宋体" w:cs="宋体"/>
          <w:color w:val="auto"/>
          <w:sz w:val="24"/>
          <w:szCs w:val="24"/>
          <w:highlight w:val="none"/>
        </w:rPr>
        <w:t>使用综合评分法的采购项目，提供相同品牌的</w:t>
      </w:r>
      <w:r>
        <w:rPr>
          <w:rFonts w:ascii="Times New Roman" w:hAnsi="Times New Roman" w:cs="Times New Roman"/>
          <w:color w:val="auto"/>
          <w:sz w:val="24"/>
          <w:highlight w:val="none"/>
        </w:rPr>
        <w:t>产品</w:t>
      </w:r>
      <w:r>
        <w:rPr>
          <w:rFonts w:hint="eastAsia" w:hAnsi="宋体" w:cs="宋体"/>
          <w:color w:val="auto"/>
          <w:sz w:val="24"/>
          <w:szCs w:val="24"/>
          <w:highlight w:val="none"/>
        </w:rPr>
        <w:t>且通过资格审查、符合性审查的不同投标人参加同一合同项下投标的，按一家投标人计算，评审后得分最高的同品牌投标人为有效投标人；评审得分相同的，采取随机抽取方式确定，其他同品牌投标人投标无效。</w:t>
      </w:r>
    </w:p>
    <w:p>
      <w:pPr>
        <w:pStyle w:val="12"/>
        <w:spacing w:line="360" w:lineRule="auto"/>
        <w:ind w:firstLine="480" w:firstLineChars="200"/>
        <w:rPr>
          <w:rFonts w:hAnsi="宋体" w:cs="宋体"/>
          <w:color w:val="auto"/>
          <w:spacing w:val="-4"/>
          <w:sz w:val="24"/>
          <w:szCs w:val="24"/>
          <w:highlight w:val="none"/>
        </w:rPr>
      </w:pPr>
      <w:r>
        <w:rPr>
          <w:rFonts w:hint="eastAsia" w:hAnsi="宋体" w:cs="宋体"/>
          <w:color w:val="auto"/>
          <w:sz w:val="24"/>
          <w:szCs w:val="24"/>
          <w:highlight w:val="none"/>
        </w:rPr>
        <w:t>单位负责人为同一人或者存在直接控股、管理关系的不同投标人，不得参加同一合同项下的政府采购活动。</w:t>
      </w:r>
      <w:bookmarkEnd w:id="21"/>
    </w:p>
    <w:p>
      <w:p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7.2如果投标人代表拒绝按评标小组要求在“政采云”平台作出在线回复且无其他有效回复方式的，评标小组可以对其作出无效标处理。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
          <w:color w:val="auto"/>
          <w:sz w:val="24"/>
          <w:szCs w:val="24"/>
          <w:highlight w:val="none"/>
        </w:rPr>
        <w:t>投标文件的初步评标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8.1开标后，评标小组将对每份投标文件进行初步评标，初步评标内容为：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8.1.1是否出现第五章规定的内容；</w:t>
      </w:r>
    </w:p>
    <w:p>
      <w:pPr>
        <w:spacing w:line="360" w:lineRule="auto"/>
        <w:ind w:firstLine="480" w:firstLineChars="200"/>
        <w:rPr>
          <w:rFonts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8.3如果投标文件实质上不响应招标文件的各项要求，评标小组将予以拒绝，并且不允许投标人通过修改或撤销其不符合要求的差异或保留，使之成为具有响应性的投标。</w:t>
      </w:r>
    </w:p>
    <w:p>
      <w:pPr>
        <w:pStyle w:val="1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9、投标文件计算错误的修正</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9.1评标小组将对确定为实质上响应招标文件要求的投标文件进行校核，看其是否有计算或表达上的错误，修正错误的原则如下：</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9.1.1投标文件中开标一览表（报价表）内容与投标文件中相应内容不一致的，以开标一览表（报价表）为准；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9.1.2大写金额和小写金额不一致的，以大写金额为准；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9.1.3单价金额小数点或者百分比有明显错位的，以开标一览表的总价为准，并修改单价；</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9.1.4总价金额与按单价汇总金额不一致的，以单价金额计算结果为准。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9.1.5对不同文字文本投标文件的解释发生异议的，以中文文本为准。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9.1.6客户端填写的报价与以pdf格式上传文件中的报价不一致的，应以Pdf格式上传文件中的报价为准。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评标小组可以拒绝接受不是中文版的投标文件以及与投标相关的资料。</w:t>
      </w:r>
    </w:p>
    <w:p>
      <w:pPr>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10、投标文件的评标、比较和否决</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10.1评标小组将按照本须知规定，仅对在实质上响应招标文件要求的投标文件进行评估和比较。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10.2在评标过程中，评标小组可以要求投标人就投标文件中含义不明确的内容进行书面说明并提供相关材料。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10.3评标小组在作出任何一项无效标决定前，都应当严格遵循以下程序：</w:t>
      </w:r>
    </w:p>
    <w:p>
      <w:pPr>
        <w:spacing w:line="360" w:lineRule="auto"/>
        <w:ind w:firstLine="472" w:firstLineChars="196"/>
        <w:rPr>
          <w:rFonts w:ascii="宋体" w:hAnsi="宋体" w:eastAsia="宋体" w:cs="宋体"/>
          <w:b/>
          <w:color w:val="auto"/>
          <w:sz w:val="24"/>
          <w:szCs w:val="24"/>
          <w:highlight w:val="none"/>
          <w:shd w:val="pct10" w:color="auto" w:fill="FFFFFF"/>
        </w:rPr>
      </w:pPr>
      <w:r>
        <w:rPr>
          <w:rFonts w:hint="eastAsia" w:ascii="宋体" w:hAnsi="宋体" w:eastAsia="宋体" w:cs="宋体"/>
          <w:b/>
          <w:color w:val="auto"/>
          <w:sz w:val="24"/>
          <w:szCs w:val="24"/>
          <w:highlight w:val="none"/>
          <w:shd w:val="pct10" w:color="auto" w:fill="FFFFFF"/>
        </w:rPr>
        <w:t>10.3.1要求当事投标人</w:t>
      </w:r>
      <w:r>
        <w:rPr>
          <w:rFonts w:hint="eastAsia" w:ascii="宋体" w:hAnsi="宋体" w:eastAsia="宋体" w:cs="宋体"/>
          <w:b/>
          <w:color w:val="auto"/>
          <w:sz w:val="24"/>
          <w:szCs w:val="24"/>
          <w:highlight w:val="none"/>
          <w:shd w:val="pct10" w:color="auto" w:fill="FFFFFF"/>
          <w:lang w:eastAsia="zh-CN"/>
        </w:rPr>
        <w:t>做</w:t>
      </w:r>
      <w:r>
        <w:rPr>
          <w:rFonts w:hint="eastAsia" w:ascii="宋体" w:hAnsi="宋体" w:eastAsia="宋体" w:cs="宋体"/>
          <w:b/>
          <w:color w:val="auto"/>
          <w:sz w:val="24"/>
          <w:szCs w:val="24"/>
          <w:highlight w:val="none"/>
          <w:shd w:val="pct10" w:color="auto" w:fill="FFFFFF"/>
        </w:rPr>
        <w:t>相应的答辩；</w:t>
      </w:r>
    </w:p>
    <w:p>
      <w:pPr>
        <w:spacing w:line="360" w:lineRule="auto"/>
        <w:ind w:firstLine="472" w:firstLineChars="196"/>
        <w:rPr>
          <w:rFonts w:ascii="宋体" w:hAnsi="宋体" w:eastAsia="宋体" w:cs="宋体"/>
          <w:b/>
          <w:color w:val="auto"/>
          <w:sz w:val="24"/>
          <w:szCs w:val="24"/>
          <w:highlight w:val="none"/>
          <w:shd w:val="pct10" w:color="auto" w:fill="FFFFFF"/>
        </w:rPr>
      </w:pPr>
      <w:r>
        <w:rPr>
          <w:rFonts w:hint="eastAsia" w:ascii="宋体" w:hAnsi="宋体" w:eastAsia="宋体" w:cs="宋体"/>
          <w:b/>
          <w:color w:val="auto"/>
          <w:sz w:val="24"/>
          <w:szCs w:val="24"/>
          <w:highlight w:val="none"/>
          <w:shd w:val="pct10" w:color="auto" w:fill="FFFFFF"/>
        </w:rPr>
        <w:t>10.3.2在充分讨论的基础上集体表决；</w:t>
      </w:r>
    </w:p>
    <w:p>
      <w:p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10.4评标小组经评标，认为所有投标都不符合招标文件要求时，可以否决所有投标。所有投标被否决后，采购人应当依法重新招标。</w:t>
      </w:r>
    </w:p>
    <w:p>
      <w:pPr>
        <w:pStyle w:val="12"/>
        <w:spacing w:line="360" w:lineRule="auto"/>
        <w:ind w:firstLine="482"/>
        <w:rPr>
          <w:rFonts w:hAnsi="宋体" w:cs="宋体"/>
          <w:b/>
          <w:color w:val="auto"/>
          <w:spacing w:val="-4"/>
          <w:sz w:val="24"/>
          <w:szCs w:val="24"/>
          <w:highlight w:val="none"/>
        </w:rPr>
      </w:pPr>
      <w:r>
        <w:rPr>
          <w:rFonts w:hint="eastAsia" w:hAnsi="宋体" w:cs="宋体"/>
          <w:b/>
          <w:color w:val="auto"/>
          <w:spacing w:val="-4"/>
          <w:sz w:val="24"/>
          <w:szCs w:val="24"/>
          <w:highlight w:val="none"/>
        </w:rPr>
        <w:t>11、评标办法</w:t>
      </w:r>
    </w:p>
    <w:p>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11.1本项目综合评分法（具体评标办法见后）。</w:t>
      </w:r>
    </w:p>
    <w:p>
      <w:p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12、决标</w:t>
      </w:r>
    </w:p>
    <w:p>
      <w:pPr>
        <w:spacing w:line="360" w:lineRule="auto"/>
        <w:ind w:firstLine="5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评标小组依据本招标文件规定的评标标准和方法，对投标文件进行评标和比较，向采购人提出书面评标报告，并直接确定中标人。</w:t>
      </w:r>
    </w:p>
    <w:p>
      <w:pPr>
        <w:pStyle w:val="4"/>
        <w:spacing w:before="0" w:after="0" w:line="360" w:lineRule="auto"/>
        <w:rPr>
          <w:rFonts w:ascii="宋体" w:hAnsi="宋体" w:eastAsia="宋体" w:cs="宋体"/>
          <w:color w:val="auto"/>
          <w:sz w:val="24"/>
          <w:szCs w:val="24"/>
          <w:highlight w:val="none"/>
        </w:rPr>
      </w:pPr>
      <w:bookmarkStart w:id="22" w:name="_Toc274303254"/>
      <w:bookmarkStart w:id="23" w:name="_Toc263090376"/>
      <w:bookmarkStart w:id="24" w:name="_Toc362250706"/>
      <w:bookmarkStart w:id="25" w:name="_Toc261519848"/>
      <w:bookmarkStart w:id="26" w:name="_Toc226973003"/>
      <w:r>
        <w:rPr>
          <w:rFonts w:hint="eastAsia" w:ascii="宋体" w:hAnsi="宋体" w:eastAsia="宋体" w:cs="宋体"/>
          <w:color w:val="auto"/>
          <w:sz w:val="24"/>
          <w:szCs w:val="24"/>
          <w:highlight w:val="none"/>
        </w:rPr>
        <w:t>三、定标</w:t>
      </w:r>
      <w:bookmarkEnd w:id="22"/>
      <w:bookmarkEnd w:id="23"/>
      <w:bookmarkEnd w:id="24"/>
      <w:bookmarkEnd w:id="25"/>
      <w:bookmarkEnd w:id="26"/>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13、</w:t>
      </w:r>
      <w:r>
        <w:rPr>
          <w:rFonts w:hint="eastAsia" w:ascii="宋体" w:hAnsi="宋体" w:eastAsia="宋体" w:cs="宋体"/>
          <w:b/>
          <w:bCs/>
          <w:color w:val="auto"/>
          <w:sz w:val="24"/>
          <w:szCs w:val="24"/>
          <w:highlight w:val="none"/>
        </w:rPr>
        <w:t>中标通知</w:t>
      </w:r>
    </w:p>
    <w:p>
      <w:pPr>
        <w:pStyle w:val="12"/>
        <w:spacing w:line="360" w:lineRule="auto"/>
        <w:ind w:firstLine="480" w:firstLineChars="200"/>
        <w:rPr>
          <w:rFonts w:hAnsi="宋体" w:cs="宋体"/>
          <w:b/>
          <w:bCs/>
          <w:color w:val="auto"/>
          <w:sz w:val="24"/>
          <w:szCs w:val="24"/>
          <w:highlight w:val="none"/>
        </w:rPr>
      </w:pPr>
      <w:r>
        <w:rPr>
          <w:rFonts w:hint="eastAsia" w:hAnsi="宋体" w:cs="宋体"/>
          <w:color w:val="auto"/>
          <w:sz w:val="24"/>
          <w:szCs w:val="24"/>
          <w:highlight w:val="none"/>
        </w:rPr>
        <w:t>13.1评标结束后，评标结果公告</w:t>
      </w:r>
      <w:r>
        <w:rPr>
          <w:rFonts w:hint="eastAsia" w:hAnsi="宋体" w:cs="宋体"/>
          <w:color w:val="auto"/>
          <w:sz w:val="24"/>
          <w:szCs w:val="24"/>
          <w:highlight w:val="none"/>
          <w:u w:val="single"/>
        </w:rPr>
        <w:t>1</w:t>
      </w:r>
      <w:r>
        <w:rPr>
          <w:rFonts w:hint="eastAsia" w:hAnsi="宋体" w:cs="宋体"/>
          <w:color w:val="auto"/>
          <w:sz w:val="24"/>
          <w:szCs w:val="24"/>
          <w:highlight w:val="none"/>
        </w:rPr>
        <w:t>个工作日，发布评标结果公告的媒体为：浙江政府采购网。</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13.2发放中标通知书前，采购人或其委托的采购代理机构应在中国裁判文书网上查询中标（成交）单位及其拟派项目负责人自202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年1月1日至中标公告期结束前行贿犯罪记录情况，查询结果以网站页面显示内容为准。经查实，</w:t>
      </w:r>
      <w:r>
        <w:rPr>
          <w:rFonts w:hint="eastAsia" w:ascii="宋体" w:hAnsi="宋体" w:eastAsia="宋体" w:cs="宋体"/>
          <w:color w:val="auto"/>
          <w:sz w:val="24"/>
          <w:szCs w:val="24"/>
          <w:highlight w:val="none"/>
          <w:shd w:val="clear" w:color="auto" w:fill="FFFFFF"/>
        </w:rPr>
        <w:t>中标人</w:t>
      </w:r>
      <w:r>
        <w:rPr>
          <w:rFonts w:hint="eastAsia" w:ascii="宋体" w:hAnsi="宋体" w:eastAsia="宋体" w:cs="宋体"/>
          <w:color w:val="auto"/>
          <w:sz w:val="24"/>
          <w:szCs w:val="24"/>
          <w:highlight w:val="none"/>
        </w:rPr>
        <w:t>有前述行贿犯罪记录的，取消其中标资格，采购人依法重新组织采购。</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13.3由采购人和其委托的采购代理机构共同签发《中标通知书》。《中标通知书》一经发出即发生法律效力。</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13.4开标过程中，投标人对开标有异议的，应当在“政采云”平台上及时提出，评标小组应对异常情况</w:t>
      </w:r>
      <w:r>
        <w:rPr>
          <w:rFonts w:hint="eastAsia" w:hAnsi="宋体" w:cs="宋体"/>
          <w:color w:val="auto"/>
          <w:sz w:val="24"/>
          <w:szCs w:val="24"/>
          <w:highlight w:val="none"/>
          <w:lang w:eastAsia="zh-CN"/>
        </w:rPr>
        <w:t>做</w:t>
      </w:r>
      <w:r>
        <w:rPr>
          <w:rFonts w:hint="eastAsia" w:hAnsi="宋体" w:cs="宋体"/>
          <w:color w:val="auto"/>
          <w:sz w:val="24"/>
          <w:szCs w:val="24"/>
          <w:highlight w:val="none"/>
        </w:rPr>
        <w:t>记录。</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或未在规定的时间内作出答复的，可以在答复期满后十五个工作日内向同级政府采购监督管理部门投诉。</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13.6质疑投诉的相关规定</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（一）质疑投诉递交的资料需为书面材料。质疑投诉书面材料需法人代表人或授权代表签字并加盖公章。</w:t>
      </w:r>
    </w:p>
    <w:p>
      <w:pPr>
        <w:pStyle w:val="12"/>
        <w:tabs>
          <w:tab w:val="left" w:pos="90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（二）质疑投诉属于以下情况之一的，将不予受理：</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（1）质疑投诉人不是所投诉项目的参与者，或者与质疑投诉项目无任何利害关系。</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（2）质疑投诉事项不具体且未提供有效线索，难以查证。</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（3）未提供书面质疑或者质疑未加盖公章的；投诉人为法人或者其他组织，其投诉书未经法定代表人或者主要负责人签字并加盖公章的。</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 xml:space="preserve">（4）已超过招标文件规定质疑投诉提出期限的事项。 </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（5）投诉事项已作出处理决定，并且投诉人没有提出新的证据；</w:t>
      </w:r>
    </w:p>
    <w:p>
      <w:pPr>
        <w:pStyle w:val="12"/>
        <w:tabs>
          <w:tab w:val="left" w:pos="900"/>
        </w:tabs>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（6）质疑投诉的事项已经进入行政复议或者行政诉讼程序的；投诉事项应先提出质疑而没有提出质疑的。</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（7）不符合《政府采购质疑和投诉办法》（财政部令第94号）和《关于印发</w:t>
      </w:r>
      <w:r>
        <w:rPr>
          <w:rFonts w:hint="eastAsia" w:hAnsi="宋体" w:cs="宋体"/>
          <w:color w:val="auto"/>
          <w:sz w:val="24"/>
          <w:szCs w:val="24"/>
          <w:highlight w:val="none"/>
          <w:lang w:eastAsia="zh-CN"/>
        </w:rPr>
        <w:t>〈</w:t>
      </w:r>
      <w:r>
        <w:rPr>
          <w:rFonts w:hint="eastAsia" w:hAnsi="宋体" w:cs="宋体"/>
          <w:color w:val="auto"/>
          <w:sz w:val="24"/>
          <w:szCs w:val="24"/>
          <w:highlight w:val="none"/>
        </w:rPr>
        <w:t>浙江省政府采购投标人质疑处理办法</w:t>
      </w:r>
      <w:r>
        <w:rPr>
          <w:rFonts w:hint="eastAsia" w:hAnsi="宋体" w:cs="宋体"/>
          <w:color w:val="auto"/>
          <w:sz w:val="24"/>
          <w:szCs w:val="24"/>
          <w:highlight w:val="none"/>
          <w:lang w:eastAsia="zh-CN"/>
        </w:rPr>
        <w:t>〉</w:t>
      </w:r>
      <w:r>
        <w:rPr>
          <w:rFonts w:hint="eastAsia" w:hAnsi="宋体" w:cs="宋体"/>
          <w:color w:val="auto"/>
          <w:sz w:val="24"/>
          <w:szCs w:val="24"/>
          <w:highlight w:val="none"/>
        </w:rPr>
        <w:t>的通知》（浙财采监〔2012〕18号）等有关规定的质疑投诉。</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14、合同签订</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14.1中标人自接到《中标通知书》后应在三十天内与采购人签订合同。</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14.2招标文件、中标人的投标文件、评标过程中投标人在询标时作出的承诺及其澄清文件等，均为签订合同的依据。</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14.4采购人与中标人签订合同后招标代理机构将中标结果通知落选投标人，采购人和招标代理机构对评标结果不负责解释。</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14.5采购人变更数量的权利</w:t>
      </w:r>
    </w:p>
    <w:p>
      <w:pPr>
        <w:pStyle w:val="12"/>
        <w:spacing w:line="360" w:lineRule="auto"/>
        <w:ind w:firstLine="600" w:firstLineChars="250"/>
        <w:rPr>
          <w:rFonts w:hAnsi="宋体" w:cs="宋体"/>
          <w:color w:val="auto"/>
          <w:sz w:val="24"/>
          <w:szCs w:val="24"/>
          <w:highlight w:val="none"/>
        </w:rPr>
      </w:pPr>
      <w:r>
        <w:rPr>
          <w:rFonts w:hint="eastAsia" w:hAnsi="宋体" w:cs="宋体"/>
          <w:color w:val="auto"/>
          <w:sz w:val="24"/>
          <w:szCs w:val="24"/>
          <w:highlight w:val="none"/>
        </w:rPr>
        <w:t>采购人在授予合同时有权对“技术要求及招标范围”中规定的服务予以增加或减少，但必须符合《中华人民共和国政府采购法》及义乌市政府采购的相关规定。</w:t>
      </w:r>
    </w:p>
    <w:p>
      <w:pPr>
        <w:pStyle w:val="3"/>
        <w:spacing w:line="360" w:lineRule="auto"/>
        <w:jc w:val="center"/>
        <w:rPr>
          <w:rFonts w:ascii="宋体" w:hAnsi="宋体" w:eastAsia="宋体" w:cs="宋体"/>
          <w:color w:val="auto"/>
          <w:sz w:val="36"/>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sz w:val="36"/>
          <w:highlight w:val="none"/>
        </w:rPr>
        <w:t>第五章  投标文件的有效性</w:t>
      </w:r>
      <w:bookmarkEnd w:id="20"/>
    </w:p>
    <w:p>
      <w:pPr>
        <w:pStyle w:val="12"/>
        <w:spacing w:line="360" w:lineRule="auto"/>
        <w:ind w:firstLine="472" w:firstLineChars="196"/>
        <w:rPr>
          <w:rFonts w:hAnsi="宋体" w:cs="宋体"/>
          <w:b/>
          <w:color w:val="auto"/>
          <w:sz w:val="24"/>
          <w:szCs w:val="24"/>
          <w:highlight w:val="none"/>
        </w:rPr>
      </w:pPr>
    </w:p>
    <w:p>
      <w:pPr>
        <w:pStyle w:val="12"/>
        <w:spacing w:line="360" w:lineRule="auto"/>
        <w:ind w:firstLine="472" w:firstLineChars="196"/>
        <w:rPr>
          <w:rFonts w:hAnsi="宋体" w:cs="宋体"/>
          <w:b/>
          <w:color w:val="auto"/>
          <w:sz w:val="24"/>
          <w:szCs w:val="24"/>
          <w:highlight w:val="none"/>
        </w:rPr>
      </w:pPr>
      <w:r>
        <w:rPr>
          <w:rFonts w:hint="eastAsia" w:hAnsi="宋体" w:cs="宋体"/>
          <w:b/>
          <w:color w:val="auto"/>
          <w:sz w:val="24"/>
          <w:szCs w:val="24"/>
          <w:highlight w:val="none"/>
        </w:rPr>
        <w:t>1、有下列情形之一的，招标方将不予受理投标文件。</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1.1逾期上传电子档投标文件至“政采云”平台的；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1.2电子投标文件在规定时间内解密未成功的且未提供备份投标文件或提供的备份投标文件无法上传打开的。</w:t>
      </w:r>
    </w:p>
    <w:p>
      <w:pPr>
        <w:adjustRightIn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2、投标文件在资格或商务技术标评审出现下列情形之一的，由评标小组审核后按无效投标文件处理。</w:t>
      </w:r>
    </w:p>
    <w:p>
      <w:pPr>
        <w:numPr>
          <w:ilvl w:val="0"/>
          <w:numId w:val="4"/>
        </w:numPr>
        <w:tabs>
          <w:tab w:val="left" w:pos="5325"/>
        </w:tabs>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资格响应文件或商务技术响应文件中包含投标报价的；</w:t>
      </w:r>
    </w:p>
    <w:p>
      <w:pPr>
        <w:numPr>
          <w:ilvl w:val="0"/>
          <w:numId w:val="4"/>
        </w:numPr>
        <w:tabs>
          <w:tab w:val="left" w:pos="5325"/>
        </w:tabs>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招标文件关于投标文件组成内容商务技术响应文件要求中的内容，投标人的投标文件内容未提供完整或关键字迹模糊、无法辨认的或未按其规定的格式及要求填写、签字、盖章或提供的投标文件内容不符合招标文件中有关打★号的条款的规定；</w:t>
      </w:r>
    </w:p>
    <w:p>
      <w:pPr>
        <w:numPr>
          <w:ilvl w:val="0"/>
          <w:numId w:val="4"/>
        </w:numPr>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文件未按招标文件要求加盖电子签章或实体公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numPr>
          <w:ilvl w:val="0"/>
          <w:numId w:val="4"/>
        </w:numPr>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投标人的投标资格未符合招标文件的资格要求规定；</w:t>
      </w:r>
    </w:p>
    <w:p>
      <w:pPr>
        <w:numPr>
          <w:ilvl w:val="0"/>
          <w:numId w:val="4"/>
        </w:numPr>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投标人递交两份或多份内容不同的投标文件且未声明哪一个有效，但按招标文件规定提交备选投标</w:t>
      </w:r>
      <w:r>
        <w:rPr>
          <w:rFonts w:hint="eastAsia" w:ascii="宋体" w:hAnsi="宋体" w:eastAsia="宋体" w:cs="宋体"/>
          <w:color w:val="auto"/>
          <w:sz w:val="24"/>
          <w:szCs w:val="24"/>
          <w:highlight w:val="none"/>
          <w:lang w:eastAsia="zh-CN"/>
        </w:rPr>
        <w:t>人方</w:t>
      </w:r>
      <w:r>
        <w:rPr>
          <w:rFonts w:hint="eastAsia" w:ascii="宋体" w:hAnsi="宋体" w:eastAsia="宋体" w:cs="宋体"/>
          <w:color w:val="auto"/>
          <w:sz w:val="24"/>
          <w:szCs w:val="24"/>
          <w:highlight w:val="none"/>
        </w:rPr>
        <w:t>案的除外；</w:t>
      </w:r>
    </w:p>
    <w:p>
      <w:pPr>
        <w:numPr>
          <w:ilvl w:val="0"/>
          <w:numId w:val="4"/>
        </w:numPr>
        <w:tabs>
          <w:tab w:val="left" w:pos="5325"/>
        </w:tabs>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投标人所投产品的数量不符合招标文件规定的，</w:t>
      </w:r>
      <w:r>
        <w:rPr>
          <w:rFonts w:hint="eastAsia" w:ascii="宋体" w:hAnsi="宋体" w:eastAsia="宋体" w:cs="宋体"/>
          <w:i/>
          <w:color w:val="auto"/>
          <w:sz w:val="24"/>
          <w:szCs w:val="24"/>
          <w:highlight w:val="none"/>
        </w:rPr>
        <w:t>招标需求中要求提供的产品属于节能产品政府采购品目清单中政府强制采购的，投标人未提供该清单内产品的；</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投标人借用或冒用他人名义或证件，或投标人涂改证件，或投标人伪造或编造投标资料的；</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投标中不同投标单位的投标文件出现雷同或相似（包括部分雷同或相似），对所有雷同或相似投标人按废标处理，投标人串标的，招标方将保留进一步追究责任的权利；</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其他对</w:t>
      </w:r>
      <w:r>
        <w:rPr>
          <w:rFonts w:hint="eastAsia" w:ascii="宋体" w:hAnsi="宋体" w:eastAsia="宋体" w:cs="宋体"/>
          <w:color w:val="auto"/>
          <w:sz w:val="24"/>
          <w:szCs w:val="24"/>
          <w:highlight w:val="none"/>
        </w:rPr>
        <w:t>本招标文件中打★号的条款未完全响应的；</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未提交《义乌市政府采购项目投标承诺书》；</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经评标小组认定，投标文件附有采购人不能接受的条件；</w:t>
      </w:r>
    </w:p>
    <w:p>
      <w:pPr>
        <w:numPr>
          <w:ilvl w:val="0"/>
          <w:numId w:val="4"/>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对于评标小组提出的要求投标人澄清或说明的，如果投标人代表拒绝澄清或说明，或者拒绝签字的，评标小组可以对其作出无效标处理；</w:t>
      </w:r>
    </w:p>
    <w:p>
      <w:pPr>
        <w:spacing w:line="360" w:lineRule="auto"/>
        <w:ind w:left="40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2.13单位负责人为同一人或者存在直接控股、管理关系的不同投标人。</w:t>
      </w:r>
    </w:p>
    <w:p>
      <w:pPr>
        <w:adjustRightIn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3、投标文件在报价响应文件评审中出现下列情形之一的，由评标小组审核后按无效投标文件处理。</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招标文件关于投标文件组成内容报价响应文件要求中的内容，投标人的投标文件内容未提供完整或关键字迹模糊、无法辨认的或未按其规定的格式及要求填写、签字、盖章或提供的投标文件内容不符合招标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中有关打★号的条款的规定；</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3.2投标报价高于预算价（或最高限价），或低于企业成本价者或未填报企业成本价者；</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所投产品的数量不符合招标文件规定的； </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3.4投标人对同一采购项目两个或两个以上（两种或两种以上方案）报价的；或两个或两个以上（两种或两种以上方案）成本价的且未声明哪一个有效；</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其他对</w:t>
      </w:r>
      <w:r>
        <w:rPr>
          <w:rFonts w:hint="eastAsia" w:ascii="宋体" w:hAnsi="宋体" w:eastAsia="宋体" w:cs="宋体"/>
          <w:color w:val="auto"/>
          <w:sz w:val="24"/>
          <w:szCs w:val="24"/>
          <w:highlight w:val="none"/>
        </w:rPr>
        <w:t>本招标文件中打★号的条款未完全响应的；</w:t>
      </w:r>
    </w:p>
    <w:p>
      <w:pPr>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3.7当投标人由于报价计算错误，投标人拒绝接受按招标文件的规定进行的修正处理（或拒绝签名确认）。</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（1）不同投标人的投标文件由同一单位或者个人编制；</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（2）不同投标人委托同一单位或者个人办理投标事宜；</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（3）不同投标人的投标文件载明的项目管理成员或者联系人员为同一人；</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（4）不同投标人的投标文件异常一致或者投标报价呈规律性差异；</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（5）不同投标人的投标文件相互混装。</w:t>
      </w:r>
    </w:p>
    <w:p>
      <w:pPr>
        <w:pStyle w:val="12"/>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5、其他违反法律法规的情况。</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6、评标过程中，非上述所罗列的情况，不得以无效标处理。</w:t>
      </w:r>
    </w:p>
    <w:p>
      <w:pPr>
        <w:pStyle w:val="6"/>
        <w:spacing w:line="360" w:lineRule="auto"/>
        <w:rPr>
          <w:rFonts w:ascii="宋体" w:hAnsi="宋体" w:eastAsia="宋体" w:cs="宋体"/>
          <w:color w:val="auto"/>
          <w:sz w:val="24"/>
          <w:highlight w:val="none"/>
        </w:rPr>
      </w:pPr>
    </w:p>
    <w:p>
      <w:pPr>
        <w:pStyle w:val="6"/>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spacing w:line="360" w:lineRule="auto"/>
        <w:jc w:val="center"/>
        <w:rPr>
          <w:rFonts w:ascii="宋体" w:hAnsi="宋体" w:eastAsia="宋体" w:cs="宋体"/>
          <w:color w:val="auto"/>
          <w:sz w:val="36"/>
          <w:highlight w:val="none"/>
        </w:rPr>
      </w:pPr>
      <w:r>
        <w:rPr>
          <w:rFonts w:hint="eastAsia" w:ascii="宋体" w:hAnsi="宋体" w:eastAsia="宋体" w:cs="宋体"/>
          <w:bCs w:val="0"/>
          <w:color w:val="auto"/>
          <w:kern w:val="2"/>
          <w:sz w:val="36"/>
          <w:szCs w:val="36"/>
          <w:highlight w:val="none"/>
        </w:rPr>
        <w:t>第六章</w:t>
      </w:r>
      <w:r>
        <w:rPr>
          <w:rFonts w:hint="eastAsia" w:ascii="宋体" w:hAnsi="宋体" w:eastAsia="宋体" w:cs="宋体"/>
          <w:color w:val="auto"/>
          <w:sz w:val="36"/>
          <w:highlight w:val="none"/>
        </w:rPr>
        <w:t xml:space="preserve">  评标办法</w:t>
      </w:r>
    </w:p>
    <w:p>
      <w:pPr>
        <w:pStyle w:val="12"/>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根据《中华人民共和国政府采购法》和有关规定，为更好地做到公开、公平、公正，结合本次招标的特点，特制定本评标办法。评标小组用</w:t>
      </w:r>
      <w:r>
        <w:rPr>
          <w:rFonts w:hint="eastAsia" w:hAnsi="宋体" w:cs="宋体"/>
          <w:color w:val="auto"/>
          <w:sz w:val="24"/>
          <w:highlight w:val="none"/>
          <w:u w:val="single"/>
        </w:rPr>
        <w:t>综合评分法</w:t>
      </w:r>
      <w:r>
        <w:rPr>
          <w:rFonts w:hint="eastAsia" w:hAnsi="宋体" w:cs="宋体"/>
          <w:color w:val="auto"/>
          <w:sz w:val="24"/>
          <w:highlight w:val="none"/>
        </w:rPr>
        <w:t>对招标项目作出评标结论。</w:t>
      </w:r>
    </w:p>
    <w:p>
      <w:pPr>
        <w:pStyle w:val="12"/>
        <w:spacing w:line="360" w:lineRule="auto"/>
        <w:outlineLvl w:val="1"/>
        <w:rPr>
          <w:rFonts w:hAnsi="宋体" w:cs="宋体"/>
          <w:b/>
          <w:bCs/>
          <w:color w:val="auto"/>
          <w:sz w:val="24"/>
          <w:szCs w:val="24"/>
          <w:highlight w:val="none"/>
        </w:rPr>
      </w:pPr>
      <w:r>
        <w:rPr>
          <w:rFonts w:hint="eastAsia" w:hAnsi="宋体" w:cs="宋体"/>
          <w:color w:val="auto"/>
          <w:sz w:val="24"/>
          <w:highlight w:val="none"/>
        </w:rPr>
        <w:t>一</w:t>
      </w:r>
      <w:r>
        <w:rPr>
          <w:rFonts w:hint="eastAsia" w:hAnsi="宋体" w:cs="宋体"/>
          <w:b/>
          <w:color w:val="auto"/>
          <w:spacing w:val="-4"/>
          <w:sz w:val="24"/>
          <w:szCs w:val="24"/>
          <w:highlight w:val="none"/>
        </w:rPr>
        <w:t>、</w:t>
      </w:r>
      <w:r>
        <w:rPr>
          <w:rFonts w:hint="eastAsia" w:hAnsi="宋体" w:cs="宋体"/>
          <w:b/>
          <w:bCs/>
          <w:color w:val="auto"/>
          <w:sz w:val="24"/>
          <w:szCs w:val="24"/>
          <w:highlight w:val="none"/>
        </w:rPr>
        <w:t>评审程序</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1、对投标人资格响应文件进行符合性审查，确定资格审查通过单位；</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2、对资格审查通过的投标人的商务技术响应文件进行符合性审查，确定商务技术响应文件有效单位；</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3、对商务技术响应文件有效的投标单位的商务技术响应文件进行评分，计算出各商务技术响应文件有效的投标单位的商务技术得分；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4、对报价响应文件进行符合性审查；</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5、对报价响应文件符合性审查通过的报价响应文件进行详细评审，并由“政采云”平台计算出其报价分及总得分；</w:t>
      </w:r>
    </w:p>
    <w:p>
      <w:pPr>
        <w:pStyle w:val="12"/>
        <w:spacing w:line="360" w:lineRule="auto"/>
        <w:ind w:firstLine="482"/>
        <w:rPr>
          <w:rFonts w:hAnsi="宋体" w:cs="宋体"/>
          <w:color w:val="auto"/>
          <w:sz w:val="24"/>
          <w:szCs w:val="24"/>
          <w:highlight w:val="none"/>
        </w:rPr>
      </w:pPr>
      <w:r>
        <w:rPr>
          <w:rFonts w:hint="eastAsia" w:hAnsi="宋体" w:cs="宋体"/>
          <w:color w:val="auto"/>
          <w:sz w:val="24"/>
          <w:szCs w:val="24"/>
          <w:highlight w:val="none"/>
        </w:rPr>
        <w:t>6、确定中标人、出具评标报告。</w:t>
      </w:r>
    </w:p>
    <w:p>
      <w:pPr>
        <w:pStyle w:val="12"/>
        <w:spacing w:line="360" w:lineRule="auto"/>
        <w:ind w:firstLine="480"/>
        <w:rPr>
          <w:rFonts w:hAnsi="宋体" w:cs="宋体"/>
          <w:b/>
          <w:color w:val="auto"/>
          <w:spacing w:val="-4"/>
          <w:sz w:val="24"/>
          <w:szCs w:val="24"/>
          <w:highlight w:val="none"/>
        </w:rPr>
      </w:pPr>
      <w:r>
        <w:rPr>
          <w:rFonts w:hint="eastAsia" w:hAnsi="宋体" w:cs="宋体"/>
          <w:color w:val="auto"/>
          <w:sz w:val="24"/>
          <w:szCs w:val="24"/>
          <w:highlight w:val="none"/>
        </w:rPr>
        <w:t>评标小组以开标、评标、询标情况为基本依据，</w:t>
      </w:r>
      <w:r>
        <w:rPr>
          <w:rFonts w:hint="eastAsia" w:hAnsi="宋体" w:cs="宋体"/>
          <w:color w:val="auto"/>
          <w:spacing w:val="-4"/>
          <w:sz w:val="24"/>
          <w:szCs w:val="24"/>
          <w:highlight w:val="none"/>
        </w:rPr>
        <w:t>对有效的投标文件分资格响应文件、商务技术响应文件和报价响应文件三个部分进行分析、评议，</w:t>
      </w:r>
      <w:r>
        <w:rPr>
          <w:rFonts w:hint="eastAsia" w:hAnsi="宋体" w:cs="宋体"/>
          <w:b/>
          <w:bCs/>
          <w:color w:val="auto"/>
          <w:spacing w:val="-4"/>
          <w:sz w:val="24"/>
          <w:szCs w:val="24"/>
          <w:highlight w:val="none"/>
        </w:rPr>
        <w:t>先评资格响应文件、商务技术响应文件，后评报价响应文件</w:t>
      </w:r>
      <w:r>
        <w:rPr>
          <w:rFonts w:hint="eastAsia" w:hAnsi="宋体" w:cs="宋体"/>
          <w:b/>
          <w:color w:val="auto"/>
          <w:spacing w:val="-4"/>
          <w:sz w:val="24"/>
          <w:szCs w:val="24"/>
          <w:highlight w:val="none"/>
        </w:rPr>
        <w:t>，报价响应文件在商务技术文件评审结束后开启；对商务技术响应无效的投标人不再进行报价响应的评审。</w:t>
      </w:r>
    </w:p>
    <w:p>
      <w:pPr>
        <w:pStyle w:val="12"/>
        <w:spacing w:line="360" w:lineRule="auto"/>
        <w:outlineLvl w:val="1"/>
        <w:rPr>
          <w:rFonts w:hAnsi="宋体" w:cs="宋体"/>
          <w:b/>
          <w:bCs/>
          <w:color w:val="auto"/>
          <w:sz w:val="24"/>
          <w:szCs w:val="24"/>
          <w:highlight w:val="none"/>
        </w:rPr>
      </w:pPr>
      <w:r>
        <w:rPr>
          <w:rFonts w:hint="eastAsia" w:hAnsi="宋体" w:cs="宋体"/>
          <w:b/>
          <w:bCs/>
          <w:color w:val="auto"/>
          <w:sz w:val="24"/>
          <w:szCs w:val="24"/>
          <w:highlight w:val="none"/>
        </w:rPr>
        <w:t>二、评审办法</w:t>
      </w:r>
    </w:p>
    <w:p>
      <w:pPr>
        <w:pStyle w:val="12"/>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w:t>
      </w:r>
      <w:r>
        <w:rPr>
          <w:rFonts w:hint="eastAsia" w:hAnsi="宋体" w:cs="宋体"/>
          <w:b/>
          <w:bCs/>
          <w:color w:val="auto"/>
          <w:sz w:val="24"/>
          <w:highlight w:val="none"/>
        </w:rPr>
        <w:t>商务技术响应文件评标</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w:t>
      </w:r>
      <w:r>
        <w:rPr>
          <w:rFonts w:hint="eastAsia" w:hAnsi="宋体" w:cs="宋体"/>
          <w:bCs/>
          <w:color w:val="auto"/>
          <w:sz w:val="24"/>
          <w:szCs w:val="24"/>
          <w:highlight w:val="none"/>
        </w:rPr>
        <w:t>根据招标文件第五章投标文件的有效性的规定，是否属于无效标或废标；</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w:t>
      </w:r>
      <w:r>
        <w:rPr>
          <w:rFonts w:hint="eastAsia" w:hAnsi="宋体" w:cs="宋体"/>
          <w:bCs/>
          <w:color w:val="auto"/>
          <w:sz w:val="24"/>
          <w:szCs w:val="24"/>
          <w:highlight w:val="none"/>
        </w:rPr>
        <w:t>检查投标文件中是否有法定代表人或授权代表签字及加盖单位公章或电子签章；</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1.3检查标书的完整性，如资质证书等招标文件要求提供的资料是否齐全；</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1.4检查拟供产品的</w:t>
      </w:r>
      <w:r>
        <w:rPr>
          <w:rFonts w:hint="eastAsia" w:hAnsi="宋体" w:cs="宋体"/>
          <w:color w:val="auto"/>
          <w:sz w:val="24"/>
          <w:szCs w:val="24"/>
          <w:highlight w:val="none"/>
          <w:lang w:eastAsia="zh-CN"/>
        </w:rPr>
        <w:t>性能指标</w:t>
      </w:r>
      <w:r>
        <w:rPr>
          <w:rFonts w:hint="eastAsia" w:hAnsi="宋体" w:cs="宋体"/>
          <w:color w:val="auto"/>
          <w:sz w:val="24"/>
          <w:szCs w:val="24"/>
          <w:highlight w:val="none"/>
        </w:rPr>
        <w:t>、技术参数是否满足招标文件及本项目的要求；</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1.5检查供货计划是否提供；是否具体、完整、可行；</w:t>
      </w:r>
    </w:p>
    <w:p>
      <w:pPr>
        <w:pStyle w:val="12"/>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1.6</w:t>
      </w:r>
      <w:r>
        <w:rPr>
          <w:rFonts w:hint="eastAsia" w:hAnsi="宋体" w:cs="宋体"/>
          <w:color w:val="auto"/>
          <w:sz w:val="24"/>
          <w:szCs w:val="24"/>
          <w:highlight w:val="none"/>
        </w:rPr>
        <w:t>检查质保期及售后服务承诺是否提供，是否符合招标文件的要求；</w:t>
      </w:r>
    </w:p>
    <w:p>
      <w:pPr>
        <w:pStyle w:val="12"/>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1.7具体评审办法</w:t>
      </w:r>
    </w:p>
    <w:p>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商务技术分满分为70分，分值分配见表格。评标委员会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44"/>
        <w:gridCol w:w="5781"/>
        <w:gridCol w:w="84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0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578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评分要素</w:t>
            </w:r>
          </w:p>
        </w:tc>
        <w:tc>
          <w:tcPr>
            <w:tcW w:w="8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0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类似案例</w:t>
            </w:r>
          </w:p>
        </w:tc>
        <w:tc>
          <w:tcPr>
            <w:tcW w:w="5781"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年1月1日以来投标人具有同类项目的，每提供一个同类项目合同得1分，最高得3分。（提供相应合同复印件并加盖投标人电子签章，否则不得分，日期以合同签订日期为准）</w:t>
            </w:r>
          </w:p>
        </w:tc>
        <w:tc>
          <w:tcPr>
            <w:tcW w:w="8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0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5781"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根据投标方提供的设备技术参数打分，完全满足招标文件要求的得</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其中标有“▲”的参数每负偏离一项扣</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kern w:val="0"/>
                <w:sz w:val="24"/>
                <w:szCs w:val="24"/>
                <w:highlight w:val="none"/>
              </w:rPr>
              <w:t>参数中</w:t>
            </w:r>
            <w:r>
              <w:rPr>
                <w:rFonts w:hint="eastAsia" w:ascii="宋体" w:hAnsi="宋体" w:eastAsia="宋体" w:cs="宋体"/>
                <w:color w:val="auto"/>
                <w:sz w:val="24"/>
                <w:szCs w:val="24"/>
                <w:highlight w:val="none"/>
              </w:rPr>
              <w:t>每有一项负偏离扣除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8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4"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4"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5781"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根据投标人提供的产品生产及供货方案的合理性、可行性等内容打分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4" w:type="dxa"/>
            <w:vMerge w:val="continue"/>
            <w:vAlign w:val="center"/>
          </w:tcPr>
          <w:p>
            <w:pPr>
              <w:jc w:val="center"/>
              <w:rPr>
                <w:rFonts w:hint="eastAsia" w:ascii="宋体" w:hAnsi="宋体" w:eastAsia="宋体" w:cs="宋体"/>
                <w:color w:val="auto"/>
                <w:sz w:val="24"/>
                <w:szCs w:val="24"/>
                <w:highlight w:val="none"/>
              </w:rPr>
            </w:pPr>
          </w:p>
        </w:tc>
        <w:tc>
          <w:tcPr>
            <w:tcW w:w="1444" w:type="dxa"/>
            <w:vMerge w:val="continue"/>
            <w:vAlign w:val="center"/>
          </w:tcPr>
          <w:p>
            <w:pPr>
              <w:jc w:val="center"/>
              <w:rPr>
                <w:rFonts w:hint="eastAsia" w:ascii="宋体" w:hAnsi="宋体" w:eastAsia="宋体" w:cs="宋体"/>
                <w:color w:val="auto"/>
                <w:sz w:val="24"/>
                <w:szCs w:val="24"/>
                <w:highlight w:val="none"/>
              </w:rPr>
            </w:pPr>
          </w:p>
        </w:tc>
        <w:tc>
          <w:tcPr>
            <w:tcW w:w="5781"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根据投标人提供的安装过程中现场安全措施方案的可行性、合理性及科学性进行打分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04" w:type="dxa"/>
            <w:vMerge w:val="continue"/>
            <w:vAlign w:val="center"/>
          </w:tcPr>
          <w:p>
            <w:pPr>
              <w:jc w:val="center"/>
              <w:rPr>
                <w:rFonts w:hint="eastAsia" w:ascii="宋体" w:hAnsi="宋体" w:eastAsia="宋体" w:cs="宋体"/>
                <w:color w:val="auto"/>
                <w:sz w:val="24"/>
                <w:szCs w:val="24"/>
                <w:highlight w:val="none"/>
              </w:rPr>
            </w:pPr>
          </w:p>
        </w:tc>
        <w:tc>
          <w:tcPr>
            <w:tcW w:w="1444" w:type="dxa"/>
            <w:vMerge w:val="continue"/>
            <w:vAlign w:val="center"/>
          </w:tcPr>
          <w:p>
            <w:pPr>
              <w:jc w:val="center"/>
              <w:rPr>
                <w:rFonts w:hint="eastAsia" w:ascii="宋体" w:hAnsi="宋体" w:eastAsia="宋体" w:cs="宋体"/>
                <w:color w:val="auto"/>
                <w:sz w:val="24"/>
                <w:szCs w:val="24"/>
                <w:highlight w:val="none"/>
              </w:rPr>
            </w:pPr>
          </w:p>
        </w:tc>
        <w:tc>
          <w:tcPr>
            <w:tcW w:w="5781" w:type="dxa"/>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实施进度：有明确的进度计划、有关键节点时间、有保证及时交货的有效措施安排且进度符合采购需求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adjustRightIn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0-2分</w:t>
            </w:r>
          </w:p>
        </w:tc>
        <w:tc>
          <w:tcPr>
            <w:tcW w:w="800" w:type="dxa"/>
            <w:vAlign w:val="center"/>
          </w:tcPr>
          <w:p>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04" w:type="dxa"/>
            <w:vMerge w:val="continue"/>
            <w:vAlign w:val="center"/>
          </w:tcPr>
          <w:p>
            <w:pPr>
              <w:jc w:val="center"/>
              <w:rPr>
                <w:rFonts w:hint="eastAsia" w:ascii="宋体" w:hAnsi="宋体" w:eastAsia="宋体" w:cs="宋体"/>
                <w:color w:val="auto"/>
                <w:sz w:val="24"/>
                <w:szCs w:val="24"/>
                <w:highlight w:val="none"/>
              </w:rPr>
            </w:pPr>
          </w:p>
        </w:tc>
        <w:tc>
          <w:tcPr>
            <w:tcW w:w="1444" w:type="dxa"/>
            <w:vMerge w:val="continue"/>
            <w:vAlign w:val="center"/>
          </w:tcPr>
          <w:p>
            <w:pPr>
              <w:jc w:val="center"/>
              <w:rPr>
                <w:rFonts w:hint="eastAsia" w:ascii="宋体" w:hAnsi="宋体" w:eastAsia="宋体" w:cs="宋体"/>
                <w:color w:val="auto"/>
                <w:sz w:val="24"/>
                <w:szCs w:val="24"/>
                <w:highlight w:val="none"/>
              </w:rPr>
            </w:pPr>
          </w:p>
        </w:tc>
        <w:tc>
          <w:tcPr>
            <w:tcW w:w="5781" w:type="dxa"/>
            <w:vAlign w:val="center"/>
          </w:tcPr>
          <w:p>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针对本项目部署、调试、试运行、测试、测评的具体方案和措施情况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adjustRightIn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0-2分</w:t>
            </w:r>
          </w:p>
        </w:tc>
        <w:tc>
          <w:tcPr>
            <w:tcW w:w="800" w:type="dxa"/>
            <w:vAlign w:val="center"/>
          </w:tcPr>
          <w:p>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4"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设计方案</w:t>
            </w:r>
          </w:p>
        </w:tc>
        <w:tc>
          <w:tcPr>
            <w:tcW w:w="5781"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投标人根据项目需求制定设计方案</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打分，包括但不限于以下内容：</w:t>
            </w:r>
          </w:p>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①照明设计方案说明；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②灯具布置平面图及安装大样图；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③配电系统图；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④安装指导文件（数量、分组、安装位置、安装高度、投射点、投射角度等）；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p>
            <w:pPr>
              <w:pStyle w:val="57"/>
              <w:keepNext w:val="0"/>
              <w:keepLines w:val="0"/>
              <w:pageBreakBefore w:val="0"/>
              <w:widowControl w:val="0"/>
              <w:kinsoku/>
              <w:wordWrap/>
              <w:overflowPunct/>
              <w:topLinePunct w:val="0"/>
              <w:autoSpaceDE w:val="0"/>
              <w:autoSpaceDN w:val="0"/>
              <w:bidi w:val="0"/>
              <w:adjustRightInd/>
              <w:snapToGrid/>
              <w:spacing w:line="240" w:lineRule="auto"/>
              <w:ind w:right="1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⑤智能照明控制系统图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Merge w:val="restar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44"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项目人员组成情况</w:t>
            </w:r>
          </w:p>
        </w:tc>
        <w:tc>
          <w:tcPr>
            <w:tcW w:w="5781"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根据本项目的人员组成情况打分</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项目组成员的职称情况（</w:t>
            </w:r>
            <w:r>
              <w:rPr>
                <w:rFonts w:hint="eastAsia" w:ascii="宋体" w:hAnsi="宋体" w:eastAsia="宋体" w:cs="宋体"/>
                <w:color w:val="auto"/>
                <w:sz w:val="24"/>
                <w:szCs w:val="24"/>
                <w:highlight w:val="none"/>
                <w:lang w:val="en-US" w:eastAsia="zh-CN"/>
              </w:rPr>
              <w:t>0分、0.5分、1分</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项目组成员的工作经验情况（</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提供所有项目组人员自2024年4月1日以来在投标公司缴纳的任一连续3个月的社保缴费清单（社保缴费清单需加盖缴费当地社保机构公章或业务章），否则不得分。</w:t>
            </w:r>
          </w:p>
        </w:tc>
        <w:tc>
          <w:tcPr>
            <w:tcW w:w="8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0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4" w:type="dxa"/>
            <w:vMerge w:val="continue"/>
            <w:vAlign w:val="center"/>
          </w:tcPr>
          <w:p>
            <w:pPr>
              <w:jc w:val="center"/>
              <w:rPr>
                <w:rFonts w:hint="eastAsia" w:ascii="宋体" w:hAnsi="宋体" w:eastAsia="宋体" w:cs="宋体"/>
                <w:color w:val="auto"/>
                <w:sz w:val="24"/>
                <w:szCs w:val="24"/>
                <w:highlight w:val="none"/>
              </w:rPr>
            </w:pPr>
          </w:p>
        </w:tc>
        <w:tc>
          <w:tcPr>
            <w:tcW w:w="1444" w:type="dxa"/>
            <w:vMerge w:val="continue"/>
            <w:vAlign w:val="top"/>
          </w:tcPr>
          <w:p>
            <w:pPr>
              <w:rPr>
                <w:rFonts w:hint="eastAsia" w:ascii="宋体" w:hAnsi="宋体" w:eastAsia="宋体" w:cs="宋体"/>
                <w:color w:val="auto"/>
                <w:kern w:val="2"/>
                <w:sz w:val="24"/>
                <w:szCs w:val="24"/>
                <w:highlight w:val="none"/>
                <w:lang w:val="en-US" w:eastAsia="zh-CN" w:bidi="ar-SA"/>
              </w:rPr>
            </w:pPr>
          </w:p>
        </w:tc>
        <w:tc>
          <w:tcPr>
            <w:tcW w:w="5781" w:type="dxa"/>
            <w:vAlign w:val="top"/>
          </w:tcPr>
          <w:p>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高空作业人员：提供5名及以上施工人员的高空作业证并提供以上所有人员自2024年4月1日以来在投标公司缴纳的任一连续3个月的社保缴费清单（社保缴费清单需加盖缴费当地社保机构公章或业务章），得5分。</w:t>
            </w:r>
          </w:p>
        </w:tc>
        <w:tc>
          <w:tcPr>
            <w:tcW w:w="8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4" w:type="dxa"/>
            <w:vMerge w:val="restar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4"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5781" w:type="dxa"/>
            <w:vAlign w:val="center"/>
          </w:tcPr>
          <w:p>
            <w:pP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根据投标人</w:t>
            </w:r>
            <w:r>
              <w:rPr>
                <w:rFonts w:hint="eastAsia" w:ascii="宋体" w:hAnsi="宋体" w:eastAsia="宋体" w:cs="宋体"/>
                <w:color w:val="auto"/>
                <w:sz w:val="24"/>
                <w:szCs w:val="24"/>
                <w:highlight w:val="none"/>
                <w:lang w:eastAsia="zh-CN" w:bidi="ar"/>
              </w:rPr>
              <w:t>售后服务人员能力</w:t>
            </w:r>
            <w:r>
              <w:rPr>
                <w:rFonts w:hint="eastAsia" w:ascii="宋体" w:hAnsi="宋体" w:eastAsia="宋体" w:cs="宋体"/>
                <w:color w:val="auto"/>
                <w:sz w:val="24"/>
                <w:szCs w:val="24"/>
                <w:highlight w:val="none"/>
                <w:lang w:bidi="ar"/>
              </w:rPr>
              <w:t>，对故障的响应、修复、定期巡检等情况</w:t>
            </w:r>
            <w:r>
              <w:rPr>
                <w:rFonts w:hint="eastAsia" w:ascii="宋体" w:hAnsi="宋体" w:eastAsia="宋体" w:cs="宋体"/>
                <w:color w:val="auto"/>
                <w:sz w:val="24"/>
                <w:szCs w:val="24"/>
                <w:highlight w:val="none"/>
                <w:lang w:eastAsia="zh-CN" w:bidi="ar"/>
              </w:rPr>
              <w:t>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0-2分</w:t>
            </w:r>
          </w:p>
        </w:tc>
        <w:tc>
          <w:tcPr>
            <w:tcW w:w="80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4" w:type="dxa"/>
            <w:vMerge w:val="continue"/>
            <w:vAlign w:val="center"/>
          </w:tcPr>
          <w:p>
            <w:pPr>
              <w:jc w:val="center"/>
              <w:rPr>
                <w:rFonts w:hint="eastAsia" w:ascii="宋体" w:hAnsi="宋体" w:eastAsia="宋体" w:cs="宋体"/>
                <w:color w:val="auto"/>
                <w:sz w:val="24"/>
                <w:szCs w:val="24"/>
                <w:highlight w:val="none"/>
              </w:rPr>
            </w:pPr>
          </w:p>
        </w:tc>
        <w:tc>
          <w:tcPr>
            <w:tcW w:w="1444" w:type="dxa"/>
            <w:vMerge w:val="continue"/>
            <w:vAlign w:val="center"/>
          </w:tcPr>
          <w:p>
            <w:pPr>
              <w:jc w:val="center"/>
              <w:rPr>
                <w:rFonts w:hint="eastAsia" w:ascii="宋体" w:hAnsi="宋体" w:eastAsia="宋体" w:cs="宋体"/>
                <w:color w:val="auto"/>
                <w:sz w:val="24"/>
                <w:szCs w:val="24"/>
                <w:highlight w:val="none"/>
              </w:rPr>
            </w:pPr>
          </w:p>
        </w:tc>
        <w:tc>
          <w:tcPr>
            <w:tcW w:w="5781" w:type="dxa"/>
            <w:vAlign w:val="center"/>
          </w:tcPr>
          <w:p>
            <w:pP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根据投标人售后服务</w:t>
            </w:r>
            <w:r>
              <w:rPr>
                <w:rFonts w:hint="eastAsia" w:ascii="宋体" w:hAnsi="宋体" w:eastAsia="宋体" w:cs="宋体"/>
                <w:color w:val="auto"/>
                <w:sz w:val="24"/>
                <w:szCs w:val="24"/>
                <w:highlight w:val="none"/>
                <w:lang w:eastAsia="zh-CN" w:bidi="ar"/>
              </w:rPr>
              <w:t>方案，包括但不仅限于</w:t>
            </w:r>
            <w:r>
              <w:rPr>
                <w:rFonts w:hint="eastAsia" w:ascii="宋体" w:hAnsi="宋体" w:eastAsia="宋体" w:cs="宋体"/>
                <w:color w:val="auto"/>
                <w:sz w:val="24"/>
                <w:szCs w:val="24"/>
                <w:highlight w:val="none"/>
                <w:lang w:bidi="ar"/>
              </w:rPr>
              <w:t>售后服务内容、售后服务流程与规范、服务质量保障措施等内容进行评分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0分、1分、1.5分、2分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0-2分</w:t>
            </w:r>
          </w:p>
        </w:tc>
        <w:tc>
          <w:tcPr>
            <w:tcW w:w="80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4"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5781"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免费质保期满足采购文件质保期要求，每延长一年免费质保期加1分，最高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46"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pPr>
        <w:pStyle w:val="34"/>
        <w:ind w:firstLine="0" w:firstLineChars="0"/>
        <w:rPr>
          <w:color w:val="auto"/>
          <w:highlight w:val="none"/>
        </w:rPr>
      </w:pPr>
    </w:p>
    <w:p>
      <w:pPr>
        <w:pStyle w:val="12"/>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2、报价响应文件评审</w:t>
      </w:r>
    </w:p>
    <w:p>
      <w:pPr>
        <w:pStyle w:val="12"/>
        <w:spacing w:line="360" w:lineRule="auto"/>
        <w:ind w:firstLine="482" w:firstLineChars="200"/>
        <w:rPr>
          <w:rFonts w:hAnsi="宋体" w:cs="宋体"/>
          <w:b/>
          <w:color w:val="auto"/>
          <w:sz w:val="24"/>
          <w:highlight w:val="none"/>
        </w:rPr>
      </w:pPr>
      <w:r>
        <w:rPr>
          <w:rFonts w:hint="eastAsia" w:hAnsi="宋体" w:cs="宋体"/>
          <w:b/>
          <w:color w:val="auto"/>
          <w:sz w:val="24"/>
          <w:highlight w:val="none"/>
        </w:rPr>
        <w:t>2.1甄别异常报价：有下列情况之一的投标报价不进入报价分计算环节：</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①资格响应、商务技术响应无效单位的投标报价；</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②报价高于预算价；</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③投标报价高于最高限价；</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④分析总报价及各个分项报价是否合理、报价范围是否完整、有否重大错漏项、是否超过最高限价。如评标委员会认为投标人的报价明显低于其他通过符合性审</w:t>
      </w:r>
      <w:r>
        <w:rPr>
          <w:rFonts w:hint="eastAsia" w:ascii="宋体" w:hAnsi="宋体" w:eastAsia="宋体" w:cs="宋体"/>
          <w:color w:val="auto"/>
          <w:sz w:val="24"/>
          <w:highlight w:val="none"/>
          <w:lang w:eastAsia="zh-CN"/>
        </w:rPr>
        <w:t>查的</w:t>
      </w:r>
      <w:r>
        <w:rPr>
          <w:rFonts w:hint="eastAsia" w:ascii="宋体" w:hAnsi="宋体" w:eastAsia="宋体" w:cs="宋体"/>
          <w:color w:val="auto"/>
          <w:sz w:val="24"/>
          <w:highlight w:val="none"/>
        </w:rPr>
        <w:t>投标人的报价，有可能影响产品质量或者不能诚信履约的，应当要求其在评标现场合理的时间内提供书面说明，必要时提交相关佐证材料；投标人不能说明其报价合理性的，评标委员会应当将其作为无效投标处理。</w:t>
      </w:r>
    </w:p>
    <w:p>
      <w:pPr>
        <w:adjustRightInd w:val="0"/>
        <w:spacing w:line="360" w:lineRule="auto"/>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2.2报价响应文件详细评审（</w:t>
      </w:r>
      <w:r>
        <w:rPr>
          <w:rFonts w:hint="eastAsia" w:ascii="宋体" w:hAnsi="宋体" w:eastAsia="宋体" w:cs="宋体"/>
          <w:b/>
          <w:color w:val="auto"/>
          <w:sz w:val="24"/>
          <w:highlight w:val="none"/>
          <w:u w:val="single"/>
        </w:rPr>
        <w:t>30</w:t>
      </w:r>
      <w:r>
        <w:rPr>
          <w:rFonts w:hint="eastAsia" w:ascii="宋体" w:hAnsi="宋体" w:eastAsia="宋体" w:cs="宋体"/>
          <w:b/>
          <w:color w:val="auto"/>
          <w:sz w:val="24"/>
          <w:highlight w:val="none"/>
        </w:rPr>
        <w:t>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（1）评标基准价以满足招标文件要求且投标价格最低的投标报价为评标基准价，其报价得分为30分。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（2）报价得分计算。</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报价得分=（评标基准价/评标价）×30%×100，保留小数2位</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3、计算总分（满分为100分）</w:t>
      </w:r>
    </w:p>
    <w:p>
      <w:pPr>
        <w:pStyle w:val="12"/>
        <w:spacing w:line="360" w:lineRule="auto"/>
        <w:ind w:firstLine="240"/>
        <w:rPr>
          <w:rFonts w:hAnsi="宋体" w:cs="宋体"/>
          <w:color w:val="auto"/>
          <w:sz w:val="24"/>
          <w:szCs w:val="24"/>
          <w:highlight w:val="none"/>
        </w:rPr>
      </w:pPr>
      <w:r>
        <w:rPr>
          <w:rFonts w:hint="eastAsia" w:hAnsi="宋体" w:cs="宋体"/>
          <w:color w:val="auto"/>
          <w:sz w:val="24"/>
          <w:szCs w:val="24"/>
          <w:highlight w:val="none"/>
        </w:rPr>
        <w:t xml:space="preserve">   计算方法：投标人总得分 = </w:t>
      </w:r>
      <w:r>
        <w:rPr>
          <w:rFonts w:hint="eastAsia" w:hAnsi="宋体" w:cs="宋体"/>
          <w:color w:val="auto"/>
          <w:sz w:val="24"/>
          <w:highlight w:val="none"/>
        </w:rPr>
        <w:t>商务技术分+报价分</w:t>
      </w:r>
    </w:p>
    <w:p>
      <w:pPr>
        <w:pStyle w:val="37"/>
        <w:spacing w:before="0" w:after="0" w:line="360" w:lineRule="auto"/>
        <w:ind w:left="1343" w:leftChars="254" w:hanging="810" w:hangingChars="336"/>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4、确定中标人，完成评标报告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（1）确定中标人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当确定的中标人放弃中标，因不可抗力提出不能履行合同，在此情况下，采购人可重新组织招投标。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（2）完成评标报告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评标委员会向采购人提出评标报告，内容包括评标过程、投标人的优劣对比分析、中标人确定情况、基本结论、存在的问题和评标专家的不同意见。评标报告应经评标委员会所有专家签字，在评标结束时当场提交给采购人</w:t>
      </w:r>
      <w:r>
        <w:rPr>
          <w:rFonts w:hint="eastAsia" w:ascii="宋体" w:hAnsi="宋体" w:eastAsia="宋体" w:cs="宋体"/>
          <w:color w:val="auto"/>
          <w:sz w:val="24"/>
          <w:highlight w:val="none"/>
        </w:rPr>
        <w:t>。</w:t>
      </w:r>
    </w:p>
    <w:p>
      <w:pPr>
        <w:spacing w:line="360" w:lineRule="auto"/>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firstLine="723" w:firstLineChars="200"/>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第七章  合同主要条款</w:t>
      </w:r>
    </w:p>
    <w:p>
      <w:pPr>
        <w:pStyle w:val="2"/>
        <w:spacing w:after="0"/>
        <w:jc w:val="center"/>
        <w:rPr>
          <w:rFonts w:ascii="宋体" w:hAnsi="宋体" w:cs="宋体"/>
          <w:b/>
          <w:bCs/>
          <w:color w:val="auto"/>
          <w:spacing w:val="-20"/>
          <w:kern w:val="44"/>
          <w:sz w:val="48"/>
          <w:szCs w:val="48"/>
          <w:highlight w:val="none"/>
        </w:rPr>
      </w:pPr>
      <w:bookmarkStart w:id="27" w:name="_Toc3995"/>
    </w:p>
    <w:p>
      <w:pPr>
        <w:pStyle w:val="2"/>
        <w:spacing w:after="0"/>
        <w:jc w:val="center"/>
        <w:rPr>
          <w:rFonts w:ascii="宋体" w:hAnsi="宋体" w:cs="宋体"/>
          <w:b/>
          <w:bCs/>
          <w:color w:val="auto"/>
          <w:spacing w:val="-20"/>
          <w:kern w:val="44"/>
          <w:sz w:val="48"/>
          <w:szCs w:val="48"/>
          <w:highlight w:val="none"/>
        </w:rPr>
      </w:pPr>
    </w:p>
    <w:p>
      <w:pPr>
        <w:pStyle w:val="2"/>
        <w:spacing w:after="0"/>
        <w:jc w:val="center"/>
        <w:rPr>
          <w:rFonts w:ascii="宋体" w:hAnsi="宋体" w:cs="宋体"/>
          <w:b/>
          <w:bCs/>
          <w:color w:val="auto"/>
          <w:spacing w:val="-20"/>
          <w:kern w:val="44"/>
          <w:sz w:val="48"/>
          <w:szCs w:val="48"/>
          <w:highlight w:val="none"/>
        </w:rPr>
      </w:pPr>
    </w:p>
    <w:p>
      <w:pPr>
        <w:pStyle w:val="2"/>
        <w:spacing w:after="0"/>
        <w:jc w:val="center"/>
        <w:rPr>
          <w:rFonts w:ascii="宋体" w:hAnsi="宋体" w:cs="宋体"/>
          <w:b/>
          <w:bCs/>
          <w:color w:val="auto"/>
          <w:spacing w:val="-20"/>
          <w:kern w:val="44"/>
          <w:sz w:val="48"/>
          <w:szCs w:val="48"/>
          <w:highlight w:val="none"/>
        </w:rPr>
      </w:pPr>
    </w:p>
    <w:p>
      <w:pPr>
        <w:pStyle w:val="2"/>
        <w:spacing w:after="0"/>
        <w:jc w:val="center"/>
        <w:rPr>
          <w:rFonts w:ascii="宋体" w:hAnsi="宋体" w:cs="宋体"/>
          <w:b/>
          <w:bCs/>
          <w:color w:val="auto"/>
          <w:spacing w:val="-20"/>
          <w:kern w:val="44"/>
          <w:sz w:val="48"/>
          <w:szCs w:val="48"/>
          <w:highlight w:val="none"/>
        </w:rPr>
      </w:pPr>
    </w:p>
    <w:p>
      <w:pPr>
        <w:pStyle w:val="2"/>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pPr>
        <w:pStyle w:val="2"/>
        <w:spacing w:after="0"/>
        <w:jc w:val="center"/>
        <w:rPr>
          <w:rFonts w:hint="eastAsia" w:ascii="宋体" w:hAnsi="宋体" w:eastAsia="宋体" w:cs="宋体"/>
          <w:b/>
          <w:bCs/>
          <w:color w:val="auto"/>
          <w:spacing w:val="-20"/>
          <w:kern w:val="44"/>
          <w:sz w:val="48"/>
          <w:szCs w:val="48"/>
          <w:highlight w:val="none"/>
          <w:lang w:eastAsia="zh-CN"/>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rPr>
          <w:rFonts w:eastAsia="黑体"/>
          <w:color w:val="auto"/>
          <w:sz w:val="44"/>
          <w:szCs w:val="44"/>
          <w:highlight w:val="none"/>
        </w:rPr>
      </w:pPr>
    </w:p>
    <w:p>
      <w:pPr>
        <w:rPr>
          <w:rFonts w:eastAsia="黑体"/>
          <w:color w:val="auto"/>
          <w:sz w:val="44"/>
          <w:szCs w:val="44"/>
          <w:highlight w:val="none"/>
        </w:rPr>
      </w:pPr>
    </w:p>
    <w:p>
      <w:pPr>
        <w:jc w:val="center"/>
        <w:rPr>
          <w:rFonts w:hint="eastAsia" w:eastAsia="黑体"/>
          <w:color w:val="auto"/>
          <w:sz w:val="44"/>
          <w:szCs w:val="44"/>
          <w:highlight w:val="none"/>
          <w:lang w:eastAsia="zh-CN"/>
        </w:rPr>
      </w:pPr>
    </w:p>
    <w:p>
      <w:pPr>
        <w:jc w:val="center"/>
        <w:rPr>
          <w:rFonts w:hint="eastAsia" w:eastAsia="黑体"/>
          <w:color w:val="auto"/>
          <w:sz w:val="44"/>
          <w:szCs w:val="44"/>
          <w:highlight w:val="none"/>
          <w:lang w:eastAsia="zh-CN"/>
        </w:rPr>
      </w:pPr>
    </w:p>
    <w:p>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pPr>
        <w:ind w:firstLine="640" w:firstLineChars="200"/>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bookmarkEnd w:id="27"/>
    <w:p>
      <w:pPr>
        <w:adjustRightInd w:val="0"/>
        <w:snapToGrid w:val="0"/>
        <w:spacing w:beforeLines="0" w:line="400" w:lineRule="exact"/>
        <w:jc w:val="center"/>
        <w:outlineLvl w:val="9"/>
        <w:rPr>
          <w:rFonts w:hint="eastAsia" w:ascii="黑体" w:hAnsi="黑体" w:eastAsia="黑体"/>
          <w:color w:val="auto"/>
          <w:sz w:val="28"/>
          <w:szCs w:val="28"/>
          <w:highlight w:val="none"/>
          <w:lang w:eastAsia="zh-CN"/>
        </w:rPr>
      </w:pPr>
      <w:bookmarkStart w:id="28" w:name="_Toc22209"/>
    </w:p>
    <w:p>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br w:type="page"/>
      </w: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8"/>
    </w:p>
    <w:p>
      <w:pPr>
        <w:adjustRightInd w:val="0"/>
        <w:snapToGrid w:val="0"/>
        <w:spacing w:beforeLines="0" w:line="400" w:lineRule="exact"/>
        <w:jc w:val="center"/>
        <w:outlineLvl w:val="9"/>
        <w:rPr>
          <w:rFonts w:hint="eastAsia" w:ascii="黑体" w:hAnsi="华文中宋" w:eastAsia="黑体"/>
          <w:b w:val="0"/>
          <w:bCs w:val="0"/>
          <w:color w:val="auto"/>
          <w:sz w:val="28"/>
          <w:szCs w:val="28"/>
          <w:highlight w:val="none"/>
        </w:rPr>
      </w:pP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beforeLines="0" w:line="400" w:lineRule="exact"/>
        <w:rPr>
          <w:rFonts w:hint="default" w:eastAsia="宋体"/>
          <w:color w:val="auto"/>
          <w:highlight w:val="none"/>
          <w:lang w:val="en-US" w:eastAsia="zh-CN"/>
        </w:rPr>
      </w:pPr>
    </w:p>
    <w:p>
      <w:pPr>
        <w:pStyle w:val="10"/>
        <w:adjustRightInd w:val="0"/>
        <w:snapToGrid w:val="0"/>
        <w:spacing w:before="0" w:beforeLines="0" w:after="0" w:line="400" w:lineRule="exact"/>
        <w:ind w:left="0" w:leftChars="0" w:firstLine="56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pPr>
        <w:pStyle w:val="10"/>
        <w:numPr>
          <w:ilvl w:val="0"/>
          <w:numId w:val="6"/>
        </w:numPr>
        <w:adjustRightInd w:val="0"/>
        <w:snapToGrid w:val="0"/>
        <w:spacing w:before="0" w:beforeLines="0" w:after="0" w:line="400" w:lineRule="exact"/>
        <w:ind w:left="0" w:leftChars="0" w:firstLine="56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pPr>
        <w:pStyle w:val="10"/>
        <w:numPr>
          <w:ilvl w:val="0"/>
          <w:numId w:val="0"/>
        </w:numPr>
        <w:tabs>
          <w:tab w:val="left" w:pos="999"/>
          <w:tab w:val="clear" w:pos="0"/>
          <w:tab w:val="clear" w:pos="993"/>
          <w:tab w:val="clear" w:pos="1134"/>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pPr>
        <w:pStyle w:val="10"/>
        <w:adjustRightInd w:val="0"/>
        <w:snapToGrid w:val="0"/>
        <w:spacing w:before="0" w:beforeLines="0" w:after="0" w:line="400" w:lineRule="exact"/>
        <w:ind w:left="0" w:leftChars="0" w:firstLine="56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pPr>
        <w:numPr>
          <w:ilvl w:val="0"/>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pPr>
        <w:numPr>
          <w:ilvl w:val="0"/>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pPr>
        <w:numPr>
          <w:ilvl w:val="0"/>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pPr>
        <w:pStyle w:val="3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3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pPr>
        <w:pStyle w:val="32"/>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2"/>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pPr>
        <w:pStyle w:val="32"/>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pPr>
        <w:pStyle w:val="32"/>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pPr>
        <w:pStyle w:val="32"/>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default"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pPr>
        <w:pStyle w:val="32"/>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default"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pPr>
        <w:pStyle w:val="32"/>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pPr>
        <w:pStyle w:val="32"/>
        <w:numPr>
          <w:ilvl w:val="0"/>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pPr>
        <w:pStyle w:val="32"/>
        <w:numPr>
          <w:ilvl w:val="0"/>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color="auto" w:fill="auto"/>
          <w:lang w:eastAsia="zh-CN"/>
        </w:rPr>
        <w:t>购</w:t>
      </w:r>
      <w:r>
        <w:rPr>
          <w:rFonts w:hint="eastAsia" w:ascii="宋体" w:hAnsi="宋体"/>
          <w:color w:val="auto"/>
          <w:w w:val="100"/>
          <w:szCs w:val="21"/>
          <w:highlight w:val="none"/>
          <w:shd w:val="clear" w:color="auto" w:fill="auto"/>
        </w:rPr>
        <w:t>合同</w:t>
      </w:r>
      <w:r>
        <w:rPr>
          <w:rFonts w:hint="eastAsia" w:ascii="宋体" w:hAnsi="宋体"/>
          <w:color w:val="auto"/>
          <w:w w:val="100"/>
          <w:szCs w:val="21"/>
          <w:highlight w:val="none"/>
          <w:shd w:val="clear" w:color="auto" w:fill="auto"/>
          <w:lang w:eastAsia="zh-CN"/>
        </w:rPr>
        <w:t>（中小企业预留合同）</w:t>
      </w:r>
      <w:r>
        <w:rPr>
          <w:rFonts w:hint="eastAsia" w:ascii="宋体" w:hAnsi="宋体"/>
          <w:color w:val="auto"/>
          <w:szCs w:val="21"/>
          <w:highlight w:val="none"/>
          <w:shd w:val="clear" w:color="auto" w:fill="auto"/>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32"/>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pStyle w:val="32"/>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pPr>
        <w:pStyle w:val="32"/>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pStyle w:val="32"/>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pPr>
        <w:numPr>
          <w:ilvl w:val="0"/>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pPr>
        <w:pStyle w:val="60"/>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pPr>
        <w:pStyle w:val="32"/>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pPr>
        <w:pStyle w:val="32"/>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32"/>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32"/>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w:t>
      </w:r>
      <w:r>
        <w:rPr>
          <w:rFonts w:hint="eastAsia" w:ascii="宋体" w:hAnsi="宋体"/>
          <w:color w:val="auto"/>
          <w:sz w:val="21"/>
          <w:szCs w:val="21"/>
          <w:highlight w:val="none"/>
          <w:u w:val="single"/>
        </w:rPr>
        <w:t>自双方法定代表人或授权代表签字并加盖单位公章后</w:t>
      </w:r>
      <w:r>
        <w:rPr>
          <w:rFonts w:hint="eastAsia" w:ascii="宋体" w:hAnsi="宋体"/>
          <w:color w:val="auto"/>
          <w:szCs w:val="21"/>
          <w:highlight w:val="none"/>
        </w:rPr>
        <w:t>生效。</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义乌市财政局执一份，浙江开平企业管理咨询有限公司执一份，</w:t>
      </w:r>
      <w:r>
        <w:rPr>
          <w:rFonts w:hint="eastAsia" w:ascii="宋体" w:hAnsi="宋体"/>
          <w:color w:val="auto"/>
          <w:szCs w:val="21"/>
          <w:highlight w:val="none"/>
        </w:rPr>
        <w:t>均具有同等法律效力。</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pPr>
        <w:pStyle w:val="60"/>
        <w:spacing w:beforeLines="0" w:line="400" w:lineRule="exact"/>
        <w:rPr>
          <w:color w:val="auto"/>
          <w:highlight w:val="none"/>
        </w:rPr>
      </w:pPr>
    </w:p>
    <w:p>
      <w:pPr>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pPr>
        <w:rPr>
          <w:rFonts w:hint="eastAsia"/>
          <w:color w:val="auto"/>
          <w:highlight w:val="none"/>
        </w:rPr>
      </w:pPr>
      <w:r>
        <w:rPr>
          <w:rFonts w:hint="eastAsia"/>
          <w:color w:val="auto"/>
          <w:highlight w:val="none"/>
        </w:rPr>
        <w:br w:type="page"/>
      </w:r>
    </w:p>
    <w:p>
      <w:pPr>
        <w:pStyle w:val="60"/>
        <w:rPr>
          <w:rFonts w:hint="eastAsia"/>
          <w:color w:val="auto"/>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pPr>
              <w:pStyle w:val="10"/>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9" w:name="_Toc27624"/>
      <w:r>
        <w:rPr>
          <w:rFonts w:hint="eastAsia" w:ascii="黑体" w:hAnsi="黑体" w:eastAsia="黑体"/>
          <w:b w:val="0"/>
          <w:bCs w:val="0"/>
          <w:color w:val="auto"/>
          <w:sz w:val="28"/>
          <w:szCs w:val="28"/>
          <w:highlight w:val="none"/>
        </w:rPr>
        <w:t>第二节 政府采购合同通用条款</w:t>
      </w:r>
      <w:bookmarkEnd w:id="29"/>
    </w:p>
    <w:p>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pPr>
        <w:pStyle w:val="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pPr>
        <w:pStyle w:val="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pPr>
        <w:pStyle w:val="32"/>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3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spacing w:line="400" w:lineRule="exact"/>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lang w:val="en-US" w:eastAsia="zh-CN"/>
        </w:rPr>
        <w:t>7</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2"/>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w:t>
      </w:r>
      <w:r>
        <w:rPr>
          <w:rFonts w:hint="eastAsia" w:ascii="宋体" w:hAnsi="宋体"/>
          <w:color w:val="auto"/>
          <w:szCs w:val="21"/>
          <w:highlight w:val="none"/>
          <w:lang w:eastAsia="zh-CN"/>
        </w:rPr>
        <w:t>终止</w:t>
      </w:r>
      <w:r>
        <w:rPr>
          <w:rFonts w:hint="eastAsia" w:ascii="宋体" w:hAnsi="宋体"/>
          <w:color w:val="auto"/>
          <w:szCs w:val="21"/>
          <w:highlight w:val="none"/>
        </w:rPr>
        <w:t>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pPr>
        <w:pStyle w:val="3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2"/>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pPr>
        <w:pStyle w:val="32"/>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1"/>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noWrap w:val="0"/>
            <w:vAlign w:val="center"/>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noWrap w:val="0"/>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noWrap w:val="0"/>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noWrap w:val="0"/>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noWrap w:val="0"/>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noWrap w:val="0"/>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color w:val="auto"/>
                <w:szCs w:val="21"/>
                <w:highlight w:val="none"/>
              </w:rPr>
            </w:pP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noWrap w:val="0"/>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noWrap w:val="0"/>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noWrap w:val="0"/>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pPr>
              <w:autoSpaceDE w:val="0"/>
              <w:autoSpaceDN w:val="0"/>
              <w:adjustRightInd w:val="0"/>
              <w:snapToGrid w:val="0"/>
              <w:ind w:firstLine="420" w:firstLineChars="20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noWrap w:val="0"/>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pPr>
              <w:pStyle w:val="32"/>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noWrap w:val="0"/>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noWrap w:val="0"/>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noWrap w:val="0"/>
            <w:vAlign w:val="center"/>
          </w:tcPr>
          <w:p>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noWrap w:val="0"/>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noWrap w:val="0"/>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color w:val="auto"/>
                <w:szCs w:val="21"/>
                <w:highlight w:val="none"/>
                <w:lang w:val="en-US" w:eastAsia="zh-CN"/>
              </w:rPr>
            </w:pPr>
          </w:p>
        </w:tc>
      </w:tr>
    </w:tbl>
    <w:p>
      <w:pPr>
        <w:rPr>
          <w:color w:val="auto"/>
          <w:highlight w:val="none"/>
        </w:rPr>
      </w:pPr>
    </w:p>
    <w:p>
      <w:pPr>
        <w:rPr>
          <w:color w:val="auto"/>
          <w:highlight w:val="none"/>
        </w:rPr>
      </w:pPr>
    </w:p>
    <w:p>
      <w:pPr>
        <w:rPr>
          <w:color w:val="auto"/>
          <w:highlight w:val="none"/>
        </w:rPr>
      </w:pPr>
    </w:p>
    <w:p>
      <w:pPr>
        <w:widowControl/>
        <w:spacing w:line="360" w:lineRule="auto"/>
        <w:ind w:firstLine="240" w:firstLineChars="100"/>
        <w:jc w:val="left"/>
        <w:rPr>
          <w:rFonts w:ascii="宋体" w:hAnsi="宋体" w:eastAsia="宋体" w:cs="宋体"/>
          <w:color w:val="auto"/>
          <w:kern w:val="0"/>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tabs>
          <w:tab w:val="left" w:pos="1050"/>
        </w:tabs>
        <w:spacing w:line="360" w:lineRule="auto"/>
        <w:ind w:left="528"/>
        <w:jc w:val="center"/>
        <w:outlineLvl w:val="0"/>
        <w:rPr>
          <w:rFonts w:ascii="宋体" w:hAnsi="宋体" w:eastAsia="宋体" w:cs="宋体"/>
          <w:b/>
          <w:color w:val="auto"/>
          <w:sz w:val="24"/>
          <w:highlight w:val="none"/>
        </w:rPr>
      </w:pPr>
      <w:bookmarkStart w:id="32" w:name="_Toc187829774"/>
      <w:bookmarkStart w:id="33" w:name="_Toc362250712"/>
      <w:bookmarkStart w:id="34" w:name="_Toc238878129"/>
      <w:bookmarkStart w:id="35" w:name="_Toc274303259"/>
      <w:bookmarkStart w:id="36" w:name="_Toc213038698"/>
      <w:bookmarkStart w:id="37" w:name="_Toc235778631"/>
      <w:r>
        <w:rPr>
          <w:rFonts w:hint="eastAsia" w:ascii="宋体" w:hAnsi="宋体" w:eastAsia="宋体" w:cs="宋体"/>
          <w:b/>
          <w:color w:val="auto"/>
          <w:sz w:val="36"/>
          <w:szCs w:val="36"/>
          <w:highlight w:val="none"/>
        </w:rPr>
        <w:t>第八章  投标文件部分格式</w:t>
      </w:r>
      <w:bookmarkEnd w:id="32"/>
      <w:bookmarkEnd w:id="33"/>
      <w:bookmarkEnd w:id="34"/>
      <w:bookmarkEnd w:id="35"/>
      <w:bookmarkEnd w:id="36"/>
      <w:bookmarkEnd w:id="37"/>
    </w:p>
    <w:p>
      <w:pPr>
        <w:widowControl/>
        <w:spacing w:line="360" w:lineRule="auto"/>
        <w:jc w:val="center"/>
        <w:rPr>
          <w:rFonts w:ascii="宋体" w:hAnsi="宋体" w:eastAsia="宋体" w:cs="宋体"/>
          <w:bCs/>
          <w:color w:val="auto"/>
          <w:sz w:val="36"/>
          <w:szCs w:val="36"/>
          <w:highlight w:val="none"/>
        </w:rPr>
      </w:pPr>
    </w:p>
    <w:p>
      <w:pPr>
        <w:tabs>
          <w:tab w:val="left" w:pos="1050"/>
        </w:tabs>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一、资格响应文件部分格式：</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1、法定代表人申明书（格式）</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2、法定代表人授权书（格式）</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3、中小企业声明函</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4、监狱企业声明函</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残疾人福利性单位声明函</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、提供采购公告中符合投标人特定条件要求的有效的其他资质复印件及需要说明的资料。</w:t>
      </w:r>
    </w:p>
    <w:p>
      <w:pPr>
        <w:tabs>
          <w:tab w:val="left" w:pos="1050"/>
        </w:tabs>
        <w:spacing w:line="360" w:lineRule="auto"/>
        <w:rPr>
          <w:rFonts w:ascii="宋体" w:hAnsi="宋体" w:eastAsia="宋体" w:cs="宋体"/>
          <w:color w:val="auto"/>
          <w:sz w:val="24"/>
          <w:szCs w:val="24"/>
          <w:highlight w:val="none"/>
        </w:rPr>
      </w:pPr>
    </w:p>
    <w:p>
      <w:pPr>
        <w:tabs>
          <w:tab w:val="left" w:pos="1050"/>
        </w:tabs>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二、商务技术响应文件部分格式：</w:t>
      </w:r>
    </w:p>
    <w:p>
      <w:pPr>
        <w:tabs>
          <w:tab w:val="left" w:pos="1050"/>
        </w:tabs>
        <w:spacing w:line="360" w:lineRule="auto"/>
        <w:ind w:left="195" w:leftChars="93"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1、企业基本情况表</w:t>
      </w:r>
    </w:p>
    <w:p>
      <w:pPr>
        <w:pStyle w:val="25"/>
        <w:widowControl w:val="0"/>
        <w:spacing w:line="360" w:lineRule="auto"/>
        <w:ind w:left="195" w:leftChars="93" w:firstLine="480"/>
        <w:rPr>
          <w:rFonts w:hAnsi="宋体" w:cs="宋体"/>
          <w:color w:val="auto"/>
          <w:sz w:val="24"/>
          <w:szCs w:val="24"/>
          <w:highlight w:val="none"/>
        </w:rPr>
      </w:pPr>
      <w:r>
        <w:rPr>
          <w:rFonts w:hint="eastAsia" w:hAnsi="宋体" w:cs="宋体"/>
          <w:color w:val="auto"/>
          <w:sz w:val="24"/>
          <w:szCs w:val="24"/>
          <w:highlight w:val="none"/>
        </w:rPr>
        <w:t>2、项目实施方案</w:t>
      </w:r>
    </w:p>
    <w:p>
      <w:pPr>
        <w:spacing w:line="360" w:lineRule="auto"/>
        <w:ind w:left="195" w:leftChars="93" w:firstLine="480"/>
        <w:rPr>
          <w:rFonts w:ascii="Times New Roman" w:hAnsi="Times New Roman"/>
          <w:color w:val="auto"/>
          <w:sz w:val="24"/>
          <w:highlight w:val="none"/>
        </w:rPr>
      </w:pPr>
      <w:r>
        <w:rPr>
          <w:rFonts w:hint="eastAsia" w:ascii="宋体" w:hAnsi="宋体" w:eastAsia="宋体" w:cs="宋体"/>
          <w:color w:val="auto"/>
          <w:sz w:val="24"/>
          <w:szCs w:val="24"/>
          <w:highlight w:val="none"/>
        </w:rPr>
        <w:t>3、</w:t>
      </w:r>
      <w:r>
        <w:rPr>
          <w:rFonts w:ascii="Times New Roman" w:hAnsi="Times New Roman"/>
          <w:color w:val="auto"/>
          <w:sz w:val="24"/>
          <w:highlight w:val="none"/>
        </w:rPr>
        <w:t>投标产品技术响应表</w:t>
      </w:r>
    </w:p>
    <w:p>
      <w:pPr>
        <w:spacing w:line="360" w:lineRule="auto"/>
        <w:ind w:left="195" w:leftChars="93" w:firstLine="480"/>
        <w:rPr>
          <w:rFonts w:ascii="宋体" w:hAnsi="宋体" w:eastAsia="宋体" w:cs="宋体"/>
          <w:color w:val="auto"/>
          <w:sz w:val="24"/>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相关业绩一览表</w:t>
      </w:r>
    </w:p>
    <w:p>
      <w:pPr>
        <w:spacing w:line="360" w:lineRule="auto"/>
        <w:ind w:left="195" w:leftChars="93"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5、拟派服务团队人员情况表</w:t>
      </w:r>
    </w:p>
    <w:p>
      <w:pPr>
        <w:spacing w:line="360" w:lineRule="auto"/>
        <w:ind w:left="195" w:leftChars="93"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6、质量和售后服务承诺书</w:t>
      </w:r>
    </w:p>
    <w:p>
      <w:pPr>
        <w:tabs>
          <w:tab w:val="left" w:pos="1050"/>
        </w:tabs>
        <w:spacing w:line="360" w:lineRule="auto"/>
        <w:ind w:left="195" w:leftChars="93"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7、义乌市政府采购项目投标承诺书</w:t>
      </w:r>
    </w:p>
    <w:p>
      <w:pPr>
        <w:spacing w:line="360" w:lineRule="auto"/>
        <w:ind w:left="195" w:leftChars="93"/>
        <w:rPr>
          <w:rFonts w:ascii="宋体" w:hAnsi="宋体" w:eastAsia="宋体" w:cs="宋体"/>
          <w:color w:val="auto"/>
          <w:highlight w:val="none"/>
        </w:rPr>
      </w:pPr>
    </w:p>
    <w:p>
      <w:pPr>
        <w:pStyle w:val="18"/>
        <w:rPr>
          <w:rFonts w:ascii="宋体" w:hAnsi="宋体" w:cs="宋体"/>
          <w:color w:val="auto"/>
          <w:highlight w:val="none"/>
        </w:rPr>
      </w:pPr>
      <w:r>
        <w:rPr>
          <w:rFonts w:hint="eastAsia" w:ascii="宋体" w:hAnsi="宋体" w:cs="宋体"/>
          <w:color w:val="auto"/>
          <w:highlight w:val="none"/>
        </w:rPr>
        <w:t>三、</w:t>
      </w:r>
      <w:r>
        <w:rPr>
          <w:rFonts w:hint="eastAsia" w:ascii="宋体" w:hAnsi="宋体" w:cs="宋体"/>
          <w:b/>
          <w:color w:val="auto"/>
          <w:szCs w:val="21"/>
          <w:highlight w:val="none"/>
        </w:rPr>
        <w:t>报价响应文件</w:t>
      </w:r>
      <w:r>
        <w:rPr>
          <w:rFonts w:hint="eastAsia" w:ascii="宋体" w:hAnsi="宋体" w:cs="宋体"/>
          <w:color w:val="auto"/>
          <w:highlight w:val="none"/>
        </w:rPr>
        <w:t>部分格式：</w:t>
      </w:r>
    </w:p>
    <w:p>
      <w:pPr>
        <w:tabs>
          <w:tab w:val="left" w:pos="105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1、投标函格式</w:t>
      </w:r>
    </w:p>
    <w:p>
      <w:pPr>
        <w:tabs>
          <w:tab w:val="left" w:pos="1080"/>
        </w:tabs>
        <w:spacing w:line="360" w:lineRule="auto"/>
        <w:ind w:left="528"/>
        <w:rPr>
          <w:rFonts w:ascii="宋体" w:hAnsi="宋体" w:eastAsia="宋体" w:cs="宋体"/>
          <w:color w:val="auto"/>
          <w:sz w:val="24"/>
          <w:highlight w:val="none"/>
        </w:rPr>
      </w:pPr>
      <w:r>
        <w:rPr>
          <w:rFonts w:hint="eastAsia" w:ascii="宋体" w:hAnsi="宋体" w:eastAsia="宋体" w:cs="宋体"/>
          <w:color w:val="auto"/>
          <w:sz w:val="24"/>
          <w:highlight w:val="none"/>
        </w:rPr>
        <w:t>2、开标一览表格式</w:t>
      </w:r>
    </w:p>
    <w:p>
      <w:pPr>
        <w:tabs>
          <w:tab w:val="left" w:pos="1050"/>
        </w:tabs>
        <w:spacing w:line="360" w:lineRule="auto"/>
        <w:ind w:left="195" w:leftChars="93" w:firstLine="480" w:firstLineChars="200"/>
        <w:rPr>
          <w:rFonts w:ascii="宋体" w:hAnsi="宋体" w:eastAsia="宋体" w:cs="宋体"/>
          <w:color w:val="auto"/>
          <w:sz w:val="24"/>
          <w:szCs w:val="24"/>
          <w:highlight w:val="none"/>
        </w:rPr>
      </w:pPr>
    </w:p>
    <w:p>
      <w:pPr>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w:t>
      </w:r>
      <w:bookmarkStart w:id="38" w:name="_Toc350938485"/>
    </w:p>
    <w:p>
      <w:pPr>
        <w:spacing w:line="360" w:lineRule="auto"/>
        <w:rPr>
          <w:rFonts w:ascii="宋体" w:hAnsi="宋体" w:eastAsia="宋体" w:cs="宋体"/>
          <w:b/>
          <w:bCs/>
          <w:color w:val="auto"/>
          <w:kern w:val="0"/>
          <w:sz w:val="36"/>
          <w:szCs w:val="36"/>
          <w:highlight w:val="none"/>
        </w:rPr>
      </w:pPr>
    </w:p>
    <w:p>
      <w:pP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spacing w:line="360" w:lineRule="auto"/>
        <w:rPr>
          <w:rFonts w:ascii="宋体" w:hAnsi="宋体" w:eastAsia="宋体" w:cs="宋体"/>
          <w:b/>
          <w:bCs/>
          <w:color w:val="auto"/>
          <w:kern w:val="0"/>
          <w:sz w:val="36"/>
          <w:szCs w:val="36"/>
          <w:highlight w:val="none"/>
        </w:rPr>
      </w:pPr>
    </w:p>
    <w:p>
      <w:pPr>
        <w:spacing w:line="360" w:lineRule="auto"/>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 w:val="36"/>
          <w:szCs w:val="36"/>
          <w:highlight w:val="none"/>
        </w:rPr>
        <w:t>附件1                  封面格式</w:t>
      </w:r>
      <w:bookmarkEnd w:id="38"/>
    </w:p>
    <w:p>
      <w:pPr>
        <w:widowControl/>
        <w:tabs>
          <w:tab w:val="left" w:pos="8280"/>
        </w:tabs>
        <w:spacing w:line="360" w:lineRule="auto"/>
        <w:ind w:firstLine="480"/>
        <w:jc w:val="center"/>
        <w:rPr>
          <w:rFonts w:ascii="宋体" w:hAnsi="宋体" w:eastAsia="宋体" w:cs="宋体"/>
          <w:b/>
          <w:color w:val="auto"/>
          <w:kern w:val="0"/>
          <w:sz w:val="32"/>
          <w:szCs w:val="32"/>
          <w:highlight w:val="none"/>
        </w:rPr>
      </w:pPr>
    </w:p>
    <w:p>
      <w:pPr>
        <w:widowControl/>
        <w:tabs>
          <w:tab w:val="left" w:pos="450"/>
          <w:tab w:val="left" w:pos="8280"/>
        </w:tabs>
        <w:spacing w:line="360" w:lineRule="auto"/>
        <w:ind w:firstLine="885" w:firstLineChars="245"/>
        <w:jc w:val="left"/>
        <w:rPr>
          <w:rFonts w:ascii="宋体" w:hAnsi="宋体" w:eastAsia="宋体" w:cs="宋体"/>
          <w:b/>
          <w:color w:val="auto"/>
          <w:kern w:val="0"/>
          <w:sz w:val="44"/>
          <w:szCs w:val="44"/>
          <w:highlight w:val="none"/>
        </w:rPr>
      </w:pPr>
      <w:r>
        <w:rPr>
          <w:rFonts w:hint="eastAsia" w:ascii="宋体" w:hAnsi="宋体" w:eastAsia="宋体" w:cs="宋体"/>
          <w:b/>
          <w:color w:val="auto"/>
          <w:kern w:val="0"/>
          <w:sz w:val="36"/>
          <w:szCs w:val="36"/>
          <w:highlight w:val="none"/>
          <w:u w:val="single"/>
        </w:rPr>
        <w:t xml:space="preserve">                                    </w:t>
      </w:r>
      <w:r>
        <w:rPr>
          <w:rFonts w:hint="eastAsia" w:ascii="宋体" w:hAnsi="宋体" w:eastAsia="宋体" w:cs="宋体"/>
          <w:b/>
          <w:color w:val="auto"/>
          <w:kern w:val="0"/>
          <w:sz w:val="44"/>
          <w:szCs w:val="44"/>
          <w:highlight w:val="none"/>
        </w:rPr>
        <w:t>项目</w:t>
      </w:r>
    </w:p>
    <w:p>
      <w:pPr>
        <w:widowControl/>
        <w:tabs>
          <w:tab w:val="left" w:pos="450"/>
          <w:tab w:val="left" w:pos="8280"/>
        </w:tabs>
        <w:spacing w:line="360" w:lineRule="auto"/>
        <w:ind w:firstLine="480"/>
        <w:jc w:val="center"/>
        <w:rPr>
          <w:rFonts w:ascii="宋体" w:hAnsi="宋体" w:eastAsia="宋体" w:cs="宋体"/>
          <w:b/>
          <w:color w:val="auto"/>
          <w:kern w:val="0"/>
          <w:sz w:val="44"/>
          <w:szCs w:val="44"/>
          <w:highlight w:val="none"/>
        </w:rPr>
      </w:pPr>
    </w:p>
    <w:p>
      <w:pPr>
        <w:widowControl/>
        <w:tabs>
          <w:tab w:val="left" w:pos="450"/>
          <w:tab w:val="left" w:pos="8280"/>
        </w:tabs>
        <w:spacing w:line="360" w:lineRule="auto"/>
        <w:ind w:firstLine="480"/>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投标文件</w:t>
      </w:r>
    </w:p>
    <w:p>
      <w:pPr>
        <w:widowControl/>
        <w:tabs>
          <w:tab w:val="left" w:pos="8280"/>
        </w:tabs>
        <w:spacing w:line="360" w:lineRule="auto"/>
        <w:ind w:firstLine="48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（资格响应文件或商务技术响应文件或报价响应文件）</w:t>
      </w:r>
    </w:p>
    <w:p>
      <w:pPr>
        <w:widowControl/>
        <w:tabs>
          <w:tab w:val="left" w:pos="275"/>
          <w:tab w:val="left" w:pos="8280"/>
        </w:tabs>
        <w:spacing w:line="360" w:lineRule="auto"/>
        <w:ind w:firstLine="480"/>
        <w:jc w:val="left"/>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ab/>
      </w:r>
    </w:p>
    <w:p>
      <w:pPr>
        <w:widowControl/>
        <w:tabs>
          <w:tab w:val="left" w:pos="275"/>
          <w:tab w:val="left" w:pos="8280"/>
        </w:tabs>
        <w:spacing w:line="360" w:lineRule="auto"/>
        <w:ind w:firstLine="480"/>
        <w:jc w:val="left"/>
        <w:rPr>
          <w:rFonts w:ascii="宋体" w:hAnsi="宋体" w:eastAsia="宋体" w:cs="宋体"/>
          <w:b/>
          <w:color w:val="auto"/>
          <w:kern w:val="0"/>
          <w:sz w:val="32"/>
          <w:szCs w:val="32"/>
          <w:highlight w:val="none"/>
        </w:rPr>
      </w:pPr>
    </w:p>
    <w:p>
      <w:pPr>
        <w:pStyle w:val="25"/>
        <w:spacing w:line="360" w:lineRule="auto"/>
        <w:rPr>
          <w:rFonts w:hAnsi="宋体" w:cs="宋体"/>
          <w:b/>
          <w:color w:val="auto"/>
          <w:sz w:val="32"/>
          <w:szCs w:val="32"/>
          <w:highlight w:val="none"/>
        </w:rPr>
      </w:pPr>
    </w:p>
    <w:p>
      <w:pPr>
        <w:spacing w:line="360" w:lineRule="auto"/>
        <w:rPr>
          <w:rFonts w:ascii="宋体" w:hAnsi="宋体" w:eastAsia="宋体" w:cs="宋体"/>
          <w:color w:val="auto"/>
          <w:highlight w:val="none"/>
        </w:rPr>
      </w:pPr>
    </w:p>
    <w:p>
      <w:pPr>
        <w:widowControl/>
        <w:tabs>
          <w:tab w:val="left" w:pos="275"/>
          <w:tab w:val="left" w:pos="8280"/>
        </w:tabs>
        <w:spacing w:line="360" w:lineRule="auto"/>
        <w:ind w:firstLine="480"/>
        <w:jc w:val="left"/>
        <w:rPr>
          <w:rFonts w:ascii="宋体" w:hAnsi="宋体" w:eastAsia="宋体" w:cs="宋体"/>
          <w:b/>
          <w:color w:val="auto"/>
          <w:kern w:val="0"/>
          <w:sz w:val="32"/>
          <w:szCs w:val="32"/>
          <w:highlight w:val="none"/>
        </w:rPr>
      </w:pPr>
    </w:p>
    <w:p>
      <w:pPr>
        <w:widowControl/>
        <w:tabs>
          <w:tab w:val="left" w:pos="275"/>
          <w:tab w:val="left" w:pos="8280"/>
        </w:tabs>
        <w:spacing w:line="360" w:lineRule="auto"/>
        <w:ind w:firstLine="480"/>
        <w:jc w:val="left"/>
        <w:rPr>
          <w:rFonts w:ascii="宋体" w:hAnsi="宋体" w:eastAsia="宋体" w:cs="宋体"/>
          <w:b/>
          <w:color w:val="auto"/>
          <w:kern w:val="0"/>
          <w:sz w:val="32"/>
          <w:szCs w:val="32"/>
          <w:highlight w:val="none"/>
        </w:rPr>
      </w:pPr>
    </w:p>
    <w:p>
      <w:pPr>
        <w:widowControl/>
        <w:tabs>
          <w:tab w:val="left" w:pos="275"/>
          <w:tab w:val="left" w:pos="8280"/>
        </w:tabs>
        <w:spacing w:line="360" w:lineRule="auto"/>
        <w:ind w:firstLine="315" w:firstLineChars="98"/>
        <w:jc w:val="left"/>
        <w:rPr>
          <w:rFonts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采购项目编号：</w:t>
      </w:r>
      <w:r>
        <w:rPr>
          <w:rFonts w:hint="eastAsia" w:ascii="宋体" w:hAnsi="宋体" w:eastAsia="宋体" w:cs="宋体"/>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ab/>
      </w:r>
    </w:p>
    <w:p>
      <w:pPr>
        <w:widowControl/>
        <w:tabs>
          <w:tab w:val="left" w:pos="765"/>
          <w:tab w:val="left" w:pos="8280"/>
        </w:tabs>
        <w:spacing w:line="360" w:lineRule="auto"/>
        <w:ind w:firstLine="315" w:firstLineChars="98"/>
        <w:jc w:val="left"/>
        <w:rPr>
          <w:rFonts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投标人（电子签章）：</w:t>
      </w:r>
      <w:r>
        <w:rPr>
          <w:rFonts w:hint="eastAsia" w:ascii="宋体" w:hAnsi="宋体" w:eastAsia="宋体" w:cs="宋体"/>
          <w:b/>
          <w:color w:val="auto"/>
          <w:kern w:val="0"/>
          <w:sz w:val="36"/>
          <w:szCs w:val="36"/>
          <w:highlight w:val="none"/>
          <w:u w:val="single"/>
        </w:rPr>
        <w:t xml:space="preserve">                                </w:t>
      </w:r>
    </w:p>
    <w:p>
      <w:pPr>
        <w:widowControl/>
        <w:tabs>
          <w:tab w:val="left" w:pos="8280"/>
        </w:tabs>
        <w:spacing w:line="360" w:lineRule="auto"/>
        <w:ind w:firstLine="480"/>
        <w:jc w:val="center"/>
        <w:rPr>
          <w:rFonts w:ascii="宋体" w:hAnsi="宋体" w:eastAsia="宋体" w:cs="宋体"/>
          <w:b/>
          <w:color w:val="auto"/>
          <w:kern w:val="0"/>
          <w:sz w:val="32"/>
          <w:szCs w:val="32"/>
          <w:highlight w:val="none"/>
        </w:rPr>
      </w:pPr>
    </w:p>
    <w:p>
      <w:pPr>
        <w:widowControl/>
        <w:tabs>
          <w:tab w:val="left" w:pos="840"/>
          <w:tab w:val="left" w:pos="8280"/>
        </w:tabs>
        <w:spacing w:line="360" w:lineRule="auto"/>
        <w:ind w:firstLine="354" w:firstLineChars="98"/>
        <w:jc w:val="left"/>
        <w:rPr>
          <w:rFonts w:ascii="宋体" w:hAnsi="宋体" w:eastAsia="宋体" w:cs="宋体"/>
          <w:b/>
          <w:color w:val="auto"/>
          <w:kern w:val="0"/>
          <w:sz w:val="36"/>
          <w:szCs w:val="36"/>
          <w:highlight w:val="none"/>
        </w:rPr>
      </w:pPr>
    </w:p>
    <w:p>
      <w:pPr>
        <w:widowControl/>
        <w:tabs>
          <w:tab w:val="left" w:pos="8280"/>
        </w:tabs>
        <w:spacing w:line="360" w:lineRule="auto"/>
        <w:rPr>
          <w:rFonts w:ascii="宋体" w:hAnsi="宋体" w:eastAsia="宋体" w:cs="宋体"/>
          <w:b/>
          <w:color w:val="auto"/>
          <w:kern w:val="0"/>
          <w:sz w:val="32"/>
          <w:szCs w:val="32"/>
          <w:highlight w:val="none"/>
        </w:rPr>
      </w:pPr>
    </w:p>
    <w:p>
      <w:pPr>
        <w:widowControl/>
        <w:tabs>
          <w:tab w:val="left" w:pos="350"/>
          <w:tab w:val="left" w:pos="8280"/>
        </w:tabs>
        <w:spacing w:line="360" w:lineRule="auto"/>
        <w:ind w:firstLine="48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月</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日</w:t>
      </w:r>
    </w:p>
    <w:p>
      <w:pPr>
        <w:spacing w:line="360" w:lineRule="auto"/>
        <w:jc w:val="center"/>
        <w:rPr>
          <w:rFonts w:ascii="宋体" w:hAnsi="宋体" w:eastAsia="宋体" w:cs="宋体"/>
          <w:b/>
          <w:bCs/>
          <w:color w:val="auto"/>
          <w:sz w:val="36"/>
          <w:szCs w:val="36"/>
          <w:highlight w:val="none"/>
        </w:rPr>
      </w:pPr>
    </w:p>
    <w:p>
      <w:pPr>
        <w:spacing w:line="360" w:lineRule="auto"/>
        <w:jc w:val="center"/>
        <w:rPr>
          <w:rFonts w:ascii="宋体" w:hAnsi="宋体" w:eastAsia="宋体" w:cs="宋体"/>
          <w:b/>
          <w:bCs/>
          <w:color w:val="auto"/>
          <w:sz w:val="36"/>
          <w:szCs w:val="36"/>
          <w:highlight w:val="none"/>
        </w:rPr>
      </w:pPr>
    </w:p>
    <w:p>
      <w:pPr>
        <w:spacing w:line="360" w:lineRule="auto"/>
        <w:jc w:val="center"/>
        <w:rPr>
          <w:rFonts w:ascii="宋体" w:hAnsi="宋体" w:eastAsia="宋体" w:cs="宋体"/>
          <w:b/>
          <w:bCs/>
          <w:color w:val="auto"/>
          <w:sz w:val="36"/>
          <w:szCs w:val="36"/>
          <w:highlight w:val="none"/>
        </w:rPr>
      </w:pPr>
    </w:p>
    <w:p>
      <w:pPr>
        <w:spacing w:line="360" w:lineRule="auto"/>
        <w:jc w:val="center"/>
        <w:outlineLvl w:val="1"/>
        <w:rPr>
          <w:rFonts w:ascii="宋体" w:hAnsi="宋体" w:eastAsia="宋体" w:cs="宋体"/>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法定代表人申明书（格式）</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                           性别：</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                           职务：</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（单位名称）的法定代表人，法定地址：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项目的投标、开标等事宜，签署上述投标文件，进行合同谈判、签署合同和处理与之有关的一切事务。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特此申明</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r>
        <w:rPr>
          <w:rFonts w:hint="eastAsia" w:ascii="宋体" w:hAnsi="宋体" w:eastAsia="宋体" w:cs="宋体"/>
          <w:bCs/>
          <w:color w:val="auto"/>
          <w:sz w:val="24"/>
          <w:szCs w:val="24"/>
          <w:highlight w:val="none"/>
        </w:rPr>
        <w:t>电子签章</w:t>
      </w:r>
      <w:r>
        <w:rPr>
          <w:rFonts w:hint="eastAsia" w:ascii="宋体" w:hAnsi="宋体" w:eastAsia="宋体" w:cs="宋体"/>
          <w:color w:val="auto"/>
          <w:sz w:val="24"/>
          <w:szCs w:val="24"/>
          <w:highlight w:val="non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pPr>
        <w:spacing w:line="360" w:lineRule="auto"/>
        <w:rPr>
          <w:rFonts w:ascii="宋体" w:hAnsi="宋体" w:eastAsia="宋体" w:cs="宋体"/>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255" w:type="dxa"/>
          </w:tcPr>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tc>
      </w:tr>
    </w:tbl>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widowControl/>
        <w:spacing w:line="360" w:lineRule="auto"/>
        <w:jc w:val="center"/>
        <w:outlineLvl w:val="1"/>
        <w:rPr>
          <w:rFonts w:ascii="宋体" w:hAnsi="宋体" w:eastAsia="宋体" w:cs="宋体"/>
          <w:b/>
          <w:color w:val="auto"/>
          <w:sz w:val="48"/>
          <w:highlight w:val="none"/>
        </w:rPr>
      </w:pPr>
      <w:r>
        <w:rPr>
          <w:rFonts w:hint="eastAsia" w:ascii="宋体" w:hAnsi="宋体" w:eastAsia="宋体" w:cs="宋体"/>
          <w:b/>
          <w:bCs/>
          <w:color w:val="auto"/>
          <w:sz w:val="36"/>
          <w:szCs w:val="36"/>
          <w:highlight w:val="none"/>
        </w:rPr>
        <w:t>投标人法定代表人授权书（格式）</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采购人名称）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招标代理机构名称）         </w:t>
      </w:r>
      <w:r>
        <w:rPr>
          <w:rFonts w:hint="eastAsia" w:ascii="宋体" w:hAnsi="宋体" w:eastAsia="宋体" w:cs="宋体"/>
          <w:color w:val="auto"/>
          <w:sz w:val="24"/>
          <w:highlight w:val="none"/>
        </w:rPr>
        <w:t xml:space="preserve">    </w:t>
      </w:r>
    </w:p>
    <w:p>
      <w:pPr>
        <w:spacing w:line="360" w:lineRule="auto"/>
        <w:ind w:firstLine="480" w:firstLineChars="20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（注册地址）的</w:t>
      </w:r>
      <w:r>
        <w:rPr>
          <w:rFonts w:hint="eastAsia" w:ascii="宋体" w:hAnsi="宋体" w:eastAsia="宋体" w:cs="宋体"/>
          <w:color w:val="auto"/>
          <w:sz w:val="24"/>
          <w:highlight w:val="none"/>
          <w:u w:val="single"/>
        </w:rPr>
        <w:t xml:space="preserve">                                         </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（授权人姓名）系该公司的法定代表人。现特授权本单位的（被授权人姓名）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为我公司合法代理人，全权代表我公司办理就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项目的投标、谈判、签约等具体工作，并签署全部有关的文件、协议及合同。</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我公司对被授权人的签名负全部责任。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被授权人身份证复印件：</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rPr>
        <w:t>电子签章</w:t>
      </w:r>
      <w:r>
        <w:rPr>
          <w:rFonts w:hint="eastAsia" w:ascii="宋体" w:hAnsi="宋体" w:eastAsia="宋体" w:cs="宋体"/>
          <w:color w:val="auto"/>
          <w:sz w:val="24"/>
          <w:highlight w:val="none"/>
        </w:rPr>
        <w:t>：</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注：投标人法定代表人参加投标的，提供法定代表人申明书和身份说明即可。</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被授权人身份证复印件：</w:t>
      </w:r>
    </w:p>
    <w:p>
      <w:pPr>
        <w:spacing w:line="360" w:lineRule="auto"/>
        <w:rPr>
          <w:rFonts w:ascii="宋体" w:hAnsi="宋体" w:eastAsia="宋体" w:cs="宋体"/>
          <w:color w:val="auto"/>
          <w:sz w:val="24"/>
          <w:highlight w:val="none"/>
        </w:rPr>
      </w:pPr>
    </w:p>
    <w:tbl>
      <w:tblPr>
        <w:tblStyle w:val="27"/>
        <w:tblpPr w:leftFromText="180" w:rightFromText="180" w:vertAnchor="text" w:horzAnchor="page" w:tblpX="356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255" w:type="dxa"/>
          </w:tcPr>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法定代表人身份证复印件</w:t>
            </w:r>
          </w:p>
        </w:tc>
      </w:tr>
    </w:tbl>
    <w:p>
      <w:pPr>
        <w:spacing w:line="360" w:lineRule="auto"/>
        <w:rPr>
          <w:rFonts w:ascii="宋体" w:hAnsi="宋体" w:eastAsia="宋体" w:cs="宋体"/>
          <w:b/>
          <w:bCs/>
          <w:color w:val="auto"/>
          <w:sz w:val="24"/>
          <w:highlight w:val="none"/>
        </w:rPr>
      </w:pPr>
    </w:p>
    <w:p>
      <w:pPr>
        <w:widowControl/>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360" w:lineRule="auto"/>
        <w:jc w:val="center"/>
        <w:outlineLvl w:val="1"/>
        <w:rPr>
          <w:rFonts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投标人情况介绍</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1、总体介绍、技术经济实力、服务能力、资格、资质、质量认证与本项目类似的实际项目的介绍、业绩等相关情况。</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2、最近的财务报表、业绩表（含用户的联系方式）等相关说明资料复印件加盖电子签章后附后。</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3、投标人认为有必要的声明和文件（荣誉证书等），复印件加盖电子签章后附后。</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outlineLvl w:val="1"/>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中小企业声明函</w:t>
      </w:r>
    </w:p>
    <w:p>
      <w:pPr>
        <w:widowControl/>
        <w:spacing w:line="360" w:lineRule="auto"/>
        <w:jc w:val="center"/>
        <w:rPr>
          <w:rFonts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非小微企业不用提供</w:t>
      </w:r>
      <w:r>
        <w:rPr>
          <w:rFonts w:hint="eastAsia" w:ascii="宋体" w:hAnsi="宋体" w:eastAsia="宋体" w:cs="宋体"/>
          <w:b/>
          <w:color w:val="auto"/>
          <w:sz w:val="24"/>
          <w:highlight w:val="none"/>
        </w:rPr>
        <w:t>】</w:t>
      </w:r>
    </w:p>
    <w:p>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szCs w:val="24"/>
          <w:highlight w:val="none"/>
          <w:u w:val="single"/>
          <w:lang w:bidi="ar"/>
        </w:rPr>
        <w:t>（单位名称）</w:t>
      </w:r>
      <w:r>
        <w:rPr>
          <w:rFonts w:hint="eastAsia" w:ascii="宋体" w:hAnsi="宋体" w:eastAsia="宋体" w:cs="宋体"/>
          <w:color w:val="auto"/>
          <w:kern w:val="0"/>
          <w:sz w:val="24"/>
          <w:szCs w:val="24"/>
          <w:highlight w:val="none"/>
          <w:lang w:bidi="ar"/>
        </w:rPr>
        <w:t>的</w:t>
      </w:r>
      <w:r>
        <w:rPr>
          <w:rFonts w:hint="eastAsia" w:ascii="宋体" w:hAnsi="宋体" w:eastAsia="宋体" w:cs="宋体"/>
          <w:i/>
          <w:color w:val="auto"/>
          <w:kern w:val="0"/>
          <w:sz w:val="24"/>
          <w:szCs w:val="24"/>
          <w:highlight w:val="none"/>
          <w:u w:val="single"/>
          <w:lang w:bidi="ar"/>
        </w:rPr>
        <w:t>（项目名称）</w:t>
      </w:r>
      <w:r>
        <w:rPr>
          <w:rFonts w:hint="eastAsia" w:ascii="宋体" w:hAnsi="宋体" w:eastAsia="宋体" w:cs="宋体"/>
          <w:color w:val="auto"/>
          <w:kern w:val="0"/>
          <w:sz w:val="24"/>
          <w:szCs w:val="24"/>
          <w:highlight w:val="none"/>
          <w:lang w:bidi="ar"/>
        </w:rPr>
        <w:t xml:space="preserve">采购活动，提供的货物全部由符合政策要求的中小企业制造。相关企业（含联合体中的中小企业、签订分包意向协议的中小企业）的具体情况如下： </w:t>
      </w:r>
    </w:p>
    <w:p>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i/>
          <w:color w:val="auto"/>
          <w:kern w:val="0"/>
          <w:sz w:val="24"/>
          <w:szCs w:val="24"/>
          <w:highlight w:val="none"/>
          <w:u w:val="single"/>
          <w:lang w:bidi="ar"/>
        </w:rPr>
        <w:t xml:space="preserve">（标的名称） </w:t>
      </w:r>
      <w:r>
        <w:rPr>
          <w:rFonts w:hint="eastAsia" w:ascii="宋体" w:hAnsi="宋体" w:eastAsia="宋体" w:cs="宋体"/>
          <w:color w:val="auto"/>
          <w:kern w:val="0"/>
          <w:sz w:val="24"/>
          <w:szCs w:val="24"/>
          <w:highlight w:val="none"/>
          <w:lang w:bidi="ar"/>
        </w:rPr>
        <w:t>，属于</w:t>
      </w:r>
      <w:r>
        <w:rPr>
          <w:rFonts w:hint="eastAsia" w:ascii="宋体" w:hAnsi="宋体" w:eastAsia="宋体" w:cs="宋体"/>
          <w:i/>
          <w:color w:val="auto"/>
          <w:kern w:val="0"/>
          <w:sz w:val="24"/>
          <w:szCs w:val="24"/>
          <w:highlight w:val="none"/>
          <w:u w:val="single"/>
          <w:lang w:bidi="ar"/>
        </w:rPr>
        <w:t>（采购文件中明确的所属行业）</w:t>
      </w:r>
      <w:r>
        <w:rPr>
          <w:rFonts w:hint="eastAsia" w:ascii="宋体" w:hAnsi="宋体" w:eastAsia="宋体" w:cs="宋体"/>
          <w:i/>
          <w:color w:val="auto"/>
          <w:kern w:val="0"/>
          <w:sz w:val="24"/>
          <w:szCs w:val="24"/>
          <w:highlight w:val="none"/>
          <w:lang w:bidi="ar"/>
        </w:rPr>
        <w:t>行业</w:t>
      </w:r>
      <w:r>
        <w:rPr>
          <w:rFonts w:hint="eastAsia" w:ascii="宋体" w:hAnsi="宋体" w:eastAsia="宋体" w:cs="宋体"/>
          <w:color w:val="auto"/>
          <w:kern w:val="0"/>
          <w:sz w:val="24"/>
          <w:szCs w:val="24"/>
          <w:highlight w:val="none"/>
          <w:lang w:bidi="ar"/>
        </w:rPr>
        <w:t>；制造商为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pPr>
        <w:widowControl/>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pPr>
        <w:spacing w:line="360" w:lineRule="auto"/>
        <w:rPr>
          <w:rFonts w:ascii="宋体" w:hAnsi="宋体" w:eastAsia="宋体" w:cs="宋体"/>
          <w:color w:val="auto"/>
          <w:highlight w:val="none"/>
        </w:rPr>
      </w:pPr>
      <w:r>
        <w:rPr>
          <w:rFonts w:hint="eastAsia" w:ascii="宋体" w:hAnsi="宋体" w:eastAsia="宋体" w:cs="宋体"/>
          <w:b/>
          <w:bCs/>
          <w:color w:val="auto"/>
          <w:kern w:val="0"/>
          <w:sz w:val="24"/>
          <w:szCs w:val="24"/>
          <w:highlight w:val="none"/>
          <w:lang w:bidi="ar"/>
        </w:rPr>
        <w:t>本企业对上述声明内容的真实性负责。如有虚假，将依法承担相应责任。</w:t>
      </w:r>
    </w:p>
    <w:p>
      <w:pPr>
        <w:spacing w:line="360" w:lineRule="auto"/>
        <w:ind w:firstLine="482" w:firstLineChars="200"/>
        <w:rPr>
          <w:rFonts w:ascii="宋体" w:hAnsi="宋体" w:eastAsia="宋体" w:cs="宋体"/>
          <w:b/>
          <w:bCs/>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widowControl/>
        <w:spacing w:line="360" w:lineRule="auto"/>
        <w:ind w:left="5626" w:leftChars="2679"/>
        <w:jc w:val="left"/>
        <w:rPr>
          <w:rFonts w:ascii="宋体" w:hAnsi="宋体" w:eastAsia="宋体" w:cs="宋体"/>
          <w:color w:val="auto"/>
          <w:kern w:val="0"/>
          <w:sz w:val="24"/>
          <w:highlight w:val="none"/>
          <w:u w:val="single"/>
        </w:rPr>
      </w:pPr>
      <w:r>
        <w:rPr>
          <w:rFonts w:hint="eastAsia" w:ascii="宋体" w:hAnsi="宋体" w:eastAsia="宋体" w:cs="宋体"/>
          <w:color w:val="auto"/>
          <w:sz w:val="24"/>
          <w:highlight w:val="none"/>
        </w:rPr>
        <w:t>投标人名称（电子签章）</w:t>
      </w:r>
      <w:r>
        <w:rPr>
          <w:rFonts w:hint="eastAsia" w:ascii="宋体" w:hAnsi="宋体" w:eastAsia="宋体" w:cs="宋体"/>
          <w:color w:val="auto"/>
          <w:sz w:val="24"/>
          <w:highlight w:val="none"/>
          <w:u w:val="single"/>
        </w:rPr>
        <w:t xml:space="preserve">                </w:t>
      </w:r>
    </w:p>
    <w:p>
      <w:pPr>
        <w:widowControl/>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年     月      日</w:t>
      </w:r>
    </w:p>
    <w:p>
      <w:pPr>
        <w:spacing w:line="360" w:lineRule="auto"/>
        <w:ind w:firstLine="480" w:firstLineChars="200"/>
        <w:rPr>
          <w:rFonts w:ascii="宋体" w:hAnsi="宋体" w:eastAsia="宋体" w:cs="宋体"/>
          <w:color w:val="auto"/>
          <w:sz w:val="24"/>
          <w:highlight w:val="none"/>
        </w:rPr>
      </w:pPr>
    </w:p>
    <w:p>
      <w:pPr>
        <w:spacing w:line="360" w:lineRule="auto"/>
        <w:ind w:firstLine="482" w:firstLineChars="200"/>
        <w:rPr>
          <w:rFonts w:ascii="宋体" w:hAnsi="宋体" w:eastAsia="宋体" w:cs="宋体"/>
          <w:b/>
          <w:bCs/>
          <w:color w:val="auto"/>
          <w:sz w:val="24"/>
          <w:highlight w:val="none"/>
        </w:rPr>
      </w:pPr>
    </w:p>
    <w:p>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Style w:val="12"/>
        <w:adjustRightInd w:val="0"/>
        <w:spacing w:line="360" w:lineRule="auto"/>
        <w:ind w:firstLine="482" w:firstLineChars="200"/>
        <w:rPr>
          <w:rFonts w:hAnsi="宋体" w:cs="宋体"/>
          <w:color w:val="auto"/>
          <w:sz w:val="24"/>
          <w:szCs w:val="24"/>
          <w:highlight w:val="none"/>
        </w:rPr>
      </w:pPr>
      <w:r>
        <w:rPr>
          <w:rFonts w:hint="eastAsia" w:hAnsi="宋体" w:cs="宋体"/>
          <w:b/>
          <w:bCs/>
          <w:color w:val="auto"/>
          <w:sz w:val="24"/>
          <w:highlight w:val="none"/>
        </w:rPr>
        <w:t>从业人员、营业收入、资产总额填报上一年度数据，无上一年度数据的新成立企业可不填报。</w:t>
      </w:r>
    </w:p>
    <w:p>
      <w:pPr>
        <w:pStyle w:val="12"/>
        <w:adjustRightInd w:val="0"/>
        <w:spacing w:line="360" w:lineRule="auto"/>
        <w:ind w:firstLine="720" w:firstLineChars="300"/>
        <w:rPr>
          <w:rFonts w:hAnsi="宋体" w:cs="宋体"/>
          <w:color w:val="auto"/>
          <w:sz w:val="24"/>
          <w:szCs w:val="24"/>
          <w:highlight w:val="none"/>
        </w:rPr>
      </w:pPr>
    </w:p>
    <w:p>
      <w:pPr>
        <w:pStyle w:val="12"/>
        <w:adjustRightInd w:val="0"/>
        <w:spacing w:line="360" w:lineRule="auto"/>
        <w:ind w:firstLine="480" w:firstLineChars="200"/>
        <w:rPr>
          <w:rFonts w:hAnsi="宋体" w:cs="宋体"/>
          <w:color w:val="auto"/>
          <w:sz w:val="24"/>
          <w:szCs w:val="24"/>
          <w:highlight w:val="none"/>
        </w:rPr>
      </w:pPr>
    </w:p>
    <w:p>
      <w:pPr>
        <w:pStyle w:val="12"/>
        <w:adjustRightInd w:val="0"/>
        <w:spacing w:line="360" w:lineRule="auto"/>
        <w:ind w:firstLine="420" w:firstLineChars="200"/>
        <w:rPr>
          <w:rFonts w:hAnsi="宋体" w:cs="宋体"/>
          <w:color w:val="auto"/>
          <w:highlight w:val="none"/>
        </w:rPr>
      </w:pPr>
      <w:r>
        <w:rPr>
          <w:rFonts w:hint="eastAsia" w:hAnsi="宋体" w:cs="宋体"/>
          <w:color w:val="auto"/>
          <w:highlight w:val="none"/>
        </w:rPr>
        <w:br w:type="page"/>
      </w:r>
    </w:p>
    <w:p>
      <w:pPr>
        <w:spacing w:line="36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监狱企业声明函</w:t>
      </w:r>
    </w:p>
    <w:p>
      <w:pPr>
        <w:adjustRightIn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非监狱企业不用提供</w:t>
      </w:r>
      <w:r>
        <w:rPr>
          <w:rFonts w:hint="eastAsia" w:ascii="宋体" w:hAnsi="宋体" w:eastAsia="宋体" w:cs="宋体"/>
          <w:b/>
          <w:color w:val="auto"/>
          <w:sz w:val="24"/>
          <w:highlight w:val="none"/>
        </w:rPr>
        <w:t>】</w:t>
      </w:r>
    </w:p>
    <w:p>
      <w:pPr>
        <w:widowControl/>
        <w:adjustRightInd w:val="0"/>
        <w:spacing w:line="360" w:lineRule="auto"/>
        <w:ind w:firstLine="480" w:firstLineChars="200"/>
        <w:rPr>
          <w:rFonts w:ascii="宋体" w:hAnsi="宋体" w:eastAsia="宋体" w:cs="宋体"/>
          <w:color w:val="auto"/>
          <w:sz w:val="24"/>
          <w:highlight w:val="none"/>
        </w:rPr>
      </w:pPr>
    </w:p>
    <w:p>
      <w:pPr>
        <w:widowControl/>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本企业郑重声明，根据《关于政府采购支持监狱企业发展有关问题的通知》（财库[2014]68号）的规定，本企业为</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w:t>
      </w:r>
    </w:p>
    <w:p>
      <w:pPr>
        <w:widowControl/>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根据上述标准，我企业属于</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的理由为：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widowControl/>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本企业为参加（项目名称：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）采购活动提供本企业</w:t>
      </w:r>
      <w:r>
        <w:rPr>
          <w:rFonts w:hint="eastAsia" w:ascii="宋体" w:hAnsi="宋体" w:eastAsia="宋体" w:cs="宋体"/>
          <w:color w:val="auto"/>
          <w:sz w:val="24"/>
          <w:highlight w:val="none"/>
          <w:u w:val="single"/>
        </w:rPr>
        <w:t>的服务</w:t>
      </w:r>
      <w:r>
        <w:rPr>
          <w:rFonts w:hint="eastAsia" w:ascii="宋体" w:hAnsi="宋体" w:eastAsia="宋体" w:cs="宋体"/>
          <w:color w:val="auto"/>
          <w:sz w:val="24"/>
          <w:highlight w:val="none"/>
        </w:rPr>
        <w:t>。</w:t>
      </w:r>
    </w:p>
    <w:p>
      <w:pPr>
        <w:widowControl/>
        <w:adjustRightIn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u w:val="single"/>
        </w:rPr>
        <w:t>本企业对上述声明的真实性负责。如有虚假，将依法承担相应责任</w:t>
      </w:r>
      <w:r>
        <w:rPr>
          <w:rFonts w:hint="eastAsia" w:ascii="宋体" w:hAnsi="宋体" w:eastAsia="宋体" w:cs="宋体"/>
          <w:color w:val="auto"/>
          <w:sz w:val="24"/>
          <w:highlight w:val="none"/>
        </w:rPr>
        <w:t>。</w:t>
      </w:r>
    </w:p>
    <w:p>
      <w:pPr>
        <w:adjustRightInd w:val="0"/>
        <w:spacing w:line="360" w:lineRule="auto"/>
        <w:ind w:firstLine="480" w:firstLineChars="200"/>
        <w:jc w:val="center"/>
        <w:rPr>
          <w:rFonts w:ascii="宋体" w:hAnsi="宋体" w:eastAsia="宋体" w:cs="宋体"/>
          <w:color w:val="auto"/>
          <w:sz w:val="24"/>
          <w:highlight w:val="none"/>
        </w:rPr>
      </w:pPr>
    </w:p>
    <w:p>
      <w:pPr>
        <w:adjustRightIn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投标人名称（电子签章）：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idowControl/>
        <w:spacing w:line="360" w:lineRule="auto"/>
        <w:ind w:firstLine="480" w:firstLineChars="200"/>
        <w:rPr>
          <w:rFonts w:ascii="宋体" w:hAnsi="宋体" w:eastAsia="宋体" w:cs="宋体"/>
          <w:color w:val="auto"/>
          <w:sz w:val="24"/>
          <w:highlight w:val="none"/>
        </w:rPr>
      </w:pP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监狱企业参加政府采购活动时，应当提供由省级以上监狱管理局、戒毒管理局（含新疆生产建设兵团）出具的属于监狱企业的说明文件。</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adjustRightInd w:val="0"/>
        <w:spacing w:line="360" w:lineRule="auto"/>
        <w:ind w:firstLine="420" w:firstLineChars="200"/>
        <w:rPr>
          <w:rFonts w:hAnsi="宋体" w:cs="宋体"/>
          <w:color w:val="auto"/>
          <w:highlight w:val="none"/>
        </w:rPr>
      </w:pPr>
    </w:p>
    <w:p>
      <w:pPr>
        <w:pStyle w:val="12"/>
        <w:adjustRightInd w:val="0"/>
        <w:spacing w:line="360" w:lineRule="auto"/>
        <w:ind w:firstLine="420" w:firstLineChars="200"/>
        <w:rPr>
          <w:rFonts w:hAnsi="宋体" w:cs="宋体"/>
          <w:color w:val="auto"/>
          <w:highlight w:val="none"/>
        </w:rPr>
      </w:pPr>
    </w:p>
    <w:p>
      <w:pPr>
        <w:spacing w:line="360" w:lineRule="auto"/>
        <w:jc w:val="center"/>
        <w:outlineLvl w:val="1"/>
        <w:rPr>
          <w:rFonts w:ascii="宋体" w:hAnsi="宋体" w:eastAsia="宋体" w:cs="宋体"/>
          <w:b/>
          <w:bCs/>
          <w:color w:val="auto"/>
          <w:sz w:val="36"/>
          <w:szCs w:val="36"/>
          <w:highlight w:val="none"/>
        </w:rPr>
      </w:pPr>
      <w:bookmarkStart w:id="39" w:name="OLE_LINK14"/>
      <w:bookmarkStart w:id="40" w:name="OLE_LINK13"/>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残疾人福利性单位声明函</w:t>
      </w:r>
    </w:p>
    <w:bookmarkEnd w:id="39"/>
    <w:bookmarkEnd w:id="40"/>
    <w:p>
      <w:pPr>
        <w:spacing w:line="360" w:lineRule="auto"/>
        <w:ind w:firstLine="444" w:firstLineChars="200"/>
        <w:rPr>
          <w:rFonts w:ascii="宋体" w:hAnsi="宋体" w:eastAsia="宋体" w:cs="宋体"/>
          <w:color w:val="auto"/>
          <w:spacing w:val="6"/>
          <w:szCs w:val="21"/>
          <w:highlight w:val="none"/>
        </w:rPr>
      </w:pPr>
    </w:p>
    <w:p>
      <w:pPr>
        <w:spacing w:line="360" w:lineRule="auto"/>
        <w:ind w:firstLine="504"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（采购人名称）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（项目名称）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eastAsia="宋体" w:cs="宋体"/>
          <w:color w:val="auto"/>
          <w:spacing w:val="6"/>
          <w:sz w:val="24"/>
          <w:highlight w:val="none"/>
        </w:rPr>
      </w:pPr>
      <w:r>
        <w:rPr>
          <w:rFonts w:hint="eastAsia" w:ascii="宋体" w:hAnsi="宋体" w:eastAsia="宋体" w:cs="宋体"/>
          <w:b/>
          <w:color w:val="auto"/>
          <w:spacing w:val="6"/>
          <w:sz w:val="24"/>
          <w:highlight w:val="none"/>
          <w:u w:val="single"/>
        </w:rPr>
        <w:t>本单位对上述声明的真实性负责。如有虚假，将依法承担相应责任</w:t>
      </w:r>
      <w:r>
        <w:rPr>
          <w:rFonts w:hint="eastAsia" w:ascii="宋体" w:hAnsi="宋体" w:eastAsia="宋体" w:cs="宋体"/>
          <w:color w:val="auto"/>
          <w:spacing w:val="6"/>
          <w:sz w:val="24"/>
          <w:highlight w:val="none"/>
        </w:rPr>
        <w:t>。</w:t>
      </w:r>
    </w:p>
    <w:p>
      <w:pPr>
        <w:spacing w:line="360" w:lineRule="auto"/>
        <w:ind w:firstLine="504" w:firstLineChars="200"/>
        <w:rPr>
          <w:rFonts w:ascii="宋体" w:hAnsi="宋体" w:eastAsia="宋体" w:cs="宋体"/>
          <w:color w:val="auto"/>
          <w:spacing w:val="6"/>
          <w:sz w:val="24"/>
          <w:highlight w:val="none"/>
        </w:rPr>
      </w:pPr>
    </w:p>
    <w:p>
      <w:pPr>
        <w:spacing w:line="360" w:lineRule="auto"/>
        <w:ind w:firstLine="504" w:firstLineChars="200"/>
        <w:rPr>
          <w:rFonts w:ascii="宋体" w:hAnsi="宋体" w:eastAsia="宋体" w:cs="宋体"/>
          <w:color w:val="auto"/>
          <w:spacing w:val="6"/>
          <w:sz w:val="24"/>
          <w:highlight w:val="none"/>
        </w:rPr>
      </w:pPr>
    </w:p>
    <w:p>
      <w:pPr>
        <w:adjustRightIn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投标人名称（电子签章）：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12"/>
        <w:adjustRightInd w:val="0"/>
        <w:spacing w:line="360" w:lineRule="auto"/>
        <w:ind w:firstLine="420" w:firstLineChars="200"/>
        <w:rPr>
          <w:rFonts w:hAnsi="宋体" w:cs="宋体"/>
          <w:color w:val="auto"/>
          <w:highlight w:val="none"/>
        </w:rPr>
      </w:pPr>
    </w:p>
    <w:p>
      <w:pPr>
        <w:spacing w:line="360" w:lineRule="auto"/>
        <w:rPr>
          <w:rFonts w:ascii="宋体" w:hAnsi="宋体" w:eastAsia="宋体" w:cs="宋体"/>
          <w:b/>
          <w:color w:val="auto"/>
          <w:sz w:val="24"/>
          <w:highlight w:val="none"/>
        </w:rPr>
      </w:pPr>
    </w:p>
    <w:p>
      <w:pPr>
        <w:pStyle w:val="12"/>
        <w:spacing w:line="360" w:lineRule="auto"/>
        <w:rPr>
          <w:rFonts w:hAnsi="宋体" w:cs="宋体"/>
          <w:color w:val="auto"/>
          <w:highlight w:val="none"/>
        </w:rPr>
      </w:pPr>
    </w:p>
    <w:p>
      <w:pPr>
        <w:outlineLvl w:val="9"/>
        <w:rPr>
          <w:color w:val="auto"/>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pacing w:line="360" w:lineRule="auto"/>
        <w:jc w:val="center"/>
        <w:outlineLvl w:val="1"/>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相关业绩一览表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2179"/>
        <w:gridCol w:w="1747"/>
        <w:gridCol w:w="16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4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项目类型</w:t>
            </w:r>
          </w:p>
        </w:tc>
        <w:tc>
          <w:tcPr>
            <w:tcW w:w="2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7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开完工日期</w:t>
            </w:r>
          </w:p>
        </w:tc>
        <w:tc>
          <w:tcPr>
            <w:tcW w:w="1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项目地址与采购人</w:t>
            </w:r>
          </w:p>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联系电话</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eastAsia="宋体" w:cs="宋体"/>
                <w:color w:val="auto"/>
                <w:sz w:val="24"/>
                <w:highlight w:val="none"/>
                <w:lang w:val="zh-CN"/>
              </w:rPr>
            </w:pPr>
          </w:p>
          <w:p>
            <w:pPr>
              <w:widowControl/>
              <w:spacing w:line="360" w:lineRule="auto"/>
              <w:ind w:firstLine="120" w:firstLineChars="50"/>
              <w:jc w:val="left"/>
              <w:rPr>
                <w:rFonts w:ascii="宋体" w:hAnsi="宋体" w:eastAsia="宋体" w:cs="宋体"/>
                <w:color w:val="auto"/>
                <w:sz w:val="24"/>
                <w:highlight w:val="none"/>
              </w:rPr>
            </w:pPr>
            <w:r>
              <w:rPr>
                <w:rFonts w:hint="eastAsia" w:ascii="宋体" w:hAnsi="宋体" w:eastAsia="宋体" w:cs="宋体"/>
                <w:color w:val="auto"/>
                <w:sz w:val="24"/>
                <w:highlight w:val="none"/>
              </w:rPr>
              <w:t>所在</w:t>
            </w:r>
          </w:p>
          <w:p>
            <w:pPr>
              <w:widowControl/>
              <w:spacing w:line="360" w:lineRule="auto"/>
              <w:ind w:firstLine="120" w:firstLineChars="50"/>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rPr>
              <w:t>页码</w:t>
            </w:r>
          </w:p>
          <w:p>
            <w:pPr>
              <w:autoSpaceDE w:val="0"/>
              <w:autoSpaceDN w:val="0"/>
              <w:adjustRightInd w:val="0"/>
              <w:spacing w:line="360" w:lineRule="auto"/>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宋体" w:hAnsi="宋体" w:eastAsia="宋体" w:cs="宋体"/>
                <w:color w:val="auto"/>
                <w:sz w:val="24"/>
                <w:highlight w:val="none"/>
                <w:lang w:val="zh-CN"/>
              </w:rPr>
            </w:pPr>
          </w:p>
        </w:tc>
      </w:tr>
    </w:tbl>
    <w:p>
      <w:pPr>
        <w:autoSpaceDE w:val="0"/>
        <w:autoSpaceDN w:val="0"/>
        <w:adjustRightInd w:val="0"/>
        <w:spacing w:line="360" w:lineRule="auto"/>
        <w:rPr>
          <w:rFonts w:ascii="宋体" w:hAnsi="宋体" w:eastAsia="宋体" w:cs="宋体"/>
          <w:color w:val="auto"/>
          <w:sz w:val="24"/>
          <w:highlight w:val="none"/>
        </w:rPr>
      </w:pPr>
      <w:r>
        <w:rPr>
          <w:rFonts w:hint="eastAsia" w:ascii="宋体" w:hAnsi="宋体" w:eastAsia="宋体" w:cs="宋体"/>
          <w:b/>
          <w:color w:val="auto"/>
          <w:sz w:val="24"/>
          <w:highlight w:val="none"/>
        </w:rPr>
        <w:t>注：投标人可按上述的格式自行编制，须随表提交相应的合同复印件或用户单位验收说明并注明所在投标文件页码。</w:t>
      </w:r>
    </w:p>
    <w:p>
      <w:pPr>
        <w:spacing w:line="360" w:lineRule="auto"/>
        <w:ind w:firstLine="4320" w:firstLineChars="1800"/>
        <w:rPr>
          <w:rFonts w:ascii="宋体" w:hAnsi="宋体" w:eastAsia="宋体" w:cs="宋体"/>
          <w:color w:val="auto"/>
          <w:sz w:val="24"/>
          <w:highlight w:val="none"/>
        </w:rPr>
      </w:pPr>
    </w:p>
    <w:p>
      <w:pPr>
        <w:spacing w:line="360" w:lineRule="auto"/>
        <w:ind w:firstLine="1430" w:firstLineChars="596"/>
        <w:rPr>
          <w:rFonts w:ascii="宋体" w:hAnsi="宋体" w:eastAsia="宋体" w:cs="宋体"/>
          <w:color w:val="auto"/>
          <w:kern w:val="0"/>
          <w:sz w:val="24"/>
          <w:highlight w:val="none"/>
          <w:lang w:val="zh-CN"/>
        </w:rPr>
      </w:pPr>
    </w:p>
    <w:p>
      <w:pPr>
        <w:adjustRightInd w:val="0"/>
        <w:spacing w:line="360" w:lineRule="auto"/>
        <w:ind w:firstLine="4680" w:firstLineChars="195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pPr>
        <w:adjustRightIn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p>
    <w:p>
      <w:pPr>
        <w:spacing w:line="360" w:lineRule="auto"/>
        <w:ind w:firstLine="4668" w:firstLineChars="1945"/>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rPr>
          <w:rFonts w:ascii="宋体" w:hAnsi="宋体" w:eastAsia="宋体" w:cs="宋体"/>
          <w:color w:val="auto"/>
          <w:sz w:val="22"/>
          <w:highlight w:val="none"/>
        </w:rPr>
      </w:pPr>
      <w:r>
        <w:rPr>
          <w:rFonts w:hint="eastAsia" w:ascii="宋体" w:hAnsi="宋体" w:eastAsia="宋体" w:cs="宋体"/>
          <w:color w:val="auto"/>
          <w:sz w:val="22"/>
          <w:highlight w:val="none"/>
        </w:rPr>
        <w:br w:type="page"/>
      </w:r>
    </w:p>
    <w:p>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拟派服务团队人员情况表</w:t>
      </w:r>
    </w:p>
    <w:p>
      <w:pPr>
        <w:spacing w:line="360" w:lineRule="auto"/>
        <w:jc w:val="center"/>
        <w:rPr>
          <w:rFonts w:ascii="宋体" w:hAnsi="宋体" w:eastAsia="宋体" w:cs="宋体"/>
          <w:b/>
          <w:color w:val="auto"/>
          <w:kern w:val="0"/>
          <w:sz w:val="36"/>
          <w:szCs w:val="20"/>
          <w:highlight w:val="none"/>
        </w:rPr>
      </w:pPr>
      <w:r>
        <w:rPr>
          <w:rFonts w:hint="eastAsia" w:ascii="宋体" w:hAnsi="宋体" w:eastAsia="宋体" w:cs="宋体"/>
          <w:b/>
          <w:color w:val="auto"/>
          <w:kern w:val="0"/>
          <w:sz w:val="36"/>
          <w:szCs w:val="20"/>
          <w:highlight w:val="none"/>
        </w:rPr>
        <w:t>项目小组名单</w:t>
      </w:r>
    </w:p>
    <w:p>
      <w:pPr>
        <w:tabs>
          <w:tab w:val="left" w:pos="780"/>
        </w:tabs>
        <w:autoSpaceDE w:val="0"/>
        <w:autoSpaceDN w:val="0"/>
        <w:adjustRightInd w:val="0"/>
        <w:spacing w:line="360" w:lineRule="auto"/>
        <w:ind w:firstLine="480"/>
        <w:rPr>
          <w:rFonts w:ascii="宋体" w:hAnsi="宋体" w:eastAsia="宋体" w:cs="宋体"/>
          <w:b/>
          <w:color w:val="auto"/>
          <w:szCs w:val="21"/>
          <w:highlight w:val="none"/>
        </w:rPr>
      </w:pPr>
    </w:p>
    <w:p>
      <w:pPr>
        <w:autoSpaceDE w:val="0"/>
        <w:autoSpaceDN w:val="0"/>
        <w:adjustRightInd w:val="0"/>
        <w:spacing w:line="360" w:lineRule="auto"/>
        <w:rPr>
          <w:rFonts w:ascii="宋体" w:hAnsi="宋体" w:eastAsia="宋体" w:cs="宋体"/>
          <w:color w:val="auto"/>
          <w:kern w:val="0"/>
          <w:szCs w:val="20"/>
          <w:highlight w:val="none"/>
        </w:rPr>
      </w:pPr>
      <w:r>
        <w:rPr>
          <w:rFonts w:hint="eastAsia" w:ascii="宋体" w:hAnsi="宋体" w:eastAsia="宋体" w:cs="宋体"/>
          <w:b/>
          <w:color w:val="auto"/>
          <w:szCs w:val="21"/>
          <w:highlight w:val="none"/>
        </w:rPr>
        <w:t>本项目的项目小组人员情况表</w:t>
      </w:r>
      <w:r>
        <w:rPr>
          <w:rFonts w:hint="eastAsia" w:ascii="宋体" w:hAnsi="宋体" w:eastAsia="宋体" w:cs="宋体"/>
          <w:color w:val="auto"/>
          <w:kern w:val="0"/>
          <w:szCs w:val="20"/>
          <w:highlight w:val="none"/>
        </w:rPr>
        <w:t>（按此格式自制）</w:t>
      </w:r>
    </w:p>
    <w:tbl>
      <w:tblPr>
        <w:tblStyle w:val="26"/>
        <w:tblW w:w="9375" w:type="dxa"/>
        <w:jc w:val="center"/>
        <w:tblLayout w:type="fixed"/>
        <w:tblCellMar>
          <w:top w:w="0" w:type="dxa"/>
          <w:left w:w="108" w:type="dxa"/>
          <w:bottom w:w="0" w:type="dxa"/>
          <w:right w:w="108" w:type="dxa"/>
        </w:tblCellMar>
      </w:tblPr>
      <w:tblGrid>
        <w:gridCol w:w="436"/>
        <w:gridCol w:w="817"/>
        <w:gridCol w:w="428"/>
        <w:gridCol w:w="608"/>
        <w:gridCol w:w="1075"/>
        <w:gridCol w:w="1121"/>
        <w:gridCol w:w="1121"/>
        <w:gridCol w:w="1308"/>
        <w:gridCol w:w="935"/>
        <w:gridCol w:w="1526"/>
      </w:tblGrid>
      <w:tr>
        <w:tblPrEx>
          <w:tblCellMar>
            <w:top w:w="0" w:type="dxa"/>
            <w:left w:w="108" w:type="dxa"/>
            <w:bottom w:w="0" w:type="dxa"/>
            <w:right w:w="108" w:type="dxa"/>
          </w:tblCellMar>
        </w:tblPrEx>
        <w:trPr>
          <w:trHeight w:val="1090" w:hRule="atLeast"/>
          <w:jc w:val="center"/>
        </w:trPr>
        <w:tc>
          <w:tcPr>
            <w:tcW w:w="4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3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2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tblPrEx>
          <w:tblCellMar>
            <w:top w:w="0" w:type="dxa"/>
            <w:left w:w="108" w:type="dxa"/>
            <w:bottom w:w="0" w:type="dxa"/>
            <w:right w:w="108" w:type="dxa"/>
          </w:tblCellMar>
        </w:tblPrEx>
        <w:trPr>
          <w:trHeight w:val="699"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宋体" w:hAnsi="宋体" w:eastAsia="宋体" w:cs="宋体"/>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宋体" w:hAnsi="宋体" w:eastAsia="宋体" w:cs="宋体"/>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宋体" w:hAnsi="宋体" w:eastAsia="宋体" w:cs="宋体"/>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宋体" w:hAnsi="宋体" w:eastAsia="宋体" w:cs="宋体"/>
                <w:color w:val="auto"/>
                <w:sz w:val="24"/>
                <w:highlight w:val="none"/>
              </w:rPr>
            </w:pPr>
          </w:p>
        </w:tc>
      </w:tr>
    </w:tbl>
    <w:p>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注：投标人可按上述的格式自行编制，须随表提交相应的证书复印件并注明所在商务技术文件页码。</w:t>
      </w:r>
    </w:p>
    <w:p>
      <w:pPr>
        <w:autoSpaceDE w:val="0"/>
        <w:autoSpaceDN w:val="0"/>
        <w:adjustRightInd w:val="0"/>
        <w:spacing w:line="360" w:lineRule="auto"/>
        <w:ind w:firstLine="4440" w:firstLineChars="1850"/>
        <w:rPr>
          <w:rFonts w:ascii="宋体" w:hAnsi="宋体" w:eastAsia="宋体" w:cs="宋体"/>
          <w:color w:val="auto"/>
          <w:kern w:val="0"/>
          <w:sz w:val="24"/>
          <w:highlight w:val="none"/>
        </w:rPr>
      </w:pPr>
    </w:p>
    <w:p>
      <w:pPr>
        <w:autoSpaceDE w:val="0"/>
        <w:autoSpaceDN w:val="0"/>
        <w:adjustRightInd w:val="0"/>
        <w:spacing w:line="360" w:lineRule="auto"/>
        <w:ind w:firstLine="4440" w:firstLineChars="18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投标人名称（电子签章）：</w:t>
      </w:r>
    </w:p>
    <w:p>
      <w:pPr>
        <w:autoSpaceDE w:val="0"/>
        <w:autoSpaceDN w:val="0"/>
        <w:adjustRightIn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tabs>
          <w:tab w:val="left" w:pos="2790"/>
          <w:tab w:val="left" w:pos="4230"/>
        </w:tabs>
        <w:autoSpaceDE w:val="0"/>
        <w:autoSpaceDN w:val="0"/>
        <w:adjustRightInd w:val="0"/>
        <w:spacing w:line="360" w:lineRule="auto"/>
        <w:ind w:right="1400"/>
        <w:rPr>
          <w:rFonts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rPr>
        <w:t xml:space="preserve">                                     日期：2023年  月   日</w:t>
      </w:r>
    </w:p>
    <w:p>
      <w:pPr>
        <w:spacing w:line="360" w:lineRule="auto"/>
        <w:jc w:val="center"/>
        <w:outlineLvl w:val="1"/>
        <w:rPr>
          <w:rFonts w:ascii="宋体" w:hAnsi="宋体" w:eastAsia="宋体" w:cs="宋体"/>
          <w:bCs/>
          <w:color w:val="auto"/>
          <w:kern w:val="0"/>
          <w:sz w:val="36"/>
          <w:szCs w:val="36"/>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6"/>
          <w:szCs w:val="36"/>
          <w:highlight w:val="none"/>
        </w:rPr>
        <w:t>质量和售后服务承诺书</w:t>
      </w: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售后服务方面的承诺：</w:t>
      </w: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售后服务联系方式（联系人、联系电话、维修点等）</w:t>
      </w: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其他优惠条件</w:t>
      </w:r>
    </w:p>
    <w:p>
      <w:pPr>
        <w:spacing w:line="360" w:lineRule="auto"/>
        <w:ind w:firstLine="480"/>
        <w:rPr>
          <w:rFonts w:ascii="宋体" w:hAnsi="宋体" w:eastAsia="宋体" w:cs="宋体"/>
          <w:color w:val="auto"/>
          <w:sz w:val="24"/>
          <w:szCs w:val="24"/>
          <w:highlight w:val="none"/>
        </w:rPr>
      </w:pPr>
    </w:p>
    <w:p>
      <w:pPr>
        <w:spacing w:line="360" w:lineRule="auto"/>
        <w:ind w:firstLine="480"/>
        <w:rPr>
          <w:rFonts w:ascii="宋体" w:hAnsi="宋体" w:eastAsia="宋体" w:cs="宋体"/>
          <w:color w:val="auto"/>
          <w:sz w:val="24"/>
          <w:szCs w:val="24"/>
          <w:highlight w:val="none"/>
        </w:rPr>
      </w:pPr>
    </w:p>
    <w:p>
      <w:pPr>
        <w:spacing w:line="360" w:lineRule="auto"/>
        <w:ind w:left="4620" w:leftChars="220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 （电子签章）： </w:t>
      </w:r>
    </w:p>
    <w:p>
      <w:pPr>
        <w:spacing w:line="360" w:lineRule="auto"/>
        <w:ind w:left="4620" w:leftChars="2200" w:firstLine="480"/>
        <w:rPr>
          <w:rFonts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年      月      日</w:t>
      </w:r>
    </w:p>
    <w:p>
      <w:pPr>
        <w:spacing w:line="360" w:lineRule="auto"/>
        <w:rPr>
          <w:rFonts w:ascii="宋体" w:hAnsi="宋体" w:eastAsia="宋体" w:cs="宋体"/>
          <w:color w:val="auto"/>
          <w:sz w:val="24"/>
          <w:szCs w:val="24"/>
          <w:highlight w:val="none"/>
        </w:rPr>
      </w:pPr>
    </w:p>
    <w:p>
      <w:pPr>
        <w:pStyle w:val="12"/>
        <w:spacing w:line="360" w:lineRule="auto"/>
        <w:rPr>
          <w:rFonts w:hAnsi="宋体" w:cs="宋体"/>
          <w:b/>
          <w:bCs/>
          <w:color w:val="auto"/>
          <w:sz w:val="24"/>
          <w:szCs w:val="24"/>
          <w:highlight w:val="none"/>
        </w:rPr>
      </w:pPr>
    </w:p>
    <w:p>
      <w:pPr>
        <w:pStyle w:val="12"/>
        <w:spacing w:line="360" w:lineRule="auto"/>
        <w:rPr>
          <w:rFonts w:hAnsi="宋体" w:cs="宋体"/>
          <w:b/>
          <w:bCs/>
          <w:color w:val="auto"/>
          <w:sz w:val="24"/>
          <w:szCs w:val="24"/>
          <w:highlight w:val="none"/>
        </w:rPr>
      </w:pPr>
    </w:p>
    <w:p>
      <w:pPr>
        <w:pStyle w:val="12"/>
        <w:spacing w:line="360" w:lineRule="auto"/>
        <w:rPr>
          <w:rFonts w:hAnsi="宋体" w:cs="宋体"/>
          <w:b/>
          <w:bCs/>
          <w:color w:val="auto"/>
          <w:sz w:val="24"/>
          <w:szCs w:val="24"/>
          <w:highlight w:val="none"/>
        </w:rPr>
      </w:pPr>
    </w:p>
    <w:p>
      <w:pPr>
        <w:spacing w:line="360" w:lineRule="auto"/>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pageBreakBefore w:val="0"/>
        <w:kinsoku/>
        <w:wordWrap/>
        <w:overflowPunct/>
        <w:topLinePunct w:val="0"/>
        <w:bidi w:val="0"/>
        <w:snapToGrid/>
        <w:spacing w:line="360" w:lineRule="auto"/>
        <w:jc w:val="center"/>
        <w:outlineLvl w:val="1"/>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规范偏离表</w:t>
      </w: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bCs/>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012"/>
        <w:gridCol w:w="250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45" w:type="dxa"/>
            <w:tcBorders>
              <w:bottom w:val="single" w:color="auto" w:sz="4" w:space="0"/>
            </w:tcBorders>
            <w:noWrap w:val="0"/>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2" w:type="dxa"/>
            <w:tcBorders>
              <w:bottom w:val="single" w:color="auto" w:sz="4" w:space="0"/>
            </w:tcBorders>
            <w:noWrap w:val="0"/>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2501" w:type="dxa"/>
            <w:tcBorders>
              <w:bottom w:val="single" w:color="auto" w:sz="4" w:space="0"/>
            </w:tcBorders>
            <w:noWrap w:val="0"/>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266" w:type="dxa"/>
            <w:tcBorders>
              <w:bottom w:val="single" w:color="auto" w:sz="4" w:space="0"/>
            </w:tcBorders>
            <w:noWrap w:val="0"/>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对照详细说明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restart"/>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restart"/>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w:t>
            </w: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45" w:type="dxa"/>
            <w:vMerge w:val="continue"/>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3012"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501"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c>
          <w:tcPr>
            <w:tcW w:w="2266" w:type="dxa"/>
            <w:noWrap w:val="0"/>
            <w:vAlign w:val="top"/>
          </w:tcPr>
          <w:p>
            <w:pPr>
              <w:pageBreakBefore w:val="0"/>
              <w:kinsoku/>
              <w:wordWrap/>
              <w:overflowPunct/>
              <w:topLinePunct w:val="0"/>
              <w:bidi w:val="0"/>
              <w:snapToGrid/>
              <w:spacing w:line="360" w:lineRule="auto"/>
              <w:rPr>
                <w:rFonts w:hint="eastAsia" w:ascii="宋体" w:hAnsi="宋体" w:eastAsia="宋体" w:cs="宋体"/>
                <w:color w:val="auto"/>
                <w:sz w:val="24"/>
                <w:highlight w:val="none"/>
              </w:rPr>
            </w:pPr>
          </w:p>
        </w:tc>
      </w:tr>
    </w:tbl>
    <w:p>
      <w:pPr>
        <w:pageBreakBefore w:val="0"/>
        <w:widowControl/>
        <w:kinsoku/>
        <w:wordWrap/>
        <w:overflowPunct/>
        <w:topLinePunct w:val="0"/>
        <w:bidi w:val="0"/>
        <w:snapToGrid/>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pageBreakBefore w:val="0"/>
        <w:widowControl/>
        <w:kinsoku/>
        <w:wordWrap/>
        <w:overflowPunct/>
        <w:topLinePunct w:val="0"/>
        <w:bidi w:val="0"/>
        <w:snapToGrid/>
        <w:spacing w:line="360" w:lineRule="auto"/>
        <w:jc w:val="left"/>
        <w:rPr>
          <w:rFonts w:hint="eastAsia" w:ascii="宋体" w:hAnsi="宋体" w:eastAsia="宋体" w:cs="宋体"/>
          <w:color w:val="auto"/>
          <w:sz w:val="24"/>
          <w:highlight w:val="none"/>
        </w:rPr>
      </w:pPr>
    </w:p>
    <w:p>
      <w:pPr>
        <w:pageBreakBefore w:val="0"/>
        <w:kinsoku/>
        <w:wordWrap/>
        <w:overflowPunct/>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注：1、如没有填“无”。</w:t>
      </w:r>
    </w:p>
    <w:p>
      <w:pPr>
        <w:pageBreakBefore w:val="0"/>
        <w:kinsoku/>
        <w:wordWrap/>
        <w:overflowPunct/>
        <w:topLinePunct w:val="0"/>
        <w:bidi w:val="0"/>
        <w:snapToGri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2、此表在不改变表式内容的情况下可自行制作。</w:t>
      </w:r>
    </w:p>
    <w:p>
      <w:pPr>
        <w:rPr>
          <w:rFonts w:hint="eastAsia" w:hAnsi="宋体" w:cs="宋体"/>
          <w:b/>
          <w:color w:val="auto"/>
          <w:sz w:val="32"/>
          <w:szCs w:val="32"/>
          <w:highlight w:val="none"/>
        </w:rPr>
      </w:pPr>
      <w:r>
        <w:rPr>
          <w:rFonts w:hint="eastAsia" w:hAnsi="宋体" w:cs="宋体"/>
          <w:b/>
          <w:color w:val="auto"/>
          <w:sz w:val="32"/>
          <w:szCs w:val="32"/>
          <w:highlight w:val="none"/>
        </w:rPr>
        <w:br w:type="page"/>
      </w:r>
    </w:p>
    <w:p>
      <w:pPr>
        <w:pStyle w:val="12"/>
        <w:spacing w:line="360" w:lineRule="auto"/>
        <w:ind w:firstLine="2570" w:firstLineChars="800"/>
        <w:outlineLvl w:val="1"/>
        <w:rPr>
          <w:rFonts w:hAnsi="宋体" w:cs="宋体"/>
          <w:b/>
          <w:color w:val="auto"/>
          <w:sz w:val="32"/>
          <w:szCs w:val="32"/>
          <w:highlight w:val="none"/>
        </w:rPr>
      </w:pPr>
      <w:bookmarkStart w:id="41" w:name="_GoBack"/>
      <w:bookmarkEnd w:id="41"/>
      <w:r>
        <w:rPr>
          <w:rFonts w:hint="eastAsia" w:hAnsi="宋体" w:cs="宋体"/>
          <w:b/>
          <w:color w:val="auto"/>
          <w:sz w:val="32"/>
          <w:szCs w:val="32"/>
          <w:highlight w:val="none"/>
        </w:rPr>
        <w:t>义乌市政府采购项目投标承诺书</w:t>
      </w:r>
    </w:p>
    <w:p>
      <w:pPr>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eastAsia" w:ascii="宋体" w:hAnsi="宋体" w:eastAsia="宋体" w:cs="宋体"/>
          <w:color w:val="auto"/>
          <w:szCs w:val="21"/>
          <w:highlight w:val="none"/>
        </w:rPr>
        <w:t>中标</w:t>
      </w:r>
      <w:r>
        <w:rPr>
          <w:rFonts w:hint="eastAsia" w:ascii="宋体" w:hAnsi="宋体" w:eastAsia="宋体" w:cs="宋体"/>
          <w:color w:val="auto"/>
          <w:highlight w:val="none"/>
        </w:rPr>
        <w:t>；</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highlight w:val="none"/>
        </w:rPr>
        <w:t>2、自愿接受义乌市财政局（以下简称市财政局）的管理，并严格遵守政府采购监管部门制定的招投标管理制度、规范和纪律。</w:t>
      </w:r>
    </w:p>
    <w:p>
      <w:pPr>
        <w:spacing w:line="360" w:lineRule="auto"/>
        <w:ind w:left="-34" w:leftChars="-16"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3、我单位承诺参与本次投标的资格符合《中华人民共和国政府采购法》的规定，并承诺近三年内，在经营活动中没有重大违法记录。</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5、不转让、出借、涂改、伪造资质（资格）证书或者以其他方式允许其他单位（个人）以我单位（本人）名义承接业务。</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6、不与采购人或者其他投标人相互串通投标，围标，不以行贿等不正当手段谋取</w:t>
      </w:r>
      <w:r>
        <w:rPr>
          <w:rFonts w:hint="eastAsia" w:ascii="宋体" w:hAnsi="宋体" w:eastAsia="宋体" w:cs="宋体"/>
          <w:color w:val="auto"/>
          <w:sz w:val="24"/>
          <w:highlight w:val="none"/>
        </w:rPr>
        <w:t>中标</w:t>
      </w:r>
      <w:r>
        <w:rPr>
          <w:rFonts w:hint="eastAsia" w:ascii="宋体" w:hAnsi="宋体" w:eastAsia="宋体" w:cs="宋体"/>
          <w:color w:val="auto"/>
          <w:szCs w:val="21"/>
          <w:highlight w:val="none"/>
        </w:rPr>
        <w:t>。</w:t>
      </w:r>
    </w:p>
    <w:p>
      <w:pPr>
        <w:spacing w:line="360" w:lineRule="auto"/>
        <w:ind w:left="-34" w:leftChars="-16"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7、在备案、招标、投标、报名、开标、评标、询标、中标、签订合同、合同备案等招投标预备和进行的全过程中提供的资料均真实、有效，不弄虚作假。</w:t>
      </w:r>
    </w:p>
    <w:p>
      <w:pPr>
        <w:tabs>
          <w:tab w:val="left" w:pos="8820"/>
        </w:tabs>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highlight w:val="none"/>
        </w:rPr>
        <w:t>8、我方已详细审核全部招标文件，包括修改文件（如果有的话），及有关附件，我方同意放弃提出含糊不清或误解的权利。 </w:t>
      </w:r>
    </w:p>
    <w:p>
      <w:pPr>
        <w:tabs>
          <w:tab w:val="left" w:pos="8820"/>
        </w:tabs>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highlight w:val="none"/>
        </w:rPr>
        <w:t>9、我方同意所递交的投标文件在招标期内有效，在此期间内我方有可能中标，我方将受此约束。</w:t>
      </w:r>
    </w:p>
    <w:p>
      <w:pPr>
        <w:tabs>
          <w:tab w:val="left" w:pos="8820"/>
        </w:tabs>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highlight w:val="none"/>
        </w:rPr>
        <w:t>10、我方相信贵方的招标结果是公正、合法的，无论我方</w:t>
      </w:r>
      <w:r>
        <w:rPr>
          <w:rFonts w:hint="eastAsia" w:ascii="宋体" w:hAnsi="宋体" w:eastAsia="宋体" w:cs="宋体"/>
          <w:color w:val="auto"/>
          <w:szCs w:val="21"/>
          <w:highlight w:val="none"/>
        </w:rPr>
        <w:t>中标</w:t>
      </w:r>
      <w:r>
        <w:rPr>
          <w:rFonts w:hint="eastAsia" w:ascii="宋体" w:hAnsi="宋体" w:eastAsia="宋体" w:cs="宋体"/>
          <w:color w:val="auto"/>
          <w:highlight w:val="none"/>
        </w:rPr>
        <w:t>还是落标，我方将接受这一结果。 </w:t>
      </w:r>
    </w:p>
    <w:p>
      <w:pPr>
        <w:tabs>
          <w:tab w:val="left" w:pos="8820"/>
        </w:tabs>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highlight w:val="none"/>
        </w:rPr>
        <w:t>11、一旦我方</w:t>
      </w:r>
      <w:r>
        <w:rPr>
          <w:rFonts w:hint="eastAsia" w:ascii="宋体" w:hAnsi="宋体" w:eastAsia="宋体" w:cs="宋体"/>
          <w:color w:val="auto"/>
          <w:szCs w:val="21"/>
          <w:highlight w:val="none"/>
        </w:rPr>
        <w:t>中标</w:t>
      </w:r>
      <w:r>
        <w:rPr>
          <w:rFonts w:hint="eastAsia" w:ascii="宋体" w:hAnsi="宋体" w:eastAsia="宋体" w:cs="宋体"/>
          <w:color w:val="auto"/>
          <w:highlight w:val="none"/>
        </w:rPr>
        <w:t>，我方将严格依照招标文件中的相关规定与招标方签订合同。</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12、不低于企业成本价投标，不恶意过高报价，不扰乱招投标的正常秩序。</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13、严格遵守开标会议纪律，不在开标会场吵闹、滋事，服从工作人员指挥。</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360" w:lineRule="auto"/>
        <w:rPr>
          <w:rFonts w:ascii="宋体" w:hAnsi="宋体" w:eastAsia="宋体" w:cs="宋体"/>
          <w:color w:val="auto"/>
          <w:szCs w:val="21"/>
          <w:highlight w:val="none"/>
        </w:rPr>
      </w:pPr>
    </w:p>
    <w:p>
      <w:pPr>
        <w:pStyle w:val="33"/>
        <w:ind w:left="480" w:hanging="480"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投标人（电子签章）：      </w:t>
      </w:r>
      <w:r>
        <w:rPr>
          <w:rFonts w:hint="eastAsia" w:ascii="宋体" w:hAnsi="宋体" w:eastAsia="宋体" w:cs="宋体"/>
          <w:color w:val="auto"/>
          <w:szCs w:val="21"/>
          <w:highlight w:val="none"/>
          <w:lang w:val="en-US"/>
        </w:rPr>
        <w:t xml:space="preserve">                          </w:t>
      </w:r>
      <w:r>
        <w:rPr>
          <w:rFonts w:hint="eastAsia" w:ascii="宋体" w:hAnsi="宋体" w:eastAsia="宋体" w:cs="宋体"/>
          <w:color w:val="auto"/>
          <w:szCs w:val="21"/>
          <w:highlight w:val="none"/>
        </w:rPr>
        <w:t>年  月   日</w:t>
      </w:r>
    </w:p>
    <w:p>
      <w:pPr>
        <w:spacing w:line="360" w:lineRule="auto"/>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pStyle w:val="12"/>
        <w:spacing w:line="360" w:lineRule="auto"/>
        <w:ind w:firstLine="3253" w:firstLineChars="900"/>
        <w:outlineLvl w:val="1"/>
        <w:rPr>
          <w:rFonts w:hAnsi="宋体" w:cs="宋体"/>
          <w:b/>
          <w:bCs/>
          <w:color w:val="auto"/>
          <w:sz w:val="36"/>
          <w:szCs w:val="36"/>
          <w:highlight w:val="none"/>
        </w:rPr>
      </w:pPr>
      <w:r>
        <w:rPr>
          <w:rFonts w:hint="eastAsia" w:hAnsi="宋体" w:cs="宋体"/>
          <w:b/>
          <w:bCs/>
          <w:color w:val="auto"/>
          <w:sz w:val="36"/>
          <w:szCs w:val="36"/>
          <w:highlight w:val="none"/>
        </w:rPr>
        <w:t>投标函（格式）</w:t>
      </w:r>
    </w:p>
    <w:p>
      <w:pPr>
        <w:pStyle w:val="12"/>
        <w:spacing w:line="360" w:lineRule="auto"/>
        <w:rPr>
          <w:rFonts w:hAnsi="宋体" w:cs="宋体"/>
          <w:color w:val="auto"/>
          <w:sz w:val="24"/>
          <w:highlight w:val="none"/>
        </w:rPr>
      </w:pPr>
      <w:r>
        <w:rPr>
          <w:rFonts w:hint="eastAsia" w:hAnsi="宋体" w:cs="宋体"/>
          <w:color w:val="auto"/>
          <w:sz w:val="24"/>
          <w:highlight w:val="none"/>
        </w:rPr>
        <w:t>致：</w:t>
      </w:r>
    </w:p>
    <w:p>
      <w:pPr>
        <w:pStyle w:val="12"/>
        <w:spacing w:line="360" w:lineRule="auto"/>
        <w:rPr>
          <w:rFonts w:hAnsi="宋体" w:cs="宋体"/>
          <w:color w:val="auto"/>
          <w:sz w:val="24"/>
          <w:highlight w:val="none"/>
        </w:rPr>
      </w:pPr>
      <w:r>
        <w:rPr>
          <w:rFonts w:hint="eastAsia" w:hAnsi="宋体" w:cs="宋体"/>
          <w:color w:val="auto"/>
          <w:sz w:val="24"/>
          <w:highlight w:val="none"/>
        </w:rPr>
        <w:t xml:space="preserve">     _________________________（投标人全称）授权_________________（全名、职务）为全权代表参加贵方组织的_________________________项目（采购项目名称、采购编号）的招标、投标等有关活动，为此提交下述文件：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1、资格响应文件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2、商务技术响应文件；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3、报价响应文件；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4、其他：</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5、据此函，我公司宣布同意如下：</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12"/>
          <w:sz w:val="24"/>
          <w:highlight w:val="none"/>
        </w:rPr>
        <w:t>所附投标报价表中规定的应提供和支付的</w:t>
      </w:r>
      <w:r>
        <w:rPr>
          <w:rFonts w:hint="eastAsia" w:ascii="宋体" w:hAnsi="宋体" w:eastAsia="宋体" w:cs="宋体"/>
          <w:color w:val="auto"/>
          <w:spacing w:val="12"/>
          <w:sz w:val="24"/>
          <w:highlight w:val="none"/>
          <w:lang w:eastAsia="zh-CN"/>
        </w:rPr>
        <w:t>货物和</w:t>
      </w:r>
      <w:r>
        <w:rPr>
          <w:rFonts w:hint="eastAsia" w:ascii="宋体" w:hAnsi="宋体" w:eastAsia="宋体" w:cs="宋体"/>
          <w:color w:val="auto"/>
          <w:spacing w:val="12"/>
          <w:sz w:val="24"/>
          <w:highlight w:val="none"/>
        </w:rPr>
        <w:t>服务投标总价为（人民币）</w:t>
      </w:r>
      <w:r>
        <w:rPr>
          <w:rFonts w:hint="eastAsia" w:ascii="宋体" w:hAnsi="宋体" w:eastAsia="宋体" w:cs="宋体"/>
          <w:color w:val="auto"/>
          <w:sz w:val="24"/>
          <w:highlight w:val="none"/>
        </w:rPr>
        <w:t>_______，即 ______________________________________（大写）。</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（企业成本价为______________元）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（2）投标人已详细审查全部招标文件，我们完全理解并同意放弃对这方面有不明及误解的权利。</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（3）投标人将按招标文件规定履行合同责任和义务。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（4）其投标自开标之日起有效期</w:t>
      </w:r>
      <w:r>
        <w:rPr>
          <w:rFonts w:hint="eastAsia" w:ascii="宋体" w:hAnsi="宋体" w:eastAsia="宋体" w:cs="宋体"/>
          <w:color w:val="auto"/>
          <w:sz w:val="24"/>
          <w:highlight w:val="none"/>
          <w:u w:val="single"/>
        </w:rPr>
        <w:t>____</w:t>
      </w:r>
      <w:r>
        <w:rPr>
          <w:rFonts w:hint="eastAsia" w:ascii="宋体" w:hAnsi="宋体" w:eastAsia="宋体" w:cs="宋体"/>
          <w:color w:val="auto"/>
          <w:sz w:val="24"/>
          <w:highlight w:val="none"/>
        </w:rPr>
        <w:t>个日历天。</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（5）如果在规定的开标时间后，投标人在投标有效期内撤回投标，将按失信行为上报信用办。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（7）与本投标有关的一切正式往来通讯请寄：</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地址：______________________邮编：______________________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电话：______________________传真：______________________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投标人名称：__________________________ （电子签章）</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投标日期： _______年____月____日</w:t>
      </w:r>
    </w:p>
    <w:p>
      <w:pPr>
        <w:spacing w:line="360" w:lineRule="auto"/>
        <w:jc w:val="center"/>
        <w:rPr>
          <w:rFonts w:ascii="宋体" w:hAnsi="宋体" w:eastAsia="宋体" w:cs="宋体"/>
          <w:b/>
          <w:color w:val="auto"/>
          <w:sz w:val="36"/>
          <w:szCs w:val="36"/>
          <w:highlight w:val="none"/>
        </w:rPr>
      </w:pPr>
    </w:p>
    <w:p>
      <w:pPr>
        <w:spacing w:line="360" w:lineRule="auto"/>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1"/>
        <w:rPr>
          <w:rFonts w:ascii="宋体" w:hAnsi="宋体" w:eastAsia="宋体" w:cs="宋体"/>
          <w:color w:val="auto"/>
          <w:sz w:val="24"/>
          <w:highlight w:val="none"/>
        </w:rPr>
      </w:pPr>
      <w:r>
        <w:rPr>
          <w:rFonts w:hint="eastAsia" w:ascii="宋体" w:hAnsi="宋体" w:eastAsia="宋体" w:cs="宋体"/>
          <w:b/>
          <w:color w:val="auto"/>
          <w:sz w:val="36"/>
          <w:szCs w:val="36"/>
          <w:highlight w:val="none"/>
        </w:rPr>
        <w:t>开标</w:t>
      </w:r>
      <w:r>
        <w:rPr>
          <w:rFonts w:hint="eastAsia" w:ascii="宋体" w:hAnsi="宋体" w:eastAsia="宋体" w:cs="宋体"/>
          <w:b/>
          <w:bCs/>
          <w:color w:val="auto"/>
          <w:sz w:val="36"/>
          <w:highlight w:val="none"/>
        </w:rPr>
        <w:t>一览表</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2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2"/>
        <w:gridCol w:w="659"/>
        <w:gridCol w:w="1481"/>
        <w:gridCol w:w="1316"/>
        <w:gridCol w:w="155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31" w:type="dxa"/>
            <w:gridSpan w:val="2"/>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481"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品牌</w:t>
            </w:r>
            <w:r>
              <w:rPr>
                <w:rFonts w:hint="eastAsia" w:ascii="宋体" w:hAnsi="宋体" w:eastAsia="宋体" w:cs="宋体"/>
                <w:color w:val="auto"/>
                <w:sz w:val="24"/>
                <w:highlight w:val="none"/>
                <w:lang w:eastAsia="zh-CN"/>
              </w:rPr>
              <w:t>型号</w:t>
            </w:r>
          </w:p>
        </w:tc>
        <w:tc>
          <w:tcPr>
            <w:tcW w:w="1316"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555"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627"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Align w:val="center"/>
          </w:tcPr>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331" w:type="dxa"/>
            <w:gridSpan w:val="2"/>
            <w:vAlign w:val="center"/>
          </w:tcPr>
          <w:p>
            <w:pPr>
              <w:spacing w:line="360" w:lineRule="auto"/>
              <w:jc w:val="center"/>
              <w:rPr>
                <w:rFonts w:ascii="宋体" w:hAnsi="宋体" w:eastAsia="宋体" w:cs="宋体"/>
                <w:color w:val="auto"/>
                <w:sz w:val="24"/>
                <w:highlight w:val="none"/>
              </w:rPr>
            </w:pPr>
          </w:p>
        </w:tc>
        <w:tc>
          <w:tcPr>
            <w:tcW w:w="1481" w:type="dxa"/>
            <w:vAlign w:val="center"/>
          </w:tcPr>
          <w:p>
            <w:pPr>
              <w:spacing w:line="360" w:lineRule="auto"/>
              <w:jc w:val="center"/>
              <w:rPr>
                <w:rFonts w:ascii="宋体" w:hAnsi="宋体" w:eastAsia="宋体" w:cs="宋体"/>
                <w:color w:val="auto"/>
                <w:sz w:val="24"/>
                <w:highlight w:val="none"/>
              </w:rPr>
            </w:pPr>
          </w:p>
        </w:tc>
        <w:tc>
          <w:tcPr>
            <w:tcW w:w="1316" w:type="dxa"/>
            <w:vAlign w:val="center"/>
          </w:tcPr>
          <w:p>
            <w:pPr>
              <w:spacing w:line="360" w:lineRule="auto"/>
              <w:jc w:val="center"/>
              <w:rPr>
                <w:rFonts w:ascii="宋体" w:hAnsi="宋体" w:eastAsia="宋体" w:cs="宋体"/>
                <w:color w:val="auto"/>
                <w:sz w:val="24"/>
                <w:highlight w:val="none"/>
              </w:rPr>
            </w:pPr>
          </w:p>
        </w:tc>
        <w:tc>
          <w:tcPr>
            <w:tcW w:w="1555" w:type="dxa"/>
            <w:vAlign w:val="center"/>
          </w:tcPr>
          <w:p>
            <w:pPr>
              <w:spacing w:line="360" w:lineRule="auto"/>
              <w:jc w:val="center"/>
              <w:rPr>
                <w:rFonts w:ascii="宋体" w:hAnsi="宋体" w:eastAsia="宋体" w:cs="宋体"/>
                <w:color w:val="auto"/>
                <w:sz w:val="24"/>
                <w:highlight w:val="none"/>
              </w:rPr>
            </w:pPr>
          </w:p>
        </w:tc>
        <w:tc>
          <w:tcPr>
            <w:tcW w:w="1627" w:type="dxa"/>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730" w:type="dxa"/>
          </w:tcPr>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1672" w:type="dxa"/>
          </w:tcPr>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638" w:type="dxa"/>
            <w:gridSpan w:val="5"/>
          </w:tcPr>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ascii="宋体" w:hAnsi="宋体" w:eastAsia="宋体" w:cs="宋体"/>
                <w:color w:val="auto"/>
                <w:sz w:val="24"/>
                <w:highlight w:val="none"/>
              </w:rPr>
            </w:pPr>
          </w:p>
        </w:tc>
      </w:tr>
    </w:tbl>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left="480" w:hanging="480" w:hangingChars="200"/>
        <w:rPr>
          <w:rFonts w:ascii="宋体" w:hAnsi="宋体" w:eastAsia="宋体" w:cs="宋体"/>
          <w:color w:val="auto"/>
          <w:sz w:val="24"/>
          <w:highlight w:val="none"/>
        </w:rPr>
      </w:pPr>
      <w:r>
        <w:rPr>
          <w:rFonts w:hint="eastAsia" w:ascii="宋体" w:hAnsi="宋体" w:eastAsia="宋体" w:cs="宋体"/>
          <w:color w:val="auto"/>
          <w:sz w:val="24"/>
          <w:highlight w:val="none"/>
        </w:rPr>
        <w:t>注：</w:t>
      </w:r>
    </w:p>
    <w:p>
      <w:pPr>
        <w:pStyle w:val="12"/>
        <w:spacing w:line="360" w:lineRule="auto"/>
        <w:rPr>
          <w:rFonts w:hAnsi="宋体" w:cs="宋体"/>
          <w:b/>
          <w:color w:val="auto"/>
          <w:sz w:val="24"/>
          <w:highlight w:val="none"/>
        </w:rPr>
      </w:pPr>
      <w:r>
        <w:rPr>
          <w:rFonts w:hint="eastAsia" w:hAnsi="宋体" w:cs="宋体"/>
          <w:color w:val="auto"/>
          <w:sz w:val="24"/>
          <w:highlight w:val="none"/>
        </w:rPr>
        <w:t>1、投标人应根据国家的有关规定和</w:t>
      </w:r>
      <w:r>
        <w:rPr>
          <w:rFonts w:hint="eastAsia" w:hAnsi="宋体" w:cs="宋体"/>
          <w:b/>
          <w:color w:val="auto"/>
          <w:sz w:val="24"/>
          <w:highlight w:val="none"/>
          <w:shd w:val="pct10" w:color="auto" w:fill="FFFFFF"/>
        </w:rPr>
        <w:t>实际情况</w:t>
      </w:r>
      <w:r>
        <w:rPr>
          <w:rFonts w:hint="eastAsia" w:hAnsi="宋体" w:cs="宋体"/>
          <w:color w:val="auto"/>
          <w:sz w:val="24"/>
          <w:highlight w:val="none"/>
        </w:rPr>
        <w:t>并结合企业的实际情况进行投标报价。</w:t>
      </w:r>
      <w:r>
        <w:rPr>
          <w:rFonts w:hint="eastAsia" w:hAnsi="宋体" w:cs="宋体"/>
          <w:b/>
          <w:color w:val="auto"/>
          <w:sz w:val="24"/>
          <w:highlight w:val="none"/>
        </w:rPr>
        <w:t>投标报价为投标人所能承受的最低、最终一次性报价。</w:t>
      </w:r>
    </w:p>
    <w:p>
      <w:pPr>
        <w:pStyle w:val="12"/>
        <w:spacing w:line="360" w:lineRule="auto"/>
        <w:rPr>
          <w:rFonts w:hAnsi="宋体" w:cs="宋体"/>
          <w:b/>
          <w:color w:val="auto"/>
          <w:sz w:val="24"/>
          <w:highlight w:val="none"/>
        </w:rPr>
      </w:pPr>
      <w:r>
        <w:rPr>
          <w:rFonts w:hint="eastAsia" w:hAnsi="宋体" w:cs="宋体"/>
          <w:b/>
          <w:color w:val="auto"/>
          <w:sz w:val="24"/>
          <w:highlight w:val="none"/>
        </w:rPr>
        <w:t>2、投标报价低于自报成本价的，投标将被拒绝。</w:t>
      </w:r>
    </w:p>
    <w:p>
      <w:pPr>
        <w:pStyle w:val="12"/>
        <w:spacing w:line="360" w:lineRule="auto"/>
        <w:ind w:left="240" w:hanging="240" w:hangingChars="100"/>
        <w:rPr>
          <w:rFonts w:hAnsi="宋体" w:cs="宋体"/>
          <w:color w:val="auto"/>
          <w:sz w:val="24"/>
          <w:highlight w:val="none"/>
        </w:rPr>
      </w:pPr>
      <w:r>
        <w:rPr>
          <w:rFonts w:hint="eastAsia" w:hAnsi="宋体" w:cs="宋体"/>
          <w:color w:val="auto"/>
          <w:sz w:val="24"/>
          <w:highlight w:val="none"/>
        </w:rPr>
        <w:t>3、此表在不改变表式内容的情况下，可自行制作。</w:t>
      </w:r>
    </w:p>
    <w:p>
      <w:pPr>
        <w:rPr>
          <w:rFonts w:ascii="宋体" w:hAnsi="宋体" w:eastAsia="宋体" w:cs="宋体"/>
          <w:color w:val="auto"/>
          <w:sz w:val="24"/>
          <w:highlight w:val="none"/>
        </w:rPr>
      </w:pPr>
    </w:p>
    <w:sectPr>
      <w:headerReference r:id="rId5" w:type="default"/>
      <w:footerReference r:id="rId6"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82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ingfang sc">
    <w:altName w:val="宋体"/>
    <w:panose1 w:val="00000000000000000000"/>
    <w:charset w:val="86"/>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65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left w:val="none" w:color="auto" w:sz="0" w:space="4"/>
        <w:bottom w:val="none" w:color="auto" w:sz="0" w:space="1"/>
        <w:right w:val="none" w:color="auto" w:sz="0" w:space="4"/>
      </w:pBdr>
      <w:jc w:val="distribut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公开 公平 公正                                                     浙江开平企业管理咨询有限公司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6149"/>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12" w:space="1"/>
      </w:pBdr>
      <w:tabs>
        <w:tab w:val="left" w:pos="6559"/>
        <w:tab w:val="clear" w:pos="4153"/>
      </w:tabs>
      <w:jc w:val="distribute"/>
      <w:rPr>
        <w:rFonts w:hint="eastAsia" w:eastAsiaTheme="minorEastAsia"/>
        <w:lang w:eastAsia="zh-CN"/>
      </w:rPr>
    </w:pPr>
    <w:r>
      <w:rPr>
        <w:rFonts w:hint="eastAsia"/>
      </w:rPr>
      <w:t>义乌工商职业技术学院</w:t>
    </w:r>
    <w:r>
      <w:rPr>
        <w:rFonts w:hint="eastAsia"/>
        <w:lang w:eastAsia="zh-CN"/>
      </w:rPr>
      <w:t>依山操场、体育馆大灯</w:t>
    </w:r>
    <w:r>
      <w:rPr>
        <w:rFonts w:hint="eastAsia"/>
      </w:rPr>
      <w:t xml:space="preserve">采购           </w:t>
    </w:r>
    <w:r>
      <w:rPr>
        <w:rFonts w:hint="eastAsia"/>
        <w:lang w:val="en-US" w:eastAsia="zh-CN"/>
      </w:rPr>
      <w:t xml:space="preserve">                </w:t>
    </w:r>
    <w:r>
      <w:rPr>
        <w:rFonts w:hint="eastAsia"/>
      </w:rPr>
      <w:t xml:space="preserve">          项目编号：</w:t>
    </w:r>
    <w:r>
      <w:rPr>
        <w:rFonts w:hint="eastAsia"/>
        <w:lang w:eastAsia="zh-CN"/>
      </w:rPr>
      <w:t>ZJKP2024YW162G-1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sz w:val="24"/>
        <w:szCs w:val="24"/>
      </w:rPr>
    </w:lvl>
  </w:abstractNum>
  <w:abstractNum w:abstractNumId="8">
    <w:nsid w:val="14F59DA8"/>
    <w:multiLevelType w:val="singleLevel"/>
    <w:tmpl w:val="14F59DA8"/>
    <w:lvl w:ilvl="0" w:tentative="0">
      <w:start w:val="6"/>
      <w:numFmt w:val="decimal"/>
      <w:suff w:val="nothing"/>
      <w:lvlText w:val="%1、"/>
      <w:lvlJc w:val="left"/>
    </w:lvl>
  </w:abstractNum>
  <w:abstractNum w:abstractNumId="9">
    <w:nsid w:val="5AD7BAE5"/>
    <w:multiLevelType w:val="singleLevel"/>
    <w:tmpl w:val="5AD7BAE5"/>
    <w:lvl w:ilvl="0" w:tentative="0">
      <w:start w:val="3"/>
      <w:numFmt w:val="decimal"/>
      <w:suff w:val="nothing"/>
      <w:lvlText w:val="%1、"/>
      <w:lvlJc w:val="left"/>
      <w:pPr>
        <w:ind w:left="150"/>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7"/>
  </w:num>
  <w:num w:numId="3">
    <w:abstractNumId w:val="8"/>
  </w:num>
  <w:num w:numId="4">
    <w:abstractNumId w:val="2"/>
  </w:num>
  <w:num w:numId="5">
    <w:abstractNumId w:val="10"/>
  </w:num>
  <w:num w:numId="6">
    <w:abstractNumId w:val="1"/>
  </w:num>
  <w:num w:numId="7">
    <w:abstractNumId w:val="6"/>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 w:name="KSO_WPS_MARK_KEY" w:val="f5cedcf6-0d9b-4c1c-ad7f-1f25f57051d9"/>
  </w:docVars>
  <w:rsids>
    <w:rsidRoot w:val="698A63C3"/>
    <w:rsid w:val="000023DD"/>
    <w:rsid w:val="00043CAA"/>
    <w:rsid w:val="00052D9C"/>
    <w:rsid w:val="0012633E"/>
    <w:rsid w:val="001508C7"/>
    <w:rsid w:val="00177C8D"/>
    <w:rsid w:val="0019336E"/>
    <w:rsid w:val="00230CDE"/>
    <w:rsid w:val="00232389"/>
    <w:rsid w:val="002755AF"/>
    <w:rsid w:val="00300D55"/>
    <w:rsid w:val="0030263F"/>
    <w:rsid w:val="00306C71"/>
    <w:rsid w:val="003328F6"/>
    <w:rsid w:val="003453CF"/>
    <w:rsid w:val="00374EBE"/>
    <w:rsid w:val="00385A4C"/>
    <w:rsid w:val="003D62B9"/>
    <w:rsid w:val="004F42C1"/>
    <w:rsid w:val="004F741F"/>
    <w:rsid w:val="00574B68"/>
    <w:rsid w:val="00577321"/>
    <w:rsid w:val="00587F60"/>
    <w:rsid w:val="005A190C"/>
    <w:rsid w:val="006007B8"/>
    <w:rsid w:val="00601FF5"/>
    <w:rsid w:val="00636985"/>
    <w:rsid w:val="00671F56"/>
    <w:rsid w:val="006B2BA4"/>
    <w:rsid w:val="006D1243"/>
    <w:rsid w:val="006D5C6F"/>
    <w:rsid w:val="00723B9D"/>
    <w:rsid w:val="00771E8E"/>
    <w:rsid w:val="00777261"/>
    <w:rsid w:val="00783F6B"/>
    <w:rsid w:val="00784037"/>
    <w:rsid w:val="008B63D5"/>
    <w:rsid w:val="008D5AC2"/>
    <w:rsid w:val="008F51D9"/>
    <w:rsid w:val="009204BE"/>
    <w:rsid w:val="00922505"/>
    <w:rsid w:val="00961A38"/>
    <w:rsid w:val="00993331"/>
    <w:rsid w:val="009A6BFA"/>
    <w:rsid w:val="009F135F"/>
    <w:rsid w:val="00A06F8F"/>
    <w:rsid w:val="00A40658"/>
    <w:rsid w:val="00B44E62"/>
    <w:rsid w:val="00B47EC5"/>
    <w:rsid w:val="00BB7391"/>
    <w:rsid w:val="00BE1CAB"/>
    <w:rsid w:val="00C12A32"/>
    <w:rsid w:val="00C93BD3"/>
    <w:rsid w:val="00D82966"/>
    <w:rsid w:val="00DD420D"/>
    <w:rsid w:val="00E1374D"/>
    <w:rsid w:val="00E66E7B"/>
    <w:rsid w:val="00E92EA8"/>
    <w:rsid w:val="00EB443B"/>
    <w:rsid w:val="00F0722A"/>
    <w:rsid w:val="00F13316"/>
    <w:rsid w:val="00F803C7"/>
    <w:rsid w:val="00FE3BA0"/>
    <w:rsid w:val="013E412A"/>
    <w:rsid w:val="01713FE9"/>
    <w:rsid w:val="019D2CB2"/>
    <w:rsid w:val="01E3601F"/>
    <w:rsid w:val="02493EC4"/>
    <w:rsid w:val="025A4B3C"/>
    <w:rsid w:val="02D91DE7"/>
    <w:rsid w:val="036C3B5C"/>
    <w:rsid w:val="038541E2"/>
    <w:rsid w:val="03A043CE"/>
    <w:rsid w:val="04360C8C"/>
    <w:rsid w:val="048F7C19"/>
    <w:rsid w:val="04E43663"/>
    <w:rsid w:val="05082C9A"/>
    <w:rsid w:val="05140A30"/>
    <w:rsid w:val="0521388A"/>
    <w:rsid w:val="05474F3F"/>
    <w:rsid w:val="054A7061"/>
    <w:rsid w:val="05667EF8"/>
    <w:rsid w:val="057175C7"/>
    <w:rsid w:val="059258FC"/>
    <w:rsid w:val="05B73F07"/>
    <w:rsid w:val="05EF2466"/>
    <w:rsid w:val="06115A5B"/>
    <w:rsid w:val="062077BC"/>
    <w:rsid w:val="06640030"/>
    <w:rsid w:val="06A578DD"/>
    <w:rsid w:val="06CD24E2"/>
    <w:rsid w:val="06EE7673"/>
    <w:rsid w:val="06F9776E"/>
    <w:rsid w:val="07F5396F"/>
    <w:rsid w:val="0896541C"/>
    <w:rsid w:val="089963F4"/>
    <w:rsid w:val="08FB2C0B"/>
    <w:rsid w:val="09102534"/>
    <w:rsid w:val="093F0736"/>
    <w:rsid w:val="094C3466"/>
    <w:rsid w:val="09614045"/>
    <w:rsid w:val="099866AB"/>
    <w:rsid w:val="09C7792C"/>
    <w:rsid w:val="09D41C07"/>
    <w:rsid w:val="0A0F00BC"/>
    <w:rsid w:val="0A3A36E4"/>
    <w:rsid w:val="0A7040CB"/>
    <w:rsid w:val="0A85770A"/>
    <w:rsid w:val="0AAF374D"/>
    <w:rsid w:val="0AF16201"/>
    <w:rsid w:val="0B080769"/>
    <w:rsid w:val="0B103E6C"/>
    <w:rsid w:val="0B745B79"/>
    <w:rsid w:val="0B75100E"/>
    <w:rsid w:val="0BB528D2"/>
    <w:rsid w:val="0BFF2A12"/>
    <w:rsid w:val="0C546AA0"/>
    <w:rsid w:val="0C9E5D48"/>
    <w:rsid w:val="0CEA0152"/>
    <w:rsid w:val="0CFB04D9"/>
    <w:rsid w:val="0CFD4282"/>
    <w:rsid w:val="0DDA3A9C"/>
    <w:rsid w:val="0EA578A0"/>
    <w:rsid w:val="0EFB4101"/>
    <w:rsid w:val="0F054513"/>
    <w:rsid w:val="0F0D04D1"/>
    <w:rsid w:val="0F291ACE"/>
    <w:rsid w:val="0F5512C6"/>
    <w:rsid w:val="0F68267D"/>
    <w:rsid w:val="0F81069C"/>
    <w:rsid w:val="0F880992"/>
    <w:rsid w:val="0F8D6C31"/>
    <w:rsid w:val="0FAB0EE6"/>
    <w:rsid w:val="0FD0204D"/>
    <w:rsid w:val="101414CD"/>
    <w:rsid w:val="109D121C"/>
    <w:rsid w:val="10C265EF"/>
    <w:rsid w:val="10E0696B"/>
    <w:rsid w:val="115D0B44"/>
    <w:rsid w:val="12445622"/>
    <w:rsid w:val="124E70EA"/>
    <w:rsid w:val="12667156"/>
    <w:rsid w:val="127342AB"/>
    <w:rsid w:val="12C81DAF"/>
    <w:rsid w:val="12DF2A88"/>
    <w:rsid w:val="13237DCA"/>
    <w:rsid w:val="132C3069"/>
    <w:rsid w:val="13BD3D12"/>
    <w:rsid w:val="13FE3816"/>
    <w:rsid w:val="146E3FB0"/>
    <w:rsid w:val="147A490B"/>
    <w:rsid w:val="148744BE"/>
    <w:rsid w:val="14933CD9"/>
    <w:rsid w:val="14997575"/>
    <w:rsid w:val="152470FD"/>
    <w:rsid w:val="154D2279"/>
    <w:rsid w:val="15704A83"/>
    <w:rsid w:val="15705101"/>
    <w:rsid w:val="15714980"/>
    <w:rsid w:val="158D4A81"/>
    <w:rsid w:val="164627DB"/>
    <w:rsid w:val="166C5148"/>
    <w:rsid w:val="16F13135"/>
    <w:rsid w:val="172E54D0"/>
    <w:rsid w:val="17492063"/>
    <w:rsid w:val="175263C0"/>
    <w:rsid w:val="17C316A3"/>
    <w:rsid w:val="17EB08DC"/>
    <w:rsid w:val="18037632"/>
    <w:rsid w:val="18085A29"/>
    <w:rsid w:val="180C2E6B"/>
    <w:rsid w:val="18297D6B"/>
    <w:rsid w:val="186D58D3"/>
    <w:rsid w:val="187F2042"/>
    <w:rsid w:val="18E12F05"/>
    <w:rsid w:val="18E27E8B"/>
    <w:rsid w:val="19461664"/>
    <w:rsid w:val="19645E0A"/>
    <w:rsid w:val="197762DD"/>
    <w:rsid w:val="19E74BB9"/>
    <w:rsid w:val="19EC040D"/>
    <w:rsid w:val="19F45458"/>
    <w:rsid w:val="19F54F84"/>
    <w:rsid w:val="1A143941"/>
    <w:rsid w:val="1A5B79AD"/>
    <w:rsid w:val="1A660226"/>
    <w:rsid w:val="1AB57272"/>
    <w:rsid w:val="1AC6529E"/>
    <w:rsid w:val="1AD31C39"/>
    <w:rsid w:val="1AD564D9"/>
    <w:rsid w:val="1AF37BE5"/>
    <w:rsid w:val="1B2B1543"/>
    <w:rsid w:val="1B441CB3"/>
    <w:rsid w:val="1BF9122C"/>
    <w:rsid w:val="1C1F5136"/>
    <w:rsid w:val="1C2064B6"/>
    <w:rsid w:val="1C486871"/>
    <w:rsid w:val="1CA53161"/>
    <w:rsid w:val="1CC96E50"/>
    <w:rsid w:val="1CED4BA9"/>
    <w:rsid w:val="1CEF2EE0"/>
    <w:rsid w:val="1CF36F7C"/>
    <w:rsid w:val="1CF87735"/>
    <w:rsid w:val="1D097B94"/>
    <w:rsid w:val="1D6D480A"/>
    <w:rsid w:val="1D742B1F"/>
    <w:rsid w:val="1D9150BF"/>
    <w:rsid w:val="1DB43878"/>
    <w:rsid w:val="1DC01566"/>
    <w:rsid w:val="1DC47709"/>
    <w:rsid w:val="1DD145C1"/>
    <w:rsid w:val="1E276524"/>
    <w:rsid w:val="1E2F53D8"/>
    <w:rsid w:val="1E562965"/>
    <w:rsid w:val="1E5E7A6C"/>
    <w:rsid w:val="1E6C05FA"/>
    <w:rsid w:val="1EA26524"/>
    <w:rsid w:val="1EAB0DB7"/>
    <w:rsid w:val="1EDF0BAD"/>
    <w:rsid w:val="1EEB7551"/>
    <w:rsid w:val="1F9244F1"/>
    <w:rsid w:val="1FBB73FE"/>
    <w:rsid w:val="1FBF7255"/>
    <w:rsid w:val="1FCA53B9"/>
    <w:rsid w:val="1FD679D1"/>
    <w:rsid w:val="200D1749"/>
    <w:rsid w:val="203E5C30"/>
    <w:rsid w:val="20AE0B72"/>
    <w:rsid w:val="20B816B5"/>
    <w:rsid w:val="20D32E9C"/>
    <w:rsid w:val="20D64EDD"/>
    <w:rsid w:val="2123670D"/>
    <w:rsid w:val="21427BDE"/>
    <w:rsid w:val="21C57DA6"/>
    <w:rsid w:val="21D6512A"/>
    <w:rsid w:val="21FE5119"/>
    <w:rsid w:val="222A213F"/>
    <w:rsid w:val="2269487C"/>
    <w:rsid w:val="22741123"/>
    <w:rsid w:val="22EC024C"/>
    <w:rsid w:val="22EF4DDC"/>
    <w:rsid w:val="23600E90"/>
    <w:rsid w:val="237E662A"/>
    <w:rsid w:val="238B0497"/>
    <w:rsid w:val="23D83024"/>
    <w:rsid w:val="23DA5D9A"/>
    <w:rsid w:val="23EA508B"/>
    <w:rsid w:val="23FF75FB"/>
    <w:rsid w:val="246255D8"/>
    <w:rsid w:val="24975A86"/>
    <w:rsid w:val="24A7216D"/>
    <w:rsid w:val="24D9144B"/>
    <w:rsid w:val="254D5C61"/>
    <w:rsid w:val="259A2BAD"/>
    <w:rsid w:val="2602467A"/>
    <w:rsid w:val="26D40073"/>
    <w:rsid w:val="26E74F9B"/>
    <w:rsid w:val="274D239C"/>
    <w:rsid w:val="275C548F"/>
    <w:rsid w:val="275F101D"/>
    <w:rsid w:val="27702963"/>
    <w:rsid w:val="27827BF6"/>
    <w:rsid w:val="278C7E6E"/>
    <w:rsid w:val="27D30AF4"/>
    <w:rsid w:val="27E40FE2"/>
    <w:rsid w:val="286D48BD"/>
    <w:rsid w:val="28A702A1"/>
    <w:rsid w:val="291E3D38"/>
    <w:rsid w:val="292267FB"/>
    <w:rsid w:val="293D6190"/>
    <w:rsid w:val="295C19E8"/>
    <w:rsid w:val="29A66A18"/>
    <w:rsid w:val="29F95A00"/>
    <w:rsid w:val="2A4404A5"/>
    <w:rsid w:val="2A662182"/>
    <w:rsid w:val="2A8133C3"/>
    <w:rsid w:val="2AE83D45"/>
    <w:rsid w:val="2AEE5524"/>
    <w:rsid w:val="2B3F744B"/>
    <w:rsid w:val="2B41325A"/>
    <w:rsid w:val="2B747753"/>
    <w:rsid w:val="2BC058C2"/>
    <w:rsid w:val="2BC26F54"/>
    <w:rsid w:val="2BCD57BE"/>
    <w:rsid w:val="2C104FB9"/>
    <w:rsid w:val="2C3747D9"/>
    <w:rsid w:val="2C485341"/>
    <w:rsid w:val="2C4A1254"/>
    <w:rsid w:val="2C6C2FC3"/>
    <w:rsid w:val="2C7B379B"/>
    <w:rsid w:val="2C870122"/>
    <w:rsid w:val="2C9F3729"/>
    <w:rsid w:val="2D8319E5"/>
    <w:rsid w:val="2D984D48"/>
    <w:rsid w:val="2DCE4CFD"/>
    <w:rsid w:val="2DFB6D5B"/>
    <w:rsid w:val="2E3444CB"/>
    <w:rsid w:val="2E5F7614"/>
    <w:rsid w:val="2E6000D3"/>
    <w:rsid w:val="2EB675F3"/>
    <w:rsid w:val="2EDE2C2F"/>
    <w:rsid w:val="2F2F0F1B"/>
    <w:rsid w:val="2F725125"/>
    <w:rsid w:val="2FC516DE"/>
    <w:rsid w:val="2FCF4325"/>
    <w:rsid w:val="2FDB0087"/>
    <w:rsid w:val="2FEB3810"/>
    <w:rsid w:val="302A5A00"/>
    <w:rsid w:val="30345C4D"/>
    <w:rsid w:val="303861A0"/>
    <w:rsid w:val="303F3688"/>
    <w:rsid w:val="3043685E"/>
    <w:rsid w:val="3053577E"/>
    <w:rsid w:val="309D1437"/>
    <w:rsid w:val="30A15E93"/>
    <w:rsid w:val="317938F3"/>
    <w:rsid w:val="319375DC"/>
    <w:rsid w:val="31E82870"/>
    <w:rsid w:val="320B14DF"/>
    <w:rsid w:val="328D5C30"/>
    <w:rsid w:val="33012F73"/>
    <w:rsid w:val="33787336"/>
    <w:rsid w:val="337EC709"/>
    <w:rsid w:val="33BD648F"/>
    <w:rsid w:val="3402683F"/>
    <w:rsid w:val="340D5A45"/>
    <w:rsid w:val="349E7881"/>
    <w:rsid w:val="34B85623"/>
    <w:rsid w:val="34EE3B20"/>
    <w:rsid w:val="34F93133"/>
    <w:rsid w:val="350606FD"/>
    <w:rsid w:val="35CD2AFF"/>
    <w:rsid w:val="35EB50AC"/>
    <w:rsid w:val="35F745D6"/>
    <w:rsid w:val="36963620"/>
    <w:rsid w:val="36B129D7"/>
    <w:rsid w:val="37301C4F"/>
    <w:rsid w:val="373430B3"/>
    <w:rsid w:val="373C1EF1"/>
    <w:rsid w:val="373D1D4E"/>
    <w:rsid w:val="37521CFD"/>
    <w:rsid w:val="37735EDE"/>
    <w:rsid w:val="37FF3697"/>
    <w:rsid w:val="38411D1A"/>
    <w:rsid w:val="387129C9"/>
    <w:rsid w:val="388E785E"/>
    <w:rsid w:val="38AD675F"/>
    <w:rsid w:val="39731517"/>
    <w:rsid w:val="39D11A2C"/>
    <w:rsid w:val="3A3F79CC"/>
    <w:rsid w:val="3A457A45"/>
    <w:rsid w:val="3AA4577E"/>
    <w:rsid w:val="3ABF0D0A"/>
    <w:rsid w:val="3AC931EE"/>
    <w:rsid w:val="3AD90A06"/>
    <w:rsid w:val="3B047C46"/>
    <w:rsid w:val="3B3F4248"/>
    <w:rsid w:val="3BAB0B19"/>
    <w:rsid w:val="3C2052F0"/>
    <w:rsid w:val="3C9B69B0"/>
    <w:rsid w:val="3CB957AD"/>
    <w:rsid w:val="3CDB7FC2"/>
    <w:rsid w:val="3D4F1B57"/>
    <w:rsid w:val="3D807F9A"/>
    <w:rsid w:val="3D8F570E"/>
    <w:rsid w:val="3DA7050F"/>
    <w:rsid w:val="3DE77793"/>
    <w:rsid w:val="3E721703"/>
    <w:rsid w:val="3E7E19EA"/>
    <w:rsid w:val="3E8C3C1C"/>
    <w:rsid w:val="3EE32846"/>
    <w:rsid w:val="3EE62697"/>
    <w:rsid w:val="3EEB512A"/>
    <w:rsid w:val="3F253D28"/>
    <w:rsid w:val="3F3E09C3"/>
    <w:rsid w:val="3F6251B6"/>
    <w:rsid w:val="3FA30576"/>
    <w:rsid w:val="3FA81D06"/>
    <w:rsid w:val="3FAC4313"/>
    <w:rsid w:val="400B3158"/>
    <w:rsid w:val="40175FA1"/>
    <w:rsid w:val="401C5D5D"/>
    <w:rsid w:val="40596D74"/>
    <w:rsid w:val="409D0FBF"/>
    <w:rsid w:val="40DD69F1"/>
    <w:rsid w:val="40FE3145"/>
    <w:rsid w:val="41455A01"/>
    <w:rsid w:val="41617729"/>
    <w:rsid w:val="41635215"/>
    <w:rsid w:val="419D381C"/>
    <w:rsid w:val="421A5F0E"/>
    <w:rsid w:val="421D3616"/>
    <w:rsid w:val="422C218E"/>
    <w:rsid w:val="4253430E"/>
    <w:rsid w:val="427C557B"/>
    <w:rsid w:val="429C3EFE"/>
    <w:rsid w:val="42AE64FD"/>
    <w:rsid w:val="42BC0202"/>
    <w:rsid w:val="42E70446"/>
    <w:rsid w:val="43612BE5"/>
    <w:rsid w:val="43A050CE"/>
    <w:rsid w:val="443C367F"/>
    <w:rsid w:val="449B1024"/>
    <w:rsid w:val="44A30F87"/>
    <w:rsid w:val="44A93426"/>
    <w:rsid w:val="44B07D93"/>
    <w:rsid w:val="44B32928"/>
    <w:rsid w:val="44BE4401"/>
    <w:rsid w:val="44C279A9"/>
    <w:rsid w:val="44C77869"/>
    <w:rsid w:val="44D84EEA"/>
    <w:rsid w:val="44F73576"/>
    <w:rsid w:val="454722BC"/>
    <w:rsid w:val="456E00D8"/>
    <w:rsid w:val="462C02CC"/>
    <w:rsid w:val="46657CCF"/>
    <w:rsid w:val="467D6745"/>
    <w:rsid w:val="46B164C6"/>
    <w:rsid w:val="47637D8F"/>
    <w:rsid w:val="47672C71"/>
    <w:rsid w:val="482379D2"/>
    <w:rsid w:val="485C1D4D"/>
    <w:rsid w:val="487F533A"/>
    <w:rsid w:val="48A203D1"/>
    <w:rsid w:val="48E00A0D"/>
    <w:rsid w:val="48E604F8"/>
    <w:rsid w:val="49231459"/>
    <w:rsid w:val="49235BC9"/>
    <w:rsid w:val="49521DF7"/>
    <w:rsid w:val="49653EE4"/>
    <w:rsid w:val="49CF3C52"/>
    <w:rsid w:val="49DB4B3B"/>
    <w:rsid w:val="4A19010D"/>
    <w:rsid w:val="4A2644D8"/>
    <w:rsid w:val="4A5F3025"/>
    <w:rsid w:val="4A630D97"/>
    <w:rsid w:val="4A8617D4"/>
    <w:rsid w:val="4A8C0235"/>
    <w:rsid w:val="4A96386D"/>
    <w:rsid w:val="4B6A5854"/>
    <w:rsid w:val="4B9B56F5"/>
    <w:rsid w:val="4BBE3774"/>
    <w:rsid w:val="4BC74904"/>
    <w:rsid w:val="4C1B5F58"/>
    <w:rsid w:val="4C1C1F6D"/>
    <w:rsid w:val="4C382C99"/>
    <w:rsid w:val="4C4C38F4"/>
    <w:rsid w:val="4C5D79F9"/>
    <w:rsid w:val="4D1F46E6"/>
    <w:rsid w:val="4D5554F7"/>
    <w:rsid w:val="4DD728CB"/>
    <w:rsid w:val="4DEF408F"/>
    <w:rsid w:val="4E1B283B"/>
    <w:rsid w:val="4E3C7226"/>
    <w:rsid w:val="4E4802F3"/>
    <w:rsid w:val="4E4D2A0C"/>
    <w:rsid w:val="4E5D7015"/>
    <w:rsid w:val="4E7C589F"/>
    <w:rsid w:val="4E813119"/>
    <w:rsid w:val="4F1418FD"/>
    <w:rsid w:val="4F77622F"/>
    <w:rsid w:val="4FC0263A"/>
    <w:rsid w:val="50614595"/>
    <w:rsid w:val="50770396"/>
    <w:rsid w:val="50B671B7"/>
    <w:rsid w:val="50C30779"/>
    <w:rsid w:val="50C80BA4"/>
    <w:rsid w:val="50EC3AC0"/>
    <w:rsid w:val="50EC52DB"/>
    <w:rsid w:val="51536EE0"/>
    <w:rsid w:val="51B30110"/>
    <w:rsid w:val="51FA3B42"/>
    <w:rsid w:val="5245699D"/>
    <w:rsid w:val="52C363DA"/>
    <w:rsid w:val="52E86357"/>
    <w:rsid w:val="530F33CC"/>
    <w:rsid w:val="531C6FD2"/>
    <w:rsid w:val="531E2988"/>
    <w:rsid w:val="53AD4229"/>
    <w:rsid w:val="53C27B7A"/>
    <w:rsid w:val="53EE47D4"/>
    <w:rsid w:val="53FD21BB"/>
    <w:rsid w:val="541A555E"/>
    <w:rsid w:val="54403F36"/>
    <w:rsid w:val="5445303A"/>
    <w:rsid w:val="5455310A"/>
    <w:rsid w:val="54790D3D"/>
    <w:rsid w:val="54AA0D3A"/>
    <w:rsid w:val="54BA105D"/>
    <w:rsid w:val="54D23671"/>
    <w:rsid w:val="54D7298C"/>
    <w:rsid w:val="54DF7F18"/>
    <w:rsid w:val="54F974A5"/>
    <w:rsid w:val="55023F28"/>
    <w:rsid w:val="552B08E0"/>
    <w:rsid w:val="55362047"/>
    <w:rsid w:val="554D1797"/>
    <w:rsid w:val="554F18E1"/>
    <w:rsid w:val="55702142"/>
    <w:rsid w:val="563C221F"/>
    <w:rsid w:val="565F45A6"/>
    <w:rsid w:val="56A03071"/>
    <w:rsid w:val="56A25A40"/>
    <w:rsid w:val="570F7913"/>
    <w:rsid w:val="57536629"/>
    <w:rsid w:val="57646128"/>
    <w:rsid w:val="57710EBA"/>
    <w:rsid w:val="5778134F"/>
    <w:rsid w:val="579D49F7"/>
    <w:rsid w:val="58776B43"/>
    <w:rsid w:val="58B6512E"/>
    <w:rsid w:val="58C13B8C"/>
    <w:rsid w:val="58C1672F"/>
    <w:rsid w:val="58ED0B9A"/>
    <w:rsid w:val="59062390"/>
    <w:rsid w:val="590F616B"/>
    <w:rsid w:val="593A6404"/>
    <w:rsid w:val="595E071B"/>
    <w:rsid w:val="5962713E"/>
    <w:rsid w:val="59BD6D86"/>
    <w:rsid w:val="59E14D82"/>
    <w:rsid w:val="59ED6C35"/>
    <w:rsid w:val="5A0233C6"/>
    <w:rsid w:val="5A062C10"/>
    <w:rsid w:val="5A3D43FE"/>
    <w:rsid w:val="5A6670E6"/>
    <w:rsid w:val="5B0F3DD6"/>
    <w:rsid w:val="5B234052"/>
    <w:rsid w:val="5B2D4472"/>
    <w:rsid w:val="5B305E0F"/>
    <w:rsid w:val="5B653457"/>
    <w:rsid w:val="5B750EEC"/>
    <w:rsid w:val="5BA91AB3"/>
    <w:rsid w:val="5BAA15FC"/>
    <w:rsid w:val="5BD8226E"/>
    <w:rsid w:val="5BD92F2A"/>
    <w:rsid w:val="5BDB6301"/>
    <w:rsid w:val="5BE56AFB"/>
    <w:rsid w:val="5C223046"/>
    <w:rsid w:val="5C321785"/>
    <w:rsid w:val="5C3D515A"/>
    <w:rsid w:val="5C422339"/>
    <w:rsid w:val="5C5E02AA"/>
    <w:rsid w:val="5C6A0DAE"/>
    <w:rsid w:val="5CB17125"/>
    <w:rsid w:val="5CC61628"/>
    <w:rsid w:val="5D4D689A"/>
    <w:rsid w:val="5D7F7F32"/>
    <w:rsid w:val="5DFF120B"/>
    <w:rsid w:val="5E1D7F38"/>
    <w:rsid w:val="5E4B6082"/>
    <w:rsid w:val="5E9379A0"/>
    <w:rsid w:val="5EB44B9A"/>
    <w:rsid w:val="5EF64B7B"/>
    <w:rsid w:val="5EFA4C8C"/>
    <w:rsid w:val="5F002AEF"/>
    <w:rsid w:val="5F192CD3"/>
    <w:rsid w:val="5F19651F"/>
    <w:rsid w:val="5F86531A"/>
    <w:rsid w:val="5F8731A9"/>
    <w:rsid w:val="604200CF"/>
    <w:rsid w:val="60544346"/>
    <w:rsid w:val="60693801"/>
    <w:rsid w:val="6098413C"/>
    <w:rsid w:val="60B27813"/>
    <w:rsid w:val="60D67F84"/>
    <w:rsid w:val="60E55A0C"/>
    <w:rsid w:val="61027D8C"/>
    <w:rsid w:val="616218C1"/>
    <w:rsid w:val="61730705"/>
    <w:rsid w:val="61AD6848"/>
    <w:rsid w:val="61B84E22"/>
    <w:rsid w:val="61EA3E1A"/>
    <w:rsid w:val="61F64992"/>
    <w:rsid w:val="620A3BB6"/>
    <w:rsid w:val="624A0BDD"/>
    <w:rsid w:val="62C72F81"/>
    <w:rsid w:val="62E43D52"/>
    <w:rsid w:val="63096F22"/>
    <w:rsid w:val="631669F1"/>
    <w:rsid w:val="63474D9C"/>
    <w:rsid w:val="636528E3"/>
    <w:rsid w:val="636E7F56"/>
    <w:rsid w:val="63D716A7"/>
    <w:rsid w:val="640B4148"/>
    <w:rsid w:val="64174D4A"/>
    <w:rsid w:val="642951BF"/>
    <w:rsid w:val="64430863"/>
    <w:rsid w:val="64460353"/>
    <w:rsid w:val="64532330"/>
    <w:rsid w:val="646C237D"/>
    <w:rsid w:val="64B07535"/>
    <w:rsid w:val="64C41B3A"/>
    <w:rsid w:val="64CC2881"/>
    <w:rsid w:val="64CF6311"/>
    <w:rsid w:val="6530684D"/>
    <w:rsid w:val="655E432F"/>
    <w:rsid w:val="6561340A"/>
    <w:rsid w:val="65B512EC"/>
    <w:rsid w:val="66503118"/>
    <w:rsid w:val="665B66EF"/>
    <w:rsid w:val="66A41B50"/>
    <w:rsid w:val="66CF4630"/>
    <w:rsid w:val="66FC33DC"/>
    <w:rsid w:val="67627F2D"/>
    <w:rsid w:val="677F3228"/>
    <w:rsid w:val="67EF78EE"/>
    <w:rsid w:val="68152516"/>
    <w:rsid w:val="682820B4"/>
    <w:rsid w:val="68306478"/>
    <w:rsid w:val="684C6800"/>
    <w:rsid w:val="685A617B"/>
    <w:rsid w:val="686979DD"/>
    <w:rsid w:val="68F44821"/>
    <w:rsid w:val="693D49F3"/>
    <w:rsid w:val="697B78E6"/>
    <w:rsid w:val="698A63C3"/>
    <w:rsid w:val="699A2B65"/>
    <w:rsid w:val="69E403F2"/>
    <w:rsid w:val="6A1868E3"/>
    <w:rsid w:val="6A436A18"/>
    <w:rsid w:val="6A59037F"/>
    <w:rsid w:val="6A5D008D"/>
    <w:rsid w:val="6A6F3824"/>
    <w:rsid w:val="6ABE0C43"/>
    <w:rsid w:val="6ACB6656"/>
    <w:rsid w:val="6ADE2941"/>
    <w:rsid w:val="6B587BBF"/>
    <w:rsid w:val="6B944C32"/>
    <w:rsid w:val="6BBD6DA4"/>
    <w:rsid w:val="6BC124C7"/>
    <w:rsid w:val="6C2D4E30"/>
    <w:rsid w:val="6C6B4DFB"/>
    <w:rsid w:val="6C6C4B93"/>
    <w:rsid w:val="6C6D4AE4"/>
    <w:rsid w:val="6C81190A"/>
    <w:rsid w:val="6D066565"/>
    <w:rsid w:val="6D1127FF"/>
    <w:rsid w:val="6E3D4745"/>
    <w:rsid w:val="6E881C94"/>
    <w:rsid w:val="6E8F5FB4"/>
    <w:rsid w:val="6EC67C05"/>
    <w:rsid w:val="6ED05A0D"/>
    <w:rsid w:val="6EF424EA"/>
    <w:rsid w:val="6EFB4CE2"/>
    <w:rsid w:val="6F455F99"/>
    <w:rsid w:val="6F6B022E"/>
    <w:rsid w:val="6FAB19C4"/>
    <w:rsid w:val="6FFF6C9F"/>
    <w:rsid w:val="707214C9"/>
    <w:rsid w:val="709A5CAE"/>
    <w:rsid w:val="70CD071D"/>
    <w:rsid w:val="71325D0B"/>
    <w:rsid w:val="71397EC1"/>
    <w:rsid w:val="719105E3"/>
    <w:rsid w:val="71B94718"/>
    <w:rsid w:val="71CF4A91"/>
    <w:rsid w:val="71F80D38"/>
    <w:rsid w:val="722C0059"/>
    <w:rsid w:val="725F69F1"/>
    <w:rsid w:val="72833102"/>
    <w:rsid w:val="72B755AB"/>
    <w:rsid w:val="72B8066E"/>
    <w:rsid w:val="72DA12D3"/>
    <w:rsid w:val="72F773E8"/>
    <w:rsid w:val="732841DE"/>
    <w:rsid w:val="733A3CA3"/>
    <w:rsid w:val="733D59DF"/>
    <w:rsid w:val="734A55EF"/>
    <w:rsid w:val="73B250BD"/>
    <w:rsid w:val="73CF4230"/>
    <w:rsid w:val="73FE6CCE"/>
    <w:rsid w:val="74124A43"/>
    <w:rsid w:val="74131E8A"/>
    <w:rsid w:val="74866CC7"/>
    <w:rsid w:val="74D4132F"/>
    <w:rsid w:val="74F67B27"/>
    <w:rsid w:val="75480322"/>
    <w:rsid w:val="75FE29B0"/>
    <w:rsid w:val="760B6CBC"/>
    <w:rsid w:val="761A46D2"/>
    <w:rsid w:val="765342DE"/>
    <w:rsid w:val="76894F0E"/>
    <w:rsid w:val="76BF30C4"/>
    <w:rsid w:val="76F8372F"/>
    <w:rsid w:val="7731279D"/>
    <w:rsid w:val="7758241F"/>
    <w:rsid w:val="775D6A7E"/>
    <w:rsid w:val="77E9299E"/>
    <w:rsid w:val="77EA7F15"/>
    <w:rsid w:val="77EE5C08"/>
    <w:rsid w:val="781A1483"/>
    <w:rsid w:val="78210A63"/>
    <w:rsid w:val="783D6892"/>
    <w:rsid w:val="789C3464"/>
    <w:rsid w:val="78F35959"/>
    <w:rsid w:val="792C7D4D"/>
    <w:rsid w:val="793A0A99"/>
    <w:rsid w:val="79790445"/>
    <w:rsid w:val="797D2DA2"/>
    <w:rsid w:val="79D37E35"/>
    <w:rsid w:val="7A293706"/>
    <w:rsid w:val="7A750FF3"/>
    <w:rsid w:val="7B30227E"/>
    <w:rsid w:val="7BB47905"/>
    <w:rsid w:val="7BB7240C"/>
    <w:rsid w:val="7BCE385A"/>
    <w:rsid w:val="7BD5331E"/>
    <w:rsid w:val="7BFE3B4D"/>
    <w:rsid w:val="7C08209B"/>
    <w:rsid w:val="7C191616"/>
    <w:rsid w:val="7C6701DC"/>
    <w:rsid w:val="7CF85BA5"/>
    <w:rsid w:val="7CFC6284"/>
    <w:rsid w:val="7CFF1A5B"/>
    <w:rsid w:val="7D35603A"/>
    <w:rsid w:val="7D480840"/>
    <w:rsid w:val="7D810F35"/>
    <w:rsid w:val="7DD40B43"/>
    <w:rsid w:val="7DF76987"/>
    <w:rsid w:val="7DFE3AEB"/>
    <w:rsid w:val="7E0C0CD7"/>
    <w:rsid w:val="7E0D5243"/>
    <w:rsid w:val="7EAD29ED"/>
    <w:rsid w:val="7EC861C8"/>
    <w:rsid w:val="7EE822DB"/>
    <w:rsid w:val="7EF20417"/>
    <w:rsid w:val="7F1E7D70"/>
    <w:rsid w:val="7FA54475"/>
    <w:rsid w:val="7FD33FBD"/>
    <w:rsid w:val="D7DD5B8E"/>
    <w:rsid w:val="DF67E55B"/>
    <w:rsid w:val="DFBE8930"/>
    <w:rsid w:val="FB7F9958"/>
    <w:rsid w:val="FDAF00A6"/>
    <w:rsid w:val="FDF74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4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1"/>
    <w:qFormat/>
    <w:uiPriority w:val="0"/>
    <w:pPr>
      <w:ind w:firstLine="420"/>
    </w:pPr>
  </w:style>
  <w:style w:type="paragraph" w:styleId="8">
    <w:name w:val="toa heading"/>
    <w:basedOn w:val="1"/>
    <w:next w:val="1"/>
    <w:qFormat/>
    <w:uiPriority w:val="0"/>
    <w:rPr>
      <w:rFonts w:ascii="Arial" w:hAnsi="Arial"/>
      <w:sz w:val="24"/>
      <w:szCs w:val="20"/>
    </w:rPr>
  </w:style>
  <w:style w:type="paragraph" w:styleId="9">
    <w:name w:val="annotation text"/>
    <w:basedOn w:val="1"/>
    <w:link w:val="53"/>
    <w:qFormat/>
    <w:uiPriority w:val="0"/>
    <w:pPr>
      <w:jc w:val="left"/>
    </w:pPr>
  </w:style>
  <w:style w:type="paragraph" w:styleId="10">
    <w:name w:val="Body Text Indent"/>
    <w:basedOn w:val="1"/>
    <w:next w:val="6"/>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11">
    <w:name w:val="List Continue"/>
    <w:basedOn w:val="1"/>
    <w:qFormat/>
    <w:uiPriority w:val="0"/>
    <w:pPr>
      <w:spacing w:after="120"/>
      <w:ind w:left="420"/>
    </w:pPr>
  </w:style>
  <w:style w:type="paragraph" w:styleId="12">
    <w:name w:val="Plain Text"/>
    <w:basedOn w:val="1"/>
    <w:next w:val="1"/>
    <w:link w:val="38"/>
    <w:qFormat/>
    <w:uiPriority w:val="0"/>
    <w:rPr>
      <w:rFonts w:ascii="宋体" w:hAnsi="Courier New" w:eastAsia="宋体"/>
    </w:rPr>
  </w:style>
  <w:style w:type="paragraph" w:styleId="13">
    <w:name w:val="Date"/>
    <w:basedOn w:val="1"/>
    <w:next w:val="1"/>
    <w:qFormat/>
    <w:uiPriority w:val="0"/>
    <w:pPr>
      <w:ind w:left="2500" w:leftChars="2500"/>
    </w:pPr>
    <w:rPr>
      <w:rFonts w:eastAsia="楷体_GB2312"/>
      <w:sz w:val="32"/>
      <w:szCs w:val="20"/>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9"/>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9">
    <w:name w:val="toc 4"/>
    <w:basedOn w:val="1"/>
    <w:next w:val="1"/>
    <w:qFormat/>
    <w:uiPriority w:val="0"/>
    <w:pPr>
      <w:ind w:left="1260"/>
    </w:pPr>
    <w:rPr>
      <w:kern w:val="1"/>
    </w:rPr>
  </w:style>
  <w:style w:type="paragraph" w:styleId="20">
    <w:name w:val="Body Text 2"/>
    <w:basedOn w:val="1"/>
    <w:qFormat/>
    <w:uiPriority w:val="0"/>
    <w:pPr>
      <w:spacing w:after="120" w:line="480" w:lineRule="auto"/>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9"/>
    <w:next w:val="9"/>
    <w:link w:val="54"/>
    <w:qFormat/>
    <w:uiPriority w:val="0"/>
    <w:rPr>
      <w:b/>
      <w:bCs/>
    </w:rPr>
  </w:style>
  <w:style w:type="paragraph" w:styleId="24">
    <w:name w:val="Body Text First Indent"/>
    <w:basedOn w:val="2"/>
    <w:next w:val="1"/>
    <w:qFormat/>
    <w:uiPriority w:val="0"/>
    <w:pPr>
      <w:spacing w:after="120"/>
      <w:ind w:firstLine="420" w:firstLineChars="100"/>
    </w:pPr>
    <w:rPr>
      <w:sz w:val="21"/>
    </w:rPr>
  </w:style>
  <w:style w:type="paragraph" w:styleId="25">
    <w:name w:val="Body Text First Indent 2"/>
    <w:basedOn w:val="10"/>
    <w:next w:val="1"/>
    <w:qFormat/>
    <w:uiPriority w:val="0"/>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首行缩进"/>
    <w:basedOn w:val="1"/>
    <w:next w:val="11"/>
    <w:qFormat/>
    <w:uiPriority w:val="0"/>
    <w:pPr>
      <w:spacing w:line="360" w:lineRule="auto"/>
      <w:ind w:firstLine="480" w:firstLineChars="200"/>
    </w:pPr>
    <w:rPr>
      <w:sz w:val="24"/>
      <w:lang w:val="zh-CN"/>
    </w:rPr>
  </w:style>
  <w:style w:type="paragraph" w:customStyle="1" w:styleId="34">
    <w:name w:val="正文（首行缩进2字符）"/>
    <w:basedOn w:val="1"/>
    <w:qFormat/>
    <w:uiPriority w:val="0"/>
    <w:pPr>
      <w:spacing w:line="360" w:lineRule="auto"/>
      <w:ind w:firstLine="420" w:firstLineChars="200"/>
    </w:pPr>
    <w:rPr>
      <w:szCs w:val="21"/>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6">
    <w:name w:val="M正文"/>
    <w:basedOn w:val="1"/>
    <w:qFormat/>
    <w:uiPriority w:val="0"/>
    <w:pPr>
      <w:spacing w:line="360" w:lineRule="auto"/>
      <w:ind w:firstLine="480" w:firstLineChars="200"/>
    </w:pPr>
    <w:rPr>
      <w:sz w:val="24"/>
      <w:szCs w:val="24"/>
    </w:rPr>
  </w:style>
  <w:style w:type="paragraph" w:customStyle="1" w:styleId="37">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character" w:customStyle="1" w:styleId="38">
    <w:name w:val="纯文本 字符"/>
    <w:link w:val="12"/>
    <w:qFormat/>
    <w:uiPriority w:val="0"/>
    <w:rPr>
      <w:rFonts w:ascii="宋体" w:hAnsi="Courier New" w:cstheme="minorBidi"/>
      <w:kern w:val="2"/>
      <w:sz w:val="21"/>
      <w:szCs w:val="22"/>
    </w:rPr>
  </w:style>
  <w:style w:type="character" w:customStyle="1" w:styleId="39">
    <w:name w:val="批注框文本 字符"/>
    <w:basedOn w:val="28"/>
    <w:link w:val="15"/>
    <w:qFormat/>
    <w:uiPriority w:val="0"/>
    <w:rPr>
      <w:rFonts w:asciiTheme="minorHAnsi" w:hAnsiTheme="minorHAnsi" w:eastAsiaTheme="minorEastAsia" w:cstheme="minorBidi"/>
      <w:kern w:val="2"/>
      <w:sz w:val="18"/>
      <w:szCs w:val="18"/>
    </w:rPr>
  </w:style>
  <w:style w:type="paragraph" w:customStyle="1" w:styleId="4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1">
    <w:name w:val="标题 3 字符"/>
    <w:link w:val="5"/>
    <w:qFormat/>
    <w:uiPriority w:val="0"/>
    <w:rPr>
      <w:b/>
      <w:bCs/>
      <w:sz w:val="32"/>
      <w:szCs w:val="32"/>
    </w:rPr>
  </w:style>
  <w:style w:type="paragraph" w:customStyle="1" w:styleId="42">
    <w:name w:val="正文缩进样式"/>
    <w:basedOn w:val="6"/>
    <w:qFormat/>
    <w:uiPriority w:val="0"/>
    <w:pPr>
      <w:widowControl/>
      <w:snapToGrid w:val="0"/>
      <w:spacing w:line="360" w:lineRule="auto"/>
      <w:ind w:firstLine="480"/>
      <w:jc w:val="left"/>
    </w:pPr>
    <w:rPr>
      <w:rFonts w:ascii="Arial" w:hAnsi="宋体" w:cs="Arial"/>
      <w:kern w:val="0"/>
      <w:sz w:val="24"/>
      <w:szCs w:val="24"/>
      <w:lang w:bidi="en-US"/>
    </w:rPr>
  </w:style>
  <w:style w:type="paragraph" w:customStyle="1" w:styleId="43">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p1"/>
    <w:basedOn w:val="1"/>
    <w:qFormat/>
    <w:uiPriority w:val="0"/>
    <w:pPr>
      <w:ind w:left="1380"/>
      <w:jc w:val="left"/>
    </w:pPr>
    <w:rPr>
      <w:rFonts w:ascii="pingfang sc" w:hAnsi="pingfang sc" w:eastAsia="pingfang sc" w:cs="Times New Roman"/>
      <w:kern w:val="0"/>
      <w:sz w:val="24"/>
      <w:szCs w:val="24"/>
    </w:rPr>
  </w:style>
  <w:style w:type="paragraph" w:customStyle="1" w:styleId="45">
    <w:name w:val="正文-首行缩进"/>
    <w:basedOn w:val="1"/>
    <w:qFormat/>
    <w:uiPriority w:val="0"/>
    <w:pPr>
      <w:spacing w:line="360" w:lineRule="auto"/>
      <w:ind w:firstLine="560" w:firstLineChars="200"/>
    </w:pPr>
    <w:rPr>
      <w:rFonts w:ascii="仿宋_GB2312" w:eastAsia="仿宋_GB2312" w:cs="仿宋_GB2312"/>
      <w:szCs w:val="28"/>
    </w:rPr>
  </w:style>
  <w:style w:type="paragraph" w:customStyle="1" w:styleId="46">
    <w:name w:val="xl53"/>
    <w:basedOn w:val="1"/>
    <w:next w:val="1"/>
    <w:qFormat/>
    <w:uiPriority w:val="0"/>
    <w:pPr>
      <w:spacing w:before="280" w:after="280" w:line="100" w:lineRule="exact"/>
      <w:jc w:val="center"/>
    </w:pPr>
    <w:rPr>
      <w:b/>
      <w:sz w:val="20"/>
    </w:rPr>
  </w:style>
  <w:style w:type="paragraph" w:customStyle="1" w:styleId="47">
    <w:name w:val="*正文"/>
    <w:basedOn w:val="1"/>
    <w:qFormat/>
    <w:uiPriority w:val="0"/>
    <w:pPr>
      <w:spacing w:line="360" w:lineRule="auto"/>
      <w:ind w:firstLine="200" w:firstLineChars="200"/>
    </w:pPr>
    <w:rPr>
      <w:rFonts w:ascii="宋体" w:hAnsi="宋体"/>
    </w:rPr>
  </w:style>
  <w:style w:type="paragraph" w:customStyle="1" w:styleId="48">
    <w:name w:val="常用段落文字格式"/>
    <w:basedOn w:val="1"/>
    <w:qFormat/>
    <w:uiPriority w:val="99"/>
    <w:pPr>
      <w:spacing w:line="360" w:lineRule="auto"/>
      <w:ind w:firstLine="480" w:firstLineChars="200"/>
    </w:pPr>
    <w:rPr>
      <w:rFonts w:ascii="宋体" w:hAnsi="宋体"/>
    </w:rPr>
  </w:style>
  <w:style w:type="paragraph" w:customStyle="1" w:styleId="49">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11"/>
    <w:basedOn w:val="28"/>
    <w:qFormat/>
    <w:uiPriority w:val="0"/>
    <w:rPr>
      <w:rFonts w:hint="eastAsia" w:ascii="宋体" w:hAnsi="宋体" w:eastAsia="宋体" w:cs="宋体"/>
      <w:color w:val="000000"/>
      <w:sz w:val="22"/>
      <w:szCs w:val="22"/>
      <w:u w:val="none"/>
    </w:rPr>
  </w:style>
  <w:style w:type="character" w:customStyle="1" w:styleId="52">
    <w:name w:val="font01"/>
    <w:basedOn w:val="28"/>
    <w:qFormat/>
    <w:uiPriority w:val="0"/>
    <w:rPr>
      <w:rFonts w:hint="eastAsia" w:ascii="宋体" w:hAnsi="宋体" w:eastAsia="宋体" w:cs="宋体"/>
      <w:color w:val="000000"/>
      <w:sz w:val="22"/>
      <w:szCs w:val="22"/>
      <w:u w:val="none"/>
    </w:rPr>
  </w:style>
  <w:style w:type="character" w:customStyle="1" w:styleId="53">
    <w:name w:val="批注文字 字符"/>
    <w:basedOn w:val="28"/>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3"/>
    <w:qFormat/>
    <w:uiPriority w:val="0"/>
    <w:rPr>
      <w:rFonts w:asciiTheme="minorHAnsi" w:hAnsiTheme="minorHAnsi" w:eastAsiaTheme="minorEastAsia" w:cstheme="minorBidi"/>
      <w:b/>
      <w:bCs/>
      <w:kern w:val="2"/>
      <w:sz w:val="21"/>
      <w:szCs w:val="22"/>
    </w:rPr>
  </w:style>
  <w:style w:type="paragraph" w:customStyle="1" w:styleId="55">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paragraph" w:customStyle="1" w:styleId="56">
    <w:name w:val="表格格式"/>
    <w:basedOn w:val="1"/>
    <w:qFormat/>
    <w:uiPriority w:val="0"/>
    <w:pPr>
      <w:jc w:val="center"/>
    </w:pPr>
    <w:rPr>
      <w:bCs/>
      <w:sz w:val="24"/>
      <w:szCs w:val="24"/>
    </w:rPr>
  </w:style>
  <w:style w:type="paragraph" w:customStyle="1" w:styleId="57">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58">
    <w:name w:val="列表段落1"/>
    <w:basedOn w:val="1"/>
    <w:qFormat/>
    <w:uiPriority w:val="34"/>
    <w:pPr>
      <w:ind w:firstLine="420" w:firstLineChars="200"/>
    </w:pPr>
  </w:style>
  <w:style w:type="paragraph" w:styleId="59">
    <w:name w:val="List Paragraph"/>
    <w:basedOn w:val="1"/>
    <w:qFormat/>
    <w:uiPriority w:val="99"/>
    <w:pPr>
      <w:ind w:firstLine="420" w:firstLineChars="200"/>
    </w:pPr>
  </w:style>
  <w:style w:type="paragraph" w:customStyle="1" w:styleId="6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Company>
  <Pages>61</Pages>
  <Words>34597</Words>
  <Characters>36920</Characters>
  <Lines>387</Lines>
  <Paragraphs>109</Paragraphs>
  <TotalTime>0</TotalTime>
  <ScaleCrop>false</ScaleCrop>
  <LinksUpToDate>false</LinksUpToDate>
  <CharactersWithSpaces>40455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2024-01-24T14:24:00Z</dcterms:created>
  <dc:creator>诺</dc:creator>
  <cp:lastModifiedBy>陳驍</cp:lastModifiedBy>
  <cp:lastPrinted>2024-08-14T06:18:00Z</cp:lastPrinted>
  <dcterms:modified xsi:type="dcterms:W3CDTF">2024-09-05T06:27:41Z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CB82274F2DDA44E0BD1EAEE09E1D8909_13</vt:lpwstr>
  </property>
</Properties>
</file>